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F1C068" w14:textId="27C03249" w:rsidR="00656EAF" w:rsidRDefault="00656EAF" w:rsidP="00E94CA9">
      <w:pPr>
        <w:spacing w:line="360" w:lineRule="auto"/>
        <w:ind w:left="425"/>
        <w:jc w:val="center"/>
        <w:rPr>
          <w:rFonts w:cs="Arial"/>
          <w:b/>
          <w:bCs/>
          <w:color w:val="000000" w:themeColor="text1"/>
        </w:rPr>
      </w:pPr>
    </w:p>
    <w:p w14:paraId="1555C344" w14:textId="7C0E9832" w:rsidR="00656EAF" w:rsidRPr="00845ECF" w:rsidRDefault="00656EAF" w:rsidP="00E94CA9">
      <w:pPr>
        <w:spacing w:line="360" w:lineRule="auto"/>
        <w:ind w:left="425"/>
        <w:jc w:val="center"/>
        <w:rPr>
          <w:rFonts w:cs="Arial"/>
          <w:b/>
          <w:bCs/>
          <w:color w:val="000000" w:themeColor="text1"/>
        </w:rPr>
      </w:pPr>
      <w:r w:rsidRPr="00845ECF">
        <w:rPr>
          <w:rFonts w:cs="Arial"/>
          <w:b/>
          <w:color w:val="000000" w:themeColor="text1"/>
          <w:sz w:val="22"/>
          <w:szCs w:val="22"/>
        </w:rPr>
        <w:t>The targetable kinase PIM1 drives ALK inhibitor resistance in high-risk neuroblastoma independent of MYCN status</w:t>
      </w:r>
    </w:p>
    <w:p w14:paraId="69EF238A" w14:textId="3D5C3B5D" w:rsidR="00CE70BF" w:rsidRPr="00F17165" w:rsidRDefault="00CE70BF" w:rsidP="00ED49F1">
      <w:pPr>
        <w:spacing w:before="100" w:beforeAutospacing="1" w:after="100" w:afterAutospacing="1" w:line="360" w:lineRule="auto"/>
        <w:jc w:val="both"/>
        <w:rPr>
          <w:color w:val="000000" w:themeColor="text1"/>
          <w:sz w:val="18"/>
        </w:rPr>
      </w:pPr>
      <w:r w:rsidRPr="00F17165">
        <w:rPr>
          <w:color w:val="000000" w:themeColor="text1"/>
        </w:rPr>
        <w:t>Ricky M. Trigg</w:t>
      </w:r>
      <w:r w:rsidRPr="00F17165">
        <w:rPr>
          <w:color w:val="000000" w:themeColor="text1"/>
          <w:vertAlign w:val="superscript"/>
        </w:rPr>
        <w:t>1,9,#</w:t>
      </w:r>
      <w:r w:rsidRPr="00F17165">
        <w:rPr>
          <w:color w:val="000000" w:themeColor="text1"/>
        </w:rPr>
        <w:t>, Liam C. Lee</w:t>
      </w:r>
      <w:r w:rsidRPr="00F17165">
        <w:rPr>
          <w:color w:val="000000" w:themeColor="text1"/>
          <w:vertAlign w:val="superscript"/>
        </w:rPr>
        <w:t>1,9,^</w:t>
      </w:r>
      <w:r w:rsidRPr="00F17165">
        <w:rPr>
          <w:color w:val="000000" w:themeColor="text1"/>
        </w:rPr>
        <w:t>, Nina Prokoph</w:t>
      </w:r>
      <w:r w:rsidRPr="00F17165">
        <w:rPr>
          <w:color w:val="000000" w:themeColor="text1"/>
          <w:vertAlign w:val="superscript"/>
        </w:rPr>
        <w:t>1,9</w:t>
      </w:r>
      <w:r w:rsidRPr="00F17165">
        <w:rPr>
          <w:color w:val="000000" w:themeColor="text1"/>
        </w:rPr>
        <w:t>, Leila Jahangiri</w:t>
      </w:r>
      <w:r w:rsidRPr="00F17165">
        <w:rPr>
          <w:color w:val="000000" w:themeColor="text1"/>
          <w:vertAlign w:val="superscript"/>
        </w:rPr>
        <w:t>1</w:t>
      </w:r>
      <w:r w:rsidRPr="00F17165">
        <w:rPr>
          <w:color w:val="000000" w:themeColor="text1"/>
        </w:rPr>
        <w:t>, C. Patrick Reynolds</w:t>
      </w:r>
      <w:r w:rsidRPr="00F17165">
        <w:rPr>
          <w:color w:val="000000" w:themeColor="text1"/>
          <w:vertAlign w:val="superscript"/>
        </w:rPr>
        <w:t>2</w:t>
      </w:r>
      <w:r w:rsidRPr="00F17165">
        <w:rPr>
          <w:color w:val="000000" w:themeColor="text1"/>
        </w:rPr>
        <w:t>, G.A. Amos Burke</w:t>
      </w:r>
      <w:r w:rsidRPr="00F17165">
        <w:rPr>
          <w:color w:val="000000" w:themeColor="text1"/>
          <w:vertAlign w:val="superscript"/>
        </w:rPr>
        <w:t>3</w:t>
      </w:r>
      <w:r w:rsidRPr="00F17165">
        <w:rPr>
          <w:color w:val="000000" w:themeColor="text1"/>
        </w:rPr>
        <w:t>, Nicola A. Probst</w:t>
      </w:r>
      <w:r w:rsidRPr="00F17165">
        <w:rPr>
          <w:color w:val="000000" w:themeColor="text1"/>
          <w:vertAlign w:val="superscript"/>
        </w:rPr>
        <w:t>1</w:t>
      </w:r>
      <w:r w:rsidRPr="00F17165">
        <w:rPr>
          <w:color w:val="000000" w:themeColor="text1"/>
        </w:rPr>
        <w:t xml:space="preserve">, </w:t>
      </w:r>
      <w:proofErr w:type="spellStart"/>
      <w:r w:rsidRPr="00F17165">
        <w:rPr>
          <w:color w:val="000000" w:themeColor="text1"/>
        </w:rPr>
        <w:t>Miaojun</w:t>
      </w:r>
      <w:proofErr w:type="spellEnd"/>
      <w:r w:rsidRPr="00F17165">
        <w:rPr>
          <w:color w:val="000000" w:themeColor="text1"/>
        </w:rPr>
        <w:t xml:space="preserve"> Han</w:t>
      </w:r>
      <w:r w:rsidRPr="00F17165">
        <w:rPr>
          <w:color w:val="000000" w:themeColor="text1"/>
          <w:vertAlign w:val="superscript"/>
        </w:rPr>
        <w:t>1,+</w:t>
      </w:r>
      <w:r w:rsidRPr="00F17165">
        <w:rPr>
          <w:color w:val="000000" w:themeColor="text1"/>
        </w:rPr>
        <w:t>, Jamie D. Matthews</w:t>
      </w:r>
      <w:r w:rsidRPr="00F17165">
        <w:rPr>
          <w:color w:val="000000" w:themeColor="text1"/>
          <w:vertAlign w:val="superscript"/>
        </w:rPr>
        <w:t>1</w:t>
      </w:r>
      <w:r w:rsidRPr="00F17165">
        <w:rPr>
          <w:color w:val="000000" w:themeColor="text1"/>
        </w:rPr>
        <w:t>, Hong Kai Lim</w:t>
      </w:r>
      <w:r w:rsidRPr="00F17165">
        <w:rPr>
          <w:color w:val="000000" w:themeColor="text1"/>
          <w:vertAlign w:val="superscript"/>
        </w:rPr>
        <w:t>1</w:t>
      </w:r>
      <w:r w:rsidRPr="00F17165">
        <w:rPr>
          <w:color w:val="000000" w:themeColor="text1"/>
        </w:rPr>
        <w:t>, Eleanor Manners</w:t>
      </w:r>
      <w:r w:rsidRPr="00F17165">
        <w:rPr>
          <w:color w:val="000000" w:themeColor="text1"/>
          <w:vertAlign w:val="superscript"/>
        </w:rPr>
        <w:t>1</w:t>
      </w:r>
      <w:r w:rsidRPr="00F17165">
        <w:rPr>
          <w:color w:val="000000" w:themeColor="text1"/>
        </w:rPr>
        <w:t>, Sonia Martinez</w:t>
      </w:r>
      <w:r w:rsidRPr="00F17165">
        <w:rPr>
          <w:color w:val="000000" w:themeColor="text1"/>
          <w:vertAlign w:val="superscript"/>
        </w:rPr>
        <w:t>4</w:t>
      </w:r>
      <w:r w:rsidRPr="00F17165">
        <w:rPr>
          <w:color w:val="000000" w:themeColor="text1"/>
        </w:rPr>
        <w:t>, Joaquin Pastor</w:t>
      </w:r>
      <w:r w:rsidRPr="00F17165">
        <w:rPr>
          <w:color w:val="000000" w:themeColor="text1"/>
          <w:vertAlign w:val="superscript"/>
        </w:rPr>
        <w:t>4</w:t>
      </w:r>
      <w:r w:rsidRPr="00F17165">
        <w:rPr>
          <w:color w:val="000000" w:themeColor="text1"/>
        </w:rPr>
        <w:t>, Carmen Blanco-Aparicio</w:t>
      </w:r>
      <w:r w:rsidRPr="00F17165">
        <w:rPr>
          <w:color w:val="000000" w:themeColor="text1"/>
          <w:vertAlign w:val="superscript"/>
        </w:rPr>
        <w:t>4</w:t>
      </w:r>
      <w:r w:rsidRPr="00F17165">
        <w:rPr>
          <w:color w:val="000000" w:themeColor="text1"/>
        </w:rPr>
        <w:t>, Olaf Merkel</w:t>
      </w:r>
      <w:r w:rsidRPr="00F17165">
        <w:rPr>
          <w:color w:val="000000" w:themeColor="text1"/>
          <w:vertAlign w:val="superscript"/>
        </w:rPr>
        <w:t>5</w:t>
      </w:r>
      <w:r w:rsidRPr="00F17165">
        <w:rPr>
          <w:color w:val="000000" w:themeColor="text1"/>
        </w:rPr>
        <w:t xml:space="preserve">, Ines Garces de los </w:t>
      </w:r>
      <w:proofErr w:type="spellStart"/>
      <w:r w:rsidRPr="00F17165">
        <w:rPr>
          <w:color w:val="000000" w:themeColor="text1"/>
        </w:rPr>
        <w:t>Fayos</w:t>
      </w:r>
      <w:proofErr w:type="spellEnd"/>
      <w:r w:rsidRPr="00F17165">
        <w:rPr>
          <w:color w:val="000000" w:themeColor="text1"/>
        </w:rPr>
        <w:t xml:space="preserve"> Alonso</w:t>
      </w:r>
      <w:r w:rsidRPr="00F17165">
        <w:rPr>
          <w:color w:val="000000" w:themeColor="text1"/>
          <w:vertAlign w:val="superscript"/>
        </w:rPr>
        <w:t>5</w:t>
      </w:r>
      <w:r w:rsidRPr="00F17165">
        <w:rPr>
          <w:color w:val="000000" w:themeColor="text1"/>
        </w:rPr>
        <w:t>, Petra Kodajova</w:t>
      </w:r>
      <w:r w:rsidRPr="00F17165">
        <w:rPr>
          <w:color w:val="000000" w:themeColor="text1"/>
          <w:vertAlign w:val="superscript"/>
        </w:rPr>
        <w:t>6</w:t>
      </w:r>
      <w:r w:rsidRPr="00F17165">
        <w:rPr>
          <w:color w:val="000000" w:themeColor="text1"/>
        </w:rPr>
        <w:t>, Simone Tangermann</w:t>
      </w:r>
      <w:r w:rsidRPr="00F17165">
        <w:rPr>
          <w:color w:val="000000" w:themeColor="text1"/>
          <w:vertAlign w:val="superscript"/>
        </w:rPr>
        <w:t>6</w:t>
      </w:r>
      <w:r w:rsidRPr="00F17165">
        <w:rPr>
          <w:color w:val="000000" w:themeColor="text1"/>
        </w:rPr>
        <w:t>, Sandra Högler</w:t>
      </w:r>
      <w:r w:rsidRPr="00F17165">
        <w:rPr>
          <w:color w:val="000000" w:themeColor="text1"/>
          <w:vertAlign w:val="superscript"/>
        </w:rPr>
        <w:t>6</w:t>
      </w:r>
      <w:r w:rsidRPr="00F17165">
        <w:rPr>
          <w:color w:val="000000" w:themeColor="text1"/>
        </w:rPr>
        <w:t xml:space="preserve">, </w:t>
      </w:r>
      <w:r w:rsidR="00FF3978" w:rsidRPr="00F17165">
        <w:rPr>
          <w:color w:val="000000" w:themeColor="text1"/>
        </w:rPr>
        <w:t>Ji Luo</w:t>
      </w:r>
      <w:r w:rsidR="00FF3978">
        <w:rPr>
          <w:color w:val="000000" w:themeColor="text1"/>
          <w:vertAlign w:val="superscript"/>
        </w:rPr>
        <w:t>7</w:t>
      </w:r>
      <w:r w:rsidR="00FF3978">
        <w:rPr>
          <w:color w:val="000000" w:themeColor="text1"/>
        </w:rPr>
        <w:t>,</w:t>
      </w:r>
      <w:r w:rsidR="00FF3978">
        <w:rPr>
          <w:color w:val="000000" w:themeColor="text1"/>
          <w:vertAlign w:val="superscript"/>
        </w:rPr>
        <w:t xml:space="preserve"> </w:t>
      </w:r>
      <w:r w:rsidRPr="00F17165">
        <w:rPr>
          <w:color w:val="000000" w:themeColor="text1"/>
        </w:rPr>
        <w:t>Lukas Kenner</w:t>
      </w:r>
      <w:r w:rsidRPr="00F17165">
        <w:rPr>
          <w:color w:val="000000" w:themeColor="text1"/>
          <w:vertAlign w:val="superscript"/>
        </w:rPr>
        <w:t>5,6,</w:t>
      </w:r>
      <w:r w:rsidR="00FF3978">
        <w:rPr>
          <w:color w:val="000000" w:themeColor="text1"/>
          <w:vertAlign w:val="superscript"/>
        </w:rPr>
        <w:t>8,10</w:t>
      </w:r>
      <w:r w:rsidRPr="00F17165">
        <w:rPr>
          <w:color w:val="000000" w:themeColor="text1"/>
        </w:rPr>
        <w:t xml:space="preserve"> and Suzanne D. Turner</w:t>
      </w:r>
      <w:r w:rsidRPr="00F17165">
        <w:rPr>
          <w:color w:val="000000" w:themeColor="text1"/>
          <w:vertAlign w:val="superscript"/>
        </w:rPr>
        <w:t>1,</w:t>
      </w:r>
      <w:r w:rsidR="00FF3978">
        <w:rPr>
          <w:color w:val="000000" w:themeColor="text1"/>
          <w:vertAlign w:val="superscript"/>
        </w:rPr>
        <w:t>10,</w:t>
      </w:r>
      <w:r w:rsidRPr="00F17165">
        <w:rPr>
          <w:color w:val="000000" w:themeColor="text1"/>
          <w:vertAlign w:val="superscript"/>
        </w:rPr>
        <w:t>*</w:t>
      </w:r>
    </w:p>
    <w:p w14:paraId="2500148A" w14:textId="0EDAC347" w:rsidR="00D30528" w:rsidRPr="004550F5" w:rsidRDefault="005033EF" w:rsidP="00ED49F1">
      <w:pPr>
        <w:spacing w:beforeAutospacing="1" w:afterAutospacing="1" w:line="360" w:lineRule="auto"/>
        <w:jc w:val="both"/>
      </w:pPr>
      <w:r w:rsidRPr="004550F5">
        <w:rPr>
          <w:vertAlign w:val="superscript"/>
        </w:rPr>
        <w:t>1</w:t>
      </w:r>
      <w:r w:rsidRPr="004550F5">
        <w:t xml:space="preserve">Division of Cellular and Molecular Pathology, Department of Pathology, University of Cambridge, </w:t>
      </w:r>
      <w:r w:rsidR="0012027C">
        <w:t>Lab Block level 3, Box 231, Cambridge</w:t>
      </w:r>
      <w:r w:rsidR="0012027C" w:rsidRPr="004550F5">
        <w:t xml:space="preserve"> </w:t>
      </w:r>
      <w:r w:rsidRPr="004550F5">
        <w:t xml:space="preserve">Biomedical Campus, Cambridge CB2 0QQ, UK </w:t>
      </w:r>
    </w:p>
    <w:p w14:paraId="0F20B26D" w14:textId="77777777" w:rsidR="00D30528" w:rsidRPr="004550F5" w:rsidRDefault="005033EF" w:rsidP="00ED49F1">
      <w:pPr>
        <w:spacing w:before="100" w:beforeAutospacing="1" w:after="100" w:afterAutospacing="1" w:line="360" w:lineRule="auto"/>
        <w:jc w:val="both"/>
      </w:pPr>
      <w:r w:rsidRPr="004550F5">
        <w:rPr>
          <w:vertAlign w:val="superscript"/>
        </w:rPr>
        <w:t>2</w:t>
      </w:r>
      <w:r w:rsidRPr="004550F5">
        <w:t xml:space="preserve">Cancer </w:t>
      </w:r>
      <w:proofErr w:type="spellStart"/>
      <w:r w:rsidRPr="004550F5">
        <w:t>Center</w:t>
      </w:r>
      <w:proofErr w:type="spellEnd"/>
      <w:r w:rsidRPr="004550F5">
        <w:t xml:space="preserve">, Texas Tech University Health Sciences </w:t>
      </w:r>
      <w:proofErr w:type="spellStart"/>
      <w:r w:rsidRPr="004550F5">
        <w:t>Center</w:t>
      </w:r>
      <w:proofErr w:type="spellEnd"/>
      <w:r w:rsidRPr="004550F5">
        <w:t xml:space="preserve"> School of Medicine, Lubbock, TX 79430, USA</w:t>
      </w:r>
    </w:p>
    <w:p w14:paraId="7469AD3A" w14:textId="112D6AA4" w:rsidR="00D30528" w:rsidRPr="004550F5" w:rsidRDefault="005033EF" w:rsidP="00ED49F1">
      <w:pPr>
        <w:spacing w:beforeAutospacing="1" w:afterAutospacing="1" w:line="360" w:lineRule="auto"/>
        <w:jc w:val="both"/>
      </w:pPr>
      <w:r w:rsidRPr="004550F5">
        <w:rPr>
          <w:vertAlign w:val="superscript"/>
        </w:rPr>
        <w:t>3</w:t>
      </w:r>
      <w:r w:rsidRPr="004550F5">
        <w:t xml:space="preserve">Department of Paediatric Oncology, </w:t>
      </w:r>
      <w:r w:rsidR="0012027C">
        <w:t>Box 181, Cambridge University Hospitals NHS Foundation Trust, Cambridge Biomedical Campus</w:t>
      </w:r>
      <w:r w:rsidRPr="004550F5">
        <w:t xml:space="preserve">, </w:t>
      </w:r>
      <w:r w:rsidR="0012027C">
        <w:t xml:space="preserve">Hills Road, </w:t>
      </w:r>
      <w:r w:rsidRPr="004550F5">
        <w:t>Cambridge CB2 0QQ, UK</w:t>
      </w:r>
    </w:p>
    <w:p w14:paraId="15277BAA" w14:textId="77777777" w:rsidR="00D30528" w:rsidRPr="004550F5" w:rsidRDefault="005033EF" w:rsidP="00ED49F1">
      <w:pPr>
        <w:spacing w:beforeAutospacing="1" w:afterAutospacing="1" w:line="360" w:lineRule="auto"/>
        <w:jc w:val="both"/>
      </w:pPr>
      <w:r w:rsidRPr="004550F5">
        <w:rPr>
          <w:rStyle w:val="InternetLink"/>
          <w:color w:val="auto"/>
          <w:u w:val="none"/>
          <w:vertAlign w:val="superscript"/>
        </w:rPr>
        <w:t>4</w:t>
      </w:r>
      <w:r w:rsidRPr="004550F5">
        <w:rPr>
          <w:lang w:val="en-US"/>
        </w:rPr>
        <w:t xml:space="preserve">Experimental Therapeutics </w:t>
      </w:r>
      <w:proofErr w:type="spellStart"/>
      <w:r w:rsidRPr="004550F5">
        <w:rPr>
          <w:lang w:val="en-US"/>
        </w:rPr>
        <w:t>Programme</w:t>
      </w:r>
      <w:proofErr w:type="spellEnd"/>
      <w:r w:rsidRPr="004550F5">
        <w:rPr>
          <w:lang w:val="en-US"/>
        </w:rPr>
        <w:t>, Spanish National Cancer Research Centre (CNIO),</w:t>
      </w:r>
      <w:r w:rsidRPr="004550F5">
        <w:t xml:space="preserve"> </w:t>
      </w:r>
      <w:r w:rsidRPr="004550F5">
        <w:rPr>
          <w:lang w:val="en-US"/>
        </w:rPr>
        <w:t>Madrid, Spain</w:t>
      </w:r>
    </w:p>
    <w:p w14:paraId="26BFEA52" w14:textId="24CEB7E7" w:rsidR="00D30528" w:rsidRPr="00F17165" w:rsidRDefault="005033EF" w:rsidP="00ED49F1">
      <w:pPr>
        <w:spacing w:beforeAutospacing="1" w:afterAutospacing="1" w:line="360" w:lineRule="auto"/>
        <w:jc w:val="both"/>
        <w:rPr>
          <w:color w:val="000000" w:themeColor="text1"/>
        </w:rPr>
      </w:pPr>
      <w:r w:rsidRPr="00F17165">
        <w:rPr>
          <w:color w:val="000000" w:themeColor="text1"/>
          <w:vertAlign w:val="superscript"/>
          <w:lang w:val="en-US"/>
        </w:rPr>
        <w:t>5</w:t>
      </w:r>
      <w:r w:rsidRPr="00F17165">
        <w:rPr>
          <w:color w:val="000000" w:themeColor="text1"/>
          <w:lang w:val="en-US"/>
        </w:rPr>
        <w:t xml:space="preserve">Department of </w:t>
      </w:r>
      <w:r w:rsidR="004550F5" w:rsidRPr="00F17165">
        <w:rPr>
          <w:color w:val="000000" w:themeColor="text1"/>
        </w:rPr>
        <w:t xml:space="preserve">Experimental </w:t>
      </w:r>
      <w:r w:rsidRPr="00F17165">
        <w:rPr>
          <w:color w:val="000000" w:themeColor="text1"/>
          <w:lang w:val="en-US"/>
        </w:rPr>
        <w:t>Pathology</w:t>
      </w:r>
      <w:r w:rsidR="004550F5" w:rsidRPr="00F17165">
        <w:rPr>
          <w:color w:val="000000" w:themeColor="text1"/>
          <w:lang w:val="en-US"/>
        </w:rPr>
        <w:t xml:space="preserve"> </w:t>
      </w:r>
      <w:r w:rsidR="004550F5" w:rsidRPr="00F17165">
        <w:rPr>
          <w:color w:val="000000" w:themeColor="text1"/>
        </w:rPr>
        <w:t>and Laboratory Animal Pathology</w:t>
      </w:r>
      <w:r w:rsidRPr="00F17165">
        <w:rPr>
          <w:color w:val="000000" w:themeColor="text1"/>
          <w:lang w:val="en-US"/>
        </w:rPr>
        <w:t xml:space="preserve">, </w:t>
      </w:r>
      <w:r w:rsidR="004550F5" w:rsidRPr="00F17165">
        <w:rPr>
          <w:color w:val="000000" w:themeColor="text1"/>
        </w:rPr>
        <w:t xml:space="preserve">Institute of Clinical Pathology, </w:t>
      </w:r>
      <w:r w:rsidRPr="00F17165">
        <w:rPr>
          <w:color w:val="000000" w:themeColor="text1"/>
          <w:lang w:val="en-US"/>
        </w:rPr>
        <w:t xml:space="preserve">Medical University of Vienna, </w:t>
      </w:r>
      <w:proofErr w:type="spellStart"/>
      <w:r w:rsidR="0012027C">
        <w:rPr>
          <w:color w:val="000000" w:themeColor="text1"/>
          <w:lang w:val="en-US"/>
        </w:rPr>
        <w:t>W</w:t>
      </w:r>
      <w:r w:rsidR="00870957">
        <w:rPr>
          <w:rFonts w:cs="Arial"/>
          <w:color w:val="000000" w:themeColor="text1"/>
          <w:lang w:val="en-US"/>
        </w:rPr>
        <w:t>ä</w:t>
      </w:r>
      <w:r w:rsidR="0012027C">
        <w:rPr>
          <w:color w:val="000000" w:themeColor="text1"/>
          <w:lang w:val="en-US"/>
        </w:rPr>
        <w:t>hringer</w:t>
      </w:r>
      <w:proofErr w:type="spellEnd"/>
      <w:r w:rsidR="0012027C">
        <w:rPr>
          <w:color w:val="000000" w:themeColor="text1"/>
          <w:lang w:val="en-US"/>
        </w:rPr>
        <w:t xml:space="preserve"> </w:t>
      </w:r>
      <w:proofErr w:type="spellStart"/>
      <w:r w:rsidR="0012027C">
        <w:rPr>
          <w:color w:val="000000" w:themeColor="text1"/>
          <w:lang w:val="en-US"/>
        </w:rPr>
        <w:t>G</w:t>
      </w:r>
      <w:r w:rsidR="00870957">
        <w:rPr>
          <w:rFonts w:cs="Arial"/>
          <w:color w:val="000000" w:themeColor="text1"/>
          <w:lang w:val="en-US"/>
        </w:rPr>
        <w:t>ü</w:t>
      </w:r>
      <w:r w:rsidR="0012027C">
        <w:rPr>
          <w:color w:val="000000" w:themeColor="text1"/>
          <w:lang w:val="en-US"/>
        </w:rPr>
        <w:t>rtel</w:t>
      </w:r>
      <w:proofErr w:type="spellEnd"/>
      <w:r w:rsidR="0012027C">
        <w:rPr>
          <w:color w:val="000000" w:themeColor="text1"/>
          <w:lang w:val="en-US"/>
        </w:rPr>
        <w:t xml:space="preserve"> 18-20, </w:t>
      </w:r>
      <w:r w:rsidRPr="00F17165">
        <w:rPr>
          <w:color w:val="000000" w:themeColor="text1"/>
          <w:lang w:val="en-US"/>
        </w:rPr>
        <w:t>Vienna</w:t>
      </w:r>
      <w:r w:rsidR="004550F5" w:rsidRPr="00F17165">
        <w:rPr>
          <w:color w:val="000000" w:themeColor="text1"/>
          <w:lang w:val="en-US"/>
        </w:rPr>
        <w:t xml:space="preserve"> 1090</w:t>
      </w:r>
      <w:r w:rsidRPr="00F17165">
        <w:rPr>
          <w:color w:val="000000" w:themeColor="text1"/>
          <w:lang w:val="en-US"/>
        </w:rPr>
        <w:t>, Austria</w:t>
      </w:r>
    </w:p>
    <w:p w14:paraId="61E86969" w14:textId="456AAD17" w:rsidR="004550F5" w:rsidRPr="00F17165" w:rsidRDefault="005033EF" w:rsidP="004550F5">
      <w:pPr>
        <w:spacing w:beforeAutospacing="1" w:afterAutospacing="1" w:line="360" w:lineRule="auto"/>
        <w:jc w:val="both"/>
        <w:rPr>
          <w:color w:val="000000" w:themeColor="text1"/>
        </w:rPr>
      </w:pPr>
      <w:r w:rsidRPr="00F17165">
        <w:rPr>
          <w:color w:val="000000" w:themeColor="text1"/>
          <w:vertAlign w:val="superscript"/>
          <w:lang w:val="en-US"/>
        </w:rPr>
        <w:t>6</w:t>
      </w:r>
      <w:r w:rsidRPr="00F17165">
        <w:rPr>
          <w:color w:val="000000" w:themeColor="text1"/>
          <w:lang w:val="en-US"/>
        </w:rPr>
        <w:t xml:space="preserve">Unit of Laboratory Animal Pathology, University of Veterinary Medicine Vienna, </w:t>
      </w:r>
      <w:proofErr w:type="spellStart"/>
      <w:r w:rsidR="0012027C">
        <w:rPr>
          <w:color w:val="000000" w:themeColor="text1"/>
          <w:lang w:val="en-US"/>
        </w:rPr>
        <w:t>Veterin</w:t>
      </w:r>
      <w:r w:rsidR="00870957">
        <w:rPr>
          <w:rFonts w:cs="Arial"/>
          <w:color w:val="000000" w:themeColor="text1"/>
          <w:lang w:val="en-US"/>
        </w:rPr>
        <w:t>ä</w:t>
      </w:r>
      <w:r w:rsidR="0012027C">
        <w:rPr>
          <w:color w:val="000000" w:themeColor="text1"/>
          <w:lang w:val="en-US"/>
        </w:rPr>
        <w:t>rplatz</w:t>
      </w:r>
      <w:proofErr w:type="spellEnd"/>
      <w:r w:rsidR="0012027C">
        <w:rPr>
          <w:color w:val="000000" w:themeColor="text1"/>
          <w:lang w:val="en-US"/>
        </w:rPr>
        <w:t xml:space="preserve"> 1, </w:t>
      </w:r>
      <w:r w:rsidRPr="00F17165">
        <w:rPr>
          <w:color w:val="000000" w:themeColor="text1"/>
          <w:lang w:val="en-US"/>
        </w:rPr>
        <w:t>Vienna</w:t>
      </w:r>
      <w:r w:rsidR="0012027C">
        <w:rPr>
          <w:color w:val="000000" w:themeColor="text1"/>
          <w:lang w:val="en-US"/>
        </w:rPr>
        <w:t xml:space="preserve"> 1210</w:t>
      </w:r>
      <w:r w:rsidRPr="00F17165">
        <w:rPr>
          <w:color w:val="000000" w:themeColor="text1"/>
          <w:lang w:val="en-US"/>
        </w:rPr>
        <w:t>, Austria</w:t>
      </w:r>
    </w:p>
    <w:p w14:paraId="4D44DF65" w14:textId="2341CF92" w:rsidR="00FF3978" w:rsidRPr="00F17165" w:rsidRDefault="00FF3978" w:rsidP="00FF3978">
      <w:pPr>
        <w:spacing w:beforeAutospacing="1" w:afterAutospacing="1" w:line="360" w:lineRule="auto"/>
        <w:jc w:val="both"/>
        <w:rPr>
          <w:color w:val="000000" w:themeColor="text1"/>
        </w:rPr>
      </w:pPr>
      <w:r>
        <w:rPr>
          <w:color w:val="000000" w:themeColor="text1"/>
          <w:vertAlign w:val="superscript"/>
        </w:rPr>
        <w:t>7</w:t>
      </w:r>
      <w:r w:rsidRPr="00F17165">
        <w:rPr>
          <w:color w:val="000000" w:themeColor="text1"/>
        </w:rPr>
        <w:t xml:space="preserve">Laboratory of Cancer Biology and Genetics, </w:t>
      </w:r>
      <w:proofErr w:type="spellStart"/>
      <w:r w:rsidRPr="00F17165">
        <w:rPr>
          <w:color w:val="000000" w:themeColor="text1"/>
        </w:rPr>
        <w:t>Center</w:t>
      </w:r>
      <w:proofErr w:type="spellEnd"/>
      <w:r w:rsidRPr="00F17165">
        <w:rPr>
          <w:color w:val="000000" w:themeColor="text1"/>
        </w:rPr>
        <w:t xml:space="preserve"> for Cancer Research, National Cancer Institute, National Institutes of Health, Bethesda, MD 20814, USA</w:t>
      </w:r>
    </w:p>
    <w:p w14:paraId="608A876D" w14:textId="64B7A1C3" w:rsidR="00D30528" w:rsidRPr="00F17165" w:rsidRDefault="00FF3978" w:rsidP="00ED49F1">
      <w:pPr>
        <w:spacing w:beforeAutospacing="1" w:afterAutospacing="1" w:line="360" w:lineRule="auto"/>
        <w:jc w:val="both"/>
        <w:rPr>
          <w:color w:val="000000" w:themeColor="text1"/>
          <w:lang w:val="en-US"/>
        </w:rPr>
      </w:pPr>
      <w:r>
        <w:rPr>
          <w:color w:val="000000" w:themeColor="text1"/>
          <w:vertAlign w:val="superscript"/>
          <w:lang w:val="en-US"/>
        </w:rPr>
        <w:t>8</w:t>
      </w:r>
      <w:r w:rsidR="004550F5" w:rsidRPr="00F17165">
        <w:rPr>
          <w:color w:val="000000" w:themeColor="text1"/>
          <w:lang w:val="en-US"/>
        </w:rPr>
        <w:t xml:space="preserve">Christian Doppler Laboratory for Applied Metabolomics (CDL-AM), </w:t>
      </w:r>
      <w:proofErr w:type="spellStart"/>
      <w:r w:rsidR="0012027C">
        <w:rPr>
          <w:color w:val="000000" w:themeColor="text1"/>
          <w:lang w:val="en-US"/>
        </w:rPr>
        <w:t>Boltzmanngasse</w:t>
      </w:r>
      <w:proofErr w:type="spellEnd"/>
      <w:r w:rsidR="0012027C">
        <w:rPr>
          <w:color w:val="000000" w:themeColor="text1"/>
          <w:lang w:val="en-US"/>
        </w:rPr>
        <w:t xml:space="preserve"> 20, </w:t>
      </w:r>
      <w:r w:rsidR="004550F5" w:rsidRPr="00F17165">
        <w:rPr>
          <w:color w:val="000000" w:themeColor="text1"/>
          <w:lang w:val="en-US"/>
        </w:rPr>
        <w:t>Medical University of Vienna, Vienna</w:t>
      </w:r>
      <w:r w:rsidR="0012027C">
        <w:rPr>
          <w:color w:val="000000" w:themeColor="text1"/>
          <w:lang w:val="en-US"/>
        </w:rPr>
        <w:t xml:space="preserve"> 1090</w:t>
      </w:r>
      <w:r w:rsidR="004550F5" w:rsidRPr="00F17165">
        <w:rPr>
          <w:color w:val="000000" w:themeColor="text1"/>
          <w:lang w:val="en-US"/>
        </w:rPr>
        <w:t>, Austria</w:t>
      </w:r>
    </w:p>
    <w:p w14:paraId="1E37FB6B" w14:textId="308AC676" w:rsidR="00C830A4" w:rsidRPr="00F17165" w:rsidRDefault="00CE70BF" w:rsidP="00ED49F1">
      <w:pPr>
        <w:spacing w:before="100" w:beforeAutospacing="1" w:after="100" w:afterAutospacing="1" w:line="360" w:lineRule="auto"/>
        <w:jc w:val="both"/>
        <w:rPr>
          <w:rStyle w:val="InternetLink"/>
          <w:color w:val="000000" w:themeColor="text1"/>
          <w:u w:val="none"/>
        </w:rPr>
      </w:pPr>
      <w:r w:rsidRPr="00F17165">
        <w:rPr>
          <w:color w:val="000000" w:themeColor="text1"/>
          <w:vertAlign w:val="superscript"/>
        </w:rPr>
        <w:t>9</w:t>
      </w:r>
      <w:r w:rsidR="00FF3978">
        <w:rPr>
          <w:color w:val="000000" w:themeColor="text1"/>
          <w:vertAlign w:val="superscript"/>
        </w:rPr>
        <w:t>,10</w:t>
      </w:r>
      <w:r w:rsidR="00C830A4" w:rsidRPr="00F17165">
        <w:rPr>
          <w:color w:val="000000" w:themeColor="text1"/>
        </w:rPr>
        <w:t>These authors contributed equally.</w:t>
      </w:r>
    </w:p>
    <w:p w14:paraId="32B1CDC5" w14:textId="0DE202ED" w:rsidR="00EB12E0" w:rsidRPr="00F17165" w:rsidRDefault="00EB12E0" w:rsidP="00ED49F1">
      <w:pPr>
        <w:spacing w:line="360" w:lineRule="auto"/>
        <w:jc w:val="both"/>
        <w:rPr>
          <w:color w:val="000000" w:themeColor="text1"/>
        </w:rPr>
      </w:pPr>
      <w:r w:rsidRPr="00F17165">
        <w:rPr>
          <w:color w:val="000000" w:themeColor="text1"/>
          <w:vertAlign w:val="superscript"/>
        </w:rPr>
        <w:t>#</w:t>
      </w:r>
      <w:r w:rsidRPr="00F17165">
        <w:rPr>
          <w:color w:val="000000" w:themeColor="text1"/>
        </w:rPr>
        <w:t xml:space="preserve">current address: </w:t>
      </w:r>
      <w:r w:rsidR="00793F59" w:rsidRPr="00F17165">
        <w:rPr>
          <w:color w:val="000000" w:themeColor="text1"/>
        </w:rPr>
        <w:t xml:space="preserve">Functional Genomics, </w:t>
      </w:r>
      <w:r w:rsidR="00E6105D" w:rsidRPr="00F17165">
        <w:rPr>
          <w:rFonts w:cs="Arial"/>
          <w:color w:val="000000" w:themeColor="text1"/>
          <w:szCs w:val="22"/>
        </w:rPr>
        <w:t xml:space="preserve">Medicinal Science &amp; Technology, </w:t>
      </w:r>
      <w:r w:rsidRPr="00F17165">
        <w:rPr>
          <w:color w:val="000000" w:themeColor="text1"/>
        </w:rPr>
        <w:t>GlaxoSmithKline, Stevenage SG1 2NY, UK</w:t>
      </w:r>
    </w:p>
    <w:p w14:paraId="1831690E" w14:textId="77777777" w:rsidR="00D30528" w:rsidRPr="00F17165" w:rsidRDefault="005033EF" w:rsidP="00ED49F1">
      <w:pPr>
        <w:spacing w:line="360" w:lineRule="auto"/>
        <w:jc w:val="both"/>
        <w:rPr>
          <w:color w:val="000000" w:themeColor="text1"/>
        </w:rPr>
      </w:pPr>
      <w:r w:rsidRPr="00F17165">
        <w:rPr>
          <w:rStyle w:val="InternetLink"/>
          <w:color w:val="000000" w:themeColor="text1"/>
          <w:u w:val="none"/>
          <w:vertAlign w:val="superscript"/>
        </w:rPr>
        <w:t>^</w:t>
      </w:r>
      <w:r w:rsidRPr="00F17165">
        <w:rPr>
          <w:rStyle w:val="InternetLink"/>
          <w:color w:val="000000" w:themeColor="text1"/>
          <w:u w:val="none"/>
        </w:rPr>
        <w:t xml:space="preserve">current address: Amgen, </w:t>
      </w:r>
      <w:r w:rsidRPr="00F17165">
        <w:rPr>
          <w:color w:val="000000" w:themeColor="text1"/>
        </w:rPr>
        <w:t>Thousand Oaks, CA 91320, USA</w:t>
      </w:r>
    </w:p>
    <w:p w14:paraId="3A980AF7" w14:textId="7145B5D7" w:rsidR="00D30528" w:rsidRPr="00F17165" w:rsidRDefault="005033EF" w:rsidP="00ED49F1">
      <w:pPr>
        <w:spacing w:line="360" w:lineRule="auto"/>
        <w:jc w:val="both"/>
        <w:rPr>
          <w:rStyle w:val="InternetLink"/>
          <w:color w:val="000000" w:themeColor="text1"/>
          <w:u w:val="none"/>
        </w:rPr>
      </w:pPr>
      <w:r w:rsidRPr="00F17165">
        <w:rPr>
          <w:color w:val="000000" w:themeColor="text1"/>
          <w:vertAlign w:val="superscript"/>
        </w:rPr>
        <w:t>+</w:t>
      </w:r>
      <w:r w:rsidRPr="00F17165">
        <w:rPr>
          <w:color w:val="000000" w:themeColor="text1"/>
        </w:rPr>
        <w:t xml:space="preserve">current address: </w:t>
      </w:r>
      <w:proofErr w:type="spellStart"/>
      <w:r w:rsidRPr="00F17165">
        <w:rPr>
          <w:rStyle w:val="InternetLink"/>
          <w:color w:val="000000" w:themeColor="text1"/>
          <w:u w:val="none"/>
        </w:rPr>
        <w:t>OncoSec</w:t>
      </w:r>
      <w:proofErr w:type="spellEnd"/>
      <w:r w:rsidRPr="00F17165">
        <w:rPr>
          <w:rStyle w:val="InternetLink"/>
          <w:color w:val="000000" w:themeColor="text1"/>
          <w:u w:val="none"/>
        </w:rPr>
        <w:t>, San Diego, CA 92121, USA</w:t>
      </w:r>
    </w:p>
    <w:p w14:paraId="679BA826" w14:textId="024FC3CA" w:rsidR="001365AD" w:rsidRPr="00F17165" w:rsidRDefault="005033EF" w:rsidP="00ED49F1">
      <w:pPr>
        <w:spacing w:line="360" w:lineRule="auto"/>
        <w:jc w:val="both"/>
        <w:rPr>
          <w:color w:val="000000" w:themeColor="text1"/>
          <w:sz w:val="22"/>
        </w:rPr>
      </w:pPr>
      <w:r w:rsidRPr="00F17165">
        <w:rPr>
          <w:color w:val="000000" w:themeColor="text1"/>
        </w:rPr>
        <w:t>*</w:t>
      </w:r>
      <w:r w:rsidR="00EB12E0" w:rsidRPr="00F17165">
        <w:rPr>
          <w:color w:val="000000" w:themeColor="text1"/>
        </w:rPr>
        <w:t>Correspondence</w:t>
      </w:r>
      <w:r w:rsidR="002B5A58" w:rsidRPr="00F17165">
        <w:rPr>
          <w:color w:val="000000" w:themeColor="text1"/>
        </w:rPr>
        <w:t xml:space="preserve"> and requests for</w:t>
      </w:r>
      <w:r w:rsidR="002B5A58" w:rsidRPr="00F17165">
        <w:rPr>
          <w:rFonts w:cs="Arial"/>
          <w:color w:val="000000" w:themeColor="text1"/>
          <w:szCs w:val="22"/>
        </w:rPr>
        <w:t xml:space="preserve"> </w:t>
      </w:r>
      <w:r w:rsidR="007B77F5" w:rsidRPr="00F17165">
        <w:rPr>
          <w:rFonts w:cs="Arial"/>
          <w:color w:val="000000" w:themeColor="text1"/>
          <w:szCs w:val="22"/>
        </w:rPr>
        <w:t>reagents and biological</w:t>
      </w:r>
      <w:r w:rsidR="007B77F5" w:rsidRPr="00F17165">
        <w:rPr>
          <w:color w:val="000000" w:themeColor="text1"/>
        </w:rPr>
        <w:t xml:space="preserve"> </w:t>
      </w:r>
      <w:r w:rsidR="002B5A58" w:rsidRPr="00F17165">
        <w:rPr>
          <w:color w:val="000000" w:themeColor="text1"/>
        </w:rPr>
        <w:t>materials should be addressed to SDT (</w:t>
      </w:r>
      <w:r w:rsidR="00EB12E0" w:rsidRPr="00F17165">
        <w:rPr>
          <w:color w:val="000000" w:themeColor="text1"/>
        </w:rPr>
        <w:t>e</w:t>
      </w:r>
      <w:r w:rsidR="002B5A58" w:rsidRPr="00F17165">
        <w:rPr>
          <w:color w:val="000000" w:themeColor="text1"/>
        </w:rPr>
        <w:t>mail: sdt36@cam.ac.uk)</w:t>
      </w:r>
      <w:r w:rsidR="001365AD" w:rsidRPr="00F17165">
        <w:rPr>
          <w:color w:val="000000" w:themeColor="text1"/>
          <w:sz w:val="22"/>
        </w:rPr>
        <w:br w:type="page"/>
      </w:r>
    </w:p>
    <w:p w14:paraId="49B46B26" w14:textId="56D080F1" w:rsidR="00D30528" w:rsidRPr="00B8416B" w:rsidRDefault="002B5A58" w:rsidP="00ED49F1">
      <w:pPr>
        <w:pStyle w:val="Style1"/>
        <w:rPr>
          <w:color w:val="FF0000"/>
        </w:rPr>
      </w:pPr>
      <w:r w:rsidRPr="00B8416B">
        <w:lastRenderedPageBreak/>
        <w:t xml:space="preserve">Abstract </w:t>
      </w:r>
    </w:p>
    <w:p w14:paraId="1825BE5A" w14:textId="55BAE099" w:rsidR="00CE70BF" w:rsidRPr="005235DF" w:rsidRDefault="006E7ED1" w:rsidP="005235DF">
      <w:pPr>
        <w:spacing w:line="360" w:lineRule="auto"/>
        <w:jc w:val="both"/>
        <w:rPr>
          <w:color w:val="000000" w:themeColor="text1"/>
          <w:sz w:val="22"/>
        </w:rPr>
      </w:pPr>
      <w:r w:rsidRPr="00F17165">
        <w:rPr>
          <w:color w:val="000000" w:themeColor="text1"/>
          <w:sz w:val="22"/>
        </w:rPr>
        <w:t>Resistance to anaplastic lymphoma kinase (ALK)-targeted therapy in ALK</w:t>
      </w:r>
      <w:r w:rsidR="00FF02A4" w:rsidRPr="00F17165">
        <w:rPr>
          <w:color w:val="000000" w:themeColor="text1"/>
          <w:sz w:val="22"/>
        </w:rPr>
        <w:t>-positive</w:t>
      </w:r>
      <w:r w:rsidRPr="00F17165">
        <w:rPr>
          <w:color w:val="000000" w:themeColor="text1"/>
          <w:sz w:val="22"/>
        </w:rPr>
        <w:t xml:space="preserve"> non-small cell lung cancer has been reported, with the majority of acquired resistance mechanisms relying on bypass </w:t>
      </w:r>
      <w:proofErr w:type="spellStart"/>
      <w:r w:rsidRPr="00F17165">
        <w:rPr>
          <w:color w:val="000000" w:themeColor="text1"/>
          <w:sz w:val="22"/>
        </w:rPr>
        <w:t>signaling</w:t>
      </w:r>
      <w:proofErr w:type="spellEnd"/>
      <w:r w:rsidRPr="00F17165">
        <w:rPr>
          <w:color w:val="000000" w:themeColor="text1"/>
          <w:sz w:val="22"/>
        </w:rPr>
        <w:t xml:space="preserve">. To proactively identify resistance mechanisms in ALK-positive neuroblastoma (NB), </w:t>
      </w:r>
      <w:r w:rsidR="00BF1064">
        <w:rPr>
          <w:color w:val="000000" w:themeColor="text1"/>
          <w:sz w:val="22"/>
        </w:rPr>
        <w:t xml:space="preserve">we herein employ </w:t>
      </w:r>
      <w:r w:rsidRPr="00F17165">
        <w:rPr>
          <w:color w:val="000000" w:themeColor="text1"/>
          <w:sz w:val="22"/>
        </w:rPr>
        <w:t>genome-wide CRISPR</w:t>
      </w:r>
      <w:r w:rsidR="00070B85">
        <w:rPr>
          <w:color w:val="000000" w:themeColor="text1"/>
          <w:sz w:val="22"/>
        </w:rPr>
        <w:t xml:space="preserve"> </w:t>
      </w:r>
      <w:r w:rsidR="00656EAF">
        <w:rPr>
          <w:color w:val="000000" w:themeColor="text1"/>
          <w:sz w:val="22"/>
        </w:rPr>
        <w:t xml:space="preserve">activation </w:t>
      </w:r>
      <w:r w:rsidRPr="00F17165">
        <w:rPr>
          <w:color w:val="000000" w:themeColor="text1"/>
          <w:sz w:val="22"/>
        </w:rPr>
        <w:t xml:space="preserve">screens of NB </w:t>
      </w:r>
      <w:r w:rsidR="00656EAF">
        <w:rPr>
          <w:color w:val="000000" w:themeColor="text1"/>
          <w:sz w:val="22"/>
        </w:rPr>
        <w:t xml:space="preserve">cell lines </w:t>
      </w:r>
      <w:r w:rsidRPr="00F17165">
        <w:rPr>
          <w:color w:val="000000" w:themeColor="text1"/>
          <w:sz w:val="22"/>
        </w:rPr>
        <w:t xml:space="preserve">treated with </w:t>
      </w:r>
      <w:proofErr w:type="spellStart"/>
      <w:r w:rsidRPr="00F17165">
        <w:rPr>
          <w:color w:val="000000" w:themeColor="text1"/>
          <w:sz w:val="22"/>
        </w:rPr>
        <w:t>brigatinib</w:t>
      </w:r>
      <w:proofErr w:type="spellEnd"/>
      <w:r w:rsidRPr="00F17165">
        <w:rPr>
          <w:color w:val="000000" w:themeColor="text1"/>
          <w:sz w:val="22"/>
        </w:rPr>
        <w:t xml:space="preserve"> or </w:t>
      </w:r>
      <w:proofErr w:type="spellStart"/>
      <w:r w:rsidRPr="00F17165">
        <w:rPr>
          <w:color w:val="000000" w:themeColor="text1"/>
          <w:sz w:val="22"/>
        </w:rPr>
        <w:t>ceritinib</w:t>
      </w:r>
      <w:proofErr w:type="spellEnd"/>
      <w:r w:rsidRPr="00F17165">
        <w:rPr>
          <w:color w:val="000000" w:themeColor="text1"/>
          <w:sz w:val="22"/>
        </w:rPr>
        <w:t xml:space="preserve">, identifying </w:t>
      </w:r>
      <w:r w:rsidRPr="00F17165">
        <w:rPr>
          <w:i/>
          <w:color w:val="000000" w:themeColor="text1"/>
          <w:sz w:val="22"/>
        </w:rPr>
        <w:t>PIM1</w:t>
      </w:r>
      <w:r w:rsidRPr="00F17165">
        <w:rPr>
          <w:color w:val="000000" w:themeColor="text1"/>
          <w:sz w:val="22"/>
        </w:rPr>
        <w:t xml:space="preserve"> as a putative resistance gene, whose high expression is associated with high-risk disease and poor survival. Knockdown of </w:t>
      </w:r>
      <w:r w:rsidRPr="00F17165">
        <w:rPr>
          <w:i/>
          <w:color w:val="000000" w:themeColor="text1"/>
          <w:sz w:val="22"/>
        </w:rPr>
        <w:t>PIM1</w:t>
      </w:r>
      <w:r w:rsidRPr="00F17165">
        <w:rPr>
          <w:color w:val="000000" w:themeColor="text1"/>
          <w:sz w:val="22"/>
        </w:rPr>
        <w:t xml:space="preserve"> sensitize</w:t>
      </w:r>
      <w:r w:rsidR="00BF1064">
        <w:rPr>
          <w:color w:val="000000" w:themeColor="text1"/>
          <w:sz w:val="22"/>
        </w:rPr>
        <w:t>s</w:t>
      </w:r>
      <w:r w:rsidRPr="00F17165">
        <w:rPr>
          <w:color w:val="000000" w:themeColor="text1"/>
          <w:sz w:val="22"/>
        </w:rPr>
        <w:t xml:space="preserve"> cells of differing </w:t>
      </w:r>
      <w:r w:rsidRPr="00F17165">
        <w:rPr>
          <w:i/>
          <w:color w:val="000000" w:themeColor="text1"/>
          <w:sz w:val="22"/>
        </w:rPr>
        <w:t>MYCN</w:t>
      </w:r>
      <w:r w:rsidRPr="00F17165">
        <w:rPr>
          <w:color w:val="000000" w:themeColor="text1"/>
          <w:sz w:val="22"/>
        </w:rPr>
        <w:t xml:space="preserve"> status to ALK inhibitors, and in patient-derived xenografts of high-risk NB </w:t>
      </w:r>
      <w:proofErr w:type="spellStart"/>
      <w:r w:rsidRPr="00F17165">
        <w:rPr>
          <w:color w:val="000000" w:themeColor="text1"/>
          <w:sz w:val="22"/>
        </w:rPr>
        <w:t>harboring</w:t>
      </w:r>
      <w:proofErr w:type="spellEnd"/>
      <w:r w:rsidRPr="00F17165">
        <w:rPr>
          <w:color w:val="000000" w:themeColor="text1"/>
          <w:sz w:val="22"/>
        </w:rPr>
        <w:t xml:space="preserve"> ALK mutations, the combination of the ALK inhibitor </w:t>
      </w:r>
      <w:proofErr w:type="spellStart"/>
      <w:r w:rsidRPr="00F17165">
        <w:rPr>
          <w:color w:val="000000" w:themeColor="text1"/>
          <w:sz w:val="22"/>
        </w:rPr>
        <w:t>ceritinib</w:t>
      </w:r>
      <w:proofErr w:type="spellEnd"/>
      <w:r w:rsidRPr="00F17165">
        <w:rPr>
          <w:color w:val="000000" w:themeColor="text1"/>
          <w:sz w:val="22"/>
        </w:rPr>
        <w:t xml:space="preserve"> and PIM1 inhibitor AZD1208 show</w:t>
      </w:r>
      <w:r w:rsidR="00BF1064">
        <w:rPr>
          <w:color w:val="000000" w:themeColor="text1"/>
          <w:sz w:val="22"/>
        </w:rPr>
        <w:t>s</w:t>
      </w:r>
      <w:r w:rsidRPr="00F17165">
        <w:rPr>
          <w:color w:val="000000" w:themeColor="text1"/>
          <w:sz w:val="22"/>
        </w:rPr>
        <w:t xml:space="preserve"> significantly enhanced anti-</w:t>
      </w:r>
      <w:proofErr w:type="spellStart"/>
      <w:r w:rsidRPr="00F17165">
        <w:rPr>
          <w:color w:val="000000" w:themeColor="text1"/>
          <w:sz w:val="22"/>
        </w:rPr>
        <w:t>tumor</w:t>
      </w:r>
      <w:proofErr w:type="spellEnd"/>
      <w:r w:rsidRPr="00F17165">
        <w:rPr>
          <w:color w:val="000000" w:themeColor="text1"/>
          <w:sz w:val="22"/>
        </w:rPr>
        <w:t xml:space="preserve"> efficacy relative to single agents. These data confirm that </w:t>
      </w:r>
      <w:r w:rsidRPr="00F17165">
        <w:rPr>
          <w:i/>
          <w:color w:val="000000" w:themeColor="text1"/>
          <w:sz w:val="22"/>
        </w:rPr>
        <w:t>PIM1</w:t>
      </w:r>
      <w:r w:rsidRPr="00F17165">
        <w:rPr>
          <w:color w:val="000000" w:themeColor="text1"/>
          <w:sz w:val="22"/>
        </w:rPr>
        <w:t xml:space="preserve"> overexpression decreases sensitivity to ALK inhibitors in NB, and suggests that combined front-line inhibition of ALK and PIM1 is a viable strategy for the treatment of ALK-positive NB </w:t>
      </w:r>
      <w:r w:rsidR="007E5AA8">
        <w:rPr>
          <w:color w:val="000000" w:themeColor="text1"/>
          <w:sz w:val="22"/>
        </w:rPr>
        <w:t xml:space="preserve">independent </w:t>
      </w:r>
      <w:r w:rsidRPr="00F17165">
        <w:rPr>
          <w:color w:val="000000" w:themeColor="text1"/>
          <w:sz w:val="22"/>
        </w:rPr>
        <w:t xml:space="preserve">of </w:t>
      </w:r>
      <w:r w:rsidRPr="00F17165">
        <w:rPr>
          <w:i/>
          <w:color w:val="000000" w:themeColor="text1"/>
          <w:sz w:val="22"/>
        </w:rPr>
        <w:t>MYCN</w:t>
      </w:r>
      <w:r w:rsidRPr="00F17165">
        <w:rPr>
          <w:color w:val="000000" w:themeColor="text1"/>
          <w:sz w:val="22"/>
        </w:rPr>
        <w:t xml:space="preserve"> status.</w:t>
      </w:r>
      <w:r w:rsidR="00CE70BF">
        <w:br w:type="page"/>
      </w:r>
    </w:p>
    <w:p w14:paraId="0D5642A4" w14:textId="3623D817" w:rsidR="00C830A4" w:rsidRPr="00E94CA9" w:rsidRDefault="005033EF" w:rsidP="00C830A4">
      <w:pPr>
        <w:pStyle w:val="Style1"/>
        <w:rPr>
          <w:rFonts w:eastAsia="Times New Roman"/>
          <w:b w:val="0"/>
        </w:rPr>
      </w:pPr>
      <w:r w:rsidRPr="00E94CA9">
        <w:lastRenderedPageBreak/>
        <w:t>I</w:t>
      </w:r>
      <w:r w:rsidR="00B37C9B" w:rsidRPr="00E94CA9">
        <w:t>ntroduction</w:t>
      </w:r>
      <w:r w:rsidR="004B1128" w:rsidRPr="00E94CA9">
        <w:t xml:space="preserve"> </w:t>
      </w:r>
    </w:p>
    <w:p w14:paraId="5FF560A0" w14:textId="76E0FF99" w:rsidR="00D30528" w:rsidRPr="00E94CA9" w:rsidRDefault="005033EF" w:rsidP="00C830A4">
      <w:pPr>
        <w:pStyle w:val="Style1"/>
      </w:pPr>
      <w:r w:rsidRPr="00E94CA9">
        <w:rPr>
          <w:b w:val="0"/>
        </w:rPr>
        <w:t xml:space="preserve">Deriving from precursor cells of the sympathetic nervous system, neuroblastoma (NB) is the most common and deadly extracranial solid </w:t>
      </w:r>
      <w:proofErr w:type="spellStart"/>
      <w:r w:rsidRPr="00E94CA9">
        <w:rPr>
          <w:b w:val="0"/>
        </w:rPr>
        <w:t>tumor</w:t>
      </w:r>
      <w:proofErr w:type="spellEnd"/>
      <w:r w:rsidRPr="00E94CA9">
        <w:rPr>
          <w:b w:val="0"/>
        </w:rPr>
        <w:t xml:space="preserve"> in children</w:t>
      </w:r>
      <w:r w:rsidR="003C3217" w:rsidRPr="00E94CA9">
        <w:rPr>
          <w:b w:val="0"/>
        </w:rPr>
        <w:fldChar w:fldCharType="begin" w:fldLock="1"/>
      </w:r>
      <w:r w:rsidR="00394C69">
        <w:rPr>
          <w:b w:val="0"/>
        </w:rPr>
        <w:instrText>ADDIN CSL_CITATION {"citationItems":[{"id":"ITEM-1","itemData":{"DOI":"10.1016/j.ejca.2006.05.008","ISBN":"0959-8049 (Print)\r0959-8049 (Linking)","PMID":"16919772","abstract":"The Automated Childhood Cancer Information System (ACCIS) collects and presents data on childhood cancer in Europe. This report describes trends (1978-1997) and geographical differences (1988-1997) in incidence and survival for 6202 children with neuroblastoma from 59 registries in 19 countries, grouped into five regions (British Isles, West, East, North, and South). The age-standardised incidence rate (ASR) of neuroblastoma in Europe in 1988-1997 was 10.9 cases per million children, being highest in infants (52.6). The ASR of neuroblastoma increased in Europe from 8.4 in 1978-1982 to 11.6 in 1993-1997, mostly due to an increase in infants (from 35.4 to 57.8). Overall 5-year survival was 59%, ranging from 47% (East) to 67% (West). It improved markedly from 37% in 1978-1982 to 66% in 1993-1997, especially in infants. A certain amount of overdiagnosis in children under 2 years of age may explain the increased incidence rates and partially the increase in survival. Survival of older children (aged 2-14 years), which is likely to be largely affected by therapy, has also improved from 21% to 45%.","author":[{"dropping-particle":"","family":"Spix","given":"C","non-dropping-particle":"","parse-names":false,"suffix":""},{"dropping-particle":"","family":"Pastore","given":"G","non-dropping-particle":"","parse-names":false,"suffix":""},{"dropping-particle":"","family":"Sankila","given":"R","non-dropping-particle":"","parse-names":false,"suffix":""},{"dropping-particle":"","family":"Stiller","given":"C A","non-dropping-particle":"","parse-names":false,"suffix":""},{"dropping-particle":"","family":"Steliarova-Foucher","given":"E","non-dropping-particle":"","parse-names":false,"suffix":""}],"container-title":"European Journal of Cancer","id":"ITEM-1","issue":"13","issued":{"date-parts":[["2006"]]},"note":"Spix, Claudia\nPastore, Guido\nSankila, Risto\nStiller, Charles A\nSteliarova-Foucher, Eva\neng\nResearch Support, Non-U.S. Gov't\nEngland\n2006/08/22 09:00\nEur J Cancer. 2006 Sep;42(13):2081-91. doi: 10.1016/j.ejca.2006.05.008.","page":"2081-2091","title":"Neuroblastoma incidence and survival in European children (1978-1997): report from the Automated Childhood Cancer Information System project","type":"article-journal","volume":"42"},"uris":["http://www.mendeley.com/documents/?uuid=7bc47d28-e3d1-46c0-87e4-1545426ec723","http://www.mendeley.com/documents/?uuid=48b2f223-2101-4222-89fd-b66ba19b63ad"]},{"id":"ITEM-2","itemData":{"DOI":"10.1200/JCO.2009.27.0421","ISBN":"1527-7755 (Electronic)\r0732-183X (Linking)","PMID":"20404250","abstract":"PURPOSE: This report provides an overview of current childhood cancer statistics to facilitate analysis of the impact of past research discoveries on outcome and provide essential information for prioritizing future research directions. METHODS: Incidence and survival data for childhood cancers came from the Surveillance, Epidemiology, and End Results 9 (SEER 9) registries, and mortality data were based on deaths in the United States that were reported by states to the Centers for Disease Control and Prevention by underlying cause. RESULTS: Childhood cancer incidence rates increased significantly from 1975 through 2006, with increasing rates for acute lymphoblastic leukemia being most notable. Childhood cancer mortality rates declined by more than 50% between 1975 and 2006. For leukemias and lymphomas, significantly decreasing mortality rates were observed throughout the 32-year period, though the rate of decline slowed somewhat after 1998. For remaining childhood cancers, significantly decreasing mortality rates were observed from 1975 to 1996, with stable rates from 1996 through 2006. Increased survival rates were observed for all categories of childhood cancers studied, with the extent and temporal pace of the increases varying by diagnosis. CONCLUSION: When 1975 age-specific death rates for children are used as a baseline, approximately 38,000 childhood malignant cancer deaths were averted in the United States from 1975 through 2006 as a result of more effective treatments identified and applied during this period. Continued success in reducing childhood cancer mortality will require new treatment paradigms building on an increased understanding of the molecular processes that promote growth and survival of specific childhood cancers.","author":[{"dropping-particle":"","family":"Smith","given":"M A","non-dropping-particle":"","parse-names":false,"suffix":""},{"dropping-particle":"","family":"Seibel","given":"N L","non-dropping-particle":"","parse-names":false,"suffix":""},{"dropping-particle":"","family":"Altekruse","given":"S F","non-dropping-particle":"","parse-names":false,"suffix":""},{"dropping-particle":"","family":"Ries","given":"L A","non-dropping-particle":"","parse-names":false,"suffix":""},{"dropping-particle":"","family":"Melbert","given":"D L","non-dropping-particle":"","parse-names":false,"suffix":""},{"dropping-particle":"","family":"O'Leary","given":"M","non-dropping-particle":"","parse-names":false,"suffix":""},{"dropping-particle":"","family":"Smith","given":"F O","non-dropping-particle":"","parse-names":false,"suffix":""},{"dropping-particle":"","family":"Reaman","given":"G H","non-dropping-particle":"","parse-names":false,"suffix":""}],"container-title":"J Clin Oncol","id":"ITEM-2","issue":"15","issued":{"date-parts":[["2010"]]},"note":"Smith, Malcolm A\nSeibel, Nita L\nAltekruse, Sean F\nRies, Lynn A G\nMelbert, Danielle L\nO'Leary, Maura\nSmith, Franklin O\nReaman, Gregory H\neng\nU10 CA098543/CA/NCI NIH HHS/\nResearch Support, N.I.H., Extramural\n2010/04/21 06:00\nJ Clin Oncol. 2010 May 20;28(15):2625-34. doi: 10.1200/JCO.2009.27.0421. Epub 2010 Apr 19.","page":"2625-2634","title":"Outcomes for children and adolescents with cancer: challenges for the twenty-first century","type":"article-journal","volume":"28"},"uris":["http://www.mendeley.com/documents/?uuid=32bebf62-afc0-4fde-87b8-9dd4483900c6","http://www.mendeley.com/documents/?uuid=98d2363a-a1c4-4a21-bda7-371801323c88"]}],"mendeley":{"formattedCitation":"&lt;sup&gt;1,2&lt;/sup&gt;","plainTextFormattedCitation":"1,2","previouslyFormattedCitation":"&lt;sup&gt;1,2&lt;/sup&gt;"},"properties":{"noteIndex":0},"schema":"https://github.com/citation-style-language/schema/raw/master/csl-citation.json"}</w:instrText>
      </w:r>
      <w:r w:rsidR="003C3217" w:rsidRPr="00E94CA9">
        <w:rPr>
          <w:b w:val="0"/>
        </w:rPr>
        <w:fldChar w:fldCharType="separate"/>
      </w:r>
      <w:r w:rsidR="003C3217" w:rsidRPr="00E94CA9">
        <w:rPr>
          <w:b w:val="0"/>
          <w:noProof/>
          <w:vertAlign w:val="superscript"/>
        </w:rPr>
        <w:t>1,2</w:t>
      </w:r>
      <w:r w:rsidR="003C3217" w:rsidRPr="00E94CA9">
        <w:rPr>
          <w:b w:val="0"/>
        </w:rPr>
        <w:fldChar w:fldCharType="end"/>
      </w:r>
      <w:r w:rsidRPr="00E94CA9">
        <w:rPr>
          <w:b w:val="0"/>
        </w:rPr>
        <w:fldChar w:fldCharType="begin"/>
      </w:r>
      <w:r w:rsidRPr="00E94CA9">
        <w:rPr>
          <w:b w:val="0"/>
        </w:rPr>
        <w:instrText>ADDIN EN.CITE</w:instrText>
      </w:r>
      <w:r w:rsidRPr="00E94CA9">
        <w:rPr>
          <w:b w:val="0"/>
        </w:rPr>
        <w:fldChar w:fldCharType="end"/>
      </w:r>
      <w:r w:rsidRPr="00E94CA9">
        <w:rPr>
          <w:b w:val="0"/>
        </w:rPr>
        <w:t>. NB presents at various sites along the sympathoadrenal axis, most commonly in the adrenal medulla or paraspinal ganglia</w:t>
      </w:r>
      <w:r w:rsidR="00FC01DC" w:rsidRPr="00E94CA9">
        <w:rPr>
          <w:b w:val="0"/>
        </w:rPr>
        <w:fldChar w:fldCharType="begin" w:fldLock="1"/>
      </w:r>
      <w:r w:rsidR="00394C69">
        <w:rPr>
          <w:b w:val="0"/>
        </w:rPr>
        <w:instrText>ADDIN CSL_CITATION {"citationItems":[{"id":"ITEM-1","itemData":{"DOI":"10.1016/S0140-6736(07)60983-0","ISBN":"1474-547X (Electronic)\r0140-6736 (Linking)","PMID":"17586306","abstract":"The clinical hallmark of neuroblastoma is heterogeneity, with the likelihood of cure varying widely according to age at diagnosis, extent of disease, and tumour biology. A subset of tumours will undergo spontaneous regression while others show relentless progression. Around half of all cases are currently classified as high-risk for disease relapse, with overall survival rates less than 40% despite intensive multimodal therapy. This Seminar focuses on recent advances in our understanding of the biology of this complex paediatric solid tumour. We outline plans for the development of a uniform International Neuroblastoma Risk Group (INRG) classification system, and summarise strategies for risk-based therapies. We also update readers on new discoveries related to the underlying molecular pathogenesis of this tumour, with special emphasis on advances that are translatable to the clinic. Finally, we discuss new approaches to treatment, including recently discovered molecular targets that might provide more effective treatment strategies with the potential for less toxicity.","author":[{"dropping-particle":"","family":"Maris","given":"J M","non-dropping-particle":"","parse-names":false,"suffix":""},{"dropping-particle":"","family":"Hogarty","given":"M D","non-dropping-particle":"","parse-names":false,"suffix":""},{"dropping-particle":"","family":"Bagatell","given":"R","non-dropping-particle":"","parse-names":false,"suffix":""},{"dropping-particle":"","family":"Cohn","given":"S L","non-dropping-particle":"","parse-names":false,"suffix":""}],"container-title":"Lancet","id":"ITEM-1","issue":"9579","issued":{"date-parts":[["2007"]]},"note":"Maris, John M\nHogarty, Michael D\nBagatell, Rochelle\nCohn, Susan L\neng\nP01-CA97323/CA/NCI NIH HHS/\nP30CA60553/CA/NCI NIH HHS/\nR01-CA78545/CA/NCI NIH HHS/\nR01-CA87847/CA/NCI NIH HHS/\nR01-NS049814/NS/NINDS NIH HHS/\nU10-CA98543/CA/NCI NIH HHS/\nResearch Support, N.I.H., Extramural\nResearch Support, Non-U.S. Gov't\nReview\nEngland\n2007/06/26 09:00\nLancet. 2007 Jun 23;369(9579):2106-20. doi: 10.1016/S0140-6736(07)60983-0.","page":"2106-2120","title":"Neuroblastoma","type":"article-journal","volume":"369"},"uris":["http://www.mendeley.com/documents/?uuid=840a6041-db81-4134-a471-212e35f7cc7d","http://www.mendeley.com/documents/?uuid=20b5dd1d-7785-4da5-9d9e-1b54a6d3c6ac"]}],"mendeley":{"formattedCitation":"&lt;sup&gt;3&lt;/sup&gt;","plainTextFormattedCitation":"3","previouslyFormattedCitation":"&lt;sup&gt;3&lt;/sup&gt;"},"properties":{"noteIndex":0},"schema":"https://github.com/citation-style-language/schema/raw/master/csl-citation.json"}</w:instrText>
      </w:r>
      <w:r w:rsidR="00FC01DC" w:rsidRPr="00E94CA9">
        <w:rPr>
          <w:b w:val="0"/>
        </w:rPr>
        <w:fldChar w:fldCharType="separate"/>
      </w:r>
      <w:r w:rsidR="00FC01DC" w:rsidRPr="00E94CA9">
        <w:rPr>
          <w:b w:val="0"/>
          <w:noProof/>
          <w:vertAlign w:val="superscript"/>
        </w:rPr>
        <w:t>3</w:t>
      </w:r>
      <w:r w:rsidR="00FC01DC" w:rsidRPr="00E94CA9">
        <w:rPr>
          <w:b w:val="0"/>
        </w:rPr>
        <w:fldChar w:fldCharType="end"/>
      </w:r>
      <w:r w:rsidRPr="00E94CA9">
        <w:rPr>
          <w:b w:val="0"/>
        </w:rPr>
        <w:t>. Characterized by heterogeneous biological and clinical features ranging from spontaneous regression to aggressive treatment-resistant disease, NB is often referred to as a clinical enigma. While low- and intermediate-risk forms of NB are highly curable, over half of patients with high-risk disease suffer relapse and five-year survival is 40–50%</w:t>
      </w:r>
      <w:r w:rsidR="00FC01DC" w:rsidRPr="00E94CA9">
        <w:rPr>
          <w:b w:val="0"/>
        </w:rPr>
        <w:fldChar w:fldCharType="begin" w:fldLock="1"/>
      </w:r>
      <w:r w:rsidR="00394C69">
        <w:rPr>
          <w:b w:val="0"/>
        </w:rPr>
        <w:instrText>ADDIN CSL_CITATION {"citationItems":[{"id":"ITEM-1","itemData":{"DOI":"10.1002/pbc.24433","ISBN":"1545-5017 (Electronic)\r1545-5009 (Linking)","PMID":"23255319","abstract":"Estimated 5-year survival rates for patients with non-high-risk and high-risk neuroblastoma are 90% and 50%, respectively. Recent clinical trials have shown excellent outcomes with reduced therapy for non-high-risk disease. For patients with high-risk neuroblastoma treated with chemoradiotherapy, surgery, and stem cell transplantation, the addition of anti-disialoganglioside (GD2) immunotherapy plus cytokines improves survival. Upcoming trials will study the incorporation of targeted radionuclide therapy prior to myeloablative chemotherapy into high-risk treatment. Phase 2 trials will investigate druggable target(s) including mTOR inhibition and GD2-directed therapy in combination with chemotherapy for patients with recurrent neuroblastoma, and ALK inhibition for those with ALK-aberrant tumors.","author":[{"dropping-particle":"","family":"Park","given":"J R","non-dropping-particle":"","parse-names":false,"suffix":""},{"dropping-particle":"","family":"Bagatell","given":"R","non-dropping-particle":"","parse-names":false,"suffix":""},{"dropping-particle":"","family":"London","given":"W B","non-dropping-particle":"","parse-names":false,"suffix":""},{"dropping-particle":"","family":"Maris","given":"J M","non-dropping-particle":"","parse-names":false,"suffix":""},{"dropping-particle":"","family":"Cohn","given":"S L","non-dropping-particle":"","parse-names":false,"suffix":""},{"dropping-particle":"","family":"Mattay","given":"K K","non-dropping-particle":"","parse-names":false,"suffix":""},{"dropping-particle":"","family":"Hogarty","given":"M","non-dropping-particle":"","parse-names":false,"suffix":""},{"dropping-particle":"","family":"Committee","given":"C O G Neuroblastoma","non-dropping-particle":"","parse-names":false,"suffix":""}],"container-title":"Pediatr Blood Cancer","id":"ITEM-1","issue":"6","issued":{"date-parts":[["2013"]]},"note":"Park, Julie R\nBagatell, Rochelle\nLondon, Wendy B\nMaris, John M\nCohn, Susan L\nMattay, Katherine K\nHogarty, Michael\neng\nReview\n2012/12/21 06:00\nPediatr Blood Cancer. 2013 Jun;60(6):985-93. doi: 10.1002/pbc.24433. Epub 2012 Dec 19.","page":"985-993","title":"Children's Oncology Group's 2013 blueprint for research: neuroblastoma","type":"article-journal","volume":"60"},"uris":["http://www.mendeley.com/documents/?uuid=3e74ce23-136e-4054-b5c7-e3bf61ba062c","http://www.mendeley.com/documents/?uuid=1d26ec4e-4a3e-4665-97a2-3abf5175e2fd"]}],"mendeley":{"formattedCitation":"&lt;sup&gt;4&lt;/sup&gt;","plainTextFormattedCitation":"4","previouslyFormattedCitation":"&lt;sup&gt;4&lt;/sup&gt;"},"properties":{"noteIndex":0},"schema":"https://github.com/citation-style-language/schema/raw/master/csl-citation.json"}</w:instrText>
      </w:r>
      <w:r w:rsidR="00FC01DC" w:rsidRPr="00E94CA9">
        <w:rPr>
          <w:b w:val="0"/>
        </w:rPr>
        <w:fldChar w:fldCharType="separate"/>
      </w:r>
      <w:r w:rsidR="00FC01DC" w:rsidRPr="00E94CA9">
        <w:rPr>
          <w:b w:val="0"/>
          <w:noProof/>
          <w:vertAlign w:val="superscript"/>
        </w:rPr>
        <w:t>4</w:t>
      </w:r>
      <w:r w:rsidR="00FC01DC" w:rsidRPr="00E94CA9">
        <w:rPr>
          <w:b w:val="0"/>
        </w:rPr>
        <w:fldChar w:fldCharType="end"/>
      </w:r>
      <w:r w:rsidRPr="00E94CA9">
        <w:rPr>
          <w:b w:val="0"/>
        </w:rPr>
        <w:t>. Therefore, novel treatment strategies aimed at providing long-term disease remission are urgently sought.</w:t>
      </w:r>
    </w:p>
    <w:p w14:paraId="6388B264" w14:textId="1250AB09" w:rsidR="00D30528" w:rsidRPr="00E94CA9" w:rsidRDefault="005033EF">
      <w:pPr>
        <w:spacing w:line="360" w:lineRule="auto"/>
        <w:ind w:firstLine="284"/>
        <w:jc w:val="both"/>
        <w:rPr>
          <w:rFonts w:cs="Arial"/>
          <w:sz w:val="22"/>
          <w:szCs w:val="22"/>
        </w:rPr>
      </w:pPr>
      <w:r w:rsidRPr="00E94CA9">
        <w:rPr>
          <w:rFonts w:cs="Arial"/>
          <w:sz w:val="22"/>
          <w:szCs w:val="22"/>
        </w:rPr>
        <w:t>Large-scale genomic studies are bringing the genetic basis of NB into focus, and there is evidence to suggest that high and low-risk forms of the disease evolve through distinct genetic mechanisms</w:t>
      </w:r>
      <w:r w:rsidR="00FC01DC" w:rsidRPr="00E94CA9">
        <w:rPr>
          <w:rFonts w:cs="Arial"/>
          <w:sz w:val="22"/>
          <w:szCs w:val="22"/>
        </w:rPr>
        <w:fldChar w:fldCharType="begin" w:fldLock="1"/>
      </w:r>
      <w:r w:rsidR="00394C69">
        <w:rPr>
          <w:rFonts w:cs="Arial"/>
          <w:sz w:val="22"/>
          <w:szCs w:val="22"/>
        </w:rPr>
        <w:instrText>ADDIN CSL_CITATION {"citationItems":[{"id":"ITEM-1","itemData":{"DOI":"10.1186/1477-3163-6-15","ISBN":"1477-3163 (Electronic)\r1477-3163 (Linking)","PMID":"17897457","abstract":"BACKGROUND: Neuroblastoma (NB) is the most common extracranial solid tumour of childhood. Several genomic imbalances correlate to prognosis in NB, with structural rearrangements, including gene amplification, in a near-diploid setting typically signifying high-risk tumours and numerical changes in a near-triploid setting signifying low-risk tumours. Little is known about the temporal sequence in which these imbalances occur during the carcinogenic process. METHODS: We have reconstructed the appearance of cytogenetic imbalances in 270 NBs by first grouping tumours and imbalances through principal component analysis and then using the number of imbalances in each tumour as an indicator of evolutionary progression. RESULTS: Tumours clustered in four sub-groups, dominated respectively by (1) gene amplification in double minute chromosomes and few other aberrations, (2) gene amplification and loss of 1p sequences, (3) loss of 1p and other structural aberrations including gain of 17q, and (4) whole-chromosome gains and losses. Temporal analysis showed that the structural changes in groups 1-3 were acquired in a step-wise fashion, with loss of 1p sequences and the emergence of double minute chromosomes as the earliest cytogenetic events. In contrast, the gains and losses of whole chromosomes in group 4 occurred through multiple simultaneous events leading to a near-triploid chromosome number. CONCLUSION: The finding of different temporal patterns for the acquisition of genomic imbalances in high-risk and low-risk NBs lends strong support to the hypothesis that these tumours are biologically diverse entities, evolving through distinct genetic mechanisms.","author":[{"dropping-particle":"","family":"Gisselsson","given":"D","non-dropping-particle":"","parse-names":false,"suffix":""},{"dropping-particle":"","family":"Lundberg","given":"G","non-dropping-particle":"","parse-names":false,"suffix":""},{"dropping-particle":"","family":"Ora","given":"I","non-dropping-particle":"","parse-names":false,"suffix":""},{"dropping-particle":"","family":"Hoglund","given":"M","non-dropping-particle":"","parse-names":false,"suffix":""}],"container-title":"J Carcinog","id":"ITEM-1","issued":{"date-parts":[["2007"]]},"note":"Gisselsson, David\nLundberg, Gisela\nOra, Ingrid\nHoglund, Mattias\neng\nIndia\n2007/09/28 09:00\nJ Carcinog. 2007 Sep 26;6:15. doi: 10.1186/1477-3163-6-15.","page":"15","title":"Distinct evolutionary mechanisms for genomic imbalances in high-risk and low-risk neuroblastomas","type":"article-journal","volume":"6"},"uris":["http://www.mendeley.com/documents/?uuid=593c94ed-8f17-4a78-bcf7-3996dba445f5","http://www.mendeley.com/documents/?uuid=4c891802-8ea2-413e-bee6-0b3aab088157"]}],"mendeley":{"formattedCitation":"&lt;sup&gt;5&lt;/sup&gt;","plainTextFormattedCitation":"5","previouslyFormattedCitation":"&lt;sup&gt;5&lt;/sup&gt;"},"properties":{"noteIndex":0},"schema":"https://github.com/citation-style-language/schema/raw/master/csl-citation.json"}</w:instrText>
      </w:r>
      <w:r w:rsidR="00FC01DC" w:rsidRPr="00E94CA9">
        <w:rPr>
          <w:rFonts w:cs="Arial"/>
          <w:sz w:val="22"/>
          <w:szCs w:val="22"/>
        </w:rPr>
        <w:fldChar w:fldCharType="separate"/>
      </w:r>
      <w:r w:rsidR="00FC01DC" w:rsidRPr="00E94CA9">
        <w:rPr>
          <w:rFonts w:cs="Arial"/>
          <w:noProof/>
          <w:sz w:val="22"/>
          <w:szCs w:val="22"/>
          <w:vertAlign w:val="superscript"/>
        </w:rPr>
        <w:t>5</w:t>
      </w:r>
      <w:r w:rsidR="00FC01DC" w:rsidRPr="00E94CA9">
        <w:rPr>
          <w:rFonts w:cs="Arial"/>
          <w:sz w:val="22"/>
          <w:szCs w:val="22"/>
        </w:rPr>
        <w:fldChar w:fldCharType="end"/>
      </w:r>
      <w:r w:rsidRPr="00E94CA9">
        <w:rPr>
          <w:rFonts w:cs="Arial"/>
          <w:sz w:val="22"/>
          <w:szCs w:val="22"/>
        </w:rPr>
        <w:t xml:space="preserve">. A study of 493 NB cases employing comparative genomic hybridisation showed </w:t>
      </w:r>
      <w:proofErr w:type="spellStart"/>
      <w:r w:rsidRPr="00E94CA9">
        <w:rPr>
          <w:rFonts w:cs="Arial"/>
          <w:sz w:val="22"/>
          <w:szCs w:val="22"/>
        </w:rPr>
        <w:t>hyperdiploidy</w:t>
      </w:r>
      <w:proofErr w:type="spellEnd"/>
      <w:r w:rsidRPr="00E94CA9">
        <w:rPr>
          <w:rFonts w:cs="Arial"/>
          <w:sz w:val="22"/>
          <w:szCs w:val="22"/>
        </w:rPr>
        <w:t xml:space="preserve"> involving whole-chromosome gains to be associated with low-risk NB, while segmental chromosome aberrations were associated with high-risk NB</w:t>
      </w:r>
      <w:r w:rsidR="00FC01DC" w:rsidRPr="00E94CA9">
        <w:rPr>
          <w:rFonts w:cs="Arial"/>
          <w:sz w:val="22"/>
          <w:szCs w:val="22"/>
        </w:rPr>
        <w:fldChar w:fldCharType="begin" w:fldLock="1"/>
      </w:r>
      <w:r w:rsidR="00394C69">
        <w:rPr>
          <w:rFonts w:cs="Arial"/>
          <w:sz w:val="22"/>
          <w:szCs w:val="22"/>
        </w:rPr>
        <w:instrText>ADDIN CSL_CITATION {"citationItems":[{"id":"ITEM-1","itemData":{"DOI":"10.1200/JCO.2008.16.0630","ISBN":"1527-7755 (Electronic)\r0732-183X (Linking)","PMID":"19171713","abstract":"PURPOSE: For a comprehensive overview of the genetic alterations of neuroblastoma, their association and clinical significance, we conducted a whole-genome DNA copy number analysis. PATIENTS AND METHODS: A series of 493 neuroblastoma (NB) samples was investigated by array-based comparative genomic hybridization in two consecutive steps (224, then 269 patients). RESULTS: Genomic analysis identified several types of profiles. Tumors presenting exclusively whole-chromosome copy number variations were associated with excellent survival. No disease-related death was observed in this group. In contrast, tumors with any type of segmental chromosome alterations characterized patients with a high risk of relapse. Patients with both numerical and segmental abnormalities clearly shared the higher risk of relapse of segmental-only patients. In a multivariate analysis, taking into account the genomic profile, but also previously described individual genetic and clinical markers with prognostic significance, the presence of segmental alterations with (HR, 7.3; 95% CI, 3.7 to 14.5; P &lt; .001) or without MYCN amplification (HR, 4.5; 95% CI, 2.4 to 8.4; P &lt; .001) was the strongest predictor of relapse; the other significant variables were age older than 18 months (HR, 1.8; 95% CI, 1.2 to 2.8; P = .004) and stage 4 (HR, 1.8; 95% CI, 1.2 to 2.7; P = .005). Finally, within tumors showing segmental alterations, stage 4, age, MYCN amplification, 1p and 11q deletions, and 1q gain were independent predictors of decreased overall survival. CONCLUSION: The analysis of the overall genomic pattern, which probably unravels particular genomic instability mechanisms rather than the analysis of individual markers, is essential to predict relapse in NB patients. It adds critical prognostic information to conventional markers and should be included in future treatment stratification.","author":[{"dropping-particle":"","family":"Janoueix-Lerosey","given":"I","non-dropping-particle":"","parse-names":false,"suffix":""},{"dropping-particle":"","family":"Schleiermacher","given":"G","non-dropping-particle":"","parse-names":false,"suffix":""},{"dropping-particle":"","family":"Michels","given":"E","non-dropping-particle":"","parse-names":false,"suffix":""},{"dropping-particle":"","family":"Mosseri","given":"V","non-dropping-particle":"","parse-names":false,"suffix":""},{"dropping-particle":"","family":"Ribeiro","given":"A","non-dropping-particle":"","parse-names":false,"suffix":""},{"dropping-particle":"","family":"Lequin","given":"D","non-dropping-particle":"","parse-names":false,"suffix":""},{"dropping-particle":"","family":"Vermeulen","given":"J","non-dropping-particle":"","parse-names":false,"suffix":""},{"dropping-particle":"","family":"Couturier","given":"J","non-dropping-particle":"","parse-names":false,"suffix":""},{"dropping-particle":"","family":"Peuchmaur","given":"M","non-dropping-particle":"","parse-names":false,"suffix":""},{"dropping-particle":"","family":"Valent","given":"A","non-dropping-particle":"","parse-names":false,"suffix":""},{"dropping-particle":"","family":"Plantaz","given":"D","non-dropping-particle":"","parse-names":false,"suffix":""},{"dropping-particle":"","family":"Rubie","given":"H","non-dropping-particle":"","parse-names":false,"suffix":""},{"dropping-particle":"","family":"Valteau-Couanet","given":"D","non-dropping-particle":"","parse-names":false,"suffix":""},{"dropping-particle":"","family":"Thomas","given":"C","non-dropping-particle":"","parse-names":false,"suffix":""},{"dropping-particle":"","family":"Combaret","given":"V","non-dropping-particle":"","parse-names":false,"suffix":""},{"dropping-particle":"","family":"Rousseau","given":"R","non-dropping-particle":"","parse-names":false,"suffix":""},{"dropping-particle":"","family":"Eggert","given":"A","non-dropping-particle":"","parse-names":false,"suffix":""},{"dropping-particle":"","family":"Michon","given":"J","non-dropping-particle":"","parse-names":false,"suffix":""},{"dropping-particle":"","family":"Speleman","given":"F","non-dropping-particle":"","parse-names":false,"suffix":""},{"dropping-particle":"","family":"Delattre","given":"O","non-dropping-particle":"","parse-names":false,"suffix":""}],"container-title":"J Clin Oncol","id":"ITEM-1","issue":"7","issued":{"date-parts":[["2009"]]},"note":"Janoueix-Lerosey, Isabelle\nSchleiermacher, Gudrun\nMichels, Evi\nMosseri, Veronique\nRibeiro, Agnes\nLequin, Delphine\nVermeulen, Joelle\nCouturier, Jerome\nPeuchmaur, Michel\nValent, Alexander\nPlantaz, Dominique\nRubie, Herve\nValteau-Couanet, Dominique\nThomas, Caroline\nCombaret, Valerie\nRousseau, Raphael\nEggert, Angelika\nMichon, Jean\nSpeleman, Frank\nDelattre, Olivier\neng\nComparative Study\nMulticenter Study\nResearch Support, Non-U.S. Gov't\n2009/01/28 09:00\nJ Clin Oncol. 2009 Mar 1;27(7):1026-33. doi: 10.1200/JCO.2008.16.0630. Epub 2009 Jan 26.","page":"1026-1033","title":"Overall genomic pattern is a predictor of outcome in neuroblastoma","type":"article-journal","volume":"27"},"uris":["http://www.mendeley.com/documents/?uuid=fdd5d875-55b9-4c32-9bdd-8b4b27e11b21","http://www.mendeley.com/documents/?uuid=725e117b-f1e1-4778-b29d-e25106c74299"]}],"mendeley":{"formattedCitation":"&lt;sup&gt;6&lt;/sup&gt;","plainTextFormattedCitation":"6","previouslyFormattedCitation":"&lt;sup&gt;6&lt;/sup&gt;"},"properties":{"noteIndex":0},"schema":"https://github.com/citation-style-language/schema/raw/master/csl-citation.json"}</w:instrText>
      </w:r>
      <w:r w:rsidR="00FC01DC" w:rsidRPr="00E94CA9">
        <w:rPr>
          <w:rFonts w:cs="Arial"/>
          <w:sz w:val="22"/>
          <w:szCs w:val="22"/>
        </w:rPr>
        <w:fldChar w:fldCharType="separate"/>
      </w:r>
      <w:r w:rsidR="00FC01DC" w:rsidRPr="00E94CA9">
        <w:rPr>
          <w:rFonts w:cs="Arial"/>
          <w:noProof/>
          <w:sz w:val="22"/>
          <w:szCs w:val="22"/>
          <w:vertAlign w:val="superscript"/>
        </w:rPr>
        <w:t>6</w:t>
      </w:r>
      <w:r w:rsidR="00FC01DC"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Recent genome-wide sequencing analyses in large NB patient cohorts have identified a relative paucity of recurrent somatic mutations</w:t>
      </w:r>
      <w:r w:rsidR="00FC01DC" w:rsidRPr="00E94CA9">
        <w:rPr>
          <w:rFonts w:cs="Arial"/>
          <w:sz w:val="22"/>
          <w:szCs w:val="22"/>
        </w:rPr>
        <w:fldChar w:fldCharType="begin" w:fldLock="1"/>
      </w:r>
      <w:r w:rsidR="00394C69">
        <w:rPr>
          <w:rFonts w:cs="Arial"/>
          <w:sz w:val="22"/>
          <w:szCs w:val="22"/>
        </w:rPr>
        <w:instrText>ADDIN CSL_CITATION {"citationItems":[{"id":"ITEM-1","itemData":{"DOI":"10.1001/jama.2012.228","ISBN":"1538-3598 (Electronic)\r0098-7484 (Linking)","PMID":"22416102","abstract":"CONTEXT: Neuroblastoma is diagnosed over a wide age range from birth through young adulthood, and older age at diagnosis is associated with a decline in survivability. OBJECTIVE: To identify genetic mutations that are associated with age at diagnosis in patients with metastatic neuroblastoma. DESIGN, SETTING, AND PATIENTS: Whole genome sequencing was performed on DNA from diagnostic tumors and their matched germlines from 40 patients with metastatic neuroblastoma obtained between 1987 and 2009. Age groups at diagnosis included infants (0-&lt;18 months), children (18 months-&lt;12 years), and adolescents and young adults (&gt;/=12 years). To confirm the findings from this discovery cohort, validation testing using tumors from an additional 64 patients obtained between 1985 and 2009 also was performed. Formalin-fixed, paraffin-embedded tumor tissue was used for immunohistochemistry and fluorescence in situ hybridization. Telomere lengths were analyzed using whole genome sequencing data, quantitative polymerase chain reaction, and fluorescent in situ hybridization. MAIN OUTCOME MEASURE: Somatic recurrent mutations in tumors from patients with neuroblastoma correlated with the age at diagnosis and telomere length. RESULTS: In the discovery cohort (n = 40), mutations in the ATRX gene were identified in 100% (95% CI, 50%-100%) of tumors from patients in the adolescent and young adult group (5 of 5), in 17% (95% CI, 7%-36%) of tumors from children (5 of 29), and 0% (95% CI, 0%-40%) of tumors from infants (0 of 6). In the validation cohort (n = 64), mutations in the ATRX gene were identified in 33% (95% CI, 17%-54%) of tumors from patients in the adolescent and young adult group (9 of 27), in 16% (95% CI, 6%-35%) of tumors from children (4 of 25), and in 0% (95% CI, 0%-24%) of tumors from infants (0 of 12). In both cohorts (N = 104), mutations in the ATRX gene were identified in 44% (95% CI, 28%-62%) of tumors from patients in the adolescent and young adult group (14 of 32), in 17% (95% CI, 9%-29%) of tumors from children (9 of 54), and in 0% (95% CI, 0%-17%) of tumors from infants (0 of 18). ATRX mutations were associated with an absence of the ATRX protein in the nucleus and with long telomeres. CONCLUSION: ATRX mutations were associated with age at diagnosis in children and young adults with stage 4 neuroblastoma. TRIAL REGISTRATION: clinicaltrials.gov Identifier: NCT00588068.","author":[{"dropping-particle":"","family":"Cheung","given":"N K","non-dropping-particle":"","parse-names":false,"suffix":""},{"dropping-particle":"","family":"Zhang","given":"J","non-dropping-particle":"","parse-names":false,"suffix":""},{"dropping-particle":"","family":"Lu","given":"C","non-dropping-particle":"","parse-names":false,"suffix":""},{"dropping-particle":"","family":"Parker","given":"M","non-dropping-particle":"","parse-names":false,"suffix":""},{"dropping-particle":"","family":"Bahrami","given":"A","non-dropping-particle":"","parse-names":false,"suffix":""},{"dropping-particle":"","family":"Tickoo","given":"S K","non-dropping-particle":"","parse-names":false,"suffix":""},{"dropping-particle":"","family":"Heguy","given":"A","non-dropping-particle":"","parse-names":false,"suffix":""},{"dropping-particle":"","family":"Pappo","given":"A S","non-dropping-particle":"","parse-names":false,"suffix":""},{"dropping-particle":"","family":"Federico","given":"S","non-dropping-particle":"","parse-names":false,"suffix":""},{"dropping-particle":"","family":"Dalton","given":"J","non-dropping-particle":"","parse-names":false,"suffix":""},{"dropping-particle":"","family":"Cheung","given":"I Y","non-dropping-particle":"","parse-names":false,"suffix":""},{"dropping-particle":"","family":"Ding","given":"L","non-dropping-particle":"","parse-names":false,"suffix":""},{"dropping-particle":"","family":"Fulton","given":"R","non-dropping-particle":"","parse-names":false,"suffix":""},{"dropping-particle":"","family":"Wang","given":"J","non-dropping-particle":"","parse-names":false,"suffix":""},{"dropping-particle":"","family":"Chen","given":"X","non-dropping-particle":"","parse-names":false,"suffix":""},{"dropping-particle":"","family":"Becksfort","given":"J","non-dropping-particle":"","parse-names":false,"suffix":""},{"dropping-particle":"","family":"Wu","given":"J","non-dropping-particle":"","parse-names":false,"suffix":""},{"dropping-particle":"","family":"Billups","given":"C A","non-dropping-particle":"","parse-names":false,"suffix":""},{"dropping-particle":"","family":"Ellison","given":"D","non-dropping-particle":"","parse-names":false,"suffix":""},{"dropping-particle":"","family":"Mardis","given":"E R","non-dropping-particle":"","parse-names":false,"suffix":""},{"dropping-particle":"","family":"Wilson","given":"R K","non-dropping-particle":"","parse-names":false,"suffix":""},{"dropping-particle":"","family":"Downing","given":"J R","non-dropping-particle":"","parse-names":false,"suffix":""},{"dropping-particle":"","family":"Dyer","given":"M A","non-dropping-particle":"","parse-names":false,"suffix":""},{"dropping-particle":"","family":"St Jude Children's Research Hospital-Washington University Pediatric Cancer Genome","given":"Project","non-dropping-particle":"","parse-names":false,"suffix":""}],"container-title":"JAMA","id":"ITEM-1","issue":"10","issued":{"date-parts":[["2012"]]},"note":"Cheung, Nai-Kong V\nZhang, Jinghui\nLu, Charles\nParker, Matthew\nBahrami, Armita\nTickoo, Satish K\nHeguy, Adriana\nPappo, Alberto S\nFederico, Sara\nDalton, James\nCheung, Irene Y\nDing, Li\nFulton, Robert\nWang, Jianmin\nChen, Xiang\nBecksfort, Jared\nWu, Jianrong\nBillups, Catherine A\nEllison, David\nMardis, Elaine R\nWilson, Richard K\nDowning, James R\nDyer, Michael A\neng\nR01 EY018599/EY/NEI NIH HHS/\nCA21765/CA/NCI NIH HHS/\nR01 EY014867/EY/NEI NIH HHS/\nP30 CA021765/CA/NCI NIH HHS/\nHoward Hughes Medical Institute/\nEY018599/EY/NEI NIH HHS/\nEY014867/EY/NEI NIH HHS/\nClinical Trial\nResearch Support, N.I.H., Extramural\nResearch Support, Non-U.S. Gov't\n2012/03/15 06:00\nJAMA. 2012 Mar 14;307(10):1062-71. doi: 10.1001/jama.2012.228.","page":"1062-1071","title":"Association of age at diagnosis and genetic mutations in patients with neuroblastoma","type":"article-journal","volume":"307"},"uris":["http://www.mendeley.com/documents/?uuid=e5d9e2ce-7773-48aa-ac26-c8cbfa101ffc","http://www.mendeley.com/documents/?uuid=393e5556-a469-4c7a-9433-a17275e0a556"]},{"id":"ITEM-2","itemData":{"DOI":"10.1038/nature10910","ISBN":"1476-4687 (Electronic)\r0028-0836 (Linking)","PMID":"22367537","abstract":"Neuroblastoma is a childhood tumour of the peripheral sympathetic nervous system. The pathogenesis has for a long time been quite enigmatic, as only very few gene defects were identified in this often lethal tumour. Frequently detected gene alterations are limited to MYCN amplification (20%) and ALK activations (7%). Here we present a whole-genome sequence analysis of 87 neuroblastoma of all stages. Few recurrent amino-acid-changing mutations were found. In contrast, analysis of structural defects identified a local shredding of chromosomes, known as chromothripsis, in 18% of high-stage neuroblastoma. These tumours are associated with a poor outcome. Structural alterations recurrently affected ODZ3, PTPRD and CSMD1, which are involved in neuronal growth cone stabilization. In addition, ATRX, TIAM1 and a series of regulators of the Rac/Rho pathway were mutated, further implicating defects in neuritogenesis in neuroblastoma. Most tumours with defects in these genes were aggressive high-stage neuroblastomas, but did not carry MYCN amplifications. The genomic landscape of neuroblastoma therefore reveals two novel molecular defects, chromothripsis and neuritogenesis gene alterations, which frequently occur in high-risk tumours.","author":[{"dropping-particle":"","family":"Molenaar","given":"J J","non-dropping-particle":"","parse-names":false,"suffix":""},{"dropping-particle":"","family":"Koster","given":"J","non-dropping-particle":"","parse-names":false,"suffix":""},{"dropping-particle":"","family":"Zwijnenburg","given":"D A","non-dropping-particle":"","parse-names":false,"suffix":""},{"dropping-particle":"","family":"Sluis","given":"P","non-dropping-particle":"van","parse-names":false,"suffix":""},{"dropping-particle":"","family":"Valentijn","given":"L J","non-dropping-particle":"","parse-names":false,"suffix":""},{"dropping-particle":"","family":"Ploeg","given":"I","non-dropping-particle":"van der","parse-names":false,"suffix":""},{"dropping-particle":"","family":"Hamdi","given":"M","non-dropping-particle":"","parse-names":false,"suffix":""},{"dropping-particle":"","family":"Nes","given":"J","non-dropping-particle":"van","parse-names":false,"suffix":""},{"dropping-particle":"","family":"Westerman","given":"B A","non-dropping-particle":"","parse-names":false,"suffix":""},{"dropping-particle":"","family":"Arkel","given":"J","non-dropping-particle":"van","parse-names":false,"suffix":""},{"dropping-particle":"","family":"Ebus","given":"M E","non-dropping-particle":"","parse-names":false,"suffix":""},{"dropping-particle":"","family":"Haneveld","given":"F","non-dropping-particle":"","parse-names":false,"suffix":""},{"dropping-particle":"","family":"Lakeman","given":"A","non-dropping-particle":"","parse-names":false,"suffix":""},{"dropping-particle":"","family":"Schild","given":"L","non-dropping-particle":"","parse-names":false,"suffix":""},{"dropping-particle":"","family":"Molenaar","given":"P","non-dropping-particle":"","parse-names":false,"suffix":""},{"dropping-particle":"","family":"Stroeken","given":"P","non-dropping-particle":"","parse-names":false,"suffix":""},{"dropping-particle":"","family":"Noesel","given":"M M","non-dropping-particle":"van","parse-names":false,"suffix":""},{"dropping-particle":"","family":"Ora","given":"I","non-dropping-particle":"","parse-names":false,"suffix":""},{"dropping-particle":"","family":"Santo","given":"E E","non-dropping-particle":"","parse-names":false,"suffix":""},{"dropping-particle":"","family":"Caron","given":"H N","non-dropping-particle":"","parse-names":false,"suffix":""},{"dropping-particle":"","family":"Westerhout","given":"E M","non-dropping-particle":"","parse-names":false,"suffix":""},{"dropping-particle":"","family":"Versteeg","given":"R","non-dropping-particle":"","parse-names":false,"suffix":""}],"container-title":"Nature","id":"ITEM-2","issue":"7391","issued":{"date-parts":[["2012"]]},"note":"Molenaar, Jan J\nKoster, Jan\nZwijnenburg, Danny A\nvan Sluis, Peter\nValentijn, Linda J\nvan der Ploeg, Ida\nHamdi, Mohamed\nvan Nes, Johan\nWesterman, Bart A\nvan Arkel, Jennemiek\nEbus, Marli E\nHaneveld, Franciska\nLakeman, Arjan\nSchild, Linda\nMolenaar, Piet\nStroeken, Peter\nvan Noesel, Max M\nOra, Ingrid\nSanto, Evan E\nCaron, Huib N\nWesterhout, Ellen M\nVersteeg, Rogier\neng\nResearch Support, Non-U.S. Gov't\nEngland\n2012/03/01 06:00\nNature. 2012 Feb 22;483(7391):589-93. doi: 10.1038/nature10910.","page":"589-593","title":"Sequencing of neuroblastoma identifies chromothripsis and defects in neuritogenesis genes","type":"article-journal","volume":"483"},"uris":["http://www.mendeley.com/documents/?uuid=d9571fb2-8d07-4a88-8e2c-017d5831dc4e","http://www.mendeley.com/documents/?uuid=84489c83-fddb-4b44-be34-970c9f04c0c2"]},{"id":"ITEM-3","itemData":{"DOI":"10.1038/ng.2493","ISBN":"1546-1718 (Electronic)\r1061-4036 (Linking)","PMID":"23202128","abstract":"Neuroblastomas are tumors of peripheral sympathetic neurons and are the most common solid tumor in children. To determine the genetic basis for neuroblastoma, we performed whole-genome sequencing (6 cases), exome sequencing (16 cases), genome-wide rearrangement analyses (32 cases) and targeted analyses of specific genomic loci (40 cases) using massively parallel sequencing. On average, each tumor had 19 somatic alterations in coding genes (range of 3-70). Among genes not previously known to be involved in neuroblastoma, chromosomal deletions and sequence alterations of the chromatin-remodeling genes ARID1A and ARID1B were identified in 8 of 71 tumors (11%) and were associated with early treatment failure and decreased survival. Using tumor-specific structural alterations, we developed an approach to identify rearranged DNA fragments in sera, providing personalized biomarkers for minimal residual disease detection and monitoring. These results highlight the dysregulation of chromatin remodeling in pediatric tumorigenesis and provide new approaches for the management of patients with neuroblastoma.","author":[{"dropping-particle":"","family":"Sausen","given":"M","non-dropping-particle":"","parse-names":false,"suffix":""},{"dropping-particle":"","family":"Leary","given":"R J","non-dropping-particle":"","parse-names":false,"suffix":""},{"dropping-particle":"","family":"Jones","given":"S","non-dropping-particle":"","parse-names":false,"suffix":""},{"dropping-particle":"","family":"Wu","given":"J","non-dropping-particle":"","parse-names":false,"suffix":""},{"dropping-particle":"","family":"Reynolds","given":"C P","non-dropping-particle":"","parse-names":false,"suffix":""},{"dropping-particle":"","family":"Liu","given":"X","non-dropping-particle":"","parse-names":false,"suffix":""},{"dropping-particle":"","family":"Blackford","given":"A","non-dropping-particle":"","parse-names":false,"suffix":""},{"dropping-particle":"","family":"Parmigiani","given":"G","non-dropping-particle":"","parse-names":false,"suffix":""},{"dropping-particle":"","family":"Diaz  Jr.","given":"L A","non-dropping-particle":"","parse-names":false,"suffix":""},{"dropping-particle":"","family":"Papadopoulos","given":"N","non-dropping-particle":"","parse-names":false,"suffix":""},{"dropping-particle":"","family":"Vogelstein","given":"B","non-dropping-particle":"","parse-names":false,"suffix":""},{"dropping-particle":"","family":"Kinzler","given":"K W","non-dropping-particle":"","parse-names":false,"suffix":""},{"dropping-particle":"","family":"Velculescu","given":"V E","non-dropping-particle":"","parse-names":false,"suffix":""},{"dropping-particle":"","family":"Hogarty","given":"M D","non-dropping-particle":"","parse-names":false,"suffix":""}],"container-title":"Nat Genet","id":"ITEM-3","issue":"1","issued":{"date-parts":[["2013"]]},"note":"Sausen, Mark\nLeary, Rebecca J\nJones, Sian\nWu, Jian\nReynolds, C Patrick\nLiu, Xueyuan\nBlackford, Amanda\nParmigiani, Giovanni\nDiaz, Luis A Jr\nPapadopoulos, Nickolas\nVogelstein, Bert\nKinzler, Kenneth W\nVelculescu, Victor E\nHogarty, Michael D\neng\nR01 CA121113/CA/NCI NIH HHS/\nR37 CA043460/CA/NCI NIH HHS/\nR37 CA057345/CA/NCI NIH HHS/\nCA121113/CA/NCI NIH HHS/\nResearch Support, N.I.H., Extramural\nResearch Support, Non-U.S. Gov't\n2012/12/04 06:00\nNat Genet. 2013 Jan;45(1):12-7. doi: 10.1038/ng.2493. Epub 2012 Dec 2.","page":"12-17","title":"Integrated genomic analyses identify ARID1A and ARID1B alterations in the childhood cancer neuroblastoma","type":"article-journal","volume":"45"},"uris":["http://www.mendeley.com/documents/?uuid=4a9be61e-5935-46de-bf5a-1425716779a1","http://www.mendeley.com/documents/?uuid=c12c4502-5c90-4a99-92d0-9decc948f882"]}],"mendeley":{"formattedCitation":"&lt;sup&gt;7–9&lt;/sup&gt;","plainTextFormattedCitation":"7–9","previouslyFormattedCitation":"&lt;sup&gt;7–9&lt;/sup&gt;"},"properties":{"noteIndex":0},"schema":"https://github.com/citation-style-language/schema/raw/master/csl-citation.json"}</w:instrText>
      </w:r>
      <w:r w:rsidR="00FC01DC" w:rsidRPr="00E94CA9">
        <w:rPr>
          <w:rFonts w:cs="Arial"/>
          <w:sz w:val="22"/>
          <w:szCs w:val="22"/>
        </w:rPr>
        <w:fldChar w:fldCharType="separate"/>
      </w:r>
      <w:r w:rsidR="00FC01DC" w:rsidRPr="00E94CA9">
        <w:rPr>
          <w:rFonts w:cs="Arial"/>
          <w:noProof/>
          <w:sz w:val="22"/>
          <w:szCs w:val="22"/>
          <w:vertAlign w:val="superscript"/>
        </w:rPr>
        <w:t>7–9</w:t>
      </w:r>
      <w:r w:rsidR="00FC01DC"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w:t>
      </w:r>
    </w:p>
    <w:p w14:paraId="0E307F1F" w14:textId="63891B32" w:rsidR="00D30528" w:rsidRPr="00E94CA9" w:rsidRDefault="005033EF" w:rsidP="00CE70BF">
      <w:pPr>
        <w:spacing w:line="360" w:lineRule="auto"/>
        <w:ind w:firstLine="284"/>
        <w:jc w:val="both"/>
        <w:rPr>
          <w:rFonts w:cs="Arial"/>
          <w:sz w:val="22"/>
          <w:szCs w:val="22"/>
        </w:rPr>
      </w:pPr>
      <w:r w:rsidRPr="00E94CA9">
        <w:rPr>
          <w:rFonts w:cs="Arial"/>
          <w:sz w:val="22"/>
          <w:szCs w:val="22"/>
        </w:rPr>
        <w:t xml:space="preserve">Anaplastic lymphoma kinase (ALK) is the most commonly mutated gene in NB, where gain-of-function mutations in the kinase domain – namely at residues F1174, F1245 and R1275 – are found in 8-10% of cases </w:t>
      </w:r>
      <w:r w:rsidRPr="00E94CA9">
        <w:rPr>
          <w:rFonts w:cs="Arial"/>
          <w:color w:val="000000" w:themeColor="text1"/>
          <w:sz w:val="22"/>
          <w:szCs w:val="22"/>
        </w:rPr>
        <w:t>overall</w:t>
      </w:r>
      <w:r w:rsidR="00542124"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{"citationItems":[{"id":"ITEM-1","itemData":{"DOI":"10.1158/1078-0432.CCR-09-2660","ISBN":"1078-0432 (Print)\r1078-0432 (Linking)","PMID":"20719933","abstract":"PURPOSE: Activating mutations of the anaplastic lymphoma kinase (ALK) were recently described in neuroblastoma. We carried out a meta-analysis of 709 neuroblastoma tumors to determine their frequency and mutation spectrum in relation to genomic and clinical parameters, and studied the prognostic significance of ALK copy number and expression. EXPERIMENTAL DESIGN: The frequency and type of ALK mutations, copy number gain, and expression were analyzed in a new series of 254 neuroblastoma tumors. Data from 455 published cases were used for further in-depth analysis. RESULTS: ALK mutations were present in 6.9% of 709 investigated tumors, and mutations were found in similar frequencies in favorable [International Neuroblastoma Staging System (INSS) 1, 2, and 4S; 5.7%] and unfavorable (INSS 3 and 4; 7.5%) neuroblastomas (P = 0.087). Two hotspot mutations, at positions R1275 and F1174, were observed (49% and 34.7% of the mutated cases, respectively). Interestingly, the F1174 mutations occurred in a high proportion of MYCN-amplified cases (P = 0.001), and this combined occurrence was associated with a particular poor outcome, suggesting a positive cooperative effect between both aberrations. Furthermore, the F1174L mutant was characterized by a higher degree of autophosphorylation and a more potent transforming capacity as compared with the R1275Q mutant. Chromosome 2p gains, including the ALK locus (91.8%), were associated with a significantly increased ALK expression, which was also correlated with poor survival. CONCLUSIONS: ALK mutations occur in equal frequencies across all genomic subtypes, but F1174L mutants are observed in a higher frequency of MYCN-amplified tumors and show increased transforming capacity as compared with the R1275Q mutants.","author":[{"dropping-particle":"","family":"Brouwer","given":"S","non-dropping-particle":"De","parse-names":false,"suffix":""},{"dropping-particle":"","family":"Preter","given":"K","non-dropping-particle":"De","parse-names":false,"suffix":""},{"dropping-particle":"","family":"Kumps","given":"C","non-dropping-particle":"","parse-names":false,"suffix":""},{"dropping-particle":"","family":"Zabrocki","given":"P","non-dropping-particle":"","parse-names":false,"suffix":""},{"dropping-particle":"","family":"Porcu","given":"M","non-dropping-particle":"","parse-names":false,"suffix":""},{"dropping-particle":"","family":"Westerhout","given":"E M","non-dropping-particle":"","parse-names":false,"suffix":""},{"dropping-particle":"","family":"Lakeman","given":"A","non-dropping-particle":"","parse-names":false,"suffix":""},{"dropping-particle":"","family":"Vandesompele","given":"J","non-dropping-particle":"","parse-names":false,"suffix":""},{"dropping-particle":"","family":"Hoebeeck","given":"J","non-dropping-particle":"","parse-names":false,"suffix":""},{"dropping-particle":"","family":"Maerken","given":"T","non-dropping-particle":"Van","parse-names":false,"suffix":""},{"dropping-particle":"","family":"Paepe","given":"A","non-dropping-particle":"De","parse-names":false,"suffix":""},{"dropping-particle":"","family":"Laureys","given":"G","non-dropping-particle":"","parse-names":false,"suffix":""},{"dropping-particle":"","family":"Schulte","given":"J H","non-dropping-particle":"","parse-names":false,"suffix":""},{"dropping-particle":"","family":"Schramm","given":"A","non-dropping-particle":"","parse-names":false,"suffix":""},{"dropping-particle":"","family":"Broecke","given":"C","non-dropping-particle":"Van Den","parse-names":false,"suffix":""},{"dropping-particle":"","family":"Vermeulen","given":"J","non-dropping-particle":"","parse-names":false,"suffix":""},{"dropping-particle":"","family":"Roy","given":"N","non-dropping-particle":"Van","parse-names":false,"suffix":""},{"dropping-particle":"","family":"Beiske","given":"K","non-dropping-particle":"","parse-names":false,"suffix":""},{"dropping-particle":"","family":"Renard","given":"M","non-dropping-particle":"","parse-names":false,"suffix":""},{"dropping-particle":"","family":"Noguera","given":"R","non-dropping-particle":"","parse-names":false,"suffix":""},{"dropping-particle":"","family":"Delattre","given":"O","non-dropping-particle":"","parse-names":false,"suffix":""},{"dropping-particle":"","family":"Janoueix-Lerosey","given":"I","non-dropping-particle":"","parse-names":false,"suffix":""},{"dropping-particle":"","family":"Kogner","given":"P","non-dropping-particle":"","parse-names":false,"suffix":""},{"dropping-particle":"","family":"Martinsson","given":"T","non-dropping-particle":"","parse-names":false,"suffix":""},{"dropping-particle":"","family":"Nakagawara","given":"A","non-dropping-particle":"","parse-names":false,"suffix":""},{"dropping-particle":"","family":"Ohira","given":"M","non-dropping-particle":"","parse-names":false,"suffix":""},{"dropping-particle":"","family":"Caron","given":"H","non-dropping-particle":"","parse-names":false,"suffix":""},{"dropping-particle":"","family":"Eggert","given":"A","non-dropping-particle":"","parse-names":false,"suffix":""},{"dropping-particle":"","family":"Cools","given":"J","non-dropping-particle":"","parse-names":false,"suffix":""},{"dropping-particle":"","family":"Versteeg","given":"R","non-dropping-particle":"","parse-names":false,"suffix":""},{"dropping-particle":"","family":"Speleman","given":"F","non-dropping-particle":"","parse-names":false,"suffix":""}],"container-title":"Clin Cancer Res","id":"ITEM-1","issue":"17","issued":{"date-parts":[["2010"]]},"note":"De Brouwer, Sara\nDe Preter, Katleen\nKumps, Candy\nZabrocki, Piotr\nPorcu, Michael\nWesterhout, Ellen M\nLakeman, Arjan\nVandesompele, Jo\nHoebeeck, Jasmien\nVan Maerken, Tom\nDe Paepe, Anne\nLaureys, Genevieve\nSchulte, Johannes H\nSchramm, Alexander\nVan Den Broecke, Caroline\nVermeulen, Joelle\nVan Roy, Nadine\nBeiske, Klaus\nRenard, Marleen\nNoguera, Rosa\nDelattre, Olivier\nJanoueix-Lerosey, Isabelle\nKogner, Per\nMartinsson, Tommy\nNakagawara, Akira\nOhira, Miki\nCaron, Huib\nEggert, Angelika\nCools, Jan\nVersteeg, Rogier\nSpeleman, Frank\neng\nMeta-Analysis\nResearch Support, Non-U.S. Gov't\n2010/08/20 06:00\nClin Cancer Res. 2010 Sep 1;16(17):4353-62. doi: 10.1158/1078-0432.CCR-09-2660. Epub 2010 Aug 18.","page":"4353-4362","title":"Meta-analysis of neuroblastomas reveals a skewed ALK mutation spectrum in tumors with MYCN amplification","type":"article-journal","volume":"16"},"uris":["http://www.mendeley.com/documents/?uuid=9a620466-ff7c-454b-810a-ec0d87b6c8a7"]},{"id":"ITEM-2","itemData":{"DOI":"10.1016/j.ccell.2014.09.019","ISBN":"1878-3686 (Electronic)\r1535-6108 (Linking)","PMID":"25517749","abstract":"Genetic studies have established anaplastic lymphoma kinase (ALK), a cell surface receptor tyrosine kinase, as a tractable molecular target in neuroblastoma. We describe comprehensive genomic, biochemical, and computational analyses of ALK mutations across 1,596 diagnostic neuroblastoma samples. ALK tyrosine kinase domain mutations occurred in 8% of samples--at three hot spots and 13 minor sites--and correlated significantly with poorer survival in high- and intermediate-risk neuroblastoma. Biochemical and computational studies distinguished oncogenic (constitutively activating) from nononcogenic mutations and allowed robust computational prediction of their effects. The mutated variants also showed differential in vitro crizotinib sensitivities. Our studies identify ALK genomic status as a clinically important therapeutic stratification tool in neuroblastoma and will allow tailoring of ALK-targeted therapy to specific mutations.","author":[{"dropping-particle":"","family":"Bresler","given":"S C","non-dropping-particle":"","parse-names":false,"suffix":""},{"dropping-particle":"","family":"Weiser","given":"D A","non-dropping-particle":"","parse-names":false,"suffix":""},{"dropping-particle":"","family":"Huwe","given":"P J","non-dropping-particle":"","parse-names":false,"suffix":""},{"dropping-particle":"","family":"Park","given":"J H","non-dropping-particle":"","parse-names":false,"suffix":""},{"dropping-particle":"","family":"Krytska","given":"K","non-dropping-particle":"","parse-names":false,"suffix":""},{"dropping-particle":"","family":"Ryles","given":"H","non-dropping-particle":"","parse-names":false,"suffix":""},{"dropping-particle":"","family":"Laudenslager","given":"M","non-dropping-particle":"","parse-names":false,"suffix":""},{"dropping-particle":"","family":"Rappaport","given":"E F","non-dropping-particle":"","parse-names":false,"suffix":""},{"dropping-particle":"","family":"Wood","given":"A C","non-dropping-particle":"","parse-names":false,"suffix":""},{"dropping-particle":"","family":"McGrady","given":"P W","non-dropping-particle":"","parse-names":false,"suffix":""},{"dropping-particle":"","family":"Hogarty","given":"M D","non-dropping-particle":"","parse-names":false,"suffix":""},{"dropping-particle":"","family":"London","given":"W B","non-dropping-particle":"","parse-names":false,"suffix":""},{"dropping-particle":"","family":"Radhakrishnan","given":"R","non-dropping-particle":"","parse-names":false,"suffix":""},{"dropping-particle":"","family":"Lemmon","given":"M A","non-dropping-particle":"","parse-names":false,"suffix":""},{"dropping-particle":"","family":"Mosse","given":"Y P","non-dropping-particle":"","parse-names":false,"suffix":""}],"container-title":"Cancer Cell","id":"ITEM-2","issue":"5","issued":{"date-parts":[["2014"]]},"note":"Bresler, Scott C\nWeiser, Daniel A\nHuwe, Peter J\nPark, Jin H\nKrytska, Kateryna\nRyles, Hannah\nLaudenslager, Marci\nRappaport, Eric F\nWood, Andrew C\nMcGrady, Patrick W\nHogarty, Michael D\nLondon, Wendy B\nRadhakrishnan, Ravi\nLemmon, Mark A\nMosse, Yael P\neng\nR01-CA140198/CA/NCI NIH HHS/\nU10 CA098413/CA/NCI NIH HHS/\nT32-GM008275/GM/NIGMS NIH HHS/\nT32 CA009615/CA/NCI NIH HHS/\nUL1RR024134/RR/NCRR NIH HHS/\nU10 CA180899/CA/NCI NIH HHS/\nT32 GM008275/GM/NIGMS NIH HHS/\nR01 CA140198/CA/NCI NIH HHS/\nUL1 RR024134/RR/NCRR NIH HHS/\nResearch Support, N.I.H., Extramural\nResearch Support, Non-U.S. Gov't\nResearch Support, U.S. Gov't, Non-P.H.S.\n2014/12/18 06:00\nCancer Cell. 2014 Nov 10;26(5):682-94. doi: 10.1016/j.ccell.2014.09.019. Epub 2014 Nov 10.","page":"682-694","title":"ALK mutations confer differential oncogenic activation and sensitivity to ALK inhibition therapy in neuroblastoma","type":"article-journal","volume":"26"},"uris":["http://www.mendeley.com/documents/?uuid=a3126106-5df7-4d70-ada8-9af0ff87181d","http://www.mendeley.com/documents/?uuid=e1c9470b-0416-44bb-b644-941eef98bcbd"]}],"mendeley":{"formattedCitation":"&lt;sup&gt;10,11&lt;/sup&gt;","plainTextFormattedCitation":"10,11","previouslyFormattedCitation":"&lt;sup&gt;10,11&lt;/sup&gt;"},"properties":{"noteIndex":0},"schema":"https://github.com/citation-style-language/schema/raw/master/csl-citation.json"}</w:instrText>
      </w:r>
      <w:r w:rsidR="00542124" w:rsidRPr="00E94CA9">
        <w:rPr>
          <w:rFonts w:cs="Arial"/>
          <w:color w:val="000000" w:themeColor="text1"/>
          <w:sz w:val="22"/>
          <w:szCs w:val="22"/>
        </w:rPr>
        <w:fldChar w:fldCharType="separate"/>
      </w:r>
      <w:r w:rsidR="00542124" w:rsidRPr="00E94CA9">
        <w:rPr>
          <w:rFonts w:cs="Arial"/>
          <w:noProof/>
          <w:color w:val="000000" w:themeColor="text1"/>
          <w:sz w:val="22"/>
          <w:szCs w:val="22"/>
          <w:vertAlign w:val="superscript"/>
        </w:rPr>
        <w:t>10,11</w:t>
      </w:r>
      <w:r w:rsidR="00542124" w:rsidRPr="00E94CA9">
        <w:rPr>
          <w:rFonts w:cs="Arial"/>
          <w:color w:val="000000" w:themeColor="text1"/>
          <w:sz w:val="22"/>
          <w:szCs w:val="22"/>
        </w:rPr>
        <w:fldChar w:fldCharType="end"/>
      </w:r>
      <w:r w:rsidRPr="00E94CA9">
        <w:rPr>
          <w:rFonts w:cs="Arial"/>
          <w:color w:val="000000" w:themeColor="text1"/>
          <w:sz w:val="22"/>
          <w:szCs w:val="22"/>
        </w:rPr>
        <w:fldChar w:fldCharType="begin"/>
      </w:r>
      <w:r w:rsidRPr="00E94CA9">
        <w:rPr>
          <w:rFonts w:cs="Arial"/>
          <w:color w:val="000000" w:themeColor="text1"/>
          <w:sz w:val="22"/>
          <w:szCs w:val="22"/>
        </w:rPr>
        <w:instrText>ADDIN EN.CITE</w:instrText>
      </w:r>
      <w:r w:rsidRPr="00E94CA9">
        <w:rPr>
          <w:rFonts w:cs="Arial"/>
          <w:color w:val="000000" w:themeColor="text1"/>
          <w:sz w:val="22"/>
          <w:szCs w:val="22"/>
        </w:rPr>
        <w:fldChar w:fldCharType="end"/>
      </w:r>
      <w:r w:rsidRPr="00E94CA9">
        <w:rPr>
          <w:rFonts w:cs="Arial"/>
          <w:color w:val="000000" w:themeColor="text1"/>
          <w:sz w:val="22"/>
          <w:szCs w:val="22"/>
        </w:rPr>
        <w:t xml:space="preserve">. An </w:t>
      </w:r>
      <w:r w:rsidRPr="00E94CA9">
        <w:rPr>
          <w:rFonts w:cs="Arial"/>
          <w:sz w:val="22"/>
          <w:szCs w:val="22"/>
        </w:rPr>
        <w:t xml:space="preserve">additional 2-3% of patients </w:t>
      </w:r>
      <w:proofErr w:type="spellStart"/>
      <w:r w:rsidRPr="00E94CA9">
        <w:rPr>
          <w:rFonts w:cs="Arial"/>
          <w:sz w:val="22"/>
          <w:szCs w:val="22"/>
        </w:rPr>
        <w:t>harbor</w:t>
      </w:r>
      <w:proofErr w:type="spellEnd"/>
      <w:r w:rsidRPr="00E94CA9">
        <w:rPr>
          <w:rFonts w:cs="Arial"/>
          <w:sz w:val="22"/>
          <w:szCs w:val="22"/>
        </w:rPr>
        <w:t xml:space="preserve"> focal amplification of </w:t>
      </w:r>
      <w:r w:rsidRPr="00E94CA9">
        <w:rPr>
          <w:rFonts w:cs="Arial"/>
          <w:i/>
          <w:sz w:val="22"/>
          <w:szCs w:val="22"/>
        </w:rPr>
        <w:t>ALK</w:t>
      </w:r>
      <w:r w:rsidRPr="00E94CA9">
        <w:rPr>
          <w:rFonts w:cs="Arial"/>
          <w:sz w:val="22"/>
          <w:szCs w:val="22"/>
        </w:rPr>
        <w:t>, and this feature correlates with poor survival</w:t>
      </w:r>
      <w:r w:rsidR="00FC01DC" w:rsidRPr="00E94CA9">
        <w:rPr>
          <w:rFonts w:cs="Arial"/>
          <w:sz w:val="22"/>
          <w:szCs w:val="22"/>
        </w:rPr>
        <w:fldChar w:fldCharType="begin" w:fldLock="1"/>
      </w:r>
      <w:r w:rsidR="00394C69">
        <w:rPr>
          <w:rFonts w:cs="Arial"/>
          <w:sz w:val="22"/>
          <w:szCs w:val="22"/>
        </w:rPr>
        <w:instrText>ADDIN CSL_CITATION {"citationItems":[{"id":"ITEM-1","itemData":{"DOI":"10.1038/nature07397","ISBN":"1476-4687 (Electronic)\r0028-0836 (Linking)","PMID":"18923525","abstract":"Neuroblastoma, an embryonal tumour of the peripheral sympathetic nervous system, accounts for approximately 15% of all deaths due to childhood cancer. High-risk neuroblastomas are rapidly progressive; even with intensive myeloablative chemotherapy, relapse is common and almost uniformly fatal. Here we report the detection of previously unknown mutations in the ALK gene, which encodes a receptor tyrosine kinase, in 8% of primary neuroblastomas. Five non-synonymous sequence variations were identified in the kinase domain of ALK, of which three were somatic and two were germ line. The most frequent mutation, F1174L, was also identified in three different neuroblastoma cell lines. ALK complementary DNAs encoding the F1174L and R1275Q variants, but not the wild-type ALK cDNA, transformed interleukin-3-dependent murine haematopoietic Ba/F3 cells to cytokine-independent growth. Ba/F3 cells expressing these mutations were sensitive to the small-molecule inhibitor of ALK, TAE684 (ref. 4). Furthermore, two human neuroblastoma cell lines harbouring the F1174L mutation were also sensitive to the inhibitor. Cytotoxicity was associated with increased amounts of apoptosis as measured by TdT-mediated dUTP nick end labelling (TUNEL). Short hairpin RNA (shRNA)-mediated knockdown of ALK expression in neuroblastoma cell lines with the F1174L mutation also resulted in apoptosis and impaired cell proliferation. Thus, activating alleles of the ALK receptor tyrosine kinase are present in primary neuroblastoma tumours and in established neuroblastoma cell lines, and confer sensitivity to ALK inhibition with small molecules, providing a molecular rationale for targeted therapy of this disease.","author":[{"dropping-particle":"","family":"George","given":"R E","non-dropping-particle":"","parse-names":false,"suffix":""},{"dropping-particle":"","family":"Sanda","given":"T","non-dropping-particle":"","parse-names":false,"suffix":""},{"dropping-particle":"","family":"Hanna","given":"M","non-dropping-particle":"","parse-names":false,"suffix":""},{"dropping-particle":"","family":"Frohling","given":"S","non-dropping-particle":"","parse-names":false,"suffix":""},{"dropping-particle":"","family":"Luther  2nd","given":"W","non-dropping-particle":"","parse-names":false,"suffix":""},{"dropping-particle":"","family":"Zhang","given":"J","non-dropping-particle":"","parse-names":false,"suffix":""},{"dropping-particle":"","family":"Ahn","given":"Y","non-dropping-particle":"","parse-names":false,"suffix":""},{"dropping-particle":"","family":"Zhou","given":"W","non-dropping-particle":"","parse-names":false,"suffix":""},{"dropping-particle":"","family":"London","given":"W B","non-dropping-particle":"","parse-names":false,"suffix":""},{"dropping-particle":"","family":"McGrady","given":"P","non-dropping-particle":"","parse-names":false,"suffix":""},{"dropping-particle":"","family":"Xue","given":"L","non-dropping-particle":"","parse-names":false,"suffix":""},{"dropping-particle":"","family":"Zozulya","given":"S","non-dropping-particle":"","parse-names":false,"suffix":""},{"dropping-particle":"","family":"Gregor","given":"V E","non-dropping-particle":"","parse-names":false,"suffix":""},{"dropping-particle":"","family":"Webb","given":"T R","non-dropping-particle":"","parse-names":false,"suffix":""},{"dropping-particle":"","family":"Gray","given":"N S","non-dropping-particle":"","parse-names":false,"suffix":""},{"dropping-particle":"","family":"Gilliland","given":"D G","non-dropping-particle":"","parse-names":false,"suffix":""},{"dropping-particle":"","family":"Diller","given":"L","non-dropping-particle":"","parse-names":false,"suffix":""},{"dropping-particle":"","family":"Greulich","given":"H","non-dropping-particle":"","parse-names":false,"suffix":""},{"dropping-particle":"","family":"Morris","given":"S W","non-dropping-particle":"","parse-names":false,"suffix":""},{"dropping-particle":"","family":"Meyerson","given":"M","non-dropping-particle":"","parse-names":false,"suffix":""},{"dropping-particle":"","family":"Look","given":"A T","non-dropping-particle":"","parse-names":false,"suffix":""}],"container-title":"Nature","id":"ITEM-1","issue":"7215","issued":{"date-parts":[["2008"]]},"note":"George, Rani E\nSanda, Takaomi\nHanna, Megan\nFrohling, Stefan\nLuther, William 2nd\nZhang, Jianming\nAhn, Yebin\nZhou, Wenjun\nLondon, Wendy B\nMcGrady, Patrick\nXue, Liquan\nZozulya, Sergey\nGregor, Vlad E\nWebb, Thomas R\nGray, Nathanael S\nGilliland, D Gary\nDiller, Lisa\nGreulich, Heidi\nMorris, Stephan W\nMeyerson, Matthew\nLook, A Thomas\neng\nK08 NS047983-05/NS/NINDS NIH HHS/\nK08 NS047983-04/NS/NINDS NIH HHS/\nR01 CA069129/CA/NCI NIH HHS/\nCA21765/CA/NCI NIH HHS/\nP30 CA021765/CA/NCI NIH HHS/\nK08 NS047983-03/NS/NINDS NIH HHS/\nCA69129/CA/NCI NIH HHS/\nK08 NS047983/NS/NINDS NIH HHS/\nResearch Support, N.I.H., Extramural\nResearch Support, Non-U.S. Gov't\nEngland\n2008/10/17 09:00\nNature. 2008 Oct 16;455(7215):975-8. doi: 10.1038/nature07397.","page":"975-978","title":"Activating mutations in ALK provide a therapeutic target in neuroblastoma","type":"article-journal","volume":"455"},"uris":["http://www.mendeley.com/documents/?uuid=4e043f2a-708e-4e0e-93ce-cb590c77ccd1","http://www.mendeley.com/documents/?uuid=c8a129c5-f97e-4a11-88a8-401ade6234ec"]},{"id":"ITEM-2","itemData":{"DOI":"10.1016/j.ccell.2014.09.019","ISBN":"1878-3686 (Electronic)\r1535-6108 (Linking)","PMID":"25517749","abstract":"Genetic studies have established anaplastic lymphoma kinase (ALK), a cell surface receptor tyrosine kinase, as a tractable molecular target in neuroblastoma. We describe comprehensive genomic, biochemical, and computational analyses of ALK mutations across 1,596 diagnostic neuroblastoma samples. ALK tyrosine kinase domain mutations occurred in 8% of samples--at three hot spots and 13 minor sites--and correlated significantly with poorer survival in high- and intermediate-risk neuroblastoma. Biochemical and computational studies distinguished oncogenic (constitutively activating) from nononcogenic mutations and allowed robust computational prediction of their effects. The mutated variants also showed differential in vitro crizotinib sensitivities. Our studies identify ALK genomic status as a clinically important therapeutic stratification tool in neuroblastoma and will allow tailoring of ALK-targeted therapy to specific mutations.","author":[{"dropping-particle":"","family":"Bresler","given":"S C","non-dropping-particle":"","parse-names":false,"suffix":""},{"dropping-particle":"","family":"Weiser","given":"D A","non-dropping-particle":"","parse-names":false,"suffix":""},{"dropping-particle":"","family":"Huwe","given":"P J","non-dropping-particle":"","parse-names":false,"suffix":""},{"dropping-particle":"","family":"Park","given":"J H","non-dropping-particle":"","parse-names":false,"suffix":""},{"dropping-particle":"","family":"Krytska","given":"K","non-dropping-particle":"","parse-names":false,"suffix":""},{"dropping-particle":"","family":"Ryles","given":"H","non-dropping-particle":"","parse-names":false,"suffix":""},{"dropping-particle":"","family":"Laudenslager","given":"M","non-dropping-particle":"","parse-names":false,"suffix":""},{"dropping-particle":"","family":"Rappaport","given":"E F","non-dropping-particle":"","parse-names":false,"suffix":""},{"dropping-particle":"","family":"Wood","given":"A C","non-dropping-particle":"","parse-names":false,"suffix":""},{"dropping-particle":"","family":"McGrady","given":"P W","non-dropping-particle":"","parse-names":false,"suffix":""},{"dropping-particle":"","family":"Hogarty","given":"M D","non-dropping-particle":"","parse-names":false,"suffix":""},{"dropping-particle":"","family":"London","given":"W B","non-dropping-particle":"","parse-names":false,"suffix":""},{"dropping-particle":"","family":"Radhakrishnan","given":"R","non-dropping-particle":"","parse-names":false,"suffix":""},{"dropping-particle":"","family":"Lemmon","given":"M A","non-dropping-particle":"","parse-names":false,"suffix":""},{"dropping-particle":"","family":"Mosse","given":"Y P","non-dropping-particle":"","parse-names":false,"suffix":""}],"container-title":"Cancer Cell","id":"ITEM-2","issue":"5","issued":{"date-parts":[["2014"]]},"note":"Bresler, Scott C\nWeiser, Daniel A\nHuwe, Peter J\nPark, Jin H\nKrytska, Kateryna\nRyles, Hannah\nLaudenslager, Marci\nRappaport, Eric F\nWood, Andrew C\nMcGrady, Patrick W\nHogarty, Michael D\nLondon, Wendy B\nRadhakrishnan, Ravi\nLemmon, Mark A\nMosse, Yael P\neng\nR01-CA140198/CA/NCI NIH HHS/\nU10 CA098413/CA/NCI NIH HHS/\nT32-GM008275/GM/NIGMS NIH HHS/\nT32 CA009615/CA/NCI NIH HHS/\nUL1RR024134/RR/NCRR NIH HHS/\nU10 CA180899/CA/NCI NIH HHS/\nT32 GM008275/GM/NIGMS NIH HHS/\nR01 CA140198/CA/NCI NIH HHS/\nUL1 RR024134/RR/NCRR NIH HHS/\nResearch Support, N.I.H., Extramural\nResearch Support, Non-U.S. Gov't\nResearch Support, U.S. Gov't, Non-P.H.S.\n2014/12/18 06:00\nCancer Cell. 2014 Nov 10;26(5):682-94. doi: 10.1016/j.ccell.2014.09.019. Epub 2014 Nov 10.","page":"682-694","title":"ALK mutations confer differential oncogenic activation and sensitivity to ALK inhibition therapy in neuroblastoma","type":"article-journal","volume":"26"},"uris":["http://www.mendeley.com/documents/?uuid=e1c9470b-0416-44bb-b644-941eef98bcbd","http://www.mendeley.com/documents/?uuid=a3126106-5df7-4d70-ada8-9af0ff87181d"]},{"id":"ITEM-3","itemData":{"DOI":"10.1158/1078-0432.CCR-09-2660","ISBN":"1078-0432 (Print)\r1078-0432 (Linking)","PMID":"20719933","abstract":"PURPOSE: Activating mutations of the anaplastic lymphoma kinase (ALK) were recently described in neuroblastoma. We carried out a meta-analysis of 709 neuroblastoma tumors to determine their frequency and mutation spectrum in relation to genomic and clinical parameters, and studied the prognostic significance of ALK copy number and expression. EXPERIMENTAL DESIGN: The frequency and type of ALK mutations, copy number gain, and expression were analyzed in a new series of 254 neuroblastoma tumors. Data from 455 published cases were used for further in-depth analysis. RESULTS: ALK mutations were present in 6.9% of 709 investigated tumors, and mutations were found in similar frequencies in favorable [International Neuroblastoma Staging System (INSS) 1, 2, and 4S; 5.7%] and unfavorable (INSS 3 and 4; 7.5%) neuroblastomas (P = 0.087). Two hotspot mutations, at positions R1275 and F1174, were observed (49% and 34.7% of the mutated cases, respectively). Interestingly, the F1174 mutations occurred in a high proportion of MYCN-amplified cases (P = 0.001), and this combined occurrence was associated with a particular poor outcome, suggesting a positive cooperative effect between both aberrations. Furthermore, the F1174L mutant was characterized by a higher degree of autophosphorylation and a more potent transforming capacity as compared with the R1275Q mutant. Chromosome 2p gains, including the ALK locus (91.8%), were associated with a significantly increased ALK expression, which was also correlated with poor survival. CONCLUSIONS: ALK mutations occur in equal frequencies across all genomic subtypes, but F1174L mutants are observed in a higher frequency of MYCN-amplified tumors and show increased transforming capacity as compared with the R1275Q mutants.","author":[{"dropping-particle":"","family":"Brouwer","given":"S","non-dropping-particle":"De","parse-names":false,"suffix":""},{"dropping-particle":"","family":"Preter","given":"K","non-dropping-particle":"De","parse-names":false,"suffix":""},{"dropping-particle":"","family":"Kumps","given":"C","non-dropping-particle":"","parse-names":false,"suffix":""},{"dropping-particle":"","family":"Zabrocki","given":"P","non-dropping-particle":"","parse-names":false,"suffix":""},{"dropping-particle":"","family":"Porcu","given":"M","non-dropping-particle":"","parse-names":false,"suffix":""},{"dropping-particle":"","family":"Westerhout","given":"E M","non-dropping-particle":"","parse-names":false,"suffix":""},{"dropping-particle":"","family":"Lakeman","given":"A","non-dropping-particle":"","parse-names":false,"suffix":""},{"dropping-particle":"","family":"Vandesompele","given":"J","non-dropping-particle":"","parse-names":false,"suffix":""},{"dropping-particle":"","family":"Hoebeeck","given":"J","non-dropping-particle":"","parse-names":false,"suffix":""},{"dropping-particle":"","family":"Maerken","given":"T","non-dropping-particle":"Van","parse-names":false,"suffix":""},{"dropping-particle":"","family":"Paepe","given":"A","non-dropping-particle":"De","parse-names":false,"suffix":""},{"dropping-particle":"","family":"Laureys","given":"G","non-dropping-particle":"","parse-names":false,"suffix":""},{"dropping-particle":"","family":"Schulte","given":"J H","non-dropping-particle":"","parse-names":false,"suffix":""},{"dropping-particle":"","family":"Schramm","given":"A","non-dropping-particle":"","parse-names":false,"suffix":""},{"dropping-particle":"","family":"Broecke","given":"C","non-dropping-particle":"Van Den","parse-names":false,"suffix":""},{"dropping-particle":"","family":"Vermeulen","given":"J","non-dropping-particle":"","parse-names":false,"suffix":""},{"dropping-particle":"","family":"Roy","given":"N","non-dropping-particle":"Van","parse-names":false,"suffix":""},{"dropping-particle":"","family":"Beiske","given":"K","non-dropping-particle":"","parse-names":false,"suffix":""},{"dropping-particle":"","family":"Renard","given":"M","non-dropping-particle":"","parse-names":false,"suffix":""},{"dropping-particle":"","family":"Noguera","given":"R","non-dropping-particle":"","parse-names":false,"suffix":""},{"dropping-particle":"","family":"Delattre","given":"O","non-dropping-particle":"","parse-names":false,"suffix":""},{"dropping-particle":"","family":"Janoueix-Lerosey","given":"I","non-dropping-particle":"","parse-names":false,"suffix":""},{"dropping-particle":"","family":"Kogner","given":"P","non-dropping-particle":"","parse-names":false,"suffix":""},{"dropping-particle":"","family":"Martinsson","given":"T","non-dropping-particle":"","parse-names":false,"suffix":""},{"dropping-particle":"","family":"Nakagawara","given":"A","non-dropping-particle":"","parse-names":false,"suffix":""},{"dropping-particle":"","family":"Ohira","given":"M","non-dropping-particle":"","parse-names":false,"suffix":""},{"dropping-particle":"","family":"Caron","given":"H","non-dropping-particle":"","parse-names":false,"suffix":""},{"dropping-particle":"","family":"Eggert","given":"A","non-dropping-particle":"","parse-names":false,"suffix":""},{"dropping-particle":"","family":"Cools","given":"J","non-dropping-particle":"","parse-names":false,"suffix":""},{"dropping-particle":"","family":"Versteeg","given":"R","non-dropping-particle":"","parse-names":false,"suffix":""},{"dropping-particle":"","family":"Speleman","given":"F","non-dropping-particle":"","parse-names":false,"suffix":""}],"container-title":"Clin Cancer Res","id":"ITEM-3","issue":"17","issued":{"date-parts":[["2010"]]},"note":"De Brouwer, Sara\nDe Preter, Katleen\nKumps, Candy\nZabrocki, Piotr\nPorcu, Michael\nWesterhout, Ellen M\nLakeman, Arjan\nVandesompele, Jo\nHoebeeck, Jasmien\nVan Maerken, Tom\nDe Paepe, Anne\nLaureys, Genevieve\nSchulte, Johannes H\nSchramm, Alexander\nVan Den Broecke, Caroline\nVermeulen, Joelle\nVan Roy, Nadine\nBeiske, Klaus\nRenard, Marleen\nNoguera, Rosa\nDelattre, Olivier\nJanoueix-Lerosey, Isabelle\nKogner, Per\nMartinsson, Tommy\nNakagawara, Akira\nOhira, Miki\nCaron, Huib\nEggert, Angelika\nCools, Jan\nVersteeg, Rogier\nSpeleman, Frank\neng\nMeta-Analysis\nResearch Support, Non-U.S. Gov't\n2010/08/20 06:00\nClin Cancer Res. 2010 Sep 1;16(17):4353-62. doi: 10.1158/1078-0432.CCR-09-2660. Epub 2010 Aug 18.","page":"4353-4362","title":"Meta-analysis of neuroblastomas reveals a skewed ALK mutation spectrum in tumors with MYCN amplification","type":"article-journal","volume":"16"},"uris":["http://www.mendeley.com/documents/?uuid=9a620466-ff7c-454b-810a-ec0d87b6c8a7"]}],"mendeley":{"formattedCitation":"&lt;sup&gt;10–12&lt;/sup&gt;","plainTextFormattedCitation":"10–12","previouslyFormattedCitation":"&lt;sup&gt;10–12&lt;/sup&gt;"},"properties":{"noteIndex":0},"schema":"https://github.com/citation-style-language/schema/raw/master/csl-citation.json"}</w:instrText>
      </w:r>
      <w:r w:rsidR="00FC01DC" w:rsidRPr="00E94CA9">
        <w:rPr>
          <w:rFonts w:cs="Arial"/>
          <w:sz w:val="22"/>
          <w:szCs w:val="22"/>
        </w:rPr>
        <w:fldChar w:fldCharType="separate"/>
      </w:r>
      <w:r w:rsidR="00542124" w:rsidRPr="00E94CA9">
        <w:rPr>
          <w:rFonts w:cs="Arial"/>
          <w:noProof/>
          <w:sz w:val="22"/>
          <w:szCs w:val="22"/>
          <w:vertAlign w:val="superscript"/>
        </w:rPr>
        <w:t>10–12</w:t>
      </w:r>
      <w:r w:rsidR="00FC01DC"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Given the plethora of interest in the development of ALK inhibitors in non-small cell lung cancer (NSCLC), the assessment of these compounds in ALK-positive NB quickly followed. Numerous recent studies have demonstrated the efficacy of ALK inhibitors against ALK-positive NB cell lines and patient-derived xenografts</w:t>
      </w:r>
      <w:r w:rsidR="003E4BCE" w:rsidRPr="00E94CA9">
        <w:rPr>
          <w:rFonts w:cs="Arial"/>
          <w:sz w:val="22"/>
          <w:szCs w:val="22"/>
        </w:rPr>
        <w:fldChar w:fldCharType="begin" w:fldLock="1"/>
      </w:r>
      <w:r w:rsidR="00394C69">
        <w:rPr>
          <w:rFonts w:cs="Arial"/>
          <w:sz w:val="22"/>
          <w:szCs w:val="22"/>
        </w:rPr>
        <w:instrText>ADDIN CSL_CITATION {"citationItems":[{"id":"ITEM-1","itemData":{"DOI":"10.7554/eLife.17137","ISBN":"2050-084X (Electronic)\r2050-084X (Linking)","PMID":"28425916","abstract":"The efficacy of ALK inhibitors in patients with ALK-mutant neuroblastoma is limited, highlighting the need to improve their effectiveness in these patients. To this end, we sought to develop a combination strategy to enhance the antitumor activity of ALK inhibitor monotherapy in human neuroblastoma cell lines and xenograft models expressing activated ALK. Herein, we report that combined inhibition of ALK and MDM2 induced a complementary set of anti-proliferative and pro-apoptotic proteins. Consequently, this combination treatment synergistically inhibited proliferation of TP53 wild-type neuroblastoma cells harboring ALK amplification or mutations in vitro, and resulted in complete and durable responses in neuroblastoma xenografts derived from these cells. We further demonstrate that concurrent inhibition of MDM2 and ALK was able to overcome ceritinib resistance conferred by MYCN upregulation in vitro and in vivo. Together, combined inhibition of ALK and MDM2 may provide an effective treatment for TP53 wild-type neuroblastoma with ALK aberrations.","author":[{"dropping-particle":"","family":"Wang","given":"H Q","non-dropping-particle":"","parse-names":false,"suffix":""},{"dropping-particle":"","family":"Halilovic","given":"E","non-dropping-particle":"","parse-names":false,"suffix":""},{"dropping-particle":"","family":"Li","given":"X","non-dropping-particle":"","parse-names":false,"suffix":""},{"dropping-particle":"","family":"Liang","given":"J","non-dropping-particle":"","parse-names":false,"suffix":""},{"dropping-particle":"","family":"Cao","given":"Y","non-dropping-particle":"","parse-names":false,"suffix":""},{"dropping-particle":"","family":"Rakiec","given":"D P","non-dropping-particle":"","parse-names":false,"suffix":""},{"dropping-particle":"","family":"Ruddy","given":"D A","non-dropping-particle":"","parse-names":false,"suffix":""},{"dropping-particle":"","family":"Jeay","given":"S","non-dropping-particle":"","parse-names":false,"suffix":""},{"dropping-particle":"","family":"Wuerthner","given":"J U","non-dropping-particle":"","parse-names":false,"suffix":""},{"dropping-particle":"","family":"Timple","given":"N","non-dropping-particle":"","parse-names":false,"suffix":""},{"dropping-particle":"","family":"Kasibhatla","given":"S","non-dropping-particle":"","parse-names":false,"suffix":""},{"dropping-particle":"","family":"Li","given":"N","non-dropping-particle":"","parse-names":false,"suffix":""},{"dropping-particle":"","family":"Williams","given":"J A","non-dropping-particle":"","parse-names":false,"suffix":""},{"dropping-particle":"","family":"Sellers","given":"W R","non-dropping-particle":"","parse-names":false,"suffix":""},{"dropping-particle":"","family":"Huang","given":"A","non-dropping-particle":"","parse-names":false,"suffix":""},{"dropping-particle":"","family":"Li","given":"F","non-dropping-particle":"","parse-names":false,"suffix":""}],"container-title":"Elife","id":"ITEM-1","issued":{"date-parts":[["2017"]]},"note":"Wang, Hui Qin\nHalilovic, Ensar\nLi, Xiaoyan\nLiang, Jinsheng\nCao, Yichen\nRakiec, Daniel P\nRuddy, David A\nJeay, Sebastien\nWuerthner, Jens U\nTimple, Noelito\nKasibhatla, Shailaja\nLi, Nanxin\nWilliams, Juliet A\nSellers, William R\nHuang, Alan\nLi, Fang\neng\nResearch Support, Non-U.S. Gov't\nEngland\n2017/04/21 06:00\nElife. 2017 Apr 20;6. doi: 10.7554/eLife.17137.","title":"Combined ALK and MDM2 inhibition increases antitumor activity and overcomes resistance in human ALK mutant neuroblastoma cell lines and xenograft models","type":"article-journal","volume":"6"},"uris":["http://www.mendeley.com/documents/?uuid=9d4dd067-710c-4a8b-b913-6a89e9a4a2b9","http://www.mendeley.com/documents/?uuid=6533addd-2340-433a-b722-5087dd1d7299"]},{"id":"ITEM-2","itemData":{"DOI":"10.1242/dmm.024448","ISSN":"1754-8403","PMID":"27483357","abstract":"The first-in-class inhibitor of ALK, c-MET and ROS1, crizotinib (Xalkori), has shown remarkable clinical efficacy in treatment of ALK-positive non-small cell lung cancer. However, in neuroblastoma, activating mutations in the ALK kinase domain are typically refractory to crizotinib treatment, highlighting the need for more potent inhibitors. The next-generation ALK inhibitor PF-06463922 is predicted to exhibit increased affinity for ALK mutants prevalent in neuroblastoma. We examined PF-06463922 activity in ALK-driven neuroblastoma models in vitro and in vivo In vitro kinase assays and cell-based experiments examining ALK mutations of increasing potency show that PF-06463922 is an effective inhibitor of ALK with greater activity towards ALK neuroblastoma mutants. In contrast to crizotinib, single agent administration of PF-06463922 caused dramatic tumor inhibition in both subcutaneous and orthotopic xenografts as well as a mouse model of high-risk neuroblastoma driven by Th-ALK(F1174L)/MYCN Taken together, our results suggest PF-06463922 is a potent inhibitor of crizotinib-resistant ALK mutations, and highlights an important new treatment option for neuroblastoma patients.","author":[{"dropping-particle":"","family":"Guan","given":"J.","non-dropping-particle":"","parse-names":false,"suffix":""},{"dropping-particle":"","family":"Tucker","given":"E. R.","non-dropping-particle":"","parse-names":false,"suffix":""},{"dropping-particle":"","family":"Wan","given":"H.","non-dropping-particle":"","parse-names":false,"suffix":""},{"dropping-particle":"","family":"Chand","given":"D.","non-dropping-particle":"","parse-names":false,"suffix":""},{"dropping-particle":"","family":"Danielson","given":"L. S.","non-dropping-particle":"","parse-names":false,"suffix":""},{"dropping-particle":"","family":"Ruuth","given":"K.","non-dropping-particle":"","parse-names":false,"suffix":""},{"dropping-particle":"","family":"Wakil","given":"A.","non-dropping-particle":"El","parse-names":false,"suffix":""},{"dropping-particle":"","family":"Witek","given":"B.","non-dropping-particle":"","parse-names":false,"suffix":""},{"dropping-particle":"","family":"Jamin","given":"Y.","non-dropping-particle":"","parse-names":false,"suffix":""},{"dropping-particle":"","family":"Umapathy","given":"G.","non-dropping-particle":"","parse-names":false,"suffix":""},{"dropping-particle":"","family":"Robinson","given":"S. P.","non-dropping-particle":"","parse-names":false,"suffix":""},{"dropping-particle":"","family":"Johnson","given":"T. W.","non-dropping-particle":"","parse-names":false,"suffix":""},{"dropping-particle":"","family":"Smeal","given":"T.","non-dropping-particle":"","parse-names":false,"suffix":""},{"dropping-particle":"","family":"Martinsson","given":"T.","non-dropping-particle":"","parse-names":false,"suffix":""},{"dropping-particle":"","family":"Chesler","given":"L.","non-dropping-particle":"","parse-names":false,"suffix":""},{"dropping-particle":"","family":"Palmer","given":"R. H.","non-dropping-particle":"","parse-names":false,"suffix":""},{"dropping-particle":"","family":"Hallberg","given":"B.","non-dropping-particle":"","parse-names":false,"suffix":""}],"container-title":"Disease Models &amp; Mechanisms","id":"ITEM-2","issue":"9","issued":{"date-parts":[["2016","9","1"]]},"page":"941-952","title":"The ALK inhibitor PF-06463922 is effective as a single agent in neuroblastoma driven by expression of ALK and MYCN","type":"article-journal","volume":"9"},"uris":["http://www.mendeley.com/documents/?uuid=b752d82e-8998-3fc8-bdb4-3c40d8bb65b1","http://www.mendeley.com/documents/?uuid=586cd615-9322-40d7-b94a-6f87345fd1c9"]},{"id":"ITEM-3","itemData":{"DOI":"10.18632/oncotarget.8508","ISSN":"1949-2553","PMID":"27049722","abstract":"Anaplastic lymphoma kinase (ALK) is a tyrosine kinase receptor which has been implicated in numerous solid and hematologic cancers. ALK mutations are reported in about 5-7% of neuroblastoma cases but the ALK-positive percentage increases significantly in the relapsed patient population. Crizotinib, the first clinically approved ALK inhibitor for the treatment of ALK-positive lung cancer has had less dramatic responses in neuroblastoma. Here we investigate the efficacy of a second-generation ALK inhibitor, brigatinib, in a neuroblastoma setting. Employing neuroblastoma cell lines, mouse xenograft and Drosophila melanogaster model systems expressing different constitutively active ALK variants, we show clear and efficient inhibition of ALK activity by brigatinib. Similar abrogation of ALK activity was observed in vitro employing a set of different constitutively active ALK variants in biochemical assays. These results suggest that brigatinib is an effective inhibitor of ALK kinase activity in ALK addicted neuroblastoma that should be considered as a potential future therapeutic option for ALK-positive neuroblastoma patients alone or in combination with other treatments.","author":[{"dropping-particle":"","family":"Siaw","given":"Joachim T","non-dropping-particle":"","parse-names":false,"suffix":""},{"dropping-particle":"","family":"Wan","given":"Haiying","non-dropping-particle":"","parse-names":false,"suffix":""},{"dropping-particle":"","family":"Pfeifer","given":"Kathrin","non-dropping-particle":"","parse-names":false,"suffix":""},{"dropping-particle":"","family":"Rivera","given":"Victor M","non-dropping-particle":"","parse-names":false,"suffix":""},{"dropping-particle":"","family":"Guan","given":"Jikui","non-dropping-particle":"","parse-names":false,"suffix":""},{"dropping-particle":"","family":"Palmer","given":"Ruth H","non-dropping-particle":"","parse-names":false,"suffix":""},{"dropping-particle":"","family":"Hallberg","given":"Bengt","non-dropping-particle":"","parse-names":false,"suffix":""}],"container-title":"Oncotarget","id":"ITEM-3","issue":"20","issued":{"date-parts":[["2016","5","17"]]},"page":"29011-22","title":"Brigatinib, an anaplastic lymphoma kinase inhibitor, abrogates activity and growth in ALK-positive neuroblastoma cells, Drosophila and mice.","type":"article-journal","volume":"7"},"uris":["http://www.mendeley.com/documents/?uuid=f822e073-b0b9-3fac-81ce-c9759c3e8ea8","http://www.mendeley.com/documents/?uuid=75d59098-f2fb-4efd-8610-0743cce9c841"]}],"mendeley":{"formattedCitation":"&lt;sup&gt;13–15&lt;/sup&gt;","plainTextFormattedCitation":"13–15","previouslyFormattedCitation":"&lt;sup&gt;13–15&lt;/sup&gt;"},"properties":{"noteIndex":0},"schema":"https://github.com/citation-style-language/schema/raw/master/csl-citation.json"}</w:instrText>
      </w:r>
      <w:r w:rsidR="003E4BCE" w:rsidRPr="00E94CA9">
        <w:rPr>
          <w:rFonts w:cs="Arial"/>
          <w:sz w:val="22"/>
          <w:szCs w:val="22"/>
        </w:rPr>
        <w:fldChar w:fldCharType="separate"/>
      </w:r>
      <w:r w:rsidR="00542124" w:rsidRPr="00E94CA9">
        <w:rPr>
          <w:rFonts w:cs="Arial"/>
          <w:noProof/>
          <w:sz w:val="22"/>
          <w:szCs w:val="22"/>
          <w:vertAlign w:val="superscript"/>
        </w:rPr>
        <w:t>13–15</w:t>
      </w:r>
      <w:r w:rsidR="003E4BCE" w:rsidRPr="00E94CA9">
        <w:rPr>
          <w:rFonts w:cs="Arial"/>
          <w:sz w:val="22"/>
          <w:szCs w:val="22"/>
        </w:rPr>
        <w:fldChar w:fldCharType="end"/>
      </w:r>
      <w:r w:rsidRPr="00E94CA9">
        <w:rPr>
          <w:rFonts w:cs="Arial"/>
          <w:sz w:val="22"/>
          <w:szCs w:val="22"/>
        </w:rPr>
        <w:t xml:space="preserve">. Several of these studies have documented the </w:t>
      </w:r>
      <w:r w:rsidRPr="00E94CA9">
        <w:rPr>
          <w:rFonts w:cs="Arial"/>
          <w:i/>
          <w:sz w:val="22"/>
          <w:szCs w:val="22"/>
        </w:rPr>
        <w:t>de novo</w:t>
      </w:r>
      <w:r w:rsidRPr="00E94CA9">
        <w:rPr>
          <w:rFonts w:cs="Arial"/>
          <w:sz w:val="22"/>
          <w:szCs w:val="22"/>
        </w:rPr>
        <w:t xml:space="preserve"> resistance of the ALK</w:t>
      </w:r>
      <w:r w:rsidRPr="00E94CA9">
        <w:rPr>
          <w:rFonts w:cs="Arial"/>
          <w:sz w:val="22"/>
          <w:szCs w:val="22"/>
          <w:vertAlign w:val="superscript"/>
        </w:rPr>
        <w:t>F1174L</w:t>
      </w:r>
      <w:r w:rsidRPr="00E94CA9">
        <w:rPr>
          <w:rFonts w:cs="Arial"/>
          <w:sz w:val="22"/>
          <w:szCs w:val="22"/>
        </w:rPr>
        <w:t xml:space="preserve"> mutation to </w:t>
      </w:r>
      <w:proofErr w:type="spellStart"/>
      <w:r w:rsidRPr="00E94CA9">
        <w:rPr>
          <w:rFonts w:cs="Arial"/>
          <w:sz w:val="22"/>
          <w:szCs w:val="22"/>
        </w:rPr>
        <w:t>crizotinib</w:t>
      </w:r>
      <w:proofErr w:type="spellEnd"/>
      <w:r w:rsidRPr="00E94CA9">
        <w:rPr>
          <w:rFonts w:cs="Arial"/>
          <w:sz w:val="22"/>
          <w:szCs w:val="22"/>
        </w:rPr>
        <w:t xml:space="preserve"> and </w:t>
      </w:r>
      <w:proofErr w:type="spellStart"/>
      <w:r w:rsidRPr="00E94CA9">
        <w:rPr>
          <w:rFonts w:cs="Arial"/>
          <w:sz w:val="22"/>
          <w:szCs w:val="22"/>
        </w:rPr>
        <w:t>ceritinib</w:t>
      </w:r>
      <w:proofErr w:type="spellEnd"/>
      <w:r w:rsidRPr="00E94CA9">
        <w:rPr>
          <w:rFonts w:cs="Arial"/>
          <w:sz w:val="22"/>
          <w:szCs w:val="22"/>
        </w:rPr>
        <w:t>, and have devised combinatorial treatment strategies to enhance efficacy</w:t>
      </w:r>
      <w:r w:rsidR="00770194" w:rsidRPr="00E94CA9">
        <w:rPr>
          <w:rFonts w:cs="Arial"/>
          <w:sz w:val="22"/>
          <w:szCs w:val="22"/>
        </w:rPr>
        <w:fldChar w:fldCharType="begin" w:fldLock="1"/>
      </w:r>
      <w:r w:rsidR="00394C69">
        <w:rPr>
          <w:rFonts w:cs="Arial"/>
          <w:sz w:val="22"/>
          <w:szCs w:val="22"/>
        </w:rPr>
        <w:instrText>ADDIN CSL_CITATION {"citationItems":[{"id":"ITEM-1","itemData":{"DOI":"10.1126/scitranslmed.3002950","ISSN":"1946-6234","PMID":"22072639","abstract":"Activating mutations in the anaplastic lymphoma kinase (ALK) gene were recently discovered in neuroblastoma, a cancer of the developing autonomic nervous system that is the most commonly diagnosed malignancy in the first year of life. The most frequent ALK mutations in neuroblastoma cause amino acid substitutions (F1174L and R1275Q) in the intracellular tyrosine kinase domain of the intact ALK receptor. Identification of ALK as an oncogenic driver in neuroblastoma suggests that crizotinib (PF-02341066), a dual-specific inhibitor of the ALK and Met tyrosine kinases, will be useful in treating this malignancy. Here, we assessed the ability of crizotinib to inhibit proliferation of neuroblastoma cell lines and xenografts expressing mutated or wild-type ALK. Crizotinib inhibited proliferation of cell lines expressing either R1275Q-mutated ALK or amplified wild-type ALK. In contrast, cell lines harboring F1174L-mutated ALK were relatively resistant to crizotinib. Biochemical analyses revealed that this reduced susceptibility of F1174L-mutated ALK to crizotinib inhibition resulted from an increased adenosine triphosphate-binding affinity (as also seen in acquired resistance to epidermal growth factor receptor inhibitors). Thus, this effect should be surmountable with higher doses of crizotinib and/or with higher-affinity inhibitors.","author":[{"dropping-particle":"","family":"Bresler","given":"S. C.","non-dropping-particle":"","parse-names":false,"suffix":""},{"dropping-particle":"","family":"Wood","given":"A. C.","non-dropping-particle":"","parse-names":false,"suffix":""},{"dropping-particle":"","family":"Haglund","given":"E. A.","non-dropping-particle":"","parse-names":false,"suffix":""},{"dropping-particle":"","family":"Courtright","given":"J.","non-dropping-particle":"","parse-names":false,"suffix":""},{"dropping-particle":"","family":"Belcastro","given":"L. T.","non-dropping-particle":"","parse-names":false,"suffix":""},{"dropping-particle":"","family":"Plegaria","given":"J. S.","non-dropping-particle":"","parse-names":false,"suffix":""},{"dropping-particle":"","family":"Cole","given":"K.","non-dropping-particle":"","parse-names":false,"suffix":""},{"dropping-particle":"","family":"Toporovskaya","given":"Y.","non-dropping-particle":"","parse-names":false,"suffix":""},{"dropping-particle":"","family":"Zhao","given":"H.","non-dropping-particle":"","parse-names":false,"suffix":""},{"dropping-particle":"","family":"Carpenter","given":"E. L.","non-dropping-particle":"","parse-names":false,"suffix":""},{"dropping-particle":"","family":"Christensen","given":"J. G.","non-dropping-particle":"","parse-names":false,"suffix":""},{"dropping-particle":"","family":"Maris","given":"J. M.","non-dropping-particle":"","parse-names":false,"suffix":""},{"dropping-particle":"","family":"Lemmon","given":"M. A.","non-dropping-particle":"","parse-names":false,"suffix":""},{"dropping-particle":"","family":"Mosse","given":"Y. P.","non-dropping-particle":"","parse-names":false,"suffix":""}],"container-title":"Science Translational Medicine","id":"ITEM-1","issue":"108","issued":{"date-parts":[["2011","11","9"]]},"page":"108ra114-108ra114","title":"Differential Inhibitor Sensitivity of Anaplastic Lymphoma Kinase Variants Found in Neuroblastoma","type":"article-journal","volume":"3"},"uris":["http://www.mendeley.com/documents/?uuid=1056afb8-9245-33c8-b72b-4b2045f2abe7"]},{"id":"ITEM-2","itemData":{"DOI":"10.1158/2159-8290.CD-13-0846","ISBN":"2159-8290 (Electronic)\r2159-8274 (Linking)","PMID":"24675041","abstract":"UNLABELLED: Non-small cell lung cancers (NSCLC) harboring anaplastic lymphoma kinase (ALK) gene rearrangements invariably develop resistance to the ALK tyrosine kinase inhibitor (TKI) crizotinib. Herein, we report the first preclinical evaluation of the next-generation ALK TKI, ceritinib (LDK378), in the setting of crizotinib resistance. An interrogation of in vitro and in vivo models of acquired resistance to crizotinib, including cell lines established from biopsies of patients with crizotinib-resistant NSCLC, revealed that ceritinib potently overcomes crizotinib-resistant mutations. In particular, ceritinib effectively inhibits ALK harboring L1196M, G1269A, I1171T, and S1206Y mutations, and a cocrystal structure of ceritinib bound to ALK provides structural bases for this increased potency. However, we observed that ceritinib did not overcome two crizotinib-resistant ALK mutations, G1202R and F1174C, and one of these mutations was identified in 5 of 11 biopsies from patients with acquired resistance to ceritinib. Altogether, our results demonstrate that ceritinib can overcome crizotinib resistance, consistent with clinical data showing marked efficacy of ceritinib in patients with crizotinib-resistant disease. SIGNIFICANCE: The second-generation ALK inhibitor ceritinib can overcome several crizotinib-resistant mutations and is potent against several in vitro and in vivo laboratory models of acquired resistance to crizotinib. These findings provide the molecular basis for the marked clinical activity of ceritinib in patients with ALK-positive NSCLC with crizotinib-resistant disease. Cancer Discov; 4(6); 662-73. (c)2014 AACR. See related commentary by Ramalingam and Khuri, p. 634 This article is highlighted in the In This Issue feature, p. 621.","author":[{"dropping-particle":"","family":"Friboulet","given":"L","non-dropping-particle":"","parse-names":false,"suffix":""},{"dropping-particle":"","family":"Li","given":"N","non-dropping-particle":"","parse-names":false,"suffix":""},{"dropping-particle":"","family":"Katayama","given":"R","non-dropping-particle":"","parse-names":false,"suffix":""},{"dropping-particle":"","family":"Lee","given":"C C","non-dropping-particle":"","parse-names":false,"suffix":""},{"dropping-particle":"","family":"Gainor","given":"J F","non-dropping-particle":"","parse-names":false,"suffix":""},{"dropping-particle":"","family":"Crystal","given":"A S","non-dropping-particle":"","parse-names":false,"suffix":""},{"dropping-particle":"","family":"Michellys","given":"P Y","non-dropping-particle":"","parse-names":false,"suffix":""},{"dropping-particle":"","family":"Awad","given":"M M","non-dropping-particle":"","parse-names":false,"suffix":""},{"dropping-particle":"","family":"Yanagitani","given":"N","non-dropping-particle":"","parse-names":false,"suffix":""},{"dropping-particle":"","family":"Kim","given":"S","non-dropping-particle":"","parse-names":false,"suffix":""},{"dropping-particle":"","family":"Pferdekamper","given":"A C","non-dropping-particle":"","parse-names":false,"suffix":""},{"dropping-particle":"","family":"Li","given":"J","non-dropping-particle":"","parse-names":false,"suffix":""},{"dropping-particle":"","family":"Kasibhatla","given":"S","non-dropping-particle":"","parse-names":false,"suffix":""},{"dropping-particle":"","family":"Sun","given":"F","non-dropping-particle":"","parse-names":false,"suffix":""},{"dropping-particle":"","family":"Sun","given":"X","non-dropping-particle":"","parse-names":false,"suffix":""},{"dropping-particle":"","family":"Hua","given":"S","non-dropping-particle":"","parse-names":false,"suffix":""},{"dropping-particle":"","family":"McNamara","given":"P","non-dropping-particle":"","parse-names":false,"suffix":""},{"dropping-particle":"","family":"Mahmood","given":"S","non-dropping-particle":"","parse-names":false,"suffix":""},{"dropping-particle":"","family":"Lockerman","given":"E L","non-dropping-particle":"","parse-names":false,"suffix":""},{"dropping-particle":"","family":"Fujita","given":"N","non-dropping-particle":"","parse-names":false,"suffix":""},{"dropping-particle":"","family":"Nishio","given":"M","non-dropping-particle":"","parse-names":false,"suffix":""},{"dropping-particle":"","family":"Harris","given":"J L","non-dropping-particle":"","parse-names":false,"suffix":""},{"dropping-particle":"","family":"Shaw","given":"A T","non-dropping-particle":"","parse-names":false,"suffix":""},{"dropping-particle":"","family":"Engelman","given":"J A","non-dropping-particle":"","parse-names":false,"suffix":""}],"container-title":"Cancer Discov","id":"ITEM-2","issue":"6","issued":{"date-parts":[["2014"]]},"note":"Friboulet, Luc\nLi, Nanxin\nKatayama, Ryohei\nLee, Christian C\nGainor, Justin F\nCrystal, Adam S\nMichellys, Pierre-Yves\nAwad, Mark M\nYanagitani, Noriko\nKim, Sungjoon\nPferdekamper, AnneMarie C\nLi, Jie\nKasibhatla, Shailaja\nSun, Frank\nSun, Xiuying\nHua, Su\nMcNamara, Peter\nMahmood, Sidra\nLockerman, Elizabeth L\nFujita, Naoya\nNishio, Makoto\nHarris, Jennifer L\nShaw, Alice T\nEngelman, Jeffrey A\neng\nR01 CA137008/CA/NCI NIH HHS/\nR01 CA164273/CA/NCI NIH HHS/\n5R01CA164273-02/CA/NCI NIH HHS/\nR01CA137008/CA/NCI NIH HHS/\nResearch Support, N.I.H., Extramural\nResearch Support, Non-U.S. Gov't\n2014/03/29 06:00\nCancer Discov. 2014 Jun;4(6):662-673. doi: 10.1158/2159-8290.CD-13-0846. Epub 2014 Mar 27.","page":"662-673","title":"The ALK inhibitor ceritinib overcomes crizotinib resistance in non-small cell lung cancer","type":"article-journal","volume":"4"},"uris":["http://www.mendeley.com/documents/?uuid=afa8f71d-7e7c-431e-8f46-a679e6125379","http://www.mendeley.com/documents/?uuid=ee08a1bc-f6d5-4724-a0ce-a0417060e079"]},{"id":"ITEM-3","itemData":{"DOI":"10.1016/j.bbrc.2014.10.126","ISBN":"1090-2104 (Electronic)\r0006-291X (Linking)","PMID":"25450694","abstract":"Neuroblastoma (NB) patients harboring mutated ALK can be expected to potentially benefit from targeted therapy based on ALK tyrosine kinase inhibitor (TKI), such as crizotinib and ceritinib. However, the effect of the treatment varies with different individuals, although with the same genic changes. Axl receptor tyrosine kinase is expressed in a variety of human cancers, but little data are reported in NB, particularly in which carrying mutated ALK. In this study, we focus on the roles of Axl in ALK-mutated NB for investigating rational therapeutic strategy. We found that Axl is expressed in ALK-positive NB tissues and cell lines, and could be effectively activated by its ligand GAS6. Ligand-dependent Axl activation obviously rescued crizotinib-mediated suppression of cell proliferation in ALK-mutated NB cells. Genetic inhibition of Axl with specific small interfering RNA markedly increased the sensitivity of cells to ALK-TKIs. Furthermore, a small-molecule inhibitor of Axl significantly enhanced ALK-targeted therapy, as an increased frequency of apoptosis was observed in NB cells co-expressing ALK and Axl. Taken together, our results demonstrated that activation of Axl could lead to insensitivity to ALK inhibitors, and dual inhibition of ALK and Axl might be a potential therapeutic strategy against ALK-mutated NB.","author":[{"dropping-particle":"","family":"Xu","given":"F","non-dropping-particle":"","parse-names":false,"suffix":""},{"dropping-particle":"","family":"Li","given":"H","non-dropping-particle":"","parse-names":false,"suffix":""},{"dropping-particle":"","family":"Sun","given":"Y","non-dropping-particle":"","parse-names":false,"suffix":""}],"container-title":"Biochem Biophys Res Commun","id":"ITEM-3","issue":"4","issued":{"date-parts":[["2014"]]},"note":"Xu, Fei\nLi, Hongling\nSun, Yong\neng\n2014/12/03 06:00\nBiochem Biophys Res Commun. 2014 Nov 28;454(4):566-71. doi: 10.1016/j.bbrc.2014.10.126. Epub 2014 Oct 30.","page":"566-571","title":"Inhibition of Axl improves the targeted therapy against ALK-mutated neuroblastoma","type":"article-journal","volume":"454"},"uris":["http://www.mendeley.com/documents/?uuid=49470c37-07bc-42b1-8a58-b2a4bd07b883","http://www.mendeley.com/documents/?uuid=dcb784f1-0f68-439c-968f-d1198ec95278"]},{"id":"ITEM-4","itemData":{"DOI":"10.1158/1078-0432.CCR-16-1114","ISBN":"1078-0432 (Print)\r1078-0432 (Linking)","PMID":"27986745","abstract":"Purpose: Anaplastic lymphoma kinase (ALK) is the most frequently mutated oncogene in the pediatric cancer neuroblastoma. We performed an in vitro screen for synergistic drug combinations that target neuroblastomas with mutations in ALK to determine whether drug combinations could enhance antitumor efficacy.Experimental Design: We screened combinations of eight molecularly targeted agents against 17 comprehensively characterized human neuroblastoma-derived cell lines. We investigated the combination of ceritinib and ribociclib on in vitro proliferation, cell cycle, viability, caspase activation, and the cyclin D/CDK4/CDK6/RB and pALK signaling networks in cell lines with representative ALK status. We performed in vivo trials in CB17 SCID mice bearing conventional and patient-derived xenograft models comparing ceritinib alone, ribociclib alone, and the combination, with plasma pharmacokinetics to evaluate for drug-drug interactions.Results: The combination of ribociclib, a dual inhibitor of cyclin-dependent kinase (CDK) 4 and 6, and the ALK inhibitor ceritinib demonstrated higher cytotoxicity (P = 0.008) and synergy scores (P = 0.006) in cell lines with ALK mutations as compared with cell lines lacking mutations or alterations in ALK Compared with either drug alone, combination therapy enhanced growth inhibition, cell-cycle arrest, and caspase-independent cell death. Combination therapy achieved complete regressions in neuroblastoma xenografts with ALK-F1174L and F1245C de novo resistance mutations and prevented the emergence of resistance. Murine ribociclib and ceritinib plasma concentrations were unaltered by combination therapy.Conclusions: This preclinical combination drug screen with in vivo validation has provided the rationale for a first-in-children trial of combination ceritinib and ribociclib in a molecularly selected pediatric population. Clin Cancer Res; 23(11); 2856-68. (c)2016 AACR.","author":[{"dropping-particle":"","family":"Wood","given":"A C","non-dropping-particle":"","parse-names":false,"suffix":""},{"dropping-particle":"","family":"Krytska","given":"K","non-dropping-particle":"","parse-names":false,"suffix":""},{"dropping-particle":"","family":"Ryles","given":"H T","non-dropping-particle":"","parse-names":false,"suffix":""},{"dropping-particle":"","family":"Infarinato","given":"N R","non-dropping-particle":"","parse-names":false,"suffix":""},{"dropping-particle":"","family":"Sano","given":"R","non-dropping-particle":"","parse-names":false,"suffix":""},{"dropping-particle":"","family":"Hansel","given":"T D","non-dropping-particle":"","parse-names":false,"suffix":""},{"dropping-particle":"","family":"Hart","given":"L S","non-dropping-particle":"","parse-names":false,"suffix":""},{"dropping-particle":"","family":"King","given":"F J","non-dropping-particle":"","parse-names":false,"suffix":""},{"dropping-particle":"","family":"Smith","given":"T R","non-dropping-particle":"","parse-names":false,"suffix":""},{"dropping-particle":"","family":"Ainscow","given":"E","non-dropping-particle":"","parse-names":false,"suffix":""},{"dropping-particle":"","family":"Grandinetti","given":"K B","non-dropping-particle":"","parse-names":false,"suffix":""},{"dropping-particle":"","family":"Tuntland","given":"T","non-dropping-particle":"","parse-names":false,"suffix":""},{"dropping-particle":"","family":"Kim","given":"S","non-dropping-particle":"","parse-names":false,"suffix":""},{"dropping-particle":"","family":"Caponigro","given":"G","non-dropping-particle":"","parse-names":false,"suffix":""},{"dropping-particle":"","family":"He","given":"Y Q","non-dropping-particle":"","parse-names":false,"suffix":""},{"dropping-particle":"","family":"Krupa","given":"S","non-dropping-particle":"","parse-names":false,"suffix":""},{"dropping-particle":"","family":"Li","given":"N","non-dropping-particle":"","parse-names":false,"suffix":""},{"dropping-particle":"","family":"Harris","given":"J L","non-dropping-particle":"","parse-names":false,"suffix":""},{"dropping-particle":"","family":"Mosse","given":"Y P","non-dropping-particle":"","parse-names":false,"suffix":""}],"container-title":"Clin Cancer Res","id":"ITEM-4","issue":"11","issued":{"date-parts":[["2017"]]},"note":"Wood, Andrew C\nKrytska, Kateryna\nRyles, Hannah T\nInfarinato, Nicole R\nSano, Renata\nHansel, Theodore D\nHart, Lori S\nKing, Frederick J\nSmith, Timothy R\nAinscow, Edward\nGrandinetti, Kathryn B\nTuntland, Tove\nKim, Sunkyu\nCaponigro, Giordano\nHe, You Qun\nKrupa, Shiva\nLi, Nanxin\nHarris, Jennifer L\nMosse, Yael P\neng\nR01 CA140198/CA/NCI NIH HHS/\n2016/12/18 06:00\nClin Cancer Res. 2017 Jun 1;23(11):2856-2868. doi: 10.1158/1078-0432.CCR-16-1114. Epub 2016 Dec 16.","page":"2856-2868","title":"Dual ALK and CDK4/6 Inhibition Demonstrates Synergy against Neuroblastoma","type":"article-journal","volume":"23"},"uris":["http://www.mendeley.com/documents/?uuid=76c9bea0-c58e-4a73-beb5-964b2099ac83","http://www.mendeley.com/documents/?uuid=bebbf45b-5849-41c7-92b5-e34654ae9da4"]},{"id":"ITEM-5","itemData":{"DOI":"10.7554/eLife.17137","ISBN":"2050-084X (Electronic)\r2050-084X (Linking)","PMID":"28425916","abstract":"The efficacy of ALK inhibitors in patients with ALK-mutant neuroblastoma is limited, highlighting the need to improve their effectiveness in these patients. To this end, we sought to develop a combination strategy to enhance the antitumor activity of ALK inhibitor monotherapy in human neuroblastoma cell lines and xenograft models expressing activated ALK. Herein, we report that combined inhibition of ALK and MDM2 induced a complementary set of anti-proliferative and pro-apoptotic proteins. Consequently, this combination treatment synergistically inhibited proliferation of TP53 wild-type neuroblastoma cells harboring ALK amplification or mutations in vitro, and resulted in complete and durable responses in neuroblastoma xenografts derived from these cells. We further demonstrate that concurrent inhibition of MDM2 and ALK was able to overcome ceritinib resistance conferred by MYCN upregulation in vitro and in vivo. Together, combined inhibition of ALK and MDM2 may provide an effective treatment for TP53 wild-type neuroblastoma with ALK aberrations.","author":[{"dropping-particle":"","family":"Wang","given":"H Q","non-dropping-particle":"","parse-names":false,"suffix":""},{"dropping-particle":"","family":"Halilovic","given":"E","non-dropping-particle":"","parse-names":false,"suffix":""},{"dropping-particle":"","family":"Li","given":"X","non-dropping-particle":"","parse-names":false,"suffix":""},{"dropping-particle":"","family":"Liang","given":"J","non-dropping-particle":"","parse-names":false,"suffix":""},{"dropping-particle":"","family":"Cao","given":"Y","non-dropping-particle":"","parse-names":false,"suffix":""},{"dropping-particle":"","family":"Rakiec","given":"D P","non-dropping-particle":"","parse-names":false,"suffix":""},{"dropping-particle":"","family":"Ruddy","given":"D A","non-dropping-particle":"","parse-names":false,"suffix":""},{"dropping-particle":"","family":"Jeay","given":"S","non-dropping-particle":"","parse-names":false,"suffix":""},{"dropping-particle":"","family":"Wuerthner","given":"J U","non-dropping-particle":"","parse-names":false,"suffix":""},{"dropping-particle":"","family":"Timple","given":"N","non-dropping-particle":"","parse-names":false,"suffix":""},{"dropping-particle":"","family":"Kasibhatla","given":"S","non-dropping-particle":"","parse-names":false,"suffix":""},{"dropping-particle":"","family":"Li","given":"N","non-dropping-particle":"","parse-names":false,"suffix":""},{"dropping-particle":"","family":"Williams","given":"J A","non-dropping-particle":"","parse-names":false,"suffix":""},{"dropping-particle":"","family":"Sellers","given":"W R","non-dropping-particle":"","parse-names":false,"suffix":""},{"dropping-particle":"","family":"Huang","given":"A","non-dropping-particle":"","parse-names":false,"suffix":""},{"dropping-particle":"","family":"Li","given":"F","non-dropping-particle":"","parse-names":false,"suffix":""}],"container-title":"Elife","id":"ITEM-5","issued":{"date-parts":[["2017"]]},"note":"Wang, Hui Qin\nHalilovic, Ensar\nLi, Xiaoyan\nLiang, Jinsheng\nCao, Yichen\nRakiec, Daniel P\nRuddy, David A\nJeay, Sebastien\nWuerthner, Jens U\nTimple, Noelito\nKasibhatla, Shailaja\nLi, Nanxin\nWilliams, Juliet A\nSellers, William R\nHuang, Alan\nLi, Fang\neng\nResearch Support, Non-U.S. Gov't\nEngland\n2017/04/21 06:00\nElife. 2017 Apr 20;6. doi: 10.7554/eLife.17137.","title":"Combined ALK and MDM2 inhibition increases antitumor activity and overcomes resistance in human ALK mutant neuroblastoma cell lines and xenograft models","type":"article-journal","volume":"6"},"uris":["http://www.mendeley.com/documents/?uuid=6533addd-2340-433a-b722-5087dd1d7299","http://www.mendeley.com/documents/?uuid=9d4dd067-710c-4a8b-b913-6a89e9a4a2b9"]}],"mendeley":{"formattedCitation":"&lt;sup&gt;13,16–19&lt;/sup&gt;","plainTextFormattedCitation":"13,16–19","previouslyFormattedCitation":"&lt;sup&gt;13,16–19&lt;/sup&gt;"},"properties":{"noteIndex":0},"schema":"https://github.com/citation-style-language/schema/raw/master/csl-citation.json"}</w:instrText>
      </w:r>
      <w:r w:rsidR="00770194" w:rsidRPr="00E94CA9">
        <w:rPr>
          <w:rFonts w:cs="Arial"/>
          <w:sz w:val="22"/>
          <w:szCs w:val="22"/>
        </w:rPr>
        <w:fldChar w:fldCharType="separate"/>
      </w:r>
      <w:r w:rsidR="00542124" w:rsidRPr="00E94CA9">
        <w:rPr>
          <w:rFonts w:cs="Arial"/>
          <w:noProof/>
          <w:sz w:val="22"/>
          <w:szCs w:val="22"/>
          <w:vertAlign w:val="superscript"/>
        </w:rPr>
        <w:t>13,16–19</w:t>
      </w:r>
      <w:r w:rsidR="00770194"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xml:space="preserve">. </w:t>
      </w:r>
    </w:p>
    <w:p w14:paraId="7589851A" w14:textId="2480E692" w:rsidR="00D30528" w:rsidRPr="00E94CA9" w:rsidRDefault="005033EF">
      <w:pPr>
        <w:spacing w:line="360" w:lineRule="auto"/>
        <w:ind w:firstLine="284"/>
        <w:jc w:val="both"/>
        <w:rPr>
          <w:rFonts w:cs="Arial"/>
          <w:sz w:val="22"/>
          <w:szCs w:val="22"/>
        </w:rPr>
      </w:pPr>
      <w:r w:rsidRPr="00E94CA9">
        <w:rPr>
          <w:rFonts w:cs="Arial"/>
          <w:sz w:val="22"/>
          <w:szCs w:val="22"/>
        </w:rPr>
        <w:t>In patients with ALK-positive NSCLC, acquired resistance has been shown to arise with first, second and third-generation ALK inhibitors, presenting a major challenge in the long-term use of these compounds</w:t>
      </w:r>
      <w:r w:rsidR="00770194" w:rsidRPr="00E94CA9">
        <w:rPr>
          <w:rFonts w:cs="Arial"/>
          <w:sz w:val="22"/>
          <w:szCs w:val="22"/>
        </w:rPr>
        <w:fldChar w:fldCharType="begin" w:fldLock="1"/>
      </w:r>
      <w:r w:rsidR="00394C69">
        <w:rPr>
          <w:rFonts w:cs="Arial"/>
          <w:sz w:val="22"/>
          <w:szCs w:val="22"/>
        </w:rPr>
        <w:instrText>ADDIN CSL_CITATION {"citationItems":[{"id":"ITEM-1","itemData":{"DOI":"10.3390/cancers10030062","ISBN":"2072-6694 (Print)\r2072-6694 (Linking)","PMID":"29495603","abstract":"Anaplastic lymphoma kinase (ALK) is a validated molecular target in several ALK-rearranged malignancies, particularly in non-small-cell lung cancer (NSCLC), which has generated considerable interest and effort in developing ALK tyrosine kinase inhibitors (TKI). Crizotinib was the first ALK inhibitor to receive FDA approval for ALK-positive NSCLC patients treatment. However, the clinical benefit observed in targeting ALK in NSCLC is almost universally limited by the emergence of drug resistance with a median of occurrence of approximately 10 months after the initiation of therapy. Thus, to overcome crizotinib resistance, second/third-generation ALK inhibitors have been developed and received, or are close to receiving, FDA approval. However, even when treated with these new inhibitors tumors became resistant, both in vitro and in clinical settings. The elucidation of the diverse mechanisms through which resistance to ALK TKI emerges, has informed the design of novel therapeutic strategies to improve patients disease outcome. This review summarizes the currently available knowledge regarding ALK physiologic function/structure and neoplastic transforming role, as well as an update on ALK inhibitors and resistance mechanisms along with possible therapeutic strategies that may overcome the development of resistance.","author":[{"dropping-particle":"","family":"Sharma","given":"G G","non-dropping-particle":"","parse-names":false,"suffix":""},{"dropping-particle":"","family":"Mota","given":"I","non-dropping-particle":"","parse-names":false,"suffix":""},{"dropping-particle":"","family":"Mologni","given":"L","non-dropping-particle":"","parse-names":false,"suffix":""},{"dropping-particle":"","family":"Patrucco","given":"E","non-dropping-particle":"","parse-names":false,"suffix":""},{"dropping-particle":"","family":"Gambacorti-Passerini","given":"C","non-dropping-particle":"","parse-names":false,"suffix":""},{"dropping-particle":"","family":"Chiarle","given":"R","non-dropping-particle":"","parse-names":false,"suffix":""}],"container-title":"Cancers (Basel)","id":"ITEM-1","issue":"3","issued":{"date-parts":[["2018"]]},"note":"Sharma, Geeta Geeta\nMota, Ines\nMologni, Luca\nPatrucco, Enrico\nGambacorti-Passerini, Carlo\nChiarle, Roberto\neng\nR01 CA196703/CA/NCI NIH HHS/\nReview\nSwitzerland\n2018/03/03 06:00\nCancers (Basel). 2018 Feb 28;10(3). pii: cancers10030062. doi: 10.3390/cancers10030062.","title":"Tumor Resistance against ALK Targeted Therapy-Where It Comes From and Where It Goes","type":"article-journal","volume":"10"},"uris":["http://www.mendeley.com/documents/?uuid=2da1ee07-3130-4cc7-b098-e163c667babe","http://www.mendeley.com/documents/?uuid=0bf88e8e-2506-4179-ba11-b1c823735cd8"]}],"mendeley":{"formattedCitation":"&lt;sup&gt;20&lt;/sup&gt;","plainTextFormattedCitation":"20","previouslyFormattedCitation":"&lt;sup&gt;20&lt;/sup&gt;"},"properties":{"noteIndex":0},"schema":"https://github.com/citation-style-language/schema/raw/master/csl-citation.json"}</w:instrText>
      </w:r>
      <w:r w:rsidR="00770194" w:rsidRPr="00E94CA9">
        <w:rPr>
          <w:rFonts w:cs="Arial"/>
          <w:sz w:val="22"/>
          <w:szCs w:val="22"/>
        </w:rPr>
        <w:fldChar w:fldCharType="separate"/>
      </w:r>
      <w:r w:rsidR="00542124" w:rsidRPr="00E94CA9">
        <w:rPr>
          <w:rFonts w:cs="Arial"/>
          <w:noProof/>
          <w:sz w:val="22"/>
          <w:szCs w:val="22"/>
          <w:vertAlign w:val="superscript"/>
        </w:rPr>
        <w:t>20</w:t>
      </w:r>
      <w:r w:rsidR="00770194"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xml:space="preserve">. The most common mechanisms of resistance to ALK inhibition in NSCLC are reported to involve bypass </w:t>
      </w:r>
      <w:proofErr w:type="spellStart"/>
      <w:r w:rsidRPr="00E94CA9">
        <w:rPr>
          <w:rFonts w:cs="Arial"/>
          <w:sz w:val="22"/>
          <w:szCs w:val="22"/>
        </w:rPr>
        <w:t>signaling</w:t>
      </w:r>
      <w:proofErr w:type="spellEnd"/>
      <w:r w:rsidRPr="00E94CA9">
        <w:rPr>
          <w:rFonts w:cs="Arial"/>
          <w:sz w:val="22"/>
          <w:szCs w:val="22"/>
        </w:rPr>
        <w:t xml:space="preserve"> through functionally-related pathways, such that cells grow in an ALK-independent manner when the kinase is inhibited</w:t>
      </w:r>
      <w:r w:rsidR="00770194" w:rsidRPr="00E94CA9">
        <w:rPr>
          <w:rFonts w:cs="Arial"/>
          <w:sz w:val="22"/>
          <w:szCs w:val="22"/>
        </w:rPr>
        <w:fldChar w:fldCharType="begin" w:fldLock="1"/>
      </w:r>
      <w:r w:rsidR="00394C69">
        <w:rPr>
          <w:rFonts w:cs="Arial"/>
          <w:sz w:val="22"/>
          <w:szCs w:val="22"/>
        </w:rPr>
        <w:instrText>ADDIN CSL_CITATION {"citationItems":[{"id":"ITEM-1","itemData":{"DOI":"10.1093/annonc/mdw305","ISBN":"1569-8041 (Electronic)\r0923-7534 (Linking)","PMID":"27573756","abstract":"In 2007, a chromosomal rearrangement resulting in a gene fusion leading to expression of a constitutively active anaplastic lymphoma kinase (ALK) fusion protein was identified as an oncogenic driver in non-small-cell lung cancer (NSCLC). ALK rearrangements are detected in 3%-7% of patients with NSCLC and are particularly enriched in younger patients with adenocarcinoma and a never or light smoking history. Fortuitously, crizotinib, a small molecule tyrosine kinase inhibitor initially developed to target cMET, was able to be repurposed for ALK-rearranged (ALK+) NSCLC. Despite dramatic and durable initial responses to crizotinib; however, the vast majority of patients will develop resistance within a few years. Diverse molecular mechanisms underlie resistance to crizotinib. This review will describe the clinical activity of crizotinib, review identified mechanisms of crizotinib resistance, and end with a survey of emerging therapeutic strategies aimed at overcoming crizotinib resistance.","author":[{"dropping-particle":"","family":"Dagogo-Jack","given":"I","non-dropping-particle":"","parse-names":false,"suffix":""},{"dropping-particle":"","family":"Shaw","given":"A T","non-dropping-particle":"","parse-names":false,"suffix":""}],"container-title":"Ann Oncol","id":"ITEM-1","issued":{"date-parts":[["2016"]]},"note":"Dagogo-Jack, I\nShaw, A T\neng\nR01 CA164273/CA/NCI NIH HHS/\nReview\nResearch Support, N.I.H., Extramural\nResearch Support, Non-U.S. Gov't\nEngland\n2016/08/31 06:00\nAnn Oncol. 2016 Sep;27 Suppl 3:iii42-iii50. doi: 10.1093/annonc/mdw305.","page":"iii42-iii50","title":"Crizotinib resistance: implications for therapeutic strategies","type":"article-journal","volume":"27 Suppl 3"},"uris":["http://www.mendeley.com/documents/?uuid=0392c885-5824-4513-8b35-c55768e99cae"]}],"mendeley":{"formattedCitation":"&lt;sup&gt;21&lt;/sup&gt;","plainTextFormattedCitation":"21","previouslyFormattedCitation":"&lt;sup&gt;21&lt;/sup&gt;"},"properties":{"noteIndex":0},"schema":"https://github.com/citation-style-language/schema/raw/master/csl-citation.json"}</w:instrText>
      </w:r>
      <w:r w:rsidR="00770194" w:rsidRPr="00E94CA9">
        <w:rPr>
          <w:rFonts w:cs="Arial"/>
          <w:sz w:val="22"/>
          <w:szCs w:val="22"/>
        </w:rPr>
        <w:fldChar w:fldCharType="separate"/>
      </w:r>
      <w:r w:rsidR="00542124" w:rsidRPr="00E94CA9">
        <w:rPr>
          <w:rFonts w:cs="Arial"/>
          <w:noProof/>
          <w:sz w:val="22"/>
          <w:szCs w:val="22"/>
          <w:vertAlign w:val="superscript"/>
        </w:rPr>
        <w:t>21</w:t>
      </w:r>
      <w:r w:rsidR="00770194" w:rsidRPr="00E94CA9">
        <w:rPr>
          <w:rFonts w:cs="Arial"/>
          <w:sz w:val="22"/>
          <w:szCs w:val="22"/>
        </w:rPr>
        <w:fldChar w:fldCharType="end"/>
      </w:r>
      <w:r w:rsidRPr="00E94CA9">
        <w:rPr>
          <w:rFonts w:cs="Arial"/>
          <w:sz w:val="22"/>
          <w:szCs w:val="22"/>
        </w:rPr>
        <w:t>. Bypass mechanisms include activation of EGFR</w:t>
      </w:r>
      <w:r w:rsidR="00770194" w:rsidRPr="00E94CA9">
        <w:rPr>
          <w:rFonts w:cs="Arial"/>
          <w:sz w:val="22"/>
          <w:szCs w:val="22"/>
        </w:rPr>
        <w:fldChar w:fldCharType="begin" w:fldLock="1"/>
      </w:r>
      <w:r w:rsidR="00394C69">
        <w:rPr>
          <w:rFonts w:cs="Arial"/>
          <w:sz w:val="22"/>
          <w:szCs w:val="22"/>
        </w:rPr>
        <w:instrText>ADDIN CSL_CITATION {"citationItems":[{"id":"ITEM-1","itemData":{"DOI":"10.1126/scitranslmed.3003316","ISSN":"1946-6234","PMID":"22277784","abstract":"Most anaplastic lymphoma kinase (ALK)-positive non-small cell lung cancers (NSCLCs) are highly responsive to treatment with ALK tyrosine kinase inhibitors (TKIs). However, patients with these cancers invariably relapse, typically within 1 year, because of the development of drug resistance. Herein, we report findings from a series of lung cancer patients (n = 18) with acquired resistance to the ALK TKI crizotinib. In about one-fourth of patients, we identified a diverse array of secondary mutations distributed throughout the ALK TK domain, including new resistance mutations located in the solvent-exposed region of the adenosine triphosphate-binding pocket, as well as amplification of the ALK fusion gene. Next-generation ALK inhibitors, developed to overcome crizotinib resistance, had differing potencies against specific resistance mutations. In addition to secondary ALK mutations and ALK gene amplification, we also identified aberrant activation of other kinases including marked amplification of KIT and increased autophosphorylation of epidermal growth factor receptor in drug-resistant tumors from patients. In a subset of patients, we found evidence of multiple resistance mechanisms developing simultaneously. These results highlight the unique features of TKI resistance in ALK-positive NSCLCs and provide the rationale for pursuing combinatorial therapeutics that are tailored to the precise resistance mechanisms identified in patients who relapse on crizotinib treatment.","author":[{"dropping-particle":"","family":"Katayama","given":"R.","non-dropping-particle":"","parse-names":false,"suffix":""},{"dropping-particle":"","family":"Shaw","given":"A. T.","non-dropping-particle":"","parse-names":false,"suffix":""},{"dropping-particle":"","family":"Khan","given":"T. M.","non-dropping-particle":"","parse-names":false,"suffix":""},{"dropping-particle":"","family":"Mino-Kenudson","given":"M.","non-dropping-particle":"","parse-names":false,"suffix":""},{"dropping-particle":"","family":"Solomon","given":"B. J.","non-dropping-particle":"","parse-names":false,"suffix":""},{"dropping-particle":"","family":"Halmos","given":"B.","non-dropping-particle":"","parse-names":false,"suffix":""},{"dropping-particle":"","family":"Jessop","given":"N. A.","non-dropping-particle":"","parse-names":false,"suffix":""},{"dropping-particle":"","family":"Wain","given":"J. C.","non-dropping-particle":"","parse-names":false,"suffix":""},{"dropping-particle":"","family":"Yeo","given":"A. T.","non-dropping-particle":"","parse-names":false,"suffix":""},{"dropping-particle":"","family":"Benes","given":"C.","non-dropping-particle":"","parse-names":false,"suffix":""},{"dropping-particle":"","family":"Drew","given":"L.","non-dropping-particle":"","parse-names":false,"suffix":""},{"dropping-particle":"","family":"Saeh","given":"J. C.","non-dropping-particle":"","parse-names":false,"suffix":""},{"dropping-particle":"","family":"Crosby","given":"K.","non-dropping-particle":"","parse-names":false,"suffix":""},{"dropping-particle":"V.","family":"Sequist","given":"L.","non-dropping-particle":"","parse-names":false,"suffix":""},{"dropping-particle":"","family":"Iafrate","given":"A. J.","non-dropping-particle":"","parse-names":false,"suffix":""},{"dropping-particle":"","family":"Engelman","given":"J. A.","non-dropping-particle":"","parse-names":false,"suffix":""}],"container-title":"Science Translational Medicine","id":"ITEM-1","issue":"120","issued":{"date-parts":[["2012","2","8"]]},"page":"120ra17-120ra17","title":"Mechanisms of Acquired Crizotinib Resistance in ALK-Rearranged Lung Cancers","type":"article-journal","volume":"4"},"uris":["http://www.mendeley.com/documents/?uuid=41600383-f6aa-3a76-a9c6-58ab17bdf17b"]}],"mendeley":{"formattedCitation":"&lt;sup&gt;22&lt;/sup&gt;","plainTextFormattedCitation":"22","previouslyFormattedCitation":"&lt;sup&gt;22&lt;/sup&gt;"},"properties":{"noteIndex":0},"schema":"https://github.com/citation-style-language/schema/raw/master/csl-citation.json"}</w:instrText>
      </w:r>
      <w:r w:rsidR="00770194" w:rsidRPr="00E94CA9">
        <w:rPr>
          <w:rFonts w:cs="Arial"/>
          <w:sz w:val="22"/>
          <w:szCs w:val="22"/>
        </w:rPr>
        <w:fldChar w:fldCharType="separate"/>
      </w:r>
      <w:r w:rsidR="00542124" w:rsidRPr="00E94CA9">
        <w:rPr>
          <w:rFonts w:cs="Arial"/>
          <w:noProof/>
          <w:sz w:val="22"/>
          <w:szCs w:val="22"/>
          <w:vertAlign w:val="superscript"/>
        </w:rPr>
        <w:t>22</w:t>
      </w:r>
      <w:r w:rsidR="00770194"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HER2</w:t>
      </w:r>
      <w:r w:rsidR="00770194" w:rsidRPr="00E94CA9">
        <w:rPr>
          <w:rFonts w:cs="Arial"/>
          <w:sz w:val="22"/>
          <w:szCs w:val="22"/>
        </w:rPr>
        <w:fldChar w:fldCharType="begin" w:fldLock="1"/>
      </w:r>
      <w:r w:rsidR="00394C69">
        <w:rPr>
          <w:rFonts w:cs="Arial"/>
          <w:sz w:val="22"/>
          <w:szCs w:val="22"/>
        </w:rPr>
        <w:instrText>ADDIN CSL_CITATION {"citationItems":[{"id":"ITEM-1","itemData":{"DOI":"10.1016/j.ccell.2015.02.005","ISBN":"1878-3686 (Electronic)\r1535-6108 (Linking)","PMID":"25759024","abstract":"We conducted a large-scale functional genetic study to characterize mechanisms of resistance to ALK inhibition in ALK-dependent lung cancer cells. We identify members of known resistance pathways and additional putative resistance drivers. Among the latter were members of the P2Y purinergic receptor family of G-protein-coupled receptors (P2Y1, P2Y2, and P2Y6). P2Y receptors mediated resistance in part through a protein-kinase-C (PKC)-dependent mechanism. Moreover, PKC activation alone was sufficient to confer resistance to ALK inhibitors, whereas combined ALK and PKC inhibition restored sensitivity. We observed enrichment of gene signatures associated with several resistance drivers (including P2Y receptors) in crizotinib-resistant ALK-rearranged lung tumors compared to treatment-naive controls, supporting a role for these identified mechanisms in clinical ALK inhibitor resistance.","author":[{"dropping-particle":"","family":"Wilson","given":"F H","non-dropping-particle":"","parse-names":false,"suffix":""},{"dropping-particle":"","family":"Johannessen","given":"C M","non-dropping-particle":"","parse-names":false,"suffix":""},{"dropping-particle":"","family":"Piccioni","given":"F","non-dropping-particle":"","parse-names":false,"suffix":""},{"dropping-particle":"","family":"Tamayo","given":"P","non-dropping-particle":"","parse-names":false,"suffix":""},{"dropping-particle":"","family":"Kim","given":"J W","non-dropping-particle":"","parse-names":false,"suffix":""},{"dropping-particle":"","family":"Allen","given":"E M","non-dropping-particle":"Van","parse-names":false,"suffix":""},{"dropping-particle":"","family":"Corsello","given":"S M","non-dropping-particle":"","parse-names":false,"suffix":""},{"dropping-particle":"","family":"Capelletti","given":"M","non-dropping-particle":"","parse-names":false,"suffix":""},{"dropping-particle":"","family":"Calles","given":"A","non-dropping-particle":"","parse-names":false,"suffix":""},{"dropping-particle":"","family":"Butaney","given":"M","non-dropping-particle":"","parse-names":false,"suffix":""},{"dropping-particle":"","family":"Sharifnia","given":"T","non-dropping-particle":"","parse-names":false,"suffix":""},{"dropping-particle":"","family":"Gabriel","given":"S B","non-dropping-particle":"","parse-names":false,"suffix":""},{"dropping-particle":"","family":"Mesirov","given":"J P","non-dropping-particle":"","parse-names":false,"suffix":""},{"dropping-particle":"","family":"Hahn","given":"W C","non-dropping-particle":"","parse-names":false,"suffix":""},{"dropping-particle":"","family":"Engelman","given":"J A","non-dropping-particle":"","parse-names":false,"suffix":""},{"dropping-particle":"","family":"Meyerson","given":"M","non-dropping-particle":"","parse-names":false,"suffix":""},{"dropping-particle":"","family":"Root","given":"D E","non-dropping-particle":"","parse-names":false,"suffix":""},{"dropping-particle":"","family":"Janne","given":"P A","non-dropping-particle":"","parse-names":false,"suffix":""},{"dropping-particle":"","family":"Garraway","given":"L A","non-dropping-particle":"","parse-names":false,"suffix":""}],"container-title":"Cancer Cell","id":"ITEM-1","issue":"3","issued":{"date-parts":[["2015"]]},"note":"Wilson, Frederick H\nJohannessen, Cory M\nPiccioni, Federica\nTamayo, Pablo\nKim, Jong Wook\nVan Allen, Eliezer M\nCorsello, Steven M\nCapelletti, Marzia\nCalles, Antonio\nButaney, Mohit\nSharifnia, Tanaz\nGabriel, Stacey B\nMesirov, Jill P\nHahn, William C\nEngelman, Jeffrey A\nMeyerson, Matthew\nRoot, David E\nJanne, Pasi A\nGarraway, Levi A\neng\nNIH R01 CA154480/CA/NCI NIH HHS/\nR01 GM074024/GM/NIGMS NIH HHS/\nU54 HG003067/HG/NHGRI NIH HHS/\n#5U54HG003067-11/HG/NHGRI NIH HHS/\nGM074024/GM/NIGMS NIH HHS/\nU54 HG006093/HG/NHGRI NIH HHS/\nNIH R01 CA136851/CA/NCI NIH HHS/\nT32 CA009172/CA/NCI NIH HHS/\nP01 CA154303/CA/NCI NIH HHS/\nU01 CA176058/CA/NCI NIH HHS/\nDP2 0D002750/DP/NCCDPHP CDC HHS/\nR33 CA155554/CA/NCI NIH HHS/\nR01 CA154480/CA/NCI NIH HHS/\nU54 CA112962/CA/NCI NIH HHS/\nNIH 5R33CA155554-03/CA/NCI NIH HHS/\nR01 CA121941/CA/NCI NIH HHS/\nR01 CA136851/CA/NCI NIH HHS/\nResearch Support, N.I.H., Extramural\nResearch Support, Non-U.S. Gov't\n2015/03/12 06:00\nCancer Cell. 2015 Mar 9;27(3):397-408. doi: 10.1016/j.ccell.2015.02.005.","page":"397-408","title":"A functional landscape of resistance to ALK inhibition in lung cancer","type":"article-journal","volume":"27"},"uris":["http://www.mendeley.com/documents/?uuid=84db59bc-4b0d-4cc1-bee4-2d3008df8a2a","http://www.mendeley.com/documents/?uuid=9bd51c61-397b-4094-a7d7-357464d25883"]}],"mendeley":{"formattedCitation":"&lt;sup&gt;23&lt;/sup&gt;","plainTextFormattedCitation":"23","previouslyFormattedCitation":"&lt;sup&gt;23&lt;/sup&gt;"},"properties":{"noteIndex":0},"schema":"https://github.com/citation-style-language/schema/raw/master/csl-citation.json"}</w:instrText>
      </w:r>
      <w:r w:rsidR="00770194" w:rsidRPr="00E94CA9">
        <w:rPr>
          <w:rFonts w:cs="Arial"/>
          <w:sz w:val="22"/>
          <w:szCs w:val="22"/>
        </w:rPr>
        <w:fldChar w:fldCharType="separate"/>
      </w:r>
      <w:r w:rsidR="00542124" w:rsidRPr="00E94CA9">
        <w:rPr>
          <w:rFonts w:cs="Arial"/>
          <w:noProof/>
          <w:sz w:val="22"/>
          <w:szCs w:val="22"/>
          <w:vertAlign w:val="superscript"/>
        </w:rPr>
        <w:t>23</w:t>
      </w:r>
      <w:r w:rsidR="00770194"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KRA</w:t>
      </w:r>
      <w:r w:rsidR="00D30894" w:rsidRPr="00E94CA9">
        <w:rPr>
          <w:rFonts w:cs="Arial"/>
          <w:sz w:val="22"/>
          <w:szCs w:val="22"/>
        </w:rPr>
        <w:t>S</w:t>
      </w:r>
      <w:r w:rsidR="000C7837" w:rsidRPr="00E94CA9">
        <w:rPr>
          <w:rFonts w:cs="Arial"/>
          <w:sz w:val="22"/>
          <w:szCs w:val="22"/>
        </w:rPr>
        <w:fldChar w:fldCharType="begin" w:fldLock="1"/>
      </w:r>
      <w:r w:rsidR="00394C69">
        <w:rPr>
          <w:rFonts w:cs="Arial"/>
          <w:sz w:val="22"/>
          <w:szCs w:val="22"/>
        </w:rPr>
        <w:instrText>ADDIN CSL_CITATION {"citationItems":[{"id":"ITEM-1","itemData":{"DOI":"10.1158/1078-0432.CCR-11-2906","ISSN":"1078-0432","PMID":"22235099","abstract":"PURPOSE Patients with anaplastic lymphoma kinase (ALK) gene rearrangements often manifest dramatic responses to crizotinib, a small-molecule ALK inhibitor. Unfortunately, not every patient responds and acquired drug resistance inevitably develops in those who do respond. This study aimed to define molecular mechanisms of resistance to crizotinib in patients with ALK(+) non-small cell lung cancer (NSCLC). EXPERIMENTAL DESIGN We analyzed tissue obtained from 14 patients with ALK(+) NSCLC showing evidence of radiologic progression while on crizotinib to define mechanisms of intrinsic and acquired resistance to crizotinib. RESULTS Eleven patients had material evaluable for molecular analysis. Four patients (36%) developed secondary mutations in the tyrosine kinase domain of ALK. A novel mutation in the ALK domain, encoding a G1269A amino acid substitution that confers resistance to crizotinib in vitro, was identified in two of these cases. Two patients, one with a resistance mutation, exhibited new onset ALK copy number gain (CNG). One patient showed outgrowth of epidermal growth factor receptor (EGFR) mutant NSCLC without evidence of a persistent ALK gene rearrangement. Two patients exhibited a KRAS mutation, one of which occurred without evidence of a persisting ALK gene rearrangement. One patient showed the emergence of an ALK gene fusion-negative tumor compared with the baseline sample but with no identifiable alternate driver. Two patients retained ALK positivity with no identifiable resistance mechanism. CONCLUSIONS Crizotinib resistance in ALK(+) NSCLC occurs through somatic kinase domain mutations, ALK gene fusion CNG, and emergence of separate oncogenic drivers.","author":[{"dropping-particle":"","family":"Doebele","given":"Robert C.","non-dropping-particle":"","parse-names":false,"suffix":""},{"dropping-particle":"","family":"Pilling","given":"Amanda B.","non-dropping-particle":"","parse-names":false,"suffix":""},{"dropping-particle":"","family":"Aisner","given":"Dara L.","non-dropping-particle":"","parse-names":false,"suffix":""},{"dropping-particle":"","family":"Kutateladze","given":"Tatiana G.","non-dropping-particle":"","parse-names":false,"suffix":""},{"dropping-particle":"","family":"Le","given":"Anh T.","non-dropping-particle":"","parse-names":false,"suffix":""},{"dropping-particle":"","family":"Weickhardt","given":"Andrew J.","non-dropping-particle":"","parse-names":false,"suffix":""},{"dropping-particle":"","family":"Kondo","given":"Kimi L.","non-dropping-particle":"","parse-names":false,"suffix":""},{"dropping-particle":"","family":"Linderman","given":"Derek J.","non-dropping-particle":"","parse-names":false,"suffix":""},{"dropping-particle":"","family":"Heasley","given":"Lynn E.","non-dropping-particle":"","parse-names":false,"suffix":""},{"dropping-particle":"","family":"Franklin","given":"Wilbur A.","non-dropping-particle":"","parse-names":false,"suffix":""},{"dropping-particle":"","family":"Varella-Garcia","given":"Marileila","non-dropping-particle":"","parse-names":false,"suffix":""},{"dropping-particle":"","family":"Camidge","given":"D. Ross","non-dropping-particle":"","parse-names":false,"suffix":""}],"container-title":"Clinical Cancer Research","id":"ITEM-1","issue":"5","issued":{"date-parts":[["2012","3","1"]]},"page":"1472-1482","title":"Mechanisms of Resistance to Crizotinib in Patients with &lt;i&gt;ALK&lt;/i&gt; Gene Rearranged Non–Small Cell Lung Cancer","type":"article-journal","volume":"18"},"uris":["http://www.mendeley.com/documents/?uuid=c7d9a761-7864-3c1a-a19f-558c66c9f0fb"]}],"mendeley":{"formattedCitation":"&lt;sup&gt;24&lt;/sup&gt;","plainTextFormattedCitation":"24","previouslyFormattedCitation":"&lt;sup&gt;24&lt;/sup&gt;"},"properties":{"noteIndex":0},"schema":"https://github.com/citation-style-language/schema/raw/master/csl-citation.json"}</w:instrText>
      </w:r>
      <w:r w:rsidR="000C7837" w:rsidRPr="00E94CA9">
        <w:rPr>
          <w:rFonts w:cs="Arial"/>
          <w:sz w:val="22"/>
          <w:szCs w:val="22"/>
        </w:rPr>
        <w:fldChar w:fldCharType="separate"/>
      </w:r>
      <w:r w:rsidR="00542124" w:rsidRPr="00E94CA9">
        <w:rPr>
          <w:rFonts w:cs="Arial"/>
          <w:noProof/>
          <w:sz w:val="22"/>
          <w:szCs w:val="22"/>
          <w:vertAlign w:val="superscript"/>
        </w:rPr>
        <w:t>24</w:t>
      </w:r>
      <w:r w:rsidR="000C7837" w:rsidRPr="00E94CA9">
        <w:rPr>
          <w:rFonts w:cs="Arial"/>
          <w:sz w:val="22"/>
          <w:szCs w:val="22"/>
        </w:rPr>
        <w:fldChar w:fldCharType="end"/>
      </w:r>
      <w:r w:rsidRPr="00E94CA9">
        <w:rPr>
          <w:rFonts w:cs="Arial"/>
          <w:sz w:val="22"/>
          <w:szCs w:val="22"/>
        </w:rPr>
        <w:t xml:space="preserve"> and IGF-1R</w:t>
      </w:r>
      <w:r w:rsidR="000C7837" w:rsidRPr="00E94CA9">
        <w:rPr>
          <w:rFonts w:cs="Arial"/>
          <w:sz w:val="22"/>
          <w:szCs w:val="22"/>
        </w:rPr>
        <w:fldChar w:fldCharType="begin" w:fldLock="1"/>
      </w:r>
      <w:r w:rsidR="003912CB" w:rsidRPr="00E94CA9">
        <w:rPr>
          <w:rFonts w:cs="Arial"/>
          <w:sz w:val="22"/>
          <w:szCs w:val="22"/>
        </w:rPr>
        <w:instrText>ADDIN CSL_CITATION {"citationItems":[{"id":"ITEM-1","itemData":{"DOI":"10.1038/nm.3667","ISSN":"1546-170X","PMID":"25173427","abstract":"Crizotinib, a selective tyrosine kinase inhibitor (TKI), shows marked activity in patients whose lung cancers harbor fusions in the gene encoding anaplastic lymphoma receptor tyrosine kinase (ALK), but its efficacy is limited by variable primary responses and acquired resistance. In work arising from the clinical observation of a patient with ALK fusion-positive lung cancer who had an exceptional response to an insulin-like growth factor 1 receptor (IGF-1R)-specific antibody, we define a therapeutic synergism between ALK and IGF-1R inhibitors. Similar to IGF-1R, ALK fusion proteins bind to the adaptor insulin receptor substrate 1 (IRS-1), and IRS-1 knockdown enhances the antitumor effects of ALK inhibitors. In models of ALK TKI resistance, the IGF-1R pathway is activated, and combined ALK and IGF-1R inhibition improves therapeutic efficacy. Consistent with this finding, the levels of IGF-1R and IRS-1 are increased in biopsy samples from patients progressing on crizotinib monotherapy. Collectively these data support a role for the IGF-1R-IRS-1 pathway in both ALK TKI-sensitive and ALK TKI-resistant states and provide a biological rationale for further clinical development of dual ALK and IGF-1R inhibitors.","author":[{"dropping-particle":"","family":"Lovly","given":"Christine M","non-dropping-particle":"","parse-names":false,"suffix":""},{"dropping-particle":"","family":"McDonald","given":"Nerina T","non-dropping-particle":"","parse-names":false,"suffix":""},{"dropping-particle":"","family":"Chen","given":"Heidi","non-dropping-particle":"","parse-names":false,"suffix":""},{"dropping-particle":"","family":"Ortiz-Cuaran","given":"Sandra","non-dropping-particle":"","parse-names":false,"suffix":""},{"dropping-particle":"","family":"Heukamp","given":"Lukas C","non-dropping-particle":"","parse-names":false,"suffix":""},{"dropping-particle":"","family":"Yan","given":"Yingjun","non-dropping-particle":"","parse-names":false,"suffix":""},{"dropping-particle":"","family":"Florin","given":"Alexandra","non-dropping-particle":"","parse-names":false,"suffix":""},{"dropping-particle":"","family":"Ozretić","given":"Luka","non-dropping-particle":"","parse-names":false,"suffix":""},{"dropping-particle":"","family":"Lim","given":"Diana","non-dropping-particle":"","parse-names":false,"suffix":""},{"dropping-particle":"","family":"Wang","given":"Lu","non-dropping-particle":"","parse-names":false,"suffix":""},{"dropping-particle":"","family":"Chen","given":"Zhao","non-dropping-particle":"","parse-names":false,"suffix":""},{"dropping-particle":"","family":"Chen","given":"Xi","non-dropping-particle":"","parse-names":false,"suffix":""},{"dropping-particle":"","family":"Lu","given":"Pengcheng","non-dropping-particle":"","parse-names":false,"suffix":""},{"dropping-particle":"","family":"Paik","given":"Paul K","non-dropping-particle":"","parse-names":false,"suffix":""},{"dropping-particle":"","family":"Shen","given":"Ronglai","non-dropping-particle":"","parse-names":false,"suffix":""},{"dropping-particle":"","family":"Jin","given":"Hailing","non-dropping-particle":"","parse-names":false,"suffix":""},{"dropping-particle":"","family":"Buettner","given":"Reinhard","non-dropping-particle":"","parse-names":false,"suffix":""},{"dropping-particle":"","family":"Ansén","given":"Sascha","non-dropping-particle":"","parse-names":false,"suffix":""},{"dropping-particle":"","family":"Perner","given":"Sven","non-dropping-particle":"","parse-names":false,"suffix":""},{"dropping-particle":"","family":"Brockmann","given":"Michael","non-dropping-particle":"","parse-names":false,"suffix":""},{"dropping-particle":"","family":"Bos","given":"Marc","non-dropping-particle":"","parse-names":false,"suffix":""},{"dropping-particle":"","family":"Wolf","given":"Jürgen","non-dropping-particle":"","parse-names":false,"suffix":""},{"dropping-particle":"","family":"Gardizi","given":"Masyar","non-dropping-particle":"","parse-names":false,"suffix":""},{"dropping-particle":"","family":"Wright","given":"Gavin M","non-dropping-particle":"","parse-names":false,"suffix":""},{"dropping-particle":"","family":"Solomon","given":"Benjamin","non-dropping-particle":"","parse-names":false,"suffix":""},{"dropping-particle":"","family":"Russell","given":"Prudence A","non-dropping-particle":"","parse-names":false,"suffix":""},{"dropping-particle":"","family":"Rogers","given":"Toni-Maree","non-dropping-particle":"","parse-names":false,"suffix":""},{"dropping-particle":"","family":"Suehara","given":"Yoshiyuki","non-dropping-particle":"","parse-names":false,"suffix":""},{"dropping-particle":"","family":"Red-Brewer","given":"Monica","non-dropping-particle":"","parse-names":false,"suffix":""},{"dropping-particle":"","family":"Tieu","given":"Rudy","non-dropping-particle":"","parse-names":false,"suffix":""},{"dropping-particle":"","family":"Stanchina","given":"Elisa","non-dropping-particle":"de","parse-names":false,"suffix":""},{"dropping-particle":"","family":"Wang","given":"Qingguo","non-dropping-particle":"","parse-names":false,"suffix":""},{"dropping-particle":"","family":"Zhao","given":"Zhongming","non-dropping-particle":"","parse-names":false,"suffix":""},{"dropping-particle":"","family":"Johnson","given":"David H","non-dropping-particle":"","parse-names":false,"suffix":""},{"dropping-particle":"","family":"Horn","given":"Leora","non-dropping-particle":"","parse-names":false,"suffix":""},{"dropping-particle":"","family":"Wong","given":"Kwok-Kin","non-dropping-particle":"","parse-names":false,"suffix":""},{"dropping-particle":"","family":"Thomas","given":"Roman K","non-dropping-particle":"","parse-names":false,"suffix":""},{"dropping-particle":"","family":"Ladanyi","given":"Marc","non-dropping-particle":"","parse-names":false,"suffix":""},{"dropping-particle":"","family":"Pao","given":"William","non-dropping-particle":"","parse-names":false,"suffix":""}],"container-title":"Nature medicine","id":"ITEM-1","issue":"9","issued":{"date-parts":[["2014","9"]]},"page":"1027-34","title":"Rationale for co-targeting IGF-1R and ALK in ALK fusion-positive lung cancer.","type":"article-journal","volume":"20"},"uris":["http://www.mendeley.com/documents/?uuid=869aeb14-dd2c-38d8-bad0-c0a4376ce86f","http://www.mendeley.com/documents/?uuid=8d785cfb-71d0-43d0-9d30-49cb5ccae835"]}],"mendeley":{"formattedCitation":"&lt;sup&gt;25&lt;/sup&gt;","plainTextFormattedCitation":"25","previouslyFormattedCitation":"&lt;sup&gt;25&lt;/sup&gt;"},"properties":{"noteIndex":0},"schema":"https://github.com/citation-style-language/schema/raw/master/csl-citation.json"}</w:instrText>
      </w:r>
      <w:r w:rsidR="000C7837" w:rsidRPr="00E94CA9">
        <w:rPr>
          <w:rFonts w:cs="Arial"/>
          <w:sz w:val="22"/>
          <w:szCs w:val="22"/>
        </w:rPr>
        <w:fldChar w:fldCharType="separate"/>
      </w:r>
      <w:r w:rsidR="00542124" w:rsidRPr="00E94CA9">
        <w:rPr>
          <w:rFonts w:cs="Arial"/>
          <w:noProof/>
          <w:sz w:val="22"/>
          <w:szCs w:val="22"/>
          <w:vertAlign w:val="superscript"/>
        </w:rPr>
        <w:t>25</w:t>
      </w:r>
      <w:r w:rsidR="000C7837"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and amplification of</w:t>
      </w:r>
      <w:r w:rsidRPr="00E94CA9">
        <w:rPr>
          <w:rFonts w:cs="Arial"/>
          <w:i/>
          <w:sz w:val="22"/>
          <w:szCs w:val="22"/>
        </w:rPr>
        <w:t xml:space="preserve"> KIT</w:t>
      </w:r>
      <w:r w:rsidR="000C7837" w:rsidRPr="00E94CA9">
        <w:rPr>
          <w:rFonts w:cs="Arial"/>
          <w:i/>
          <w:sz w:val="22"/>
          <w:szCs w:val="22"/>
        </w:rPr>
        <w:fldChar w:fldCharType="begin" w:fldLock="1"/>
      </w:r>
      <w:r w:rsidR="00394C69">
        <w:rPr>
          <w:rFonts w:cs="Arial"/>
          <w:i/>
          <w:sz w:val="22"/>
          <w:szCs w:val="22"/>
        </w:rPr>
        <w:instrText>ADDIN CSL_CITATION {"citationItems":[{"id":"ITEM-1","itemData":{"DOI":"10.1126/scitranslmed.3003316","ISSN":"1946-6234","PMID":"22277784","abstract":"Most anaplastic lymphoma kinase (ALK)-positive non-small cell lung cancers (NSCLCs) are highly responsive to treatment with ALK tyrosine kinase inhibitors (TKIs). However, patients with these cancers invariably relapse, typically within 1 year, because of the development of drug resistance. Herein, we report findings from a series of lung cancer patients (n = 18) with acquired resistance to the ALK TKI crizotinib. In about one-fourth of patients, we identified a diverse array of secondary mutations distributed throughout the ALK TK domain, including new resistance mutations located in the solvent-exposed region of the adenosine triphosphate-binding pocket, as well as amplification of the ALK fusion gene. Next-generation ALK inhibitors, developed to overcome crizotinib resistance, had differing potencies against specific resistance mutations. In addition to secondary ALK mutations and ALK gene amplification, we also identified aberrant activation of other kinases including marked amplification of KIT and increased autophosphorylation of epidermal growth factor receptor in drug-resistant tumors from patients. In a subset of patients, we found evidence of multiple resistance mechanisms developing simultaneously. These results highlight the unique features of TKI resistance in ALK-positive NSCLCs and provide the rationale for pursuing combinatorial therapeutics that are tailored to the precise resistance mechanisms identified in patients who relapse on crizotinib treatment.","author":[{"dropping-particle":"","family":"Katayama","given":"R.","non-dropping-particle":"","parse-names":false,"suffix":""},{"dropping-particle":"","family":"Shaw","given":"A. T.","non-dropping-particle":"","parse-names":false,"suffix":""},{"dropping-particle":"","family":"Khan","given":"T. M.","non-dropping-particle":"","parse-names":false,"suffix":""},{"dropping-particle":"","family":"Mino-Kenudson","given":"M.","non-dropping-particle":"","parse-names":false,"suffix":""},{"dropping-particle":"","family":"Solomon","given":"B. J.","non-dropping-particle":"","parse-names":false,"suffix":""},{"dropping-particle":"","family":"Halmos","given":"B.","non-dropping-particle":"","parse-names":false,"suffix":""},{"dropping-particle":"","family":"Jessop","given":"N. A.","non-dropping-particle":"","parse-names":false,"suffix":""},{"dropping-particle":"","family":"Wain","given":"J. C.","non-dropping-particle":"","parse-names":false,"suffix":""},{"dropping-particle":"","family":"Yeo","given":"A. T.","non-dropping-particle":"","parse-names":false,"suffix":""},{"dropping-particle":"","family":"Benes","given":"C.","non-dropping-particle":"","parse-names":false,"suffix":""},{"dropping-particle":"","family":"Drew","given":"L.","non-dropping-particle":"","parse-names":false,"suffix":""},{"dropping-particle":"","family":"Saeh","given":"J. C.","non-dropping-particle":"","parse-names":false,"suffix":""},{"dropping-particle":"","family":"Crosby","given":"K.","non-dropping-particle":"","parse-names":false,"suffix":""},{"dropping-particle":"V.","family":"Sequist","given":"L.","non-dropping-particle":"","parse-names":false,"suffix":""},{"dropping-particle":"","family":"Iafrate","given":"A. J.","non-dropping-particle":"","parse-names":false,"suffix":""},{"dropping-particle":"","family":"Engelman","given":"J. A.","non-dropping-particle":"","parse-names":false,"suffix":""}],"container-title":"Science Translational Medicine","id":"ITEM-1","issue":"120","issued":{"date-parts":[["2012","2","8"]]},"page":"120ra17-120ra17","title":"Mechanisms of Acquired Crizotinib Resistance in ALK-Rearranged Lung Cancers","type":"article-journal","volume":"4"},"uris":["http://www.mendeley.com/documents/?uuid=41600383-f6aa-3a76-a9c6-58ab17bdf17b"]}],"mendeley":{"formattedCitation":"&lt;sup&gt;22&lt;/sup&gt;","plainTextFormattedCitation":"22","previouslyFormattedCitation":"&lt;sup&gt;22&lt;/sup&gt;"},"properties":{"noteIndex":0},"schema":"https://github.com/citation-style-language/schema/raw/master/csl-citation.json"}</w:instrText>
      </w:r>
      <w:r w:rsidR="000C7837" w:rsidRPr="00E94CA9">
        <w:rPr>
          <w:rFonts w:cs="Arial"/>
          <w:i/>
          <w:sz w:val="22"/>
          <w:szCs w:val="22"/>
        </w:rPr>
        <w:fldChar w:fldCharType="separate"/>
      </w:r>
      <w:r w:rsidR="00542124" w:rsidRPr="00E94CA9">
        <w:rPr>
          <w:rFonts w:cs="Arial"/>
          <w:noProof/>
          <w:sz w:val="22"/>
          <w:szCs w:val="22"/>
          <w:vertAlign w:val="superscript"/>
        </w:rPr>
        <w:t>22</w:t>
      </w:r>
      <w:r w:rsidR="000C7837" w:rsidRPr="00E94CA9">
        <w:rPr>
          <w:rFonts w:cs="Arial"/>
          <w:i/>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w:t>
      </w:r>
    </w:p>
    <w:p w14:paraId="37C4232B" w14:textId="15A05E53" w:rsidR="00D30528" w:rsidRPr="00E94CA9" w:rsidRDefault="00870957">
      <w:pPr>
        <w:spacing w:line="360" w:lineRule="auto"/>
        <w:ind w:firstLine="284"/>
        <w:jc w:val="both"/>
        <w:rPr>
          <w:rFonts w:cs="Arial"/>
          <w:sz w:val="22"/>
          <w:szCs w:val="22"/>
        </w:rPr>
      </w:pPr>
      <w:r>
        <w:rPr>
          <w:rFonts w:cs="Arial"/>
          <w:sz w:val="22"/>
          <w:szCs w:val="22"/>
        </w:rPr>
        <w:t>To</w:t>
      </w:r>
      <w:r w:rsidR="005033EF" w:rsidRPr="00E94CA9">
        <w:rPr>
          <w:rFonts w:cs="Arial"/>
          <w:sz w:val="22"/>
          <w:szCs w:val="22"/>
        </w:rPr>
        <w:t xml:space="preserve"> identify mechanisms of resistance to ALK inhibitors in </w:t>
      </w:r>
      <w:r w:rsidR="0048779E" w:rsidRPr="00E94CA9">
        <w:rPr>
          <w:rFonts w:cs="Arial"/>
          <w:color w:val="000000" w:themeColor="text1"/>
          <w:sz w:val="22"/>
          <w:szCs w:val="22"/>
        </w:rPr>
        <w:t xml:space="preserve">ALK-positive </w:t>
      </w:r>
      <w:r w:rsidR="005033EF" w:rsidRPr="00E94CA9">
        <w:rPr>
          <w:rFonts w:cs="Arial"/>
          <w:sz w:val="22"/>
          <w:szCs w:val="22"/>
        </w:rPr>
        <w:t xml:space="preserve">NB that involve bypass </w:t>
      </w:r>
      <w:proofErr w:type="spellStart"/>
      <w:r w:rsidR="005033EF" w:rsidRPr="00E94CA9">
        <w:rPr>
          <w:rFonts w:cs="Arial"/>
          <w:sz w:val="22"/>
          <w:szCs w:val="22"/>
        </w:rPr>
        <w:t>signaling</w:t>
      </w:r>
      <w:proofErr w:type="spellEnd"/>
      <w:r w:rsidR="005033EF" w:rsidRPr="00E94CA9">
        <w:rPr>
          <w:rFonts w:cs="Arial"/>
          <w:sz w:val="22"/>
          <w:szCs w:val="22"/>
        </w:rPr>
        <w:t xml:space="preserve">, we conduct genome-wide CRISPR </w:t>
      </w:r>
      <w:r w:rsidR="00BE717F">
        <w:rPr>
          <w:rFonts w:cs="Arial"/>
          <w:sz w:val="22"/>
          <w:szCs w:val="22"/>
        </w:rPr>
        <w:t>activation</w:t>
      </w:r>
      <w:r w:rsidR="00BE717F" w:rsidRPr="00E94CA9">
        <w:rPr>
          <w:rFonts w:cs="Arial"/>
          <w:sz w:val="22"/>
          <w:szCs w:val="22"/>
        </w:rPr>
        <w:t xml:space="preserve"> </w:t>
      </w:r>
      <w:r w:rsidR="00BE717F">
        <w:rPr>
          <w:rFonts w:cs="Arial"/>
          <w:sz w:val="22"/>
          <w:szCs w:val="22"/>
        </w:rPr>
        <w:t>(</w:t>
      </w:r>
      <w:proofErr w:type="spellStart"/>
      <w:r w:rsidR="00BE717F">
        <w:rPr>
          <w:rFonts w:cs="Arial"/>
          <w:sz w:val="22"/>
          <w:szCs w:val="22"/>
        </w:rPr>
        <w:t>CRISPRa</w:t>
      </w:r>
      <w:proofErr w:type="spellEnd"/>
      <w:r w:rsidR="00BE717F">
        <w:rPr>
          <w:rFonts w:cs="Arial"/>
          <w:sz w:val="22"/>
          <w:szCs w:val="22"/>
        </w:rPr>
        <w:t xml:space="preserve">) </w:t>
      </w:r>
      <w:r w:rsidR="005033EF" w:rsidRPr="00E94CA9">
        <w:rPr>
          <w:rFonts w:cs="Arial"/>
          <w:sz w:val="22"/>
          <w:szCs w:val="22"/>
        </w:rPr>
        <w:t>screen</w:t>
      </w:r>
      <w:r w:rsidR="00070B85">
        <w:rPr>
          <w:rFonts w:cs="Arial"/>
          <w:sz w:val="22"/>
          <w:szCs w:val="22"/>
        </w:rPr>
        <w:t>s</w:t>
      </w:r>
      <w:r w:rsidR="000C7837" w:rsidRPr="00E94CA9">
        <w:rPr>
          <w:rFonts w:cs="Arial"/>
          <w:sz w:val="22"/>
          <w:szCs w:val="22"/>
        </w:rPr>
        <w:fldChar w:fldCharType="begin" w:fldLock="1"/>
      </w:r>
      <w:r w:rsidR="00394C69">
        <w:rPr>
          <w:rFonts w:cs="Arial"/>
          <w:sz w:val="22"/>
          <w:szCs w:val="22"/>
        </w:rPr>
        <w:instrText>ADDIN CSL_CITATION {"citationItems":[{"id":"ITEM-1","itemData":{"DOI":"10.1038/nature14136","ISBN":"1476-4687 (Electronic)\r0028-0836 (Linking)","PMID":"25494202","abstract":"Systematic interrogation of gene function requires the ability to perturb gene expression in a robust and generalizable manner. Here we describe structure-guided engineering of a CRISPR-Cas9 complex to mediate efficient transcriptional activation at endogenous genomic loci. We used these engineered Cas9 activation complexes to investigate single-guide RNA (sgRNA) targeting rules for effective transcriptional activation, to demonstrate multiplexed activation of ten genes simultaneously, and to upregulate long intergenic non-coding RNA (lincRNA) transcripts. We also synthesized a library consisting of 70,290 guides targeting all human RefSeq coding isoforms to screen for genes that, upon activation, confer resistance to a BRAF inhibitor. The top hits included genes previously shown to be able to confer resistance, and novel candidates were validated using individual sgRNA and complementary DNA overexpression. A gene expression signature based on the top screening hits correlated with markers of BRAF inhibitor resistance in cell lines and patient-derived samples. These results collectively demonstrate the potential of Cas9-based activators as a powerful genetic perturbation technology.","author":[{"dropping-particle":"","family":"Konermann","given":"S","non-dropping-particle":"","parse-names":false,"suffix":""},{"dropping-particle":"","family":"Brigham","given":"M D","non-dropping-particle":"","parse-names":false,"suffix":""},{"dropping-particle":"","family":"Trevino","given":"A E","non-dropping-particle":"","parse-names":false,"suffix":""},{"dropping-particle":"","family":"Joung","given":"J","non-dropping-particle":"","parse-names":false,"suffix":""},{"dropping-particle":"","family":"Abudayyeh","given":"O O","non-dropping-particle":"","parse-names":false,"suffix":""},{"dropping-particle":"","family":"Barcena","given":"C","non-dropping-particle":"","parse-names":false,"suffix":""},{"dropping-particle":"","family":"Hsu","given":"P D","non-dropping-particle":"","parse-names":false,"suffix":""},{"dropping-particle":"","family":"Habib","given":"N","non-dropping-particle":"","parse-names":false,"suffix":""},{"dropping-particle":"","family":"Gootenberg","given":"J S","non-dropping-particle":"","parse-names":false,"suffix":""},{"dropping-particle":"","family":"Nishimasu","given":"H","non-dropping-particle":"","parse-names":false,"suffix":""},{"dropping-particle":"","family":"Nureki","given":"O","non-dropping-particle":"","parse-names":false,"suffix":""},{"dropping-particle":"","family":"Zhang","given":"F","non-dropping-particle":"","parse-names":false,"suffix":""}],"container-title":"Nature","id":"ITEM-1","issue":"7536","issued":{"date-parts":[["2015"]]},"note":"Konermann, Silvana\nBrigham, Mark D\nTrevino, Alexandro E\nJoung, Julia\nAbudayyeh, Omar O\nBarcena, Clea\nHsu, Patrick D\nHabib, Naomi\nGootenberg, Jonathan S\nNishimasu, Hiroshi\nNureki, Osamu\nZhang, Feng\neng\nR01 NS062849/NS/NINDS NIH HHS/\nR01-NS07312401/NS/NINDS NIH HHS/\nDP1-MH100706/DP/NCCDPHP CDC HHS/\nDP1 MH100706/MH/NIMH NIH HHS/\nR01 NS073124/NS/NINDS NIH HHS/\nResearch Support, N.I.H., Extramural\nResearch Support, Non-U.S. Gov't\nResearch Support, U.S. Gov't, Non-P.H.S.\nEngland\n2014/12/11 06:00\nNature. 2015 Jan 29;517(7536):583-8. doi: 10.1038/nature14136. Epub 2014 Dec 10.","page":"583-588","title":"Genome-scale transcriptional activation by an engineered CRISPR-Cas9 complex","type":"article-journal","volume":"517"},"uris":["http://www.mendeley.com/documents/?uuid=27ca1872-7bf7-4ed5-9dcc-e0f55122bfe0","http://www.mendeley.com/documents/?uuid=bf040db4-c52a-4652-b815-235e3f44bb38"]}],"mendeley":{"formattedCitation":"&lt;sup&gt;26&lt;/sup&gt;","plainTextFormattedCitation":"26","previouslyFormattedCitation":"&lt;sup&gt;26&lt;/sup&gt;"},"properties":{"noteIndex":0},"schema":"https://github.com/citation-style-language/schema/raw/master/csl-citation.json"}</w:instrText>
      </w:r>
      <w:r w:rsidR="000C7837" w:rsidRPr="00E94CA9">
        <w:rPr>
          <w:rFonts w:cs="Arial"/>
          <w:sz w:val="22"/>
          <w:szCs w:val="22"/>
        </w:rPr>
        <w:fldChar w:fldCharType="separate"/>
      </w:r>
      <w:r w:rsidR="00542124" w:rsidRPr="00E94CA9">
        <w:rPr>
          <w:rFonts w:cs="Arial"/>
          <w:noProof/>
          <w:sz w:val="22"/>
          <w:szCs w:val="22"/>
          <w:vertAlign w:val="superscript"/>
        </w:rPr>
        <w:t>26</w:t>
      </w:r>
      <w:r w:rsidR="000C7837" w:rsidRPr="00E94CA9">
        <w:rPr>
          <w:rFonts w:cs="Arial"/>
          <w:sz w:val="22"/>
          <w:szCs w:val="22"/>
        </w:rPr>
        <w:fldChar w:fldCharType="end"/>
      </w:r>
      <w:r w:rsidR="005033EF" w:rsidRPr="00E94CA9">
        <w:rPr>
          <w:rFonts w:cs="Arial"/>
          <w:sz w:val="22"/>
          <w:szCs w:val="22"/>
        </w:rPr>
        <w:fldChar w:fldCharType="begin"/>
      </w:r>
      <w:r w:rsidR="005033EF" w:rsidRPr="00E94CA9">
        <w:rPr>
          <w:rFonts w:cs="Arial"/>
          <w:sz w:val="22"/>
          <w:szCs w:val="22"/>
        </w:rPr>
        <w:instrText>ADDIN EN.CITE</w:instrText>
      </w:r>
      <w:r w:rsidR="005033EF" w:rsidRPr="00E94CA9">
        <w:rPr>
          <w:rFonts w:cs="Arial"/>
          <w:sz w:val="22"/>
          <w:szCs w:val="22"/>
        </w:rPr>
        <w:fldChar w:fldCharType="end"/>
      </w:r>
      <w:r w:rsidR="005033EF" w:rsidRPr="00E94CA9">
        <w:rPr>
          <w:rFonts w:cs="Arial"/>
          <w:sz w:val="22"/>
          <w:szCs w:val="22"/>
        </w:rPr>
        <w:t xml:space="preserve"> in the NB cell lines SH-SY5Y (ALK</w:t>
      </w:r>
      <w:r w:rsidR="005033EF" w:rsidRPr="00E94CA9">
        <w:rPr>
          <w:rFonts w:cs="Arial"/>
          <w:sz w:val="22"/>
          <w:szCs w:val="22"/>
          <w:vertAlign w:val="superscript"/>
        </w:rPr>
        <w:t>F1174L</w:t>
      </w:r>
      <w:r w:rsidR="005033EF" w:rsidRPr="00E94CA9">
        <w:rPr>
          <w:rFonts w:cs="Arial"/>
          <w:sz w:val="22"/>
          <w:szCs w:val="22"/>
        </w:rPr>
        <w:t>) and CHLA-20 (ALK</w:t>
      </w:r>
      <w:r w:rsidR="005033EF" w:rsidRPr="00E94CA9">
        <w:rPr>
          <w:rFonts w:cs="Arial"/>
          <w:sz w:val="22"/>
          <w:szCs w:val="22"/>
          <w:vertAlign w:val="superscript"/>
        </w:rPr>
        <w:t>R1275Q</w:t>
      </w:r>
      <w:r w:rsidR="005033EF" w:rsidRPr="00E94CA9">
        <w:rPr>
          <w:rFonts w:cs="Arial"/>
          <w:sz w:val="22"/>
          <w:szCs w:val="22"/>
        </w:rPr>
        <w:t xml:space="preserve">) under treatment with </w:t>
      </w:r>
      <w:proofErr w:type="spellStart"/>
      <w:r w:rsidR="005033EF" w:rsidRPr="00E94CA9">
        <w:rPr>
          <w:rFonts w:cs="Arial"/>
          <w:sz w:val="22"/>
          <w:szCs w:val="22"/>
        </w:rPr>
        <w:t>brigatinib</w:t>
      </w:r>
      <w:proofErr w:type="spellEnd"/>
      <w:r w:rsidR="005033EF" w:rsidRPr="00E94CA9">
        <w:rPr>
          <w:rFonts w:cs="Arial"/>
          <w:sz w:val="22"/>
          <w:szCs w:val="22"/>
        </w:rPr>
        <w:t xml:space="preserve"> </w:t>
      </w:r>
      <w:r w:rsidR="005033EF" w:rsidRPr="00E94CA9">
        <w:rPr>
          <w:rFonts w:cs="Arial"/>
          <w:sz w:val="22"/>
          <w:szCs w:val="22"/>
        </w:rPr>
        <w:lastRenderedPageBreak/>
        <w:t xml:space="preserve">or </w:t>
      </w:r>
      <w:proofErr w:type="spellStart"/>
      <w:r w:rsidR="005033EF" w:rsidRPr="00E94CA9">
        <w:rPr>
          <w:rFonts w:cs="Arial"/>
          <w:sz w:val="22"/>
          <w:szCs w:val="22"/>
        </w:rPr>
        <w:t>ceritinib</w:t>
      </w:r>
      <w:proofErr w:type="spellEnd"/>
      <w:r w:rsidR="005033EF" w:rsidRPr="00E94CA9">
        <w:rPr>
          <w:rFonts w:cs="Arial"/>
          <w:sz w:val="22"/>
          <w:szCs w:val="22"/>
        </w:rPr>
        <w:t xml:space="preserve"> for 14 days. We identif</w:t>
      </w:r>
      <w:r w:rsidR="00533601">
        <w:rPr>
          <w:rFonts w:cs="Arial"/>
          <w:sz w:val="22"/>
          <w:szCs w:val="22"/>
        </w:rPr>
        <w:t>y</w:t>
      </w:r>
      <w:r w:rsidR="005033EF" w:rsidRPr="00E94CA9">
        <w:rPr>
          <w:rFonts w:cs="Arial"/>
          <w:sz w:val="22"/>
          <w:szCs w:val="22"/>
        </w:rPr>
        <w:t xml:space="preserve"> 25 putative resistance genes in SH-SY5Y, </w:t>
      </w:r>
      <w:r w:rsidR="00533601">
        <w:rPr>
          <w:rFonts w:cs="Arial"/>
          <w:sz w:val="22"/>
          <w:szCs w:val="22"/>
        </w:rPr>
        <w:t>and successfully validate</w:t>
      </w:r>
      <w:r w:rsidR="005033EF" w:rsidRPr="00E94CA9">
        <w:rPr>
          <w:rFonts w:cs="Arial"/>
          <w:sz w:val="22"/>
          <w:szCs w:val="22"/>
        </w:rPr>
        <w:t xml:space="preserve"> 21 </w:t>
      </w:r>
      <w:r w:rsidR="00533601">
        <w:rPr>
          <w:rFonts w:cs="Arial"/>
          <w:sz w:val="22"/>
          <w:szCs w:val="22"/>
        </w:rPr>
        <w:t xml:space="preserve">genes </w:t>
      </w:r>
      <w:r w:rsidR="005033EF" w:rsidRPr="00E94CA9">
        <w:rPr>
          <w:rFonts w:cs="Arial"/>
          <w:sz w:val="22"/>
          <w:szCs w:val="22"/>
        </w:rPr>
        <w:t xml:space="preserve"> </w:t>
      </w:r>
      <w:r w:rsidR="005033EF" w:rsidRPr="00E94CA9">
        <w:rPr>
          <w:rFonts w:cs="Arial"/>
          <w:i/>
          <w:sz w:val="22"/>
          <w:szCs w:val="22"/>
        </w:rPr>
        <w:t>in vitro</w:t>
      </w:r>
      <w:r w:rsidR="005033EF" w:rsidRPr="00E94CA9">
        <w:rPr>
          <w:rFonts w:cs="Arial"/>
          <w:sz w:val="22"/>
          <w:szCs w:val="22"/>
        </w:rPr>
        <w:t xml:space="preserve">, and we further characterize </w:t>
      </w:r>
      <w:r w:rsidR="005033EF" w:rsidRPr="00E94CA9">
        <w:rPr>
          <w:rFonts w:cs="Arial"/>
          <w:i/>
          <w:sz w:val="22"/>
          <w:szCs w:val="22"/>
        </w:rPr>
        <w:t>PIM1</w:t>
      </w:r>
      <w:r w:rsidR="005033EF" w:rsidRPr="00E94CA9">
        <w:rPr>
          <w:rFonts w:cs="Arial"/>
          <w:sz w:val="22"/>
          <w:szCs w:val="22"/>
        </w:rPr>
        <w:t xml:space="preserve"> given its association with high-risk disease and poor survival outcomes in NB. Indeed, overexpression </w:t>
      </w:r>
      <w:r w:rsidR="005033EF" w:rsidRPr="00E94CA9">
        <w:rPr>
          <w:rFonts w:cs="Arial"/>
          <w:color w:val="000000" w:themeColor="text1"/>
          <w:sz w:val="22"/>
          <w:szCs w:val="22"/>
        </w:rPr>
        <w:t>or</w:t>
      </w:r>
      <w:r w:rsidR="005033EF" w:rsidRPr="00E94CA9">
        <w:rPr>
          <w:rFonts w:cs="Arial"/>
          <w:color w:val="FF0000"/>
          <w:sz w:val="22"/>
          <w:szCs w:val="22"/>
        </w:rPr>
        <w:t xml:space="preserve"> </w:t>
      </w:r>
      <w:r w:rsidR="005033EF" w:rsidRPr="00E94CA9">
        <w:rPr>
          <w:rFonts w:cs="Arial"/>
          <w:sz w:val="22"/>
          <w:szCs w:val="22"/>
        </w:rPr>
        <w:t xml:space="preserve">knockdown of </w:t>
      </w:r>
      <w:r w:rsidR="005033EF" w:rsidRPr="00E94CA9">
        <w:rPr>
          <w:rFonts w:cs="Arial"/>
          <w:i/>
          <w:sz w:val="22"/>
          <w:szCs w:val="22"/>
        </w:rPr>
        <w:t>PIM1</w:t>
      </w:r>
      <w:r w:rsidR="005033EF" w:rsidRPr="00E94CA9">
        <w:rPr>
          <w:rFonts w:cs="Arial"/>
          <w:sz w:val="22"/>
          <w:szCs w:val="22"/>
        </w:rPr>
        <w:t xml:space="preserve"> induce</w:t>
      </w:r>
      <w:r w:rsidR="00533601">
        <w:rPr>
          <w:rFonts w:cs="Arial"/>
          <w:sz w:val="22"/>
          <w:szCs w:val="22"/>
        </w:rPr>
        <w:t>s</w:t>
      </w:r>
      <w:r w:rsidR="005033EF" w:rsidRPr="00E94CA9">
        <w:rPr>
          <w:rFonts w:cs="Arial"/>
          <w:sz w:val="22"/>
          <w:szCs w:val="22"/>
        </w:rPr>
        <w:t xml:space="preserve"> resistance </w:t>
      </w:r>
      <w:r w:rsidR="005033EF" w:rsidRPr="00E94CA9">
        <w:rPr>
          <w:rFonts w:cs="Arial"/>
          <w:color w:val="000000" w:themeColor="text1"/>
          <w:sz w:val="22"/>
          <w:szCs w:val="22"/>
        </w:rPr>
        <w:t>or</w:t>
      </w:r>
      <w:r w:rsidR="005033EF" w:rsidRPr="00E94CA9">
        <w:rPr>
          <w:rFonts w:cs="Arial"/>
          <w:color w:val="FF0000"/>
          <w:sz w:val="22"/>
          <w:szCs w:val="22"/>
        </w:rPr>
        <w:t xml:space="preserve"> </w:t>
      </w:r>
      <w:r w:rsidR="005033EF" w:rsidRPr="00E94CA9">
        <w:rPr>
          <w:rFonts w:cs="Arial"/>
          <w:sz w:val="22"/>
          <w:szCs w:val="22"/>
        </w:rPr>
        <w:t xml:space="preserve">sensitization to ALK inhibitors, respectively, and combinations of ALK inhibitors with AZD1208, a small-molecule </w:t>
      </w:r>
      <w:r w:rsidR="007C3159">
        <w:rPr>
          <w:rFonts w:cs="Arial"/>
          <w:sz w:val="22"/>
          <w:szCs w:val="22"/>
        </w:rPr>
        <w:t xml:space="preserve">pan-PIM </w:t>
      </w:r>
      <w:r w:rsidR="005033EF" w:rsidRPr="00E94CA9">
        <w:rPr>
          <w:rFonts w:cs="Arial"/>
          <w:sz w:val="22"/>
          <w:szCs w:val="22"/>
        </w:rPr>
        <w:t xml:space="preserve">inhibitor, </w:t>
      </w:r>
      <w:r w:rsidR="005033EF" w:rsidRPr="00E94CA9">
        <w:rPr>
          <w:rFonts w:cs="Arial"/>
          <w:color w:val="000000" w:themeColor="text1"/>
          <w:sz w:val="22"/>
          <w:szCs w:val="22"/>
        </w:rPr>
        <w:t xml:space="preserve">demonstrate at least additive effects </w:t>
      </w:r>
      <w:r w:rsidR="00074E3E" w:rsidRPr="00E94CA9">
        <w:rPr>
          <w:rFonts w:cs="Arial"/>
          <w:color w:val="000000" w:themeColor="text1"/>
          <w:sz w:val="22"/>
          <w:szCs w:val="22"/>
        </w:rPr>
        <w:t xml:space="preserve">if not </w:t>
      </w:r>
      <w:r w:rsidR="005033EF" w:rsidRPr="00E94CA9">
        <w:rPr>
          <w:rFonts w:cs="Arial"/>
          <w:color w:val="000000" w:themeColor="text1"/>
          <w:sz w:val="22"/>
          <w:szCs w:val="22"/>
        </w:rPr>
        <w:t xml:space="preserve">mild-to-moderate synergy </w:t>
      </w:r>
      <w:r w:rsidR="005033EF" w:rsidRPr="00E94CA9">
        <w:rPr>
          <w:rFonts w:cs="Arial"/>
          <w:i/>
          <w:color w:val="000000" w:themeColor="text1"/>
          <w:sz w:val="22"/>
          <w:szCs w:val="22"/>
        </w:rPr>
        <w:t>in vitro</w:t>
      </w:r>
      <w:r w:rsidR="005033EF" w:rsidRPr="00E94CA9">
        <w:rPr>
          <w:rFonts w:cs="Arial"/>
          <w:color w:val="000000" w:themeColor="text1"/>
          <w:sz w:val="22"/>
          <w:szCs w:val="22"/>
        </w:rPr>
        <w:t xml:space="preserve">. Moreover, in patient-derived xenograft </w:t>
      </w:r>
      <w:r w:rsidR="00074E3E" w:rsidRPr="00E94CA9">
        <w:rPr>
          <w:rFonts w:cs="Arial"/>
          <w:color w:val="000000" w:themeColor="text1"/>
          <w:sz w:val="22"/>
          <w:szCs w:val="22"/>
        </w:rPr>
        <w:t xml:space="preserve">(PDX) </w:t>
      </w:r>
      <w:r w:rsidR="005033EF" w:rsidRPr="00E94CA9">
        <w:rPr>
          <w:rFonts w:cs="Arial"/>
          <w:color w:val="000000" w:themeColor="text1"/>
          <w:sz w:val="22"/>
          <w:szCs w:val="22"/>
        </w:rPr>
        <w:t xml:space="preserve">models of high-risk NB </w:t>
      </w:r>
      <w:proofErr w:type="spellStart"/>
      <w:r w:rsidR="005033EF" w:rsidRPr="00E94CA9">
        <w:rPr>
          <w:rFonts w:cs="Arial"/>
          <w:color w:val="000000" w:themeColor="text1"/>
          <w:sz w:val="22"/>
          <w:szCs w:val="22"/>
        </w:rPr>
        <w:t>harboring</w:t>
      </w:r>
      <w:proofErr w:type="spellEnd"/>
      <w:r w:rsidR="005033EF" w:rsidRPr="00E94CA9">
        <w:rPr>
          <w:rFonts w:cs="Arial"/>
          <w:color w:val="000000" w:themeColor="text1"/>
          <w:sz w:val="22"/>
          <w:szCs w:val="22"/>
        </w:rPr>
        <w:t xml:space="preserve"> ALK</w:t>
      </w:r>
      <w:r w:rsidR="005033EF" w:rsidRPr="00E94CA9">
        <w:rPr>
          <w:rFonts w:cs="Arial"/>
          <w:color w:val="000000" w:themeColor="text1"/>
          <w:sz w:val="22"/>
          <w:szCs w:val="22"/>
          <w:vertAlign w:val="superscript"/>
        </w:rPr>
        <w:t>F1245C</w:t>
      </w:r>
      <w:r w:rsidR="005033EF" w:rsidRPr="00E94CA9">
        <w:rPr>
          <w:rFonts w:cs="Arial"/>
          <w:color w:val="000000" w:themeColor="text1"/>
          <w:sz w:val="22"/>
          <w:szCs w:val="22"/>
        </w:rPr>
        <w:t xml:space="preserve"> or ALK</w:t>
      </w:r>
      <w:r w:rsidR="005033EF" w:rsidRPr="00E94CA9">
        <w:rPr>
          <w:rFonts w:cs="Arial"/>
          <w:color w:val="000000" w:themeColor="text1"/>
          <w:sz w:val="22"/>
          <w:szCs w:val="22"/>
          <w:vertAlign w:val="superscript"/>
        </w:rPr>
        <w:t>F1174L</w:t>
      </w:r>
      <w:r w:rsidR="005033EF" w:rsidRPr="00E94CA9">
        <w:rPr>
          <w:rFonts w:cs="Arial"/>
          <w:color w:val="000000" w:themeColor="text1"/>
          <w:sz w:val="22"/>
          <w:szCs w:val="22"/>
        </w:rPr>
        <w:t xml:space="preserve">, the antitumor efficacy of </w:t>
      </w:r>
      <w:proofErr w:type="spellStart"/>
      <w:r w:rsidR="005033EF" w:rsidRPr="00E94CA9">
        <w:rPr>
          <w:rFonts w:cs="Arial"/>
          <w:color w:val="000000" w:themeColor="text1"/>
          <w:sz w:val="22"/>
          <w:szCs w:val="22"/>
        </w:rPr>
        <w:t>ceritinib</w:t>
      </w:r>
      <w:proofErr w:type="spellEnd"/>
      <w:r w:rsidR="005033EF" w:rsidRPr="00E94CA9">
        <w:rPr>
          <w:rFonts w:cs="Arial"/>
          <w:color w:val="000000" w:themeColor="text1"/>
          <w:sz w:val="22"/>
          <w:szCs w:val="22"/>
        </w:rPr>
        <w:t xml:space="preserve"> and AZD1208 </w:t>
      </w:r>
      <w:r w:rsidR="00533601">
        <w:rPr>
          <w:rFonts w:cs="Arial"/>
          <w:color w:val="000000" w:themeColor="text1"/>
          <w:sz w:val="22"/>
          <w:szCs w:val="22"/>
        </w:rPr>
        <w:t>is</w:t>
      </w:r>
      <w:r w:rsidR="00533601" w:rsidRPr="00E94CA9">
        <w:rPr>
          <w:rFonts w:cs="Arial"/>
          <w:color w:val="000000" w:themeColor="text1"/>
          <w:sz w:val="22"/>
          <w:szCs w:val="22"/>
        </w:rPr>
        <w:t xml:space="preserve"> </w:t>
      </w:r>
      <w:r w:rsidR="005033EF" w:rsidRPr="00E94CA9">
        <w:rPr>
          <w:rFonts w:cs="Arial"/>
          <w:color w:val="000000" w:themeColor="text1"/>
          <w:sz w:val="22"/>
          <w:szCs w:val="22"/>
        </w:rPr>
        <w:t xml:space="preserve">significantly greater than either agent alone. Finally, overexpression of </w:t>
      </w:r>
      <w:r w:rsidR="005033EF" w:rsidRPr="00E94CA9">
        <w:rPr>
          <w:rFonts w:cs="Arial"/>
          <w:i/>
          <w:color w:val="000000" w:themeColor="text1"/>
          <w:sz w:val="22"/>
          <w:szCs w:val="22"/>
        </w:rPr>
        <w:t>PIM1</w:t>
      </w:r>
      <w:r w:rsidR="005033EF" w:rsidRPr="00E94CA9">
        <w:rPr>
          <w:rFonts w:cs="Arial"/>
          <w:color w:val="000000" w:themeColor="text1"/>
          <w:sz w:val="22"/>
          <w:szCs w:val="22"/>
        </w:rPr>
        <w:t xml:space="preserve"> </w:t>
      </w:r>
      <w:r w:rsidR="00533601">
        <w:rPr>
          <w:rFonts w:cs="Arial"/>
          <w:color w:val="000000" w:themeColor="text1"/>
          <w:sz w:val="22"/>
          <w:szCs w:val="22"/>
        </w:rPr>
        <w:t>is</w:t>
      </w:r>
      <w:r w:rsidR="005033EF" w:rsidRPr="00E94CA9">
        <w:rPr>
          <w:rFonts w:cs="Arial"/>
          <w:color w:val="000000" w:themeColor="text1"/>
          <w:sz w:val="22"/>
          <w:szCs w:val="22"/>
        </w:rPr>
        <w:t xml:space="preserve"> </w:t>
      </w:r>
      <w:r w:rsidR="00074E3E" w:rsidRPr="00E94CA9">
        <w:rPr>
          <w:rFonts w:cs="Arial"/>
          <w:color w:val="000000" w:themeColor="text1"/>
          <w:sz w:val="22"/>
          <w:szCs w:val="22"/>
        </w:rPr>
        <w:t xml:space="preserve">similarly </w:t>
      </w:r>
      <w:r w:rsidR="005033EF" w:rsidRPr="00E94CA9">
        <w:rPr>
          <w:rFonts w:cs="Arial"/>
          <w:color w:val="000000" w:themeColor="text1"/>
          <w:sz w:val="22"/>
          <w:szCs w:val="22"/>
        </w:rPr>
        <w:t xml:space="preserve">found to induce resistance to </w:t>
      </w:r>
      <w:proofErr w:type="spellStart"/>
      <w:r w:rsidR="005033EF" w:rsidRPr="00E94CA9">
        <w:rPr>
          <w:rFonts w:cs="Arial"/>
          <w:color w:val="000000" w:themeColor="text1"/>
          <w:sz w:val="22"/>
          <w:szCs w:val="22"/>
        </w:rPr>
        <w:t>brigatinib</w:t>
      </w:r>
      <w:proofErr w:type="spellEnd"/>
      <w:r w:rsidR="005033EF" w:rsidRPr="00E94CA9">
        <w:rPr>
          <w:rFonts w:cs="Arial"/>
          <w:color w:val="000000" w:themeColor="text1"/>
          <w:sz w:val="22"/>
          <w:szCs w:val="22"/>
        </w:rPr>
        <w:t xml:space="preserve"> and </w:t>
      </w:r>
      <w:proofErr w:type="spellStart"/>
      <w:r w:rsidR="005033EF" w:rsidRPr="00E94CA9">
        <w:rPr>
          <w:rFonts w:cs="Arial"/>
          <w:color w:val="000000" w:themeColor="text1"/>
          <w:sz w:val="22"/>
          <w:szCs w:val="22"/>
        </w:rPr>
        <w:t>ceritinib</w:t>
      </w:r>
      <w:proofErr w:type="spellEnd"/>
      <w:r w:rsidR="005033EF" w:rsidRPr="00E94CA9">
        <w:rPr>
          <w:rFonts w:cs="Arial"/>
          <w:color w:val="000000" w:themeColor="text1"/>
          <w:sz w:val="22"/>
          <w:szCs w:val="22"/>
        </w:rPr>
        <w:t xml:space="preserve"> in cell lines derived from ALK-positive anaplastic large cell lymphoma (ALCL). These data implicate </w:t>
      </w:r>
      <w:r w:rsidR="005033EF" w:rsidRPr="00E94CA9">
        <w:rPr>
          <w:rFonts w:cs="Arial"/>
          <w:i/>
          <w:color w:val="000000" w:themeColor="text1"/>
          <w:sz w:val="22"/>
          <w:szCs w:val="22"/>
        </w:rPr>
        <w:t>PIM1</w:t>
      </w:r>
      <w:r w:rsidR="005033EF" w:rsidRPr="00E94CA9">
        <w:rPr>
          <w:rFonts w:cs="Arial"/>
          <w:color w:val="000000" w:themeColor="text1"/>
          <w:sz w:val="22"/>
          <w:szCs w:val="22"/>
        </w:rPr>
        <w:t xml:space="preserve"> in ALK inhibitor resistance in ALK-positive NB and other ALK-driven malignancies</w:t>
      </w:r>
      <w:r w:rsidR="007C3159">
        <w:rPr>
          <w:rFonts w:cs="Arial"/>
          <w:color w:val="000000" w:themeColor="text1"/>
          <w:sz w:val="22"/>
          <w:szCs w:val="22"/>
        </w:rPr>
        <w:t>,</w:t>
      </w:r>
      <w:r w:rsidR="005033EF" w:rsidRPr="00E94CA9">
        <w:rPr>
          <w:rFonts w:cs="Arial"/>
          <w:color w:val="000000" w:themeColor="text1"/>
          <w:sz w:val="22"/>
          <w:szCs w:val="22"/>
        </w:rPr>
        <w:t xml:space="preserve"> suggesting that combined pharmacological inhibition of ALK and PIM1 may be beneficial in the treatment of ALK-positive, high-risk </w:t>
      </w:r>
      <w:r w:rsidR="005033EF" w:rsidRPr="00E94CA9">
        <w:rPr>
          <w:rFonts w:cs="Arial"/>
          <w:sz w:val="22"/>
          <w:szCs w:val="22"/>
        </w:rPr>
        <w:t xml:space="preserve">NB. </w:t>
      </w:r>
    </w:p>
    <w:p w14:paraId="7A85F1AC" w14:textId="77777777" w:rsidR="00D30528" w:rsidRPr="00E94CA9" w:rsidRDefault="00D30528">
      <w:pPr>
        <w:spacing w:line="360" w:lineRule="auto"/>
        <w:jc w:val="both"/>
        <w:rPr>
          <w:rFonts w:cs="Arial"/>
          <w:b/>
          <w:sz w:val="22"/>
          <w:szCs w:val="22"/>
        </w:rPr>
      </w:pPr>
    </w:p>
    <w:p w14:paraId="2356D704" w14:textId="58E15192" w:rsidR="00C830A4" w:rsidRDefault="005033EF" w:rsidP="00C830A4">
      <w:pPr>
        <w:pStyle w:val="Style1"/>
      </w:pPr>
      <w:r w:rsidRPr="00E94CA9">
        <w:t>R</w:t>
      </w:r>
      <w:r w:rsidR="00B37C9B" w:rsidRPr="00E94CA9">
        <w:t>esults</w:t>
      </w:r>
    </w:p>
    <w:p w14:paraId="57033BF5" w14:textId="6F0C1CF2" w:rsidR="00545CD3" w:rsidRPr="00E94CA9" w:rsidRDefault="00545CD3" w:rsidP="00C830A4">
      <w:pPr>
        <w:pStyle w:val="Style1"/>
      </w:pPr>
      <w:proofErr w:type="spellStart"/>
      <w:r>
        <w:t>CRISPRa</w:t>
      </w:r>
      <w:proofErr w:type="spellEnd"/>
      <w:r>
        <w:t xml:space="preserve"> screen</w:t>
      </w:r>
      <w:r w:rsidR="000F69DF">
        <w:t>s</w:t>
      </w:r>
      <w:r>
        <w:t xml:space="preserve"> </w:t>
      </w:r>
      <w:r w:rsidR="002A3C22">
        <w:t>identify</w:t>
      </w:r>
      <w:r>
        <w:t xml:space="preserve"> ALK </w:t>
      </w:r>
      <w:r w:rsidR="000F69DF">
        <w:t>inhibitor</w:t>
      </w:r>
      <w:r>
        <w:t xml:space="preserve"> resistance genes</w:t>
      </w:r>
    </w:p>
    <w:p w14:paraId="72D3637F" w14:textId="45273743" w:rsidR="00D30528" w:rsidRPr="00E94CA9" w:rsidRDefault="007720FE" w:rsidP="00845ECF">
      <w:pPr>
        <w:pStyle w:val="Style1"/>
        <w:ind w:firstLine="284"/>
        <w:rPr>
          <w:b w:val="0"/>
          <w:color w:val="FF0000"/>
          <w:lang w:val="en-US"/>
        </w:rPr>
      </w:pPr>
      <w:r w:rsidRPr="007C3159">
        <w:rPr>
          <w:b w:val="0"/>
          <w:lang w:val="en-US"/>
        </w:rPr>
        <w:t xml:space="preserve">Before conducting the </w:t>
      </w:r>
      <w:proofErr w:type="spellStart"/>
      <w:r w:rsidRPr="007C3159">
        <w:rPr>
          <w:b w:val="0"/>
          <w:lang w:val="en-US"/>
        </w:rPr>
        <w:t>CRISPR</w:t>
      </w:r>
      <w:r w:rsidR="00BE717F">
        <w:rPr>
          <w:b w:val="0"/>
          <w:lang w:val="en-US"/>
        </w:rPr>
        <w:t>a</w:t>
      </w:r>
      <w:proofErr w:type="spellEnd"/>
      <w:r w:rsidR="00BE717F">
        <w:rPr>
          <w:b w:val="0"/>
          <w:lang w:val="en-US"/>
        </w:rPr>
        <w:t xml:space="preserve"> </w:t>
      </w:r>
      <w:r w:rsidRPr="007C3159">
        <w:rPr>
          <w:b w:val="0"/>
          <w:lang w:val="en-US"/>
        </w:rPr>
        <w:t>screen</w:t>
      </w:r>
      <w:r w:rsidR="007C3159">
        <w:rPr>
          <w:b w:val="0"/>
          <w:lang w:val="en-US"/>
        </w:rPr>
        <w:t>s</w:t>
      </w:r>
      <w:r w:rsidRPr="007C3159">
        <w:rPr>
          <w:b w:val="0"/>
          <w:lang w:val="en-US"/>
        </w:rPr>
        <w:t xml:space="preserve">, </w:t>
      </w:r>
      <w:r w:rsidRPr="007C3159">
        <w:rPr>
          <w:b w:val="0"/>
        </w:rPr>
        <w:t>t</w:t>
      </w:r>
      <w:r w:rsidR="005033EF" w:rsidRPr="007C3159">
        <w:rPr>
          <w:b w:val="0"/>
        </w:rPr>
        <w:t xml:space="preserve">he NB cell lines SH-SY5Y </w:t>
      </w:r>
      <w:r w:rsidR="00542FB8" w:rsidRPr="007C3159">
        <w:rPr>
          <w:b w:val="0"/>
        </w:rPr>
        <w:t>(ALK</w:t>
      </w:r>
      <w:r w:rsidR="00542FB8" w:rsidRPr="007C3159">
        <w:rPr>
          <w:b w:val="0"/>
          <w:vertAlign w:val="superscript"/>
        </w:rPr>
        <w:t>F1174L</w:t>
      </w:r>
      <w:r w:rsidR="00542FB8" w:rsidRPr="007C3159">
        <w:rPr>
          <w:b w:val="0"/>
        </w:rPr>
        <w:t xml:space="preserve">) </w:t>
      </w:r>
      <w:r w:rsidR="005033EF" w:rsidRPr="007C3159">
        <w:rPr>
          <w:b w:val="0"/>
        </w:rPr>
        <w:t xml:space="preserve">and CHLA-20 </w:t>
      </w:r>
      <w:r w:rsidR="00542FB8" w:rsidRPr="007C3159">
        <w:rPr>
          <w:b w:val="0"/>
        </w:rPr>
        <w:t>(ALK</w:t>
      </w:r>
      <w:r w:rsidRPr="007C3159">
        <w:rPr>
          <w:b w:val="0"/>
          <w:vertAlign w:val="superscript"/>
        </w:rPr>
        <w:t>R1275Q</w:t>
      </w:r>
      <w:r w:rsidRPr="007C3159">
        <w:rPr>
          <w:b w:val="0"/>
        </w:rPr>
        <w:t xml:space="preserve">) </w:t>
      </w:r>
      <w:r w:rsidR="005033EF" w:rsidRPr="007C3159">
        <w:rPr>
          <w:b w:val="0"/>
        </w:rPr>
        <w:t>were characteri</w:t>
      </w:r>
      <w:r w:rsidR="007C3159">
        <w:rPr>
          <w:b w:val="0"/>
        </w:rPr>
        <w:t>z</w:t>
      </w:r>
      <w:r w:rsidRPr="007C3159">
        <w:rPr>
          <w:b w:val="0"/>
        </w:rPr>
        <w:t>ed</w:t>
      </w:r>
      <w:r w:rsidR="005033EF" w:rsidRPr="007C3159">
        <w:rPr>
          <w:b w:val="0"/>
        </w:rPr>
        <w:t xml:space="preserve"> </w:t>
      </w:r>
      <w:r w:rsidRPr="007C3159">
        <w:rPr>
          <w:b w:val="0"/>
        </w:rPr>
        <w:t xml:space="preserve">for their sensitivity to ALK </w:t>
      </w:r>
      <w:r w:rsidR="00B709FC" w:rsidRPr="007C3159">
        <w:rPr>
          <w:b w:val="0"/>
        </w:rPr>
        <w:t>tyrosine kinase inhibitors (</w:t>
      </w:r>
      <w:r w:rsidRPr="007C3159">
        <w:rPr>
          <w:b w:val="0"/>
        </w:rPr>
        <w:t>TKIs</w:t>
      </w:r>
      <w:r w:rsidR="00B709FC" w:rsidRPr="007C3159">
        <w:rPr>
          <w:b w:val="0"/>
        </w:rPr>
        <w:t>)</w:t>
      </w:r>
      <w:r w:rsidR="00027940" w:rsidRPr="007C3159">
        <w:rPr>
          <w:b w:val="0"/>
        </w:rPr>
        <w:t xml:space="preserve"> in order to determine the ED</w:t>
      </w:r>
      <w:r w:rsidR="00027940" w:rsidRPr="007C3159">
        <w:rPr>
          <w:b w:val="0"/>
          <w:vertAlign w:val="subscript"/>
        </w:rPr>
        <w:t>50</w:t>
      </w:r>
      <w:r w:rsidR="00027940" w:rsidRPr="007C3159">
        <w:rPr>
          <w:b w:val="0"/>
        </w:rPr>
        <w:t xml:space="preserve"> and ED</w:t>
      </w:r>
      <w:r w:rsidR="00027940" w:rsidRPr="007C3159">
        <w:rPr>
          <w:b w:val="0"/>
          <w:vertAlign w:val="subscript"/>
        </w:rPr>
        <w:t>75</w:t>
      </w:r>
      <w:r w:rsidRPr="007C3159">
        <w:rPr>
          <w:b w:val="0"/>
        </w:rPr>
        <w:t xml:space="preserve"> </w:t>
      </w:r>
      <w:r w:rsidR="007C3159">
        <w:rPr>
          <w:b w:val="0"/>
        </w:rPr>
        <w:t xml:space="preserve">concentrations </w:t>
      </w:r>
      <w:r w:rsidR="007F1970" w:rsidRPr="007C3159">
        <w:rPr>
          <w:b w:val="0"/>
        </w:rPr>
        <w:t>(</w:t>
      </w:r>
      <w:r w:rsidR="00217F66" w:rsidRPr="007C3159">
        <w:rPr>
          <w:b w:val="0"/>
        </w:rPr>
        <w:t xml:space="preserve">Supplementary </w:t>
      </w:r>
      <w:r w:rsidR="002A3C22">
        <w:rPr>
          <w:b w:val="0"/>
        </w:rPr>
        <w:t>Table</w:t>
      </w:r>
      <w:r w:rsidR="002A3C22" w:rsidRPr="007C3159">
        <w:rPr>
          <w:b w:val="0"/>
        </w:rPr>
        <w:t xml:space="preserve"> </w:t>
      </w:r>
      <w:r w:rsidR="00217F66" w:rsidRPr="007C3159">
        <w:rPr>
          <w:b w:val="0"/>
        </w:rPr>
        <w:t xml:space="preserve">1, </w:t>
      </w:r>
      <w:r w:rsidR="007F1970" w:rsidRPr="007C3159">
        <w:rPr>
          <w:b w:val="0"/>
        </w:rPr>
        <w:t xml:space="preserve">Supplementary </w:t>
      </w:r>
      <w:r w:rsidR="00771E27">
        <w:rPr>
          <w:b w:val="0"/>
        </w:rPr>
        <w:t>Fig.</w:t>
      </w:r>
      <w:r w:rsidR="007F1970" w:rsidRPr="007C3159">
        <w:rPr>
          <w:b w:val="0"/>
        </w:rPr>
        <w:t xml:space="preserve"> 1a-c)</w:t>
      </w:r>
      <w:r w:rsidR="005033EF" w:rsidRPr="007C3159">
        <w:rPr>
          <w:b w:val="0"/>
        </w:rPr>
        <w:t xml:space="preserve">. Cells were </w:t>
      </w:r>
      <w:r w:rsidR="000433DA" w:rsidRPr="007C3159">
        <w:rPr>
          <w:b w:val="0"/>
        </w:rPr>
        <w:t xml:space="preserve">then </w:t>
      </w:r>
      <w:r w:rsidR="005033EF" w:rsidRPr="007C3159">
        <w:rPr>
          <w:b w:val="0"/>
        </w:rPr>
        <w:t xml:space="preserve">transduced </w:t>
      </w:r>
      <w:r w:rsidR="005033EF" w:rsidRPr="00E94CA9">
        <w:rPr>
          <w:b w:val="0"/>
        </w:rPr>
        <w:t>with lentiviral constructs to express the CRISPR-based synergistic activation mediator (SAM) complex</w:t>
      </w:r>
      <w:r w:rsidR="000C7837" w:rsidRPr="00E94CA9">
        <w:rPr>
          <w:b w:val="0"/>
        </w:rPr>
        <w:fldChar w:fldCharType="begin" w:fldLock="1"/>
      </w:r>
      <w:r w:rsidR="00394C69">
        <w:rPr>
          <w:b w:val="0"/>
        </w:rPr>
        <w:instrText>ADDIN CSL_CITATION {"citationItems":[{"id":"ITEM-1","itemData":{"DOI":"10.1038/nature14136","ISBN":"1476-4687 (Electronic)\r0028-0836 (Linking)","PMID":"25494202","abstract":"Systematic interrogation of gene function requires the ability to perturb gene expression in a robust and generalizable manner. Here we describe structure-guided engineering of a CRISPR-Cas9 complex to mediate efficient transcriptional activation at endogenous genomic loci. We used these engineered Cas9 activation complexes to investigate single-guide RNA (sgRNA) targeting rules for effective transcriptional activation, to demonstrate multiplexed activation of ten genes simultaneously, and to upregulate long intergenic non-coding RNA (lincRNA) transcripts. We also synthesized a library consisting of 70,290 guides targeting all human RefSeq coding isoforms to screen for genes that, upon activation, confer resistance to a BRAF inhibitor. The top hits included genes previously shown to be able to confer resistance, and novel candidates were validated using individual sgRNA and complementary DNA overexpression. A gene expression signature based on the top screening hits correlated with markers of BRAF inhibitor resistance in cell lines and patient-derived samples. These results collectively demonstrate the potential of Cas9-based activators as a powerful genetic perturbation technology.","author":[{"dropping-particle":"","family":"Konermann","given":"S","non-dropping-particle":"","parse-names":false,"suffix":""},{"dropping-particle":"","family":"Brigham","given":"M D","non-dropping-particle":"","parse-names":false,"suffix":""},{"dropping-particle":"","family":"Trevino","given":"A E","non-dropping-particle":"","parse-names":false,"suffix":""},{"dropping-particle":"","family":"Joung","given":"J","non-dropping-particle":"","parse-names":false,"suffix":""},{"dropping-particle":"","family":"Abudayyeh","given":"O O","non-dropping-particle":"","parse-names":false,"suffix":""},{"dropping-particle":"","family":"Barcena","given":"C","non-dropping-particle":"","parse-names":false,"suffix":""},{"dropping-particle":"","family":"Hsu","given":"P D","non-dropping-particle":"","parse-names":false,"suffix":""},{"dropping-particle":"","family":"Habib","given":"N","non-dropping-particle":"","parse-names":false,"suffix":""},{"dropping-particle":"","family":"Gootenberg","given":"J S","non-dropping-particle":"","parse-names":false,"suffix":""},{"dropping-particle":"","family":"Nishimasu","given":"H","non-dropping-particle":"","parse-names":false,"suffix":""},{"dropping-particle":"","family":"Nureki","given":"O","non-dropping-particle":"","parse-names":false,"suffix":""},{"dropping-particle":"","family":"Zhang","given":"F","non-dropping-particle":"","parse-names":false,"suffix":""}],"container-title":"Nature","id":"ITEM-1","issue":"7536","issued":{"date-parts":[["2015"]]},"note":"Konermann, Silvana\nBrigham, Mark D\nTrevino, Alexandro E\nJoung, Julia\nAbudayyeh, Omar O\nBarcena, Clea\nHsu, Patrick D\nHabib, Naomi\nGootenberg, Jonathan S\nNishimasu, Hiroshi\nNureki, Osamu\nZhang, Feng\neng\nR01 NS062849/NS/NINDS NIH HHS/\nR01-NS07312401/NS/NINDS NIH HHS/\nDP1-MH100706/DP/NCCDPHP CDC HHS/\nDP1 MH100706/MH/NIMH NIH HHS/\nR01 NS073124/NS/NINDS NIH HHS/\nResearch Support, N.I.H., Extramural\nResearch Support, Non-U.S. Gov't\nResearch Support, U.S. Gov't, Non-P.H.S.\nEngland\n2014/12/11 06:00\nNature. 2015 Jan 29;517(7536):583-8. doi: 10.1038/nature14136. Epub 2014 Dec 10.","page":"583-588","title":"Genome-scale transcriptional activation by an engineered CRISPR-Cas9 complex","type":"article-journal","volume":"517"},"uris":["http://www.mendeley.com/documents/?uuid=bf040db4-c52a-4652-b815-235e3f44bb38","http://www.mendeley.com/documents/?uuid=27ca1872-7bf7-4ed5-9dcc-e0f55122bfe0"]}],"mendeley":{"formattedCitation":"&lt;sup&gt;26&lt;/sup&gt;","plainTextFormattedCitation":"26","previouslyFormattedCitation":"&lt;sup&gt;26&lt;/sup&gt;"},"properties":{"noteIndex":0},"schema":"https://github.com/citation-style-language/schema/raw/master/csl-citation.json"}</w:instrText>
      </w:r>
      <w:r w:rsidR="000C7837" w:rsidRPr="00E94CA9">
        <w:rPr>
          <w:b w:val="0"/>
        </w:rPr>
        <w:fldChar w:fldCharType="separate"/>
      </w:r>
      <w:r w:rsidR="00542124" w:rsidRPr="00E94CA9">
        <w:rPr>
          <w:b w:val="0"/>
          <w:noProof/>
          <w:vertAlign w:val="superscript"/>
        </w:rPr>
        <w:t>26</w:t>
      </w:r>
      <w:r w:rsidR="000C7837" w:rsidRPr="00E94CA9">
        <w:rPr>
          <w:b w:val="0"/>
        </w:rPr>
        <w:fldChar w:fldCharType="end"/>
      </w:r>
      <w:r w:rsidR="005033EF" w:rsidRPr="00E94CA9">
        <w:rPr>
          <w:b w:val="0"/>
        </w:rPr>
        <w:fldChar w:fldCharType="begin"/>
      </w:r>
      <w:r w:rsidR="005033EF" w:rsidRPr="00E94CA9">
        <w:rPr>
          <w:b w:val="0"/>
        </w:rPr>
        <w:instrText>ADDIN EN.CITE</w:instrText>
      </w:r>
      <w:r w:rsidR="005033EF" w:rsidRPr="00E94CA9">
        <w:rPr>
          <w:b w:val="0"/>
        </w:rPr>
        <w:fldChar w:fldCharType="end"/>
      </w:r>
      <w:r w:rsidR="005033EF" w:rsidRPr="00E94CA9">
        <w:rPr>
          <w:b w:val="0"/>
        </w:rPr>
        <w:t>. The functionality of the complex was validated by transducing cells with gRNAs specific to 15 genes previously shown to confer resistance to ALK inhibition in NSCLC</w:t>
      </w:r>
      <w:r w:rsidR="000C7837" w:rsidRPr="00E94CA9">
        <w:rPr>
          <w:b w:val="0"/>
        </w:rPr>
        <w:fldChar w:fldCharType="begin" w:fldLock="1"/>
      </w:r>
      <w:r w:rsidR="00394C69">
        <w:rPr>
          <w:b w:val="0"/>
        </w:rPr>
        <w:instrText>ADDIN CSL_CITATION {"citationItems":[{"id":"ITEM-1","itemData":{"DOI":"10.1016/j.ccell.2015.02.005","ISBN":"1878-3686 (Electronic)\r1535-6108 (Linking)","PMID":"25759024","abstract":"We conducted a large-scale functional genetic study to characterize mechanisms of resistance to ALK inhibition in ALK-dependent lung cancer cells. We identify members of known resistance pathways and additional putative resistance drivers. Among the latter were members of the P2Y purinergic receptor family of G-protein-coupled receptors (P2Y1, P2Y2, and P2Y6). P2Y receptors mediated resistance in part through a protein-kinase-C (PKC)-dependent mechanism. Moreover, PKC activation alone was sufficient to confer resistance to ALK inhibitors, whereas combined ALK and PKC inhibition restored sensitivity. We observed enrichment of gene signatures associated with several resistance drivers (including P2Y receptors) in crizotinib-resistant ALK-rearranged lung tumors compared to treatment-naive controls, supporting a role for these identified mechanisms in clinical ALK inhibitor resistance.","author":[{"dropping-particle":"","family":"Wilson","given":"F H","non-dropping-particle":"","parse-names":false,"suffix":""},{"dropping-particle":"","family":"Johannessen","given":"C M","non-dropping-particle":"","parse-names":false,"suffix":""},{"dropping-particle":"","family":"Piccioni","given":"F","non-dropping-particle":"","parse-names":false,"suffix":""},{"dropping-particle":"","family":"Tamayo","given":"P","non-dropping-particle":"","parse-names":false,"suffix":""},{"dropping-particle":"","family":"Kim","given":"J W","non-dropping-particle":"","parse-names":false,"suffix":""},{"dropping-particle":"","family":"Allen","given":"E M","non-dropping-particle":"Van","parse-names":false,"suffix":""},{"dropping-particle":"","family":"Corsello","given":"S M","non-dropping-particle":"","parse-names":false,"suffix":""},{"dropping-particle":"","family":"Capelletti","given":"M","non-dropping-particle":"","parse-names":false,"suffix":""},{"dropping-particle":"","family":"Calles","given":"A","non-dropping-particle":"","parse-names":false,"suffix":""},{"dropping-particle":"","family":"Butaney","given":"M","non-dropping-particle":"","parse-names":false,"suffix":""},{"dropping-particle":"","family":"Sharifnia","given":"T","non-dropping-particle":"","parse-names":false,"suffix":""},{"dropping-particle":"","family":"Gabriel","given":"S B","non-dropping-particle":"","parse-names":false,"suffix":""},{"dropping-particle":"","family":"Mesirov","given":"J P","non-dropping-particle":"","parse-names":false,"suffix":""},{"dropping-particle":"","family":"Hahn","given":"W C","non-dropping-particle":"","parse-names":false,"suffix":""},{"dropping-particle":"","family":"Engelman","given":"J A","non-dropping-particle":"","parse-names":false,"suffix":""},{"dropping-particle":"","family":"Meyerson","given":"M","non-dropping-particle":"","parse-names":false,"suffix":""},{"dropping-particle":"","family":"Root","given":"D E","non-dropping-particle":"","parse-names":false,"suffix":""},{"dropping-particle":"","family":"Janne","given":"P A","non-dropping-particle":"","parse-names":false,"suffix":""},{"dropping-particle":"","family":"Garraway","given":"L A","non-dropping-particle":"","parse-names":false,"suffix":""}],"container-title":"Cancer Cell","id":"ITEM-1","issue":"3","issued":{"date-parts":[["2015"]]},"note":"Wilson, Frederick H\nJohannessen, Cory M\nPiccioni, Federica\nTamayo, Pablo\nKim, Jong Wook\nVan Allen, Eliezer M\nCorsello, Steven M\nCapelletti, Marzia\nCalles, Antonio\nButaney, Mohit\nSharifnia, Tanaz\nGabriel, Stacey B\nMesirov, Jill P\nHahn, William C\nEngelman, Jeffrey A\nMeyerson, Matthew\nRoot, David E\nJanne, Pasi A\nGarraway, Levi A\neng\nNIH R01 CA154480/CA/NCI NIH HHS/\nR01 GM074024/GM/NIGMS NIH HHS/\nU54 HG003067/HG/NHGRI NIH HHS/\n#5U54HG003067-11/HG/NHGRI NIH HHS/\nGM074024/GM/NIGMS NIH HHS/\nU54 HG006093/HG/NHGRI NIH HHS/\nNIH R01 CA136851/CA/NCI NIH HHS/\nT32 CA009172/CA/NCI NIH HHS/\nP01 CA154303/CA/NCI NIH HHS/\nU01 CA176058/CA/NCI NIH HHS/\nDP2 0D002750/DP/NCCDPHP CDC HHS/\nR33 CA155554/CA/NCI NIH HHS/\nR01 CA154480/CA/NCI NIH HHS/\nU54 CA112962/CA/NCI NIH HHS/\nNIH 5R33CA155554-03/CA/NCI NIH HHS/\nR01 CA121941/CA/NCI NIH HHS/\nR01 CA136851/CA/NCI NIH HHS/\nResearch Support, N.I.H., Extramural\nResearch Support, Non-U.S. Gov't\n2015/03/12 06:00\nCancer Cell. 2015 Mar 9;27(3):397-408. doi: 10.1016/j.ccell.2015.02.005.","page":"397-408","title":"A functional landscape of resistance to ALK inhibition in lung cancer","type":"article-journal","volume":"27"},"uris":["http://www.mendeley.com/documents/?uuid=9bd51c61-397b-4094-a7d7-357464d25883","http://www.mendeley.com/documents/?uuid=84db59bc-4b0d-4cc1-bee4-2d3008df8a2a"]}],"mendeley":{"formattedCitation":"&lt;sup&gt;23&lt;/sup&gt;","plainTextFormattedCitation":"23","previouslyFormattedCitation":"&lt;sup&gt;23&lt;/sup&gt;"},"properties":{"noteIndex":0},"schema":"https://github.com/citation-style-language/schema/raw/master/csl-citation.json"}</w:instrText>
      </w:r>
      <w:r w:rsidR="000C7837" w:rsidRPr="00E94CA9">
        <w:rPr>
          <w:b w:val="0"/>
        </w:rPr>
        <w:fldChar w:fldCharType="separate"/>
      </w:r>
      <w:r w:rsidR="00542124" w:rsidRPr="00E94CA9">
        <w:rPr>
          <w:b w:val="0"/>
          <w:noProof/>
          <w:vertAlign w:val="superscript"/>
        </w:rPr>
        <w:t>23</w:t>
      </w:r>
      <w:r w:rsidR="000C7837" w:rsidRPr="00E94CA9">
        <w:rPr>
          <w:b w:val="0"/>
        </w:rPr>
        <w:fldChar w:fldCharType="end"/>
      </w:r>
      <w:r w:rsidR="005033EF" w:rsidRPr="00E94CA9">
        <w:rPr>
          <w:b w:val="0"/>
        </w:rPr>
        <w:fldChar w:fldCharType="begin"/>
      </w:r>
      <w:r w:rsidR="005033EF" w:rsidRPr="00E94CA9">
        <w:rPr>
          <w:b w:val="0"/>
        </w:rPr>
        <w:instrText>ADDIN EN.CITE</w:instrText>
      </w:r>
      <w:r w:rsidR="005033EF" w:rsidRPr="00E94CA9">
        <w:rPr>
          <w:b w:val="0"/>
        </w:rPr>
        <w:fldChar w:fldCharType="end"/>
      </w:r>
      <w:r w:rsidR="005033EF" w:rsidRPr="00E94CA9">
        <w:rPr>
          <w:b w:val="0"/>
        </w:rPr>
        <w:t>. These data showed significant overexpression of 6/15 and 8/15 genes in SH-SY5Y and CHLA-20 cell lines, respectively, a</w:t>
      </w:r>
      <w:r w:rsidR="005033EF" w:rsidRPr="00E94CA9">
        <w:rPr>
          <w:b w:val="0"/>
          <w:color w:val="000000" w:themeColor="text1"/>
        </w:rPr>
        <w:t>lthough</w:t>
      </w:r>
      <w:r w:rsidR="007B255C" w:rsidRPr="00E94CA9">
        <w:rPr>
          <w:b w:val="0"/>
          <w:color w:val="FF0000"/>
        </w:rPr>
        <w:t xml:space="preserve"> </w:t>
      </w:r>
      <w:r w:rsidR="005033EF" w:rsidRPr="00E94CA9">
        <w:rPr>
          <w:b w:val="0"/>
        </w:rPr>
        <w:t xml:space="preserve">a third of genes were not significantly overexpressed in either cell line (Supplementary </w:t>
      </w:r>
      <w:r w:rsidR="00771E27">
        <w:rPr>
          <w:b w:val="0"/>
        </w:rPr>
        <w:t>Fig.</w:t>
      </w:r>
      <w:r w:rsidR="005033EF" w:rsidRPr="00E94CA9">
        <w:rPr>
          <w:b w:val="0"/>
        </w:rPr>
        <w:t xml:space="preserve"> 1</w:t>
      </w:r>
      <w:r w:rsidR="0011772D" w:rsidRPr="00E94CA9">
        <w:rPr>
          <w:b w:val="0"/>
          <w:color w:val="000000" w:themeColor="text1"/>
        </w:rPr>
        <w:t>d</w:t>
      </w:r>
      <w:r w:rsidR="005033EF" w:rsidRPr="00E94CA9">
        <w:rPr>
          <w:b w:val="0"/>
        </w:rPr>
        <w:t xml:space="preserve">). </w:t>
      </w:r>
    </w:p>
    <w:p w14:paraId="329D021D" w14:textId="634D11D0" w:rsidR="00D30528" w:rsidRPr="00E94CA9" w:rsidRDefault="005033EF" w:rsidP="00330ED6">
      <w:pPr>
        <w:spacing w:line="360" w:lineRule="auto"/>
        <w:ind w:firstLine="284"/>
        <w:jc w:val="both"/>
        <w:rPr>
          <w:rFonts w:cs="Arial"/>
          <w:b/>
          <w:bCs/>
          <w:color w:val="FF0000"/>
          <w:sz w:val="22"/>
          <w:szCs w:val="22"/>
        </w:rPr>
      </w:pPr>
      <w:r w:rsidRPr="00E94CA9">
        <w:rPr>
          <w:rFonts w:cs="Arial"/>
          <w:sz w:val="22"/>
          <w:szCs w:val="22"/>
        </w:rPr>
        <w:t xml:space="preserve">The SAM pooled gRNA library, targeting the transcription start site of 23,430 </w:t>
      </w:r>
      <w:proofErr w:type="spellStart"/>
      <w:r w:rsidRPr="00E94CA9">
        <w:rPr>
          <w:rFonts w:cs="Arial"/>
          <w:sz w:val="22"/>
          <w:szCs w:val="22"/>
        </w:rPr>
        <w:t>RefSeq</w:t>
      </w:r>
      <w:proofErr w:type="spellEnd"/>
      <w:r w:rsidRPr="00E94CA9">
        <w:rPr>
          <w:rFonts w:cs="Arial"/>
          <w:sz w:val="22"/>
          <w:szCs w:val="22"/>
        </w:rPr>
        <w:t xml:space="preserve"> coding isoforms with three gRNA sequences, was used for </w:t>
      </w:r>
      <w:proofErr w:type="spellStart"/>
      <w:r w:rsidR="007C3159">
        <w:rPr>
          <w:rFonts w:cs="Arial"/>
          <w:sz w:val="22"/>
          <w:szCs w:val="22"/>
        </w:rPr>
        <w:t>CRISPR</w:t>
      </w:r>
      <w:r w:rsidR="00BE717F">
        <w:rPr>
          <w:rFonts w:cs="Arial"/>
          <w:sz w:val="22"/>
          <w:szCs w:val="22"/>
        </w:rPr>
        <w:t>a</w:t>
      </w:r>
      <w:proofErr w:type="spellEnd"/>
      <w:r w:rsidR="00BE717F">
        <w:rPr>
          <w:rFonts w:cs="Arial"/>
          <w:sz w:val="22"/>
          <w:szCs w:val="22"/>
        </w:rPr>
        <w:t xml:space="preserve"> </w:t>
      </w:r>
      <w:r w:rsidRPr="00E94CA9">
        <w:rPr>
          <w:rFonts w:cs="Arial"/>
          <w:sz w:val="22"/>
          <w:szCs w:val="22"/>
        </w:rPr>
        <w:t>screening</w:t>
      </w:r>
      <w:r w:rsidR="005F2843" w:rsidRPr="00E94CA9">
        <w:rPr>
          <w:rFonts w:cs="Arial"/>
          <w:sz w:val="22"/>
          <w:szCs w:val="22"/>
        </w:rPr>
        <w:fldChar w:fldCharType="begin" w:fldLock="1"/>
      </w:r>
      <w:r w:rsidR="00394C69">
        <w:rPr>
          <w:rFonts w:cs="Arial"/>
          <w:sz w:val="22"/>
          <w:szCs w:val="22"/>
        </w:rPr>
        <w:instrText>ADDIN CSL_CITATION {"citationItems":[{"id":"ITEM-1","itemData":{"DOI":"10.1038/nature14136","ISBN":"1476-4687 (Electronic)\r0028-0836 (Linking)","PMID":"25494202","abstract":"Systematic interrogation of gene function requires the ability to perturb gene expression in a robust and generalizable manner. Here we describe structure-guided engineering of a CRISPR-Cas9 complex to mediate efficient transcriptional activation at endogenous genomic loci. We used these engineered Cas9 activation complexes to investigate single-guide RNA (sgRNA) targeting rules for effective transcriptional activation, to demonstrate multiplexed activation of ten genes simultaneously, and to upregulate long intergenic non-coding RNA (lincRNA) transcripts. We also synthesized a library consisting of 70,290 guides targeting all human RefSeq coding isoforms to screen for genes that, upon activation, confer resistance to a BRAF inhibitor. The top hits included genes previously shown to be able to confer resistance, and novel candidates were validated using individual sgRNA and complementary DNA overexpression. A gene expression signature based on the top screening hits correlated with markers of BRAF inhibitor resistance in cell lines and patient-derived samples. These results collectively demonstrate the potential of Cas9-based activators as a powerful genetic perturbation technology.","author":[{"dropping-particle":"","family":"Konermann","given":"S","non-dropping-particle":"","parse-names":false,"suffix":""},{"dropping-particle":"","family":"Brigham","given":"M D","non-dropping-particle":"","parse-names":false,"suffix":""},{"dropping-particle":"","family":"Trevino","given":"A E","non-dropping-particle":"","parse-names":false,"suffix":""},{"dropping-particle":"","family":"Joung","given":"J","non-dropping-particle":"","parse-names":false,"suffix":""},{"dropping-particle":"","family":"Abudayyeh","given":"O O","non-dropping-particle":"","parse-names":false,"suffix":""},{"dropping-particle":"","family":"Barcena","given":"C","non-dropping-particle":"","parse-names":false,"suffix":""},{"dropping-particle":"","family":"Hsu","given":"P D","non-dropping-particle":"","parse-names":false,"suffix":""},{"dropping-particle":"","family":"Habib","given":"N","non-dropping-particle":"","parse-names":false,"suffix":""},{"dropping-particle":"","family":"Gootenberg","given":"J S","non-dropping-particle":"","parse-names":false,"suffix":""},{"dropping-particle":"","family":"Nishimasu","given":"H","non-dropping-particle":"","parse-names":false,"suffix":""},{"dropping-particle":"","family":"Nureki","given":"O","non-dropping-particle":"","parse-names":false,"suffix":""},{"dropping-particle":"","family":"Zhang","given":"F","non-dropping-particle":"","parse-names":false,"suffix":""}],"container-title":"Nature","id":"ITEM-1","issue":"7536","issued":{"date-parts":[["2015"]]},"note":"Konermann, Silvana\nBrigham, Mark D\nTrevino, Alexandro E\nJoung, Julia\nAbudayyeh, Omar O\nBarcena, Clea\nHsu, Patrick D\nHabib, Naomi\nGootenberg, Jonathan S\nNishimasu, Hiroshi\nNureki, Osamu\nZhang, Feng\neng\nR01 NS062849/NS/NINDS NIH HHS/\nR01-NS07312401/NS/NINDS NIH HHS/\nDP1-MH100706/DP/NCCDPHP CDC HHS/\nDP1 MH100706/MH/NIMH NIH HHS/\nR01 NS073124/NS/NINDS NIH HHS/\nResearch Support, N.I.H., Extramural\nResearch Support, Non-U.S. Gov't\nResearch Support, U.S. Gov't, Non-P.H.S.\nEngland\n2014/12/11 06:00\nNature. 2015 Jan 29;517(7536):583-8. doi: 10.1038/nature14136. Epub 2014 Dec 10.","page":"583-588","title":"Genome-scale transcriptional activation by an engineered CRISPR-Cas9 complex","type":"article-journal","volume":"517"},"uris":["http://www.mendeley.com/documents/?uuid=bf040db4-c52a-4652-b815-235e3f44bb38","http://www.mendeley.com/documents/?uuid=27ca1872-7bf7-4ed5-9dcc-e0f55122bfe0"]}],"mendeley":{"formattedCitation":"&lt;sup&gt;26&lt;/sup&gt;","plainTextFormattedCitation":"26","previouslyFormattedCitation":"&lt;sup&gt;26&lt;/sup&gt;"},"properties":{"noteIndex":0},"schema":"https://github.com/citation-style-language/schema/raw/master/csl-citation.json"}</w:instrText>
      </w:r>
      <w:r w:rsidR="005F2843" w:rsidRPr="00E94CA9">
        <w:rPr>
          <w:rFonts w:cs="Arial"/>
          <w:sz w:val="22"/>
          <w:szCs w:val="22"/>
        </w:rPr>
        <w:fldChar w:fldCharType="separate"/>
      </w:r>
      <w:r w:rsidR="00542124" w:rsidRPr="00E94CA9">
        <w:rPr>
          <w:rFonts w:cs="Arial"/>
          <w:noProof/>
          <w:sz w:val="22"/>
          <w:szCs w:val="22"/>
          <w:vertAlign w:val="superscript"/>
        </w:rPr>
        <w:t>26</w:t>
      </w:r>
      <w:r w:rsidR="005F2843"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Cells were transduc</w:t>
      </w:r>
      <w:r w:rsidR="007C3159">
        <w:rPr>
          <w:rFonts w:cs="Arial"/>
          <w:sz w:val="22"/>
          <w:szCs w:val="22"/>
        </w:rPr>
        <w:t>ed</w:t>
      </w:r>
      <w:r w:rsidRPr="00E94CA9">
        <w:rPr>
          <w:rFonts w:cs="Arial"/>
          <w:sz w:val="22"/>
          <w:szCs w:val="22"/>
        </w:rPr>
        <w:t xml:space="preserve"> with the gRNA library </w:t>
      </w:r>
      <w:r w:rsidR="00027940" w:rsidRPr="00E94CA9">
        <w:rPr>
          <w:rFonts w:cs="Arial"/>
          <w:sz w:val="22"/>
          <w:szCs w:val="22"/>
        </w:rPr>
        <w:t xml:space="preserve">before exposure to either </w:t>
      </w:r>
      <w:proofErr w:type="spellStart"/>
      <w:r w:rsidRPr="00E94CA9">
        <w:rPr>
          <w:rFonts w:cs="Arial"/>
          <w:sz w:val="22"/>
          <w:szCs w:val="22"/>
        </w:rPr>
        <w:t>brigatinib</w:t>
      </w:r>
      <w:proofErr w:type="spellEnd"/>
      <w:r w:rsidRPr="00E94CA9">
        <w:rPr>
          <w:rFonts w:cs="Arial"/>
          <w:sz w:val="22"/>
          <w:szCs w:val="22"/>
        </w:rPr>
        <w:t xml:space="preserve"> or </w:t>
      </w:r>
      <w:proofErr w:type="spellStart"/>
      <w:r w:rsidRPr="00E94CA9">
        <w:rPr>
          <w:rFonts w:cs="Arial"/>
          <w:sz w:val="22"/>
          <w:szCs w:val="22"/>
        </w:rPr>
        <w:t>ceritini</w:t>
      </w:r>
      <w:r w:rsidR="007C3159">
        <w:rPr>
          <w:rFonts w:cs="Arial"/>
          <w:sz w:val="22"/>
          <w:szCs w:val="22"/>
        </w:rPr>
        <w:t>b</w:t>
      </w:r>
      <w:proofErr w:type="spellEnd"/>
      <w:r w:rsidRPr="00E94CA9">
        <w:rPr>
          <w:rFonts w:cs="Arial"/>
          <w:sz w:val="22"/>
          <w:szCs w:val="22"/>
        </w:rPr>
        <w:t xml:space="preserve">. Genomic DNA was extracted from cells at days 0 and 14, and deep-sequencing conducted to identify enriched gRNAs </w:t>
      </w:r>
      <w:r w:rsidRPr="00E94CA9">
        <w:rPr>
          <w:rFonts w:cs="Arial"/>
          <w:color w:val="000000" w:themeColor="text1"/>
          <w:sz w:val="22"/>
          <w:szCs w:val="22"/>
        </w:rPr>
        <w:t>(Fig</w:t>
      </w:r>
      <w:r w:rsidR="0011772D" w:rsidRPr="00E94CA9">
        <w:rPr>
          <w:rFonts w:cs="Arial"/>
          <w:color w:val="000000" w:themeColor="text1"/>
          <w:sz w:val="22"/>
          <w:szCs w:val="22"/>
        </w:rPr>
        <w:t>.</w:t>
      </w:r>
      <w:r w:rsidRPr="00E94CA9">
        <w:rPr>
          <w:rFonts w:cs="Arial"/>
          <w:color w:val="000000" w:themeColor="text1"/>
          <w:sz w:val="22"/>
          <w:szCs w:val="22"/>
        </w:rPr>
        <w:t xml:space="preserve"> 1</w:t>
      </w:r>
      <w:r w:rsidR="0011772D" w:rsidRPr="00E94CA9">
        <w:rPr>
          <w:rFonts w:cs="Arial"/>
          <w:color w:val="000000" w:themeColor="text1"/>
          <w:sz w:val="22"/>
          <w:szCs w:val="22"/>
        </w:rPr>
        <w:t>a</w:t>
      </w:r>
      <w:r w:rsidRPr="00E94CA9">
        <w:rPr>
          <w:rFonts w:cs="Arial"/>
          <w:color w:val="000000" w:themeColor="text1"/>
          <w:sz w:val="22"/>
          <w:szCs w:val="22"/>
        </w:rPr>
        <w:t xml:space="preserve">). </w:t>
      </w:r>
      <w:r w:rsidRPr="00E94CA9">
        <w:rPr>
          <w:rFonts w:cs="Arial"/>
          <w:sz w:val="22"/>
          <w:szCs w:val="22"/>
        </w:rPr>
        <w:t xml:space="preserve">To further increase the stringency of </w:t>
      </w:r>
      <w:r w:rsidR="005E4645" w:rsidRPr="00E94CA9">
        <w:rPr>
          <w:rFonts w:cs="Arial"/>
          <w:sz w:val="22"/>
          <w:szCs w:val="22"/>
        </w:rPr>
        <w:t>the</w:t>
      </w:r>
      <w:r w:rsidRPr="00E94CA9">
        <w:rPr>
          <w:rFonts w:cs="Arial"/>
          <w:sz w:val="22"/>
          <w:szCs w:val="22"/>
        </w:rPr>
        <w:t xml:space="preserve"> analysis, we considered candidate genes to be those with enriched gRNAs </w:t>
      </w:r>
      <w:r w:rsidR="0087544C" w:rsidRPr="007C3159">
        <w:rPr>
          <w:rFonts w:cs="Arial"/>
          <w:sz w:val="22"/>
          <w:szCs w:val="22"/>
        </w:rPr>
        <w:t xml:space="preserve">when </w:t>
      </w:r>
      <w:r w:rsidRPr="007C3159">
        <w:rPr>
          <w:rFonts w:cs="Arial"/>
          <w:sz w:val="22"/>
          <w:szCs w:val="22"/>
        </w:rPr>
        <w:t xml:space="preserve">exposed to both </w:t>
      </w:r>
      <w:proofErr w:type="spellStart"/>
      <w:r w:rsidRPr="007C3159">
        <w:rPr>
          <w:rFonts w:cs="Arial"/>
          <w:sz w:val="22"/>
          <w:szCs w:val="22"/>
        </w:rPr>
        <w:t>brigatinib</w:t>
      </w:r>
      <w:proofErr w:type="spellEnd"/>
      <w:r w:rsidRPr="007C3159">
        <w:rPr>
          <w:rFonts w:cs="Arial"/>
          <w:sz w:val="22"/>
          <w:szCs w:val="22"/>
        </w:rPr>
        <w:t xml:space="preserve"> </w:t>
      </w:r>
      <w:r w:rsidR="00074E3E" w:rsidRPr="007C3159">
        <w:rPr>
          <w:rFonts w:cs="Arial"/>
          <w:sz w:val="22"/>
          <w:szCs w:val="22"/>
        </w:rPr>
        <w:t>or</w:t>
      </w:r>
      <w:r w:rsidRPr="007C3159">
        <w:rPr>
          <w:rFonts w:cs="Arial"/>
          <w:sz w:val="22"/>
          <w:szCs w:val="22"/>
        </w:rPr>
        <w:t xml:space="preserve"> </w:t>
      </w:r>
      <w:proofErr w:type="spellStart"/>
      <w:r w:rsidRPr="007C3159">
        <w:rPr>
          <w:rFonts w:cs="Arial"/>
          <w:sz w:val="22"/>
          <w:szCs w:val="22"/>
        </w:rPr>
        <w:t>ceritinib</w:t>
      </w:r>
      <w:proofErr w:type="spellEnd"/>
      <w:r w:rsidRPr="007C3159">
        <w:rPr>
          <w:rFonts w:cs="Arial"/>
          <w:sz w:val="22"/>
          <w:szCs w:val="22"/>
        </w:rPr>
        <w:t xml:space="preserve"> at a given concentration (i.e. ED</w:t>
      </w:r>
      <w:r w:rsidRPr="007C3159">
        <w:rPr>
          <w:rFonts w:cs="Arial"/>
          <w:sz w:val="22"/>
          <w:szCs w:val="22"/>
          <w:vertAlign w:val="subscript"/>
        </w:rPr>
        <w:t>50</w:t>
      </w:r>
      <w:r w:rsidRPr="007C3159">
        <w:rPr>
          <w:rFonts w:cs="Arial"/>
          <w:sz w:val="22"/>
          <w:szCs w:val="22"/>
        </w:rPr>
        <w:t xml:space="preserve"> or ED</w:t>
      </w:r>
      <w:r w:rsidRPr="007C3159">
        <w:rPr>
          <w:rFonts w:cs="Arial"/>
          <w:sz w:val="22"/>
          <w:szCs w:val="22"/>
          <w:vertAlign w:val="subscript"/>
        </w:rPr>
        <w:t>75</w:t>
      </w:r>
      <w:r w:rsidR="00C830A4" w:rsidRPr="007C3159">
        <w:rPr>
          <w:rFonts w:cs="Arial"/>
          <w:sz w:val="22"/>
          <w:szCs w:val="22"/>
        </w:rPr>
        <w:t>)</w:t>
      </w:r>
      <w:r w:rsidR="00AF363F" w:rsidRPr="007C3159">
        <w:rPr>
          <w:rFonts w:cs="Arial"/>
          <w:sz w:val="22"/>
          <w:szCs w:val="22"/>
        </w:rPr>
        <w:t xml:space="preserve"> (Supplementary Data </w:t>
      </w:r>
      <w:r w:rsidR="002A3C22">
        <w:rPr>
          <w:rFonts w:cs="Arial"/>
          <w:sz w:val="22"/>
          <w:szCs w:val="22"/>
        </w:rPr>
        <w:t>1</w:t>
      </w:r>
      <w:r w:rsidR="00AF363F" w:rsidRPr="007C3159">
        <w:rPr>
          <w:rFonts w:cs="Arial"/>
          <w:sz w:val="22"/>
          <w:szCs w:val="22"/>
        </w:rPr>
        <w:t>)</w:t>
      </w:r>
      <w:r w:rsidR="00C830A4" w:rsidRPr="007C3159">
        <w:rPr>
          <w:rFonts w:cs="Arial"/>
          <w:sz w:val="22"/>
          <w:szCs w:val="22"/>
        </w:rPr>
        <w:t>.</w:t>
      </w:r>
    </w:p>
    <w:p w14:paraId="32EAA800" w14:textId="7E90E1D0" w:rsidR="00191831" w:rsidRPr="0017608D" w:rsidRDefault="005033EF" w:rsidP="00195C72">
      <w:pPr>
        <w:spacing w:line="360" w:lineRule="auto"/>
        <w:ind w:firstLine="284"/>
        <w:jc w:val="both"/>
        <w:rPr>
          <w:rFonts w:cs="Arial"/>
          <w:sz w:val="22"/>
          <w:szCs w:val="22"/>
        </w:rPr>
      </w:pPr>
      <w:r w:rsidRPr="00E94CA9">
        <w:rPr>
          <w:rFonts w:cs="Arial"/>
          <w:sz w:val="22"/>
          <w:szCs w:val="22"/>
        </w:rPr>
        <w:t>For SH-SY5Y cells, ALK inhibitor treatment led to significant enrichment of gRNAs targeting 25 genes (</w:t>
      </w:r>
      <w:r w:rsidRPr="00E94CA9">
        <w:rPr>
          <w:rFonts w:cs="Arial"/>
          <w:i/>
          <w:sz w:val="22"/>
          <w:szCs w:val="22"/>
        </w:rPr>
        <w:t>p</w:t>
      </w:r>
      <w:r w:rsidRPr="00E94CA9">
        <w:rPr>
          <w:rFonts w:cs="Arial"/>
          <w:sz w:val="22"/>
          <w:szCs w:val="22"/>
        </w:rPr>
        <w:t xml:space="preserve"> &lt; 0.05</w:t>
      </w:r>
      <w:r w:rsidR="009D44D9">
        <w:rPr>
          <w:rFonts w:cs="Arial"/>
          <w:sz w:val="22"/>
          <w:szCs w:val="22"/>
        </w:rPr>
        <w:t xml:space="preserve">, </w:t>
      </w:r>
      <w:r w:rsidR="002C7383" w:rsidRPr="00BC69A8">
        <w:rPr>
          <w:rFonts w:cs="Arial"/>
          <w:sz w:val="22"/>
          <w:szCs w:val="22"/>
        </w:rPr>
        <w:t>unpaired Student’s t-test</w:t>
      </w:r>
      <w:r w:rsidRPr="00E94CA9">
        <w:rPr>
          <w:rFonts w:cs="Arial"/>
          <w:sz w:val="22"/>
          <w:szCs w:val="22"/>
        </w:rPr>
        <w:t>) (Fig</w:t>
      </w:r>
      <w:r w:rsidR="00BF65EE" w:rsidRPr="00E94CA9">
        <w:rPr>
          <w:rFonts w:cs="Arial"/>
          <w:sz w:val="22"/>
          <w:szCs w:val="22"/>
        </w:rPr>
        <w:t>.</w:t>
      </w:r>
      <w:r w:rsidRPr="00E94CA9">
        <w:rPr>
          <w:rFonts w:cs="Arial"/>
          <w:sz w:val="22"/>
          <w:szCs w:val="22"/>
        </w:rPr>
        <w:t xml:space="preserve"> 1</w:t>
      </w:r>
      <w:r w:rsidR="00BF65EE" w:rsidRPr="00E94CA9">
        <w:rPr>
          <w:rFonts w:cs="Arial"/>
          <w:sz w:val="22"/>
          <w:szCs w:val="22"/>
        </w:rPr>
        <w:t>b</w:t>
      </w:r>
      <w:r w:rsidRPr="00E94CA9">
        <w:rPr>
          <w:rFonts w:cs="Arial"/>
          <w:sz w:val="22"/>
          <w:szCs w:val="22"/>
        </w:rPr>
        <w:t>). Interestingly, only three genes (</w:t>
      </w:r>
      <w:r w:rsidR="004E3D88" w:rsidRPr="00E94CA9">
        <w:rPr>
          <w:rFonts w:cs="Arial"/>
          <w:i/>
          <w:sz w:val="22"/>
          <w:szCs w:val="22"/>
        </w:rPr>
        <w:t xml:space="preserve">PIM1, </w:t>
      </w:r>
      <w:r w:rsidRPr="00E94CA9">
        <w:rPr>
          <w:rFonts w:cs="Arial"/>
          <w:i/>
          <w:sz w:val="22"/>
          <w:szCs w:val="22"/>
        </w:rPr>
        <w:t>MET</w:t>
      </w:r>
      <w:r w:rsidRPr="00E94CA9">
        <w:rPr>
          <w:rFonts w:cs="Arial"/>
          <w:sz w:val="22"/>
          <w:szCs w:val="22"/>
        </w:rPr>
        <w:t xml:space="preserve"> and </w:t>
      </w:r>
      <w:r w:rsidRPr="00E94CA9">
        <w:rPr>
          <w:rFonts w:cs="Arial"/>
          <w:i/>
          <w:sz w:val="22"/>
          <w:szCs w:val="22"/>
        </w:rPr>
        <w:t>SAGE1</w:t>
      </w:r>
      <w:r w:rsidRPr="00E94CA9">
        <w:rPr>
          <w:rFonts w:cs="Arial"/>
          <w:sz w:val="22"/>
          <w:szCs w:val="22"/>
        </w:rPr>
        <w:t>) were significantly enriched by both inhibitors at ED</w:t>
      </w:r>
      <w:r w:rsidRPr="00E94CA9">
        <w:rPr>
          <w:rFonts w:cs="Arial"/>
          <w:sz w:val="22"/>
          <w:szCs w:val="22"/>
          <w:vertAlign w:val="subscript"/>
        </w:rPr>
        <w:t>50</w:t>
      </w:r>
      <w:r w:rsidRPr="00E94CA9">
        <w:rPr>
          <w:rFonts w:cs="Arial"/>
          <w:sz w:val="22"/>
          <w:szCs w:val="22"/>
        </w:rPr>
        <w:t xml:space="preserve"> and ED</w:t>
      </w:r>
      <w:r w:rsidRPr="00E94CA9">
        <w:rPr>
          <w:rFonts w:cs="Arial"/>
          <w:sz w:val="22"/>
          <w:szCs w:val="22"/>
          <w:vertAlign w:val="subscript"/>
        </w:rPr>
        <w:t>75</w:t>
      </w:r>
      <w:r w:rsidRPr="00E94CA9">
        <w:rPr>
          <w:rFonts w:cs="Arial"/>
          <w:sz w:val="22"/>
          <w:szCs w:val="22"/>
        </w:rPr>
        <w:t xml:space="preserve"> concentrations (Fig</w:t>
      </w:r>
      <w:r w:rsidR="00BF65EE" w:rsidRPr="00E94CA9">
        <w:rPr>
          <w:rFonts w:cs="Arial"/>
          <w:sz w:val="22"/>
          <w:szCs w:val="22"/>
        </w:rPr>
        <w:t>.</w:t>
      </w:r>
      <w:r w:rsidRPr="00E94CA9">
        <w:rPr>
          <w:rFonts w:cs="Arial"/>
          <w:sz w:val="22"/>
          <w:szCs w:val="22"/>
        </w:rPr>
        <w:t xml:space="preserve"> 1</w:t>
      </w:r>
      <w:r w:rsidR="00BF65EE" w:rsidRPr="00E94CA9">
        <w:rPr>
          <w:rFonts w:cs="Arial"/>
          <w:sz w:val="22"/>
          <w:szCs w:val="22"/>
        </w:rPr>
        <w:t>b</w:t>
      </w:r>
      <w:r w:rsidRPr="00E94CA9">
        <w:rPr>
          <w:rFonts w:cs="Arial"/>
          <w:sz w:val="22"/>
          <w:szCs w:val="22"/>
        </w:rPr>
        <w:t>-</w:t>
      </w:r>
      <w:r w:rsidR="00BF65EE" w:rsidRPr="00E94CA9">
        <w:rPr>
          <w:rFonts w:cs="Arial"/>
          <w:sz w:val="22"/>
          <w:szCs w:val="22"/>
        </w:rPr>
        <w:t>d</w:t>
      </w:r>
      <w:r w:rsidRPr="00E94CA9">
        <w:rPr>
          <w:rFonts w:cs="Arial"/>
          <w:sz w:val="22"/>
          <w:szCs w:val="22"/>
        </w:rPr>
        <w:t xml:space="preserve">), </w:t>
      </w:r>
      <w:r w:rsidR="0017608D">
        <w:rPr>
          <w:rFonts w:cs="Arial"/>
          <w:sz w:val="22"/>
          <w:szCs w:val="22"/>
        </w:rPr>
        <w:t>suggesting r</w:t>
      </w:r>
      <w:r w:rsidRPr="00E94CA9">
        <w:rPr>
          <w:rFonts w:cs="Arial"/>
          <w:sz w:val="22"/>
          <w:szCs w:val="22"/>
        </w:rPr>
        <w:t>esistance mechanisms</w:t>
      </w:r>
      <w:r w:rsidR="0017608D">
        <w:rPr>
          <w:rFonts w:cs="Arial"/>
          <w:sz w:val="22"/>
          <w:szCs w:val="22"/>
        </w:rPr>
        <w:t xml:space="preserve"> may be </w:t>
      </w:r>
      <w:r w:rsidR="0017608D" w:rsidRPr="00E94CA9">
        <w:rPr>
          <w:rFonts w:cs="Arial"/>
          <w:sz w:val="22"/>
          <w:szCs w:val="22"/>
        </w:rPr>
        <w:t xml:space="preserve">compound-specific and </w:t>
      </w:r>
      <w:r w:rsidR="0017608D" w:rsidRPr="00E94CA9">
        <w:rPr>
          <w:rFonts w:cs="Arial"/>
          <w:sz w:val="22"/>
          <w:szCs w:val="22"/>
        </w:rPr>
        <w:lastRenderedPageBreak/>
        <w:t>concentration-dependent</w:t>
      </w:r>
      <w:r w:rsidRPr="00E94CA9">
        <w:rPr>
          <w:rFonts w:cs="Arial"/>
          <w:sz w:val="22"/>
          <w:szCs w:val="22"/>
        </w:rPr>
        <w:t xml:space="preserve">. Gene set enrichment analysis of candidate resistance genes in SH-SY5Y cells in comparison with hallmark and gene ontology gene sets </w:t>
      </w:r>
      <w:r w:rsidR="00C830A4" w:rsidRPr="00E94CA9">
        <w:rPr>
          <w:rFonts w:cs="Arial"/>
          <w:sz w:val="22"/>
          <w:szCs w:val="22"/>
        </w:rPr>
        <w:t>i</w:t>
      </w:r>
      <w:r w:rsidRPr="00E94CA9">
        <w:rPr>
          <w:rFonts w:cs="Arial"/>
          <w:sz w:val="22"/>
          <w:szCs w:val="22"/>
        </w:rPr>
        <w:t>n the Molecular Signatures Database</w:t>
      </w:r>
      <w:r w:rsidR="005F2843" w:rsidRPr="00E94CA9">
        <w:rPr>
          <w:rFonts w:cs="Arial"/>
          <w:sz w:val="22"/>
          <w:szCs w:val="22"/>
        </w:rPr>
        <w:fldChar w:fldCharType="begin" w:fldLock="1"/>
      </w:r>
      <w:r w:rsidR="004F24F9">
        <w:rPr>
          <w:rFonts w:cs="Arial"/>
          <w:sz w:val="22"/>
          <w:szCs w:val="22"/>
        </w:rPr>
        <w:instrText>ADDIN CSL_CITATION {"citationItems":[{"id":"ITEM-1","itemData":{"DOI":"10.1016/j.cels.2015.12.004","ISBN":"2405-4712 (Print)\r2405-4712 (Linking)","PMID":"26771021","abstract":"The Molecular Signatures Database (MSigDB) is one of the most widely used and comprehensive databases of gene sets for performing gene set enrichment analysis. Since its creation, MSigDB has grown beyond its roots in metabolic disease and cancer to include &gt;10,000 gene sets. These better represent a wider range of biological processes and diseases, but the utility of the database is reduced by increased redundancy across, and heterogeneity within, gene sets. To address this challenge, here we use a combination of automated approaches and expert curation to develop a collection of \"hallmark\" gene sets as part of MSigDB. Each hallmark in this collection consists of a \"refined\" gene set, derived from multiple \"founder\" sets, that conveys a specific biological state or process and displays coherent expression. The hallmarks effectively summarize most of the relevant information of the original founder sets and, by reducing both variation and redundancy, provide more refined and concise inputs for gene set enrichment analysis.","author":[{"dropping-particle":"","family":"Liberzon","given":"A","non-dropping-particle":"","parse-names":false,"suffix":""},{"dropping-particle":"","family":"Birger","given":"C","non-dropping-particle":"","parse-names":false,"suffix":""},{"dropping-particle":"","family":"Thorvaldsdottir","given":"H","non-dropping-particle":"","parse-names":false,"suffix":""},{"dropping-particle":"","family":"Ghandi","given":"M","non-dropping-particle":"","parse-names":false,"suffix":""},{"dropping-particle":"","family":"Mesirov","given":"J P","non-dropping-particle":"","parse-names":false,"suffix":""},{"dropping-particle":"","family":"Tamayo","given":"P","non-dropping-particle":"","parse-names":false,"suffix":""}],"container-title":"Cell Syst","id":"ITEM-1","issue":"6","issued":{"date-parts":[["2015"]]},"note":"Liberzon, Arthur\nBirger, Chet\nThorvaldsdottir, Helga\nGhandi, Mahmoud\nMesirov, Jill P\nTamayo, Pablo\neng\nR01 CA121941/CA/NCI NIH HHS/\nR01 CA154480/CA/NCI NIH HHS/\nR01 GM074024/GM/NIGMS NIH HHS/\nU54 CA112962/CA/NCI NIH HHS/\n2016/01/16 06:00\nCell Syst. 2015 Dec 23;1(6):417-425. doi: 10.1016/j.cels.2015.12.004.","page":"417-425","title":"The Molecular Signatures Database (MSigDB) hallmark gene set collection","type":"article-journal","volume":"1"},"uris":["http://www.mendeley.com/documents/?uuid=08c48fa2-d3a5-4d98-89dd-43bb0f878e22","http://www.mendeley.com/documents/?uuid=7e8cf1cc-061c-4bfc-9ad6-66150a44c636"]}],"mendeley":{"formattedCitation":"&lt;sup&gt;27&lt;/sup&gt;","plainTextFormattedCitation":"27","previouslyFormattedCitation":"&lt;sup&gt;27&lt;/sup&gt;"},"properties":{"noteIndex":0},"schema":"https://github.com/citation-style-language/schema/raw/master/csl-citation.json"}</w:instrText>
      </w:r>
      <w:r w:rsidR="005F2843" w:rsidRPr="00E94CA9">
        <w:rPr>
          <w:rFonts w:cs="Arial"/>
          <w:sz w:val="22"/>
          <w:szCs w:val="22"/>
        </w:rPr>
        <w:fldChar w:fldCharType="separate"/>
      </w:r>
      <w:r w:rsidR="00394C69" w:rsidRPr="00394C69">
        <w:rPr>
          <w:rFonts w:cs="Arial"/>
          <w:noProof/>
          <w:sz w:val="22"/>
          <w:szCs w:val="22"/>
          <w:vertAlign w:val="superscript"/>
        </w:rPr>
        <w:t>27</w:t>
      </w:r>
      <w:r w:rsidR="005F2843" w:rsidRPr="00E94CA9">
        <w:rPr>
          <w:rFonts w:cs="Arial"/>
          <w:sz w:val="22"/>
          <w:szCs w:val="22"/>
        </w:rPr>
        <w:fldChar w:fldCharType="end"/>
      </w:r>
      <w:r w:rsidRPr="00E94CA9">
        <w:rPr>
          <w:rFonts w:cs="Arial"/>
          <w:sz w:val="22"/>
          <w:szCs w:val="22"/>
        </w:rPr>
        <w:t xml:space="preserve"> showed an enrichment for genes involved in negative regulation of cell death (</w:t>
      </w:r>
      <w:r w:rsidR="004E3D88" w:rsidRPr="00E94CA9">
        <w:rPr>
          <w:rFonts w:cs="Arial"/>
          <w:i/>
          <w:sz w:val="22"/>
          <w:szCs w:val="22"/>
        </w:rPr>
        <w:t xml:space="preserve">PIM1, </w:t>
      </w:r>
      <w:r w:rsidRPr="00E94CA9">
        <w:rPr>
          <w:rFonts w:cs="Arial"/>
          <w:i/>
          <w:sz w:val="22"/>
          <w:szCs w:val="22"/>
        </w:rPr>
        <w:t>BDNF</w:t>
      </w:r>
      <w:r w:rsidRPr="00E94CA9">
        <w:rPr>
          <w:rFonts w:cs="Arial"/>
          <w:sz w:val="22"/>
          <w:szCs w:val="22"/>
        </w:rPr>
        <w:t xml:space="preserve">, </w:t>
      </w:r>
      <w:r w:rsidRPr="00E94CA9">
        <w:rPr>
          <w:rFonts w:cs="Arial"/>
          <w:i/>
          <w:sz w:val="22"/>
          <w:szCs w:val="22"/>
        </w:rPr>
        <w:t>FAIM2</w:t>
      </w:r>
      <w:r w:rsidRPr="00E94CA9">
        <w:rPr>
          <w:rFonts w:cs="Arial"/>
          <w:sz w:val="22"/>
          <w:szCs w:val="22"/>
        </w:rPr>
        <w:t xml:space="preserve">, </w:t>
      </w:r>
      <w:r w:rsidRPr="00E94CA9">
        <w:rPr>
          <w:rFonts w:cs="Arial"/>
          <w:i/>
          <w:sz w:val="22"/>
          <w:szCs w:val="22"/>
        </w:rPr>
        <w:t>FOXP1</w:t>
      </w:r>
      <w:r w:rsidRPr="00E94CA9">
        <w:rPr>
          <w:rFonts w:cs="Arial"/>
          <w:sz w:val="22"/>
          <w:szCs w:val="22"/>
        </w:rPr>
        <w:t xml:space="preserve">, </w:t>
      </w:r>
      <w:r w:rsidRPr="00E94CA9">
        <w:rPr>
          <w:rFonts w:cs="Arial"/>
          <w:i/>
          <w:sz w:val="22"/>
          <w:szCs w:val="22"/>
        </w:rPr>
        <w:t>KRAS</w:t>
      </w:r>
      <w:r w:rsidRPr="00E94CA9">
        <w:rPr>
          <w:rFonts w:cs="Arial"/>
          <w:sz w:val="22"/>
          <w:szCs w:val="22"/>
        </w:rPr>
        <w:t xml:space="preserve">, </w:t>
      </w:r>
      <w:r w:rsidRPr="00E94CA9">
        <w:rPr>
          <w:rFonts w:cs="Arial"/>
          <w:i/>
          <w:sz w:val="22"/>
          <w:szCs w:val="22"/>
        </w:rPr>
        <w:t>MET</w:t>
      </w:r>
      <w:r w:rsidRPr="00E94CA9">
        <w:rPr>
          <w:rFonts w:cs="Arial"/>
          <w:sz w:val="22"/>
          <w:szCs w:val="22"/>
        </w:rPr>
        <w:t xml:space="preserve"> and</w:t>
      </w:r>
      <w:r w:rsidR="004E3D88" w:rsidRPr="00E94CA9">
        <w:rPr>
          <w:rFonts w:cs="Arial"/>
          <w:i/>
          <w:sz w:val="22"/>
          <w:szCs w:val="22"/>
        </w:rPr>
        <w:t xml:space="preserve"> MYC</w:t>
      </w:r>
      <w:r w:rsidRPr="00E94CA9">
        <w:rPr>
          <w:rFonts w:cs="Arial"/>
          <w:sz w:val="22"/>
          <w:szCs w:val="22"/>
        </w:rPr>
        <w:t>) (Fig</w:t>
      </w:r>
      <w:r w:rsidR="00BF65EE" w:rsidRPr="00E94CA9">
        <w:rPr>
          <w:rFonts w:cs="Arial"/>
          <w:sz w:val="22"/>
          <w:szCs w:val="22"/>
        </w:rPr>
        <w:t>.</w:t>
      </w:r>
      <w:r w:rsidRPr="00E94CA9">
        <w:rPr>
          <w:rFonts w:cs="Arial"/>
          <w:sz w:val="22"/>
          <w:szCs w:val="22"/>
        </w:rPr>
        <w:t xml:space="preserve"> 1</w:t>
      </w:r>
      <w:r w:rsidR="00BF65EE" w:rsidRPr="00E94CA9">
        <w:rPr>
          <w:rFonts w:cs="Arial"/>
          <w:sz w:val="22"/>
          <w:szCs w:val="22"/>
        </w:rPr>
        <w:t>e</w:t>
      </w:r>
      <w:r w:rsidRPr="00E94CA9">
        <w:rPr>
          <w:rFonts w:cs="Arial"/>
          <w:sz w:val="22"/>
          <w:szCs w:val="22"/>
        </w:rPr>
        <w:t>). This is consistent with their putative roles in drug resistance and therefore confirms the predictive capability of this CRISPR gRNA fold-enrichment analysis method.</w:t>
      </w:r>
      <w:r w:rsidR="00191831" w:rsidRPr="00E94CA9">
        <w:rPr>
          <w:rFonts w:cs="Arial"/>
          <w:sz w:val="22"/>
          <w:szCs w:val="22"/>
        </w:rPr>
        <w:t xml:space="preserve"> </w:t>
      </w:r>
      <w:r w:rsidR="000316FC" w:rsidRPr="0017608D">
        <w:rPr>
          <w:rFonts w:cs="Arial"/>
          <w:sz w:val="22"/>
          <w:szCs w:val="22"/>
        </w:rPr>
        <w:t xml:space="preserve">Data obtained from the SH-SY5Y cell line were compared to those from the </w:t>
      </w:r>
      <w:proofErr w:type="spellStart"/>
      <w:r w:rsidR="0017608D">
        <w:rPr>
          <w:rFonts w:cs="Arial"/>
          <w:sz w:val="22"/>
          <w:szCs w:val="22"/>
        </w:rPr>
        <w:t>CRISPR</w:t>
      </w:r>
      <w:r w:rsidR="00BE717F">
        <w:rPr>
          <w:rFonts w:cs="Arial"/>
          <w:sz w:val="22"/>
          <w:szCs w:val="22"/>
        </w:rPr>
        <w:t>a</w:t>
      </w:r>
      <w:proofErr w:type="spellEnd"/>
      <w:r w:rsidR="00BE717F">
        <w:rPr>
          <w:rFonts w:cs="Arial"/>
          <w:sz w:val="22"/>
          <w:szCs w:val="22"/>
        </w:rPr>
        <w:t xml:space="preserve"> </w:t>
      </w:r>
      <w:r w:rsidR="0017608D">
        <w:rPr>
          <w:rFonts w:cs="Arial"/>
          <w:sz w:val="22"/>
          <w:szCs w:val="22"/>
        </w:rPr>
        <w:t>screen</w:t>
      </w:r>
      <w:r w:rsidR="00191831" w:rsidRPr="0017608D">
        <w:rPr>
          <w:rFonts w:cs="Arial"/>
          <w:sz w:val="22"/>
          <w:szCs w:val="22"/>
        </w:rPr>
        <w:t xml:space="preserve"> conducted in the CHLA-20 cell line </w:t>
      </w:r>
      <w:r w:rsidR="000316FC" w:rsidRPr="0017608D">
        <w:rPr>
          <w:rFonts w:cs="Arial"/>
          <w:sz w:val="22"/>
          <w:szCs w:val="22"/>
        </w:rPr>
        <w:t xml:space="preserve">and revealed an overlap of 11 genes including </w:t>
      </w:r>
      <w:r w:rsidR="004E3D88" w:rsidRPr="0017608D">
        <w:rPr>
          <w:rFonts w:cs="Arial"/>
          <w:i/>
          <w:iCs/>
          <w:sz w:val="22"/>
          <w:szCs w:val="22"/>
        </w:rPr>
        <w:t>PIM1</w:t>
      </w:r>
      <w:r w:rsidR="000316FC" w:rsidRPr="0017608D">
        <w:rPr>
          <w:rFonts w:cs="Arial"/>
          <w:sz w:val="22"/>
          <w:szCs w:val="22"/>
        </w:rPr>
        <w:t xml:space="preserve">, </w:t>
      </w:r>
      <w:r w:rsidR="000316FC" w:rsidRPr="0017608D">
        <w:rPr>
          <w:rFonts w:cs="Arial"/>
          <w:i/>
          <w:iCs/>
          <w:sz w:val="22"/>
          <w:szCs w:val="22"/>
        </w:rPr>
        <w:t>MET</w:t>
      </w:r>
      <w:r w:rsidR="000316FC" w:rsidRPr="0017608D">
        <w:rPr>
          <w:rFonts w:cs="Arial"/>
          <w:sz w:val="22"/>
          <w:szCs w:val="22"/>
        </w:rPr>
        <w:t xml:space="preserve">, </w:t>
      </w:r>
      <w:r w:rsidR="000316FC" w:rsidRPr="0017608D">
        <w:rPr>
          <w:rFonts w:cs="Arial"/>
          <w:i/>
          <w:iCs/>
          <w:sz w:val="22"/>
          <w:szCs w:val="22"/>
        </w:rPr>
        <w:t>MYC</w:t>
      </w:r>
      <w:r w:rsidR="000316FC" w:rsidRPr="0017608D">
        <w:rPr>
          <w:rFonts w:cs="Arial"/>
          <w:sz w:val="22"/>
          <w:szCs w:val="22"/>
        </w:rPr>
        <w:t xml:space="preserve"> and </w:t>
      </w:r>
      <w:r w:rsidR="004E3D88" w:rsidRPr="0017608D">
        <w:rPr>
          <w:rFonts w:cs="Arial"/>
          <w:i/>
          <w:iCs/>
          <w:sz w:val="22"/>
          <w:szCs w:val="22"/>
        </w:rPr>
        <w:t>KRAS</w:t>
      </w:r>
      <w:r w:rsidR="004E3D88" w:rsidRPr="0017608D" w:rsidDel="004E3D88">
        <w:rPr>
          <w:rFonts w:cs="Arial"/>
          <w:i/>
          <w:iCs/>
          <w:sz w:val="22"/>
          <w:szCs w:val="22"/>
        </w:rPr>
        <w:t xml:space="preserve"> </w:t>
      </w:r>
      <w:r w:rsidR="00191831" w:rsidRPr="0017608D">
        <w:rPr>
          <w:rFonts w:cs="Arial"/>
          <w:sz w:val="22"/>
          <w:szCs w:val="22"/>
        </w:rPr>
        <w:t xml:space="preserve">(Fig. </w:t>
      </w:r>
      <w:r w:rsidR="000316FC" w:rsidRPr="0017608D">
        <w:rPr>
          <w:rFonts w:cs="Arial"/>
          <w:sz w:val="22"/>
          <w:szCs w:val="22"/>
        </w:rPr>
        <w:t>1f</w:t>
      </w:r>
      <w:r w:rsidR="00793BE2" w:rsidRPr="0017608D">
        <w:rPr>
          <w:rFonts w:cs="Arial"/>
          <w:sz w:val="22"/>
          <w:szCs w:val="22"/>
        </w:rPr>
        <w:t xml:space="preserve">, Supplementary </w:t>
      </w:r>
      <w:r w:rsidR="00771E27">
        <w:rPr>
          <w:rFonts w:cs="Arial"/>
          <w:sz w:val="22"/>
          <w:szCs w:val="22"/>
        </w:rPr>
        <w:t>Fig.</w:t>
      </w:r>
      <w:r w:rsidR="00793BE2" w:rsidRPr="0017608D">
        <w:rPr>
          <w:rFonts w:cs="Arial"/>
          <w:sz w:val="22"/>
          <w:szCs w:val="22"/>
        </w:rPr>
        <w:t xml:space="preserve"> 2</w:t>
      </w:r>
      <w:r w:rsidR="007E7F38" w:rsidRPr="0017608D">
        <w:rPr>
          <w:rFonts w:cs="Arial"/>
          <w:sz w:val="22"/>
          <w:szCs w:val="22"/>
        </w:rPr>
        <w:t xml:space="preserve">, Supplementary Data </w:t>
      </w:r>
      <w:r w:rsidR="002A3C22">
        <w:rPr>
          <w:rFonts w:cs="Arial"/>
          <w:sz w:val="22"/>
          <w:szCs w:val="22"/>
        </w:rPr>
        <w:t>2</w:t>
      </w:r>
      <w:r w:rsidR="00191831" w:rsidRPr="0017608D">
        <w:rPr>
          <w:rFonts w:cs="Arial"/>
          <w:sz w:val="22"/>
          <w:szCs w:val="22"/>
        </w:rPr>
        <w:t>)</w:t>
      </w:r>
      <w:r w:rsidR="000316FC" w:rsidRPr="0017608D">
        <w:rPr>
          <w:rFonts w:cs="Arial"/>
          <w:sz w:val="22"/>
          <w:szCs w:val="22"/>
        </w:rPr>
        <w:t>.</w:t>
      </w:r>
      <w:r w:rsidR="00191831" w:rsidRPr="0017608D">
        <w:rPr>
          <w:rFonts w:cs="Arial"/>
          <w:sz w:val="22"/>
          <w:szCs w:val="22"/>
        </w:rPr>
        <w:t xml:space="preserve"> </w:t>
      </w:r>
    </w:p>
    <w:p w14:paraId="5B4E7A82" w14:textId="64F80B15" w:rsidR="00027940" w:rsidRPr="00E94CA9" w:rsidRDefault="00027940" w:rsidP="00027940">
      <w:pPr>
        <w:spacing w:line="360" w:lineRule="auto"/>
        <w:jc w:val="both"/>
        <w:rPr>
          <w:rFonts w:cs="Arial"/>
          <w:sz w:val="22"/>
          <w:szCs w:val="22"/>
        </w:rPr>
      </w:pPr>
    </w:p>
    <w:p w14:paraId="2408D16F" w14:textId="7EA18803" w:rsidR="002A3C22" w:rsidRDefault="00027940" w:rsidP="00191831">
      <w:pPr>
        <w:spacing w:line="360" w:lineRule="auto"/>
        <w:jc w:val="both"/>
        <w:rPr>
          <w:rFonts w:cs="Arial"/>
          <w:b/>
          <w:sz w:val="22"/>
          <w:szCs w:val="22"/>
        </w:rPr>
      </w:pPr>
      <w:r w:rsidRPr="00F5482A">
        <w:rPr>
          <w:rFonts w:cs="Arial"/>
          <w:b/>
          <w:sz w:val="22"/>
          <w:szCs w:val="22"/>
        </w:rPr>
        <w:t xml:space="preserve">Functional validation of </w:t>
      </w:r>
      <w:proofErr w:type="spellStart"/>
      <w:r w:rsidRPr="00F5482A">
        <w:rPr>
          <w:rFonts w:cs="Arial"/>
          <w:b/>
          <w:sz w:val="22"/>
          <w:szCs w:val="22"/>
        </w:rPr>
        <w:t>CRISPR</w:t>
      </w:r>
      <w:r w:rsidR="00BE717F">
        <w:rPr>
          <w:rFonts w:cs="Arial"/>
          <w:b/>
          <w:sz w:val="22"/>
          <w:szCs w:val="22"/>
        </w:rPr>
        <w:t>a</w:t>
      </w:r>
      <w:proofErr w:type="spellEnd"/>
      <w:r w:rsidR="00BE717F">
        <w:rPr>
          <w:rFonts w:cs="Arial"/>
          <w:b/>
          <w:sz w:val="22"/>
          <w:szCs w:val="22"/>
        </w:rPr>
        <w:t xml:space="preserve"> </w:t>
      </w:r>
      <w:r w:rsidRPr="00F5482A">
        <w:rPr>
          <w:rFonts w:cs="Arial"/>
          <w:b/>
          <w:sz w:val="22"/>
          <w:szCs w:val="22"/>
        </w:rPr>
        <w:t>screen hits</w:t>
      </w:r>
      <w:r w:rsidR="002A3C22">
        <w:rPr>
          <w:rFonts w:cs="Arial"/>
          <w:b/>
          <w:sz w:val="22"/>
          <w:szCs w:val="22"/>
        </w:rPr>
        <w:t xml:space="preserve"> </w:t>
      </w:r>
    </w:p>
    <w:p w14:paraId="20B29124" w14:textId="5A8AAB28" w:rsidR="00D30528" w:rsidRPr="00F5482A" w:rsidRDefault="005033EF" w:rsidP="00845ECF">
      <w:pPr>
        <w:spacing w:line="360" w:lineRule="auto"/>
        <w:ind w:firstLine="720"/>
        <w:jc w:val="both"/>
        <w:rPr>
          <w:rFonts w:cs="Arial"/>
          <w:b/>
          <w:sz w:val="22"/>
          <w:szCs w:val="22"/>
        </w:rPr>
      </w:pPr>
      <w:r w:rsidRPr="00F5482A">
        <w:rPr>
          <w:rFonts w:cs="Arial"/>
          <w:sz w:val="22"/>
          <w:szCs w:val="22"/>
        </w:rPr>
        <w:t xml:space="preserve">Candidate genes in SH-SY5Y </w:t>
      </w:r>
      <w:r w:rsidR="000316FC" w:rsidRPr="00F5482A">
        <w:rPr>
          <w:rFonts w:cs="Arial"/>
          <w:sz w:val="22"/>
          <w:szCs w:val="22"/>
        </w:rPr>
        <w:t xml:space="preserve">and CHLA-20 </w:t>
      </w:r>
      <w:r w:rsidRPr="00F5482A">
        <w:rPr>
          <w:rFonts w:cs="Arial"/>
          <w:sz w:val="22"/>
          <w:szCs w:val="22"/>
        </w:rPr>
        <w:t xml:space="preserve">cells were each functionally validated by transducing cells with two enriched gRNAs individually and by assessing their response to </w:t>
      </w:r>
      <w:proofErr w:type="spellStart"/>
      <w:r w:rsidRPr="00F5482A">
        <w:rPr>
          <w:rFonts w:cs="Arial"/>
          <w:sz w:val="22"/>
          <w:szCs w:val="22"/>
        </w:rPr>
        <w:t>brigatinib</w:t>
      </w:r>
      <w:proofErr w:type="spellEnd"/>
      <w:r w:rsidRPr="00F5482A">
        <w:rPr>
          <w:rFonts w:cs="Arial"/>
          <w:sz w:val="22"/>
          <w:szCs w:val="22"/>
        </w:rPr>
        <w:t xml:space="preserve"> or </w:t>
      </w:r>
      <w:proofErr w:type="spellStart"/>
      <w:r w:rsidRPr="00F5482A">
        <w:rPr>
          <w:rFonts w:cs="Arial"/>
          <w:sz w:val="22"/>
          <w:szCs w:val="22"/>
        </w:rPr>
        <w:t>ceritinib</w:t>
      </w:r>
      <w:proofErr w:type="spellEnd"/>
      <w:r w:rsidRPr="00F5482A">
        <w:rPr>
          <w:rFonts w:cs="Arial"/>
          <w:sz w:val="22"/>
          <w:szCs w:val="22"/>
        </w:rPr>
        <w:t>. Of the gRNAs targeting 25 different genes, 76% (38/50) induced a significant increase in the ED</w:t>
      </w:r>
      <w:r w:rsidRPr="00F5482A">
        <w:rPr>
          <w:rFonts w:cs="Arial"/>
          <w:sz w:val="22"/>
          <w:szCs w:val="22"/>
          <w:vertAlign w:val="subscript"/>
        </w:rPr>
        <w:t>50</w:t>
      </w:r>
      <w:r w:rsidRPr="00F5482A">
        <w:rPr>
          <w:rFonts w:cs="Arial"/>
          <w:sz w:val="22"/>
          <w:szCs w:val="22"/>
        </w:rPr>
        <w:t xml:space="preserve"> concentration for both </w:t>
      </w:r>
      <w:proofErr w:type="spellStart"/>
      <w:r w:rsidRPr="00F5482A">
        <w:rPr>
          <w:rFonts w:cs="Arial"/>
          <w:sz w:val="22"/>
          <w:szCs w:val="22"/>
        </w:rPr>
        <w:t>brigatinib</w:t>
      </w:r>
      <w:proofErr w:type="spellEnd"/>
      <w:r w:rsidRPr="00F5482A">
        <w:rPr>
          <w:rFonts w:cs="Arial"/>
          <w:sz w:val="22"/>
          <w:szCs w:val="22"/>
        </w:rPr>
        <w:t xml:space="preserve"> and </w:t>
      </w:r>
      <w:proofErr w:type="spellStart"/>
      <w:r w:rsidRPr="00F5482A">
        <w:rPr>
          <w:rFonts w:cs="Arial"/>
          <w:sz w:val="22"/>
          <w:szCs w:val="22"/>
        </w:rPr>
        <w:t>ceritinib</w:t>
      </w:r>
      <w:proofErr w:type="spellEnd"/>
      <w:r w:rsidRPr="00F5482A">
        <w:rPr>
          <w:rFonts w:cs="Arial"/>
          <w:sz w:val="22"/>
          <w:szCs w:val="22"/>
        </w:rPr>
        <w:t xml:space="preserve"> </w:t>
      </w:r>
      <w:r w:rsidR="000316FC" w:rsidRPr="00F5482A">
        <w:rPr>
          <w:rFonts w:cs="Arial"/>
          <w:sz w:val="22"/>
          <w:szCs w:val="22"/>
        </w:rPr>
        <w:t xml:space="preserve">in SH-SY5Y cells </w:t>
      </w:r>
      <w:r w:rsidRPr="00F5482A">
        <w:rPr>
          <w:rFonts w:cs="Arial"/>
          <w:sz w:val="22"/>
          <w:szCs w:val="22"/>
        </w:rPr>
        <w:t>(</w:t>
      </w:r>
      <w:r w:rsidRPr="00F5482A">
        <w:rPr>
          <w:rFonts w:cs="Arial"/>
          <w:i/>
          <w:sz w:val="22"/>
          <w:szCs w:val="22"/>
        </w:rPr>
        <w:t>p</w:t>
      </w:r>
      <w:r w:rsidRPr="00F5482A">
        <w:rPr>
          <w:rFonts w:cs="Arial"/>
          <w:sz w:val="22"/>
          <w:szCs w:val="22"/>
        </w:rPr>
        <w:t xml:space="preserve"> &lt; 0.05</w:t>
      </w:r>
      <w:r w:rsidR="009D44D9">
        <w:rPr>
          <w:rFonts w:cs="Arial"/>
          <w:sz w:val="22"/>
          <w:szCs w:val="22"/>
        </w:rPr>
        <w:t>, one-way ANOVA</w:t>
      </w:r>
      <w:r w:rsidRPr="00F5482A">
        <w:rPr>
          <w:rFonts w:cs="Arial"/>
          <w:sz w:val="22"/>
          <w:szCs w:val="22"/>
        </w:rPr>
        <w:t xml:space="preserve">) (Supplementary </w:t>
      </w:r>
      <w:r w:rsidR="00771E27">
        <w:rPr>
          <w:rFonts w:cs="Arial"/>
          <w:sz w:val="22"/>
          <w:szCs w:val="22"/>
        </w:rPr>
        <w:t>Fig.</w:t>
      </w:r>
      <w:r w:rsidRPr="00F5482A">
        <w:rPr>
          <w:rFonts w:cs="Arial"/>
          <w:sz w:val="22"/>
          <w:szCs w:val="22"/>
        </w:rPr>
        <w:t xml:space="preserve"> </w:t>
      </w:r>
      <w:r w:rsidR="00793BE2" w:rsidRPr="00F5482A">
        <w:rPr>
          <w:rFonts w:cs="Arial"/>
          <w:sz w:val="22"/>
          <w:szCs w:val="22"/>
        </w:rPr>
        <w:t>3</w:t>
      </w:r>
      <w:r w:rsidR="0011772D" w:rsidRPr="00F5482A">
        <w:rPr>
          <w:rFonts w:cs="Arial"/>
          <w:sz w:val="22"/>
          <w:szCs w:val="22"/>
        </w:rPr>
        <w:t>a</w:t>
      </w:r>
      <w:r w:rsidRPr="00F5482A">
        <w:rPr>
          <w:rFonts w:cs="Arial"/>
          <w:sz w:val="22"/>
          <w:szCs w:val="22"/>
        </w:rPr>
        <w:t xml:space="preserve">, </w:t>
      </w:r>
      <w:r w:rsidR="0011772D" w:rsidRPr="00F5482A">
        <w:rPr>
          <w:rFonts w:cs="Arial"/>
          <w:sz w:val="22"/>
          <w:szCs w:val="22"/>
        </w:rPr>
        <w:t>b</w:t>
      </w:r>
      <w:r w:rsidR="007B255C" w:rsidRPr="00F5482A">
        <w:rPr>
          <w:rFonts w:cs="Arial"/>
          <w:sz w:val="22"/>
          <w:szCs w:val="22"/>
        </w:rPr>
        <w:t>;</w:t>
      </w:r>
      <w:r w:rsidR="00F17165" w:rsidRPr="00F5482A">
        <w:rPr>
          <w:rFonts w:cs="Arial"/>
          <w:sz w:val="22"/>
          <w:szCs w:val="22"/>
        </w:rPr>
        <w:t xml:space="preserve"> S</w:t>
      </w:r>
      <w:r w:rsidRPr="00F5482A">
        <w:rPr>
          <w:rFonts w:cs="Arial"/>
          <w:sz w:val="22"/>
          <w:szCs w:val="22"/>
        </w:rPr>
        <w:t xml:space="preserve">upplementary </w:t>
      </w:r>
      <w:r w:rsidR="002A3C22">
        <w:rPr>
          <w:rFonts w:cs="Arial"/>
          <w:sz w:val="22"/>
          <w:szCs w:val="22"/>
        </w:rPr>
        <w:t>Table 2</w:t>
      </w:r>
      <w:r w:rsidRPr="00F5482A">
        <w:rPr>
          <w:rFonts w:cs="Arial"/>
          <w:sz w:val="22"/>
          <w:szCs w:val="22"/>
        </w:rPr>
        <w:t xml:space="preserve">), and 24 genes were validated. Levels of gene overexpression were assessed for all candidate genes by RT-qPCR (Supplementary </w:t>
      </w:r>
      <w:r w:rsidR="00771E27">
        <w:rPr>
          <w:rFonts w:cs="Arial"/>
          <w:sz w:val="22"/>
          <w:szCs w:val="22"/>
        </w:rPr>
        <w:t>Fig.</w:t>
      </w:r>
      <w:r w:rsidRPr="00F5482A">
        <w:rPr>
          <w:rFonts w:cs="Arial"/>
          <w:sz w:val="22"/>
          <w:szCs w:val="22"/>
        </w:rPr>
        <w:t xml:space="preserve"> </w:t>
      </w:r>
      <w:r w:rsidR="00793BE2" w:rsidRPr="00F5482A">
        <w:rPr>
          <w:rFonts w:cs="Arial"/>
          <w:sz w:val="22"/>
          <w:szCs w:val="22"/>
        </w:rPr>
        <w:t>3</w:t>
      </w:r>
      <w:r w:rsidR="0011772D" w:rsidRPr="00F5482A">
        <w:rPr>
          <w:rFonts w:cs="Arial"/>
          <w:sz w:val="22"/>
          <w:szCs w:val="22"/>
        </w:rPr>
        <w:t>c</w:t>
      </w:r>
      <w:r w:rsidRPr="00F5482A">
        <w:rPr>
          <w:rFonts w:cs="Arial"/>
          <w:sz w:val="22"/>
          <w:szCs w:val="22"/>
        </w:rPr>
        <w:t xml:space="preserve">). </w:t>
      </w:r>
      <w:r w:rsidR="00793BE2" w:rsidRPr="00F5482A">
        <w:rPr>
          <w:rFonts w:cs="Arial"/>
          <w:sz w:val="22"/>
          <w:szCs w:val="22"/>
        </w:rPr>
        <w:t xml:space="preserve">Similar data were obtained for the CHLA-20 cell line (Supplementary </w:t>
      </w:r>
      <w:r w:rsidR="00771E27">
        <w:rPr>
          <w:rFonts w:cs="Arial"/>
          <w:sz w:val="22"/>
          <w:szCs w:val="22"/>
        </w:rPr>
        <w:t>Fig.</w:t>
      </w:r>
      <w:r w:rsidR="00793BE2" w:rsidRPr="00F5482A">
        <w:rPr>
          <w:rFonts w:cs="Arial"/>
          <w:sz w:val="22"/>
          <w:szCs w:val="22"/>
        </w:rPr>
        <w:t xml:space="preserve"> 4). </w:t>
      </w:r>
      <w:r w:rsidRPr="00F5482A">
        <w:rPr>
          <w:rFonts w:cs="Arial"/>
          <w:sz w:val="22"/>
          <w:szCs w:val="22"/>
        </w:rPr>
        <w:t xml:space="preserve">While overexpression levels </w:t>
      </w:r>
      <w:r w:rsidR="0049575D" w:rsidRPr="00F5482A">
        <w:rPr>
          <w:rFonts w:cs="Arial"/>
          <w:sz w:val="22"/>
          <w:szCs w:val="22"/>
        </w:rPr>
        <w:t xml:space="preserve">achieved </w:t>
      </w:r>
      <w:r w:rsidRPr="00F5482A">
        <w:rPr>
          <w:rFonts w:cs="Arial"/>
          <w:sz w:val="22"/>
          <w:szCs w:val="22"/>
        </w:rPr>
        <w:t xml:space="preserve">ranged from </w:t>
      </w:r>
      <w:r w:rsidR="000D0CC4" w:rsidRPr="00F5482A">
        <w:rPr>
          <w:rFonts w:cs="Arial"/>
          <w:sz w:val="22"/>
          <w:szCs w:val="22"/>
        </w:rPr>
        <w:t>~1.3 to &gt;100,000</w:t>
      </w:r>
      <w:r w:rsidRPr="00F5482A">
        <w:rPr>
          <w:rFonts w:cs="Arial"/>
          <w:sz w:val="22"/>
          <w:szCs w:val="22"/>
        </w:rPr>
        <w:t>-fold</w:t>
      </w:r>
      <w:r w:rsidR="000D0CC4" w:rsidRPr="00F5482A">
        <w:rPr>
          <w:rFonts w:cs="Arial"/>
          <w:sz w:val="22"/>
          <w:szCs w:val="22"/>
        </w:rPr>
        <w:t xml:space="preserve"> for </w:t>
      </w:r>
      <w:r w:rsidR="002B04BA" w:rsidRPr="00F5482A">
        <w:rPr>
          <w:rFonts w:cs="Arial"/>
          <w:sz w:val="22"/>
          <w:szCs w:val="22"/>
        </w:rPr>
        <w:t xml:space="preserve">both </w:t>
      </w:r>
      <w:r w:rsidR="000D0CC4" w:rsidRPr="00F5482A">
        <w:rPr>
          <w:rFonts w:cs="Arial"/>
          <w:sz w:val="22"/>
          <w:szCs w:val="22"/>
        </w:rPr>
        <w:t>SH-SY5Y and CHLA-20</w:t>
      </w:r>
      <w:r w:rsidR="00CE70BF" w:rsidRPr="00F5482A">
        <w:rPr>
          <w:rFonts w:cs="Arial"/>
          <w:sz w:val="22"/>
          <w:szCs w:val="22"/>
        </w:rPr>
        <w:t xml:space="preserve"> </w:t>
      </w:r>
      <w:r w:rsidR="0049575D" w:rsidRPr="00F5482A">
        <w:rPr>
          <w:rFonts w:cs="Arial"/>
          <w:sz w:val="22"/>
          <w:szCs w:val="22"/>
        </w:rPr>
        <w:t>cell lines</w:t>
      </w:r>
      <w:r w:rsidRPr="00F5482A">
        <w:rPr>
          <w:rFonts w:cs="Arial"/>
          <w:sz w:val="22"/>
          <w:szCs w:val="22"/>
        </w:rPr>
        <w:t xml:space="preserve">, the ability of modest increases in gene expression to induce ALK inhibitor resistance, such as those observed for </w:t>
      </w:r>
      <w:r w:rsidRPr="00F5482A">
        <w:rPr>
          <w:rFonts w:cs="Arial"/>
          <w:i/>
          <w:sz w:val="22"/>
          <w:szCs w:val="22"/>
        </w:rPr>
        <w:t>BDNF</w:t>
      </w:r>
      <w:r w:rsidR="002B04BA" w:rsidRPr="00F5482A">
        <w:rPr>
          <w:rFonts w:cs="Arial"/>
          <w:i/>
          <w:sz w:val="22"/>
          <w:szCs w:val="22"/>
        </w:rPr>
        <w:t>, KRAS, MYC and RRAS</w:t>
      </w:r>
      <w:r w:rsidRPr="00F5482A">
        <w:rPr>
          <w:rFonts w:cs="Arial"/>
          <w:sz w:val="22"/>
          <w:szCs w:val="22"/>
        </w:rPr>
        <w:t>, supports the biologi</w:t>
      </w:r>
      <w:r w:rsidR="00C830A4" w:rsidRPr="00F5482A">
        <w:rPr>
          <w:rFonts w:cs="Arial"/>
          <w:sz w:val="22"/>
          <w:szCs w:val="22"/>
        </w:rPr>
        <w:t>cal relevance of these results</w:t>
      </w:r>
      <w:r w:rsidR="00A8478B" w:rsidRPr="00F5482A">
        <w:rPr>
          <w:rFonts w:cs="Arial"/>
          <w:sz w:val="22"/>
          <w:szCs w:val="22"/>
        </w:rPr>
        <w:t xml:space="preserve"> (Supplementary </w:t>
      </w:r>
      <w:r w:rsidR="00771E27">
        <w:rPr>
          <w:rFonts w:cs="Arial"/>
          <w:sz w:val="22"/>
          <w:szCs w:val="22"/>
        </w:rPr>
        <w:t>Fig.</w:t>
      </w:r>
      <w:r w:rsidR="00A8478B" w:rsidRPr="00F5482A">
        <w:rPr>
          <w:rFonts w:cs="Arial"/>
          <w:sz w:val="22"/>
          <w:szCs w:val="22"/>
        </w:rPr>
        <w:t xml:space="preserve"> </w:t>
      </w:r>
      <w:r w:rsidR="00793BE2" w:rsidRPr="00F5482A">
        <w:rPr>
          <w:rFonts w:cs="Arial"/>
          <w:sz w:val="22"/>
          <w:szCs w:val="22"/>
        </w:rPr>
        <w:t>3</w:t>
      </w:r>
      <w:r w:rsidR="00A8478B" w:rsidRPr="00F5482A">
        <w:rPr>
          <w:rFonts w:cs="Arial"/>
          <w:sz w:val="22"/>
          <w:szCs w:val="22"/>
        </w:rPr>
        <w:t xml:space="preserve">c, Supplementary </w:t>
      </w:r>
      <w:r w:rsidR="00771E27">
        <w:rPr>
          <w:rFonts w:cs="Arial"/>
          <w:sz w:val="22"/>
          <w:szCs w:val="22"/>
        </w:rPr>
        <w:t>Fig.</w:t>
      </w:r>
      <w:r w:rsidR="00A8478B" w:rsidRPr="00F5482A">
        <w:rPr>
          <w:rFonts w:cs="Arial"/>
          <w:sz w:val="22"/>
          <w:szCs w:val="22"/>
        </w:rPr>
        <w:t xml:space="preserve"> </w:t>
      </w:r>
      <w:r w:rsidR="00793BE2" w:rsidRPr="00F5482A">
        <w:rPr>
          <w:rFonts w:cs="Arial"/>
          <w:sz w:val="22"/>
          <w:szCs w:val="22"/>
        </w:rPr>
        <w:t>4</w:t>
      </w:r>
      <w:r w:rsidR="00A8478B" w:rsidRPr="00F5482A">
        <w:rPr>
          <w:rFonts w:cs="Arial"/>
          <w:sz w:val="22"/>
          <w:szCs w:val="22"/>
        </w:rPr>
        <w:t>c)</w:t>
      </w:r>
      <w:r w:rsidR="00C830A4" w:rsidRPr="00F5482A">
        <w:rPr>
          <w:rFonts w:cs="Arial"/>
          <w:sz w:val="22"/>
          <w:szCs w:val="22"/>
        </w:rPr>
        <w:t>.</w:t>
      </w:r>
    </w:p>
    <w:p w14:paraId="6CB505BC" w14:textId="32ADF34F" w:rsidR="00730F72" w:rsidRPr="00E94CA9" w:rsidRDefault="00730F72">
      <w:pPr>
        <w:spacing w:line="360" w:lineRule="auto"/>
        <w:ind w:firstLine="284"/>
        <w:jc w:val="both"/>
        <w:rPr>
          <w:rFonts w:cs="Arial"/>
          <w:color w:val="000000" w:themeColor="text1"/>
          <w:sz w:val="22"/>
          <w:szCs w:val="22"/>
        </w:rPr>
      </w:pPr>
    </w:p>
    <w:p w14:paraId="691A6B62" w14:textId="011989A6" w:rsidR="002A3C22" w:rsidRDefault="0095283D" w:rsidP="00EE4A48">
      <w:pPr>
        <w:spacing w:line="360" w:lineRule="auto"/>
        <w:jc w:val="both"/>
        <w:rPr>
          <w:rFonts w:cs="Arial"/>
          <w:b/>
          <w:bCs/>
          <w:sz w:val="22"/>
          <w:szCs w:val="22"/>
        </w:rPr>
      </w:pPr>
      <w:r w:rsidRPr="00F5482A">
        <w:rPr>
          <w:rFonts w:cs="Arial"/>
          <w:b/>
          <w:bCs/>
          <w:i/>
          <w:sz w:val="22"/>
          <w:szCs w:val="22"/>
        </w:rPr>
        <w:t>PIM1</w:t>
      </w:r>
      <w:r w:rsidR="00870957">
        <w:rPr>
          <w:rFonts w:cs="Arial"/>
          <w:b/>
          <w:bCs/>
          <w:i/>
          <w:sz w:val="22"/>
          <w:szCs w:val="22"/>
        </w:rPr>
        <w:t xml:space="preserve"> </w:t>
      </w:r>
      <w:r w:rsidR="008804DA" w:rsidRPr="00870957">
        <w:rPr>
          <w:rFonts w:cs="Arial"/>
          <w:b/>
          <w:bCs/>
          <w:sz w:val="22"/>
          <w:szCs w:val="22"/>
        </w:rPr>
        <w:t>is</w:t>
      </w:r>
      <w:r w:rsidR="002A3C22">
        <w:rPr>
          <w:rFonts w:cs="Arial"/>
          <w:b/>
          <w:bCs/>
          <w:i/>
          <w:sz w:val="22"/>
          <w:szCs w:val="22"/>
        </w:rPr>
        <w:t xml:space="preserve"> </w:t>
      </w:r>
      <w:r w:rsidR="00545CD3">
        <w:rPr>
          <w:rFonts w:cs="Arial"/>
          <w:b/>
          <w:bCs/>
          <w:iCs/>
          <w:sz w:val="22"/>
          <w:szCs w:val="22"/>
        </w:rPr>
        <w:t>a</w:t>
      </w:r>
      <w:r w:rsidR="00730F72" w:rsidRPr="00F5482A">
        <w:rPr>
          <w:rFonts w:cs="Arial"/>
          <w:b/>
          <w:bCs/>
          <w:iCs/>
          <w:sz w:val="22"/>
          <w:szCs w:val="22"/>
        </w:rPr>
        <w:t xml:space="preserve"> potential </w:t>
      </w:r>
      <w:r w:rsidRPr="00F5482A">
        <w:rPr>
          <w:rFonts w:cs="Arial"/>
          <w:b/>
          <w:bCs/>
          <w:sz w:val="22"/>
          <w:szCs w:val="22"/>
          <w:lang w:val="en-US"/>
        </w:rPr>
        <w:t>druggable</w:t>
      </w:r>
      <w:r w:rsidR="00730F72" w:rsidRPr="00F5482A">
        <w:rPr>
          <w:rFonts w:cs="Arial"/>
          <w:b/>
          <w:bCs/>
          <w:iCs/>
          <w:sz w:val="22"/>
          <w:szCs w:val="22"/>
        </w:rPr>
        <w:t xml:space="preserve"> target for ALK TKI</w:t>
      </w:r>
      <w:r w:rsidR="00F5482A">
        <w:rPr>
          <w:rFonts w:cs="Arial"/>
          <w:b/>
          <w:bCs/>
          <w:iCs/>
          <w:sz w:val="22"/>
          <w:szCs w:val="22"/>
        </w:rPr>
        <w:t>-</w:t>
      </w:r>
      <w:r w:rsidR="00730F72" w:rsidRPr="00F5482A">
        <w:rPr>
          <w:rFonts w:cs="Arial"/>
          <w:b/>
          <w:bCs/>
          <w:iCs/>
          <w:sz w:val="22"/>
          <w:szCs w:val="22"/>
        </w:rPr>
        <w:t>resistan</w:t>
      </w:r>
      <w:r w:rsidR="00EE4A48" w:rsidRPr="00F5482A">
        <w:rPr>
          <w:rFonts w:cs="Arial"/>
          <w:b/>
          <w:bCs/>
          <w:iCs/>
          <w:sz w:val="22"/>
          <w:szCs w:val="22"/>
        </w:rPr>
        <w:t>t</w:t>
      </w:r>
      <w:r w:rsidR="00730F72" w:rsidRPr="00F5482A">
        <w:rPr>
          <w:rFonts w:cs="Arial"/>
          <w:b/>
          <w:bCs/>
          <w:iCs/>
          <w:sz w:val="22"/>
          <w:szCs w:val="22"/>
        </w:rPr>
        <w:t xml:space="preserve"> NB</w:t>
      </w:r>
      <w:r w:rsidR="00EE4A48" w:rsidRPr="00F5482A">
        <w:rPr>
          <w:rFonts w:cs="Arial"/>
          <w:b/>
          <w:bCs/>
          <w:sz w:val="22"/>
          <w:szCs w:val="22"/>
        </w:rPr>
        <w:t xml:space="preserve"> </w:t>
      </w:r>
    </w:p>
    <w:p w14:paraId="7D76C7CC" w14:textId="58477570" w:rsidR="00D30528" w:rsidRPr="00E94CA9" w:rsidRDefault="005033EF" w:rsidP="00845ECF">
      <w:pPr>
        <w:spacing w:line="360" w:lineRule="auto"/>
        <w:ind w:firstLine="284"/>
        <w:jc w:val="both"/>
        <w:rPr>
          <w:rFonts w:cs="Arial"/>
          <w:b/>
          <w:bCs/>
          <w:color w:val="FF0000"/>
          <w:sz w:val="22"/>
          <w:szCs w:val="22"/>
        </w:rPr>
      </w:pPr>
      <w:r w:rsidRPr="00E94CA9">
        <w:rPr>
          <w:rFonts w:cs="Arial"/>
          <w:sz w:val="22"/>
          <w:szCs w:val="22"/>
        </w:rPr>
        <w:t xml:space="preserve">To identify clinically-relevant genes from the </w:t>
      </w:r>
      <w:proofErr w:type="spellStart"/>
      <w:r w:rsidR="003D6463">
        <w:rPr>
          <w:rFonts w:cs="Arial"/>
          <w:sz w:val="22"/>
          <w:szCs w:val="22"/>
        </w:rPr>
        <w:t>CRISPR</w:t>
      </w:r>
      <w:r w:rsidR="00BD0299">
        <w:rPr>
          <w:rFonts w:cs="Arial"/>
          <w:sz w:val="22"/>
          <w:szCs w:val="22"/>
        </w:rPr>
        <w:t>a</w:t>
      </w:r>
      <w:proofErr w:type="spellEnd"/>
      <w:r w:rsidR="00BD0299">
        <w:rPr>
          <w:rFonts w:cs="Arial"/>
          <w:sz w:val="22"/>
          <w:szCs w:val="22"/>
        </w:rPr>
        <w:t xml:space="preserve"> </w:t>
      </w:r>
      <w:r w:rsidRPr="00E94CA9">
        <w:rPr>
          <w:rFonts w:cs="Arial"/>
          <w:sz w:val="22"/>
          <w:szCs w:val="22"/>
        </w:rPr>
        <w:t>screen</w:t>
      </w:r>
      <w:r w:rsidR="003D6463">
        <w:rPr>
          <w:rFonts w:cs="Arial"/>
          <w:sz w:val="22"/>
          <w:szCs w:val="22"/>
        </w:rPr>
        <w:t>s</w:t>
      </w:r>
      <w:r w:rsidRPr="00E94CA9">
        <w:rPr>
          <w:rFonts w:cs="Arial"/>
          <w:sz w:val="22"/>
          <w:szCs w:val="22"/>
        </w:rPr>
        <w:t xml:space="preserve"> </w:t>
      </w:r>
      <w:r w:rsidR="003D6463">
        <w:rPr>
          <w:rFonts w:cs="Arial"/>
          <w:sz w:val="22"/>
          <w:szCs w:val="22"/>
        </w:rPr>
        <w:t xml:space="preserve">with the greatest potential to </w:t>
      </w:r>
      <w:r w:rsidR="0095283D" w:rsidRPr="00E94CA9">
        <w:rPr>
          <w:rFonts w:cs="Arial"/>
          <w:sz w:val="22"/>
          <w:szCs w:val="22"/>
        </w:rPr>
        <w:t>modify sensitivity</w:t>
      </w:r>
      <w:r w:rsidRPr="00E94CA9">
        <w:rPr>
          <w:rFonts w:cs="Arial"/>
          <w:sz w:val="22"/>
          <w:szCs w:val="22"/>
        </w:rPr>
        <w:t xml:space="preserve"> to ALK inhibitors, Kaplan-Meier overall and event-free survival analyses were conducted for each gene (</w:t>
      </w:r>
      <w:r w:rsidRPr="00E94CA9">
        <w:rPr>
          <w:rFonts w:cs="Arial"/>
          <w:i/>
          <w:sz w:val="22"/>
          <w:szCs w:val="22"/>
        </w:rPr>
        <w:t>n</w:t>
      </w:r>
      <w:r w:rsidRPr="00E94CA9">
        <w:rPr>
          <w:rFonts w:cs="Arial"/>
          <w:sz w:val="22"/>
          <w:szCs w:val="22"/>
        </w:rPr>
        <w:t xml:space="preserve"> = 24) based on its expression level in primary ALK inhibitor-naïve </w:t>
      </w:r>
      <w:proofErr w:type="spellStart"/>
      <w:r w:rsidRPr="00E94CA9">
        <w:rPr>
          <w:rFonts w:cs="Arial"/>
          <w:sz w:val="22"/>
          <w:szCs w:val="22"/>
        </w:rPr>
        <w:t>tumors</w:t>
      </w:r>
      <w:proofErr w:type="spellEnd"/>
      <w:r w:rsidRPr="00E94CA9">
        <w:rPr>
          <w:rFonts w:cs="Arial"/>
          <w:sz w:val="22"/>
          <w:szCs w:val="22"/>
        </w:rPr>
        <w:t xml:space="preserve"> from large NB datasets (all risk groups) published by Zhang and colleagues</w:t>
      </w:r>
      <w:r w:rsidR="005F2843" w:rsidRPr="00E94CA9">
        <w:rPr>
          <w:rFonts w:cs="Arial"/>
          <w:sz w:val="22"/>
          <w:szCs w:val="22"/>
        </w:rPr>
        <w:fldChar w:fldCharType="begin" w:fldLock="1"/>
      </w:r>
      <w:r w:rsidR="004F24F9">
        <w:rPr>
          <w:rFonts w:cs="Arial"/>
          <w:sz w:val="22"/>
          <w:szCs w:val="22"/>
        </w:rPr>
        <w:instrText>ADDIN CSL_CITATION {"citationItems":[{"id":"ITEM-1","itemData":{"DOI":"10.1186/s13059-015-0694-1","ISBN":"1474-760X (Electronic)\r1474-7596 (Linking)","PMID":"26109056","abstract":"BACKGROUND: Gene expression profiling is being widely applied in cancer research to identify biomarkers for clinical endpoint prediction. Since RNA-seq provides a powerful tool for transcriptome-based applications beyond the limitations of microarrays, we sought to systematically evaluate the performance of RNA-seq-based and microarray-based classifiers in this MAQC-III/SEQC study for clinical endpoint prediction using neuroblastoma as a model. RESULTS: We generate gene expression profiles from 498 primary neuroblastomas using both RNA-seq and 44 k microarrays. Characterization of the neuroblastoma transcriptome by RNA-seq reveals that more than 48,000 genes and 200,000 transcripts are being expressed in this malignancy. We also find that RNA-seq provides much more detailed information on specific transcript expression patterns in clinico-genetic neuroblastoma subgroups than microarrays. To systematically compare the power of RNA-seq and microarray-based models in predicting clinical endpoints, we divide the cohort randomly into training and validation sets and develop 360 predictive models on six clinical endpoints of varying predictability. Evaluation of factors potentially affecting model performances reveals that prediction accuracies are most strongly influenced by the nature of the clinical endpoint, whereas technological platforms (RNA-seq vs. microarrays), RNA-seq data analysis pipelines, and feature levels (gene vs. transcript vs. exon-junction level) do not significantly affect performances of the models. CONCLUSIONS: We demonstrate that RNA-seq outperforms microarrays in determining the transcriptomic characteristics of cancer, while RNA-seq and microarray-based models perform similarly in clinical endpoint prediction. Our findings may be valuable to guide future studies on the development of gene expression-based predictive models and their implementation in clinical practice.","author":[{"dropping-particle":"","family":"Zhang","given":"W","non-dropping-particle":"","parse-names":false,"suffix":""},{"dropping-particle":"","family":"Yu","given":"Y","non-dropping-particle":"","parse-names":false,"suffix":""},{"dropping-particle":"","family":"Hertwig","given":"F","non-dropping-particle":"","parse-names":false,"suffix":""},{"dropping-particle":"","family":"Thierry-Mieg","given":"J","non-dropping-particle":"","parse-names":false,"suffix":""},{"dropping-particle":"","family":"Zhang","given":"W","non-dropping-particle":"","parse-names":false,"suffix":""},{"dropping-particle":"","family":"Thierry-Mieg","given":"D","non-dropping-particle":"","parse-names":false,"suffix":""},{"dropping-particle":"","family":"Wang","given":"J","non-dropping-particle":"","parse-names":false,"suffix":""},{"dropping-particle":"","family":"Furlanello","given":"C","non-dropping-particle":"","parse-names":false,"suffix":""},{"dropping-particle":"","family":"Devanarayan","given":"V","non-dropping-particle":"","parse-names":false,"suffix":""},{"dropping-particle":"","family":"Cheng","given":"J","non-dropping-particle":"","parse-names":false,"suffix":""},{"dropping-particle":"","family":"Deng","given":"Y","non-dropping-particle":"","parse-names":false,"suffix":""},{"dropping-particle":"","family":"Hero","given":"B","non-dropping-particle":"","parse-names":false,"suffix":""},{"dropping-particle":"","family":"Hong","given":"H","non-dropping-particle":"","parse-names":false,"suffix":""},{"dropping-particle":"","family":"Jia","given":"M","non-dropping-particle":"","parse-names":false,"suffix":""},{"dropping-particle":"","family":"Li","given":"L","non-dropping-particle":"","parse-names":false,"suffix":""},{"dropping-particle":"","family":"Lin","given":"S M","non-dropping-particle":"","parse-names":false,"suffix":""},{"dropping-particle":"","family":"Nikolsky","given":"Y","non-dropping-particle":"","parse-names":false,"suffix":""},{"dropping-particle":"","family":"Oberthuer","given":"A","non-dropping-particle":"","parse-names":false,"suffix":""},{"dropping-particle":"","family":"Qing","given":"T","non-dropping-particle":"","parse-names":false,"suffix":""},{"dropping-particle":"","family":"Su","given":"Z","non-dropping-particle":"","parse-names":false,"suffix":""},{"dropping-particle":"","family":"Volland","given":"R","non-dropping-particle":"","parse-names":false,"suffix":""},{"dropping-particle":"","family":"Wang","given":"C","non-dropping-particle":"","parse-names":false,"suffix":""},{"dropping-particle":"","family":"Wang","given":"M D","non-dropping-particle":"","parse-names":false,"suffix":""},{"dropping-particle":"","family":"Ai","given":"J","non-dropping-particle":"","parse-names":false,"suffix":""},{"dropping-particle":"","family":"Albanese","given":"D","non-dropping-particle":"","parse-names":false,"suffix":""},{"dropping-particle":"","family":"Asgharzadeh","given":"S","non-dropping-particle":"","parse-names":false,"suffix":""},{"dropping-particle":"","family":"Avigad","given":"S","non-dropping-particle":"","parse-names":false,"suffix":""},{"dropping-particle":"","family":"Bao","given":"W","non-dropping-particle":"","parse-names":false,"suffix":""},{"dropping-particle":"","family":"Bessarabova","given":"M","non-dropping-particle":"","parse-names":false,"suffix":""},{"dropping-particle":"","family":"Brilliant","given":"M H","non-dropping-particle":"","parse-names":false,"suffix":""},{"dropping-particle":"","family":"Brors","given":"B","non-dropping-particle":"","parse-names":false,"suffix":""},{"dropping-particle":"","family":"Chierici","given":"M","non-dropping-particle":"","parse-names":false,"suffix":""},{"dropping-particle":"","family":"Chu","given":"T M","non-dropping-particle":"","parse-names":false,"suffix":""},{"dropping-particle":"","family":"Zhang","given":"J","non-dropping-particle":"","parse-names":false,"suffix":""},{"dropping-particle":"","family":"Grundy","given":"R G","non-dropping-particle":"","parse-names":false,"suffix":""},{"dropping-particle":"","family":"He","given":"M M","non-dropping-particle":"","parse-names":false,"suffix":""},{"dropping-particle":"","family":"Hebbring","given":"S","non-dropping-particle":"","parse-names":false,"suffix":""},{"dropping-particle":"","family":"Kaufman","given":"H L","non-dropping-particle":"","parse-names":false,"suffix":""},{"dropping-particle":"","family":"Lababidi","given":"S","non-dropping-particle":"","parse-names":false,"suffix":""},{"dropping-particle":"","family":"Lancashire","given":"L J","non-dropping-particle":"","parse-names":false,"suffix":""},{"dropping-particle":"","family":"Li","given":"Y","non-dropping-particle":"","parse-names":false,"suffix":""},{"dropping-particle":"","family":"Lu","given":"X X","non-dropping-particle":"","parse-names":false,"suffix":""},{"dropping-particle":"","family":"Luo","given":"H","non-dropping-particle":"","parse-names":false,"suffix":""},{"dropping-particle":"","family":"Ma","given":"X","non-dropping-particle":"","parse-names":false,"suffix":""},{"dropping-particle":"","family":"Ning","given":"B","non-dropping-particle":"","parse-names":false,"suffix":""},{"dropping-particle":"","family":"Noguera","given":"R","non-dropping-particle":"","parse-names":false,"suffix":""},{"dropping-particle":"","family":"Peifer","given":"M","non-dropping-particle":"","parse-names":false,"suffix":""},{"dropping-particle":"","family":"Phan","given":"J H","non-dropping-particle":"","parse-names":false,"suffix":""},{"dropping-particle":"","family":"Roels","given":"F","non-dropping-particle":"","parse-names":false,"suffix":""},{"dropping-particle":"","family":"Rosswog","given":"C","non-dropping-particle":"","parse-names":false,"suffix":""},{"dropping-particle":"","family":"Shao","given":"S","non-dropping-particle":"","parse-names":false,"suffix":""},{"dropping-particle":"","family":"Shen","given":"J","non-dropping-particle":"","parse-names":false,"suffix":""},{"dropping-particle":"","family":"Theissen","given":"J","non-dropping-particle":"","parse-names":false,"suffix":""},{"dropping-particle":"","family":"Tonini","given":"G P","non-dropping-particle":"","parse-names":false,"suffix":""},{"dropping-particle":"","family":"Vandesompele","given":"J","non-dropping-particle":"","parse-names":false,"suffix":""},{"dropping-particle":"","family":"Wu","given":"P Y","non-dropping-particle":"","parse-names":false,"suffix":""},{"dropping-particle":"","family":"Xiao","given":"W","non-dropping-particle":"","parse-names":false,"suffix":""},{"dropping-particle":"","family":"Xu","given":"J","non-dropping-particle":"","parse-names":false,"suffix":""},{"dropping-particle":"","family":"Xu","given":"W","non-dropping-particle":"","parse-names":false,"suffix":""},{"dropping-particle":"","family":"Xuan","given":"J","non-dropping-particle":"","parse-names":false,"suffix":""},{"dropping-particle":"","family":"Yang","given":"Y","non-dropping-particle":"","parse-names":false,"suffix":""},{"dropping-particle":"","family":"Ye","given":"Z","non-dropping-particle":"","parse-names":false,"suffix":""},{"dropping-particle":"","family":"Dong","given":"Z","non-dropping-particle":"","parse-names":false,"suffix":""},{"dropping-particle":"","family":"Zhang","given":"K K","non-dropping-particle":"","parse-names":false,"suffix":""},{"dropping-particle":"","family":"Yin","given":"Y","non-dropping-particle":"","parse-names":false,"suffix":""},{"dropping-particle":"","family":"Zhao","given":"C","non-dropping-particle":"","parse-names":false,"suffix":""},{"dropping-particle":"","family":"Zheng","given":"Y","non-dropping-particle":"","parse-names":false,"suffix":""},{"dropping-particle":"","family":"Wolfinger","given":"R D","non-dropping-particle":"","parse-names":false,"suffix":""},{"dropping-particle":"","family":"Shi","given":"T","non-dropping-particle":"","parse-names":false,"suffix":""},{"dropping-particle":"","family":"Malkas","given":"L H","non-dropping-particle":"","parse-names":false,"suffix":""},{"dropping-particle":"","family":"Berthold","given":"F","non-dropping-particle":"","parse-names":false,"suffix":""},{"dropping-particle":"","family":"Wang","given":"J","non-dropping-particle":"","parse-names":false,"suffix":""},{"dropping-particle":"","family":"Tong","given":"W","non-dropping-particle":"","parse-names":false,"suffix":""},{"dropping-particle":"","family":"Shi","given":"L","non-dropping-particle":"","parse-names":false,"suffix":""},{"dropping-particle":"","family":"Peng","given":"Z","non-dropping-particle":"","parse-names":false,"suffix":""},{"dropping-particle":"","family":"Fischer","given":"M","non-dropping-particle":"","parse-names":false,"suffix":""}],"container-title":"Genome Biol","id":"ITEM-1","issued":{"date-parts":[["2015"]]},"note":"Zhang, Wenqian\nYu, Ying\nHertwig, Falk\nThierry-Mieg, Jean\nZhang, Wenwei\nThierry-Mieg, Danielle\nWang, Jian\nFurlanello, Cesare\nDevanarayan, Viswanath\nCheng, Jie\nDeng, Youping\nHero, Barbara\nHong, Huixiao\nJia, Meiwen\nLi, Li\nLin, Simon M\nNikolsky, Yuri\nOberthuer, Andre\nQing, Tao\nSu, Zhenqiang\nVolland, Ruth\nWang, Charles\nWang, May D\nAi, Junmei\nAlbanese, Davide\nAsgharzadeh, Shahab\nAvigad, Smadar\nBao, Wenjun\nBessarabova, Marina\nBrilliant, Murray H\nBrors, Benedikt\nChierici, Marco\nChu, Tzu-Ming\nZhang, Jibin\nGrundy, Richard G\nHe, Min Max\nHebbring, Scott\nKaufman, Howard L\nLababidi, Samir\nLancashire, Lee J\nLi, Yan\nLu, Xin X\nLuo, Heng\nMa, Xiwen\nNing, Baitang\nNoguera, Rosa\nPeifer, Martin\nPhan, John H\nRoels, Frederik\nRosswog, Carolina\nShao, Susan\nShen, Jie\nTheissen, Jessica\nTonini, Gian Paolo\nVandesompele, Jo\nWu, Po-Yen\nXiao, Wenzhong\nXu, Joshua\nXu, Weihong\nXuan, Jiekun\nYang, Yong\nYe, Zhan\nDong, Zirui\nZhang, Ke K\nYin, Ye\nZhao, Chen\nZheng, Yuanting\nWolfinger, Russell D\nShi, Tieliu\nMalkas, Linda H\nBerthold, Frank\nWang, Jun\nTong, Weida\nShi, Leming\nPeng, Zhiyu\nFischer, Matthias\neng\nR01 CA163256/CA/NCI NIH HHS/\nP01 HG000205/HG/NHGRI NIH HHS/\nU54CA119338/CA/NCI NIH HHS/\nR21 AA020104/AA/NIAAA NIH HHS/\nU54 CA119338/CA/NCI NIH HHS/\nR01CA163256/CA/NCI NIH HHS/\n1RC2CA148265/CA/NCI NIH HHS/\nRC2 CA148265/CA/NCI NIH HHS/\nComparative Study\nEvaluation Studies\nResearch Support, N.I.H., Extramural\nResearch Support, Non-U.S. Gov't\nEngland\n2015/06/26 06:00\nGenome Biol. 2015 Jun 25;16:133. doi: 10.1186/s13059-015-0694-1.","page":"133","title":"Comparison of RNA-seq and microarray-based models for clinical endpoint prediction","type":"article-journal","volume":"16"},"uris":["http://www.mendeley.com/documents/?uuid=b90344df-6c83-4299-930b-b95bae1ef47c","http://www.mendeley.com/documents/?uuid=21379eb8-c072-4ca1-ad40-8700f4f3f313"]}],"mendeley":{"formattedCitation":"&lt;sup&gt;28&lt;/sup&gt;","plainTextFormattedCitation":"28","previouslyFormattedCitation":"&lt;sup&gt;28&lt;/sup&gt;"},"properties":{"noteIndex":0},"schema":"https://github.com/citation-style-language/schema/raw/master/csl-citation.json"}</w:instrText>
      </w:r>
      <w:r w:rsidR="005F2843" w:rsidRPr="00E94CA9">
        <w:rPr>
          <w:rFonts w:cs="Arial"/>
          <w:sz w:val="22"/>
          <w:szCs w:val="22"/>
        </w:rPr>
        <w:fldChar w:fldCharType="separate"/>
      </w:r>
      <w:r w:rsidR="00394C69" w:rsidRPr="00394C69">
        <w:rPr>
          <w:rFonts w:cs="Arial"/>
          <w:noProof/>
          <w:sz w:val="22"/>
          <w:szCs w:val="22"/>
          <w:vertAlign w:val="superscript"/>
        </w:rPr>
        <w:t>28</w:t>
      </w:r>
      <w:r w:rsidR="005F2843"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xml:space="preserve"> and </w:t>
      </w:r>
      <w:proofErr w:type="spellStart"/>
      <w:r w:rsidRPr="00E94CA9">
        <w:rPr>
          <w:rFonts w:cs="Arial"/>
          <w:sz w:val="22"/>
          <w:szCs w:val="22"/>
        </w:rPr>
        <w:t>Kocak</w:t>
      </w:r>
      <w:proofErr w:type="spellEnd"/>
      <w:r w:rsidRPr="00E94CA9">
        <w:rPr>
          <w:rFonts w:cs="Arial"/>
          <w:sz w:val="22"/>
          <w:szCs w:val="22"/>
        </w:rPr>
        <w:t xml:space="preserve"> and colleague</w:t>
      </w:r>
      <w:r w:rsidR="00D30894" w:rsidRPr="00E94CA9">
        <w:rPr>
          <w:rFonts w:cs="Arial"/>
          <w:sz w:val="22"/>
          <w:szCs w:val="22"/>
        </w:rPr>
        <w:t>s</w:t>
      </w:r>
      <w:r w:rsidR="005F2843" w:rsidRPr="00E94CA9">
        <w:rPr>
          <w:rFonts w:cs="Arial"/>
          <w:sz w:val="22"/>
          <w:szCs w:val="22"/>
        </w:rPr>
        <w:fldChar w:fldCharType="begin" w:fldLock="1"/>
      </w:r>
      <w:r w:rsidR="004F24F9">
        <w:rPr>
          <w:rFonts w:cs="Arial"/>
          <w:sz w:val="22"/>
          <w:szCs w:val="22"/>
        </w:rPr>
        <w:instrText>ADDIN CSL_CITATION {"citationItems":[{"id":"ITEM-1","itemData":{"DOI":"10.1038/cddis.2013.84","ISBN":"2041-4889 (Electronic)","PMID":"23579273","abstract":"Neuroblastoma is an embryonal malignancy of the sympathetic nervous system. Spontaneous regression and differentiation of neuroblastoma is observed in a subset of patients, and has been suggested to represent delayed activation of physiologic molecular programs of fetal neuroblasts. Homeobox genes constitute an important family of transcription factors, which play a fundamental role in morphogenesis and cell differentiation during embryogenesis. In this study, we demonstrate that expression of the majority of the human HOX class I homeobox genes is significantly associated with clinical covariates in neuroblastoma using microarray expression data of 649 primary tumors. Moreover, a HOX gene expression-based classifier predicted neuroblastoma patient outcome independently of age, stage and MYCN amplification status. Among all HOX genes, HOXC9 expression was most prominently associated with favorable prognostic markers. Most notably, elevated HOXC9 expression was significantly associated with spontaneous regression in infant neuroblastoma. Re-expression of HOXC9 in three neuroblastoma cell lines led to a significant reduction in cell viability, and abrogated tumor growth almost completely in neuroblastoma xenografts. Neuroblastoma growth arrest was related to the induction of programmed cell death, as indicated by an increase in the sub-G1 fraction and translocation of phosphatidylserine to the outer membrane. Programmed cell death was associated with the release of cytochrome c from the mitochondria into the cytosol and activation of the intrinsic cascade of caspases, indicating that HOXC9 re-expression triggers the intrinsic apoptotic pathway. Collectively, our results show a strong prognostic impact of HOX gene expression in neuroblastoma, and may point towards a role of Hox-C9 in neuroblastoma spontaneous regression.","author":[{"dropping-particle":"","family":"Kocak","given":"H","non-dropping-particle":"","parse-names":false,"suffix":""},{"dropping-particle":"","family":"Ackermann","given":"S","non-dropping-particle":"","parse-names":false,"suffix":""},{"dropping-particle":"","family":"Hero","given":"B","non-dropping-particle":"","parse-names":false,"suffix":""},{"dropping-particle":"","family":"Kahlert","given":"Y","non-dropping-particle":"","parse-names":false,"suffix":""},{"dropping-particle":"","family":"Oberthuer","given":"A","non-dropping-particle":"","parse-names":false,"suffix":""},{"dropping-particle":"","family":"Juraeva","given":"D","non-dropping-particle":"","parse-names":false,"suffix":""},{"dropping-particle":"","family":"Roels","given":"F","non-dropping-particle":"","parse-names":false,"suffix":""},{"dropping-particle":"","family":"Theissen","given":"J","non-dropping-particle":"","parse-names":false,"suffix":""},{"dropping-particle":"","family":"Westermann","given":"F","non-dropping-particle":"","parse-names":false,"suffix":""},{"dropping-particle":"","family":"Deubzer","given":"H","non-dropping-particle":"","parse-names":false,"suffix":""},{"dropping-particle":"","family":"Ehemann","given":"V","non-dropping-particle":"","parse-names":false,"suffix":""},{"dropping-particle":"","family":"Brors","given":"B","non-dropping-particle":"","parse-names":false,"suffix":""},{"dropping-particle":"","family":"Odenthal","given":"M","non-dropping-particle":"","parse-names":false,"suffix":""},{"dropping-particle":"","family":"Berthold","given":"F","non-dropping-particle":"","parse-names":false,"suffix":""},{"dropping-particle":"","family":"Fischer","given":"M","non-dropping-particle":"","parse-names":false,"suffix":""}],"container-title":"Cell Death Dis","id":"ITEM-1","issued":{"date-parts":[["2013"]]},"note":"Kocak, H\nAckermann, S\nHero, B\nKahlert, Y\nOberthuer, A\nJuraeva, D\nRoels, F\nTheissen, J\nWestermann, F\nDeubzer, H\nEhemann, V\nBrors, B\nOdenthal, M\nBerthold, F\nFischer, M\neng\nResearch Support, Non-U.S. Gov't\nEngland\n2013/04/13 06:00\nCell Death Dis. 2013 Apr 11;4:e586. doi: 10.1038/cddis.2013.84.","page":"e586","title":"Hox-C9 activates the intrinsic pathway of apoptosis and is associated with spontaneous regression in neuroblastoma","type":"article-journal","volume":"4"},"uris":["http://www.mendeley.com/documents/?uuid=8adbc531-6e9a-4e44-bf0e-25d4d1c79d4c"]}],"mendeley":{"formattedCitation":"&lt;sup&gt;29&lt;/sup&gt;","plainTextFormattedCitation":"29","previouslyFormattedCitation":"&lt;sup&gt;29&lt;/sup&gt;"},"properties":{"noteIndex":0},"schema":"https://github.com/citation-style-language/schema/raw/master/csl-citation.json"}</w:instrText>
      </w:r>
      <w:r w:rsidR="005F2843" w:rsidRPr="00E94CA9">
        <w:rPr>
          <w:rFonts w:cs="Arial"/>
          <w:sz w:val="22"/>
          <w:szCs w:val="22"/>
        </w:rPr>
        <w:fldChar w:fldCharType="separate"/>
      </w:r>
      <w:r w:rsidR="00394C69" w:rsidRPr="00394C69">
        <w:rPr>
          <w:rFonts w:cs="Arial"/>
          <w:noProof/>
          <w:sz w:val="22"/>
          <w:szCs w:val="22"/>
          <w:vertAlign w:val="superscript"/>
        </w:rPr>
        <w:t>29</w:t>
      </w:r>
      <w:r w:rsidR="005F2843" w:rsidRPr="00E94CA9">
        <w:rPr>
          <w:rFonts w:cs="Arial"/>
          <w:sz w:val="22"/>
          <w:szCs w:val="22"/>
        </w:rPr>
        <w:fldChar w:fldCharType="end"/>
      </w:r>
      <w:r w:rsidRPr="00E94CA9">
        <w:rPr>
          <w:rFonts w:cs="Arial"/>
          <w:sz w:val="22"/>
          <w:szCs w:val="22"/>
        </w:rPr>
        <w:t>. High gene expression was associated with significantly worse overall survival (</w:t>
      </w:r>
      <w:r w:rsidRPr="00E94CA9">
        <w:rPr>
          <w:rFonts w:cs="Arial"/>
          <w:i/>
          <w:sz w:val="22"/>
          <w:szCs w:val="22"/>
        </w:rPr>
        <w:t>p</w:t>
      </w:r>
      <w:r w:rsidRPr="00E94CA9">
        <w:rPr>
          <w:rFonts w:cs="Arial"/>
          <w:sz w:val="22"/>
          <w:szCs w:val="22"/>
        </w:rPr>
        <w:t xml:space="preserve"> &lt; 0.01</w:t>
      </w:r>
      <w:r w:rsidR="00BC69A8">
        <w:rPr>
          <w:rFonts w:cs="Arial"/>
          <w:sz w:val="22"/>
          <w:szCs w:val="22"/>
        </w:rPr>
        <w:t xml:space="preserve">, </w:t>
      </w:r>
      <w:r w:rsidR="00BC69A8" w:rsidRPr="00BC69A8">
        <w:rPr>
          <w:rFonts w:cs="Arial"/>
          <w:sz w:val="22"/>
          <w:szCs w:val="22"/>
        </w:rPr>
        <w:t>Bonferroni-corrected, Log-rank test</w:t>
      </w:r>
      <w:r w:rsidRPr="00E94CA9">
        <w:rPr>
          <w:rFonts w:cs="Arial"/>
          <w:sz w:val="22"/>
          <w:szCs w:val="22"/>
        </w:rPr>
        <w:t>) and event-free survival (</w:t>
      </w:r>
      <w:r w:rsidRPr="00E94CA9">
        <w:rPr>
          <w:rFonts w:cs="Arial"/>
          <w:i/>
          <w:sz w:val="22"/>
          <w:szCs w:val="22"/>
        </w:rPr>
        <w:t>p</w:t>
      </w:r>
      <w:r w:rsidRPr="00E94CA9">
        <w:rPr>
          <w:rFonts w:cs="Arial"/>
          <w:sz w:val="22"/>
          <w:szCs w:val="22"/>
        </w:rPr>
        <w:t xml:space="preserve"> &lt; 0.05</w:t>
      </w:r>
      <w:r w:rsidR="00BC69A8">
        <w:rPr>
          <w:rFonts w:cs="Arial"/>
          <w:sz w:val="22"/>
          <w:szCs w:val="22"/>
        </w:rPr>
        <w:t xml:space="preserve">, </w:t>
      </w:r>
      <w:r w:rsidR="00BC69A8" w:rsidRPr="00BC69A8">
        <w:rPr>
          <w:rFonts w:cs="Arial"/>
          <w:sz w:val="22"/>
          <w:szCs w:val="22"/>
        </w:rPr>
        <w:t>Bonferroni-corrected, Log-rank test</w:t>
      </w:r>
      <w:r w:rsidRPr="00E94CA9">
        <w:rPr>
          <w:rFonts w:cs="Arial"/>
          <w:sz w:val="22"/>
          <w:szCs w:val="22"/>
        </w:rPr>
        <w:t xml:space="preserve">) for 42% (10/24) and 46% (11/24) of genes, respectively (Supplementary </w:t>
      </w:r>
      <w:r w:rsidR="002A3C22">
        <w:rPr>
          <w:rFonts w:cs="Arial"/>
          <w:color w:val="000000" w:themeColor="text1"/>
          <w:sz w:val="22"/>
          <w:szCs w:val="22"/>
        </w:rPr>
        <w:t>Table 3</w:t>
      </w:r>
      <w:r w:rsidR="00C830A4" w:rsidRPr="00E94CA9">
        <w:rPr>
          <w:rFonts w:cs="Arial"/>
          <w:color w:val="000000" w:themeColor="text1"/>
          <w:sz w:val="22"/>
          <w:szCs w:val="22"/>
        </w:rPr>
        <w:t>).</w:t>
      </w:r>
    </w:p>
    <w:p w14:paraId="0665BAF6" w14:textId="265A9E34" w:rsidR="00EE4A48" w:rsidRPr="00E94CA9" w:rsidRDefault="005033EF">
      <w:pPr>
        <w:spacing w:line="360" w:lineRule="auto"/>
        <w:ind w:firstLine="284"/>
        <w:jc w:val="both"/>
        <w:rPr>
          <w:rFonts w:cs="Arial"/>
          <w:color w:val="000000" w:themeColor="text1"/>
          <w:sz w:val="22"/>
          <w:szCs w:val="22"/>
        </w:rPr>
      </w:pPr>
      <w:r w:rsidRPr="00E94CA9">
        <w:rPr>
          <w:rFonts w:cs="Arial"/>
          <w:sz w:val="22"/>
          <w:szCs w:val="22"/>
        </w:rPr>
        <w:t>The potential for therapeutic targeting of each resistance gene with FDA-approved drugs or compounds in clinical development was then assessed using the Drug-Gene Interaction database</w:t>
      </w:r>
      <w:r w:rsidR="00394C69">
        <w:rPr>
          <w:rFonts w:cs="Arial"/>
          <w:sz w:val="22"/>
          <w:szCs w:val="22"/>
        </w:rPr>
        <w:fldChar w:fldCharType="begin" w:fldLock="1"/>
      </w:r>
      <w:r w:rsidR="004F24F9">
        <w:rPr>
          <w:rFonts w:cs="Arial"/>
          <w:sz w:val="22"/>
          <w:szCs w:val="22"/>
        </w:rPr>
        <w:instrText>ADDIN CSL_CITATION {"citationItems":[{"id":"ITEM-1","itemData":{"DOI":"10.1093/nar/gkx1143","ISSN":"1362-4962","PMID":"29156001","abstract":"The drug-gene interaction database (DGIdb, www.dgidb.org) consolidates, organizes and presents drug-gene interactions and gene druggability information from papers, databases and web resources. DGIdb normalizes content from 30 disparate sources and allows for user-friendly advanced browsing, searching and filtering for ease of access through an intuitive web user interface, application programming interface (API) and public cloud-based server image. DGIdb v3.0 represents a major update of the database. Nine of the previously included 24 sources were updated. Six new resources were added, bringing the total number of sources to 30. These updates and additions of sources have cumulatively resulted in 56 309 interaction claims. This has also substantially expanded the comprehensive catalogue of druggable genes and anti-neoplastic drug-gene interactions included in the DGIdb. Along with these content updates, v3.0 has received a major overhaul of its codebase, including an updated user interface, preset interaction search filters, consolidation of interaction information into interaction groups, greatly improved search response times and upgrading the underlying web application framework. In addition, the expanded API features new endpoints which allow users to extract more detailed information about queried drugs, genes and drug-gene interactions, including listings of PubMed IDs, interaction type and other interaction metadata.","author":[{"dropping-particle":"","family":"Cotto","given":"Kelsy C","non-dropping-particle":"","parse-names":false,"suffix":""},{"dropping-particle":"","family":"Wagner","given":"Alex H","non-dropping-particle":"","parse-names":false,"suffix":""},{"dropping-particle":"","family":"Feng","given":"Yang-Yang","non-dropping-particle":"","parse-names":false,"suffix":""},{"dropping-particle":"","family":"Kiwala","given":"Susanna","non-dropping-particle":"","parse-names":false,"suffix":""},{"dropping-particle":"","family":"Coffman","given":"Adam C","non-dropping-particle":"","parse-names":false,"suffix":""},{"dropping-particle":"","family":"Spies","given":"Gregory","non-dropping-particle":"","parse-names":false,"suffix":""},{"dropping-particle":"","family":"Wollam","given":"Alex","non-dropping-particle":"","parse-names":false,"suffix":""},{"dropping-particle":"","family":"Spies","given":"Nicholas C","non-dropping-particle":"","parse-names":false,"suffix":""},{"dropping-particle":"","family":"Griffith","given":"Obi L","non-dropping-particle":"","parse-names":false,"suffix":""},{"dropping-particle":"","family":"Griffith","given":"Malachi","non-dropping-particle":"","parse-names":false,"suffix":""}],"container-title":"Nucleic acids research","id":"ITEM-1","issue":"D1","issued":{"date-parts":[["2018","1","4"]]},"page":"D1068-D1073","title":"DGIdb 3.0: a redesign and expansion of the drug-gene interaction database.","type":"article-journal","volume":"46"},"uris":["http://www.mendeley.com/documents/?uuid=20056a08-de06-3c36-919e-5e798214333c"]}],"mendeley":{"formattedCitation":"&lt;sup&gt;30&lt;/sup&gt;","plainTextFormattedCitation":"30","previouslyFormattedCitation":"&lt;sup&gt;30&lt;/sup&gt;"},"properties":{"noteIndex":0},"schema":"https://github.com/citation-style-language/schema/raw/master/csl-citation.json"}</w:instrText>
      </w:r>
      <w:r w:rsidR="00394C69">
        <w:rPr>
          <w:rFonts w:cs="Arial"/>
          <w:sz w:val="22"/>
          <w:szCs w:val="22"/>
        </w:rPr>
        <w:fldChar w:fldCharType="separate"/>
      </w:r>
      <w:r w:rsidR="00394C69" w:rsidRPr="00394C69">
        <w:rPr>
          <w:rFonts w:cs="Arial"/>
          <w:noProof/>
          <w:sz w:val="22"/>
          <w:szCs w:val="22"/>
          <w:vertAlign w:val="superscript"/>
        </w:rPr>
        <w:t>30</w:t>
      </w:r>
      <w:r w:rsidR="00394C69">
        <w:rPr>
          <w:rFonts w:cs="Arial"/>
          <w:sz w:val="22"/>
          <w:szCs w:val="22"/>
        </w:rPr>
        <w:fldChar w:fldCharType="end"/>
      </w:r>
      <w:r w:rsidRPr="00E94CA9">
        <w:rPr>
          <w:rFonts w:cs="Arial"/>
          <w:sz w:val="22"/>
          <w:szCs w:val="22"/>
        </w:rPr>
        <w:t>. Five druggable genes were identified that may be amenable to either direct targeting (</w:t>
      </w:r>
      <w:r w:rsidR="0095283D" w:rsidRPr="00E94CA9">
        <w:rPr>
          <w:rFonts w:cs="Arial"/>
          <w:i/>
          <w:sz w:val="22"/>
          <w:szCs w:val="22"/>
        </w:rPr>
        <w:t>PIM1</w:t>
      </w:r>
      <w:r w:rsidRPr="00E94CA9">
        <w:rPr>
          <w:rFonts w:cs="Arial"/>
          <w:sz w:val="22"/>
          <w:szCs w:val="22"/>
        </w:rPr>
        <w:t xml:space="preserve">, </w:t>
      </w:r>
      <w:r w:rsidRPr="00E94CA9">
        <w:rPr>
          <w:rFonts w:cs="Arial"/>
          <w:i/>
          <w:sz w:val="22"/>
          <w:szCs w:val="22"/>
        </w:rPr>
        <w:t>PIK3CD</w:t>
      </w:r>
      <w:r w:rsidRPr="00E94CA9">
        <w:rPr>
          <w:rFonts w:cs="Arial"/>
          <w:sz w:val="22"/>
          <w:szCs w:val="22"/>
        </w:rPr>
        <w:t xml:space="preserve"> and</w:t>
      </w:r>
      <w:r w:rsidR="0095283D" w:rsidRPr="00E94CA9">
        <w:rPr>
          <w:rFonts w:cs="Arial"/>
          <w:sz w:val="22"/>
          <w:szCs w:val="22"/>
        </w:rPr>
        <w:t xml:space="preserve"> </w:t>
      </w:r>
      <w:r w:rsidR="0095283D" w:rsidRPr="00E94CA9">
        <w:rPr>
          <w:rFonts w:cs="Arial"/>
          <w:i/>
          <w:sz w:val="22"/>
          <w:szCs w:val="22"/>
        </w:rPr>
        <w:t>MET</w:t>
      </w:r>
      <w:r w:rsidRPr="00E94CA9">
        <w:rPr>
          <w:rFonts w:cs="Arial"/>
          <w:sz w:val="22"/>
          <w:szCs w:val="22"/>
        </w:rPr>
        <w:t>) or indirect targeting (</w:t>
      </w:r>
      <w:r w:rsidRPr="00E94CA9">
        <w:rPr>
          <w:rFonts w:cs="Arial"/>
          <w:i/>
          <w:sz w:val="22"/>
          <w:szCs w:val="22"/>
        </w:rPr>
        <w:t>KRAS</w:t>
      </w:r>
      <w:r w:rsidRPr="00E94CA9">
        <w:rPr>
          <w:rFonts w:cs="Arial"/>
          <w:sz w:val="22"/>
          <w:szCs w:val="22"/>
        </w:rPr>
        <w:t xml:space="preserve"> and </w:t>
      </w:r>
      <w:r w:rsidRPr="00E94CA9">
        <w:rPr>
          <w:rFonts w:cs="Arial"/>
          <w:i/>
          <w:sz w:val="22"/>
          <w:szCs w:val="22"/>
        </w:rPr>
        <w:t>MYC</w:t>
      </w:r>
      <w:r w:rsidRPr="00E94CA9">
        <w:rPr>
          <w:rFonts w:cs="Arial"/>
          <w:sz w:val="22"/>
          <w:szCs w:val="22"/>
        </w:rPr>
        <w:t xml:space="preserve">). </w:t>
      </w:r>
      <w:r w:rsidRPr="00E94CA9">
        <w:rPr>
          <w:rFonts w:cs="Arial"/>
          <w:i/>
          <w:sz w:val="22"/>
          <w:szCs w:val="22"/>
        </w:rPr>
        <w:t>MET</w:t>
      </w:r>
      <w:r w:rsidRPr="00E94CA9">
        <w:rPr>
          <w:rFonts w:cs="Arial"/>
          <w:sz w:val="22"/>
          <w:szCs w:val="22"/>
        </w:rPr>
        <w:t xml:space="preserve"> was the top-</w:t>
      </w:r>
      <w:r w:rsidRPr="00E94CA9">
        <w:rPr>
          <w:rFonts w:cs="Arial"/>
          <w:sz w:val="22"/>
          <w:szCs w:val="22"/>
        </w:rPr>
        <w:lastRenderedPageBreak/>
        <w:t xml:space="preserve">ranking resistance gene in the </w:t>
      </w:r>
      <w:proofErr w:type="spellStart"/>
      <w:r w:rsidR="00FC4336">
        <w:rPr>
          <w:rFonts w:cs="Arial"/>
          <w:sz w:val="22"/>
          <w:szCs w:val="22"/>
        </w:rPr>
        <w:t>CRISPR</w:t>
      </w:r>
      <w:r w:rsidR="00BD0299">
        <w:rPr>
          <w:rFonts w:cs="Arial"/>
          <w:sz w:val="22"/>
          <w:szCs w:val="22"/>
        </w:rPr>
        <w:t>a</w:t>
      </w:r>
      <w:proofErr w:type="spellEnd"/>
      <w:r w:rsidR="00BD0299">
        <w:rPr>
          <w:rFonts w:cs="Arial"/>
          <w:sz w:val="22"/>
          <w:szCs w:val="22"/>
        </w:rPr>
        <w:t xml:space="preserve"> </w:t>
      </w:r>
      <w:r w:rsidRPr="00E94CA9">
        <w:rPr>
          <w:rFonts w:cs="Arial"/>
          <w:sz w:val="22"/>
          <w:szCs w:val="22"/>
        </w:rPr>
        <w:t xml:space="preserve">screens, enriched under </w:t>
      </w:r>
      <w:proofErr w:type="spellStart"/>
      <w:r w:rsidRPr="00E94CA9">
        <w:rPr>
          <w:rFonts w:cs="Arial"/>
          <w:sz w:val="22"/>
          <w:szCs w:val="22"/>
        </w:rPr>
        <w:t>brigatinib</w:t>
      </w:r>
      <w:proofErr w:type="spellEnd"/>
      <w:r w:rsidRPr="00E94CA9">
        <w:rPr>
          <w:rFonts w:cs="Arial"/>
          <w:sz w:val="22"/>
          <w:szCs w:val="22"/>
        </w:rPr>
        <w:t xml:space="preserve"> and </w:t>
      </w:r>
      <w:proofErr w:type="spellStart"/>
      <w:r w:rsidRPr="00E94CA9">
        <w:rPr>
          <w:rFonts w:cs="Arial"/>
          <w:sz w:val="22"/>
          <w:szCs w:val="22"/>
        </w:rPr>
        <w:t>ceritinib</w:t>
      </w:r>
      <w:proofErr w:type="spellEnd"/>
      <w:r w:rsidRPr="00E94CA9">
        <w:rPr>
          <w:rFonts w:cs="Arial"/>
          <w:sz w:val="22"/>
          <w:szCs w:val="22"/>
        </w:rPr>
        <w:t xml:space="preserve"> treatments at both ED</w:t>
      </w:r>
      <w:r w:rsidRPr="00E94CA9">
        <w:rPr>
          <w:rFonts w:cs="Arial"/>
          <w:sz w:val="22"/>
          <w:szCs w:val="22"/>
          <w:vertAlign w:val="subscript"/>
        </w:rPr>
        <w:t>50</w:t>
      </w:r>
      <w:r w:rsidRPr="00E94CA9">
        <w:rPr>
          <w:rFonts w:cs="Arial"/>
          <w:sz w:val="22"/>
          <w:szCs w:val="22"/>
        </w:rPr>
        <w:t xml:space="preserve"> and ED</w:t>
      </w:r>
      <w:r w:rsidRPr="00E94CA9">
        <w:rPr>
          <w:rFonts w:cs="Arial"/>
          <w:sz w:val="22"/>
          <w:szCs w:val="22"/>
          <w:vertAlign w:val="subscript"/>
        </w:rPr>
        <w:t>75</w:t>
      </w:r>
      <w:r w:rsidRPr="00E94CA9">
        <w:rPr>
          <w:rFonts w:cs="Arial"/>
          <w:sz w:val="22"/>
          <w:szCs w:val="22"/>
        </w:rPr>
        <w:t xml:space="preserve"> concentrations (Fig</w:t>
      </w:r>
      <w:r w:rsidR="0011772D" w:rsidRPr="00E94CA9">
        <w:rPr>
          <w:rFonts w:cs="Arial"/>
          <w:sz w:val="22"/>
          <w:szCs w:val="22"/>
        </w:rPr>
        <w:t>.</w:t>
      </w:r>
      <w:r w:rsidRPr="00E94CA9">
        <w:rPr>
          <w:rFonts w:cs="Arial"/>
          <w:sz w:val="22"/>
          <w:szCs w:val="22"/>
        </w:rPr>
        <w:t xml:space="preserve"> 1</w:t>
      </w:r>
      <w:r w:rsidR="00A73854" w:rsidRPr="00E94CA9">
        <w:rPr>
          <w:rFonts w:cs="Arial"/>
          <w:color w:val="000000" w:themeColor="text1"/>
          <w:sz w:val="22"/>
          <w:szCs w:val="22"/>
        </w:rPr>
        <w:t xml:space="preserve">, Supplementary </w:t>
      </w:r>
      <w:r w:rsidR="00771E27">
        <w:rPr>
          <w:rFonts w:cs="Arial"/>
          <w:color w:val="000000" w:themeColor="text1"/>
          <w:sz w:val="22"/>
          <w:szCs w:val="22"/>
        </w:rPr>
        <w:t>Fig.</w:t>
      </w:r>
      <w:r w:rsidR="00A73854" w:rsidRPr="00E94CA9">
        <w:rPr>
          <w:rFonts w:cs="Arial"/>
          <w:color w:val="000000" w:themeColor="text1"/>
          <w:sz w:val="22"/>
          <w:szCs w:val="22"/>
        </w:rPr>
        <w:t xml:space="preserve"> </w:t>
      </w:r>
      <w:r w:rsidR="007621DA" w:rsidRPr="00394C69">
        <w:rPr>
          <w:rFonts w:cs="Arial"/>
          <w:sz w:val="22"/>
          <w:szCs w:val="22"/>
        </w:rPr>
        <w:t>2</w:t>
      </w:r>
      <w:r w:rsidRPr="00394C69">
        <w:rPr>
          <w:rFonts w:cs="Arial"/>
          <w:sz w:val="22"/>
          <w:szCs w:val="22"/>
        </w:rPr>
        <w:t>)</w:t>
      </w:r>
      <w:r w:rsidRPr="00E94CA9">
        <w:rPr>
          <w:rFonts w:cs="Arial"/>
          <w:color w:val="000000" w:themeColor="text1"/>
          <w:sz w:val="22"/>
          <w:szCs w:val="22"/>
        </w:rPr>
        <w:t xml:space="preserve">. Activation of </w:t>
      </w:r>
      <w:r w:rsidRPr="00E94CA9">
        <w:rPr>
          <w:rFonts w:cs="Arial"/>
          <w:i/>
          <w:color w:val="000000" w:themeColor="text1"/>
          <w:sz w:val="22"/>
          <w:szCs w:val="22"/>
        </w:rPr>
        <w:t>MET</w:t>
      </w:r>
      <w:r w:rsidRPr="00E94CA9">
        <w:rPr>
          <w:rFonts w:cs="Arial"/>
          <w:color w:val="000000" w:themeColor="text1"/>
          <w:sz w:val="22"/>
          <w:szCs w:val="22"/>
        </w:rPr>
        <w:t xml:space="preserve"> has previously been shown to confer resistance to the ALK inhibitor </w:t>
      </w:r>
      <w:proofErr w:type="spellStart"/>
      <w:r w:rsidRPr="00E94CA9">
        <w:rPr>
          <w:rFonts w:cs="Arial"/>
          <w:color w:val="000000" w:themeColor="text1"/>
          <w:sz w:val="22"/>
          <w:szCs w:val="22"/>
        </w:rPr>
        <w:t>alectinib</w:t>
      </w:r>
      <w:proofErr w:type="spellEnd"/>
      <w:r w:rsidRPr="00E94CA9">
        <w:rPr>
          <w:rFonts w:cs="Arial"/>
          <w:color w:val="000000" w:themeColor="text1"/>
          <w:sz w:val="22"/>
          <w:szCs w:val="22"/>
        </w:rPr>
        <w:t xml:space="preserve"> in NSCLC</w:t>
      </w:r>
      <w:r w:rsidR="005F2843"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{"citationItems":[{"id":"ITEM-1","itemData":{"DOI":"10.3892/ijo.2014.2797","ISBN":"1791-2423 (Electronic)\r1019-6439 (Linking)","PMID":"25502629","abstract":"Non-small cell lung cancer (NSCLC) carrying echinoderm microtubule-associated protein-like 4 (EML4)-anaplastic lymphoma kinase (ALK) rearrangements is hypersensitive to ALK inhibitors, including crizotinib and alectinib. Crizotinib was initially designed as a MET inhibitor, whereas alectinib is a selective ALK inhibitor. The MET signal, which is inhibited by crizotinib but not by alectinib, is dysregulated in many human cancers. However, the role of the MET signal in ALK-positive NSCLC remains unclear. In this study, we found that hepatocyte growth factor (HGF), ligand of MET, mediated the resistance to alectinib, but not to crizotinib, via the MET signal in ALK-positive NSCLC cell lines (H3122 and H2228 cell lines). In addition, alectinib activated the MET signal even in the absence of HGF and the inhibition of the MET signal enhanced the efficacy of alectinib. These findings suggest that activated MET acts as a salvage signal in ALK-positive NSCLC. This novel role of the MET signal in ALK-positive NSCLC may pave the way for further clinical trials examining MET inhibitors.","author":[{"dropping-particle":"","family":"Kogita","given":"A","non-dropping-particle":"","parse-names":false,"suffix":""},{"dropping-particle":"","family":"Togashi","given":"Y","non-dropping-particle":"","parse-names":false,"suffix":""},{"dropping-particle":"","family":"Hayashi","given":"H","non-dropping-particle":"","parse-names":false,"suffix":""},{"dropping-particle":"","family":"Banno","given":"E","non-dropping-particle":"","parse-names":false,"suffix":""},{"dropping-particle":"","family":"Terashima","given":"M","non-dropping-particle":"","parse-names":false,"suffix":""},{"dropping-particle":"","family":"Velasco","given":"M A","non-dropping-particle":"De","parse-names":false,"suffix":""},{"dropping-particle":"","family":"Sakai","given":"K","non-dropping-particle":"","parse-names":false,"suffix":""},{"dropping-particle":"","family":"Fujita","given":"Y","non-dropping-particle":"","parse-names":false,"suffix":""},{"dropping-particle":"","family":"Tomida","given":"S","non-dropping-particle":"","parse-names":false,"suffix":""},{"dropping-particle":"","family":"Takeyama","given":"Y","non-dropping-particle":"","parse-names":false,"suffix":""},{"dropping-particle":"","family":"Okuno","given":"K","non-dropping-particle":"","parse-names":false,"suffix":""},{"dropping-particle":"","family":"Nakagawa","given":"K","non-dropping-particle":"","parse-names":false,"suffix":""},{"dropping-particle":"","family":"Nishio","given":"K","non-dropping-particle":"","parse-names":false,"suffix":""}],"container-title":"Int J Oncol","id":"ITEM-1","issue":"3","issued":{"date-parts":[["2015"]]},"note":"Kogita, Akihiro\nTogashi, Yosuke\nHayashi, Hidetoshi\nBanno, Eri\nTerashima, Masato\nDe Velasco, Marco A\nSakai, Kazuko\nFujita, Yoshihiko\nTomida, Shuta\nTakeyama, Yoshifumi\nOkuno, Kiyotaka\nNakagawa, Kazuhiko\nNishio, Kazuto\neng\nResearch Support, Non-U.S. Gov't\nGreece\n2014/12/17 06:00\nInt J Oncol. 2015 Mar;46(3):1025-30. doi: 10.3892/ijo.2014.2797. Epub 2014 Dec 15.","page":"1025-1030","title":"Activated MET acts as a salvage signal after treatment with alectinib, a selective ALK inhibitor, in ALK-positive non-small cell lung cancer","type":"article-journal","volume":"46"},"uris":["http://www.mendeley.com/documents/?uuid=5067c21c-bce6-4877-bb1f-b5954d3c5a09","http://www.mendeley.com/documents/?uuid=9eb02c0b-2a65-4ea8-8362-2052dc17c3ee"]}],"mendeley":{"formattedCitation":"&lt;sup&gt;31&lt;/sup&gt;","plainTextFormattedCitation":"31","previouslyFormattedCitation":"&lt;sup&gt;31&lt;/sup&gt;"},"properties":{"noteIndex":0},"schema":"https://github.com/citation-style-language/schema/raw/master/csl-citation.json"}</w:instrText>
      </w:r>
      <w:r w:rsidR="005F2843" w:rsidRPr="00E94CA9">
        <w:rPr>
          <w:rFonts w:cs="Arial"/>
          <w:color w:val="000000" w:themeColor="text1"/>
          <w:sz w:val="22"/>
          <w:szCs w:val="22"/>
        </w:rPr>
        <w:fldChar w:fldCharType="separate"/>
      </w:r>
      <w:r w:rsidR="00542124" w:rsidRPr="00E94CA9">
        <w:rPr>
          <w:rFonts w:cs="Arial"/>
          <w:noProof/>
          <w:color w:val="000000" w:themeColor="text1"/>
          <w:sz w:val="22"/>
          <w:szCs w:val="22"/>
          <w:vertAlign w:val="superscript"/>
        </w:rPr>
        <w:t>31</w:t>
      </w:r>
      <w:r w:rsidR="005F2843" w:rsidRPr="00E94CA9">
        <w:rPr>
          <w:rFonts w:cs="Arial"/>
          <w:color w:val="000000" w:themeColor="text1"/>
          <w:sz w:val="22"/>
          <w:szCs w:val="22"/>
        </w:rPr>
        <w:fldChar w:fldCharType="end"/>
      </w:r>
      <w:r w:rsidRPr="00E94CA9">
        <w:rPr>
          <w:rFonts w:cs="Arial"/>
          <w:color w:val="000000" w:themeColor="text1"/>
          <w:sz w:val="22"/>
          <w:szCs w:val="22"/>
        </w:rPr>
        <w:fldChar w:fldCharType="begin"/>
      </w:r>
      <w:r w:rsidRPr="00E94CA9">
        <w:rPr>
          <w:rFonts w:cs="Arial"/>
          <w:color w:val="000000" w:themeColor="text1"/>
          <w:sz w:val="22"/>
          <w:szCs w:val="22"/>
        </w:rPr>
        <w:instrText>ADDIN EN.CITE</w:instrText>
      </w:r>
      <w:r w:rsidRPr="00E94CA9">
        <w:rPr>
          <w:rFonts w:cs="Arial"/>
          <w:color w:val="000000" w:themeColor="text1"/>
          <w:sz w:val="22"/>
          <w:szCs w:val="22"/>
        </w:rPr>
        <w:fldChar w:fldCharType="end"/>
      </w:r>
      <w:r w:rsidRPr="00E94CA9">
        <w:rPr>
          <w:rFonts w:cs="Arial"/>
          <w:color w:val="000000" w:themeColor="text1"/>
          <w:sz w:val="22"/>
          <w:szCs w:val="22"/>
        </w:rPr>
        <w:t xml:space="preserve">, and resistance can be overcome with </w:t>
      </w:r>
      <w:proofErr w:type="spellStart"/>
      <w:r w:rsidRPr="00E94CA9">
        <w:rPr>
          <w:rFonts w:cs="Arial"/>
          <w:color w:val="000000" w:themeColor="text1"/>
          <w:sz w:val="22"/>
          <w:szCs w:val="22"/>
        </w:rPr>
        <w:t>crizotinib</w:t>
      </w:r>
      <w:proofErr w:type="spellEnd"/>
      <w:r w:rsidRPr="00E94CA9">
        <w:rPr>
          <w:rFonts w:cs="Arial"/>
          <w:color w:val="000000" w:themeColor="text1"/>
          <w:sz w:val="22"/>
          <w:szCs w:val="22"/>
        </w:rPr>
        <w:t>, a potent inhibitor of MET</w:t>
      </w:r>
      <w:r w:rsidR="005F2843"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{"citationItems":[{"id":"ITEM-1","itemData":{"DOI":"10.1097/JTO.0b013e3182a008ed","ISBN":"1556-1380 (Electronic)\r1556-0864 (Linking)","PMID":"24128725","author":[{"dropping-particle":"","family":"Toyokawa","given":"G","non-dropping-particle":"","parse-names":false,"suffix":""},{"dropping-particle":"","family":"Takenoyama","given":"M","non-dropping-particle":"","parse-names":false,"suffix":""},{"dropping-particle":"","family":"Watanabe","given":"S","non-dropping-particle":"","parse-names":false,"suffix":""},{"dropping-particle":"","family":"Toyozawa","given":"R","non-dropping-particle":"","parse-names":false,"suffix":""},{"dropping-particle":"","family":"Inamasu","given":"E","non-dropping-particle":"","parse-names":false,"suffix":""},{"dropping-particle":"","family":"Kojo","given":"M","non-dropping-particle":"","parse-names":false,"suffix":""},{"dropping-particle":"","family":"Shiraishi","given":"Y","non-dropping-particle":"","parse-names":false,"suffix":""},{"dropping-particle":"","family":"Morodomi","given":"Y","non-dropping-particle":"","parse-names":false,"suffix":""},{"dropping-particle":"","family":"Takenaka","given":"T","non-dropping-particle":"","parse-names":false,"suffix":""},{"dropping-particle":"","family":"Hirai","given":"F","non-dropping-particle":"","parse-names":false,"suffix":""},{"dropping-particle":"","family":"Yamaguchi","given":"M","non-dropping-particle":"","parse-names":false,"suffix":""},{"dropping-particle":"","family":"Taguchi","given":"K","non-dropping-particle":"","parse-names":false,"suffix":""},{"dropping-particle":"","family":"Seto","given":"T","non-dropping-particle":"","parse-names":false,"suffix":""},{"dropping-particle":"","family":"Ichinose","given":"Y","non-dropping-particle":"","parse-names":false,"suffix":""}],"container-title":"J Thorac Oncol","id":"ITEM-1","issue":"11","issued":{"date-parts":[["2013"]]},"note":"Toyokawa, Gouji\nTakenoyama, Mitsuhiro\nWatanabe, Sawori\nToyozawa, Ryo\nInamasu, Eiko\nKojo, Miyako\nShiraishi, Yoshimasa\nMorodomi, Yosuke\nTakenaka, Tomoyoshi\nHirai, Fumihiko\nYamaguchi, Masafumi\nTaguchi, Kenichi\nSeto, Takashi\nIchinose, Yukito\neng\nCase Reports\nResearch Support, Non-U.S. Gov't\n2013/10/17 06:00\nJ Thorac Oncol. 2013 Nov;8(11):e96-8. doi: 10.1097/JTO.0b013e3182a008ed.","page":"e96-8","title":"Dramatic response to crizotinib in an ALK-positive adenocarcinoma patient with disseminated intravascular coagulation","type":"article-journal","volume":"8"},"uris":["http://www.mendeley.com/documents/?uuid=1fd9c71f-5dba-495b-acdc-ceef2cd31c75","http://www.mendeley.com/documents/?uuid=05e6b477-7efb-4303-8549-2b4d1e4b63d4"]}],"mendeley":{"formattedCitation":"&lt;sup&gt;32&lt;/sup&gt;","plainTextFormattedCitation":"32","previouslyFormattedCitation":"&lt;sup&gt;32&lt;/sup&gt;"},"properties":{"noteIndex":0},"schema":"https://github.com/citation-style-language/schema/raw/master/csl-citation.json"}</w:instrText>
      </w:r>
      <w:r w:rsidR="005F2843" w:rsidRPr="00E94CA9">
        <w:rPr>
          <w:rFonts w:cs="Arial"/>
          <w:color w:val="000000" w:themeColor="text1"/>
          <w:sz w:val="22"/>
          <w:szCs w:val="22"/>
        </w:rPr>
        <w:fldChar w:fldCharType="separate"/>
      </w:r>
      <w:r w:rsidR="00542124" w:rsidRPr="00E94CA9">
        <w:rPr>
          <w:rFonts w:cs="Arial"/>
          <w:noProof/>
          <w:color w:val="000000" w:themeColor="text1"/>
          <w:sz w:val="22"/>
          <w:szCs w:val="22"/>
          <w:vertAlign w:val="superscript"/>
        </w:rPr>
        <w:t>32</w:t>
      </w:r>
      <w:r w:rsidR="005F2843" w:rsidRPr="00E94CA9">
        <w:rPr>
          <w:rFonts w:cs="Arial"/>
          <w:color w:val="000000" w:themeColor="text1"/>
          <w:sz w:val="22"/>
          <w:szCs w:val="22"/>
        </w:rPr>
        <w:fldChar w:fldCharType="end"/>
      </w:r>
      <w:r w:rsidRPr="00E94CA9">
        <w:rPr>
          <w:rFonts w:cs="Arial"/>
          <w:color w:val="000000" w:themeColor="text1"/>
          <w:sz w:val="22"/>
          <w:szCs w:val="22"/>
        </w:rPr>
        <w:fldChar w:fldCharType="begin"/>
      </w:r>
      <w:r w:rsidRPr="00E94CA9">
        <w:rPr>
          <w:rFonts w:cs="Arial"/>
          <w:color w:val="000000" w:themeColor="text1"/>
          <w:sz w:val="22"/>
          <w:szCs w:val="22"/>
        </w:rPr>
        <w:instrText>ADDIN EN.CITE</w:instrText>
      </w:r>
      <w:r w:rsidRPr="00E94CA9">
        <w:rPr>
          <w:rFonts w:cs="Arial"/>
          <w:color w:val="000000" w:themeColor="text1"/>
          <w:sz w:val="22"/>
          <w:szCs w:val="22"/>
        </w:rPr>
        <w:fldChar w:fldCharType="end"/>
      </w:r>
      <w:r w:rsidRPr="00E94CA9">
        <w:rPr>
          <w:rFonts w:cs="Arial"/>
          <w:color w:val="000000" w:themeColor="text1"/>
          <w:sz w:val="22"/>
          <w:szCs w:val="22"/>
        </w:rPr>
        <w:t xml:space="preserve">. Given substantial evidence in the literature that </w:t>
      </w:r>
      <w:r w:rsidRPr="00E94CA9">
        <w:rPr>
          <w:rFonts w:cs="Arial"/>
          <w:i/>
          <w:color w:val="000000" w:themeColor="text1"/>
          <w:sz w:val="22"/>
          <w:szCs w:val="22"/>
        </w:rPr>
        <w:t>PIM1</w:t>
      </w:r>
      <w:r w:rsidRPr="00E94CA9">
        <w:rPr>
          <w:rFonts w:cs="Arial"/>
          <w:color w:val="000000" w:themeColor="text1"/>
          <w:sz w:val="22"/>
          <w:szCs w:val="22"/>
        </w:rPr>
        <w:t xml:space="preserve"> mediates resistance to standard chemotherapy</w:t>
      </w:r>
      <w:r w:rsidR="005F2843"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{"citationItems":[{"id":"ITEM-1","itemData":{"DOI":"10.1038/sj.onc.1209058","ISBN":"0950-9232 (Print)\r0950-9232 (Linking)","PMID":"16186805","abstract":"Protein kinase Pim-1 has been implicated in the development of hematopoietic and prostatic malignancies. Here, we present the evidence that two isoforms, the 44 and 33 kDa Pim-1, are expressed in all human prostate cancer cell lines examined. The subcellular localization of human 44 kDa Pim-1 is primarily on the plasma membrane, while the 33 kDa isoform is present in both the cytosol and nucleus in PCA cells. The 44 kDa Pim-1 contains the proline-rich motif at the N-terminus and directly binds to the SH3 domain of tyrosine kinase Etk. Such interaction leads to the activation of Etk kinase activity possibly by competing with the tumor suppressor p53. This is corroborated by the fact that overexpression of the 44 kDa Pim-1 in prostate cancer cells confers the resistance to chemotherapeutic drugs. Our results suggest that these two isoforms of Pim-1 kinase may regulate distinct substrates and the 44 kDa Pim-1 may play a more prominent role in drug resistance in prostate cancer cells.","author":[{"dropping-particle":"","family":"Xie","given":"Y","non-dropping-particle":"","parse-names":false,"suffix":""},{"dropping-particle":"","family":"Xu","given":"K","non-dropping-particle":"","parse-names":false,"suffix":""},{"dropping-particle":"","family":"Dai","given":"B","non-dropping-particle":"","parse-names":false,"suffix":""},{"dropping-particle":"","family":"Guo","given":"Z","non-dropping-particle":"","parse-names":false,"suffix":""},{"dropping-particle":"","family":"Jiang","given":"T","non-dropping-particle":"","parse-names":false,"suffix":""},{"dropping-particle":"","family":"Chen","given":"H","non-dropping-particle":"","parse-names":false,"suffix":""},{"dropping-particle":"","family":"Qiu","given":"Y","non-dropping-particle":"","parse-names":false,"suffix":""}],"container-title":"Oncogene","id":"ITEM-1","issue":"1","issued":{"date-parts":[["2006"]]},"note":"Xie, Y\nXu, K\nDai, B\nGuo, Z\nJiang, T\nChen, H\nQiu, Y\neng\nCA85380/CA/NCI NIH HHS/\nResearch Support, N.I.H., Extramural\nResearch Support, U.S. Gov't, Non-P.H.S.\nEngland\n2005/09/28 09:00\nOncogene. 2006 Jan 5;25(1):70-8. doi: 10.1038/sj.onc.1209058.","page":"70-78","title":"The 44 kDa Pim-1 kinase directly interacts with tyrosine kinase Etk/BMX and protects human prostate cancer cells from apoptosis induced by chemotherapeutic drugs","type":"article-journal","volume":"25"},"uris":["http://www.mendeley.com/documents/?uuid=a8732db9-80e3-4d63-9604-d1b91d767e66","http://www.mendeley.com/documents/?uuid=adf2d02d-5788-48e9-a711-375a09dc7824"]},{"id":"ITEM-2","itemData":{"DOI":"10.1016/j.bcp.2012.12.006","ISBN":"1873-2968 (Electronic)\r0006-2952 (Linking)","PMID":"23261525","abstract":"Overexpression of the ATP-binding cassette (ABC) drug efflux proteins P-glycoprotein (ABCB1) and breast cancer resistance protein (ABCG2) on malignant cells is associated with inferior chemotherapy outcomes. Both, ABCB1 and ABCG2, are substrates of the serine/threonine kinase Pim-1; Pim-1 knockdown decreases their cell surface expression, but SGI-1776, the first clinically tested Pim inhibitor, was shown to reverse drug resistance by directly inhibiting ABCB1-mediated transport. We sought to characterize Pim-1-dependent and -independent effects of SGI-1776 on drug resistance. SGI-1776 at the Pim-1-inhibitory and non-cytotoxic concentration of 1 muM decreased the IC(50)s of the ABCG2 and ABCB1 substrate drugs in cytotoxicity assays in resistant cells, with no effect on the IC(50) of non-substrate drug, nor in parental cells. SGI-1776 also increased apoptosis of cells overexpressing ABCG2 or ABCB1 exposed to substrate chemotherapy drugs and decreased their colony formation in the presence of substrate, but not non-substrate, drugs, with no effect on parental cells. SGI-1776 decreased ABCB1 and ABCG2 surface expression on K562/ABCB1 and K562/ABCG2 cells, respectively, with Pim-1 overexpression, but not HL60/VCR and 8226/MR20 cells, with lower-level Pim-1 expression. Finally, SGI-1776 inhibited uptake of ABCG2 and ABCB1 substrates in a concentration-dependent manner irrespective of Pim-1 expression, inhibited ABCB1 and ABCG2 photoaffinity labeling with the transport substrate [(125)I]iodoarylazidoprazosin ([(125)I]IAAP) and stimulated ABCB1 and ABCG2 ATPase activity. Thus SGI-1776 decreases cell surface expression of ABCB1 and ABCG2 and inhibits drug transport by Pim-1-dependent and -independent mechanisms, respectively. Decrease in ABCB1 and ABCG2 cell surface expression mediated by Pim-1 inhibition represents a novel mechanism of chemosensitization.","author":[{"dropping-particle":"","family":"Natarajan","given":"K","non-dropping-particle":"","parse-names":false,"suffix":""},{"dropping-particle":"","family":"Bhullar","given":"J","non-dropping-particle":"","parse-names":false,"suffix":""},{"dropping-particle":"","family":"Shukla","given":"S","non-dropping-particle":"","parse-names":false,"suffix":""},{"dropping-particle":"","family":"Burcu","given":"M","non-dropping-particle":"","parse-names":false,"suffix":""},{"dropping-particle":"","family":"Chen","given":"Z S","non-dropping-particle":"","parse-names":false,"suffix":""},{"dropping-particle":"V","family":"Ambudkar","given":"S","non-dropping-particle":"","parse-names":false,"suffix":""},{"dropping-particle":"","family":"Baer","given":"M R","non-dropping-particle":"","parse-names":false,"suffix":""}],"container-title":"Biochem Pharmacol","id":"ITEM-2","issue":"4","issued":{"date-parts":[["2013"]]},"note":"Natarajan, Karthika\nBhullar, Jasjeet\nShukla, Suneet\nBurcu, Mehmet\nChen, Zhe-Sheng\nAmbudkar, Suresh V\nBaer, Maria R\neng\nP30 CA134274/CA/NCI NIH HHS/\nZ99 CA999999/NULL/Intramural NIH HHS/\nResearch Support, N.I.H., Extramural\nResearch Support, N.I.H., Intramural\nResearch Support, Non-U.S. Gov't\nEngland\n2012/12/25 06:00\nBiochem Pharmacol. 2013 Feb 15;85(4):514-24. doi: 10.1016/j.bcp.2012.12.006. Epub 2012 Dec 19.","page":"514-524","title":"The Pim kinase inhibitor SGI-1776 decreases cell surface expression of P-glycoprotein (ABCB1) and breast cancer resistance protein (ABCG2) and drug transport by Pim-1-dependent and -independent mechanisms","type":"article-journal","volume":"85"},"uris":["http://www.mendeley.com/documents/?uuid=6585852e-e6bc-4bf7-83a5-8eb68db599bd","http://www.mendeley.com/documents/?uuid=966915e2-2929-476b-b7cd-0bcf6942dfd9"]},{"id":"ITEM-3","itemData":{"DOI":"10.1038/onc.2009.124","ISBN":"1476-5594 (Electronic)\r0950-9232 (Linking)","PMID":"19483729","abstract":"Hypoxia changes the responses of cancer cells to many chemotherapy agents, resulting in chemoresistance. The underlying molecular mechanism of hypoxia-induced drug resistance remains unclear. Pim-1 is a survival kinase, which phosphorylates Bad at serine 112 to antagonize drug-induced apoptosis. Here we show that hypoxia increases Pim-1 in a hypoxia-inducible factor-1alpha-independent manner. Inhibition of Pim-1 function by dominant-negative Pim-1 dramatically restores the drug sensitivity to apoptosis induced by chemotherapy under hypoxic conditions in both in vitro and in vivo tumor models. Introduction of siRNAs for Pim-1 also resensitizes cancer cells to chemotherapy drugs under hypoxic conditions, whereas forced overexpression of Pim-1 endows solid tumor cells with resistance to cisplatin, even under normoxia. Dominant-negative Pim-1 prevents a decrease in mitochondrial transmembrane potential in solid tumor cells, which is normally induced by cisplatin (CDDP), followed by the reduced activity of Caspase-3 and Caspase-9, indicating that Pim-1 participates in hypoxia-induced drug resistance through the stabilization of mitochondrial transmembrane potential. Our results demonstrate that Pim-1 is a pivotal regulator involved in hypoxia-induced chemoresistance. Targeting Pim-1 may improve the chemotherapeutic strategy for solid tumors.","author":[{"dropping-particle":"","family":"Chen","given":"J","non-dropping-particle":"","parse-names":false,"suffix":""},{"dropping-particle":"","family":"Kobayashi","given":"M","non-dropping-particle":"","parse-names":false,"suffix":""},{"dropping-particle":"","family":"Darmanin","given":"S","non-dropping-particle":"","parse-names":false,"suffix":""},{"dropping-particle":"","family":"Qiao","given":"Y","non-dropping-particle":"","parse-names":false,"suffix":""},{"dropping-particle":"","family":"Gully","given":"C","non-dropping-particle":"","parse-names":false,"suffix":""},{"dropping-particle":"","family":"Zhao","given":"R","non-dropping-particle":"","parse-names":false,"suffix":""},{"dropping-particle":"","family":"Yeung","given":"S C","non-dropping-particle":"","parse-names":false,"suffix":""},{"dropping-particle":"","family":"Lee","given":"M H","non-dropping-particle":"","parse-names":false,"suffix":""}],"container-title":"Oncogene","id":"ITEM-3","issue":"28","issued":{"date-parts":[["2009"]]},"note":"Chen, J\nKobayashi, M\nDarmanin, S\nQiao, Y\nGully, C\nZhao, R\nYeung, S C\nLee, M H\neng\nP30 CA016672/CA/NCI NIH HHS/\nCA16672/CA/NCI NIH HHS/\nR01CA 089266/CA/NCI NIH HHS/\nR01 CA089266/CA/NCI NIH HHS/\nR56 CA089266/CA/NCI NIH HHS/\nResearch Support, N.I.H., Extramural\nResearch Support, Non-U.S. Gov't\nResearch Support, U.S. Gov't, Non-P.H.S.\nEngland\n2009/06/02 09:00\nOncogene. 2009 Jul 16;28(28):2581-92. doi: 10.1038/onc.2009.124. Epub 2009 Jun 1.","page":"2581-2592","title":"Pim-1 plays a pivotal role in hypoxia-induced chemoresistance","type":"article-journal","volume":"28"},"uris":["http://www.mendeley.com/documents/?uuid=f083db65-258d-4077-b0fe-c4810604a7fb","http://www.mendeley.com/documents/?uuid=02bc0c8c-73bb-4230-aff2-86110c22f103"]}],"mendeley":{"formattedCitation":"&lt;sup&gt;33–35&lt;/sup&gt;","plainTextFormattedCitation":"33–35","previouslyFormattedCitation":"&lt;sup&gt;33–35&lt;/sup&gt;"},"properties":{"noteIndex":0},"schema":"https://github.com/citation-style-language/schema/raw/master/csl-citation.json"}</w:instrText>
      </w:r>
      <w:r w:rsidR="005F2843" w:rsidRPr="00E94CA9">
        <w:rPr>
          <w:rFonts w:cs="Arial"/>
          <w:color w:val="000000" w:themeColor="text1"/>
          <w:sz w:val="22"/>
          <w:szCs w:val="22"/>
        </w:rPr>
        <w:fldChar w:fldCharType="separate"/>
      </w:r>
      <w:r w:rsidR="00542124" w:rsidRPr="00E94CA9">
        <w:rPr>
          <w:rFonts w:cs="Arial"/>
          <w:noProof/>
          <w:color w:val="000000" w:themeColor="text1"/>
          <w:sz w:val="22"/>
          <w:szCs w:val="22"/>
          <w:vertAlign w:val="superscript"/>
        </w:rPr>
        <w:t>33–35</w:t>
      </w:r>
      <w:r w:rsidR="005F2843" w:rsidRPr="00E94CA9">
        <w:rPr>
          <w:rFonts w:cs="Arial"/>
          <w:color w:val="000000" w:themeColor="text1"/>
          <w:sz w:val="22"/>
          <w:szCs w:val="22"/>
        </w:rPr>
        <w:fldChar w:fldCharType="end"/>
      </w:r>
      <w:r w:rsidRPr="00E94CA9">
        <w:rPr>
          <w:rFonts w:cs="Arial"/>
          <w:color w:val="000000" w:themeColor="text1"/>
          <w:sz w:val="22"/>
          <w:szCs w:val="22"/>
        </w:rPr>
        <w:fldChar w:fldCharType="begin"/>
      </w:r>
      <w:r w:rsidRPr="00E94CA9">
        <w:rPr>
          <w:rFonts w:cs="Arial"/>
          <w:color w:val="000000" w:themeColor="text1"/>
          <w:sz w:val="22"/>
          <w:szCs w:val="22"/>
        </w:rPr>
        <w:instrText>ADDIN EN.CITE</w:instrText>
      </w:r>
      <w:r w:rsidRPr="00E94CA9">
        <w:rPr>
          <w:rFonts w:cs="Arial"/>
          <w:color w:val="000000" w:themeColor="text1"/>
          <w:sz w:val="22"/>
          <w:szCs w:val="22"/>
        </w:rPr>
        <w:fldChar w:fldCharType="end"/>
      </w:r>
      <w:r w:rsidRPr="00E94CA9">
        <w:rPr>
          <w:rFonts w:cs="Arial"/>
          <w:color w:val="000000" w:themeColor="text1"/>
          <w:sz w:val="22"/>
          <w:szCs w:val="22"/>
        </w:rPr>
        <w:t xml:space="preserve"> as well as molecularly targeted agents</w:t>
      </w:r>
      <w:r w:rsidR="00A97C97"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{"citationItems":[{"id":"ITEM-1","itemData":{"ISBN":"2156-6976 (Print)\r2156-6976 (Linking)","PMID":"27904766","abstract":"Diffuse large B cell lymphoma (DLBCL) is a heterogeneous lymphoma and the most common subtype of non-Hodgkin lymphoma, accounting for roughly 30% of newly diagnosed cases in the United States. DLBCL can be separated into the activated B cell-like (ABC) and germinal center B cell-like (GCB) subtypes, with distinct gene expression profiles, oncogenic aberrations, and clinical outcomes. ABC-DLBCL is characterized by chronically active B-cell receptor (BCR) signaling that can be modulated by Bruton's tyrosine kinase (BTK) activity. Thus, BTK serves as an attractive therapeutic target in this type of B-cell malignancy. Ibrutinib, a first-in-class, orally available covalent BTK inhibitor, has demonstrated clinical activity in several B-cell leukemias and lymphomas. A phase 1/2 clinical trial of single-agent ibrutinib in relapsed and refractory DLBCL patients revealed an overall response rate of 37% in ABC-DLBCL patients. However, responses to kinase-directed therapies are often limited by emerging resistance mechanisms that bypass the therapeutic target. Here we report the discovery of point mutations within the kinase PIM1 that reduce sensitivity to ibrutinib in ABC-DLBCL. These mutations stabilize PIM1 and affect upstream regulators and downstream targets of NF-kappaB signaling. The introduction of mutant PIM1 into an ABC-DLBCL cell line, TMD8, increased colony formation and decreased sensitivity to ibrutinib. In addition, ibrutinib-resistant cell lines generated by prolonged ibrutinib exposure in vitro upregulated PIM1 expression, consistent with a role for PIM1 in antagonizing ibrutinib activity. The combination of a pan-PIM inhibitor with ibrutinib synergistically inhibited proliferation in vitro and tumor growth in vivo. Together, these data provide a rationale for combining BTK and PIM1 inhibition in the treatment of ABC-DLBCL.","author":[{"dropping-particle":"","family":"Kuo","given":"H P","non-dropping-particle":"","parse-names":false,"suffix":""},{"dropping-particle":"","family":"Ezell","given":"S A","non-dropping-particle":"","parse-names":false,"suffix":""},{"dropping-particle":"","family":"Hsieh","given":"S","non-dropping-particle":"","parse-names":false,"suffix":""},{"dropping-particle":"","family":"Schweighofer","given":"K J","non-dropping-particle":"","parse-names":false,"suffix":""},{"dropping-particle":"","family":"Cheung","given":"L W","non-dropping-particle":"","parse-names":false,"suffix":""},{"dropping-particle":"","family":"Wu","given":"S","non-dropping-particle":"","parse-names":false,"suffix":""},{"dropping-particle":"","family":"Apatira","given":"M","non-dropping-particle":"","parse-names":false,"suffix":""},{"dropping-particle":"","family":"Sirisawad","given":"M","non-dropping-particle":"","parse-names":false,"suffix":""},{"dropping-particle":"","family":"Eckert","given":"K","non-dropping-particle":"","parse-names":false,"suffix":""},{"dropping-particle":"","family":"Liang","given":"Y","non-dropping-particle":"","parse-names":false,"suffix":""},{"dropping-particle":"","family":"Hsu","given":"J","non-dropping-particle":"","parse-names":false,"suffix":""},{"dropping-particle":"","family":"Chen","given":"C T","non-dropping-particle":"","parse-names":false,"suffix":""},{"dropping-particle":"","family":"Beaupre","given":"D","non-dropping-particle":"","parse-names":false,"suffix":""},{"dropping-particle":"","family":"Chang","given":"B Y","non-dropping-particle":"","parse-names":false,"suffix":""}],"container-title":"Am J Cancer Res","id":"ITEM-1","issue":"11","issued":{"date-parts":[["2016"]]},"note":"Kuo, Hsu-Ping\nEzell, Scott A\nHsieh, Sidney\nSchweighofer, Karl J\nCheung, Leo Wk\nWu, Shiquan\nApatira, Mutiah\nSirisawad, Mint\nEckert, Karl\nLiang, Yu\nHsu, Jeff\nChen, Chun-Te\nBeaupre, Darrin\nChang, Betty Y\neng\n2016/12/03 06:00\nAm J Cancer Res. 2016 Nov 1;6(11):2489-2501. eCollection 2016.","page":"2489-2501","title":"The role of PIM1 in the ibrutinib-resistant ABC subtype of diffuse large B-cell lymphoma","type":"article-journal","volume":"6"},"uris":["http://www.mendeley.com/documents/?uuid=d42c0ef5-1a49-4f2d-88ad-a1bf73ab7116","http://www.mendeley.com/documents/?uuid=4f8df404-5bde-42fa-8d9b-10d880032577"]},{"id":"ITEM-2","itemData":{"DOI":"10.1186/s13046-016-0406-z","ISBN":"1756-9966 (Electronic)\r0392-9078 (Linking)","PMID":"27596051","abstract":"BACKGROUND: The effects of PIM-1 on the progression of pancreatic cancer remain unclear, and the prognostic value of PIM-1 levels in tissues is controversial. Additionally, the expression levels and clinical value of PIM-1 in plasma have not been reported. METHODS: The effects of PIM-1 on biological behaviours were analysed. PIM-1 levels in tissues and plasma were detected, and the clinical value was evaluated. RESULTS: We found that PIM-1 knockdown in pancreatic cancer cells suppressed proliferation, induced cell cycle arrest, enhanced apoptosis, resensitized cells to gemcitabine and erlotinib treatment, and inhibited ABCG2 and EZH2 mRNA expression. Our results indicated that PIM-1 and the EGFR pathway formed a positive feedback loop. We also found that PIM-1 expression in pancreatic cancer tissues was significantly upregulated and that a high level of expression was negatively associated with prognosis (P = 0.025, hazard ratio [HR] =2.113, 95 % confidence interval: 1.046-4.266). Additionally, we found that plasma PIM-1 levels in patients with pancreatic cancer were significantly increased and could be used in the diagnosis of pancreatic cancer. High plasma PIM-1 expression was an independent adverse prognostic factor for pancreatic cancer (P = 0.037, HR = 1.87, 95 % CI: 1.04-3.35). CONCLUSION: Our study suggests that PIM-1 contributes to malignancy and has diagnostic and prognostic value in pancreatic cancer.","author":[{"dropping-particle":"","family":"Xu","given":"J","non-dropping-particle":"","parse-names":false,"suffix":""},{"dropping-particle":"","family":"Xiong","given":"G","non-dropping-particle":"","parse-names":false,"suffix":""},{"dropping-particle":"","family":"Cao","given":"Z","non-dropping-particle":"","parse-names":false,"suffix":""},{"dropping-particle":"","family":"Huang","given":"H","non-dropping-particle":"","parse-names":false,"suffix":""},{"dropping-particle":"","family":"Wang","given":"T","non-dropping-particle":"","parse-names":false,"suffix":""},{"dropping-particle":"","family":"You","given":"L","non-dropping-particle":"","parse-names":false,"suffix":""},{"dropping-particle":"","family":"Zhou","given":"L","non-dropping-particle":"","parse-names":false,"suffix":""},{"dropping-particle":"","family":"Zheng","given":"L","non-dropping-particle":"","parse-names":false,"suffix":""},{"dropping-particle":"","family":"Hu","given":"Y","non-dropping-particle":"","parse-names":false,"suffix":""},{"dropping-particle":"","family":"Zhang","given":"T","non-dropping-particle":"","parse-names":false,"suffix":""},{"dropping-particle":"","family":"Zhao","given":"Y","non-dropping-particle":"","parse-names":false,"suffix":""}],"container-title":"J Exp Clin Cancer Res","id":"ITEM-2","issue":"1","issued":{"date-parts":[["2016"]]},"note":"Xu, Jianwei\nXiong, Guangbing\nCao, Zhe\nHuang, Hua\nWang, Tianxiao\nYou, Lei\nZhou, Li\nZheng, Lianfang\nHu, Ya\nZhang, Taiping\nZhao, Yupei\neng\nResearch Support, Non-U.S. Gov't\nEngland\n2016/09/07 06:00\nJ Exp Clin Cancer Res. 2016 Sep 5;35(1):133. doi: 10.1186/s13046-016-0406-z.","page":"133","title":"PIM-1 contributes to the malignancy of pancreatic cancer and displays diagnostic and prognostic value","type":"article-journal","volume":"35"},"uris":["http://www.mendeley.com/documents/?uuid=00619ae8-b46f-42f3-bfd4-a5479436f924","http://www.mendeley.com/documents/?uuid=d5c1f156-40b5-4700-8e0b-d95524a0ece1"]}],"mendeley":{"formattedCitation":"&lt;sup&gt;36,37&lt;/sup&gt;","plainTextFormattedCitation":"36,37","previouslyFormattedCitation":"&lt;sup&gt;36,37&lt;/sup&gt;"},"properties":{"noteIndex":0},"schema":"https://github.com/citation-style-language/schema/raw/master/csl-citation.json"}</w:instrText>
      </w:r>
      <w:r w:rsidR="00A97C97" w:rsidRPr="00E94CA9">
        <w:rPr>
          <w:rFonts w:cs="Arial"/>
          <w:color w:val="000000" w:themeColor="text1"/>
          <w:sz w:val="22"/>
          <w:szCs w:val="22"/>
        </w:rPr>
        <w:fldChar w:fldCharType="separate"/>
      </w:r>
      <w:r w:rsidR="00542124" w:rsidRPr="00E94CA9">
        <w:rPr>
          <w:rFonts w:cs="Arial"/>
          <w:noProof/>
          <w:color w:val="000000" w:themeColor="text1"/>
          <w:sz w:val="22"/>
          <w:szCs w:val="22"/>
          <w:vertAlign w:val="superscript"/>
        </w:rPr>
        <w:t>36,37</w:t>
      </w:r>
      <w:r w:rsidR="00A97C97" w:rsidRPr="00E94CA9">
        <w:rPr>
          <w:rFonts w:cs="Arial"/>
          <w:color w:val="000000" w:themeColor="text1"/>
          <w:sz w:val="22"/>
          <w:szCs w:val="22"/>
        </w:rPr>
        <w:fldChar w:fldCharType="end"/>
      </w:r>
      <w:r w:rsidRPr="00E94CA9">
        <w:rPr>
          <w:rFonts w:cs="Arial"/>
          <w:color w:val="000000" w:themeColor="text1"/>
          <w:sz w:val="22"/>
          <w:szCs w:val="22"/>
        </w:rPr>
        <w:fldChar w:fldCharType="begin"/>
      </w:r>
      <w:r w:rsidRPr="00E94CA9">
        <w:rPr>
          <w:rFonts w:cs="Arial"/>
          <w:color w:val="000000" w:themeColor="text1"/>
          <w:sz w:val="22"/>
          <w:szCs w:val="22"/>
        </w:rPr>
        <w:instrText>ADDIN EN.CITE</w:instrText>
      </w:r>
      <w:r w:rsidRPr="00E94CA9">
        <w:rPr>
          <w:rFonts w:cs="Arial"/>
          <w:color w:val="000000" w:themeColor="text1"/>
          <w:sz w:val="22"/>
          <w:szCs w:val="22"/>
        </w:rPr>
        <w:fldChar w:fldCharType="end"/>
      </w:r>
      <w:r w:rsidRPr="00E94CA9">
        <w:rPr>
          <w:rFonts w:cs="Arial"/>
          <w:color w:val="000000" w:themeColor="text1"/>
          <w:sz w:val="22"/>
          <w:szCs w:val="22"/>
        </w:rPr>
        <w:t xml:space="preserve">, </w:t>
      </w:r>
      <w:r w:rsidR="007621DA" w:rsidRPr="00E94CA9">
        <w:rPr>
          <w:rFonts w:cs="Arial"/>
          <w:color w:val="000000" w:themeColor="text1"/>
          <w:sz w:val="22"/>
          <w:szCs w:val="22"/>
        </w:rPr>
        <w:t xml:space="preserve">that </w:t>
      </w:r>
      <w:r w:rsidRPr="00E94CA9">
        <w:rPr>
          <w:rFonts w:cs="Arial"/>
          <w:color w:val="000000" w:themeColor="text1"/>
          <w:sz w:val="22"/>
          <w:szCs w:val="22"/>
        </w:rPr>
        <w:t xml:space="preserve">high expression of </w:t>
      </w:r>
      <w:r w:rsidRPr="00E94CA9">
        <w:rPr>
          <w:rFonts w:cs="Arial"/>
          <w:i/>
          <w:color w:val="000000" w:themeColor="text1"/>
          <w:sz w:val="22"/>
          <w:szCs w:val="22"/>
        </w:rPr>
        <w:t>PIM1</w:t>
      </w:r>
      <w:r w:rsidRPr="00E94CA9">
        <w:rPr>
          <w:rFonts w:cs="Arial"/>
          <w:color w:val="000000" w:themeColor="text1"/>
          <w:sz w:val="22"/>
          <w:szCs w:val="22"/>
        </w:rPr>
        <w:t xml:space="preserve"> is a poor prognostic indicator in multiple cancers</w:t>
      </w:r>
      <w:r w:rsidR="00A97C97"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{"citationItems":[{"id":"ITEM-1","itemData":{"DOI":"10.1186/s12967-017-1287-4","ISBN":"1479-5876 (Electronic)\r1479-5876 (Linking)","PMID":"28851457","abstract":"BACKGROUND: High expression of proviral integration site for Moloney murine leukemia virus-1 (PIM-1), a serine/threonine kinase, is associated with many cancers. The main purpose of this study were to investigate that the correlation between PIM-1 mRNA levels and clinicopathologic features and its clinical significance in acute myeloid leukemia (AML). METHODS: qRT-PCR was performed for 118 de novo AML and 20 AML complete remission patients and 15 normal individuals. All statistical analysis were performed using Graphpad Prism5 software. RESULTS: We observed that expression of PIM-1 mRNA was higher in AML patients than in healthy individuals and in complete remission AML patients (P = 0.0177). Further, high PIM-1 mRNA levels were more associated with high-risk FLT3+ AML patients than the FLT3- group (P = 0.0001) and were also associated with clinical factors such as risk stratification (P = 0.0029) and vital status (P = 0.0322). Kaplan-Meier survival analysis indicated that PIM-1 mRNA expression correlated with overall survival (OS), disease free survival (DFS), and relapse rate (RR) in AML patients. Most importantly, the high PIM-1-expressing patients took longer to achieve complete remission than the low expression group (P = 0.001). In addition, the complete remission rate was significantly lower in the high PIM-1 group (P = 0.0277) after induction therapy. CONCLUSIONS: Above results suggest that PIM-1 mRNA levels may be an independent prognostic factor in AML.","author":[{"dropping-particle":"","family":"Cheng","given":"H","non-dropping-particle":"","parse-names":false,"suffix":""},{"dropping-particle":"","family":"Huang","given":"C","non-dropping-particle":"","parse-names":false,"suffix":""},{"dropping-particle":"","family":"Xu","given":"X","non-dropping-particle":"","parse-names":false,"suffix":""},{"dropping-particle":"","family":"Hu","given":"X","non-dropping-particle":"","parse-names":false,"suffix":""},{"dropping-particle":"","family":"Gong","given":"S","non-dropping-particle":"","parse-names":false,"suffix":""},{"dropping-particle":"","family":"Tang","given":"G","non-dropping-particle":"","parse-names":false,"suffix":""},{"dropping-particle":"","family":"Song","given":"X","non-dropping-particle":"","parse-names":false,"suffix":""},{"dropping-particle":"","family":"Zhang","given":"W","non-dropping-particle":"","parse-names":false,"suffix":""},{"dropping-particle":"","family":"Wang","given":"J","non-dropping-particle":"","parse-names":false,"suffix":""},{"dropping-particle":"","family":"Chen","given":"L","non-dropping-particle":"","parse-names":false,"suffix":""},{"dropping-particle":"","family":"Yang","given":"J","non-dropping-particle":"","parse-names":false,"suffix":""}],"container-title":"J Transl Med","id":"ITEM-1","issue":"1","issued":{"date-parts":[["2017"]]},"note":"Cheng, Hui\nHuang, Chongmei\nXu, Xiaoqian\nHu, Xiaoxia\nGong, Shenglan\nTang, Gusheng\nSong, Xianmin\nZhang, Weiping\nWang, Jianmin\nChen, Li\nYang, Jianmin\neng\nResearch Support, Non-U.S. Gov't\nEngland\n2017/08/31 06:00\nJ Transl Med. 2017 Aug 29;15(1):179. doi: 10.1186/s12967-017-1287-4.","page":"179","title":"PIM-1 mRNA expression is a potential prognostic biomarker in acute myeloid leukemia","type":"article-journal","volume":"15"},"uris":["http://www.mendeley.com/documents/?uuid=81c508a0-0ecf-419e-8fc7-e91e2d3e75b5","http://www.mendeley.com/documents/?uuid=e933d7a8-3695-49e8-be2a-795fc36eba62"]},{"id":"ITEM-2","itemData":{"DOI":"10.1002/jor.23134","ISBN":"1554-527X (Electronic)\r0736-0266 (Linking)","PMID":"26687194","abstract":"Osteosarcoma is the most prevalent histological form of primary malignant bone tumor. The majority of osteosarcoma patients have limited alternative therapeutic options and metastatic patients generally have a poor prognosis. Proto-oncogene serine/threonine-protein kinase PIM1 is associated with growth and survival of many kinds of tumor cells. However, the role of PIM1 in osteosarcoma remains largely unknown. In this study, we investigated the functional and therapeutic relevance of PIM1 as a putative target in osteosarcoma. We found PIM1 was highly expressed in various osteosarcoma cell lines and in tumor tissues from osteosarcoma patients. Tissue microarray and immunohistochemistry analysis showed that the overall and disease-free survival rate of patients with high levels of PIM1 protein expression were significantly shorter than patients with low levels. High levels of PIM1 were also associated with present metastasis and can be considered as an independent prognostic factor in osteosarcoma patients. Knockdown of PIM1 expression by synthetic siRNA or shRNA greatly inhibited cell growth, migration, and invasion. Moreover, these changes accompanied with down-regulation of anti-apoptotic protein Bcl-2. The similar results were obtained in osteosarcoma cells treated with PIM1 specific inhibitor (SMI-4a). These results suggest that PIM1 kinase is critical for the growth and metastasis of osteosarcoma cells and can be a potential therapeutic target for osteosarcoma treatment. (c) 2015 Orthopaedic Research Society. Published by Wiley Periodicals, Inc. J Orthop Res 34:1185-1194, 2016.","author":[{"dropping-particle":"","family":"Liao","given":"Y","non-dropping-particle":"","parse-names":false,"suffix":""},{"dropping-particle":"","family":"Feng","given":"Y","non-dropping-particle":"","parse-names":false,"suffix":""},{"dropping-particle":"","family":"Shen","given":"J","non-dropping-particle":"","parse-names":false,"suffix":""},{"dropping-particle":"","family":"Gao","given":"Y","non-dropping-particle":"","parse-names":false,"suffix":""},{"dropping-particle":"","family":"Cote","given":"G","non-dropping-particle":"","parse-names":false,"suffix":""},{"dropping-particle":"","family":"Choy","given":"E","non-dropping-particle":"","parse-names":false,"suffix":""},{"dropping-particle":"","family":"Harmon","given":"D","non-dropping-particle":"","parse-names":false,"suffix":""},{"dropping-particle":"","family":"Mankin","given":"H","non-dropping-particle":"","parse-names":false,"suffix":""},{"dropping-particle":"","family":"Hornicek","given":"F","non-dropping-particle":"","parse-names":false,"suffix":""},{"dropping-particle":"","family":"Duan","given":"Z","non-dropping-particle":"","parse-names":false,"suffix":""}],"container-title":"J Orthop Res","id":"ITEM-2","issue":"7","issued":{"date-parts":[["2016"]]},"note":"Liao, Yunfei\nFeng, Yong\nShen, Jacson\nGao, Yan\nCote, Gregory\nChoy, Edwin\nHarmon, David\nMankin, Henry\nHornicek, Francis\nDuan, Zhenfeng\neng\nU01 CA151452/CA/NCI NIH HHS/\nResearch Support, N.I.H., Extramural\nResearch Support, Non-U.S. Gov't\n2015/12/22 06:00\nJ Orthop Res. 2016 Jul;34(7):1185-94. doi: 10.1002/jor.23134. Epub 2015 Dec 31.","page":"1185-1194","title":"Clinical and biological significance of PIM1 kinase in osteosarcoma","type":"article-journal","volume":"34"},"uris":["http://www.mendeley.com/documents/?uuid=4e9b36ac-4443-4e35-9f40-820e5004819f","http://www.mendeley.com/documents/?uuid=b97bf493-906d-4d68-8c57-660e71eccd7b"]},{"id":"ITEM-3","itemData":{"DOI":"10.1158/1535-7163.MCT-05-0146","ISBN":"1535-7163 (Print)\r1535-7163 (Linking)","PMID":"16373702","abstract":"To glean biological differences and similarities of peripheral T-cell lymphoma-not otherwise specified [PTCL-NOS] to diffuse large B-cell lymphoma (DLBCL), a transcriptosome analysis was done on five PTCL-NOS and four DLBCL patients and validated by quantitative real-time reverse transcription-PCR on 10 selected genes. Normal peripheral blood T cells, peripheral blood B cells, and lymph node were used as controls. The resultant gene expression profile delineated distinct \"tumor profile signatures\" for PTCL-NOS and DLBCL. Several highly overexpressed genes in both PTCL-NOS and DLBCL involve the immune network, stroma, angiogenesis, and cell survival cascades that make important contributions to lymphomagenesis. Inflammatory chemokines and their receptors likely play a central role in these complex interrelated pathways: CCL2 and CXCR4 in PTCL-NOS and CCL5 and CCR1 in DLBCL. Highly overexpressed oncogenes unique to PTCL-NOS are SPI1, STK6, alpha-PDGFR, and SH2D1A, whereas in DLBCL they are PIM1, PIM2, LYN, BCL2A1, and RAB13. Oncogenes common to both lymphomas are MAFB, MET, NF-kappaB2, LCK, and LYN. Several tumor suppressors are also down-regulated (TPTE, MGC154, PTCH, ST5, and SUI1). This study illustrates the relevance of tumor-stroma immune trafficking and identified potential novel prognostic markers and targets for therapeutic intervention.","author":[{"dropping-particle":"","family":"Mahadevan","given":"D","non-dropping-particle":"","parse-names":false,"suffix":""},{"dropping-particle":"","family":"Spier","given":"C","non-dropping-particle":"","parse-names":false,"suffix":""},{"dropping-particle":"","family":"Croce","given":"K","non-dropping-particle":"Della","parse-names":false,"suffix":""},{"dropping-particle":"","family":"Miller","given":"S","non-dropping-particle":"","parse-names":false,"suffix":""},{"dropping-particle":"","family":"George","given":"B","non-dropping-particle":"","parse-names":false,"suffix":""},{"dropping-particle":"","family":"Riley","given":"C","non-dropping-particle":"","parse-names":false,"suffix":""},{"dropping-particle":"","family":"Warner","given":"S","non-dropping-particle":"","parse-names":false,"suffix":""},{"dropping-particle":"","family":"Grogan","given":"T M","non-dropping-particle":"","parse-names":false,"suffix":""},{"dropping-particle":"","family":"Miller","given":"T P","non-dropping-particle":"","parse-names":false,"suffix":""}],"container-title":"Mol Cancer Ther","id":"ITEM-3","issue":"12","issued":{"date-parts":[["2005"]]},"note":"Mahadevan, Daruka\nSpier, Catherine\nDella Croce, Kimiko\nMiller, Susan\nGeorge, Benjamin\nRiley, Chris\nWarner, Stephen\nGrogan, Thomas M\nMiller, Thomas P\neng\nCA-32102/CA/NCI NIH HHS/\nResearch Support, N.I.H., Extramural\n2005/12/24 09:00\nMol Cancer Ther. 2005 Dec;4(12):1867-79. doi: 10.1158/1535-7163.MCT-05-0146.","page":"1867-1879","title":"Transcript profiling in peripheral T-cell lymphoma, not otherwise specified, and diffuse large B-cell lymphoma identifies distinct tumor profile signatures","type":"article-journal","volume":"4"},"uris":["http://www.mendeley.com/documents/?uuid=07f66305-ab76-401c-87a4-b2f4f57cf8b9","http://www.mendeley.com/documents/?uuid=b68855d2-bbb0-4509-a485-0a52ddd7730f"]}],"mendeley":{"formattedCitation":"&lt;sup&gt;38–40&lt;/sup&gt;","plainTextFormattedCitation":"38–40","previouslyFormattedCitation":"&lt;sup&gt;38–40&lt;/sup&gt;"},"properties":{"noteIndex":0},"schema":"https://github.com/citation-style-language/schema/raw/master/csl-citation.json"}</w:instrText>
      </w:r>
      <w:r w:rsidR="00A97C97" w:rsidRPr="00E94CA9">
        <w:rPr>
          <w:rFonts w:cs="Arial"/>
          <w:color w:val="000000" w:themeColor="text1"/>
          <w:sz w:val="22"/>
          <w:szCs w:val="22"/>
        </w:rPr>
        <w:fldChar w:fldCharType="separate"/>
      </w:r>
      <w:r w:rsidR="00542124" w:rsidRPr="00E94CA9">
        <w:rPr>
          <w:rFonts w:cs="Arial"/>
          <w:noProof/>
          <w:color w:val="000000" w:themeColor="text1"/>
          <w:sz w:val="22"/>
          <w:szCs w:val="22"/>
          <w:vertAlign w:val="superscript"/>
        </w:rPr>
        <w:t>38–40</w:t>
      </w:r>
      <w:r w:rsidR="00A97C97" w:rsidRPr="00E94CA9">
        <w:rPr>
          <w:rFonts w:cs="Arial"/>
          <w:color w:val="000000" w:themeColor="text1"/>
          <w:sz w:val="22"/>
          <w:szCs w:val="22"/>
        </w:rPr>
        <w:fldChar w:fldCharType="end"/>
      </w:r>
      <w:r w:rsidRPr="00E94CA9">
        <w:rPr>
          <w:rFonts w:cs="Arial"/>
          <w:color w:val="000000" w:themeColor="text1"/>
          <w:sz w:val="22"/>
          <w:szCs w:val="22"/>
        </w:rPr>
        <w:fldChar w:fldCharType="begin"/>
      </w:r>
      <w:r w:rsidRPr="00E94CA9">
        <w:rPr>
          <w:rFonts w:cs="Arial"/>
          <w:color w:val="000000" w:themeColor="text1"/>
          <w:sz w:val="22"/>
          <w:szCs w:val="22"/>
        </w:rPr>
        <w:instrText>ADDIN EN.CITE</w:instrText>
      </w:r>
      <w:r w:rsidRPr="00E94CA9">
        <w:rPr>
          <w:rFonts w:cs="Arial"/>
          <w:color w:val="000000" w:themeColor="text1"/>
          <w:sz w:val="22"/>
          <w:szCs w:val="22"/>
        </w:rPr>
        <w:fldChar w:fldCharType="end"/>
      </w:r>
      <w:r w:rsidRPr="00E94CA9">
        <w:rPr>
          <w:rFonts w:cs="Arial"/>
          <w:color w:val="000000" w:themeColor="text1"/>
          <w:sz w:val="22"/>
          <w:szCs w:val="22"/>
        </w:rPr>
        <w:t xml:space="preserve">, </w:t>
      </w:r>
      <w:r w:rsidR="00793BE2" w:rsidRPr="00FC4336">
        <w:rPr>
          <w:rFonts w:cs="Arial"/>
          <w:sz w:val="22"/>
          <w:szCs w:val="22"/>
        </w:rPr>
        <w:t xml:space="preserve">and that recently </w:t>
      </w:r>
      <w:proofErr w:type="spellStart"/>
      <w:r w:rsidR="00793BE2" w:rsidRPr="00FC4336">
        <w:rPr>
          <w:rFonts w:cs="Arial"/>
          <w:sz w:val="22"/>
          <w:szCs w:val="22"/>
        </w:rPr>
        <w:t>Brunen</w:t>
      </w:r>
      <w:proofErr w:type="spellEnd"/>
      <w:r w:rsidR="00793BE2" w:rsidRPr="00FC4336">
        <w:rPr>
          <w:rFonts w:cs="Arial"/>
          <w:sz w:val="22"/>
          <w:szCs w:val="22"/>
        </w:rPr>
        <w:t xml:space="preserve"> </w:t>
      </w:r>
      <w:r w:rsidR="00793BE2" w:rsidRPr="00FC4336">
        <w:rPr>
          <w:rFonts w:cs="Arial"/>
          <w:i/>
          <w:sz w:val="22"/>
          <w:szCs w:val="22"/>
        </w:rPr>
        <w:t>et al</w:t>
      </w:r>
      <w:r w:rsidR="00793BE2" w:rsidRPr="00FC4336">
        <w:rPr>
          <w:rFonts w:cs="Arial"/>
          <w:sz w:val="22"/>
          <w:szCs w:val="22"/>
        </w:rPr>
        <w:t>.</w:t>
      </w:r>
      <w:r w:rsidR="00793BE2" w:rsidRPr="00FC4336">
        <w:rPr>
          <w:rFonts w:cs="Arial"/>
          <w:sz w:val="22"/>
          <w:szCs w:val="22"/>
        </w:rPr>
        <w:fldChar w:fldCharType="begin" w:fldLock="1"/>
      </w:r>
      <w:r w:rsidR="00394C69" w:rsidRPr="00FC4336">
        <w:rPr>
          <w:rFonts w:cs="Arial"/>
          <w:sz w:val="22"/>
          <w:szCs w:val="22"/>
        </w:rPr>
        <w:instrText>ADDIN CSL_CITATION {"citationItems":[{"id":"ITEM-1","itemData":{"DOI":"10.1158/1535-7163.MCT-17-0868","ISBN":"1538-8514 (Electronic)\r1535-7163 (Linking)","PMID":"29440296","abstract":"The majority of high-risk neuroblastoma patients are refractory to, or relapse on, current treatment regimens, resulting in 5-year survival rates of less than 50%. This emphasizes the urgent need to identify novel therapeutic targets. Here, we report that high PIM kinase expression is correlated with poor overall survival. Treatment of neuroblastoma cell lines with the pan-PIM inhibitors AZD1208 or PIM-447 suppressed proliferation through inhibition of mTOR signaling. In a panel of neuroblastoma cell lines, we observed a marked binary response to PIM inhibition, suggesting that specific genetic lesions control responses to PIM inhibition. Using a genome-wide CRISPR-Cas9 genetic screen, we identified NF1 loss as the major resistance mechanism to PIM kinase inhibitors. Treatment with AZD1208 impaired the growth of NF1 wild-type xenografts, while NF1 knockout cells were insensitive. Thus, our data indicate that PIM inhibition may be a novel targeted therapy in NF1 wild-type neuroblastoma. Mol Cancer Ther; 17(4); 849-57. (c)2018 AACR.","author":[{"dropping-particle":"","family":"Brunen","given":"D","non-dropping-particle":"","parse-names":false,"suffix":""},{"dropping-particle":"","family":"Vries","given":"R C","non-dropping-particle":"de","parse-names":false,"suffix":""},{"dropping-particle":"","family":"Lieftink","given":"C","non-dropping-particle":"","parse-names":false,"suffix":""},{"dropping-particle":"","family":"Beijersbergen","given":"R L","non-dropping-particle":"","parse-names":false,"suffix":""},{"dropping-particle":"","family":"Bernards","given":"R","non-dropping-particle":"","parse-names":false,"suffix":""}],"container-title":"Mol Cancer Ther","id":"ITEM-1","issue":"4","issued":{"date-parts":[["2018"]]},"note":"Brunen, Diede\nde Vries, Romy C\nLieftink, Cor\nBeijersbergen, Roderick L\nBernards, Rene\neng\n2018/02/15 06:00\nMol Cancer Ther. 2018 Apr;17(4):849-857. doi: 10.1158/1535-7163.MCT-17-0868. Epub 2018 Feb 13.","page":"849-857","title":"PIM Kinases Are a Potential Prognostic Biomarker and Therapeutic Target in Neuroblastoma","type":"article-journal","volume":"17"},"uris":["http://www.mendeley.com/documents/?uuid=43d9b149-0cac-4dde-bc4e-8da8f2471bc5","http://www.mendeley.com/documents/?uuid=2a3df6fe-c089-41b6-8e0b-c84ed7582a68"]}],"mendeley":{"formattedCitation":"&lt;sup&gt;41&lt;/sup&gt;","plainTextFormattedCitation":"41","previouslyFormattedCitation":"&lt;sup&gt;41&lt;/sup&gt;"},"properties":{"noteIndex":0},"schema":"https://github.com/citation-style-language/schema/raw/master/csl-citation.json"}</w:instrText>
      </w:r>
      <w:r w:rsidR="00793BE2" w:rsidRPr="00FC4336">
        <w:rPr>
          <w:rFonts w:cs="Arial"/>
          <w:sz w:val="22"/>
          <w:szCs w:val="22"/>
        </w:rPr>
        <w:fldChar w:fldCharType="separate"/>
      </w:r>
      <w:r w:rsidR="00793BE2" w:rsidRPr="00FC4336">
        <w:rPr>
          <w:rFonts w:cs="Arial"/>
          <w:noProof/>
          <w:sz w:val="22"/>
          <w:szCs w:val="22"/>
          <w:vertAlign w:val="superscript"/>
        </w:rPr>
        <w:t>41</w:t>
      </w:r>
      <w:r w:rsidR="00793BE2" w:rsidRPr="00FC4336">
        <w:rPr>
          <w:rFonts w:cs="Arial"/>
          <w:sz w:val="22"/>
          <w:szCs w:val="22"/>
        </w:rPr>
        <w:fldChar w:fldCharType="end"/>
      </w:r>
      <w:r w:rsidR="00793BE2" w:rsidRPr="00FC4336">
        <w:rPr>
          <w:rFonts w:cs="Arial"/>
          <w:sz w:val="22"/>
          <w:szCs w:val="22"/>
        </w:rPr>
        <w:t xml:space="preserve"> identified PIM kinases as potential therapeutic targets in </w:t>
      </w:r>
      <w:r w:rsidR="00793BE2" w:rsidRPr="00FC4336">
        <w:rPr>
          <w:rFonts w:cs="Arial"/>
          <w:i/>
          <w:sz w:val="22"/>
          <w:szCs w:val="22"/>
        </w:rPr>
        <w:t>NF1</w:t>
      </w:r>
      <w:r w:rsidR="00793BE2" w:rsidRPr="00FC4336">
        <w:rPr>
          <w:rFonts w:cs="Arial"/>
          <w:sz w:val="22"/>
          <w:szCs w:val="22"/>
        </w:rPr>
        <w:t xml:space="preserve"> wild-type NB, </w:t>
      </w:r>
      <w:r w:rsidRPr="00FC4336">
        <w:rPr>
          <w:rFonts w:cs="Arial"/>
          <w:sz w:val="22"/>
          <w:szCs w:val="22"/>
        </w:rPr>
        <w:t xml:space="preserve">this gene was explored further. </w:t>
      </w:r>
    </w:p>
    <w:p w14:paraId="50005348" w14:textId="17D1DE4F" w:rsidR="00C830A4" w:rsidRPr="00E94CA9" w:rsidRDefault="005033EF" w:rsidP="00C830A4">
      <w:pPr>
        <w:spacing w:line="360" w:lineRule="auto"/>
        <w:ind w:firstLine="284"/>
        <w:jc w:val="both"/>
        <w:rPr>
          <w:rFonts w:cs="Arial"/>
          <w:color w:val="4472C4" w:themeColor="accent1"/>
          <w:sz w:val="22"/>
          <w:szCs w:val="22"/>
        </w:rPr>
      </w:pPr>
      <w:r w:rsidRPr="00E94CA9">
        <w:rPr>
          <w:rFonts w:cs="Arial"/>
          <w:color w:val="000000" w:themeColor="text1"/>
          <w:sz w:val="22"/>
          <w:szCs w:val="22"/>
        </w:rPr>
        <w:t>In support of PIM1 as a prognostic biomarker, we found its high expression to be significantly associated with worse overall survival (</w:t>
      </w:r>
      <w:r w:rsidRPr="00E94CA9">
        <w:rPr>
          <w:rFonts w:cs="Arial"/>
          <w:i/>
          <w:color w:val="000000" w:themeColor="text1"/>
          <w:sz w:val="22"/>
          <w:szCs w:val="22"/>
        </w:rPr>
        <w:t>p</w:t>
      </w:r>
      <w:r w:rsidRPr="00E94CA9">
        <w:rPr>
          <w:rFonts w:cs="Arial"/>
          <w:color w:val="000000" w:themeColor="text1"/>
          <w:sz w:val="22"/>
          <w:szCs w:val="22"/>
        </w:rPr>
        <w:t xml:space="preserve"> &lt; 0.001</w:t>
      </w:r>
      <w:r w:rsidR="00BC69A8">
        <w:rPr>
          <w:rFonts w:cs="Arial"/>
          <w:color w:val="000000" w:themeColor="text1"/>
          <w:sz w:val="22"/>
          <w:szCs w:val="22"/>
        </w:rPr>
        <w:t xml:space="preserve">, </w:t>
      </w:r>
      <w:r w:rsidR="00BC69A8" w:rsidRPr="00BC69A8">
        <w:rPr>
          <w:rFonts w:cs="Arial"/>
          <w:sz w:val="22"/>
          <w:szCs w:val="22"/>
        </w:rPr>
        <w:t>Bonferroni-corrected, Log-rank test</w:t>
      </w:r>
      <w:r w:rsidRPr="00E94CA9">
        <w:rPr>
          <w:rFonts w:cs="Arial"/>
          <w:color w:val="000000" w:themeColor="text1"/>
          <w:sz w:val="22"/>
          <w:szCs w:val="22"/>
        </w:rPr>
        <w:t>) in an independent cohort of NB patients (</w:t>
      </w:r>
      <w:r w:rsidRPr="00E94CA9">
        <w:rPr>
          <w:rFonts w:cs="Arial"/>
          <w:i/>
          <w:color w:val="000000" w:themeColor="text1"/>
          <w:sz w:val="22"/>
          <w:szCs w:val="22"/>
        </w:rPr>
        <w:t>n</w:t>
      </w:r>
      <w:r w:rsidRPr="00E94CA9">
        <w:rPr>
          <w:rFonts w:cs="Arial"/>
          <w:color w:val="000000" w:themeColor="text1"/>
          <w:sz w:val="22"/>
          <w:szCs w:val="22"/>
        </w:rPr>
        <w:t xml:space="preserve"> = 498) (Supplementary </w:t>
      </w:r>
      <w:r w:rsidR="00771E27">
        <w:rPr>
          <w:rFonts w:cs="Arial"/>
          <w:color w:val="000000" w:themeColor="text1"/>
          <w:sz w:val="22"/>
          <w:szCs w:val="22"/>
        </w:rPr>
        <w:t>Fig.</w:t>
      </w:r>
      <w:r w:rsidRPr="00E94CA9">
        <w:rPr>
          <w:rFonts w:cs="Arial"/>
          <w:color w:val="000000" w:themeColor="text1"/>
          <w:sz w:val="22"/>
          <w:szCs w:val="22"/>
        </w:rPr>
        <w:t xml:space="preserve"> 5</w:t>
      </w:r>
      <w:r w:rsidR="0011772D" w:rsidRPr="00E94CA9">
        <w:rPr>
          <w:rFonts w:cs="Arial"/>
          <w:color w:val="000000" w:themeColor="text1"/>
          <w:sz w:val="22"/>
          <w:szCs w:val="22"/>
        </w:rPr>
        <w:t>a</w:t>
      </w:r>
      <w:r w:rsidRPr="00E94CA9">
        <w:rPr>
          <w:rFonts w:cs="Arial"/>
          <w:color w:val="000000" w:themeColor="text1"/>
          <w:sz w:val="22"/>
          <w:szCs w:val="22"/>
        </w:rPr>
        <w:t>)</w:t>
      </w:r>
      <w:r w:rsidR="00A97C97" w:rsidRPr="00E94CA9">
        <w:rPr>
          <w:rFonts w:cs="Arial"/>
          <w:color w:val="000000" w:themeColor="text1"/>
          <w:sz w:val="22"/>
          <w:szCs w:val="22"/>
        </w:rPr>
        <w:fldChar w:fldCharType="begin" w:fldLock="1"/>
      </w:r>
      <w:r w:rsidR="004F24F9">
        <w:rPr>
          <w:rFonts w:cs="Arial"/>
          <w:color w:val="000000" w:themeColor="text1"/>
          <w:sz w:val="22"/>
          <w:szCs w:val="22"/>
        </w:rPr>
        <w:instrText>ADDIN CSL_CITATION {"citationItems":[{"id":"ITEM-1","itemData":{"DOI":"10.1186/s13059-015-0694-1","ISBN":"1474-760X (Electronic)\r1474-7596 (Linking)","PMID":"26109056","abstract":"BACKGROUND: Gene expression profiling is being widely applied in cancer research to identify biomarkers for clinical endpoint prediction. Since RNA-seq provides a powerful tool for transcriptome-based applications beyond the limitations of microarrays, we sought to systematically evaluate the performance of RNA-seq-based and microarray-based classifiers in this MAQC-III/SEQC study for clinical endpoint prediction using neuroblastoma as a model. RESULTS: We generate gene expression profiles from 498 primary neuroblastomas using both RNA-seq and 44 k microarrays. Characterization of the neuroblastoma transcriptome by RNA-seq reveals that more than 48,000 genes and 200,000 transcripts are being expressed in this malignancy. We also find that RNA-seq provides much more detailed information on specific transcript expression patterns in clinico-genetic neuroblastoma subgroups than microarrays. To systematically compare the power of RNA-seq and microarray-based models in predicting clinical endpoints, we divide the cohort randomly into training and validation sets and develop 360 predictive models on six clinical endpoints of varying predictability. Evaluation of factors potentially affecting model performances reveals that prediction accuracies are most strongly influenced by the nature of the clinical endpoint, whereas technological platforms (RNA-seq vs. microarrays), RNA-seq data analysis pipelines, and feature levels (gene vs. transcript vs. exon-junction level) do not significantly affect performances of the models. CONCLUSIONS: We demonstrate that RNA-seq outperforms microarrays in determining the transcriptomic characteristics of cancer, while RNA-seq and microarray-based models perform similarly in clinical endpoint prediction. Our findings may be valuable to guide future studies on the development of gene expression-based predictive models and their implementation in clinical practice.","author":[{"dropping-particle":"","family":"Zhang","given":"W","non-dropping-particle":"","parse-names":false,"suffix":""},{"dropping-particle":"","family":"Yu","given":"Y","non-dropping-particle":"","parse-names":false,"suffix":""},{"dropping-particle":"","family":"Hertwig","given":"F","non-dropping-particle":"","parse-names":false,"suffix":""},{"dropping-particle":"","family":"Thierry-Mieg","given":"J","non-dropping-particle":"","parse-names":false,"suffix":""},{"dropping-particle":"","family":"Zhang","given":"W","non-dropping-particle":"","parse-names":false,"suffix":""},{"dropping-particle":"","family":"Thierry-Mieg","given":"D","non-dropping-particle":"","parse-names":false,"suffix":""},{"dropping-particle":"","family":"Wang","given":"J","non-dropping-particle":"","parse-names":false,"suffix":""},{"dropping-particle":"","family":"Furlanello","given":"C","non-dropping-particle":"","parse-names":false,"suffix":""},{"dropping-particle":"","family":"Devanarayan","given":"V","non-dropping-particle":"","parse-names":false,"suffix":""},{"dropping-particle":"","family":"Cheng","given":"J","non-dropping-particle":"","parse-names":false,"suffix":""},{"dropping-particle":"","family":"Deng","given":"Y","non-dropping-particle":"","parse-names":false,"suffix":""},{"dropping-particle":"","family":"Hero","given":"B","non-dropping-particle":"","parse-names":false,"suffix":""},{"dropping-particle":"","family":"Hong","given":"H","non-dropping-particle":"","parse-names":false,"suffix":""},{"dropping-particle":"","family":"Jia","given":"M","non-dropping-particle":"","parse-names":false,"suffix":""},{"dropping-particle":"","family":"Li","given":"L","non-dropping-particle":"","parse-names":false,"suffix":""},{"dropping-particle":"","family":"Lin","given":"S M","non-dropping-particle":"","parse-names":false,"suffix":""},{"dropping-particle":"","family":"Nikolsky","given":"Y","non-dropping-particle":"","parse-names":false,"suffix":""},{"dropping-particle":"","family":"Oberthuer","given":"A","non-dropping-particle":"","parse-names":false,"suffix":""},{"dropping-particle":"","family":"Qing","given":"T","non-dropping-particle":"","parse-names":false,"suffix":""},{"dropping-particle":"","family":"Su","given":"Z","non-dropping-particle":"","parse-names":false,"suffix":""},{"dropping-particle":"","family":"Volland","given":"R","non-dropping-particle":"","parse-names":false,"suffix":""},{"dropping-particle":"","family":"Wang","given":"C","non-dropping-particle":"","parse-names":false,"suffix":""},{"dropping-particle":"","family":"Wang","given":"M D","non-dropping-particle":"","parse-names":false,"suffix":""},{"dropping-particle":"","family":"Ai","given":"J","non-dropping-particle":"","parse-names":false,"suffix":""},{"dropping-particle":"","family":"Albanese","given":"D","non-dropping-particle":"","parse-names":false,"suffix":""},{"dropping-particle":"","family":"Asgharzadeh","given":"S","non-dropping-particle":"","parse-names":false,"suffix":""},{"dropping-particle":"","family":"Avigad","given":"S","non-dropping-particle":"","parse-names":false,"suffix":""},{"dropping-particle":"","family":"Bao","given":"W","non-dropping-particle":"","parse-names":false,"suffix":""},{"dropping-particle":"","family":"Bessarabova","given":"M","non-dropping-particle":"","parse-names":false,"suffix":""},{"dropping-particle":"","family":"Brilliant","given":"M H","non-dropping-particle":"","parse-names":false,"suffix":""},{"dropping-particle":"","family":"Brors","given":"B","non-dropping-particle":"","parse-names":false,"suffix":""},{"dropping-particle":"","family":"Chierici","given":"M","non-dropping-particle":"","parse-names":false,"suffix":""},{"dropping-particle":"","family":"Chu","given":"T M","non-dropping-particle":"","parse-names":false,"suffix":""},{"dropping-particle":"","family":"Zhang","given":"J","non-dropping-particle":"","parse-names":false,"suffix":""},{"dropping-particle":"","family":"Grundy","given":"R G","non-dropping-particle":"","parse-names":false,"suffix":""},{"dropping-particle":"","family":"He","given":"M M","non-dropping-particle":"","parse-names":false,"suffix":""},{"dropping-particle":"","family":"Hebbring","given":"S","non-dropping-particle":"","parse-names":false,"suffix":""},{"dropping-particle":"","family":"Kaufman","given":"H L","non-dropping-particle":"","parse-names":false,"suffix":""},{"dropping-particle":"","family":"Lababidi","given":"S","non-dropping-particle":"","parse-names":false,"suffix":""},{"dropping-particle":"","family":"Lancashire","given":"L J","non-dropping-particle":"","parse-names":false,"suffix":""},{"dropping-particle":"","family":"Li","given":"Y","non-dropping-particle":"","parse-names":false,"suffix":""},{"dropping-particle":"","family":"Lu","given":"X X","non-dropping-particle":"","parse-names":false,"suffix":""},{"dropping-particle":"","family":"Luo","given":"H","non-dropping-particle":"","parse-names":false,"suffix":""},{"dropping-particle":"","family":"Ma","given":"X","non-dropping-particle":"","parse-names":false,"suffix":""},{"dropping-particle":"","family":"Ning","given":"B","non-dropping-particle":"","parse-names":false,"suffix":""},{"dropping-particle":"","family":"Noguera","given":"R","non-dropping-particle":"","parse-names":false,"suffix":""},{"dropping-particle":"","family":"Peifer","given":"M","non-dropping-particle":"","parse-names":false,"suffix":""},{"dropping-particle":"","family":"Phan","given":"J H","non-dropping-particle":"","parse-names":false,"suffix":""},{"dropping-particle":"","family":"Roels","given":"F","non-dropping-particle":"","parse-names":false,"suffix":""},{"dropping-particle":"","family":"Rosswog","given":"C","non-dropping-particle":"","parse-names":false,"suffix":""},{"dropping-particle":"","family":"Shao","given":"S","non-dropping-particle":"","parse-names":false,"suffix":""},{"dropping-particle":"","family":"Shen","given":"J","non-dropping-particle":"","parse-names":false,"suffix":""},{"dropping-particle":"","family":"Theissen","given":"J","non-dropping-particle":"","parse-names":false,"suffix":""},{"dropping-particle":"","family":"Tonini","given":"G P","non-dropping-particle":"","parse-names":false,"suffix":""},{"dropping-particle":"","family":"Vandesompele","given":"J","non-dropping-particle":"","parse-names":false,"suffix":""},{"dropping-particle":"","family":"Wu","given":"P Y","non-dropping-particle":"","parse-names":false,"suffix":""},{"dropping-particle":"","family":"Xiao","given":"W","non-dropping-particle":"","parse-names":false,"suffix":""},{"dropping-particle":"","family":"Xu","given":"J","non-dropping-particle":"","parse-names":false,"suffix":""},{"dropping-particle":"","family":"Xu","given":"W","non-dropping-particle":"","parse-names":false,"suffix":""},{"dropping-particle":"","family":"Xuan","given":"J","non-dropping-particle":"","parse-names":false,"suffix":""},{"dropping-particle":"","family":"Yang","given":"Y","non-dropping-particle":"","parse-names":false,"suffix":""},{"dropping-particle":"","family":"Ye","given":"Z","non-dropping-particle":"","parse-names":false,"suffix":""},{"dropping-particle":"","family":"Dong","given":"Z","non-dropping-particle":"","parse-names":false,"suffix":""},{"dropping-particle":"","family":"Zhang","given":"K K","non-dropping-particle":"","parse-names":false,"suffix":""},{"dropping-particle":"","family":"Yin","given":"Y","non-dropping-particle":"","parse-names":false,"suffix":""},{"dropping-particle":"","family":"Zhao","given":"C","non-dropping-particle":"","parse-names":false,"suffix":""},{"dropping-particle":"","family":"Zheng","given":"Y","non-dropping-particle":"","parse-names":false,"suffix":""},{"dropping-particle":"","family":"Wolfinger","given":"R D","non-dropping-particle":"","parse-names":false,"suffix":""},{"dropping-particle":"","family":"Shi","given":"T","non-dropping-particle":"","parse-names":false,"suffix":""},{"dropping-particle":"","family":"Malkas","given":"L H","non-dropping-particle":"","parse-names":false,"suffix":""},{"dropping-particle":"","family":"Berthold","given":"F","non-dropping-particle":"","parse-names":false,"suffix":""},{"dropping-particle":"","family":"Wang","given":"J","non-dropping-particle":"","parse-names":false,"suffix":""},{"dropping-particle":"","family":"Tong","given":"W","non-dropping-particle":"","parse-names":false,"suffix":""},{"dropping-particle":"","family":"Shi","given":"L","non-dropping-particle":"","parse-names":false,"suffix":""},{"dropping-particle":"","family":"Peng","given":"Z","non-dropping-particle":"","parse-names":false,"suffix":""},{"dropping-particle":"","family":"Fischer","given":"M","non-dropping-particle":"","parse-names":false,"suffix":""}],"container-title":"Genome Biol","id":"ITEM-1","issued":{"date-parts":[["2015"]]},"note":"Zhang, Wenqian\nYu, Ying\nHertwig, Falk\nThierry-Mieg, Jean\nZhang, Wenwei\nThierry-Mieg, Danielle\nWang, Jian\nFurlanello, Cesare\nDevanarayan, Viswanath\nCheng, Jie\nDeng, Youping\nHero, Barbara\nHong, Huixiao\nJia, Meiwen\nLi, Li\nLin, Simon M\nNikolsky, Yuri\nOberthuer, Andre\nQing, Tao\nSu, Zhenqiang\nVolland, Ruth\nWang, Charles\nWang, May D\nAi, Junmei\nAlbanese, Davide\nAsgharzadeh, Shahab\nAvigad, Smadar\nBao, Wenjun\nBessarabova, Marina\nBrilliant, Murray H\nBrors, Benedikt\nChierici, Marco\nChu, Tzu-Ming\nZhang, Jibin\nGrundy, Richard G\nHe, Min Max\nHebbring, Scott\nKaufman, Howard L\nLababidi, Samir\nLancashire, Lee J\nLi, Yan\nLu, Xin X\nLuo, Heng\nMa, Xiwen\nNing, Baitang\nNoguera, Rosa\nPeifer, Martin\nPhan, John H\nRoels, Frederik\nRosswog, Carolina\nShao, Susan\nShen, Jie\nTheissen, Jessica\nTonini, Gian Paolo\nVandesompele, Jo\nWu, Po-Yen\nXiao, Wenzhong\nXu, Joshua\nXu, Weihong\nXuan, Jiekun\nYang, Yong\nYe, Zhan\nDong, Zirui\nZhang, Ke K\nYin, Ye\nZhao, Chen\nZheng, Yuanting\nWolfinger, Russell D\nShi, Tieliu\nMalkas, Linda H\nBerthold, Frank\nWang, Jun\nTong, Weida\nShi, Leming\nPeng, Zhiyu\nFischer, Matthias\neng\nR01 CA163256/CA/NCI NIH HHS/\nP01 HG000205/HG/NHGRI NIH HHS/\nU54CA119338/CA/NCI NIH HHS/\nR21 AA020104/AA/NIAAA NIH HHS/\nU54 CA119338/CA/NCI NIH HHS/\nR01CA163256/CA/NCI NIH HHS/\n1RC2CA148265/CA/NCI NIH HHS/\nRC2 CA148265/CA/NCI NIH HHS/\nComparative Study\nEvaluation Studies\nResearch Support, N.I.H., Extramural\nResearch Support, Non-U.S. Gov't\nEngland\n2015/06/26 06:00\nGenome Biol. 2015 Jun 25;16:133. doi: 10.1186/s13059-015-0694-1.","page":"133","title":"Comparison of RNA-seq and microarray-based models for clinical endpoint prediction","type":"article-journal","volume":"16"},"uris":["http://www.mendeley.com/documents/?uuid=21379eb8-c072-4ca1-ad40-8700f4f3f313","http://www.mendeley.com/documents/?uuid=b90344df-6c83-4299-930b-b95bae1ef47c"]}],"mendeley":{"formattedCitation":"&lt;sup&gt;28&lt;/sup&gt;","plainTextFormattedCitation":"28","previouslyFormattedCitation":"&lt;sup&gt;28&lt;/sup&gt;"},"properties":{"noteIndex":0},"schema":"https://github.com/citation-style-language/schema/raw/master/csl-citation.json"}</w:instrText>
      </w:r>
      <w:r w:rsidR="00A97C97" w:rsidRPr="00E94CA9">
        <w:rPr>
          <w:rFonts w:cs="Arial"/>
          <w:color w:val="000000" w:themeColor="text1"/>
          <w:sz w:val="22"/>
          <w:szCs w:val="22"/>
        </w:rPr>
        <w:fldChar w:fldCharType="separate"/>
      </w:r>
      <w:r w:rsidR="00394C69" w:rsidRPr="00394C69">
        <w:rPr>
          <w:rFonts w:cs="Arial"/>
          <w:noProof/>
          <w:color w:val="000000" w:themeColor="text1"/>
          <w:sz w:val="22"/>
          <w:szCs w:val="22"/>
          <w:vertAlign w:val="superscript"/>
        </w:rPr>
        <w:t>28</w:t>
      </w:r>
      <w:r w:rsidR="00A97C97" w:rsidRPr="00E94CA9">
        <w:rPr>
          <w:rFonts w:cs="Arial"/>
          <w:color w:val="000000" w:themeColor="text1"/>
          <w:sz w:val="22"/>
          <w:szCs w:val="22"/>
        </w:rPr>
        <w:fldChar w:fldCharType="end"/>
      </w:r>
      <w:r w:rsidRPr="00E94CA9">
        <w:rPr>
          <w:rFonts w:cs="Arial"/>
          <w:color w:val="000000" w:themeColor="text1"/>
          <w:sz w:val="22"/>
          <w:szCs w:val="22"/>
        </w:rPr>
        <w:t xml:space="preserve">. Interestingly, </w:t>
      </w:r>
      <w:r w:rsidRPr="00E94CA9">
        <w:rPr>
          <w:rFonts w:cs="Arial"/>
          <w:i/>
          <w:color w:val="000000" w:themeColor="text1"/>
          <w:sz w:val="22"/>
          <w:szCs w:val="22"/>
        </w:rPr>
        <w:t>PIM1</w:t>
      </w:r>
      <w:r w:rsidRPr="00E94CA9">
        <w:rPr>
          <w:rFonts w:cs="Arial"/>
          <w:color w:val="000000" w:themeColor="text1"/>
          <w:sz w:val="22"/>
          <w:szCs w:val="22"/>
        </w:rPr>
        <w:t xml:space="preserve"> transcript level serves as a prognostic biomarker independent of </w:t>
      </w:r>
      <w:r w:rsidRPr="00E94CA9">
        <w:rPr>
          <w:rFonts w:cs="Arial"/>
          <w:i/>
          <w:color w:val="000000" w:themeColor="text1"/>
          <w:sz w:val="22"/>
          <w:szCs w:val="22"/>
        </w:rPr>
        <w:t>MYCN</w:t>
      </w:r>
      <w:r w:rsidRPr="00E94CA9">
        <w:rPr>
          <w:rFonts w:cs="Arial"/>
          <w:color w:val="000000" w:themeColor="text1"/>
          <w:sz w:val="22"/>
          <w:szCs w:val="22"/>
        </w:rPr>
        <w:t xml:space="preserve"> status in this cohort (Supplementary </w:t>
      </w:r>
      <w:r w:rsidR="00771E27">
        <w:rPr>
          <w:rFonts w:cs="Arial"/>
          <w:color w:val="000000" w:themeColor="text1"/>
          <w:sz w:val="22"/>
          <w:szCs w:val="22"/>
        </w:rPr>
        <w:t>Fig.</w:t>
      </w:r>
      <w:r w:rsidRPr="00E94CA9">
        <w:rPr>
          <w:rFonts w:cs="Arial"/>
          <w:color w:val="000000" w:themeColor="text1"/>
          <w:sz w:val="22"/>
          <w:szCs w:val="22"/>
        </w:rPr>
        <w:t xml:space="preserve"> 5</w:t>
      </w:r>
      <w:r w:rsidR="00455964" w:rsidRPr="00E94CA9">
        <w:rPr>
          <w:rFonts w:cs="Arial"/>
          <w:color w:val="000000" w:themeColor="text1"/>
          <w:sz w:val="22"/>
          <w:szCs w:val="22"/>
        </w:rPr>
        <w:t>b-e</w:t>
      </w:r>
      <w:r w:rsidRPr="00E94CA9">
        <w:rPr>
          <w:rFonts w:cs="Arial"/>
          <w:color w:val="000000" w:themeColor="text1"/>
          <w:sz w:val="22"/>
          <w:szCs w:val="22"/>
        </w:rPr>
        <w:t xml:space="preserve">). However, as reported by </w:t>
      </w:r>
      <w:proofErr w:type="spellStart"/>
      <w:r w:rsidRPr="00E94CA9">
        <w:rPr>
          <w:rFonts w:cs="Arial"/>
          <w:color w:val="000000" w:themeColor="text1"/>
          <w:sz w:val="22"/>
          <w:szCs w:val="22"/>
        </w:rPr>
        <w:t>Brunen</w:t>
      </w:r>
      <w:proofErr w:type="spellEnd"/>
      <w:r w:rsidRPr="00E94CA9">
        <w:rPr>
          <w:rFonts w:cs="Arial"/>
          <w:color w:val="000000" w:themeColor="text1"/>
          <w:sz w:val="22"/>
          <w:szCs w:val="22"/>
        </w:rPr>
        <w:t xml:space="preserve"> </w:t>
      </w:r>
      <w:r w:rsidRPr="00E94CA9">
        <w:rPr>
          <w:rFonts w:cs="Arial"/>
          <w:i/>
          <w:color w:val="000000" w:themeColor="text1"/>
          <w:sz w:val="22"/>
          <w:szCs w:val="22"/>
        </w:rPr>
        <w:t>et al.</w:t>
      </w:r>
      <w:r w:rsidR="00A97C97" w:rsidRPr="00E94CA9">
        <w:rPr>
          <w:rFonts w:cs="Arial"/>
          <w:i/>
          <w:color w:val="000000" w:themeColor="text1"/>
          <w:sz w:val="22"/>
          <w:szCs w:val="22"/>
        </w:rPr>
        <w:fldChar w:fldCharType="begin" w:fldLock="1"/>
      </w:r>
      <w:r w:rsidR="00394C69">
        <w:rPr>
          <w:rFonts w:cs="Arial"/>
          <w:i/>
          <w:color w:val="000000" w:themeColor="text1"/>
          <w:sz w:val="22"/>
          <w:szCs w:val="22"/>
        </w:rPr>
        <w:instrText>ADDIN CSL_CITATION {"citationItems":[{"id":"ITEM-1","itemData":{"DOI":"10.1158/1535-7163.MCT-17-0868","ISBN":"1538-8514 (Electronic)\r1535-7163 (Linking)","PMID":"29440296","abstract":"The majority of high-risk neuroblastoma patients are refractory to, or relapse on, current treatment regimens, resulting in 5-year survival rates of less than 50%. This emphasizes the urgent need to identify novel therapeutic targets. Here, we report that high PIM kinase expression is correlated with poor overall survival. Treatment of neuroblastoma cell lines with the pan-PIM inhibitors AZD1208 or PIM-447 suppressed proliferation through inhibition of mTOR signaling. In a panel of neuroblastoma cell lines, we observed a marked binary response to PIM inhibition, suggesting that specific genetic lesions control responses to PIM inhibition. Using a genome-wide CRISPR-Cas9 genetic screen, we identified NF1 loss as the major resistance mechanism to PIM kinase inhibitors. Treatment with AZD1208 impaired the growth of NF1 wild-type xenografts, while NF1 knockout cells were insensitive. Thus, our data indicate that PIM inhibition may be a novel targeted therapy in NF1 wild-type neuroblastoma. Mol Cancer Ther; 17(4); 849-57. (c)2018 AACR.","author":[{"dropping-particle":"","family":"Brunen","given":"D","non-dropping-particle":"","parse-names":false,"suffix":""},{"dropping-particle":"","family":"Vries","given":"R C","non-dropping-particle":"de","parse-names":false,"suffix":""},{"dropping-particle":"","family":"Lieftink","given":"C","non-dropping-particle":"","parse-names":false,"suffix":""},{"dropping-particle":"","family":"Beijersbergen","given":"R L","non-dropping-particle":"","parse-names":false,"suffix":""},{"dropping-particle":"","family":"Bernards","given":"R","non-dropping-particle":"","parse-names":false,"suffix":""}],"container-title":"Mol Cancer Ther","id":"ITEM-1","issue":"4","issued":{"date-parts":[["2018"]]},"note":"Brunen, Diede\nde Vries, Romy C\nLieftink, Cor\nBeijersbergen, Roderick L\nBernards, Rene\neng\n2018/02/15 06:00\nMol Cancer Ther. 2018 Apr;17(4):849-857. doi: 10.1158/1535-7163.MCT-17-0868. Epub 2018 Feb 13.","page":"849-857","title":"PIM Kinases Are a Potential Prognostic Biomarker and Therapeutic Target in Neuroblastoma","type":"article-journal","volume":"17"},"uris":["http://www.mendeley.com/documents/?uuid=2a3df6fe-c089-41b6-8e0b-c84ed7582a68","http://www.mendeley.com/documents/?uuid=43d9b149-0cac-4dde-bc4e-8da8f2471bc5"]}],"mendeley":{"formattedCitation":"&lt;sup&gt;41&lt;/sup&gt;","plainTextFormattedCitation":"41","previouslyFormattedCitation":"&lt;sup&gt;41&lt;/sup&gt;"},"properties":{"noteIndex":0},"schema":"https://github.com/citation-style-language/schema/raw/master/csl-citation.json"}</w:instrText>
      </w:r>
      <w:r w:rsidR="00A97C97" w:rsidRPr="00E94CA9">
        <w:rPr>
          <w:rFonts w:cs="Arial"/>
          <w:i/>
          <w:color w:val="000000" w:themeColor="text1"/>
          <w:sz w:val="22"/>
          <w:szCs w:val="22"/>
        </w:rPr>
        <w:fldChar w:fldCharType="separate"/>
      </w:r>
      <w:r w:rsidR="00542124" w:rsidRPr="00E94CA9">
        <w:rPr>
          <w:rFonts w:cs="Arial"/>
          <w:noProof/>
          <w:color w:val="000000" w:themeColor="text1"/>
          <w:sz w:val="22"/>
          <w:szCs w:val="22"/>
          <w:vertAlign w:val="superscript"/>
        </w:rPr>
        <w:t>41</w:t>
      </w:r>
      <w:r w:rsidR="00A97C97" w:rsidRPr="00E94CA9">
        <w:rPr>
          <w:rFonts w:cs="Arial"/>
          <w:i/>
          <w:color w:val="000000" w:themeColor="text1"/>
          <w:sz w:val="22"/>
          <w:szCs w:val="22"/>
        </w:rPr>
        <w:fldChar w:fldCharType="end"/>
      </w:r>
      <w:r w:rsidRPr="00E94CA9">
        <w:rPr>
          <w:rFonts w:cs="Arial"/>
          <w:color w:val="000000" w:themeColor="text1"/>
          <w:sz w:val="22"/>
          <w:szCs w:val="22"/>
        </w:rPr>
        <w:t xml:space="preserve">, we also found </w:t>
      </w:r>
      <w:r w:rsidRPr="00E94CA9">
        <w:rPr>
          <w:rFonts w:cs="Arial"/>
          <w:i/>
          <w:color w:val="000000" w:themeColor="text1"/>
          <w:sz w:val="22"/>
          <w:szCs w:val="22"/>
        </w:rPr>
        <w:t xml:space="preserve">MYCN </w:t>
      </w:r>
      <w:r w:rsidRPr="00E94CA9">
        <w:rPr>
          <w:rFonts w:cs="Arial"/>
          <w:color w:val="000000" w:themeColor="text1"/>
          <w:sz w:val="22"/>
          <w:szCs w:val="22"/>
        </w:rPr>
        <w:t xml:space="preserve">amplification to be a stronger predictor of poor prognosis than </w:t>
      </w:r>
      <w:r w:rsidRPr="00E94CA9">
        <w:rPr>
          <w:rFonts w:cs="Arial"/>
          <w:i/>
          <w:color w:val="000000" w:themeColor="text1"/>
          <w:sz w:val="22"/>
          <w:szCs w:val="22"/>
        </w:rPr>
        <w:t>PIM1</w:t>
      </w:r>
      <w:r w:rsidRPr="00E94CA9">
        <w:rPr>
          <w:rFonts w:cs="Arial"/>
          <w:color w:val="000000" w:themeColor="text1"/>
          <w:sz w:val="22"/>
          <w:szCs w:val="22"/>
        </w:rPr>
        <w:t xml:space="preserve"> (Supplementary </w:t>
      </w:r>
      <w:r w:rsidR="00075125">
        <w:rPr>
          <w:rFonts w:cs="Arial"/>
          <w:color w:val="000000" w:themeColor="text1"/>
          <w:sz w:val="22"/>
          <w:szCs w:val="22"/>
        </w:rPr>
        <w:t xml:space="preserve">Table </w:t>
      </w:r>
      <w:r w:rsidR="00870957">
        <w:rPr>
          <w:rFonts w:cs="Arial"/>
          <w:color w:val="000000" w:themeColor="text1"/>
          <w:sz w:val="22"/>
          <w:szCs w:val="22"/>
        </w:rPr>
        <w:t>4</w:t>
      </w:r>
      <w:r w:rsidRPr="00E94CA9">
        <w:rPr>
          <w:rFonts w:cs="Arial"/>
          <w:color w:val="000000" w:themeColor="text1"/>
          <w:sz w:val="22"/>
          <w:szCs w:val="22"/>
        </w:rPr>
        <w:t xml:space="preserve">). </w:t>
      </w:r>
      <w:r w:rsidR="00C821DA" w:rsidRPr="00E94CA9">
        <w:rPr>
          <w:rFonts w:cs="Arial"/>
          <w:color w:val="000000" w:themeColor="text1"/>
          <w:sz w:val="22"/>
          <w:szCs w:val="22"/>
        </w:rPr>
        <w:t xml:space="preserve">Moreover, </w:t>
      </w:r>
      <w:r w:rsidRPr="00E94CA9">
        <w:rPr>
          <w:rFonts w:cs="Arial"/>
          <w:i/>
          <w:color w:val="000000" w:themeColor="text1"/>
          <w:sz w:val="22"/>
          <w:szCs w:val="22"/>
        </w:rPr>
        <w:t>PIM1</w:t>
      </w:r>
      <w:r w:rsidRPr="00E94CA9">
        <w:rPr>
          <w:rFonts w:cs="Arial"/>
          <w:color w:val="000000" w:themeColor="text1"/>
          <w:sz w:val="22"/>
          <w:szCs w:val="22"/>
        </w:rPr>
        <w:t xml:space="preserve"> expression is significantly elevated in INSS stage 4 disease relative to earlier stages (</w:t>
      </w:r>
      <w:r w:rsidRPr="00E94CA9">
        <w:rPr>
          <w:rFonts w:cs="Arial"/>
          <w:i/>
          <w:color w:val="000000" w:themeColor="text1"/>
          <w:sz w:val="22"/>
          <w:szCs w:val="22"/>
        </w:rPr>
        <w:t>p</w:t>
      </w:r>
      <w:r w:rsidRPr="00E94CA9">
        <w:rPr>
          <w:rFonts w:cs="Arial"/>
          <w:color w:val="000000" w:themeColor="text1"/>
          <w:sz w:val="22"/>
          <w:szCs w:val="22"/>
        </w:rPr>
        <w:t xml:space="preserve"> &lt; 0.</w:t>
      </w:r>
      <w:r w:rsidRPr="00BC69A8">
        <w:rPr>
          <w:rFonts w:cs="Arial"/>
          <w:color w:val="000000" w:themeColor="text1"/>
          <w:sz w:val="22"/>
          <w:szCs w:val="22"/>
        </w:rPr>
        <w:t>005</w:t>
      </w:r>
      <w:r w:rsidR="00BC69A8" w:rsidRPr="00BC69A8">
        <w:rPr>
          <w:rFonts w:cs="Arial"/>
          <w:color w:val="000000" w:themeColor="text1"/>
          <w:sz w:val="22"/>
          <w:szCs w:val="22"/>
        </w:rPr>
        <w:t xml:space="preserve">, </w:t>
      </w:r>
      <w:r w:rsidR="00BC69A8" w:rsidRPr="00BC69A8">
        <w:rPr>
          <w:rFonts w:cs="Arial"/>
          <w:sz w:val="22"/>
          <w:szCs w:val="22"/>
        </w:rPr>
        <w:t>unpaired Student’s t-test</w:t>
      </w:r>
      <w:r w:rsidRPr="00BC69A8">
        <w:rPr>
          <w:rFonts w:cs="Arial"/>
          <w:color w:val="000000" w:themeColor="text1"/>
          <w:sz w:val="22"/>
          <w:szCs w:val="22"/>
        </w:rPr>
        <w:t>) and in patients with high-risk disease (</w:t>
      </w:r>
      <w:r w:rsidRPr="00BC69A8">
        <w:rPr>
          <w:rFonts w:cs="Arial"/>
          <w:i/>
          <w:color w:val="000000" w:themeColor="text1"/>
          <w:sz w:val="22"/>
          <w:szCs w:val="22"/>
        </w:rPr>
        <w:t>p</w:t>
      </w:r>
      <w:r w:rsidRPr="00BC69A8">
        <w:rPr>
          <w:rFonts w:cs="Arial"/>
          <w:color w:val="000000" w:themeColor="text1"/>
          <w:sz w:val="22"/>
          <w:szCs w:val="22"/>
        </w:rPr>
        <w:t xml:space="preserve"> </w:t>
      </w:r>
      <w:r w:rsidRPr="00BC69A8">
        <w:rPr>
          <w:rFonts w:cs="Arial"/>
          <w:i/>
          <w:color w:val="000000" w:themeColor="text1"/>
          <w:sz w:val="22"/>
          <w:szCs w:val="22"/>
        </w:rPr>
        <w:t>&lt;</w:t>
      </w:r>
      <w:r w:rsidRPr="00BC69A8">
        <w:rPr>
          <w:rFonts w:cs="Arial"/>
          <w:color w:val="000000" w:themeColor="text1"/>
          <w:sz w:val="22"/>
          <w:szCs w:val="22"/>
        </w:rPr>
        <w:t xml:space="preserve"> 0.0001</w:t>
      </w:r>
      <w:r w:rsidR="00BC69A8" w:rsidRPr="00BC69A8">
        <w:rPr>
          <w:rFonts w:cs="Arial"/>
          <w:color w:val="000000" w:themeColor="text1"/>
          <w:sz w:val="22"/>
          <w:szCs w:val="22"/>
        </w:rPr>
        <w:t xml:space="preserve">, </w:t>
      </w:r>
      <w:r w:rsidR="00BC69A8" w:rsidRPr="00BC69A8">
        <w:rPr>
          <w:rFonts w:cs="Arial"/>
          <w:sz w:val="22"/>
          <w:szCs w:val="22"/>
        </w:rPr>
        <w:t>unpaired Student’s t-test</w:t>
      </w:r>
      <w:r w:rsidRPr="00E94CA9">
        <w:rPr>
          <w:rFonts w:cs="Arial"/>
          <w:color w:val="000000" w:themeColor="text1"/>
          <w:sz w:val="22"/>
          <w:szCs w:val="22"/>
        </w:rPr>
        <w:t xml:space="preserve">) (Supplementary </w:t>
      </w:r>
      <w:r w:rsidR="00771E27">
        <w:rPr>
          <w:rFonts w:cs="Arial"/>
          <w:color w:val="000000" w:themeColor="text1"/>
          <w:sz w:val="22"/>
          <w:szCs w:val="22"/>
        </w:rPr>
        <w:t>Fig.</w:t>
      </w:r>
      <w:r w:rsidRPr="00E94CA9">
        <w:rPr>
          <w:rFonts w:cs="Arial"/>
          <w:color w:val="000000" w:themeColor="text1"/>
          <w:sz w:val="22"/>
          <w:szCs w:val="22"/>
        </w:rPr>
        <w:t xml:space="preserve"> 5</w:t>
      </w:r>
      <w:r w:rsidR="00075125">
        <w:rPr>
          <w:rFonts w:cs="Arial"/>
          <w:color w:val="000000" w:themeColor="text1"/>
          <w:sz w:val="22"/>
          <w:szCs w:val="22"/>
        </w:rPr>
        <w:t>e</w:t>
      </w:r>
      <w:r w:rsidRPr="00E94CA9">
        <w:rPr>
          <w:rFonts w:cs="Arial"/>
          <w:color w:val="000000" w:themeColor="text1"/>
          <w:sz w:val="22"/>
          <w:szCs w:val="22"/>
        </w:rPr>
        <w:t>,</w:t>
      </w:r>
      <w:r w:rsidR="00CE70BF" w:rsidRPr="00E94CA9">
        <w:rPr>
          <w:rFonts w:cs="Arial"/>
          <w:color w:val="000000" w:themeColor="text1"/>
          <w:sz w:val="22"/>
          <w:szCs w:val="22"/>
        </w:rPr>
        <w:t xml:space="preserve"> </w:t>
      </w:r>
      <w:r w:rsidR="00075125">
        <w:rPr>
          <w:rFonts w:cs="Arial"/>
          <w:color w:val="000000" w:themeColor="text1"/>
          <w:sz w:val="22"/>
          <w:szCs w:val="22"/>
        </w:rPr>
        <w:t>f</w:t>
      </w:r>
      <w:r w:rsidRPr="00E94CA9">
        <w:rPr>
          <w:rFonts w:cs="Arial"/>
          <w:color w:val="000000" w:themeColor="text1"/>
          <w:sz w:val="22"/>
          <w:szCs w:val="22"/>
        </w:rPr>
        <w:t>)</w:t>
      </w:r>
      <w:bookmarkStart w:id="0" w:name="_Hlk13427684"/>
      <w:bookmarkEnd w:id="0"/>
      <w:r w:rsidR="00A97C97" w:rsidRPr="00E94CA9">
        <w:rPr>
          <w:rFonts w:cs="Arial"/>
          <w:color w:val="000000" w:themeColor="text1"/>
          <w:sz w:val="22"/>
          <w:szCs w:val="22"/>
        </w:rPr>
        <w:fldChar w:fldCharType="begin" w:fldLock="1"/>
      </w:r>
      <w:r w:rsidR="004F24F9">
        <w:rPr>
          <w:rFonts w:cs="Arial"/>
          <w:color w:val="000000" w:themeColor="text1"/>
          <w:sz w:val="22"/>
          <w:szCs w:val="22"/>
        </w:rPr>
        <w:instrText>ADDIN CSL_CITATION {"citationItems":[{"id":"ITEM-1","itemData":{"DOI":"10.1186/s13059-015-0694-1","ISBN":"1474-760X (Electronic)\r1474-7596 (Linking)","PMID":"26109056","abstract":"BACKGROUND: Gene expression profiling is being widely applied in cancer research to identify biomarkers for clinical endpoint prediction. Since RNA-seq provides a powerful tool for transcriptome-based applications beyond the limitations of microarrays, we sought to systematically evaluate the performance of RNA-seq-based and microarray-based classifiers in this MAQC-III/SEQC study for clinical endpoint prediction using neuroblastoma as a model. RESULTS: We generate gene expression profiles from 498 primary neuroblastomas using both RNA-seq and 44 k microarrays. Characterization of the neuroblastoma transcriptome by RNA-seq reveals that more than 48,000 genes and 200,000 transcripts are being expressed in this malignancy. We also find that RNA-seq provides much more detailed information on specific transcript expression patterns in clinico-genetic neuroblastoma subgroups than microarrays. To systematically compare the power of RNA-seq and microarray-based models in predicting clinical endpoints, we divide the cohort randomly into training and validation sets and develop 360 predictive models on six clinical endpoints of varying predictability. Evaluation of factors potentially affecting model performances reveals that prediction accuracies are most strongly influenced by the nature of the clinical endpoint, whereas technological platforms (RNA-seq vs. microarrays), RNA-seq data analysis pipelines, and feature levels (gene vs. transcript vs. exon-junction level) do not significantly affect performances of the models. CONCLUSIONS: We demonstrate that RNA-seq outperforms microarrays in determining the transcriptomic characteristics of cancer, while RNA-seq and microarray-based models perform similarly in clinical endpoint prediction. Our findings may be valuable to guide future studies on the development of gene expression-based predictive models and their implementation in clinical practice.","author":[{"dropping-particle":"","family":"Zhang","given":"W","non-dropping-particle":"","parse-names":false,"suffix":""},{"dropping-particle":"","family":"Yu","given":"Y","non-dropping-particle":"","parse-names":false,"suffix":""},{"dropping-particle":"","family":"Hertwig","given":"F","non-dropping-particle":"","parse-names":false,"suffix":""},{"dropping-particle":"","family":"Thierry-Mieg","given":"J","non-dropping-particle":"","parse-names":false,"suffix":""},{"dropping-particle":"","family":"Zhang","given":"W","non-dropping-particle":"","parse-names":false,"suffix":""},{"dropping-particle":"","family":"Thierry-Mieg","given":"D","non-dropping-particle":"","parse-names":false,"suffix":""},{"dropping-particle":"","family":"Wang","given":"J","non-dropping-particle":"","parse-names":false,"suffix":""},{"dropping-particle":"","family":"Furlanello","given":"C","non-dropping-particle":"","parse-names":false,"suffix":""},{"dropping-particle":"","family":"Devanarayan","given":"V","non-dropping-particle":"","parse-names":false,"suffix":""},{"dropping-particle":"","family":"Cheng","given":"J","non-dropping-particle":"","parse-names":false,"suffix":""},{"dropping-particle":"","family":"Deng","given":"Y","non-dropping-particle":"","parse-names":false,"suffix":""},{"dropping-particle":"","family":"Hero","given":"B","non-dropping-particle":"","parse-names":false,"suffix":""},{"dropping-particle":"","family":"Hong","given":"H","non-dropping-particle":"","parse-names":false,"suffix":""},{"dropping-particle":"","family":"Jia","given":"M","non-dropping-particle":"","parse-names":false,"suffix":""},{"dropping-particle":"","family":"Li","given":"L","non-dropping-particle":"","parse-names":false,"suffix":""},{"dropping-particle":"","family":"Lin","given":"S M","non-dropping-particle":"","parse-names":false,"suffix":""},{"dropping-particle":"","family":"Nikolsky","given":"Y","non-dropping-particle":"","parse-names":false,"suffix":""},{"dropping-particle":"","family":"Oberthuer","given":"A","non-dropping-particle":"","parse-names":false,"suffix":""},{"dropping-particle":"","family":"Qing","given":"T","non-dropping-particle":"","parse-names":false,"suffix":""},{"dropping-particle":"","family":"Su","given":"Z","non-dropping-particle":"","parse-names":false,"suffix":""},{"dropping-particle":"","family":"Volland","given":"R","non-dropping-particle":"","parse-names":false,"suffix":""},{"dropping-particle":"","family":"Wang","given":"C","non-dropping-particle":"","parse-names":false,"suffix":""},{"dropping-particle":"","family":"Wang","given":"M D","non-dropping-particle":"","parse-names":false,"suffix":""},{"dropping-particle":"","family":"Ai","given":"J","non-dropping-particle":"","parse-names":false,"suffix":""},{"dropping-particle":"","family":"Albanese","given":"D","non-dropping-particle":"","parse-names":false,"suffix":""},{"dropping-particle":"","family":"Asgharzadeh","given":"S","non-dropping-particle":"","parse-names":false,"suffix":""},{"dropping-particle":"","family":"Avigad","given":"S","non-dropping-particle":"","parse-names":false,"suffix":""},{"dropping-particle":"","family":"Bao","given":"W","non-dropping-particle":"","parse-names":false,"suffix":""},{"dropping-particle":"","family":"Bessarabova","given":"M","non-dropping-particle":"","parse-names":false,"suffix":""},{"dropping-particle":"","family":"Brilliant","given":"M H","non-dropping-particle":"","parse-names":false,"suffix":""},{"dropping-particle":"","family":"Brors","given":"B","non-dropping-particle":"","parse-names":false,"suffix":""},{"dropping-particle":"","family":"Chierici","given":"M","non-dropping-particle":"","parse-names":false,"suffix":""},{"dropping-particle":"","family":"Chu","given":"T M","non-dropping-particle":"","parse-names":false,"suffix":""},{"dropping-particle":"","family":"Zhang","given":"J","non-dropping-particle":"","parse-names":false,"suffix":""},{"dropping-particle":"","family":"Grundy","given":"R G","non-dropping-particle":"","parse-names":false,"suffix":""},{"dropping-particle":"","family":"He","given":"M M","non-dropping-particle":"","parse-names":false,"suffix":""},{"dropping-particle":"","family":"Hebbring","given":"S","non-dropping-particle":"","parse-names":false,"suffix":""},{"dropping-particle":"","family":"Kaufman","given":"H L","non-dropping-particle":"","parse-names":false,"suffix":""},{"dropping-particle":"","family":"Lababidi","given":"S","non-dropping-particle":"","parse-names":false,"suffix":""},{"dropping-particle":"","family":"Lancashire","given":"L J","non-dropping-particle":"","parse-names":false,"suffix":""},{"dropping-particle":"","family":"Li","given":"Y","non-dropping-particle":"","parse-names":false,"suffix":""},{"dropping-particle":"","family":"Lu","given":"X X","non-dropping-particle":"","parse-names":false,"suffix":""},{"dropping-particle":"","family":"Luo","given":"H","non-dropping-particle":"","parse-names":false,"suffix":""},{"dropping-particle":"","family":"Ma","given":"X","non-dropping-particle":"","parse-names":false,"suffix":""},{"dropping-particle":"","family":"Ning","given":"B","non-dropping-particle":"","parse-names":false,"suffix":""},{"dropping-particle":"","family":"Noguera","given":"R","non-dropping-particle":"","parse-names":false,"suffix":""},{"dropping-particle":"","family":"Peifer","given":"M","non-dropping-particle":"","parse-names":false,"suffix":""},{"dropping-particle":"","family":"Phan","given":"J H","non-dropping-particle":"","parse-names":false,"suffix":""},{"dropping-particle":"","family":"Roels","given":"F","non-dropping-particle":"","parse-names":false,"suffix":""},{"dropping-particle":"","family":"Rosswog","given":"C","non-dropping-particle":"","parse-names":false,"suffix":""},{"dropping-particle":"","family":"Shao","given":"S","non-dropping-particle":"","parse-names":false,"suffix":""},{"dropping-particle":"","family":"Shen","given":"J","non-dropping-particle":"","parse-names":false,"suffix":""},{"dropping-particle":"","family":"Theissen","given":"J","non-dropping-particle":"","parse-names":false,"suffix":""},{"dropping-particle":"","family":"Tonini","given":"G P","non-dropping-particle":"","parse-names":false,"suffix":""},{"dropping-particle":"","family":"Vandesompele","given":"J","non-dropping-particle":"","parse-names":false,"suffix":""},{"dropping-particle":"","family":"Wu","given":"P Y","non-dropping-particle":"","parse-names":false,"suffix":""},{"dropping-particle":"","family":"Xiao","given":"W","non-dropping-particle":"","parse-names":false,"suffix":""},{"dropping-particle":"","family":"Xu","given":"J","non-dropping-particle":"","parse-names":false,"suffix":""},{"dropping-particle":"","family":"Xu","given":"W","non-dropping-particle":"","parse-names":false,"suffix":""},{"dropping-particle":"","family":"Xuan","given":"J","non-dropping-particle":"","parse-names":false,"suffix":""},{"dropping-particle":"","family":"Yang","given":"Y","non-dropping-particle":"","parse-names":false,"suffix":""},{"dropping-particle":"","family":"Ye","given":"Z","non-dropping-particle":"","parse-names":false,"suffix":""},{"dropping-particle":"","family":"Dong","given":"Z","non-dropping-particle":"","parse-names":false,"suffix":""},{"dropping-particle":"","family":"Zhang","given":"K K","non-dropping-particle":"","parse-names":false,"suffix":""},{"dropping-particle":"","family":"Yin","given":"Y","non-dropping-particle":"","parse-names":false,"suffix":""},{"dropping-particle":"","family":"Zhao","given":"C","non-dropping-particle":"","parse-names":false,"suffix":""},{"dropping-particle":"","family":"Zheng","given":"Y","non-dropping-particle":"","parse-names":false,"suffix":""},{"dropping-particle":"","family":"Wolfinger","given":"R D","non-dropping-particle":"","parse-names":false,"suffix":""},{"dropping-particle":"","family":"Shi","given":"T","non-dropping-particle":"","parse-names":false,"suffix":""},{"dropping-particle":"","family":"Malkas","given":"L H","non-dropping-particle":"","parse-names":false,"suffix":""},{"dropping-particle":"","family":"Berthold","given":"F","non-dropping-particle":"","parse-names":false,"suffix":""},{"dropping-particle":"","family":"Wang","given":"J","non-dropping-particle":"","parse-names":false,"suffix":""},{"dropping-particle":"","family":"Tong","given":"W","non-dropping-particle":"","parse-names":false,"suffix":""},{"dropping-particle":"","family":"Shi","given":"L","non-dropping-particle":"","parse-names":false,"suffix":""},{"dropping-particle":"","family":"Peng","given":"Z","non-dropping-particle":"","parse-names":false,"suffix":""},{"dropping-particle":"","family":"Fischer","given":"M","non-dropping-particle":"","parse-names":false,"suffix":""}],"container-title":"Genome Biol","id":"ITEM-1","issued":{"date-parts":[["2015"]]},"note":"Zhang, Wenqian\nYu, Ying\nHertwig, Falk\nThierry-Mieg, Jean\nZhang, Wenwei\nThierry-Mieg, Danielle\nWang, Jian\nFurlanello, Cesare\nDevanarayan, Viswanath\nCheng, Jie\nDeng, Youping\nHero, Barbara\nHong, Huixiao\nJia, Meiwen\nLi, Li\nLin, Simon M\nNikolsky, Yuri\nOberthuer, Andre\nQing, Tao\nSu, Zhenqiang\nVolland, Ruth\nWang, Charles\nWang, May D\nAi, Junmei\nAlbanese, Davide\nAsgharzadeh, Shahab\nAvigad, Smadar\nBao, Wenjun\nBessarabova, Marina\nBrilliant, Murray H\nBrors, Benedikt\nChierici, Marco\nChu, Tzu-Ming\nZhang, Jibin\nGrundy, Richard G\nHe, Min Max\nHebbring, Scott\nKaufman, Howard L\nLababidi, Samir\nLancashire, Lee J\nLi, Yan\nLu, Xin X\nLuo, Heng\nMa, Xiwen\nNing, Baitang\nNoguera, Rosa\nPeifer, Martin\nPhan, John H\nRoels, Frederik\nRosswog, Carolina\nShao, Susan\nShen, Jie\nTheissen, Jessica\nTonini, Gian Paolo\nVandesompele, Jo\nWu, Po-Yen\nXiao, Wenzhong\nXu, Joshua\nXu, Weihong\nXuan, Jiekun\nYang, Yong\nYe, Zhan\nDong, Zirui\nZhang, Ke K\nYin, Ye\nZhao, Chen\nZheng, Yuanting\nWolfinger, Russell D\nShi, Tieliu\nMalkas, Linda H\nBerthold, Frank\nWang, Jun\nTong, Weida\nShi, Leming\nPeng, Zhiyu\nFischer, Matthias\neng\nR01 CA163256/CA/NCI NIH HHS/\nP01 HG000205/HG/NHGRI NIH HHS/\nU54CA119338/CA/NCI NIH HHS/\nR21 AA020104/AA/NIAAA NIH HHS/\nU54 CA119338/CA/NCI NIH HHS/\nR01CA163256/CA/NCI NIH HHS/\n1RC2CA148265/CA/NCI NIH HHS/\nRC2 CA148265/CA/NCI NIH HHS/\nComparative Study\nEvaluation Studies\nResearch Support, N.I.H., Extramural\nResearch Support, Non-U.S. Gov't\nEngland\n2015/06/26 06:00\nGenome Biol. 2015 Jun 25;16:133. doi: 10.1186/s13059-015-0694-1.","page":"133","title":"Comparison of RNA-seq and microarray-based models for clinical endpoint prediction","type":"article-journal","volume":"16"},"uris":["http://www.mendeley.com/documents/?uuid=21379eb8-c072-4ca1-ad40-8700f4f3f313","http://www.mendeley.com/documents/?uuid=b90344df-6c83-4299-930b-b95bae1ef47c"]}],"mendeley":{"formattedCitation":"&lt;sup&gt;28&lt;/sup&gt;","plainTextFormattedCitation":"28","previouslyFormattedCitation":"&lt;sup&gt;28&lt;/sup&gt;"},"properties":{"noteIndex":0},"schema":"https://github.com/citation-style-language/schema/raw/master/csl-citation.json"}</w:instrText>
      </w:r>
      <w:r w:rsidR="00A97C97" w:rsidRPr="00E94CA9">
        <w:rPr>
          <w:rFonts w:cs="Arial"/>
          <w:color w:val="000000" w:themeColor="text1"/>
          <w:sz w:val="22"/>
          <w:szCs w:val="22"/>
        </w:rPr>
        <w:fldChar w:fldCharType="separate"/>
      </w:r>
      <w:r w:rsidR="00394C69" w:rsidRPr="00394C69">
        <w:rPr>
          <w:rFonts w:cs="Arial"/>
          <w:noProof/>
          <w:color w:val="000000" w:themeColor="text1"/>
          <w:sz w:val="22"/>
          <w:szCs w:val="22"/>
          <w:vertAlign w:val="superscript"/>
        </w:rPr>
        <w:t>28</w:t>
      </w:r>
      <w:r w:rsidR="00A97C97" w:rsidRPr="00E94CA9">
        <w:rPr>
          <w:rFonts w:cs="Arial"/>
          <w:color w:val="000000" w:themeColor="text1"/>
          <w:sz w:val="22"/>
          <w:szCs w:val="22"/>
        </w:rPr>
        <w:fldChar w:fldCharType="end"/>
      </w:r>
      <w:r w:rsidR="001012AF" w:rsidRPr="00E94CA9">
        <w:rPr>
          <w:rFonts w:cs="Arial"/>
          <w:color w:val="000000" w:themeColor="text1"/>
          <w:sz w:val="22"/>
          <w:szCs w:val="22"/>
        </w:rPr>
        <w:t>.</w:t>
      </w:r>
    </w:p>
    <w:p w14:paraId="4FE1FFBA" w14:textId="77777777" w:rsidR="00C830A4" w:rsidRPr="00E94CA9" w:rsidRDefault="00C830A4" w:rsidP="00C830A4">
      <w:pPr>
        <w:spacing w:line="360" w:lineRule="auto"/>
        <w:ind w:firstLine="284"/>
        <w:jc w:val="both"/>
        <w:rPr>
          <w:rFonts w:cs="Arial"/>
          <w:color w:val="FF0000"/>
          <w:sz w:val="22"/>
          <w:szCs w:val="22"/>
        </w:rPr>
      </w:pPr>
    </w:p>
    <w:p w14:paraId="2E21A9AC" w14:textId="6196FCA4" w:rsidR="002A3C22" w:rsidRDefault="00EE4A48" w:rsidP="009C6BC1">
      <w:pPr>
        <w:spacing w:line="360" w:lineRule="auto"/>
        <w:jc w:val="both"/>
        <w:rPr>
          <w:rFonts w:cs="Arial"/>
          <w:color w:val="FF0000"/>
          <w:sz w:val="22"/>
          <w:szCs w:val="22"/>
        </w:rPr>
      </w:pPr>
      <w:r w:rsidRPr="00FC4336">
        <w:rPr>
          <w:rFonts w:cs="Arial"/>
          <w:b/>
          <w:bCs/>
          <w:i/>
          <w:iCs/>
          <w:sz w:val="22"/>
          <w:szCs w:val="22"/>
        </w:rPr>
        <w:t>PIM1</w:t>
      </w:r>
      <w:r w:rsidRPr="00FC4336">
        <w:rPr>
          <w:rFonts w:cs="Arial"/>
          <w:b/>
          <w:bCs/>
          <w:sz w:val="22"/>
          <w:szCs w:val="22"/>
        </w:rPr>
        <w:t xml:space="preserve"> decreases sensitivity to ALK TKIs </w:t>
      </w:r>
      <w:r w:rsidR="002A3C22">
        <w:rPr>
          <w:rFonts w:cs="Arial"/>
          <w:b/>
          <w:bCs/>
          <w:sz w:val="22"/>
          <w:szCs w:val="22"/>
        </w:rPr>
        <w:t xml:space="preserve">via </w:t>
      </w:r>
      <w:r w:rsidRPr="00FC4336">
        <w:rPr>
          <w:rFonts w:cs="Arial"/>
          <w:b/>
          <w:bCs/>
          <w:sz w:val="22"/>
          <w:szCs w:val="22"/>
        </w:rPr>
        <w:t xml:space="preserve">apoptosis </w:t>
      </w:r>
      <w:r w:rsidR="002A3C22" w:rsidRPr="00FC4336">
        <w:rPr>
          <w:rFonts w:cs="Arial"/>
          <w:b/>
          <w:bCs/>
          <w:sz w:val="22"/>
          <w:szCs w:val="22"/>
        </w:rPr>
        <w:t xml:space="preserve">evasion </w:t>
      </w:r>
    </w:p>
    <w:p w14:paraId="1AD0186D" w14:textId="70A25B24" w:rsidR="00195C72" w:rsidRPr="00E94CA9" w:rsidRDefault="005033EF" w:rsidP="00845ECF">
      <w:pPr>
        <w:spacing w:line="360" w:lineRule="auto"/>
        <w:ind w:firstLine="720"/>
        <w:jc w:val="both"/>
        <w:rPr>
          <w:rFonts w:cs="Arial"/>
          <w:color w:val="4472C4" w:themeColor="accent1"/>
          <w:sz w:val="22"/>
          <w:szCs w:val="22"/>
        </w:rPr>
      </w:pPr>
      <w:r w:rsidRPr="00E94CA9">
        <w:rPr>
          <w:rFonts w:cs="Arial"/>
          <w:sz w:val="22"/>
          <w:szCs w:val="22"/>
        </w:rPr>
        <w:t xml:space="preserve">SH-SY5Y and CHLA-20 cells </w:t>
      </w:r>
      <w:r w:rsidRPr="00E94CA9">
        <w:rPr>
          <w:rFonts w:cs="Arial"/>
          <w:color w:val="000000" w:themeColor="text1"/>
          <w:sz w:val="22"/>
          <w:szCs w:val="22"/>
        </w:rPr>
        <w:t xml:space="preserve">were transduced </w:t>
      </w:r>
      <w:r w:rsidRPr="00E94CA9">
        <w:rPr>
          <w:rFonts w:cs="Arial"/>
          <w:sz w:val="22"/>
          <w:szCs w:val="22"/>
        </w:rPr>
        <w:t xml:space="preserve">with individual </w:t>
      </w:r>
      <w:r w:rsidRPr="00E94CA9">
        <w:rPr>
          <w:rFonts w:cs="Arial"/>
          <w:i/>
          <w:sz w:val="22"/>
          <w:szCs w:val="22"/>
        </w:rPr>
        <w:t>PIM1</w:t>
      </w:r>
      <w:r w:rsidRPr="00E94CA9">
        <w:rPr>
          <w:rFonts w:cs="Arial"/>
          <w:sz w:val="22"/>
          <w:szCs w:val="22"/>
        </w:rPr>
        <w:t xml:space="preserve">- and non-targeting gRNAs, leading to 23- and 14-fold increases in </w:t>
      </w:r>
      <w:r w:rsidRPr="00E94CA9">
        <w:rPr>
          <w:rFonts w:cs="Arial"/>
          <w:i/>
          <w:sz w:val="22"/>
          <w:szCs w:val="22"/>
        </w:rPr>
        <w:t>PIM1</w:t>
      </w:r>
      <w:r w:rsidRPr="00E94CA9">
        <w:rPr>
          <w:rFonts w:cs="Arial"/>
          <w:sz w:val="22"/>
          <w:szCs w:val="22"/>
        </w:rPr>
        <w:t xml:space="preserve"> mRNA, </w:t>
      </w:r>
      <w:r w:rsidRPr="00E94CA9">
        <w:rPr>
          <w:rFonts w:cs="Arial"/>
          <w:color w:val="000000" w:themeColor="text1"/>
          <w:sz w:val="22"/>
          <w:szCs w:val="22"/>
        </w:rPr>
        <w:t>respectively (Fig</w:t>
      </w:r>
      <w:r w:rsidR="0011772D" w:rsidRPr="00E94CA9">
        <w:rPr>
          <w:rFonts w:cs="Arial"/>
          <w:color w:val="000000" w:themeColor="text1"/>
          <w:sz w:val="22"/>
          <w:szCs w:val="22"/>
        </w:rPr>
        <w:t>.</w:t>
      </w:r>
      <w:r w:rsidRPr="00E94CA9">
        <w:rPr>
          <w:rFonts w:cs="Arial"/>
          <w:color w:val="000000" w:themeColor="text1"/>
          <w:sz w:val="22"/>
          <w:szCs w:val="22"/>
        </w:rPr>
        <w:t xml:space="preserve"> 2</w:t>
      </w:r>
      <w:r w:rsidR="0011772D" w:rsidRPr="00E94CA9">
        <w:rPr>
          <w:rFonts w:cs="Arial"/>
          <w:color w:val="000000" w:themeColor="text1"/>
          <w:sz w:val="22"/>
          <w:szCs w:val="22"/>
        </w:rPr>
        <w:t>a</w:t>
      </w:r>
      <w:r w:rsidRPr="00E94CA9">
        <w:rPr>
          <w:rFonts w:cs="Arial"/>
          <w:color w:val="000000" w:themeColor="text1"/>
          <w:sz w:val="22"/>
          <w:szCs w:val="22"/>
        </w:rPr>
        <w:t xml:space="preserve">), and then treated with </w:t>
      </w:r>
      <w:proofErr w:type="spellStart"/>
      <w:r w:rsidRPr="00E94CA9">
        <w:rPr>
          <w:rFonts w:cs="Arial"/>
          <w:color w:val="000000" w:themeColor="text1"/>
          <w:sz w:val="22"/>
          <w:szCs w:val="22"/>
        </w:rPr>
        <w:t>brigatinib</w:t>
      </w:r>
      <w:proofErr w:type="spellEnd"/>
      <w:r w:rsidRPr="00E94CA9">
        <w:rPr>
          <w:rFonts w:cs="Arial"/>
          <w:color w:val="000000" w:themeColor="text1"/>
          <w:sz w:val="22"/>
          <w:szCs w:val="22"/>
        </w:rPr>
        <w:t xml:space="preserve"> or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for 72 hours (Fig</w:t>
      </w:r>
      <w:r w:rsidR="0011772D" w:rsidRPr="00E94CA9">
        <w:rPr>
          <w:rFonts w:cs="Arial"/>
          <w:color w:val="000000" w:themeColor="text1"/>
          <w:sz w:val="22"/>
          <w:szCs w:val="22"/>
        </w:rPr>
        <w:t>.</w:t>
      </w:r>
      <w:r w:rsidRPr="00E94CA9">
        <w:rPr>
          <w:rFonts w:cs="Arial"/>
          <w:color w:val="000000" w:themeColor="text1"/>
          <w:sz w:val="22"/>
          <w:szCs w:val="22"/>
        </w:rPr>
        <w:t xml:space="preserve"> 2</w:t>
      </w:r>
      <w:r w:rsidR="0011772D" w:rsidRPr="00E94CA9">
        <w:rPr>
          <w:rFonts w:cs="Arial"/>
          <w:color w:val="000000" w:themeColor="text1"/>
          <w:sz w:val="22"/>
          <w:szCs w:val="22"/>
        </w:rPr>
        <w:t>b</w:t>
      </w:r>
      <w:r w:rsidRPr="00E94CA9">
        <w:rPr>
          <w:rFonts w:cs="Arial"/>
          <w:color w:val="000000" w:themeColor="text1"/>
          <w:sz w:val="22"/>
          <w:szCs w:val="22"/>
        </w:rPr>
        <w:t xml:space="preserve">). Overexpression of </w:t>
      </w:r>
      <w:r w:rsidRPr="00E94CA9">
        <w:rPr>
          <w:rFonts w:cs="Arial"/>
          <w:i/>
          <w:color w:val="000000" w:themeColor="text1"/>
          <w:sz w:val="22"/>
          <w:szCs w:val="22"/>
        </w:rPr>
        <w:t>PIM1</w:t>
      </w:r>
      <w:r w:rsidRPr="00E94CA9">
        <w:rPr>
          <w:rFonts w:cs="Arial"/>
          <w:color w:val="000000" w:themeColor="text1"/>
          <w:sz w:val="22"/>
          <w:szCs w:val="22"/>
        </w:rPr>
        <w:t xml:space="preserve"> induced significant increases in both the </w:t>
      </w:r>
      <w:proofErr w:type="spellStart"/>
      <w:r w:rsidRPr="00E94CA9">
        <w:rPr>
          <w:rFonts w:cs="Arial"/>
          <w:color w:val="000000" w:themeColor="text1"/>
          <w:sz w:val="22"/>
          <w:szCs w:val="22"/>
        </w:rPr>
        <w:t>brigatinib</w:t>
      </w:r>
      <w:proofErr w:type="spellEnd"/>
      <w:r w:rsidRPr="00E94CA9">
        <w:rPr>
          <w:rFonts w:cs="Arial"/>
          <w:color w:val="000000" w:themeColor="text1"/>
          <w:sz w:val="22"/>
          <w:szCs w:val="22"/>
        </w:rPr>
        <w:t xml:space="preserve"> ED</w:t>
      </w:r>
      <w:r w:rsidRPr="00E94CA9">
        <w:rPr>
          <w:rFonts w:cs="Arial"/>
          <w:color w:val="000000" w:themeColor="text1"/>
          <w:sz w:val="22"/>
          <w:szCs w:val="22"/>
          <w:vertAlign w:val="subscript"/>
        </w:rPr>
        <w:t>50</w:t>
      </w:r>
      <w:r w:rsidRPr="00E94CA9">
        <w:rPr>
          <w:rFonts w:cs="Arial"/>
          <w:color w:val="000000" w:themeColor="text1"/>
          <w:sz w:val="22"/>
          <w:szCs w:val="22"/>
        </w:rPr>
        <w:t xml:space="preserve"> (</w:t>
      </w:r>
      <w:r w:rsidRPr="00E94CA9">
        <w:rPr>
          <w:rFonts w:cs="Arial"/>
          <w:i/>
          <w:color w:val="000000" w:themeColor="text1"/>
          <w:sz w:val="22"/>
          <w:szCs w:val="22"/>
        </w:rPr>
        <w:t>p</w:t>
      </w:r>
      <w:r w:rsidRPr="00E94CA9">
        <w:rPr>
          <w:rFonts w:cs="Arial"/>
          <w:color w:val="000000" w:themeColor="text1"/>
          <w:sz w:val="22"/>
          <w:szCs w:val="22"/>
        </w:rPr>
        <w:t xml:space="preserve"> &lt; 0.005</w:t>
      </w:r>
      <w:r w:rsidR="00811ECA">
        <w:rPr>
          <w:rFonts w:cs="Arial"/>
          <w:color w:val="000000" w:themeColor="text1"/>
          <w:sz w:val="22"/>
          <w:szCs w:val="22"/>
        </w:rPr>
        <w:t xml:space="preserve">, </w:t>
      </w:r>
      <w:r w:rsidR="00811ECA" w:rsidRPr="007D59B1">
        <w:rPr>
          <w:rFonts w:cs="Arial"/>
          <w:sz w:val="22"/>
          <w:szCs w:val="22"/>
        </w:rPr>
        <w:t xml:space="preserve">unpaired Student’s </w:t>
      </w:r>
      <w:r w:rsidR="00811ECA" w:rsidRPr="007D59B1">
        <w:rPr>
          <w:rFonts w:cs="Arial"/>
          <w:i/>
          <w:sz w:val="22"/>
          <w:szCs w:val="22"/>
        </w:rPr>
        <w:t>t</w:t>
      </w:r>
      <w:r w:rsidR="00811ECA" w:rsidRPr="007D59B1">
        <w:rPr>
          <w:rFonts w:cs="Arial"/>
          <w:sz w:val="22"/>
          <w:szCs w:val="22"/>
        </w:rPr>
        <w:t>-test</w:t>
      </w:r>
      <w:r w:rsidRPr="00E94CA9">
        <w:rPr>
          <w:rFonts w:cs="Arial"/>
          <w:color w:val="000000" w:themeColor="text1"/>
          <w:sz w:val="22"/>
          <w:szCs w:val="22"/>
        </w:rPr>
        <w:t xml:space="preserve">) and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ED</w:t>
      </w:r>
      <w:r w:rsidRPr="00E94CA9">
        <w:rPr>
          <w:rFonts w:cs="Arial"/>
          <w:color w:val="000000" w:themeColor="text1"/>
          <w:sz w:val="22"/>
          <w:szCs w:val="22"/>
          <w:vertAlign w:val="subscript"/>
        </w:rPr>
        <w:t>50</w:t>
      </w:r>
      <w:r w:rsidRPr="00E94CA9">
        <w:rPr>
          <w:rFonts w:cs="Arial"/>
          <w:color w:val="000000" w:themeColor="text1"/>
          <w:sz w:val="22"/>
          <w:szCs w:val="22"/>
        </w:rPr>
        <w:t xml:space="preserve"> (</w:t>
      </w:r>
      <w:r w:rsidRPr="00E94CA9">
        <w:rPr>
          <w:rFonts w:cs="Arial"/>
          <w:i/>
          <w:color w:val="000000" w:themeColor="text1"/>
          <w:sz w:val="22"/>
          <w:szCs w:val="22"/>
        </w:rPr>
        <w:t>p</w:t>
      </w:r>
      <w:r w:rsidRPr="00E94CA9">
        <w:rPr>
          <w:rFonts w:cs="Arial"/>
          <w:color w:val="000000" w:themeColor="text1"/>
          <w:sz w:val="22"/>
          <w:szCs w:val="22"/>
        </w:rPr>
        <w:t xml:space="preserve"> &lt; 0.05</w:t>
      </w:r>
      <w:r w:rsidR="00811ECA">
        <w:rPr>
          <w:rFonts w:cs="Arial"/>
          <w:color w:val="000000" w:themeColor="text1"/>
          <w:sz w:val="22"/>
          <w:szCs w:val="22"/>
        </w:rPr>
        <w:t xml:space="preserve">, </w:t>
      </w:r>
      <w:r w:rsidR="00811ECA" w:rsidRPr="007D59B1">
        <w:rPr>
          <w:rFonts w:cs="Arial"/>
          <w:sz w:val="22"/>
          <w:szCs w:val="22"/>
        </w:rPr>
        <w:t xml:space="preserve">unpaired Student’s </w:t>
      </w:r>
      <w:r w:rsidR="00811ECA" w:rsidRPr="007D59B1">
        <w:rPr>
          <w:rFonts w:cs="Arial"/>
          <w:i/>
          <w:sz w:val="22"/>
          <w:szCs w:val="22"/>
        </w:rPr>
        <w:t>t</w:t>
      </w:r>
      <w:r w:rsidR="00811ECA" w:rsidRPr="007D59B1">
        <w:rPr>
          <w:rFonts w:cs="Arial"/>
          <w:sz w:val="22"/>
          <w:szCs w:val="22"/>
        </w:rPr>
        <w:t>-test</w:t>
      </w:r>
      <w:r w:rsidRPr="00E94CA9">
        <w:rPr>
          <w:rFonts w:cs="Arial"/>
          <w:color w:val="000000" w:themeColor="text1"/>
          <w:sz w:val="22"/>
          <w:szCs w:val="22"/>
        </w:rPr>
        <w:t xml:space="preserve">), thus confirming decreased sensitivity to ALK inhibition in these cell lines. Given that </w:t>
      </w:r>
      <w:r w:rsidRPr="00FC4336">
        <w:rPr>
          <w:rFonts w:cs="Arial"/>
          <w:iCs/>
          <w:color w:val="000000" w:themeColor="text1"/>
          <w:sz w:val="22"/>
          <w:szCs w:val="22"/>
        </w:rPr>
        <w:t>PIM1</w:t>
      </w:r>
      <w:r w:rsidRPr="00E94CA9">
        <w:rPr>
          <w:rFonts w:cs="Arial"/>
          <w:color w:val="000000" w:themeColor="text1"/>
          <w:sz w:val="22"/>
          <w:szCs w:val="22"/>
        </w:rPr>
        <w:t xml:space="preserve"> has been shown to induce drug resistance in other cancers by evading apoptosis</w:t>
      </w:r>
      <w:r w:rsidR="00A97C97"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{"citationItems":[{"id":"ITEM-1","itemData":{"DOI":"10.1038/nm.4198","ISBN":"1546-170X (Electronic)\r1078-8956 (Linking)","PMID":"27775704","abstract":"Triple-negative breast cancers (TNBCs) have poor prognosis and lack targeted therapies. Here we identified increased copy number and expression of the PIM1 proto-oncogene in genomic data sets of patients with TNBC. TNBC cells, but not nonmalignant mammary epithelial cells, were dependent on PIM1 for proliferation and protection from apoptosis. PIM1 knockdown reduced expression of the anti-apoptotic factor BCL2, and dynamic BH3 profiling of apoptotic priming revealed that PIM1 prevents mitochondrial-mediated apoptosis in TNBC cell lines. In TNBC tumors and their cellular models, PIM1 expression was associated with several transcriptional signatures involving the transcription factor MYC, and PIM1 depletion in TNBC cell lines decreased, in a MYC-dependent manner, cell population growth and expression of the MYC target gene MCL1. Treatment with the pan-PIM kinase inhibitor AZD1208 impaired the growth of both cell line and patient-derived xenografts and sensitized them to standard-of-care chemotherapy. This work identifies PIM1 as a malignant-cell-selective target in TNBC and the potential use of PIM1 inhibitors for sensitizing TNBC to chemotherapy-induced apoptotic cell death.","author":[{"dropping-particle":"","family":"Braso-Maristany","given":"F","non-dropping-particle":"","parse-names":false,"suffix":""},{"dropping-particle":"","family":"Filosto","given":"S","non-dropping-particle":"","parse-names":false,"suffix":""},{"dropping-particle":"","family":"Catchpole","given":"S","non-dropping-particle":"","parse-names":false,"suffix":""},{"dropping-particle":"","family":"Marlow","given":"R","non-dropping-particle":"","parse-names":false,"suffix":""},{"dropping-particle":"","family":"Quist","given":"J","non-dropping-particle":"","parse-names":false,"suffix":""},{"dropping-particle":"","family":"Francesch-Domenech","given":"E","non-dropping-particle":"","parse-names":false,"suffix":""},{"dropping-particle":"","family":"Plumb","given":"D A","non-dropping-particle":"","parse-names":false,"suffix":""},{"dropping-particle":"","family":"Zakka","given":"L","non-dropping-particle":"","parse-names":false,"suffix":""},{"dropping-particle":"","family":"Gazinska","given":"P","non-dropping-particle":"","parse-names":false,"suffix":""},{"dropping-particle":"","family":"Liccardi","given":"G","non-dropping-particle":"","parse-names":false,"suffix":""},{"dropping-particle":"","family":"Meier","given":"P","non-dropping-particle":"","parse-names":false,"suffix":""},{"dropping-particle":"","family":"Gris-Oliver","given":"A","non-dropping-particle":"","parse-names":false,"suffix":""},{"dropping-particle":"","family":"Cheang","given":"M C","non-dropping-particle":"","parse-names":false,"suffix":""},{"dropping-particle":"","family":"Perdrix-Rosell","given":"A","non-dropping-particle":"","parse-names":false,"suffix":""},{"dropping-particle":"","family":"Shafat","given":"M","non-dropping-particle":"","parse-names":false,"suffix":""},{"dropping-particle":"","family":"Noel","given":"E","non-dropping-particle":"","parse-names":false,"suffix":""},{"dropping-particle":"","family":"Patel","given":"N","non-dropping-particle":"","parse-names":false,"suffix":""},{"dropping-particle":"","family":"McEachern","given":"K","non-dropping-particle":"","parse-names":false,"suffix":""},{"dropping-particle":"","family":"Scaltriti","given":"M","non-dropping-particle":"","parse-names":false,"suffix":""},{"dropping-particle":"","family":"Castel","given":"P","non-dropping-particle":"","parse-names":false,"suffix":""},{"dropping-particle":"","family":"Noor","given":"F","non-dropping-particle":"","parse-names":false,"suffix":""},{"dropping-particle":"","family":"Buus","given":"R","non-dropping-particle":"","parse-names":false,"suffix":""},{"dropping-particle":"","family":"Mathew","given":"S","non-dropping-particle":"","parse-names":false,"suffix":""},{"dropping-particle":"","family":"Watkins","given":"J","non-dropping-particle":"","parse-names":false,"suffix":""},{"dropping-particle":"","family":"Serra","given":"V","non-dropping-particle":"","parse-names":false,"suffix":""},{"dropping-particle":"","family":"Marra","given":"P","non-dropping-particle":"","parse-names":false,"suffix":""},{"dropping-particle":"","family":"Grigoriadis","given":"A","non-dropping-particle":"","parse-names":false,"suffix":""},{"dropping-particle":"","family":"Tutt","given":"A N","non-dropping-particle":"","parse-names":false,"suffix":""}],"container-title":"Nat Med","id":"ITEM-1","issue":"11","issued":{"date-parts":[["2016"]]},"note":"Braso-Maristany, Fara\nFilosto, Simone\nCatchpole, Steven\nMarlow, Rebecca\nQuist, Jelmar\nFrancesch-Domenech, Erika\nPlumb, Darren A\nZakka, Leila\nGazinska, Patrycja\nLiccardi, Gianmaria\nMeier, Pascal\nGris-Oliver, Albert\nCheang, Maggie Chon U\nPerdrix-Rosell, Anna\nShafat, Manar\nNoel, Elodie\nPatel, Nirmesh\nMcEachern, Kristen\nScaltriti, Maurizio\nCastel, Pau\nNoor, Farzana\nBuus, Richard\nMathew, Sumi\nWatkins, Johnathan\nSerra, Violeta\nMarra, Pierfrancesco\nGrigoriadis, Anita\nTutt, Andrew N\neng\n2011NOVPR10/Breast Cancer Now/United Kingdom\nCTR-Q3MEIER/Breast Cancer Now/United Kingdom\n07-0588/Worldwide Cancer Research/United Kingdom\nP30 CA008748/CA/NCI NIH HHS/\n14-1328/Worldwide Cancer Research/United Kingdom\nMR/M019217/1/Medical Research Council/United Kingdom\nG1000089/Medical Research Council/United Kingdom\nDepartment of Health/United Kingdom\nResearch Support, Non-U.S. Gov't\nResearch Support, N.I.H., Extramural\n2016/11/01 06:00\nNat Med. 2016 Nov;22(11):1303-1313. doi: 10.1038/nm.4198. Epub 2016 Oct 24.","page":"1303-1313","title":"PIM1 kinase regulates cell death, tumor growth and chemotherapy response in triple-negative breast cancer","type":"article-journal","volume":"22"},"uris":["http://www.mendeley.com/documents/?uuid=b997f528-6ea2-4e6f-baef-d74e5e8c0eec","http://www.mendeley.com/documents/?uuid=a21285a5-2d38-4411-bc0d-01d5b4f1cb32"]},{"id":"ITEM-2","itemData":{"DOI":"10.1093/abbs/gmy076","ISBN":"1745-7270 (Electronic)\r1672-9145 (Linking)","PMID":"30020405","abstract":"T-cell lymphomas (TCLs) are a malignancy characterized by tumor aggression and resistance to traditional chemotherapy. Disruption of the extrinsic cell death pathway is essential for resistance to chemotherapy. PIM1 serves as a crucial modulator in cancers. However, the role of PIM1 in TCLs remains unclear. In this study, we studied the roles of PIM1 in established T-lymphoma cell lines Jurkat and HUT-78. CCK-8 assay was conducted to evaluate cell survival and flow cytometry was performed to evaluate cell death of TCL cells. siRNAs were used to knockdown the expression of PIM1 and c-myc. qRT-PCR was used to evaluate the mRNA expression levels of c-myc and PIM1. Western blot analysis was used to evaluate the protein expression levels of PIM1, c-myc, STAT3, and phospho-STAT3. Doxorubicin was used to determine the effect of PIM1 on apoptosis. Our results showed that PIM1 expression was markedly enhanced and induced c-myc expression in TCL cells. Doxorubicin inhibited the expressions of c-myc and PIM1, and triggered the extrinsic cell death of TCLs by suppressing the JAK-STAT3 signaling pathway. Moreover, PIM1 silencing via siRNA suppressed c-myc expression, promoted the cell death of TCLs, and increased doxorubicin sensitivity. Conversely, PIM1 overexpression in TCL cells induced c-myc expression, suppressed TCL cell death, and promoted doxorubicin resistance. Collectively, our results demonstrate that PIM1 overexpression in TCLs participates in cancer cell protection from apoptosis and leads to doxorubicin resistance by inducing c-myc expression, indicating that PIM1 may be a promising target in TCL treatment.","author":[{"dropping-particle":"","family":"Xiang","given":"X","non-dropping-particle":"","parse-names":false,"suffix":""},{"dropping-particle":"","family":"Yuan","given":"D","non-dropping-particle":"","parse-names":false,"suffix":""},{"dropping-particle":"","family":"Liu","given":"Y","non-dropping-particle":"","parse-names":false,"suffix":""},{"dropping-particle":"","family":"Li","given":"J","non-dropping-particle":"","parse-names":false,"suffix":""},{"dropping-particle":"","family":"Wen","given":"Q","non-dropping-particle":"","parse-names":false,"suffix":""},{"dropping-particle":"","family":"Kong","given":"P","non-dropping-particle":"","parse-names":false,"suffix":""},{"dropping-particle":"","family":"Gao","given":"L","non-dropping-particle":"","parse-names":false,"suffix":""},{"dropping-particle":"","family":"Zhang","given":"C","non-dropping-particle":"","parse-names":false,"suffix":""},{"dropping-particle":"","family":"Gao","given":"L","non-dropping-particle":"","parse-names":false,"suffix":""},{"dropping-particle":"","family":"Peng","given":"X","non-dropping-particle":"","parse-names":false,"suffix":""},{"dropping-particle":"","family":"Zhang","given":"X","non-dropping-particle":"","parse-names":false,"suffix":""}],"container-title":"Acta Biochim Biophys Sin (Shanghai)","id":"ITEM-2","issued":{"date-parts":[["2018"]]},"note":"Xiang, Xixi\nYuan, Di\nLiu, Yao\nLi, Jiali\nWen, Qin\nKong, Peiyan\nGao, Lei\nZhang, Cheng\nGao, Li\nPeng, Xiangui\nZhang, Xi\neng\nChina\n2018/07/19 06:00\nActa Biochim Biophys Sin (Shanghai). 2018 Jul 17. pii: 5055225. doi: 10.1093/abbs/gmy076.","title":"PIM1 overexpression in T-cell lymphomas protects tumor cells from apoptosis and confers doxorubicin resistance by upregulating c-myc expression","type":"article-journal"},"uris":["http://www.mendeley.com/documents/?uuid=5aa3847a-4913-488b-8bdc-ed18a3d73b8b","http://www.mendeley.com/documents/?uuid=022b717b-e233-4a26-9dab-2dac27194dc0"]},{"id":"ITEM-3","itemData":{"DOI":"10.1038/sj.onc.1209058","ISBN":"0950-9232 (Print)\r0950-9232 (Linking)","PMID":"16186805","abstract":"Protein kinase Pim-1 has been implicated in the development of hematopoietic and prostatic malignancies. Here, we present the evidence that two isoforms, the 44 and 33 kDa Pim-1, are expressed in all human prostate cancer cell lines examined. The subcellular localization of human 44 kDa Pim-1 is primarily on the plasma membrane, while the 33 kDa isoform is present in both the cytosol and nucleus in PCA cells. The 44 kDa Pim-1 contains the proline-rich motif at the N-terminus and directly binds to the SH3 domain of tyrosine kinase Etk. Such interaction leads to the activation of Etk kinase activity possibly by competing with the tumor suppressor p53. This is corroborated by the fact that overexpression of the 44 kDa Pim-1 in prostate cancer cells confers the resistance to chemotherapeutic drugs. Our results suggest that these two isoforms of Pim-1 kinase may regulate distinct substrates and the 44 kDa Pim-1 may play a more prominent role in drug resistance in prostate cancer cells.","author":[{"dropping-particle":"","family":"Xie","given":"Y","non-dropping-particle":"","parse-names":false,"suffix":""},{"dropping-particle":"","family":"Xu","given":"K","non-dropping-particle":"","parse-names":false,"suffix":""},{"dropping-particle":"","family":"Dai","given":"B","non-dropping-particle":"","parse-names":false,"suffix":""},{"dropping-particle":"","family":"Guo","given":"Z","non-dropping-particle":"","parse-names":false,"suffix":""},{"dropping-particle":"","family":"Jiang","given":"T","non-dropping-particle":"","parse-names":false,"suffix":""},{"dropping-particle":"","family":"Chen","given":"H","non-dropping-particle":"","parse-names":false,"suffix":""},{"dropping-particle":"","family":"Qiu","given":"Y","non-dropping-particle":"","parse-names":false,"suffix":""}],"container-title":"Oncogene","id":"ITEM-3","issue":"1","issued":{"date-parts":[["2006"]]},"note":"Xie, Y\nXu, K\nDai, B\nGuo, Z\nJiang, T\nChen, H\nQiu, Y\neng\nCA85380/CA/NCI NIH HHS/\nResearch Support, N.I.H., Extramural\nResearch Support, U.S. Gov't, Non-P.H.S.\nEngland\n2005/09/28 09:00\nOncogene. 2006 Jan 5;25(1):70-8. doi: 10.1038/sj.onc.1209058.","page":"70-78","title":"The 44 kDa Pim-1 kinase directly interacts with tyrosine kinase Etk/BMX and protects human prostate cancer cells from apoptosis induced by chemotherapeutic drugs","type":"article-journal","volume":"25"},"uris":["http://www.mendeley.com/documents/?uuid=adf2d02d-5788-48e9-a711-375a09dc7824","http://www.mendeley.com/documents/?uuid=a8732db9-80e3-4d63-9604-d1b91d767e66"]}],"mendeley":{"formattedCitation":"&lt;sup&gt;33,42,43&lt;/sup&gt;","plainTextFormattedCitation":"33,42,43","previouslyFormattedCitation":"&lt;sup&gt;33,42,43&lt;/sup&gt;"},"properties":{"noteIndex":0},"schema":"https://github.com/citation-style-language/schema/raw/master/csl-citation.json"}</w:instrText>
      </w:r>
      <w:r w:rsidR="00A97C97" w:rsidRPr="00E94CA9">
        <w:rPr>
          <w:rFonts w:cs="Arial"/>
          <w:color w:val="000000" w:themeColor="text1"/>
          <w:sz w:val="22"/>
          <w:szCs w:val="22"/>
        </w:rPr>
        <w:fldChar w:fldCharType="separate"/>
      </w:r>
      <w:r w:rsidR="00542124" w:rsidRPr="00E94CA9">
        <w:rPr>
          <w:rFonts w:cs="Arial"/>
          <w:noProof/>
          <w:color w:val="000000" w:themeColor="text1"/>
          <w:sz w:val="22"/>
          <w:szCs w:val="22"/>
          <w:vertAlign w:val="superscript"/>
        </w:rPr>
        <w:t>33,42,43</w:t>
      </w:r>
      <w:r w:rsidR="00A97C97" w:rsidRPr="00E94CA9">
        <w:rPr>
          <w:rFonts w:cs="Arial"/>
          <w:color w:val="000000" w:themeColor="text1"/>
          <w:sz w:val="22"/>
          <w:szCs w:val="22"/>
        </w:rPr>
        <w:fldChar w:fldCharType="end"/>
      </w:r>
      <w:r w:rsidRPr="00E94CA9">
        <w:rPr>
          <w:rFonts w:cs="Arial"/>
          <w:color w:val="000000" w:themeColor="text1"/>
          <w:sz w:val="22"/>
          <w:szCs w:val="22"/>
        </w:rPr>
        <w:fldChar w:fldCharType="begin"/>
      </w:r>
      <w:r w:rsidRPr="00E94CA9">
        <w:rPr>
          <w:rFonts w:cs="Arial"/>
          <w:color w:val="000000" w:themeColor="text1"/>
          <w:sz w:val="22"/>
          <w:szCs w:val="22"/>
        </w:rPr>
        <w:instrText>ADDIN EN.CITE</w:instrText>
      </w:r>
      <w:r w:rsidRPr="00E94CA9">
        <w:rPr>
          <w:rFonts w:cs="Arial"/>
          <w:color w:val="000000" w:themeColor="text1"/>
          <w:sz w:val="22"/>
          <w:szCs w:val="22"/>
        </w:rPr>
        <w:fldChar w:fldCharType="end"/>
      </w:r>
      <w:r w:rsidRPr="00E94CA9">
        <w:rPr>
          <w:rFonts w:cs="Arial"/>
          <w:color w:val="000000" w:themeColor="text1"/>
          <w:sz w:val="22"/>
          <w:szCs w:val="22"/>
        </w:rPr>
        <w:t>, expression of apoptotic regulators and known substrates downstream of PIM1 were investigated in SH-SY5Y and CHLA-20 cells</w:t>
      </w:r>
      <w:r w:rsidR="0087544C" w:rsidRPr="00E94CA9">
        <w:rPr>
          <w:rFonts w:cs="Arial"/>
          <w:color w:val="000000" w:themeColor="text1"/>
          <w:sz w:val="22"/>
          <w:szCs w:val="22"/>
        </w:rPr>
        <w:t>,</w:t>
      </w:r>
      <w:r w:rsidRPr="00E94CA9">
        <w:rPr>
          <w:rFonts w:cs="Arial"/>
          <w:color w:val="000000" w:themeColor="text1"/>
          <w:sz w:val="22"/>
          <w:szCs w:val="22"/>
        </w:rPr>
        <w:t xml:space="preserve"> </w:t>
      </w:r>
      <w:r w:rsidR="0087544C" w:rsidRPr="00E94CA9">
        <w:rPr>
          <w:rFonts w:cs="Arial"/>
          <w:color w:val="000000" w:themeColor="text1"/>
          <w:sz w:val="22"/>
          <w:szCs w:val="22"/>
        </w:rPr>
        <w:t>following</w:t>
      </w:r>
      <w:r w:rsidRPr="00E94CA9">
        <w:rPr>
          <w:rFonts w:cs="Arial"/>
          <w:color w:val="000000" w:themeColor="text1"/>
          <w:sz w:val="22"/>
          <w:szCs w:val="22"/>
        </w:rPr>
        <w:t xml:space="preserve"> gRNA-induced overexpression of </w:t>
      </w:r>
      <w:r w:rsidRPr="00E94CA9">
        <w:rPr>
          <w:rFonts w:cs="Arial"/>
          <w:i/>
          <w:color w:val="000000" w:themeColor="text1"/>
          <w:sz w:val="22"/>
          <w:szCs w:val="22"/>
        </w:rPr>
        <w:t>PIM1</w:t>
      </w:r>
      <w:r w:rsidRPr="00E94CA9">
        <w:rPr>
          <w:rFonts w:cs="Arial"/>
          <w:color w:val="000000" w:themeColor="text1"/>
          <w:sz w:val="22"/>
          <w:szCs w:val="22"/>
        </w:rPr>
        <w:t xml:space="preserve">. Specifically, </w:t>
      </w:r>
      <w:r w:rsidR="0087544C" w:rsidRPr="00E94CA9">
        <w:rPr>
          <w:rFonts w:cs="Arial"/>
          <w:color w:val="000000" w:themeColor="text1"/>
          <w:sz w:val="22"/>
          <w:szCs w:val="22"/>
        </w:rPr>
        <w:t xml:space="preserve">expression of </w:t>
      </w:r>
      <w:r w:rsidRPr="00E94CA9">
        <w:rPr>
          <w:rFonts w:cs="Arial"/>
          <w:color w:val="000000" w:themeColor="text1"/>
          <w:sz w:val="22"/>
          <w:szCs w:val="22"/>
        </w:rPr>
        <w:t>BAD</w:t>
      </w:r>
      <w:r w:rsidR="00A97C97"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{"citationItems":[{"id":"ITEM-1","itemData":{"DOI":"10.1016/j.febslet.2004.06.050","ISBN":"0014-5793 (Print)\r0014-5793 (Linking)","PMID":"15280015","abstract":"Constitutive expression of the Pim-1 kinase prolongs survival of cytokine-deprived FDCP1 cells, partly via maintenance of Bcl-2 expression. Here, we show that Pim-1 colocalizes and physically interacts with the pro-apoptotic Bad protein and phosphorylates it in vitro on serine 112, which is a gatekeeper site for its inactivation. Furthermore, wild-type Pim-1, but not a kinase-deficient mutant, enhances phosphorylation of this site in FDCP1 cells and protects cells from the pro-apoptotic effects of Bad. Our results suggest that phosphorylation of Bad by Pim-1 is one of several mechanisms via which the Pim-1 kinase can enhance Bcl-2 activity and promote cell survival.","author":[{"dropping-particle":"","family":"Aho","given":"T L","non-dropping-particle":"","parse-names":false,"suffix":""},{"dropping-particle":"","family":"Sandholm","given":"J","non-dropping-particle":"","parse-names":false,"suffix":""},{"dropping-particle":"","family":"Peltola","given":"K J","non-dropping-particle":"","parse-names":false,"suffix":""},{"dropping-particle":"","family":"Mankonen","given":"H P","non-dropping-particle":"","parse-names":false,"suffix":""},{"dropping-particle":"","family":"Lilly","given":"M","non-dropping-particle":"","parse-names":false,"suffix":""},{"dropping-particle":"","family":"Koskinen","given":"P J","non-dropping-particle":"","parse-names":false,"suffix":""}],"container-title":"FEBS Lett","id":"ITEM-1","issue":"1-3","issued":{"date-parts":[["2004"]]},"note":"Aho, Teija L T\nSandholm, Jouko\nPeltola, Katriina J\nMankonen, Harri P\nLilly, Michael\nKoskinen, Paivi J\neng\nResearch Support, Non-U.S. Gov't\nEngland\n2004/07/29 05:00\nFEBS Lett. 2004 Jul 30;571(1-3):43-9. doi: 10.1016/j.febslet.2004.06.050.","page":"43-49","title":"Pim-1 kinase promotes inactivation of the pro-apoptotic Bad protein by phosphorylating it on the Ser112 gatekeeper site","type":"article-journal","volume":"571"},"uris":["http://www.mendeley.com/documents/?uuid=0ab5c733-d802-46dd-9222-78e56c756915","http://www.mendeley.com/documents/?uuid=aa6b1e69-4277-4a85-9283-73a4344c9f3f"]}],"mendeley":{"formattedCitation":"&lt;sup&gt;44&lt;/sup&gt;","plainTextFormattedCitation":"44","previouslyFormattedCitation":"&lt;sup&gt;44&lt;/sup&gt;"},"properties":{"noteIndex":0},"schema":"https://github.com/citation-style-language/schema/raw/master/csl-citation.json"}</w:instrText>
      </w:r>
      <w:r w:rsidR="00A97C97" w:rsidRPr="00E94CA9">
        <w:rPr>
          <w:rFonts w:cs="Arial"/>
          <w:color w:val="000000" w:themeColor="text1"/>
          <w:sz w:val="22"/>
          <w:szCs w:val="22"/>
        </w:rPr>
        <w:fldChar w:fldCharType="separate"/>
      </w:r>
      <w:r w:rsidR="005271C7" w:rsidRPr="00E94CA9">
        <w:rPr>
          <w:rFonts w:cs="Arial"/>
          <w:noProof/>
          <w:color w:val="000000" w:themeColor="text1"/>
          <w:sz w:val="22"/>
          <w:szCs w:val="22"/>
          <w:vertAlign w:val="superscript"/>
        </w:rPr>
        <w:t>44</w:t>
      </w:r>
      <w:r w:rsidR="00A97C97" w:rsidRPr="00E94CA9">
        <w:rPr>
          <w:rFonts w:cs="Arial"/>
          <w:color w:val="000000" w:themeColor="text1"/>
          <w:sz w:val="22"/>
          <w:szCs w:val="22"/>
        </w:rPr>
        <w:fldChar w:fldCharType="end"/>
      </w:r>
      <w:r w:rsidRPr="00E94CA9">
        <w:rPr>
          <w:rFonts w:cs="Arial"/>
          <w:color w:val="000000" w:themeColor="text1"/>
          <w:sz w:val="22"/>
          <w:szCs w:val="22"/>
        </w:rPr>
        <w:fldChar w:fldCharType="begin"/>
      </w:r>
      <w:r w:rsidRPr="00E94CA9">
        <w:rPr>
          <w:rFonts w:cs="Arial"/>
          <w:color w:val="000000" w:themeColor="text1"/>
          <w:sz w:val="22"/>
          <w:szCs w:val="22"/>
        </w:rPr>
        <w:instrText>ADDIN EN.CITE</w:instrText>
      </w:r>
      <w:r w:rsidRPr="00E94CA9">
        <w:rPr>
          <w:rFonts w:cs="Arial"/>
          <w:color w:val="000000" w:themeColor="text1"/>
          <w:sz w:val="22"/>
          <w:szCs w:val="22"/>
        </w:rPr>
        <w:fldChar w:fldCharType="end"/>
      </w:r>
      <w:r w:rsidRPr="00E94CA9">
        <w:rPr>
          <w:rFonts w:cs="Arial"/>
          <w:color w:val="000000" w:themeColor="text1"/>
          <w:sz w:val="22"/>
          <w:szCs w:val="22"/>
        </w:rPr>
        <w:t xml:space="preserve"> and PRAS40</w:t>
      </w:r>
      <w:r w:rsidR="00A97C97"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{"citationItems":[{"id":"ITEM-1","itemData":{"ISBN":"1555-8576 (Electronic)\r1538-4047 (Linking)","PMID":"19276681","abstract":"PIM1 is a serine/threonine kinase that has diverse biological roles in cell survival, proliferation and differentiation. PIM1 has been implicated in early transformation and tumor progression in haematopoietic malignancies and prostate carcinomas. The ability of PIM1 to regulate these processes is thought to be in part secondary to its activity in stimulating 4EBP1 phosphorylation and enhancement of protein synthesis. Because 4EBP1 is an mTOR substrate, we have investigated how PIM1 might regulate this latter enzyme. We have examined the ability of PIM1 to modulate PRAS40, a protein known to negatively regulate mTOR activity in FDCP1 cells. Upon phosphorylation, PRAS40 dissociates from the mTOR complex and increases mTOR kinase activity. We find that enforced overexpression of PIM1 increases PRAS40 phosphorylation at Thr(246), an AKT phosphorylation site, whether grown in complete media or deprived of IL-3 and serum. The increase in PRAS40 phosphorylation was independent of AKT activation and not inhibited by wortmannin. In vitro kinase assays indicate that the PIM1 protein kinase is capable of directly phosphorylating Thr(246) in PRAS40. PIM1 protein kinase overexpression reduced the association of PRAS40 with mTOR, and increased the mTOR directed phosphorylation of 4EBP1 and p70S6Kinase. Treatment of FDCP1 cells transfected with PIM1 (FD/mpim44) with small molecule inhibitors of PIM1 kinase activity reduced both PRAS40 and 4EBP1 phosphorylation. These results suggest that PIM1 regulates mTOR activity through phosphorylation of PRAS40. Thus, increases in mTOR activity mediated by the PIM protein kinase may have the potential to control cell growth.","author":[{"dropping-particle":"","family":"Zhang","given":"F","non-dropping-particle":"","parse-names":false,"suffix":""},{"dropping-particle":"","family":"Beharry","given":"Z M","non-dropping-particle":"","parse-names":false,"suffix":""},{"dropping-particle":"","family":"Harris","given":"T E","non-dropping-particle":"","parse-names":false,"suffix":""},{"dropping-particle":"","family":"Lilly","given":"M B","non-dropping-particle":"","parse-names":false,"suffix":""},{"dropping-particle":"","family":"Smith","given":"C D","non-dropping-particle":"","parse-names":false,"suffix":""},{"dropping-particle":"","family":"Mahajan","given":"S","non-dropping-particle":"","parse-names":false,"suffix":""},{"dropping-particle":"","family":"Kraft","given":"A S","non-dropping-particle":"","parse-names":false,"suffix":""}],"container-title":"Cancer Biol Ther","id":"ITEM-1","issue":"9","issued":{"date-parts":[["2009"]]},"note":"Zhang, Fengxue\nBeharry, Zanna M\nHarris, Thurl E\nLilly, Michael B\nSmith, Charles D\nMahajan, Sandeep\nKraft, Andrew S\neng\n2009/03/12 09:00\nCancer Biol Ther. 2009 May;8(9):846-53. Epub 2009 May 18.","page":"846-853","title":"PIM1 protein kinase regulates PRAS40 phosphorylation and mTOR activity in FDCP1 cells","type":"article-journal","volume":"8"},"uris":["http://www.mendeley.com/documents/?uuid=2f855860-cde5-456b-bbbf-fa99f9fa0ba5","http://www.mendeley.com/documents/?uuid=71d4370a-25e3-46e1-aa16-55fb3c9180c0"]}],"mendeley":{"formattedCitation":"&lt;sup&gt;45&lt;/sup&gt;","plainTextFormattedCitation":"45","previouslyFormattedCitation":"&lt;sup&gt;45&lt;/sup&gt;"},"properties":{"noteIndex":0},"schema":"https://github.com/citation-style-language/schema/raw/master/csl-citation.json"}</w:instrText>
      </w:r>
      <w:r w:rsidR="00A97C97" w:rsidRPr="00E94CA9">
        <w:rPr>
          <w:rFonts w:cs="Arial"/>
          <w:color w:val="000000" w:themeColor="text1"/>
          <w:sz w:val="22"/>
          <w:szCs w:val="22"/>
        </w:rPr>
        <w:fldChar w:fldCharType="separate"/>
      </w:r>
      <w:r w:rsidR="005271C7" w:rsidRPr="00E94CA9">
        <w:rPr>
          <w:rFonts w:cs="Arial"/>
          <w:noProof/>
          <w:color w:val="000000" w:themeColor="text1"/>
          <w:sz w:val="22"/>
          <w:szCs w:val="22"/>
          <w:vertAlign w:val="superscript"/>
        </w:rPr>
        <w:t>45</w:t>
      </w:r>
      <w:r w:rsidR="00A97C97" w:rsidRPr="00E94CA9">
        <w:rPr>
          <w:rFonts w:cs="Arial"/>
          <w:color w:val="000000" w:themeColor="text1"/>
          <w:sz w:val="22"/>
          <w:szCs w:val="22"/>
        </w:rPr>
        <w:fldChar w:fldCharType="end"/>
      </w:r>
      <w:r w:rsidRPr="00E94CA9">
        <w:rPr>
          <w:rFonts w:cs="Arial"/>
          <w:color w:val="000000" w:themeColor="text1"/>
          <w:sz w:val="22"/>
          <w:szCs w:val="22"/>
        </w:rPr>
        <w:t xml:space="preserve"> was analysed. An increase in p-BAD (Ser112), but not p-PRAS40, was observed in </w:t>
      </w:r>
      <w:r w:rsidR="009A1767" w:rsidRPr="00E94CA9">
        <w:rPr>
          <w:rFonts w:cs="Arial"/>
          <w:color w:val="000000" w:themeColor="text1"/>
          <w:sz w:val="22"/>
          <w:szCs w:val="22"/>
        </w:rPr>
        <w:t xml:space="preserve">SH-SY5Y </w:t>
      </w:r>
      <w:r w:rsidR="00BB4D34" w:rsidRPr="00E94CA9">
        <w:rPr>
          <w:rFonts w:cs="Arial"/>
          <w:color w:val="000000" w:themeColor="text1"/>
          <w:sz w:val="22"/>
          <w:szCs w:val="22"/>
        </w:rPr>
        <w:t xml:space="preserve">and CHLA-20 </w:t>
      </w:r>
      <w:r w:rsidRPr="00E94CA9">
        <w:rPr>
          <w:rFonts w:cs="Arial"/>
          <w:color w:val="000000" w:themeColor="text1"/>
          <w:sz w:val="22"/>
          <w:szCs w:val="22"/>
        </w:rPr>
        <w:t xml:space="preserve">cells overexpressing </w:t>
      </w:r>
      <w:r w:rsidRPr="00E94CA9">
        <w:rPr>
          <w:rFonts w:cs="Arial"/>
          <w:i/>
          <w:color w:val="000000" w:themeColor="text1"/>
          <w:sz w:val="22"/>
          <w:szCs w:val="22"/>
        </w:rPr>
        <w:t>PIM1</w:t>
      </w:r>
      <w:r w:rsidRPr="00E94CA9">
        <w:rPr>
          <w:rFonts w:cs="Arial"/>
          <w:color w:val="000000" w:themeColor="text1"/>
          <w:sz w:val="22"/>
          <w:szCs w:val="22"/>
        </w:rPr>
        <w:t xml:space="preserve"> (Fig</w:t>
      </w:r>
      <w:r w:rsidR="0011772D" w:rsidRPr="00E94CA9">
        <w:rPr>
          <w:rFonts w:cs="Arial"/>
          <w:color w:val="000000" w:themeColor="text1"/>
          <w:sz w:val="22"/>
          <w:szCs w:val="22"/>
        </w:rPr>
        <w:t>.</w:t>
      </w:r>
      <w:r w:rsidRPr="00E94CA9">
        <w:rPr>
          <w:rFonts w:cs="Arial"/>
          <w:color w:val="000000" w:themeColor="text1"/>
          <w:sz w:val="22"/>
          <w:szCs w:val="22"/>
        </w:rPr>
        <w:t xml:space="preserve"> 2</w:t>
      </w:r>
      <w:r w:rsidR="0011772D" w:rsidRPr="00E94CA9">
        <w:rPr>
          <w:rFonts w:cs="Arial"/>
          <w:color w:val="000000" w:themeColor="text1"/>
          <w:sz w:val="22"/>
          <w:szCs w:val="22"/>
        </w:rPr>
        <w:t>c</w:t>
      </w:r>
      <w:r w:rsidRPr="00E94CA9">
        <w:rPr>
          <w:rFonts w:cs="Arial"/>
          <w:color w:val="000000" w:themeColor="text1"/>
          <w:sz w:val="22"/>
          <w:szCs w:val="22"/>
        </w:rPr>
        <w:t>)</w:t>
      </w:r>
      <w:bookmarkStart w:id="1" w:name="_Hlk13514575"/>
      <w:r w:rsidR="009A1767" w:rsidRPr="00E94CA9">
        <w:rPr>
          <w:rFonts w:cs="Arial"/>
          <w:color w:val="000000" w:themeColor="text1"/>
          <w:sz w:val="22"/>
          <w:szCs w:val="22"/>
        </w:rPr>
        <w:t xml:space="preserve"> </w:t>
      </w:r>
      <w:r w:rsidRPr="00E94CA9">
        <w:rPr>
          <w:rFonts w:cs="Arial"/>
          <w:color w:val="000000" w:themeColor="text1"/>
          <w:sz w:val="22"/>
          <w:szCs w:val="22"/>
        </w:rPr>
        <w:t xml:space="preserve">suggesting that </w:t>
      </w:r>
      <w:r w:rsidR="00CE70BF" w:rsidRPr="00E94CA9">
        <w:rPr>
          <w:rFonts w:cs="Arial"/>
          <w:color w:val="000000" w:themeColor="text1"/>
          <w:sz w:val="22"/>
          <w:szCs w:val="22"/>
        </w:rPr>
        <w:t xml:space="preserve">in NB cells, </w:t>
      </w:r>
      <w:r w:rsidRPr="00E94CA9">
        <w:rPr>
          <w:rFonts w:cs="Arial"/>
          <w:color w:val="000000" w:themeColor="text1"/>
          <w:sz w:val="22"/>
          <w:szCs w:val="22"/>
        </w:rPr>
        <w:t xml:space="preserve">PIM1 induces drug resistance by evading apoptosis through direct phosphorylation of BAD. </w:t>
      </w:r>
      <w:bookmarkEnd w:id="1"/>
      <w:r w:rsidR="0087544C" w:rsidRPr="00E94CA9">
        <w:rPr>
          <w:rFonts w:cs="Arial"/>
          <w:color w:val="000000" w:themeColor="text1"/>
          <w:sz w:val="22"/>
          <w:szCs w:val="22"/>
        </w:rPr>
        <w:t>In further evidence</w:t>
      </w:r>
      <w:r w:rsidRPr="00E94CA9">
        <w:rPr>
          <w:rFonts w:cs="Arial"/>
          <w:color w:val="000000" w:themeColor="text1"/>
          <w:sz w:val="22"/>
          <w:szCs w:val="22"/>
        </w:rPr>
        <w:t xml:space="preserve"> </w:t>
      </w:r>
      <w:r w:rsidR="0087544C" w:rsidRPr="00E94CA9">
        <w:rPr>
          <w:rFonts w:cs="Arial"/>
          <w:color w:val="000000" w:themeColor="text1"/>
          <w:sz w:val="22"/>
          <w:szCs w:val="22"/>
        </w:rPr>
        <w:t xml:space="preserve">of a survival role for </w:t>
      </w:r>
      <w:r w:rsidRPr="00E94CA9">
        <w:rPr>
          <w:rFonts w:cs="Arial"/>
          <w:color w:val="000000" w:themeColor="text1"/>
          <w:sz w:val="22"/>
          <w:szCs w:val="22"/>
        </w:rPr>
        <w:t xml:space="preserve">PIM1 in the context of ALK inhibitor treatment, SH-SY5Y cells were treated with 1 µM </w:t>
      </w:r>
      <w:proofErr w:type="spellStart"/>
      <w:r w:rsidRPr="00E94CA9">
        <w:rPr>
          <w:rFonts w:cs="Arial"/>
          <w:color w:val="000000" w:themeColor="text1"/>
          <w:sz w:val="22"/>
          <w:szCs w:val="22"/>
        </w:rPr>
        <w:t>brigatinib</w:t>
      </w:r>
      <w:proofErr w:type="spellEnd"/>
      <w:r w:rsidRPr="00E94CA9">
        <w:rPr>
          <w:rFonts w:cs="Arial"/>
          <w:color w:val="000000" w:themeColor="text1"/>
          <w:sz w:val="22"/>
          <w:szCs w:val="22"/>
        </w:rPr>
        <w:t xml:space="preserve"> </w:t>
      </w:r>
      <w:r w:rsidR="00815979" w:rsidRPr="00E94CA9">
        <w:rPr>
          <w:rFonts w:cs="Arial"/>
          <w:color w:val="000000" w:themeColor="text1"/>
          <w:sz w:val="22"/>
          <w:szCs w:val="22"/>
        </w:rPr>
        <w:t xml:space="preserve">or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for 48 hours and a significantl</w:t>
      </w:r>
      <w:r w:rsidR="005F7A04" w:rsidRPr="00E94CA9">
        <w:rPr>
          <w:rFonts w:cs="Arial"/>
          <w:color w:val="000000" w:themeColor="text1"/>
          <w:sz w:val="22"/>
          <w:szCs w:val="22"/>
        </w:rPr>
        <w:t>y</w:t>
      </w:r>
      <w:r w:rsidRPr="00E94CA9">
        <w:rPr>
          <w:rFonts w:cs="Arial"/>
          <w:color w:val="000000" w:themeColor="text1"/>
          <w:sz w:val="22"/>
          <w:szCs w:val="22"/>
        </w:rPr>
        <w:t xml:space="preserve"> lower apoptotic cell (annexin V+/PI-) fraction was seen in inhibitor-treated cells overexpressing </w:t>
      </w:r>
      <w:r w:rsidRPr="00E94CA9">
        <w:rPr>
          <w:rFonts w:cs="Arial"/>
          <w:i/>
          <w:color w:val="000000" w:themeColor="text1"/>
          <w:sz w:val="22"/>
          <w:szCs w:val="22"/>
        </w:rPr>
        <w:t>PIM1</w:t>
      </w:r>
      <w:r w:rsidRPr="00E94CA9">
        <w:rPr>
          <w:rFonts w:cs="Arial"/>
          <w:color w:val="000000" w:themeColor="text1"/>
          <w:sz w:val="22"/>
          <w:szCs w:val="22"/>
        </w:rPr>
        <w:t xml:space="preserve"> (</w:t>
      </w:r>
      <w:r w:rsidRPr="00E94CA9">
        <w:rPr>
          <w:rFonts w:cs="Arial"/>
          <w:i/>
          <w:color w:val="000000" w:themeColor="text1"/>
          <w:sz w:val="22"/>
          <w:szCs w:val="22"/>
        </w:rPr>
        <w:t>p</w:t>
      </w:r>
      <w:r w:rsidR="00C830A4" w:rsidRPr="00E94CA9">
        <w:rPr>
          <w:rFonts w:cs="Arial"/>
          <w:color w:val="000000" w:themeColor="text1"/>
          <w:sz w:val="22"/>
          <w:szCs w:val="22"/>
        </w:rPr>
        <w:t xml:space="preserve"> &lt; 0.0001</w:t>
      </w:r>
      <w:r w:rsidR="00811ECA">
        <w:rPr>
          <w:rFonts w:cs="Arial"/>
          <w:color w:val="000000" w:themeColor="text1"/>
          <w:sz w:val="22"/>
          <w:szCs w:val="22"/>
        </w:rPr>
        <w:t>,</w:t>
      </w:r>
      <w:r w:rsidR="00811ECA" w:rsidRPr="00811ECA">
        <w:rPr>
          <w:rFonts w:cs="Arial"/>
          <w:sz w:val="22"/>
          <w:szCs w:val="22"/>
        </w:rPr>
        <w:t xml:space="preserve"> </w:t>
      </w:r>
      <w:r w:rsidR="00811ECA" w:rsidRPr="007D59B1">
        <w:rPr>
          <w:rFonts w:cs="Arial"/>
          <w:sz w:val="22"/>
          <w:szCs w:val="22"/>
        </w:rPr>
        <w:t xml:space="preserve">unpaired Student’s </w:t>
      </w:r>
      <w:r w:rsidR="00811ECA" w:rsidRPr="007D59B1">
        <w:rPr>
          <w:rFonts w:cs="Arial"/>
          <w:i/>
          <w:sz w:val="22"/>
          <w:szCs w:val="22"/>
        </w:rPr>
        <w:t>t</w:t>
      </w:r>
      <w:r w:rsidR="00811ECA" w:rsidRPr="007D59B1">
        <w:rPr>
          <w:rFonts w:cs="Arial"/>
          <w:sz w:val="22"/>
          <w:szCs w:val="22"/>
        </w:rPr>
        <w:t>-test</w:t>
      </w:r>
      <w:r w:rsidR="00C830A4" w:rsidRPr="00E94CA9">
        <w:rPr>
          <w:rFonts w:cs="Arial"/>
          <w:color w:val="000000" w:themeColor="text1"/>
          <w:sz w:val="22"/>
          <w:szCs w:val="22"/>
        </w:rPr>
        <w:t>) (Fig</w:t>
      </w:r>
      <w:r w:rsidR="0011772D" w:rsidRPr="00E94CA9">
        <w:rPr>
          <w:rFonts w:cs="Arial"/>
          <w:color w:val="000000" w:themeColor="text1"/>
          <w:sz w:val="22"/>
          <w:szCs w:val="22"/>
        </w:rPr>
        <w:t>.</w:t>
      </w:r>
      <w:r w:rsidR="00C830A4" w:rsidRPr="00E94CA9">
        <w:rPr>
          <w:rFonts w:cs="Arial"/>
          <w:color w:val="000000" w:themeColor="text1"/>
          <w:sz w:val="22"/>
          <w:szCs w:val="22"/>
        </w:rPr>
        <w:t xml:space="preserve"> 2</w:t>
      </w:r>
      <w:r w:rsidR="00203BC2" w:rsidRPr="00E94CA9">
        <w:rPr>
          <w:rFonts w:cs="Arial"/>
          <w:color w:val="000000" w:themeColor="text1"/>
          <w:sz w:val="22"/>
          <w:szCs w:val="22"/>
        </w:rPr>
        <w:t>d</w:t>
      </w:r>
      <w:r w:rsidR="00C830A4" w:rsidRPr="00E94CA9">
        <w:rPr>
          <w:rFonts w:cs="Arial"/>
          <w:color w:val="000000" w:themeColor="text1"/>
          <w:sz w:val="22"/>
          <w:szCs w:val="22"/>
        </w:rPr>
        <w:t>).</w:t>
      </w:r>
      <w:r w:rsidR="00195C72" w:rsidRPr="00E94CA9">
        <w:rPr>
          <w:rFonts w:cs="Arial"/>
          <w:color w:val="4472C4" w:themeColor="accent1"/>
          <w:sz w:val="22"/>
          <w:szCs w:val="22"/>
        </w:rPr>
        <w:t xml:space="preserve"> </w:t>
      </w:r>
    </w:p>
    <w:p w14:paraId="0984D0D7" w14:textId="77777777" w:rsidR="00EA359A" w:rsidRPr="00E94CA9" w:rsidRDefault="00EA359A" w:rsidP="00EE4A48">
      <w:pPr>
        <w:spacing w:line="360" w:lineRule="auto"/>
        <w:jc w:val="both"/>
        <w:rPr>
          <w:rFonts w:cs="Arial"/>
          <w:color w:val="000000" w:themeColor="text1"/>
          <w:sz w:val="22"/>
          <w:szCs w:val="22"/>
        </w:rPr>
      </w:pPr>
    </w:p>
    <w:p w14:paraId="295FFCF4" w14:textId="133938F6" w:rsidR="002A3C22" w:rsidRDefault="00EA359A" w:rsidP="00EA359A">
      <w:pPr>
        <w:spacing w:line="360" w:lineRule="auto"/>
        <w:jc w:val="both"/>
        <w:rPr>
          <w:rFonts w:cs="Arial"/>
          <w:b/>
          <w:bCs/>
          <w:sz w:val="22"/>
          <w:szCs w:val="22"/>
        </w:rPr>
      </w:pPr>
      <w:r w:rsidRPr="00FC4336">
        <w:rPr>
          <w:rFonts w:cs="Arial"/>
          <w:b/>
          <w:bCs/>
          <w:i/>
          <w:iCs/>
          <w:sz w:val="22"/>
          <w:szCs w:val="22"/>
        </w:rPr>
        <w:t>PIM1</w:t>
      </w:r>
      <w:r w:rsidRPr="00FC4336">
        <w:rPr>
          <w:rFonts w:cs="Arial"/>
          <w:b/>
          <w:bCs/>
          <w:sz w:val="22"/>
          <w:szCs w:val="22"/>
        </w:rPr>
        <w:t xml:space="preserve"> decreases sensitivity to ALK TKIs in ALK-</w:t>
      </w:r>
      <w:r w:rsidR="00055E0B" w:rsidRPr="00FC4336">
        <w:rPr>
          <w:rFonts w:cs="Arial"/>
          <w:b/>
          <w:bCs/>
          <w:sz w:val="22"/>
          <w:szCs w:val="22"/>
        </w:rPr>
        <w:t>positive ALCL</w:t>
      </w:r>
    </w:p>
    <w:p w14:paraId="223D9801" w14:textId="125DBE2A" w:rsidR="008046A5" w:rsidRPr="00E94CA9" w:rsidRDefault="005033EF" w:rsidP="00845ECF">
      <w:pPr>
        <w:spacing w:line="360" w:lineRule="auto"/>
        <w:ind w:firstLine="720"/>
        <w:jc w:val="both"/>
        <w:rPr>
          <w:rFonts w:cs="Arial"/>
          <w:sz w:val="22"/>
          <w:szCs w:val="22"/>
        </w:rPr>
      </w:pPr>
      <w:r w:rsidRPr="00E94CA9">
        <w:rPr>
          <w:rFonts w:cs="Arial"/>
          <w:color w:val="000000" w:themeColor="text1"/>
          <w:sz w:val="22"/>
          <w:szCs w:val="22"/>
        </w:rPr>
        <w:lastRenderedPageBreak/>
        <w:t xml:space="preserve">Given that </w:t>
      </w:r>
      <w:r w:rsidR="00AA7D0F" w:rsidRPr="00E94CA9">
        <w:rPr>
          <w:rFonts w:cs="Arial"/>
          <w:color w:val="000000" w:themeColor="text1"/>
          <w:sz w:val="22"/>
          <w:szCs w:val="22"/>
        </w:rPr>
        <w:t xml:space="preserve">a strong synergistic effect was </w:t>
      </w:r>
      <w:r w:rsidR="00815979" w:rsidRPr="00E94CA9">
        <w:rPr>
          <w:rFonts w:cs="Arial"/>
          <w:color w:val="000000" w:themeColor="text1"/>
          <w:sz w:val="22"/>
          <w:szCs w:val="22"/>
        </w:rPr>
        <w:t xml:space="preserve">previously shown on </w:t>
      </w:r>
      <w:r w:rsidR="00AA7D0F" w:rsidRPr="00E94CA9">
        <w:rPr>
          <w:rFonts w:cs="Arial"/>
          <w:color w:val="000000" w:themeColor="text1"/>
          <w:sz w:val="22"/>
          <w:szCs w:val="22"/>
        </w:rPr>
        <w:t>simultaneous inhibitio</w:t>
      </w:r>
      <w:r w:rsidR="003757B4" w:rsidRPr="00E94CA9">
        <w:rPr>
          <w:rFonts w:cs="Arial"/>
          <w:color w:val="000000" w:themeColor="text1"/>
          <w:sz w:val="22"/>
          <w:szCs w:val="22"/>
        </w:rPr>
        <w:t>n of ALK and PIM kinases in ALK-positive</w:t>
      </w:r>
      <w:r w:rsidR="00AA7D0F" w:rsidRPr="00E94CA9">
        <w:rPr>
          <w:rFonts w:cs="Arial"/>
          <w:color w:val="000000" w:themeColor="text1"/>
          <w:sz w:val="22"/>
          <w:szCs w:val="22"/>
        </w:rPr>
        <w:t xml:space="preserve"> ALCL cell lines</w:t>
      </w:r>
      <w:r w:rsidR="00A97C97"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{"citationItems":[{"id":"ITEM-1","itemData":{"DOI":"10.1371/journal.pone.0112148","ISBN":"1932-6203 (Electronic)\r1932-6203 (Linking)","PMID":"25386922","abstract":"Currently, there is no efficient therapy for patients with peripheral T cell lymphoma (PTCL). The Proviral Integration site of Moloney murine leukemia virus (PIM) kinases are important mediators of cell survival. We aimed to determine the therapeutic value of PIM kinases because they are overexpressed in PTCL patients, T cell lines and primary tumoral T cells. PIM kinases were inhibited genetically (using small interfering and short hairpin RNAs) and pharmacologically (mainly with the pan-PIM inhibitor (PIMi) ETP-39010) in a panel of 8 PTCL cell lines. Effects on cell viability, apoptosis, cell cycle, key proteins and gene expression were evaluated. Individual inhibition of each of the PIM genes did not affect PTCL cell survival, partially because of a compensatory mechanism among the three PIM genes. In contrast, pharmacological inhibition of all PIM kinases strongly induced apoptosis in all PTCL cell lines, without cell cycle arrest, in part through the induction of DNA damage. Therefore, pan-PIMi synergized with Cisplatin. Importantly, pharmacological inhibition of PIM reduced primary tumoral T cell viability without affecting normal T cells ex vivo. Since anaplastic large cell lymphoma (ALK+ ALCL) cell lines were the most sensitive to the pan-PIMi, we tested the simultaneous inhibition of ALK and PIM kinases and found a strong synergistic effect in ALK+ ALCL cell lines. Our findings suggest that PIM kinase inhibition could be of therapeutic value in a subset of PTCL, especially when combined with ALK inhibitors, and might be clinically beneficial in ALK+ ALCL.","author":[{"dropping-particle":"","family":"Martin-Sanchez","given":"E","non-dropping-particle":"","parse-names":false,"suffix":""},{"dropping-particle":"","family":"Odqvist","given":"L","non-dropping-particle":"","parse-names":false,"suffix":""},{"dropping-particle":"","family":"Rodriguez-Pinilla","given":"S M","non-dropping-particle":"","parse-names":false,"suffix":""},{"dropping-particle":"","family":"Sanchez-Beato","given":"M","non-dropping-particle":"","parse-names":false,"suffix":""},{"dropping-particle":"","family":"Roncador","given":"G","non-dropping-particle":"","parse-names":false,"suffix":""},{"dropping-particle":"","family":"Dominguez-Gonzalez","given":"B","non-dropping-particle":"","parse-names":false,"suffix":""},{"dropping-particle":"","family":"Blanco-Aparicio","given":"C","non-dropping-particle":"","parse-names":false,"suffix":""},{"dropping-particle":"","family":"Garcia Collazo","given":"A M","non-dropping-particle":"","parse-names":false,"suffix":""},{"dropping-particle":"","family":"Cantalapiedra","given":"E G","non-dropping-particle":"","parse-names":false,"suffix":""},{"dropping-particle":"","family":"Fernandez","given":"J P","non-dropping-particle":"","parse-names":false,"suffix":""},{"dropping-particle":"","family":"Curiel del Olmo","given":"S","non-dropping-particle":"","parse-names":false,"suffix":""},{"dropping-particle":"","family":"Pisonero","given":"H","non-dropping-particle":"","parse-names":false,"suffix":""},{"dropping-particle":"","family":"Madureira","given":"R","non-dropping-particle":"","parse-names":false,"suffix":""},{"dropping-particle":"","family":"Almaraz","given":"C","non-dropping-particle":"","parse-names":false,"suffix":""},{"dropping-particle":"","family":"Mollejo","given":"M","non-dropping-particle":"","parse-names":false,"suffix":""},{"dropping-particle":"","family":"Alves","given":"F J","non-dropping-particle":"","parse-names":false,"suffix":""},{"dropping-particle":"","family":"Menarguez","given":"J","non-dropping-particle":"","parse-names":false,"suffix":""},{"dropping-particle":"","family":"Gonzalez-Palacios","given":"F","non-dropping-particle":"","parse-names":false,"suffix":""},{"dropping-particle":"","family":"Rodriguez-Peralto","given":"J L","non-dropping-particle":"","parse-names":false,"suffix":""},{"dropping-particle":"","family":"Ortiz-Romero","given":"P L","non-dropping-particle":"","parse-names":false,"suffix":""},{"dropping-particle":"","family":"Real","given":"F X","non-dropping-particle":"","parse-names":false,"suffix":""},{"dropping-particle":"","family":"Garcia","given":"J F","non-dropping-particle":"","parse-names":false,"suffix":""},{"dropping-particle":"","family":"Bischoff","given":"J R","non-dropping-particle":"","parse-names":false,"suffix":""},{"dropping-particle":"","family":"Piris","given":"M A","non-dropping-particle":"","parse-names":false,"suffix":""}],"container-title":"PLoS One","id":"ITEM-1","issue":"11","issued":{"date-parts":[["2014"]]},"note":"Martin-Sanchez, Esperanza\nOdqvist, Lina\nRodriguez-Pinilla, Socorro M\nSanchez-Beato, Margarita\nRoncador, Giovanna\nDominguez-Gonzalez, Beatriz\nBlanco-Aparicio, Carmen\nGarcia Collazo, Ana M\nCantalapiedra, Esther Gonzalez\nFernandez, Joaquin Pastor\nCuriel del Olmo, Soraya\nPisonero, Helena\nMadureira, Rebeca\nAlmaraz, Carmen\nMollejo, Manuela\nAlves, F Javier\nMenarguez, Javier\nGonzalez-Palacios, Fernando\nRodriguez-Peralto, Jose Luis\nOrtiz-Romero, Pablo L\nReal, Francisco X\nGarcia, Juan F\nBischoff, James R\nPiris, Miguel A\neng\nResearch Support, Non-U.S. Gov't\n2014/11/12 06:00\nPLoS One. 2014 Nov 11;9(11):e112148. doi: 10.1371/journal.pone.0112148. eCollection 2014.","page":"e112148","title":"PIM kinases as potential therapeutic targets in a subset of peripheral T cell lymphoma cases","type":"article-journal","volume":"9"},"uris":["http://www.mendeley.com/documents/?uuid=a138efea-dd15-4a5c-a923-f82f7bca6f31","http://www.mendeley.com/documents/?uuid=a8c52990-e9c2-4628-87db-79f097b26dd5"]}],"mendeley":{"formattedCitation":"&lt;sup&gt;46&lt;/sup&gt;","plainTextFormattedCitation":"46","previouslyFormattedCitation":"&lt;sup&gt;46&lt;/sup&gt;"},"properties":{"noteIndex":0},"schema":"https://github.com/citation-style-language/schema/raw/master/csl-citation.json"}</w:instrText>
      </w:r>
      <w:r w:rsidR="00A97C97" w:rsidRPr="00E94CA9">
        <w:rPr>
          <w:rFonts w:cs="Arial"/>
          <w:color w:val="000000" w:themeColor="text1"/>
          <w:sz w:val="22"/>
          <w:szCs w:val="22"/>
        </w:rPr>
        <w:fldChar w:fldCharType="separate"/>
      </w:r>
      <w:r w:rsidR="005271C7" w:rsidRPr="00E94CA9">
        <w:rPr>
          <w:rFonts w:cs="Arial"/>
          <w:noProof/>
          <w:color w:val="000000" w:themeColor="text1"/>
          <w:sz w:val="22"/>
          <w:szCs w:val="22"/>
          <w:vertAlign w:val="superscript"/>
        </w:rPr>
        <w:t>46</w:t>
      </w:r>
      <w:r w:rsidR="00A97C97" w:rsidRPr="00E94CA9">
        <w:rPr>
          <w:rFonts w:cs="Arial"/>
          <w:color w:val="000000" w:themeColor="text1"/>
          <w:sz w:val="22"/>
          <w:szCs w:val="22"/>
        </w:rPr>
        <w:fldChar w:fldCharType="end"/>
      </w:r>
      <w:r w:rsidR="009E6090" w:rsidRPr="00E94CA9">
        <w:rPr>
          <w:rFonts w:cs="Arial"/>
          <w:color w:val="000000" w:themeColor="text1"/>
          <w:sz w:val="22"/>
          <w:szCs w:val="22"/>
        </w:rPr>
        <w:t>,</w:t>
      </w:r>
      <w:r w:rsidRPr="00E94CA9">
        <w:rPr>
          <w:rFonts w:cs="Arial"/>
          <w:color w:val="000000" w:themeColor="text1"/>
          <w:sz w:val="22"/>
          <w:szCs w:val="22"/>
        </w:rPr>
        <w:t xml:space="preserve"> </w:t>
      </w:r>
      <w:r w:rsidRPr="00E94CA9">
        <w:rPr>
          <w:rFonts w:cs="Arial"/>
          <w:i/>
          <w:color w:val="000000" w:themeColor="text1"/>
          <w:sz w:val="22"/>
          <w:szCs w:val="22"/>
        </w:rPr>
        <w:t>PIM1</w:t>
      </w:r>
      <w:r w:rsidRPr="00E94CA9">
        <w:rPr>
          <w:rFonts w:cs="Arial"/>
          <w:color w:val="000000" w:themeColor="text1"/>
          <w:sz w:val="22"/>
          <w:szCs w:val="22"/>
        </w:rPr>
        <w:t xml:space="preserve"> </w:t>
      </w:r>
      <w:r w:rsidR="00815979" w:rsidRPr="00E94CA9">
        <w:rPr>
          <w:rFonts w:cs="Arial"/>
          <w:color w:val="000000" w:themeColor="text1"/>
          <w:sz w:val="22"/>
          <w:szCs w:val="22"/>
        </w:rPr>
        <w:t xml:space="preserve">was </w:t>
      </w:r>
      <w:r w:rsidR="00ED6C48">
        <w:rPr>
          <w:rFonts w:cs="Arial"/>
          <w:color w:val="000000" w:themeColor="text1"/>
          <w:sz w:val="22"/>
          <w:szCs w:val="22"/>
        </w:rPr>
        <w:t>overexpressed</w:t>
      </w:r>
      <w:r w:rsidRPr="00E94CA9">
        <w:rPr>
          <w:rFonts w:cs="Arial"/>
          <w:color w:val="000000" w:themeColor="text1"/>
          <w:sz w:val="22"/>
          <w:szCs w:val="22"/>
        </w:rPr>
        <w:t xml:space="preserve"> </w:t>
      </w:r>
      <w:r w:rsidR="007E4C43" w:rsidRPr="00E94CA9">
        <w:rPr>
          <w:rFonts w:cs="Arial"/>
          <w:color w:val="000000" w:themeColor="text1"/>
          <w:sz w:val="22"/>
          <w:szCs w:val="22"/>
        </w:rPr>
        <w:t xml:space="preserve">and </w:t>
      </w:r>
      <w:r w:rsidR="006B0453" w:rsidRPr="00E94CA9">
        <w:rPr>
          <w:rFonts w:cs="Arial"/>
          <w:color w:val="000000" w:themeColor="text1"/>
          <w:sz w:val="22"/>
          <w:szCs w:val="22"/>
        </w:rPr>
        <w:t xml:space="preserve">sensitivity </w:t>
      </w:r>
      <w:r w:rsidRPr="00E94CA9">
        <w:rPr>
          <w:rFonts w:cs="Arial"/>
          <w:color w:val="000000" w:themeColor="text1"/>
          <w:sz w:val="22"/>
          <w:szCs w:val="22"/>
        </w:rPr>
        <w:t xml:space="preserve">to ALK inhibitors </w:t>
      </w:r>
      <w:r w:rsidR="00815979" w:rsidRPr="00E94CA9">
        <w:rPr>
          <w:rFonts w:cs="Arial"/>
          <w:color w:val="000000" w:themeColor="text1"/>
          <w:sz w:val="22"/>
          <w:szCs w:val="22"/>
        </w:rPr>
        <w:t xml:space="preserve">monitored </w:t>
      </w:r>
      <w:r w:rsidRPr="00E94CA9">
        <w:rPr>
          <w:rFonts w:cs="Arial"/>
          <w:color w:val="000000" w:themeColor="text1"/>
          <w:sz w:val="22"/>
          <w:szCs w:val="22"/>
        </w:rPr>
        <w:t xml:space="preserve">in </w:t>
      </w:r>
      <w:r w:rsidR="007E4C43" w:rsidRPr="00E94CA9">
        <w:rPr>
          <w:rFonts w:cs="Arial"/>
          <w:color w:val="000000" w:themeColor="text1"/>
          <w:sz w:val="22"/>
          <w:szCs w:val="22"/>
        </w:rPr>
        <w:t>ALK</w:t>
      </w:r>
      <w:r w:rsidR="00DF5EB2" w:rsidRPr="00E94CA9">
        <w:rPr>
          <w:rFonts w:cs="Arial"/>
          <w:color w:val="000000" w:themeColor="text1"/>
          <w:sz w:val="22"/>
          <w:szCs w:val="22"/>
        </w:rPr>
        <w:t>-positive</w:t>
      </w:r>
      <w:r w:rsidR="009E6090" w:rsidRPr="00E94CA9">
        <w:rPr>
          <w:rFonts w:cs="Arial"/>
          <w:color w:val="000000" w:themeColor="text1"/>
          <w:sz w:val="22"/>
          <w:szCs w:val="22"/>
        </w:rPr>
        <w:t xml:space="preserve"> </w:t>
      </w:r>
      <w:r w:rsidRPr="00E94CA9">
        <w:rPr>
          <w:rFonts w:cs="Arial"/>
          <w:color w:val="000000" w:themeColor="text1"/>
          <w:sz w:val="22"/>
          <w:szCs w:val="22"/>
        </w:rPr>
        <w:t>ALCL cell lines. Karpas 299 and SU-DHL-1 cells were transduced to express components of the CRISPR SAM complex</w:t>
      </w:r>
      <w:r w:rsidR="005F7A04" w:rsidRPr="00E94CA9">
        <w:rPr>
          <w:rFonts w:cs="Arial"/>
          <w:color w:val="000000" w:themeColor="text1"/>
          <w:sz w:val="22"/>
          <w:szCs w:val="22"/>
        </w:rPr>
        <w:t xml:space="preserve"> </w:t>
      </w:r>
      <w:r w:rsidRPr="00E94CA9">
        <w:rPr>
          <w:rFonts w:cs="Arial"/>
          <w:color w:val="000000" w:themeColor="text1"/>
          <w:sz w:val="22"/>
          <w:szCs w:val="22"/>
        </w:rPr>
        <w:t xml:space="preserve">whose activity was confirmed (Supplementary </w:t>
      </w:r>
      <w:r w:rsidR="00771E27">
        <w:rPr>
          <w:rFonts w:cs="Arial"/>
          <w:color w:val="000000" w:themeColor="text1"/>
          <w:sz w:val="22"/>
          <w:szCs w:val="22"/>
        </w:rPr>
        <w:t>Fig.</w:t>
      </w:r>
      <w:r w:rsidRPr="00E94CA9">
        <w:rPr>
          <w:rFonts w:cs="Arial"/>
          <w:color w:val="000000" w:themeColor="text1"/>
          <w:sz w:val="22"/>
          <w:szCs w:val="22"/>
        </w:rPr>
        <w:t xml:space="preserve"> 6</w:t>
      </w:r>
      <w:r w:rsidR="0011772D" w:rsidRPr="00E94CA9">
        <w:rPr>
          <w:rFonts w:cs="Arial"/>
          <w:color w:val="000000" w:themeColor="text1"/>
          <w:sz w:val="22"/>
          <w:szCs w:val="22"/>
        </w:rPr>
        <w:t>a</w:t>
      </w:r>
      <w:r w:rsidRPr="00E94CA9">
        <w:rPr>
          <w:rFonts w:cs="Arial"/>
          <w:color w:val="000000" w:themeColor="text1"/>
          <w:sz w:val="22"/>
          <w:szCs w:val="22"/>
        </w:rPr>
        <w:t xml:space="preserve">) before assessing their responses to </w:t>
      </w:r>
      <w:proofErr w:type="spellStart"/>
      <w:r w:rsidRPr="00E94CA9">
        <w:rPr>
          <w:rFonts w:cs="Arial"/>
          <w:color w:val="000000" w:themeColor="text1"/>
          <w:sz w:val="22"/>
          <w:szCs w:val="22"/>
        </w:rPr>
        <w:t>brigatinib</w:t>
      </w:r>
      <w:proofErr w:type="spellEnd"/>
      <w:r w:rsidRPr="00E94CA9">
        <w:rPr>
          <w:rFonts w:cs="Arial"/>
          <w:color w:val="000000" w:themeColor="text1"/>
          <w:sz w:val="22"/>
          <w:szCs w:val="22"/>
        </w:rPr>
        <w:t xml:space="preserve"> </w:t>
      </w:r>
      <w:r w:rsidR="009E6090" w:rsidRPr="00E94CA9">
        <w:rPr>
          <w:rFonts w:cs="Arial"/>
          <w:color w:val="000000" w:themeColor="text1"/>
          <w:sz w:val="22"/>
          <w:szCs w:val="22"/>
        </w:rPr>
        <w:t>or</w:t>
      </w:r>
      <w:r w:rsidRPr="00E94CA9">
        <w:rPr>
          <w:rFonts w:cs="Arial"/>
          <w:color w:val="000000" w:themeColor="text1"/>
          <w:sz w:val="22"/>
          <w:szCs w:val="22"/>
        </w:rPr>
        <w:t xml:space="preserve">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upon overexpression of </w:t>
      </w:r>
      <w:r w:rsidRPr="00E94CA9">
        <w:rPr>
          <w:rFonts w:cs="Arial"/>
          <w:i/>
          <w:color w:val="000000" w:themeColor="text1"/>
          <w:sz w:val="22"/>
          <w:szCs w:val="22"/>
        </w:rPr>
        <w:t>PIM1</w:t>
      </w:r>
      <w:r w:rsidRPr="00E94CA9">
        <w:rPr>
          <w:rFonts w:cs="Arial"/>
          <w:color w:val="000000" w:themeColor="text1"/>
          <w:sz w:val="22"/>
          <w:szCs w:val="22"/>
        </w:rPr>
        <w:t xml:space="preserve"> as conducted previously</w:t>
      </w:r>
      <w:r w:rsidR="005F7A04" w:rsidRPr="00E94CA9">
        <w:rPr>
          <w:rFonts w:cs="Arial"/>
          <w:color w:val="000000" w:themeColor="text1"/>
          <w:sz w:val="22"/>
          <w:szCs w:val="22"/>
        </w:rPr>
        <w:t xml:space="preserve"> (Supplementary </w:t>
      </w:r>
      <w:r w:rsidR="00771E27">
        <w:rPr>
          <w:rFonts w:cs="Arial"/>
          <w:color w:val="000000" w:themeColor="text1"/>
          <w:sz w:val="22"/>
          <w:szCs w:val="22"/>
        </w:rPr>
        <w:t>Fig.</w:t>
      </w:r>
      <w:r w:rsidR="005F7A04" w:rsidRPr="00E94CA9">
        <w:rPr>
          <w:rFonts w:cs="Arial"/>
          <w:color w:val="000000" w:themeColor="text1"/>
          <w:sz w:val="22"/>
          <w:szCs w:val="22"/>
        </w:rPr>
        <w:t xml:space="preserve"> 6b,</w:t>
      </w:r>
      <w:r w:rsidR="00F17165" w:rsidRPr="00E94CA9">
        <w:rPr>
          <w:rFonts w:cs="Arial"/>
          <w:color w:val="000000" w:themeColor="text1"/>
          <w:sz w:val="22"/>
          <w:szCs w:val="22"/>
        </w:rPr>
        <w:t xml:space="preserve"> </w:t>
      </w:r>
      <w:r w:rsidR="005F7A04" w:rsidRPr="00E94CA9">
        <w:rPr>
          <w:rFonts w:cs="Arial"/>
          <w:color w:val="000000" w:themeColor="text1"/>
          <w:sz w:val="22"/>
          <w:szCs w:val="22"/>
        </w:rPr>
        <w:t>c)</w:t>
      </w:r>
      <w:r w:rsidRPr="00E94CA9">
        <w:rPr>
          <w:rFonts w:cs="Arial"/>
          <w:color w:val="000000" w:themeColor="text1"/>
          <w:sz w:val="22"/>
          <w:szCs w:val="22"/>
        </w:rPr>
        <w:t xml:space="preserve">. Indeed, overexpression of </w:t>
      </w:r>
      <w:r w:rsidRPr="00E94CA9">
        <w:rPr>
          <w:rFonts w:cs="Arial"/>
          <w:i/>
          <w:color w:val="000000" w:themeColor="text1"/>
          <w:sz w:val="22"/>
          <w:szCs w:val="22"/>
        </w:rPr>
        <w:t>PIM1</w:t>
      </w:r>
      <w:r w:rsidRPr="00E94CA9">
        <w:rPr>
          <w:rFonts w:cs="Arial"/>
          <w:color w:val="000000" w:themeColor="text1"/>
          <w:sz w:val="22"/>
          <w:szCs w:val="22"/>
        </w:rPr>
        <w:t xml:space="preserve"> led to drug resistance, evidenced by significant increases in </w:t>
      </w:r>
      <w:r w:rsidR="005F7A04" w:rsidRPr="00E94CA9">
        <w:rPr>
          <w:rFonts w:cs="Arial"/>
          <w:color w:val="000000" w:themeColor="text1"/>
          <w:sz w:val="22"/>
          <w:szCs w:val="22"/>
        </w:rPr>
        <w:t xml:space="preserve">the </w:t>
      </w:r>
      <w:proofErr w:type="spellStart"/>
      <w:r w:rsidRPr="00E94CA9">
        <w:rPr>
          <w:rFonts w:cs="Arial"/>
          <w:color w:val="000000" w:themeColor="text1"/>
          <w:sz w:val="22"/>
          <w:szCs w:val="22"/>
        </w:rPr>
        <w:t>brigatinib</w:t>
      </w:r>
      <w:proofErr w:type="spellEnd"/>
      <w:r w:rsidRPr="00E94CA9">
        <w:rPr>
          <w:rFonts w:cs="Arial"/>
          <w:color w:val="000000" w:themeColor="text1"/>
          <w:sz w:val="22"/>
          <w:szCs w:val="22"/>
        </w:rPr>
        <w:t xml:space="preserve"> ED</w:t>
      </w:r>
      <w:r w:rsidRPr="00E94CA9">
        <w:rPr>
          <w:rFonts w:cs="Arial"/>
          <w:color w:val="000000" w:themeColor="text1"/>
          <w:sz w:val="22"/>
          <w:szCs w:val="22"/>
          <w:vertAlign w:val="subscript"/>
        </w:rPr>
        <w:t>50</w:t>
      </w:r>
      <w:r w:rsidRPr="00E94CA9">
        <w:rPr>
          <w:rFonts w:cs="Arial"/>
          <w:color w:val="000000" w:themeColor="text1"/>
          <w:sz w:val="22"/>
          <w:szCs w:val="22"/>
        </w:rPr>
        <w:t xml:space="preserve"> (</w:t>
      </w:r>
      <w:r w:rsidRPr="00E94CA9">
        <w:rPr>
          <w:rFonts w:cs="Arial"/>
          <w:i/>
          <w:color w:val="000000" w:themeColor="text1"/>
          <w:sz w:val="22"/>
          <w:szCs w:val="22"/>
        </w:rPr>
        <w:t>p</w:t>
      </w:r>
      <w:r w:rsidRPr="00E94CA9">
        <w:rPr>
          <w:rFonts w:cs="Arial"/>
          <w:color w:val="000000" w:themeColor="text1"/>
          <w:sz w:val="22"/>
          <w:szCs w:val="22"/>
        </w:rPr>
        <w:t xml:space="preserve"> &lt; 0.01</w:t>
      </w:r>
      <w:r w:rsidR="00811ECA">
        <w:rPr>
          <w:rFonts w:cs="Arial"/>
          <w:color w:val="000000" w:themeColor="text1"/>
          <w:sz w:val="22"/>
          <w:szCs w:val="22"/>
        </w:rPr>
        <w:t xml:space="preserve">, </w:t>
      </w:r>
      <w:r w:rsidR="00811ECA" w:rsidRPr="007D59B1">
        <w:rPr>
          <w:rFonts w:cs="Arial"/>
          <w:sz w:val="22"/>
          <w:szCs w:val="22"/>
        </w:rPr>
        <w:t xml:space="preserve">unpaired Student’s </w:t>
      </w:r>
      <w:r w:rsidR="00811ECA" w:rsidRPr="007D59B1">
        <w:rPr>
          <w:rFonts w:cs="Arial"/>
          <w:i/>
          <w:sz w:val="22"/>
          <w:szCs w:val="22"/>
        </w:rPr>
        <w:t>t</w:t>
      </w:r>
      <w:r w:rsidR="00811ECA" w:rsidRPr="007D59B1">
        <w:rPr>
          <w:rFonts w:cs="Arial"/>
          <w:sz w:val="22"/>
          <w:szCs w:val="22"/>
        </w:rPr>
        <w:t>-test</w:t>
      </w:r>
      <w:r w:rsidRPr="00E94CA9">
        <w:rPr>
          <w:rFonts w:cs="Arial"/>
          <w:color w:val="000000" w:themeColor="text1"/>
          <w:sz w:val="22"/>
          <w:szCs w:val="22"/>
        </w:rPr>
        <w:t xml:space="preserve">) and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ED</w:t>
      </w:r>
      <w:r w:rsidRPr="00E94CA9">
        <w:rPr>
          <w:rFonts w:cs="Arial"/>
          <w:color w:val="000000" w:themeColor="text1"/>
          <w:sz w:val="22"/>
          <w:szCs w:val="22"/>
          <w:vertAlign w:val="subscript"/>
        </w:rPr>
        <w:t>50</w:t>
      </w:r>
      <w:r w:rsidRPr="00E94CA9">
        <w:rPr>
          <w:rFonts w:cs="Arial"/>
          <w:color w:val="000000" w:themeColor="text1"/>
          <w:sz w:val="22"/>
          <w:szCs w:val="22"/>
        </w:rPr>
        <w:t xml:space="preserve"> (</w:t>
      </w:r>
      <w:r w:rsidRPr="00E94CA9">
        <w:rPr>
          <w:rFonts w:cs="Arial"/>
          <w:i/>
          <w:color w:val="000000" w:themeColor="text1"/>
          <w:sz w:val="22"/>
          <w:szCs w:val="22"/>
        </w:rPr>
        <w:t>p</w:t>
      </w:r>
      <w:r w:rsidRPr="00E94CA9">
        <w:rPr>
          <w:rFonts w:cs="Arial"/>
          <w:color w:val="000000" w:themeColor="text1"/>
          <w:sz w:val="22"/>
          <w:szCs w:val="22"/>
        </w:rPr>
        <w:t xml:space="preserve"> &lt; 0.001</w:t>
      </w:r>
      <w:r w:rsidR="00811ECA">
        <w:rPr>
          <w:rFonts w:cs="Arial"/>
          <w:color w:val="000000" w:themeColor="text1"/>
          <w:sz w:val="22"/>
          <w:szCs w:val="22"/>
        </w:rPr>
        <w:t xml:space="preserve">, </w:t>
      </w:r>
      <w:r w:rsidR="00811ECA" w:rsidRPr="007D59B1">
        <w:rPr>
          <w:rFonts w:cs="Arial"/>
          <w:sz w:val="22"/>
          <w:szCs w:val="22"/>
        </w:rPr>
        <w:t xml:space="preserve">unpaired Student’s </w:t>
      </w:r>
      <w:r w:rsidR="00811ECA" w:rsidRPr="007D59B1">
        <w:rPr>
          <w:rFonts w:cs="Arial"/>
          <w:i/>
          <w:sz w:val="22"/>
          <w:szCs w:val="22"/>
        </w:rPr>
        <w:t>t</w:t>
      </w:r>
      <w:r w:rsidR="00811ECA" w:rsidRPr="007D59B1">
        <w:rPr>
          <w:rFonts w:cs="Arial"/>
          <w:sz w:val="22"/>
          <w:szCs w:val="22"/>
        </w:rPr>
        <w:t>-test</w:t>
      </w:r>
      <w:r w:rsidRPr="00E94CA9">
        <w:rPr>
          <w:rFonts w:cs="Arial"/>
          <w:color w:val="000000" w:themeColor="text1"/>
          <w:sz w:val="22"/>
          <w:szCs w:val="22"/>
        </w:rPr>
        <w:t>). Therefore,</w:t>
      </w:r>
      <w:bookmarkStart w:id="2" w:name="OLE_LINK1"/>
      <w:bookmarkEnd w:id="2"/>
      <w:r w:rsidRPr="00E94CA9">
        <w:rPr>
          <w:rFonts w:cs="Arial"/>
          <w:color w:val="000000" w:themeColor="text1"/>
          <w:sz w:val="22"/>
          <w:szCs w:val="22"/>
        </w:rPr>
        <w:t xml:space="preserve"> </w:t>
      </w:r>
      <w:r w:rsidRPr="00E94CA9">
        <w:rPr>
          <w:rFonts w:cs="Arial"/>
          <w:i/>
          <w:color w:val="000000" w:themeColor="text1"/>
          <w:sz w:val="22"/>
          <w:szCs w:val="22"/>
        </w:rPr>
        <w:t>PIM1</w:t>
      </w:r>
      <w:r w:rsidRPr="00E94CA9">
        <w:rPr>
          <w:rFonts w:cs="Arial"/>
          <w:color w:val="000000" w:themeColor="text1"/>
          <w:sz w:val="22"/>
          <w:szCs w:val="22"/>
        </w:rPr>
        <w:t xml:space="preserve"> is a potential </w:t>
      </w:r>
      <w:r w:rsidR="00815979" w:rsidRPr="00E94CA9">
        <w:rPr>
          <w:rFonts w:cs="Arial"/>
          <w:color w:val="000000" w:themeColor="text1"/>
          <w:sz w:val="22"/>
          <w:szCs w:val="22"/>
        </w:rPr>
        <w:t>ALK inhibitor</w:t>
      </w:r>
      <w:r w:rsidR="005F7A04" w:rsidRPr="00E94CA9">
        <w:rPr>
          <w:rFonts w:cs="Arial"/>
          <w:color w:val="000000" w:themeColor="text1"/>
          <w:sz w:val="22"/>
          <w:szCs w:val="22"/>
        </w:rPr>
        <w:t>-</w:t>
      </w:r>
      <w:r w:rsidRPr="00E94CA9">
        <w:rPr>
          <w:rFonts w:cs="Arial"/>
          <w:color w:val="000000" w:themeColor="text1"/>
          <w:sz w:val="22"/>
          <w:szCs w:val="22"/>
        </w:rPr>
        <w:t>resistance driver in ALCL and is worthy of further exploration</w:t>
      </w:r>
      <w:r w:rsidRPr="00E94CA9">
        <w:rPr>
          <w:rFonts w:cs="Arial"/>
          <w:sz w:val="22"/>
          <w:szCs w:val="22"/>
        </w:rPr>
        <w:t>.</w:t>
      </w:r>
    </w:p>
    <w:p w14:paraId="4970E512" w14:textId="77777777" w:rsidR="00C830A4" w:rsidRPr="00E94CA9" w:rsidRDefault="00C830A4" w:rsidP="008046A5">
      <w:pPr>
        <w:spacing w:line="360" w:lineRule="auto"/>
        <w:ind w:firstLine="284"/>
        <w:jc w:val="both"/>
        <w:rPr>
          <w:rFonts w:cs="Arial"/>
          <w:sz w:val="22"/>
          <w:szCs w:val="22"/>
        </w:rPr>
      </w:pPr>
    </w:p>
    <w:p w14:paraId="03A5A820" w14:textId="7EE9D893" w:rsidR="002A3C22" w:rsidRDefault="00EA359A">
      <w:pPr>
        <w:spacing w:line="360" w:lineRule="auto"/>
        <w:jc w:val="both"/>
        <w:rPr>
          <w:rFonts w:cs="Arial"/>
          <w:sz w:val="22"/>
          <w:szCs w:val="22"/>
        </w:rPr>
      </w:pPr>
      <w:r w:rsidRPr="00ED6C48">
        <w:rPr>
          <w:rFonts w:cs="Arial"/>
          <w:b/>
          <w:bCs/>
          <w:sz w:val="22"/>
          <w:szCs w:val="22"/>
        </w:rPr>
        <w:t xml:space="preserve">PIM </w:t>
      </w:r>
      <w:r w:rsidR="0012437C" w:rsidRPr="00ED6C48">
        <w:rPr>
          <w:rFonts w:cs="Arial"/>
          <w:b/>
          <w:bCs/>
          <w:sz w:val="22"/>
          <w:szCs w:val="22"/>
        </w:rPr>
        <w:t>inhibit</w:t>
      </w:r>
      <w:r w:rsidR="0012437C">
        <w:rPr>
          <w:rFonts w:cs="Arial"/>
          <w:b/>
          <w:bCs/>
          <w:sz w:val="22"/>
          <w:szCs w:val="22"/>
        </w:rPr>
        <w:t xml:space="preserve">ion alone is </w:t>
      </w:r>
      <w:r w:rsidRPr="00ED6C48">
        <w:rPr>
          <w:rFonts w:cs="Arial"/>
          <w:b/>
          <w:bCs/>
          <w:sz w:val="22"/>
          <w:szCs w:val="22"/>
        </w:rPr>
        <w:t xml:space="preserve">not efficacious </w:t>
      </w:r>
      <w:r w:rsidR="00496304" w:rsidRPr="00ED6C48">
        <w:rPr>
          <w:rFonts w:cs="Arial"/>
          <w:b/>
          <w:bCs/>
          <w:sz w:val="22"/>
          <w:szCs w:val="22"/>
        </w:rPr>
        <w:t xml:space="preserve">in NB cell lines </w:t>
      </w:r>
    </w:p>
    <w:p w14:paraId="0AC1E1A4" w14:textId="4118F49F" w:rsidR="00D30528" w:rsidRPr="00E94CA9" w:rsidRDefault="005033EF" w:rsidP="00845ECF">
      <w:pPr>
        <w:spacing w:line="360" w:lineRule="auto"/>
        <w:ind w:firstLine="720"/>
        <w:jc w:val="both"/>
        <w:rPr>
          <w:rFonts w:cs="Arial"/>
          <w:color w:val="000000" w:themeColor="text1"/>
          <w:sz w:val="22"/>
          <w:szCs w:val="22"/>
        </w:rPr>
      </w:pPr>
      <w:r w:rsidRPr="00E94CA9">
        <w:rPr>
          <w:rFonts w:cs="Arial"/>
          <w:sz w:val="22"/>
          <w:szCs w:val="22"/>
        </w:rPr>
        <w:t>To investigate the potential of PIM1 as a therapeutic target in ALK-</w:t>
      </w:r>
      <w:r w:rsidRPr="00E94CA9">
        <w:rPr>
          <w:rFonts w:cs="Arial"/>
          <w:color w:val="000000" w:themeColor="text1"/>
          <w:sz w:val="22"/>
          <w:szCs w:val="22"/>
        </w:rPr>
        <w:t xml:space="preserve">positive NB, transcript levels of </w:t>
      </w:r>
      <w:r w:rsidRPr="00E94CA9">
        <w:rPr>
          <w:rFonts w:cs="Arial"/>
          <w:i/>
          <w:color w:val="000000" w:themeColor="text1"/>
          <w:sz w:val="22"/>
          <w:szCs w:val="22"/>
        </w:rPr>
        <w:t>PIM1</w:t>
      </w:r>
      <w:r w:rsidRPr="00E94CA9">
        <w:rPr>
          <w:rFonts w:cs="Arial"/>
          <w:color w:val="000000" w:themeColor="text1"/>
          <w:sz w:val="22"/>
          <w:szCs w:val="22"/>
        </w:rPr>
        <w:t xml:space="preserve"> were assessed by RT-qPCR across 25 NB cell lines that </w:t>
      </w:r>
      <w:r w:rsidR="005F7A04" w:rsidRPr="00E94CA9">
        <w:rPr>
          <w:rFonts w:cs="Arial"/>
          <w:color w:val="000000" w:themeColor="text1"/>
          <w:sz w:val="22"/>
          <w:szCs w:val="22"/>
        </w:rPr>
        <w:t>are</w:t>
      </w:r>
      <w:r w:rsidRPr="00E94CA9">
        <w:rPr>
          <w:rFonts w:cs="Arial"/>
          <w:color w:val="000000" w:themeColor="text1"/>
          <w:sz w:val="22"/>
          <w:szCs w:val="22"/>
        </w:rPr>
        <w:t xml:space="preserve"> diverse with respect to </w:t>
      </w:r>
      <w:r w:rsidRPr="00E94CA9">
        <w:rPr>
          <w:rFonts w:cs="Arial"/>
          <w:i/>
          <w:color w:val="000000" w:themeColor="text1"/>
          <w:sz w:val="22"/>
          <w:szCs w:val="22"/>
        </w:rPr>
        <w:t>ALK</w:t>
      </w:r>
      <w:r w:rsidRPr="00E94CA9">
        <w:rPr>
          <w:rFonts w:cs="Arial"/>
          <w:color w:val="000000" w:themeColor="text1"/>
          <w:sz w:val="22"/>
          <w:szCs w:val="22"/>
        </w:rPr>
        <w:t xml:space="preserve"> and </w:t>
      </w:r>
      <w:r w:rsidRPr="00E94CA9">
        <w:rPr>
          <w:rFonts w:cs="Arial"/>
          <w:i/>
          <w:color w:val="000000" w:themeColor="text1"/>
          <w:sz w:val="22"/>
          <w:szCs w:val="22"/>
        </w:rPr>
        <w:t>MYCN</w:t>
      </w:r>
      <w:r w:rsidRPr="00E94CA9">
        <w:rPr>
          <w:rFonts w:cs="Arial"/>
          <w:color w:val="000000" w:themeColor="text1"/>
          <w:sz w:val="22"/>
          <w:szCs w:val="22"/>
        </w:rPr>
        <w:t xml:space="preserve"> status (Fig</w:t>
      </w:r>
      <w:r w:rsidR="0011772D" w:rsidRPr="00E94CA9">
        <w:rPr>
          <w:rFonts w:cs="Arial"/>
          <w:color w:val="000000" w:themeColor="text1"/>
          <w:sz w:val="22"/>
          <w:szCs w:val="22"/>
        </w:rPr>
        <w:t>.</w:t>
      </w:r>
      <w:r w:rsidRPr="00E94CA9">
        <w:rPr>
          <w:rFonts w:cs="Arial"/>
          <w:color w:val="000000" w:themeColor="text1"/>
          <w:sz w:val="22"/>
          <w:szCs w:val="22"/>
        </w:rPr>
        <w:t xml:space="preserve"> 3</w:t>
      </w:r>
      <w:r w:rsidR="0011772D" w:rsidRPr="00E94CA9">
        <w:rPr>
          <w:rFonts w:cs="Arial"/>
          <w:color w:val="000000" w:themeColor="text1"/>
          <w:sz w:val="22"/>
          <w:szCs w:val="22"/>
        </w:rPr>
        <w:t>a</w:t>
      </w:r>
      <w:r w:rsidRPr="00E94CA9">
        <w:rPr>
          <w:rFonts w:cs="Arial"/>
          <w:color w:val="000000" w:themeColor="text1"/>
          <w:sz w:val="22"/>
          <w:szCs w:val="22"/>
        </w:rPr>
        <w:t xml:space="preserve">). As PIM can exist as one of 3 </w:t>
      </w:r>
      <w:r w:rsidR="005F7A04" w:rsidRPr="00E94CA9">
        <w:rPr>
          <w:rFonts w:cs="Arial"/>
          <w:color w:val="000000" w:themeColor="text1"/>
          <w:sz w:val="22"/>
          <w:szCs w:val="22"/>
        </w:rPr>
        <w:t>family members</w:t>
      </w:r>
      <w:r w:rsidRPr="00E94CA9">
        <w:rPr>
          <w:rFonts w:cs="Arial"/>
          <w:color w:val="000000" w:themeColor="text1"/>
          <w:sz w:val="22"/>
          <w:szCs w:val="22"/>
        </w:rPr>
        <w:t xml:space="preserve"> (PIM1, PIM2 and PIM3) with many PIM inhibitors showing overlapping activity, the transcript levels of all 3 proteins was determined in the same 25 cell lines (Supplementary </w:t>
      </w:r>
      <w:r w:rsidR="00771E27">
        <w:rPr>
          <w:rFonts w:cs="Arial"/>
          <w:color w:val="000000" w:themeColor="text1"/>
          <w:sz w:val="22"/>
          <w:szCs w:val="22"/>
        </w:rPr>
        <w:t>Fig.</w:t>
      </w:r>
      <w:r w:rsidRPr="00E94CA9">
        <w:rPr>
          <w:rFonts w:cs="Arial"/>
          <w:color w:val="000000" w:themeColor="text1"/>
          <w:sz w:val="22"/>
          <w:szCs w:val="22"/>
        </w:rPr>
        <w:t xml:space="preserve"> 7</w:t>
      </w:r>
      <w:r w:rsidR="0011772D" w:rsidRPr="00E94CA9">
        <w:rPr>
          <w:rFonts w:cs="Arial"/>
          <w:color w:val="000000" w:themeColor="text1"/>
          <w:sz w:val="22"/>
          <w:szCs w:val="22"/>
        </w:rPr>
        <w:t>a</w:t>
      </w:r>
      <w:r w:rsidRPr="00E94CA9">
        <w:rPr>
          <w:rFonts w:cs="Arial"/>
          <w:color w:val="000000" w:themeColor="text1"/>
          <w:sz w:val="22"/>
          <w:szCs w:val="22"/>
        </w:rPr>
        <w:t xml:space="preserve">). For </w:t>
      </w:r>
      <w:r w:rsidRPr="00E94CA9">
        <w:rPr>
          <w:rFonts w:cs="Arial"/>
          <w:i/>
          <w:color w:val="000000" w:themeColor="text1"/>
          <w:sz w:val="22"/>
          <w:szCs w:val="22"/>
        </w:rPr>
        <w:t>PIM1</w:t>
      </w:r>
      <w:r w:rsidRPr="00E94CA9">
        <w:rPr>
          <w:rFonts w:cs="Arial"/>
          <w:color w:val="000000" w:themeColor="text1"/>
          <w:sz w:val="22"/>
          <w:szCs w:val="22"/>
        </w:rPr>
        <w:t xml:space="preserve">, expression levels varied across the cell lines and there was no </w:t>
      </w:r>
      <w:r w:rsidR="00ED6C48">
        <w:rPr>
          <w:rFonts w:cs="Arial"/>
          <w:color w:val="000000" w:themeColor="text1"/>
          <w:sz w:val="22"/>
          <w:szCs w:val="22"/>
        </w:rPr>
        <w:t>strong</w:t>
      </w:r>
      <w:r w:rsidRPr="00E94CA9">
        <w:rPr>
          <w:rFonts w:cs="Arial"/>
          <w:color w:val="000000" w:themeColor="text1"/>
          <w:sz w:val="22"/>
          <w:szCs w:val="22"/>
        </w:rPr>
        <w:t xml:space="preserve"> correlation between expression of the different </w:t>
      </w:r>
      <w:r w:rsidR="005F7A04" w:rsidRPr="00E94CA9">
        <w:rPr>
          <w:rFonts w:cs="Arial"/>
          <w:color w:val="000000" w:themeColor="text1"/>
          <w:sz w:val="22"/>
          <w:szCs w:val="22"/>
        </w:rPr>
        <w:t>family members</w:t>
      </w:r>
      <w:r w:rsidRPr="00E94CA9">
        <w:rPr>
          <w:rFonts w:cs="Arial"/>
          <w:color w:val="000000" w:themeColor="text1"/>
          <w:sz w:val="22"/>
          <w:szCs w:val="22"/>
        </w:rPr>
        <w:t xml:space="preserve"> (Supplementary </w:t>
      </w:r>
      <w:r w:rsidR="00771E27">
        <w:rPr>
          <w:rFonts w:cs="Arial"/>
          <w:color w:val="000000" w:themeColor="text1"/>
          <w:sz w:val="22"/>
          <w:szCs w:val="22"/>
        </w:rPr>
        <w:t>Fig.</w:t>
      </w:r>
      <w:r w:rsidRPr="00E94CA9">
        <w:rPr>
          <w:rFonts w:cs="Arial"/>
          <w:color w:val="000000" w:themeColor="text1"/>
          <w:sz w:val="22"/>
          <w:szCs w:val="22"/>
        </w:rPr>
        <w:t xml:space="preserve"> 7</w:t>
      </w:r>
      <w:r w:rsidR="0011772D" w:rsidRPr="00E94CA9">
        <w:rPr>
          <w:rFonts w:cs="Arial"/>
          <w:color w:val="000000" w:themeColor="text1"/>
          <w:sz w:val="22"/>
          <w:szCs w:val="22"/>
        </w:rPr>
        <w:t>b</w:t>
      </w:r>
      <w:r w:rsidRPr="00E94CA9">
        <w:rPr>
          <w:rFonts w:cs="Arial"/>
          <w:color w:val="000000" w:themeColor="text1"/>
          <w:sz w:val="22"/>
          <w:szCs w:val="22"/>
        </w:rPr>
        <w:t xml:space="preserve">). The activity of the </w:t>
      </w:r>
      <w:r w:rsidR="00BD0299" w:rsidRPr="00E94CA9">
        <w:rPr>
          <w:rFonts w:cs="Arial"/>
          <w:color w:val="000000" w:themeColor="text1"/>
          <w:sz w:val="22"/>
          <w:szCs w:val="22"/>
        </w:rPr>
        <w:t xml:space="preserve">pan-PIM </w:t>
      </w:r>
      <w:r w:rsidR="00BF1064">
        <w:rPr>
          <w:rFonts w:cs="Arial"/>
          <w:color w:val="000000" w:themeColor="text1"/>
          <w:sz w:val="22"/>
          <w:szCs w:val="22"/>
        </w:rPr>
        <w:t xml:space="preserve">kinase </w:t>
      </w:r>
      <w:r w:rsidRPr="00E94CA9">
        <w:rPr>
          <w:rFonts w:cs="Arial"/>
          <w:color w:val="000000" w:themeColor="text1"/>
          <w:sz w:val="22"/>
          <w:szCs w:val="22"/>
        </w:rPr>
        <w:t>inhibitor AZD1208</w:t>
      </w:r>
      <w:r w:rsidR="00ED6C48">
        <w:rPr>
          <w:rFonts w:cs="Arial"/>
          <w:color w:val="000000" w:themeColor="text1"/>
          <w:sz w:val="22"/>
          <w:szCs w:val="22"/>
        </w:rPr>
        <w:t xml:space="preserve">, </w:t>
      </w:r>
      <w:r w:rsidRPr="00E94CA9">
        <w:rPr>
          <w:rFonts w:cs="Arial"/>
          <w:color w:val="000000" w:themeColor="text1"/>
          <w:sz w:val="22"/>
          <w:szCs w:val="22"/>
        </w:rPr>
        <w:t>with greatest potency for PIM1</w:t>
      </w:r>
      <w:r w:rsidR="00ED6C48">
        <w:rPr>
          <w:rFonts w:cs="Arial"/>
          <w:color w:val="000000" w:themeColor="text1"/>
          <w:sz w:val="22"/>
          <w:szCs w:val="22"/>
        </w:rPr>
        <w:t>,</w:t>
      </w:r>
      <w:r w:rsidRPr="00E94CA9">
        <w:rPr>
          <w:rFonts w:cs="Arial"/>
          <w:color w:val="000000" w:themeColor="text1"/>
          <w:sz w:val="22"/>
          <w:szCs w:val="22"/>
        </w:rPr>
        <w:t xml:space="preserve"> was then determined in ALK-positive NB cell lines by 72-hour dose-response and 14-day colony formation assays (Fig</w:t>
      </w:r>
      <w:r w:rsidR="0011772D" w:rsidRPr="00E94CA9">
        <w:rPr>
          <w:rFonts w:cs="Arial"/>
          <w:color w:val="000000" w:themeColor="text1"/>
          <w:sz w:val="22"/>
          <w:szCs w:val="22"/>
        </w:rPr>
        <w:t>.</w:t>
      </w:r>
      <w:r w:rsidRPr="00E94CA9">
        <w:rPr>
          <w:rFonts w:cs="Arial"/>
          <w:color w:val="000000" w:themeColor="text1"/>
          <w:sz w:val="22"/>
          <w:szCs w:val="22"/>
        </w:rPr>
        <w:t xml:space="preserve"> 3</w:t>
      </w:r>
      <w:r w:rsidR="0011772D" w:rsidRPr="00E94CA9">
        <w:rPr>
          <w:rFonts w:cs="Arial"/>
          <w:color w:val="000000" w:themeColor="text1"/>
          <w:sz w:val="22"/>
          <w:szCs w:val="22"/>
        </w:rPr>
        <w:t>b</w:t>
      </w:r>
      <w:r w:rsidRPr="00E94CA9">
        <w:rPr>
          <w:rFonts w:cs="Arial"/>
          <w:color w:val="000000" w:themeColor="text1"/>
          <w:sz w:val="22"/>
          <w:szCs w:val="22"/>
        </w:rPr>
        <w:t>,</w:t>
      </w:r>
      <w:r w:rsidR="0011772D" w:rsidRPr="00E94CA9">
        <w:rPr>
          <w:rFonts w:cs="Arial"/>
          <w:color w:val="000000" w:themeColor="text1"/>
          <w:sz w:val="22"/>
          <w:szCs w:val="22"/>
        </w:rPr>
        <w:t xml:space="preserve"> c</w:t>
      </w:r>
      <w:r w:rsidRPr="00E94CA9">
        <w:rPr>
          <w:rFonts w:cs="Arial"/>
          <w:color w:val="000000" w:themeColor="text1"/>
          <w:sz w:val="22"/>
          <w:szCs w:val="22"/>
        </w:rPr>
        <w:t xml:space="preserve">). Consistent with </w:t>
      </w:r>
      <w:r w:rsidR="005F7A04" w:rsidRPr="00E94CA9">
        <w:rPr>
          <w:rFonts w:cs="Arial"/>
          <w:color w:val="000000" w:themeColor="text1"/>
          <w:sz w:val="22"/>
          <w:szCs w:val="22"/>
        </w:rPr>
        <w:t xml:space="preserve">data reported by </w:t>
      </w:r>
      <w:proofErr w:type="spellStart"/>
      <w:r w:rsidRPr="00E94CA9">
        <w:rPr>
          <w:rFonts w:cs="Arial"/>
          <w:color w:val="000000" w:themeColor="text1"/>
          <w:sz w:val="22"/>
          <w:szCs w:val="22"/>
        </w:rPr>
        <w:t>Brunen</w:t>
      </w:r>
      <w:proofErr w:type="spellEnd"/>
      <w:r w:rsidRPr="00E94CA9">
        <w:rPr>
          <w:rFonts w:cs="Arial"/>
          <w:color w:val="000000" w:themeColor="text1"/>
          <w:sz w:val="22"/>
          <w:szCs w:val="22"/>
        </w:rPr>
        <w:t xml:space="preserve"> </w:t>
      </w:r>
      <w:r w:rsidRPr="00E94CA9">
        <w:rPr>
          <w:rFonts w:cs="Arial"/>
          <w:i/>
          <w:color w:val="000000" w:themeColor="text1"/>
          <w:sz w:val="22"/>
          <w:szCs w:val="22"/>
        </w:rPr>
        <w:t>et al</w:t>
      </w:r>
      <w:r w:rsidRPr="00E94CA9">
        <w:rPr>
          <w:rFonts w:cs="Arial"/>
          <w:color w:val="000000" w:themeColor="text1"/>
          <w:sz w:val="22"/>
          <w:szCs w:val="22"/>
        </w:rPr>
        <w:t>.</w:t>
      </w:r>
      <w:r w:rsidR="008072DE"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{"citationItems":[{"id":"ITEM-1","itemData":{"DOI":"10.1158/1535-7163.MCT-17-0868","ISBN":"1538-8514 (Electronic)\r1535-7163 (Linking)","PMID":"29440296","abstract":"The majority of high-risk neuroblastoma patients are refractory to, or relapse on, current treatment regimens, resulting in 5-year survival rates of less than 50%. This emphasizes the urgent need to identify novel therapeutic targets. Here, we report that high PIM kinase expression is correlated with poor overall survival. Treatment of neuroblastoma cell lines with the pan-PIM inhibitors AZD1208 or PIM-447 suppressed proliferation through inhibition of mTOR signaling. In a panel of neuroblastoma cell lines, we observed a marked binary response to PIM inhibition, suggesting that specific genetic lesions control responses to PIM inhibition. Using a genome-wide CRISPR-Cas9 genetic screen, we identified NF1 loss as the major resistance mechanism to PIM kinase inhibitors. Treatment with AZD1208 impaired the growth of NF1 wild-type xenografts, while NF1 knockout cells were insensitive. Thus, our data indicate that PIM inhibition may be a novel targeted therapy in NF1 wild-type neuroblastoma. Mol Cancer Ther; 17(4); 849-57. (c)2018 AACR.","author":[{"dropping-particle":"","family":"Brunen","given":"D","non-dropping-particle":"","parse-names":false,"suffix":""},{"dropping-particle":"","family":"Vries","given":"R C","non-dropping-particle":"de","parse-names":false,"suffix":""},{"dropping-particle":"","family":"Lieftink","given":"C","non-dropping-particle":"","parse-names":false,"suffix":""},{"dropping-particle":"","family":"Beijersbergen","given":"R L","non-dropping-particle":"","parse-names":false,"suffix":""},{"dropping-particle":"","family":"Bernards","given":"R","non-dropping-particle":"","parse-names":false,"suffix":""}],"container-title":"Mol Cancer Ther","id":"ITEM-1","issue":"4","issued":{"date-parts":[["2018"]]},"note":"Brunen, Diede\nde Vries, Romy C\nLieftink, Cor\nBeijersbergen, Roderick L\nBernards, Rene\neng\n2018/02/15 06:00\nMol Cancer Ther. 2018 Apr;17(4):849-857. doi: 10.1158/1535-7163.MCT-17-0868. Epub 2018 Feb 13.","page":"849-857","title":"PIM Kinases Are a Potential Prognostic Biomarker and Therapeutic Target in Neuroblastoma","type":"article-journal","volume":"17"},"uris":["http://www.mendeley.com/documents/?uuid=2a3df6fe-c089-41b6-8e0b-c84ed7582a68","http://www.mendeley.com/documents/?uuid=43d9b149-0cac-4dde-bc4e-8da8f2471bc5"]}],"mendeley":{"formattedCitation":"&lt;sup&gt;41&lt;/sup&gt;","plainTextFormattedCitation":"41","previouslyFormattedCitation":"&lt;sup&gt;41&lt;/sup&gt;"},"properties":{"noteIndex":0},"schema":"https://github.com/citation-style-language/schema/raw/master/csl-citation.json"}</w:instrText>
      </w:r>
      <w:r w:rsidR="008072DE" w:rsidRPr="00E94CA9">
        <w:rPr>
          <w:rFonts w:cs="Arial"/>
          <w:color w:val="000000" w:themeColor="text1"/>
          <w:sz w:val="22"/>
          <w:szCs w:val="22"/>
        </w:rPr>
        <w:fldChar w:fldCharType="separate"/>
      </w:r>
      <w:r w:rsidR="00542124" w:rsidRPr="00E94CA9">
        <w:rPr>
          <w:rFonts w:cs="Arial"/>
          <w:noProof/>
          <w:color w:val="000000" w:themeColor="text1"/>
          <w:sz w:val="22"/>
          <w:szCs w:val="22"/>
          <w:vertAlign w:val="superscript"/>
        </w:rPr>
        <w:t>41</w:t>
      </w:r>
      <w:r w:rsidR="008072DE" w:rsidRPr="00E94CA9">
        <w:rPr>
          <w:rFonts w:cs="Arial"/>
          <w:color w:val="000000" w:themeColor="text1"/>
          <w:sz w:val="22"/>
          <w:szCs w:val="22"/>
        </w:rPr>
        <w:fldChar w:fldCharType="end"/>
      </w:r>
      <w:r w:rsidRPr="00E94CA9">
        <w:rPr>
          <w:rFonts w:cs="Arial"/>
          <w:color w:val="000000" w:themeColor="text1"/>
          <w:sz w:val="22"/>
          <w:szCs w:val="22"/>
        </w:rPr>
        <w:t>, cell lines were relatively insensitive to AZD1208 at clinically-relevant concentrations, with predicted ED</w:t>
      </w:r>
      <w:r w:rsidRPr="00E94CA9">
        <w:rPr>
          <w:rFonts w:cs="Arial"/>
          <w:color w:val="000000" w:themeColor="text1"/>
          <w:sz w:val="22"/>
          <w:szCs w:val="22"/>
          <w:vertAlign w:val="subscript"/>
        </w:rPr>
        <w:t>50</w:t>
      </w:r>
      <w:r w:rsidRPr="00E94CA9">
        <w:rPr>
          <w:rFonts w:cs="Arial"/>
          <w:color w:val="000000" w:themeColor="text1"/>
          <w:sz w:val="22"/>
          <w:szCs w:val="22"/>
        </w:rPr>
        <w:t xml:space="preserve"> values exceeding 10 µM in 8/8 NB cell lines </w:t>
      </w:r>
      <w:r w:rsidR="005F7A04" w:rsidRPr="00E94CA9">
        <w:rPr>
          <w:rFonts w:cs="Arial"/>
          <w:color w:val="000000" w:themeColor="text1"/>
          <w:sz w:val="22"/>
          <w:szCs w:val="22"/>
        </w:rPr>
        <w:t>expressing</w:t>
      </w:r>
      <w:r w:rsidRPr="00E94CA9">
        <w:rPr>
          <w:rFonts w:cs="Arial"/>
          <w:color w:val="000000" w:themeColor="text1"/>
          <w:sz w:val="22"/>
          <w:szCs w:val="22"/>
        </w:rPr>
        <w:t xml:space="preserve"> a range of ALK mutants (Fig</w:t>
      </w:r>
      <w:r w:rsidR="0011772D" w:rsidRPr="00E94CA9">
        <w:rPr>
          <w:rFonts w:cs="Arial"/>
          <w:color w:val="000000" w:themeColor="text1"/>
          <w:sz w:val="22"/>
          <w:szCs w:val="22"/>
        </w:rPr>
        <w:t>.</w:t>
      </w:r>
      <w:r w:rsidRPr="00E94CA9">
        <w:rPr>
          <w:rFonts w:cs="Arial"/>
          <w:color w:val="000000" w:themeColor="text1"/>
          <w:sz w:val="22"/>
          <w:szCs w:val="22"/>
        </w:rPr>
        <w:t xml:space="preserve"> 3</w:t>
      </w:r>
      <w:r w:rsidR="0011772D" w:rsidRPr="00E94CA9">
        <w:rPr>
          <w:rFonts w:cs="Arial"/>
          <w:color w:val="000000" w:themeColor="text1"/>
          <w:sz w:val="22"/>
          <w:szCs w:val="22"/>
        </w:rPr>
        <w:t>c</w:t>
      </w:r>
      <w:r w:rsidRPr="00E94CA9">
        <w:rPr>
          <w:rFonts w:cs="Arial"/>
          <w:color w:val="000000" w:themeColor="text1"/>
          <w:sz w:val="22"/>
          <w:szCs w:val="22"/>
        </w:rPr>
        <w:t xml:space="preserve">). Similar results were noted in response to treatment with </w:t>
      </w:r>
      <w:proofErr w:type="spellStart"/>
      <w:r w:rsidRPr="00E94CA9">
        <w:rPr>
          <w:rFonts w:cs="Arial"/>
          <w:color w:val="000000" w:themeColor="text1"/>
          <w:sz w:val="22"/>
          <w:szCs w:val="22"/>
        </w:rPr>
        <w:t>PIMi</w:t>
      </w:r>
      <w:proofErr w:type="spellEnd"/>
      <w:r w:rsidRPr="00E94CA9">
        <w:rPr>
          <w:rFonts w:cs="Arial"/>
          <w:color w:val="000000" w:themeColor="text1"/>
          <w:sz w:val="22"/>
          <w:szCs w:val="22"/>
        </w:rPr>
        <w:t>, another small-molecule pan-PIM kinase inhibitor in preclinical development (</w:t>
      </w:r>
      <w:r w:rsidR="00475017" w:rsidRPr="00E94CA9">
        <w:rPr>
          <w:rFonts w:cs="Arial"/>
          <w:color w:val="000000" w:themeColor="text1"/>
          <w:sz w:val="22"/>
          <w:szCs w:val="22"/>
        </w:rPr>
        <w:t>Fig. 3c</w:t>
      </w:r>
      <w:r w:rsidRPr="00E94CA9">
        <w:rPr>
          <w:rFonts w:cs="Arial"/>
          <w:color w:val="000000" w:themeColor="text1"/>
          <w:sz w:val="22"/>
          <w:szCs w:val="22"/>
        </w:rPr>
        <w:t xml:space="preserve">), suggesting that pharmacological inhibition of PIM kinases alone is not a viable therapeutic strategy. The response of ALK-negative NB cell lines to AZD1208 and </w:t>
      </w:r>
      <w:proofErr w:type="spellStart"/>
      <w:r w:rsidRPr="00E94CA9">
        <w:rPr>
          <w:rFonts w:cs="Arial"/>
          <w:color w:val="000000" w:themeColor="text1"/>
          <w:sz w:val="22"/>
          <w:szCs w:val="22"/>
        </w:rPr>
        <w:t>PIMi</w:t>
      </w:r>
      <w:proofErr w:type="spellEnd"/>
      <w:r w:rsidRPr="00E94CA9">
        <w:rPr>
          <w:rFonts w:cs="Arial"/>
          <w:color w:val="000000" w:themeColor="text1"/>
          <w:sz w:val="22"/>
          <w:szCs w:val="22"/>
        </w:rPr>
        <w:t xml:space="preserve"> was likewise </w:t>
      </w:r>
      <w:proofErr w:type="spellStart"/>
      <w:r w:rsidRPr="00E94CA9">
        <w:rPr>
          <w:rFonts w:cs="Arial"/>
          <w:color w:val="000000" w:themeColor="text1"/>
          <w:sz w:val="22"/>
          <w:szCs w:val="22"/>
        </w:rPr>
        <w:t>analy</w:t>
      </w:r>
      <w:r w:rsidR="00E6105D" w:rsidRPr="00E94CA9">
        <w:rPr>
          <w:rFonts w:cs="Arial"/>
          <w:color w:val="000000" w:themeColor="text1"/>
          <w:sz w:val="22"/>
          <w:szCs w:val="22"/>
        </w:rPr>
        <w:t>z</w:t>
      </w:r>
      <w:r w:rsidRPr="00E94CA9">
        <w:rPr>
          <w:rFonts w:cs="Arial"/>
          <w:color w:val="000000" w:themeColor="text1"/>
          <w:sz w:val="22"/>
          <w:szCs w:val="22"/>
        </w:rPr>
        <w:t>ed</w:t>
      </w:r>
      <w:proofErr w:type="spellEnd"/>
      <w:r w:rsidRPr="00E94CA9">
        <w:rPr>
          <w:rFonts w:cs="Arial"/>
          <w:color w:val="000000" w:themeColor="text1"/>
          <w:sz w:val="22"/>
          <w:szCs w:val="22"/>
        </w:rPr>
        <w:t xml:space="preserve"> and a similar response was observed, indicating that </w:t>
      </w:r>
      <w:r w:rsidR="000F6138" w:rsidRPr="00E94CA9">
        <w:rPr>
          <w:rFonts w:cs="Arial"/>
          <w:color w:val="000000" w:themeColor="text1"/>
          <w:sz w:val="22"/>
          <w:szCs w:val="22"/>
        </w:rPr>
        <w:t>the response</w:t>
      </w:r>
      <w:r w:rsidRPr="00E94CA9">
        <w:rPr>
          <w:rFonts w:cs="Arial"/>
          <w:color w:val="000000" w:themeColor="text1"/>
          <w:sz w:val="22"/>
          <w:szCs w:val="22"/>
        </w:rPr>
        <w:t xml:space="preserve"> to PIM inhibitors is independent of ALK status (Supplementary </w:t>
      </w:r>
      <w:r w:rsidR="00771E27">
        <w:rPr>
          <w:rFonts w:cs="Arial"/>
          <w:color w:val="000000" w:themeColor="text1"/>
          <w:sz w:val="22"/>
          <w:szCs w:val="22"/>
        </w:rPr>
        <w:t>Fig.</w:t>
      </w:r>
      <w:r w:rsidRPr="00E94CA9">
        <w:rPr>
          <w:rFonts w:cs="Arial"/>
          <w:color w:val="000000" w:themeColor="text1"/>
          <w:sz w:val="22"/>
          <w:szCs w:val="22"/>
        </w:rPr>
        <w:t xml:space="preserve"> 7</w:t>
      </w:r>
      <w:r w:rsidR="0011772D" w:rsidRPr="00E94CA9">
        <w:rPr>
          <w:rFonts w:cs="Arial"/>
          <w:color w:val="000000" w:themeColor="text1"/>
          <w:sz w:val="22"/>
          <w:szCs w:val="22"/>
        </w:rPr>
        <w:t>c</w:t>
      </w:r>
      <w:r w:rsidRPr="00E94CA9">
        <w:rPr>
          <w:rFonts w:cs="Arial"/>
          <w:color w:val="000000" w:themeColor="text1"/>
          <w:sz w:val="22"/>
          <w:szCs w:val="22"/>
        </w:rPr>
        <w:t xml:space="preserve">). </w:t>
      </w:r>
    </w:p>
    <w:p w14:paraId="3A600484" w14:textId="77777777" w:rsidR="00EA359A" w:rsidRPr="00E94CA9" w:rsidRDefault="00EA359A">
      <w:pPr>
        <w:spacing w:line="360" w:lineRule="auto"/>
        <w:jc w:val="both"/>
        <w:rPr>
          <w:rFonts w:cs="Arial"/>
          <w:color w:val="000000" w:themeColor="text1"/>
          <w:sz w:val="22"/>
          <w:szCs w:val="22"/>
        </w:rPr>
      </w:pPr>
    </w:p>
    <w:p w14:paraId="205F0A7A" w14:textId="194FBCAE" w:rsidR="002A3C22" w:rsidRDefault="00EA359A" w:rsidP="00EA359A">
      <w:pPr>
        <w:spacing w:line="360" w:lineRule="auto"/>
        <w:jc w:val="both"/>
        <w:rPr>
          <w:rFonts w:cs="Arial"/>
          <w:color w:val="000000" w:themeColor="text1"/>
          <w:sz w:val="22"/>
          <w:szCs w:val="22"/>
        </w:rPr>
      </w:pPr>
      <w:r w:rsidRPr="00ED6C48">
        <w:rPr>
          <w:rFonts w:cs="Arial"/>
          <w:b/>
          <w:sz w:val="22"/>
          <w:szCs w:val="22"/>
        </w:rPr>
        <w:t xml:space="preserve">PIM1 is a therapeutic target in combination with ALK </w:t>
      </w:r>
    </w:p>
    <w:p w14:paraId="4AFA10DE" w14:textId="3581B190" w:rsidR="00D30528" w:rsidRPr="00E94CA9" w:rsidRDefault="002A3C22" w:rsidP="00845ECF">
      <w:pPr>
        <w:spacing w:line="360" w:lineRule="auto"/>
        <w:ind w:firstLine="284"/>
        <w:jc w:val="both"/>
        <w:rPr>
          <w:rFonts w:cs="Arial"/>
          <w:color w:val="000000" w:themeColor="text1"/>
          <w:sz w:val="22"/>
          <w:szCs w:val="22"/>
        </w:rPr>
      </w:pPr>
      <w:r>
        <w:rPr>
          <w:rFonts w:cs="Arial"/>
          <w:color w:val="000000" w:themeColor="text1"/>
          <w:sz w:val="22"/>
          <w:szCs w:val="22"/>
        </w:rPr>
        <w:t xml:space="preserve">In </w:t>
      </w:r>
      <w:r w:rsidR="005033EF" w:rsidRPr="00E94CA9">
        <w:rPr>
          <w:rFonts w:cs="Arial"/>
          <w:color w:val="000000" w:themeColor="text1"/>
          <w:sz w:val="22"/>
          <w:szCs w:val="22"/>
        </w:rPr>
        <w:t>order to determine whether inhibition of PIM1 may enhance the efficacy of ALK inhibitors in ALK-positive NB</w:t>
      </w:r>
      <w:r w:rsidR="00305F9E" w:rsidRPr="00E94CA9">
        <w:rPr>
          <w:rFonts w:cs="Arial"/>
          <w:color w:val="000000" w:themeColor="text1"/>
          <w:sz w:val="22"/>
          <w:szCs w:val="22"/>
        </w:rPr>
        <w:t>,</w:t>
      </w:r>
      <w:r w:rsidR="00ED37CE" w:rsidRPr="00E94CA9">
        <w:rPr>
          <w:rFonts w:cs="Arial"/>
          <w:color w:val="000000" w:themeColor="text1"/>
          <w:sz w:val="22"/>
          <w:szCs w:val="22"/>
        </w:rPr>
        <w:t xml:space="preserve"> </w:t>
      </w:r>
      <w:r w:rsidR="005033EF" w:rsidRPr="00E94CA9">
        <w:rPr>
          <w:rFonts w:cs="Arial"/>
          <w:color w:val="000000" w:themeColor="text1"/>
          <w:sz w:val="22"/>
          <w:szCs w:val="22"/>
        </w:rPr>
        <w:t>CHLA-20 (</w:t>
      </w:r>
      <w:r w:rsidR="005033EF" w:rsidRPr="00E94CA9">
        <w:rPr>
          <w:rFonts w:cs="Arial"/>
          <w:i/>
          <w:color w:val="000000" w:themeColor="text1"/>
          <w:sz w:val="22"/>
          <w:szCs w:val="22"/>
        </w:rPr>
        <w:t>MYCN</w:t>
      </w:r>
      <w:r w:rsidR="00B8416B" w:rsidRPr="00E94CA9">
        <w:rPr>
          <w:rFonts w:cs="Arial"/>
          <w:color w:val="000000" w:themeColor="text1"/>
          <w:sz w:val="22"/>
          <w:szCs w:val="22"/>
        </w:rPr>
        <w:t>-</w:t>
      </w:r>
      <w:r w:rsidR="00542124" w:rsidRPr="00E94CA9">
        <w:rPr>
          <w:rFonts w:cs="Arial"/>
          <w:color w:val="000000" w:themeColor="text1"/>
          <w:sz w:val="22"/>
          <w:szCs w:val="22"/>
        </w:rPr>
        <w:t>WT</w:t>
      </w:r>
      <w:r w:rsidR="005033EF" w:rsidRPr="00E94CA9">
        <w:rPr>
          <w:rFonts w:cs="Arial"/>
          <w:color w:val="000000" w:themeColor="text1"/>
          <w:sz w:val="22"/>
          <w:szCs w:val="22"/>
        </w:rPr>
        <w:t>) and KELLY (</w:t>
      </w:r>
      <w:r w:rsidR="005033EF" w:rsidRPr="00E94CA9">
        <w:rPr>
          <w:rFonts w:cs="Arial"/>
          <w:i/>
          <w:color w:val="000000" w:themeColor="text1"/>
          <w:sz w:val="22"/>
          <w:szCs w:val="22"/>
        </w:rPr>
        <w:t>MYCN</w:t>
      </w:r>
      <w:r w:rsidR="00542124" w:rsidRPr="00E94CA9">
        <w:rPr>
          <w:rFonts w:cs="Arial"/>
          <w:color w:val="000000" w:themeColor="text1"/>
          <w:sz w:val="22"/>
          <w:szCs w:val="22"/>
        </w:rPr>
        <w:t>-amplified</w:t>
      </w:r>
      <w:r w:rsidR="005033EF" w:rsidRPr="00E94CA9">
        <w:rPr>
          <w:rFonts w:cs="Arial"/>
          <w:color w:val="000000" w:themeColor="text1"/>
          <w:sz w:val="22"/>
          <w:szCs w:val="22"/>
        </w:rPr>
        <w:t xml:space="preserve">) cells were transduced with a </w:t>
      </w:r>
      <w:r w:rsidR="005033EF" w:rsidRPr="00E94CA9">
        <w:rPr>
          <w:rFonts w:cs="Arial"/>
          <w:i/>
          <w:color w:val="000000" w:themeColor="text1"/>
          <w:sz w:val="22"/>
          <w:szCs w:val="22"/>
        </w:rPr>
        <w:t>PIM1</w:t>
      </w:r>
      <w:r w:rsidR="005033EF" w:rsidRPr="00E94CA9">
        <w:rPr>
          <w:rFonts w:cs="Arial"/>
          <w:color w:val="000000" w:themeColor="text1"/>
          <w:sz w:val="22"/>
          <w:szCs w:val="22"/>
        </w:rPr>
        <w:t xml:space="preserve">-targeting shRNA, achieving an approximate 50% reduction in </w:t>
      </w:r>
      <w:r w:rsidR="005033EF" w:rsidRPr="00ED6C48">
        <w:rPr>
          <w:rFonts w:cs="Arial"/>
          <w:i/>
          <w:iCs/>
          <w:color w:val="000000" w:themeColor="text1"/>
          <w:sz w:val="22"/>
          <w:szCs w:val="22"/>
        </w:rPr>
        <w:t>PIM1</w:t>
      </w:r>
      <w:r w:rsidR="005033EF" w:rsidRPr="00E94CA9">
        <w:rPr>
          <w:rFonts w:cs="Arial"/>
          <w:color w:val="000000" w:themeColor="text1"/>
          <w:sz w:val="22"/>
          <w:szCs w:val="22"/>
        </w:rPr>
        <w:t xml:space="preserve"> expression as confirmed </w:t>
      </w:r>
      <w:r w:rsidR="003702EB" w:rsidRPr="00E94CA9">
        <w:rPr>
          <w:rFonts w:cs="Arial"/>
          <w:color w:val="000000" w:themeColor="text1"/>
          <w:sz w:val="22"/>
          <w:szCs w:val="22"/>
        </w:rPr>
        <w:t xml:space="preserve">by </w:t>
      </w:r>
      <w:r w:rsidR="005033EF" w:rsidRPr="00E94CA9">
        <w:rPr>
          <w:rFonts w:cs="Arial"/>
          <w:color w:val="000000" w:themeColor="text1"/>
          <w:sz w:val="22"/>
          <w:szCs w:val="22"/>
        </w:rPr>
        <w:t>RT-qPCR (Fig</w:t>
      </w:r>
      <w:r w:rsidR="0011772D" w:rsidRPr="00E94CA9">
        <w:rPr>
          <w:rFonts w:cs="Arial"/>
          <w:color w:val="000000" w:themeColor="text1"/>
          <w:sz w:val="22"/>
          <w:szCs w:val="22"/>
        </w:rPr>
        <w:t>.</w:t>
      </w:r>
      <w:r w:rsidR="005033EF" w:rsidRPr="00E94CA9">
        <w:rPr>
          <w:rFonts w:cs="Arial"/>
          <w:color w:val="000000" w:themeColor="text1"/>
          <w:sz w:val="22"/>
          <w:szCs w:val="22"/>
        </w:rPr>
        <w:t xml:space="preserve"> 3</w:t>
      </w:r>
      <w:r w:rsidR="0011772D" w:rsidRPr="00E94CA9">
        <w:rPr>
          <w:rFonts w:cs="Arial"/>
          <w:color w:val="000000" w:themeColor="text1"/>
          <w:sz w:val="22"/>
          <w:szCs w:val="22"/>
        </w:rPr>
        <w:t>d</w:t>
      </w:r>
      <w:r w:rsidR="00181E51" w:rsidRPr="00E94CA9">
        <w:rPr>
          <w:rFonts w:cs="Arial"/>
          <w:color w:val="000000" w:themeColor="text1"/>
          <w:sz w:val="22"/>
          <w:szCs w:val="22"/>
        </w:rPr>
        <w:t xml:space="preserve">, </w:t>
      </w:r>
      <w:r w:rsidR="009D1639" w:rsidRPr="00ED6C48">
        <w:rPr>
          <w:rFonts w:cs="Arial"/>
          <w:sz w:val="22"/>
          <w:szCs w:val="22"/>
        </w:rPr>
        <w:t>e</w:t>
      </w:r>
      <w:r w:rsidR="005033EF" w:rsidRPr="00ED6C48">
        <w:rPr>
          <w:rFonts w:cs="Arial"/>
          <w:sz w:val="22"/>
          <w:szCs w:val="22"/>
        </w:rPr>
        <w:t xml:space="preserve">). </w:t>
      </w:r>
      <w:r w:rsidR="005033EF" w:rsidRPr="00ED6C48">
        <w:rPr>
          <w:rFonts w:cs="Arial"/>
          <w:i/>
          <w:iCs/>
          <w:sz w:val="22"/>
          <w:szCs w:val="22"/>
        </w:rPr>
        <w:t>PIM1</w:t>
      </w:r>
      <w:r w:rsidR="005033EF" w:rsidRPr="00ED6C48">
        <w:rPr>
          <w:rFonts w:cs="Arial"/>
          <w:sz w:val="22"/>
          <w:szCs w:val="22"/>
        </w:rPr>
        <w:t xml:space="preserve"> knockdown increased the sensitivity of cells to </w:t>
      </w:r>
      <w:proofErr w:type="spellStart"/>
      <w:r w:rsidR="005033EF" w:rsidRPr="00ED6C48">
        <w:rPr>
          <w:rFonts w:cs="Arial"/>
          <w:sz w:val="22"/>
          <w:szCs w:val="22"/>
        </w:rPr>
        <w:t>brigatinib</w:t>
      </w:r>
      <w:proofErr w:type="spellEnd"/>
      <w:r w:rsidR="005033EF" w:rsidRPr="00ED6C48">
        <w:rPr>
          <w:rFonts w:cs="Arial"/>
          <w:sz w:val="22"/>
          <w:szCs w:val="22"/>
        </w:rPr>
        <w:t xml:space="preserve"> and </w:t>
      </w:r>
      <w:proofErr w:type="spellStart"/>
      <w:r w:rsidR="005033EF" w:rsidRPr="00ED6C48">
        <w:rPr>
          <w:rFonts w:cs="Arial"/>
          <w:sz w:val="22"/>
          <w:szCs w:val="22"/>
        </w:rPr>
        <w:t>ceritinib</w:t>
      </w:r>
      <w:proofErr w:type="spellEnd"/>
      <w:r w:rsidR="005033EF" w:rsidRPr="00ED6C48">
        <w:rPr>
          <w:rFonts w:cs="Arial"/>
          <w:sz w:val="22"/>
          <w:szCs w:val="22"/>
        </w:rPr>
        <w:t>, indicated by a significant decrease in ED</w:t>
      </w:r>
      <w:r w:rsidR="005033EF" w:rsidRPr="00ED6C48">
        <w:rPr>
          <w:rFonts w:cs="Arial"/>
          <w:sz w:val="22"/>
          <w:szCs w:val="22"/>
          <w:vertAlign w:val="subscript"/>
        </w:rPr>
        <w:t>50</w:t>
      </w:r>
      <w:r w:rsidR="005033EF" w:rsidRPr="00ED6C48">
        <w:rPr>
          <w:rFonts w:cs="Arial"/>
          <w:sz w:val="22"/>
          <w:szCs w:val="22"/>
        </w:rPr>
        <w:t xml:space="preserve"> concentrations after 72-hours of treatment (</w:t>
      </w:r>
      <w:r w:rsidR="005033EF" w:rsidRPr="00ED6C48">
        <w:rPr>
          <w:rFonts w:cs="Arial"/>
          <w:i/>
          <w:sz w:val="22"/>
          <w:szCs w:val="22"/>
        </w:rPr>
        <w:t>p</w:t>
      </w:r>
      <w:r w:rsidR="005033EF" w:rsidRPr="00ED6C48">
        <w:rPr>
          <w:rFonts w:cs="Arial"/>
          <w:sz w:val="22"/>
          <w:szCs w:val="22"/>
        </w:rPr>
        <w:t xml:space="preserve"> &lt; 0.0005</w:t>
      </w:r>
      <w:r w:rsidR="00811ECA">
        <w:rPr>
          <w:rFonts w:cs="Arial"/>
          <w:sz w:val="22"/>
          <w:szCs w:val="22"/>
        </w:rPr>
        <w:t xml:space="preserve">, </w:t>
      </w:r>
      <w:r w:rsidR="00811ECA" w:rsidRPr="007D59B1">
        <w:rPr>
          <w:rFonts w:cs="Arial"/>
          <w:sz w:val="22"/>
          <w:szCs w:val="22"/>
        </w:rPr>
        <w:t xml:space="preserve">unpaired Student’s </w:t>
      </w:r>
      <w:r w:rsidR="00811ECA" w:rsidRPr="007D59B1">
        <w:rPr>
          <w:rFonts w:cs="Arial"/>
          <w:i/>
          <w:sz w:val="22"/>
          <w:szCs w:val="22"/>
        </w:rPr>
        <w:t>t</w:t>
      </w:r>
      <w:r w:rsidR="00811ECA" w:rsidRPr="007D59B1">
        <w:rPr>
          <w:rFonts w:cs="Arial"/>
          <w:sz w:val="22"/>
          <w:szCs w:val="22"/>
        </w:rPr>
        <w:t>-test</w:t>
      </w:r>
      <w:r w:rsidR="00B870B8">
        <w:rPr>
          <w:rFonts w:cs="Arial"/>
          <w:sz w:val="22"/>
          <w:szCs w:val="22"/>
        </w:rPr>
        <w:t>, Fig. 3g</w:t>
      </w:r>
      <w:r w:rsidR="005033EF" w:rsidRPr="00ED6C48">
        <w:rPr>
          <w:rFonts w:cs="Arial"/>
          <w:sz w:val="22"/>
          <w:szCs w:val="22"/>
        </w:rPr>
        <w:t>) (Fig</w:t>
      </w:r>
      <w:r w:rsidR="0011772D" w:rsidRPr="00ED6C48">
        <w:rPr>
          <w:rFonts w:cs="Arial"/>
          <w:sz w:val="22"/>
          <w:szCs w:val="22"/>
        </w:rPr>
        <w:t>.</w:t>
      </w:r>
      <w:r w:rsidR="005033EF" w:rsidRPr="00ED6C48">
        <w:rPr>
          <w:rFonts w:cs="Arial"/>
          <w:sz w:val="22"/>
          <w:szCs w:val="22"/>
        </w:rPr>
        <w:t xml:space="preserve"> 3</w:t>
      </w:r>
      <w:r w:rsidR="009D1639" w:rsidRPr="00ED6C48">
        <w:rPr>
          <w:rFonts w:cs="Arial"/>
          <w:sz w:val="22"/>
          <w:szCs w:val="22"/>
        </w:rPr>
        <w:t>f</w:t>
      </w:r>
      <w:r w:rsidR="005033EF" w:rsidRPr="00ED6C48">
        <w:rPr>
          <w:rFonts w:cs="Arial"/>
          <w:sz w:val="22"/>
          <w:szCs w:val="22"/>
        </w:rPr>
        <w:t xml:space="preserve">, </w:t>
      </w:r>
      <w:r w:rsidR="00181E51" w:rsidRPr="00ED6C48">
        <w:rPr>
          <w:rFonts w:cs="Arial"/>
          <w:sz w:val="22"/>
          <w:szCs w:val="22"/>
        </w:rPr>
        <w:t>g</w:t>
      </w:r>
      <w:r w:rsidR="005033EF" w:rsidRPr="00E94CA9">
        <w:rPr>
          <w:rFonts w:cs="Arial"/>
          <w:color w:val="000000" w:themeColor="text1"/>
          <w:sz w:val="22"/>
          <w:szCs w:val="22"/>
        </w:rPr>
        <w:t>).</w:t>
      </w:r>
    </w:p>
    <w:p w14:paraId="63DF6535" w14:textId="2B891CC2" w:rsidR="00144F8D" w:rsidRPr="00E94CA9" w:rsidRDefault="00262196" w:rsidP="00506298">
      <w:pPr>
        <w:pStyle w:val="CommentText"/>
        <w:spacing w:line="360" w:lineRule="auto"/>
        <w:ind w:firstLine="284"/>
        <w:jc w:val="both"/>
        <w:rPr>
          <w:rFonts w:ascii="Arial" w:hAnsi="Arial" w:cs="Arial"/>
          <w:color w:val="000000" w:themeColor="text1"/>
        </w:rPr>
      </w:pPr>
      <w:r w:rsidRPr="00E94CA9">
        <w:rPr>
          <w:rFonts w:ascii="Arial" w:hAnsi="Arial" w:cs="Arial"/>
          <w:color w:val="000000" w:themeColor="text1"/>
        </w:rPr>
        <w:lastRenderedPageBreak/>
        <w:t xml:space="preserve">Recent human dose-escalation studies have displayed general tolerability for </w:t>
      </w:r>
      <w:r w:rsidR="007E4C43" w:rsidRPr="00E94CA9">
        <w:rPr>
          <w:rFonts w:ascii="Arial" w:hAnsi="Arial" w:cs="Arial"/>
          <w:color w:val="000000" w:themeColor="text1"/>
        </w:rPr>
        <w:t xml:space="preserve">the PIM inhibitor </w:t>
      </w:r>
      <w:r w:rsidRPr="00E94CA9">
        <w:rPr>
          <w:rFonts w:ascii="Arial" w:hAnsi="Arial" w:cs="Arial"/>
          <w:color w:val="000000" w:themeColor="text1"/>
        </w:rPr>
        <w:t>AZD1208</w:t>
      </w:r>
      <w:r w:rsidRPr="00E94CA9">
        <w:rPr>
          <w:rFonts w:ascii="Arial" w:hAnsi="Arial" w:cs="Arial"/>
          <w:color w:val="000000" w:themeColor="text1"/>
        </w:rPr>
        <w:fldChar w:fldCharType="begin" w:fldLock="1"/>
      </w:r>
      <w:r w:rsidR="00394C69">
        <w:rPr>
          <w:rFonts w:ascii="Arial" w:hAnsi="Arial" w:cs="Arial"/>
          <w:color w:val="000000" w:themeColor="text1"/>
        </w:rPr>
        <w:instrText>ADDIN CSL_CITATION {"citationItems":[{"id":"ITEM-1","itemData":{"DOI":"10.1038/s41416-018-0082-1","ISBN":"1532-1827 (Electronic)\r0007-0920 (Linking)","PMID":"29765150","abstract":"BACKGROUND: Proviral integration Moloney virus (PIM) kinases (PIM1, 2 and 3) are overexpressed in several tumour types and contribute to oncogenesis. AZD1208 is a potent ATP-competitive PIM kinase inhibitor investigated in patients with recurrent or refractory acute myeloid leukaemia (AML) or advanced solid tumours. METHODS: Two dose-escalation studies were performed to evaluate the safety and tolerability, and to define the maximum tolerated dose (MTD), of AZD1208 in AML and solid tumours. Secondary objectives were to evaluate the pharmacokinetics, pharmacodynamics (PD) and preliminary efficacy of AZD1208. RESULTS: Sixty-seven patients received treatment: 32 in the AML study over a 120-900 mg dose range, and 25 in the solid tumour study over a 120-800 mg dose range. Nearly all patients (98.5%) in both studies experienced adverse events, mostly gastrointestinal (92.5%). Dose-limiting toxicities included rash, fatigue and vomiting. AZD1208 was not tolerated at 900 mg, and the protocol-defined MTD was not confirmed. AZD1208 increased CYP3A4 activity after multiple dosing, resulting in increased drug clearance. There were no clinical responses; PD analysis showed biological activity of AZD1208. CONCLUSIONS: Despite the lack of single-agent clinical efficacy with AZD1208, PIM kinase inhibition may hold potential as an anticancer treatment, perhaps in combination with other agents.","author":[{"dropping-particle":"","family":"Cortes","given":"J","non-dropping-particle":"","parse-names":false,"suffix":""},{"dropping-particle":"","family":"Tamura","given":"K","non-dropping-particle":"","parse-names":false,"suffix":""},{"dropping-particle":"","family":"DeAngelo","given":"D J","non-dropping-particle":"","parse-names":false,"suffix":""},{"dropping-particle":"","family":"Bono","given":"J","non-dropping-particle":"de","parse-names":false,"suffix":""},{"dropping-particle":"","family":"Lorente","given":"D","non-dropping-particle":"","parse-names":false,"suffix":""},{"dropping-particle":"","family":"Minden","given":"M","non-dropping-particle":"","parse-names":false,"suffix":""},{"dropping-particle":"","family":"Uy","given":"G L","non-dropping-particle":"","parse-names":false,"suffix":""},{"dropping-particle":"","family":"Kantarjian","given":"H","non-dropping-particle":"","parse-names":false,"suffix":""},{"dropping-particle":"","family":"Chen","given":"L S","non-dropping-particle":"","parse-names":false,"suffix":""},{"dropping-particle":"","family":"Gandhi","given":"V","non-dropping-particle":"","parse-names":false,"suffix":""},{"dropping-particle":"","family":"Godin","given":"R","non-dropping-particle":"","parse-names":false,"suffix":""},{"dropping-particle":"","family":"Keating","given":"K","non-dropping-particle":"","parse-names":false,"suffix":""},{"dropping-particle":"","family":"McEachern","given":"K","non-dropping-particle":"","parse-names":false,"suffix":""},{"dropping-particle":"","family":"Vishwanathan","given":"K","non-dropping-particle":"","parse-names":false,"suffix":""},{"dropping-particle":"","family":"Pease","given":"J E","non-dropping-particle":"","parse-names":false,"suffix":""},{"dropping-particle":"","family":"Dean","given":"E","non-dropping-particle":"","parse-names":false,"suffix":""}],"container-title":"Br J Cancer","id":"ITEM-1","issue":"11","issued":{"date-parts":[["2018"]]},"note":"Cortes, Jorge\nTamura, Kenji\nDeAngelo, Daniel J\nde Bono, Johann\nLorente, David\nMinden, Mark\nUy, Geoffrey L\nKantarjian, Hagop\nChen, Lisa S\nGandhi, Varsha\nGodin, Robert\nKeating, Karen\nMcEachern, Kristen\nVishwanathan, Karthick\nPease, Janet Elizabeth\nDean, Emma\neng\nP01 CA066996/CA/NCI NIH HHS/\nP30 CA016672/CA/NCI NIH HHS/\nEngland\n2018/05/17 06:00\nBr J Cancer. 2018 May;118(11):1425-1433. doi: 10.1038/s41416-018-0082-1. Epub 2018 May 16.","page":"1425-1433","title":"Phase I studies of AZD1208, a proviral integration Moloney virus kinase inhibitor in solid and haematological cancers","type":"article-journal","volume":"118"},"uris":["http://www.mendeley.com/documents/?uuid=3f93fc6d-b7bb-4f98-aff2-7f1c9873129d","http://www.mendeley.com/documents/?uuid=2a935e47-19d1-45a5-bd80-c33d56410c6b"]}],"mendeley":{"formattedCitation":"&lt;sup&gt;47&lt;/sup&gt;","plainTextFormattedCitation":"47","previouslyFormattedCitation":"&lt;sup&gt;47&lt;/sup&gt;"},"properties":{"noteIndex":0},"schema":"https://github.com/citation-style-language/schema/raw/master/csl-citation.json"}</w:instrText>
      </w:r>
      <w:r w:rsidRPr="00E94CA9">
        <w:rPr>
          <w:rFonts w:ascii="Arial" w:hAnsi="Arial" w:cs="Arial"/>
          <w:color w:val="000000" w:themeColor="text1"/>
        </w:rPr>
        <w:fldChar w:fldCharType="separate"/>
      </w:r>
      <w:r w:rsidR="005271C7" w:rsidRPr="00E94CA9">
        <w:rPr>
          <w:rFonts w:ascii="Arial" w:hAnsi="Arial" w:cs="Arial"/>
          <w:noProof/>
          <w:color w:val="000000" w:themeColor="text1"/>
          <w:vertAlign w:val="superscript"/>
        </w:rPr>
        <w:t>47</w:t>
      </w:r>
      <w:r w:rsidRPr="00E94CA9">
        <w:rPr>
          <w:rFonts w:ascii="Arial" w:hAnsi="Arial" w:cs="Arial"/>
          <w:color w:val="000000" w:themeColor="text1"/>
        </w:rPr>
        <w:fldChar w:fldCharType="end"/>
      </w:r>
      <w:r w:rsidRPr="00E94CA9">
        <w:rPr>
          <w:rFonts w:ascii="Arial" w:hAnsi="Arial" w:cs="Arial"/>
          <w:color w:val="000000" w:themeColor="text1"/>
        </w:rPr>
        <w:t>, which prompted the assessment of combined ALK an</w:t>
      </w:r>
      <w:r w:rsidR="007E4C43" w:rsidRPr="00E94CA9">
        <w:rPr>
          <w:rFonts w:ascii="Arial" w:hAnsi="Arial" w:cs="Arial"/>
          <w:color w:val="000000" w:themeColor="text1"/>
        </w:rPr>
        <w:t>d</w:t>
      </w:r>
      <w:r w:rsidRPr="00E94CA9">
        <w:rPr>
          <w:rFonts w:ascii="Arial" w:hAnsi="Arial" w:cs="Arial"/>
          <w:color w:val="000000" w:themeColor="text1"/>
        </w:rPr>
        <w:t xml:space="preserve"> PIM1 inhibition</w:t>
      </w:r>
      <w:r w:rsidR="007511ED" w:rsidRPr="00E94CA9">
        <w:rPr>
          <w:rFonts w:ascii="Arial" w:hAnsi="Arial" w:cs="Arial"/>
          <w:color w:val="000000" w:themeColor="text1"/>
        </w:rPr>
        <w:t xml:space="preserve"> in </w:t>
      </w:r>
      <w:r w:rsidR="00ED6C48">
        <w:rPr>
          <w:rFonts w:ascii="Arial" w:hAnsi="Arial" w:cs="Arial"/>
          <w:color w:val="000000" w:themeColor="text1"/>
        </w:rPr>
        <w:t xml:space="preserve">this </w:t>
      </w:r>
      <w:r w:rsidR="002E6D68" w:rsidRPr="00E94CA9">
        <w:rPr>
          <w:rFonts w:ascii="Arial" w:hAnsi="Arial" w:cs="Arial"/>
          <w:color w:val="000000" w:themeColor="text1"/>
        </w:rPr>
        <w:t>study</w:t>
      </w:r>
      <w:r w:rsidRPr="00E94CA9">
        <w:rPr>
          <w:rFonts w:ascii="Arial" w:hAnsi="Arial" w:cs="Arial"/>
          <w:color w:val="000000" w:themeColor="text1"/>
        </w:rPr>
        <w:t>. To th</w:t>
      </w:r>
      <w:r w:rsidR="007E4C43" w:rsidRPr="00E94CA9">
        <w:rPr>
          <w:rFonts w:ascii="Arial" w:hAnsi="Arial" w:cs="Arial"/>
          <w:color w:val="000000" w:themeColor="text1"/>
        </w:rPr>
        <w:t>is</w:t>
      </w:r>
      <w:r w:rsidRPr="00E94CA9">
        <w:rPr>
          <w:rFonts w:ascii="Arial" w:hAnsi="Arial" w:cs="Arial"/>
          <w:color w:val="000000" w:themeColor="text1"/>
        </w:rPr>
        <w:t xml:space="preserve"> end, cell viability following 72</w:t>
      </w:r>
      <w:r w:rsidR="00ED6C48">
        <w:rPr>
          <w:rFonts w:ascii="Arial" w:hAnsi="Arial" w:cs="Arial"/>
          <w:color w:val="000000" w:themeColor="text1"/>
        </w:rPr>
        <w:t>-</w:t>
      </w:r>
      <w:r w:rsidRPr="00E94CA9">
        <w:rPr>
          <w:rFonts w:ascii="Arial" w:hAnsi="Arial" w:cs="Arial"/>
          <w:color w:val="000000" w:themeColor="text1"/>
        </w:rPr>
        <w:t xml:space="preserve">hour exposure to AZD1208 in combination with </w:t>
      </w:r>
      <w:proofErr w:type="spellStart"/>
      <w:r w:rsidRPr="00E94CA9">
        <w:rPr>
          <w:rFonts w:ascii="Arial" w:hAnsi="Arial" w:cs="Arial"/>
          <w:color w:val="000000" w:themeColor="text1"/>
        </w:rPr>
        <w:t>brigatinib</w:t>
      </w:r>
      <w:proofErr w:type="spellEnd"/>
      <w:r w:rsidRPr="00E94CA9">
        <w:rPr>
          <w:rFonts w:ascii="Arial" w:hAnsi="Arial" w:cs="Arial"/>
          <w:color w:val="000000" w:themeColor="text1"/>
        </w:rPr>
        <w:t xml:space="preserve"> or </w:t>
      </w:r>
      <w:proofErr w:type="spellStart"/>
      <w:r w:rsidRPr="00E94CA9">
        <w:rPr>
          <w:rFonts w:ascii="Arial" w:hAnsi="Arial" w:cs="Arial"/>
          <w:color w:val="000000" w:themeColor="text1"/>
        </w:rPr>
        <w:t>ceritinib</w:t>
      </w:r>
      <w:proofErr w:type="spellEnd"/>
      <w:r w:rsidRPr="00E94CA9">
        <w:rPr>
          <w:rFonts w:ascii="Arial" w:hAnsi="Arial" w:cs="Arial"/>
          <w:color w:val="000000" w:themeColor="text1"/>
        </w:rPr>
        <w:t xml:space="preserve"> in SH-SY5Y, CHLA</w:t>
      </w:r>
      <w:r w:rsidR="00ED6C48">
        <w:rPr>
          <w:rFonts w:ascii="Arial" w:hAnsi="Arial" w:cs="Arial"/>
          <w:color w:val="000000" w:themeColor="text1"/>
        </w:rPr>
        <w:t>-</w:t>
      </w:r>
      <w:r w:rsidRPr="00E94CA9">
        <w:rPr>
          <w:rFonts w:ascii="Arial" w:hAnsi="Arial" w:cs="Arial"/>
          <w:color w:val="000000" w:themeColor="text1"/>
        </w:rPr>
        <w:t xml:space="preserve">20 </w:t>
      </w:r>
      <w:r w:rsidR="009E6090" w:rsidRPr="00E94CA9">
        <w:rPr>
          <w:rFonts w:ascii="Arial" w:hAnsi="Arial" w:cs="Arial"/>
          <w:color w:val="000000" w:themeColor="text1"/>
        </w:rPr>
        <w:t>and</w:t>
      </w:r>
      <w:r w:rsidRPr="00E94CA9">
        <w:rPr>
          <w:rFonts w:ascii="Arial" w:hAnsi="Arial" w:cs="Arial"/>
          <w:color w:val="000000" w:themeColor="text1"/>
        </w:rPr>
        <w:t xml:space="preserve"> K</w:t>
      </w:r>
      <w:r w:rsidR="007511ED" w:rsidRPr="00E94CA9">
        <w:rPr>
          <w:rFonts w:ascii="Arial" w:hAnsi="Arial" w:cs="Arial"/>
          <w:color w:val="000000" w:themeColor="text1"/>
        </w:rPr>
        <w:t>ELLY</w:t>
      </w:r>
      <w:r w:rsidRPr="00E94CA9">
        <w:rPr>
          <w:rFonts w:ascii="Arial" w:hAnsi="Arial" w:cs="Arial"/>
          <w:color w:val="000000" w:themeColor="text1"/>
        </w:rPr>
        <w:t xml:space="preserve"> cells using dose-response matrices in log-scale format was analy</w:t>
      </w:r>
      <w:r w:rsidR="00ED6C48">
        <w:rPr>
          <w:rFonts w:ascii="Arial" w:hAnsi="Arial" w:cs="Arial"/>
          <w:color w:val="000000" w:themeColor="text1"/>
        </w:rPr>
        <w:t>z</w:t>
      </w:r>
      <w:r w:rsidRPr="00E94CA9">
        <w:rPr>
          <w:rFonts w:ascii="Arial" w:hAnsi="Arial" w:cs="Arial"/>
          <w:color w:val="000000" w:themeColor="text1"/>
        </w:rPr>
        <w:t>ed.</w:t>
      </w:r>
      <w:r w:rsidR="006B0453" w:rsidRPr="00E94CA9">
        <w:rPr>
          <w:rFonts w:ascii="Arial" w:hAnsi="Arial" w:cs="Arial"/>
          <w:color w:val="000000" w:themeColor="text1"/>
        </w:rPr>
        <w:t xml:space="preserve"> </w:t>
      </w:r>
      <w:r w:rsidR="005033EF" w:rsidRPr="00E94CA9">
        <w:rPr>
          <w:rFonts w:ascii="Arial" w:hAnsi="Arial" w:cs="Arial"/>
          <w:color w:val="000000" w:themeColor="text1"/>
        </w:rPr>
        <w:t>The drug interactions were characterized using the Bliss Independence model described elsewhere</w:t>
      </w:r>
      <w:r w:rsidR="008072DE" w:rsidRPr="00E94CA9">
        <w:rPr>
          <w:rFonts w:ascii="Arial" w:hAnsi="Arial" w:cs="Arial"/>
          <w:color w:val="000000" w:themeColor="text1"/>
        </w:rPr>
        <w:fldChar w:fldCharType="begin" w:fldLock="1"/>
      </w:r>
      <w:r w:rsidR="00394C69">
        <w:rPr>
          <w:rFonts w:ascii="Arial" w:hAnsi="Arial" w:cs="Arial"/>
          <w:color w:val="000000" w:themeColor="text1"/>
        </w:rPr>
        <w:instrText>ADDIN CSL_CITATION {"citationItems":[{"id":"ITEM-1","itemData":{"DOI":"10.1002/prp2.149","ISBN":"2052-1707 (Print)\r2052-1707 (Linking)","PMID":"26171228","abstract":"Combination therapies exploit the chances for better efficacy, decreased toxicity, and reduced development of drug resistance and owing to these advantages, have become a standard for the treatment of several diseases and continue to represent a promising approach in indications of unmet medical need. In this context, studying the effects of a combination of drugs in order to provide evidence of a significant superiority compared to the single agents is of particular interest. Research in this field has resulted in a large number of papers and revealed several issues. Here, we propose an overview of the current methodological landscape concerning the study of combination effects. First, we aim to provide the minimal set of mathematical and pharmacological concepts necessary to understand the most commonly used approaches, divided into effect-based approaches and dose-effect-based approaches, and introduced in light of their respective practical advantages and limitations. Then, we discuss six main common methodological issues that scientists have to face at each step of the development of new combination therapies. In particular, in the absence of a reference methodology suitable for all biomedical situations, the analysis of drug combinations should benefit from a collective, appropriate, and rigorous application of the concepts and methods reviewed here.","author":[{"dropping-particle":"","family":"Foucquier","given":"J","non-dropping-particle":"","parse-names":false,"suffix":""},{"dropping-particle":"","family":"Guedj","given":"M","non-dropping-particle":"","parse-names":false,"suffix":""}],"container-title":"Pharmacol Res Perspect","id":"ITEM-1","issue":"3","issued":{"date-parts":[["2015"]]},"note":"Foucquier, Julie\nGuedj, Mickael\neng\nReview\n2015/07/15 06:00\nPharmacol Res Perspect. 2015 Jun;3(3):e00149. doi: 10.1002/prp2.149. Epub 2015 May 20.","page":"e00149","title":"Analysis of drug combinations: current methodological landscape","type":"article-journal","volume":"3"},"uris":["http://www.mendeley.com/documents/?uuid=c5584bef-0917-47f9-8501-d7ea7452cc73","http://www.mendeley.com/documents/?uuid=1dd909c5-c7e8-4157-8e28-3322dac9da5d"]}],"mendeley":{"formattedCitation":"&lt;sup&gt;48&lt;/sup&gt;","plainTextFormattedCitation":"48","previouslyFormattedCitation":"&lt;sup&gt;48&lt;/sup&gt;"},"properties":{"noteIndex":0},"schema":"https://github.com/citation-style-language/schema/raw/master/csl-citation.json"}</w:instrText>
      </w:r>
      <w:r w:rsidR="008072DE" w:rsidRPr="00E94CA9">
        <w:rPr>
          <w:rFonts w:ascii="Arial" w:hAnsi="Arial" w:cs="Arial"/>
          <w:color w:val="000000" w:themeColor="text1"/>
        </w:rPr>
        <w:fldChar w:fldCharType="separate"/>
      </w:r>
      <w:r w:rsidR="005271C7" w:rsidRPr="00E94CA9">
        <w:rPr>
          <w:rFonts w:ascii="Arial" w:hAnsi="Arial" w:cs="Arial"/>
          <w:noProof/>
          <w:color w:val="000000" w:themeColor="text1"/>
          <w:vertAlign w:val="superscript"/>
        </w:rPr>
        <w:t>48</w:t>
      </w:r>
      <w:r w:rsidR="008072DE" w:rsidRPr="00E94CA9">
        <w:rPr>
          <w:rFonts w:ascii="Arial" w:hAnsi="Arial" w:cs="Arial"/>
          <w:color w:val="000000" w:themeColor="text1"/>
        </w:rPr>
        <w:fldChar w:fldCharType="end"/>
      </w:r>
      <w:r w:rsidR="005033EF" w:rsidRPr="00E94CA9">
        <w:rPr>
          <w:rFonts w:ascii="Arial" w:hAnsi="Arial" w:cs="Arial"/>
          <w:color w:val="000000" w:themeColor="text1"/>
        </w:rPr>
        <w:t xml:space="preserve">. A wide range of </w:t>
      </w:r>
      <w:r w:rsidR="00506298">
        <w:rPr>
          <w:rFonts w:ascii="Arial" w:hAnsi="Arial" w:cs="Arial"/>
          <w:color w:val="000000" w:themeColor="text1"/>
        </w:rPr>
        <w:t>combination index (CI)</w:t>
      </w:r>
      <w:r w:rsidR="005033EF" w:rsidRPr="00E94CA9">
        <w:rPr>
          <w:rFonts w:ascii="Arial" w:hAnsi="Arial" w:cs="Arial"/>
          <w:color w:val="000000" w:themeColor="text1"/>
        </w:rPr>
        <w:t xml:space="preserve"> values were determined across the concentration ranges for </w:t>
      </w:r>
      <w:r w:rsidR="006B0453" w:rsidRPr="00E94CA9">
        <w:rPr>
          <w:rFonts w:ascii="Arial" w:hAnsi="Arial" w:cs="Arial"/>
          <w:color w:val="000000" w:themeColor="text1"/>
        </w:rPr>
        <w:t xml:space="preserve">all </w:t>
      </w:r>
      <w:r w:rsidR="005033EF" w:rsidRPr="00E94CA9">
        <w:rPr>
          <w:rFonts w:ascii="Arial" w:hAnsi="Arial" w:cs="Arial"/>
          <w:color w:val="000000" w:themeColor="text1"/>
        </w:rPr>
        <w:t>cell lines and both ALK inhibitors, but for t</w:t>
      </w:r>
      <w:r w:rsidR="005033EF" w:rsidRPr="00E94CA9">
        <w:rPr>
          <w:rFonts w:ascii="Arial" w:hAnsi="Arial" w:cs="Arial"/>
        </w:rPr>
        <w:t>he most part CI values were &lt;1, indicative of mild synergy between ALK and PIM inhibition (Fig</w:t>
      </w:r>
      <w:r w:rsidR="0011772D" w:rsidRPr="00E94CA9">
        <w:rPr>
          <w:rFonts w:ascii="Arial" w:hAnsi="Arial" w:cs="Arial"/>
        </w:rPr>
        <w:t>.</w:t>
      </w:r>
      <w:r w:rsidR="005033EF" w:rsidRPr="00E94CA9">
        <w:rPr>
          <w:rFonts w:ascii="Arial" w:hAnsi="Arial" w:cs="Arial"/>
        </w:rPr>
        <w:t xml:space="preserve"> 4</w:t>
      </w:r>
      <w:r w:rsidR="0011772D" w:rsidRPr="00E94CA9">
        <w:rPr>
          <w:rFonts w:ascii="Arial" w:hAnsi="Arial" w:cs="Arial"/>
        </w:rPr>
        <w:t>a</w:t>
      </w:r>
      <w:r w:rsidR="005033EF" w:rsidRPr="00E94CA9">
        <w:rPr>
          <w:rFonts w:ascii="Arial" w:hAnsi="Arial" w:cs="Arial"/>
        </w:rPr>
        <w:t xml:space="preserve">). </w:t>
      </w:r>
      <w:r w:rsidR="005033EF" w:rsidRPr="00E94CA9">
        <w:rPr>
          <w:rFonts w:ascii="Arial" w:hAnsi="Arial" w:cs="Arial"/>
          <w:color w:val="000000" w:themeColor="text1"/>
        </w:rPr>
        <w:t xml:space="preserve">These findings were extended to other ALK-positive NB cell lines </w:t>
      </w:r>
      <w:r w:rsidR="005033EF" w:rsidRPr="00E94CA9">
        <w:rPr>
          <w:rFonts w:ascii="Arial" w:hAnsi="Arial" w:cs="Arial"/>
        </w:rPr>
        <w:t xml:space="preserve">by assessing cell viability after treatment with fixed concentrations of </w:t>
      </w:r>
      <w:proofErr w:type="spellStart"/>
      <w:r w:rsidR="005033EF" w:rsidRPr="00E94CA9">
        <w:rPr>
          <w:rFonts w:ascii="Arial" w:hAnsi="Arial" w:cs="Arial"/>
        </w:rPr>
        <w:t>brigatinib</w:t>
      </w:r>
      <w:proofErr w:type="spellEnd"/>
      <w:r w:rsidR="005033EF" w:rsidRPr="00E94CA9">
        <w:rPr>
          <w:rFonts w:ascii="Arial" w:hAnsi="Arial" w:cs="Arial"/>
        </w:rPr>
        <w:t xml:space="preserve"> and AZD1208 (Fig</w:t>
      </w:r>
      <w:r w:rsidR="0011772D" w:rsidRPr="00E94CA9">
        <w:rPr>
          <w:rFonts w:ascii="Arial" w:hAnsi="Arial" w:cs="Arial"/>
        </w:rPr>
        <w:t>.</w:t>
      </w:r>
      <w:r w:rsidR="005033EF" w:rsidRPr="00E94CA9">
        <w:rPr>
          <w:rFonts w:ascii="Arial" w:hAnsi="Arial" w:cs="Arial"/>
        </w:rPr>
        <w:t xml:space="preserve"> 4</w:t>
      </w:r>
      <w:r w:rsidR="0011772D" w:rsidRPr="00E94CA9">
        <w:rPr>
          <w:rFonts w:ascii="Arial" w:hAnsi="Arial" w:cs="Arial"/>
        </w:rPr>
        <w:t>b</w:t>
      </w:r>
      <w:r w:rsidR="005033EF" w:rsidRPr="00E94CA9">
        <w:rPr>
          <w:rFonts w:ascii="Arial" w:hAnsi="Arial" w:cs="Arial"/>
        </w:rPr>
        <w:t xml:space="preserve">). CI values </w:t>
      </w:r>
      <w:r w:rsidR="005033EF" w:rsidRPr="00E94CA9">
        <w:rPr>
          <w:rFonts w:ascii="Arial" w:hAnsi="Arial" w:cs="Arial"/>
          <w:color w:val="000000" w:themeColor="text1"/>
        </w:rPr>
        <w:t>ranged from 0.</w:t>
      </w:r>
      <w:r w:rsidR="00A84A5F">
        <w:rPr>
          <w:rFonts w:ascii="Arial" w:hAnsi="Arial" w:cs="Arial"/>
          <w:color w:val="000000" w:themeColor="text1"/>
        </w:rPr>
        <w:t>59</w:t>
      </w:r>
      <w:r w:rsidR="005033EF" w:rsidRPr="00E94CA9">
        <w:rPr>
          <w:rFonts w:ascii="Arial" w:hAnsi="Arial" w:cs="Arial"/>
          <w:color w:val="000000" w:themeColor="text1"/>
        </w:rPr>
        <w:t xml:space="preserve"> to 0.9</w:t>
      </w:r>
      <w:r w:rsidR="00A84A5F">
        <w:rPr>
          <w:rFonts w:ascii="Arial" w:hAnsi="Arial" w:cs="Arial"/>
          <w:color w:val="000000" w:themeColor="text1"/>
        </w:rPr>
        <w:t>5</w:t>
      </w:r>
      <w:r w:rsidR="005033EF" w:rsidRPr="00E94CA9">
        <w:rPr>
          <w:rFonts w:ascii="Arial" w:hAnsi="Arial" w:cs="Arial"/>
          <w:color w:val="000000" w:themeColor="text1"/>
        </w:rPr>
        <w:t xml:space="preserve">, indicating variable levels of synergy between </w:t>
      </w:r>
      <w:r w:rsidR="00305F9E" w:rsidRPr="00E94CA9">
        <w:rPr>
          <w:rFonts w:ascii="Arial" w:hAnsi="Arial" w:cs="Arial"/>
          <w:color w:val="000000" w:themeColor="text1"/>
        </w:rPr>
        <w:t>cell lines</w:t>
      </w:r>
      <w:r w:rsidR="003270E1">
        <w:rPr>
          <w:rFonts w:ascii="Arial" w:hAnsi="Arial" w:cs="Arial"/>
          <w:color w:val="000000" w:themeColor="text1"/>
        </w:rPr>
        <w:t xml:space="preserve">. </w:t>
      </w:r>
      <w:r w:rsidR="005033EF" w:rsidRPr="00E94CA9">
        <w:rPr>
          <w:rFonts w:ascii="Arial" w:hAnsi="Arial" w:cs="Arial"/>
          <w:color w:val="000000" w:themeColor="text1"/>
        </w:rPr>
        <w:t xml:space="preserve">The cellular consequences of drug interaction were then determined by analysis of apoptosis in several cell lines treated with </w:t>
      </w:r>
      <w:proofErr w:type="spellStart"/>
      <w:r w:rsidR="005033EF" w:rsidRPr="00E94CA9">
        <w:rPr>
          <w:rFonts w:ascii="Arial" w:hAnsi="Arial" w:cs="Arial"/>
          <w:color w:val="000000" w:themeColor="text1"/>
        </w:rPr>
        <w:t>brigatinib</w:t>
      </w:r>
      <w:proofErr w:type="spellEnd"/>
      <w:r w:rsidR="005033EF" w:rsidRPr="00E94CA9">
        <w:rPr>
          <w:rFonts w:ascii="Arial" w:hAnsi="Arial" w:cs="Arial"/>
          <w:color w:val="000000" w:themeColor="text1"/>
        </w:rPr>
        <w:t xml:space="preserve"> </w:t>
      </w:r>
      <w:r w:rsidRPr="00E94CA9">
        <w:rPr>
          <w:rFonts w:ascii="Arial" w:hAnsi="Arial" w:cs="Arial"/>
          <w:color w:val="000000" w:themeColor="text1"/>
        </w:rPr>
        <w:t xml:space="preserve">or </w:t>
      </w:r>
      <w:r w:rsidR="005033EF" w:rsidRPr="00E94CA9">
        <w:rPr>
          <w:rFonts w:ascii="Arial" w:hAnsi="Arial" w:cs="Arial"/>
          <w:color w:val="000000" w:themeColor="text1"/>
        </w:rPr>
        <w:t xml:space="preserve">AZD1208, alone and in combination. In 3/4 cell lines tested, synergy </w:t>
      </w:r>
      <w:r w:rsidR="00506298">
        <w:rPr>
          <w:rFonts w:ascii="Arial" w:hAnsi="Arial" w:cs="Arial"/>
          <w:color w:val="000000" w:themeColor="text1"/>
        </w:rPr>
        <w:t xml:space="preserve">was observed </w:t>
      </w:r>
      <w:r w:rsidR="005033EF" w:rsidRPr="00E94CA9">
        <w:rPr>
          <w:rFonts w:ascii="Arial" w:hAnsi="Arial" w:cs="Arial"/>
          <w:color w:val="000000" w:themeColor="text1"/>
        </w:rPr>
        <w:t xml:space="preserve">between the drugs </w:t>
      </w:r>
      <w:r w:rsidR="007511ED" w:rsidRPr="00E94CA9">
        <w:rPr>
          <w:rFonts w:ascii="Arial" w:hAnsi="Arial" w:cs="Arial"/>
          <w:color w:val="000000" w:themeColor="text1"/>
        </w:rPr>
        <w:t xml:space="preserve">(with an additive effect observed in the fourth cell line tested) </w:t>
      </w:r>
      <w:r w:rsidR="005033EF" w:rsidRPr="00E94CA9">
        <w:rPr>
          <w:rFonts w:ascii="Arial" w:hAnsi="Arial" w:cs="Arial"/>
          <w:color w:val="000000" w:themeColor="text1"/>
        </w:rPr>
        <w:t>in terms of the apoptotic cell fraction detected after 48</w:t>
      </w:r>
      <w:r w:rsidR="00506298">
        <w:rPr>
          <w:rFonts w:ascii="Arial" w:hAnsi="Arial" w:cs="Arial"/>
          <w:color w:val="000000" w:themeColor="text1"/>
        </w:rPr>
        <w:t>-</w:t>
      </w:r>
      <w:r w:rsidR="005033EF" w:rsidRPr="00E94CA9">
        <w:rPr>
          <w:rFonts w:ascii="Arial" w:hAnsi="Arial" w:cs="Arial"/>
          <w:color w:val="000000" w:themeColor="text1"/>
        </w:rPr>
        <w:t>hour treatment (Fig</w:t>
      </w:r>
      <w:r w:rsidR="0011772D" w:rsidRPr="00E94CA9">
        <w:rPr>
          <w:rFonts w:ascii="Arial" w:hAnsi="Arial" w:cs="Arial"/>
          <w:color w:val="000000" w:themeColor="text1"/>
        </w:rPr>
        <w:t>.</w:t>
      </w:r>
      <w:r w:rsidR="005033EF" w:rsidRPr="00E94CA9">
        <w:rPr>
          <w:rFonts w:ascii="Arial" w:hAnsi="Arial" w:cs="Arial"/>
          <w:color w:val="000000" w:themeColor="text1"/>
        </w:rPr>
        <w:t xml:space="preserve"> 4</w:t>
      </w:r>
      <w:r w:rsidR="0011772D" w:rsidRPr="00E94CA9">
        <w:rPr>
          <w:rFonts w:ascii="Arial" w:hAnsi="Arial" w:cs="Arial"/>
          <w:color w:val="000000" w:themeColor="text1"/>
        </w:rPr>
        <w:t>c</w:t>
      </w:r>
      <w:r w:rsidR="005033EF" w:rsidRPr="00E94CA9">
        <w:rPr>
          <w:rFonts w:ascii="Arial" w:hAnsi="Arial" w:cs="Arial"/>
          <w:color w:val="000000" w:themeColor="text1"/>
        </w:rPr>
        <w:t>).</w:t>
      </w:r>
    </w:p>
    <w:p w14:paraId="57FB05B7" w14:textId="77777777" w:rsidR="00C830A4" w:rsidRPr="00E94CA9" w:rsidRDefault="00C830A4" w:rsidP="002E6D68">
      <w:pPr>
        <w:spacing w:line="360" w:lineRule="auto"/>
        <w:ind w:firstLine="284"/>
        <w:jc w:val="both"/>
        <w:rPr>
          <w:rFonts w:cs="Arial"/>
          <w:color w:val="FF0000"/>
          <w:sz w:val="22"/>
          <w:szCs w:val="22"/>
        </w:rPr>
      </w:pPr>
    </w:p>
    <w:p w14:paraId="7FD1CE72" w14:textId="79CC455A" w:rsidR="006E280E" w:rsidRDefault="005033EF">
      <w:pPr>
        <w:spacing w:line="360" w:lineRule="auto"/>
        <w:jc w:val="both"/>
        <w:rPr>
          <w:rFonts w:cs="Arial"/>
          <w:b/>
          <w:sz w:val="22"/>
          <w:szCs w:val="22"/>
        </w:rPr>
      </w:pPr>
      <w:r w:rsidRPr="00E94CA9">
        <w:rPr>
          <w:rFonts w:cs="Arial"/>
          <w:b/>
          <w:sz w:val="22"/>
          <w:szCs w:val="22"/>
        </w:rPr>
        <w:t xml:space="preserve">Combined inhibition of ALK and PIM </w:t>
      </w:r>
      <w:r w:rsidR="006E280E">
        <w:rPr>
          <w:rFonts w:cs="Arial"/>
          <w:b/>
          <w:sz w:val="22"/>
          <w:szCs w:val="22"/>
        </w:rPr>
        <w:t>in ALK-positive PDX</w:t>
      </w:r>
    </w:p>
    <w:p w14:paraId="53BDD28C" w14:textId="498B8CFF" w:rsidR="00D30528" w:rsidRPr="00E94CA9" w:rsidRDefault="005033EF" w:rsidP="00845ECF">
      <w:pPr>
        <w:spacing w:line="360" w:lineRule="auto"/>
        <w:ind w:firstLine="284"/>
        <w:jc w:val="both"/>
        <w:rPr>
          <w:rFonts w:cs="Arial"/>
          <w:color w:val="000000" w:themeColor="text1"/>
          <w:sz w:val="22"/>
          <w:szCs w:val="22"/>
        </w:rPr>
      </w:pPr>
      <w:r w:rsidRPr="00E94CA9">
        <w:rPr>
          <w:rFonts w:cs="Arial"/>
          <w:sz w:val="22"/>
          <w:szCs w:val="22"/>
        </w:rPr>
        <w:t xml:space="preserve">To assess the efficacy of combined ALK and PIM inhibition </w:t>
      </w:r>
      <w:r w:rsidRPr="00E94CA9">
        <w:rPr>
          <w:rFonts w:cs="Arial"/>
          <w:i/>
          <w:sz w:val="22"/>
          <w:szCs w:val="22"/>
        </w:rPr>
        <w:t>in vivo</w:t>
      </w:r>
      <w:r w:rsidRPr="00E94CA9">
        <w:rPr>
          <w:rFonts w:cs="Arial"/>
          <w:sz w:val="22"/>
          <w:szCs w:val="22"/>
        </w:rPr>
        <w:t>, the COG-N-426x (ALK</w:t>
      </w:r>
      <w:r w:rsidRPr="00E94CA9">
        <w:rPr>
          <w:rFonts w:cs="Arial"/>
          <w:sz w:val="22"/>
          <w:szCs w:val="22"/>
          <w:vertAlign w:val="superscript"/>
        </w:rPr>
        <w:t>F1245C</w:t>
      </w:r>
      <w:r w:rsidRPr="00E94CA9">
        <w:rPr>
          <w:rFonts w:cs="Arial"/>
          <w:sz w:val="22"/>
          <w:szCs w:val="22"/>
        </w:rPr>
        <w:t xml:space="preserve">; </w:t>
      </w:r>
      <w:r w:rsidRPr="00E94CA9">
        <w:rPr>
          <w:rFonts w:cs="Arial"/>
          <w:i/>
          <w:sz w:val="22"/>
          <w:szCs w:val="22"/>
        </w:rPr>
        <w:t>MYCN</w:t>
      </w:r>
      <w:r w:rsidRPr="00E94CA9">
        <w:rPr>
          <w:rFonts w:cs="Arial"/>
          <w:sz w:val="22"/>
          <w:szCs w:val="22"/>
        </w:rPr>
        <w:t>-</w:t>
      </w:r>
      <w:r w:rsidR="00542124" w:rsidRPr="00E94CA9">
        <w:rPr>
          <w:rFonts w:cs="Arial"/>
          <w:sz w:val="22"/>
          <w:szCs w:val="22"/>
        </w:rPr>
        <w:t>WT</w:t>
      </w:r>
      <w:r w:rsidRPr="00E94CA9">
        <w:rPr>
          <w:rFonts w:cs="Arial"/>
          <w:sz w:val="22"/>
          <w:szCs w:val="22"/>
        </w:rPr>
        <w:t>) and COG-N-453x (ALK</w:t>
      </w:r>
      <w:r w:rsidRPr="00E94CA9">
        <w:rPr>
          <w:rFonts w:cs="Arial"/>
          <w:sz w:val="22"/>
          <w:szCs w:val="22"/>
          <w:vertAlign w:val="superscript"/>
        </w:rPr>
        <w:t>F1174L</w:t>
      </w:r>
      <w:r w:rsidRPr="00E94CA9">
        <w:rPr>
          <w:rFonts w:cs="Arial"/>
          <w:sz w:val="22"/>
          <w:szCs w:val="22"/>
        </w:rPr>
        <w:t xml:space="preserve">; </w:t>
      </w:r>
      <w:r w:rsidRPr="00E94CA9">
        <w:rPr>
          <w:rFonts w:cs="Arial"/>
          <w:i/>
          <w:sz w:val="22"/>
          <w:szCs w:val="22"/>
        </w:rPr>
        <w:t>MYCN</w:t>
      </w:r>
      <w:r w:rsidRPr="00E94CA9">
        <w:rPr>
          <w:rFonts w:cs="Arial"/>
          <w:strike/>
          <w:sz w:val="22"/>
          <w:szCs w:val="22"/>
        </w:rPr>
        <w:t>-</w:t>
      </w:r>
      <w:r w:rsidRPr="00E94CA9">
        <w:rPr>
          <w:rFonts w:cs="Arial"/>
          <w:sz w:val="22"/>
          <w:szCs w:val="22"/>
        </w:rPr>
        <w:t xml:space="preserve">amplified) </w:t>
      </w:r>
      <w:r w:rsidRPr="00E94CA9">
        <w:rPr>
          <w:rFonts w:cs="Arial"/>
          <w:color w:val="000000" w:themeColor="text1"/>
          <w:sz w:val="22"/>
          <w:szCs w:val="22"/>
        </w:rPr>
        <w:t>PDX models of high-risk NB were employed</w:t>
      </w:r>
      <w:r w:rsidRPr="00E94CA9">
        <w:rPr>
          <w:rFonts w:cs="Arial"/>
          <w:sz w:val="22"/>
          <w:szCs w:val="22"/>
        </w:rPr>
        <w:t xml:space="preserve">. COG-N-426x is derived from the same primary patient </w:t>
      </w:r>
      <w:proofErr w:type="spellStart"/>
      <w:r w:rsidRPr="00E94CA9">
        <w:rPr>
          <w:rFonts w:cs="Arial"/>
          <w:sz w:val="22"/>
          <w:szCs w:val="22"/>
        </w:rPr>
        <w:t>tumor</w:t>
      </w:r>
      <w:proofErr w:type="spellEnd"/>
      <w:r w:rsidRPr="00E94CA9">
        <w:rPr>
          <w:rFonts w:cs="Arial"/>
          <w:sz w:val="22"/>
          <w:szCs w:val="22"/>
        </w:rPr>
        <w:t xml:space="preserve"> as the COG-N-426 cell line, although COG-N-426x cells were directly grafted from human to mouse without intermediary </w:t>
      </w:r>
      <w:r w:rsidRPr="00E94CA9">
        <w:rPr>
          <w:rFonts w:cs="Arial"/>
          <w:i/>
          <w:sz w:val="22"/>
          <w:szCs w:val="22"/>
        </w:rPr>
        <w:t>in vitro</w:t>
      </w:r>
      <w:r w:rsidRPr="00E94CA9">
        <w:rPr>
          <w:rFonts w:cs="Arial"/>
          <w:sz w:val="22"/>
          <w:szCs w:val="22"/>
        </w:rPr>
        <w:t xml:space="preserve"> culture. </w:t>
      </w:r>
      <w:r w:rsidRPr="00E94CA9">
        <w:rPr>
          <w:rFonts w:cs="Arial"/>
          <w:color w:val="000000" w:themeColor="text1"/>
          <w:sz w:val="22"/>
          <w:szCs w:val="22"/>
        </w:rPr>
        <w:t xml:space="preserve">As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is currently </w:t>
      </w:r>
      <w:r w:rsidR="00506298">
        <w:rPr>
          <w:rFonts w:cs="Arial"/>
          <w:color w:val="000000" w:themeColor="text1"/>
          <w:sz w:val="22"/>
          <w:szCs w:val="22"/>
        </w:rPr>
        <w:t>undergoing</w:t>
      </w:r>
      <w:r w:rsidRPr="00E94CA9">
        <w:rPr>
          <w:rFonts w:cs="Arial"/>
          <w:color w:val="000000" w:themeColor="text1"/>
          <w:sz w:val="22"/>
          <w:szCs w:val="22"/>
        </w:rPr>
        <w:t xml:space="preserve"> phase I assessment </w:t>
      </w:r>
      <w:r w:rsidRPr="00E94CA9">
        <w:rPr>
          <w:rFonts w:cs="Arial"/>
          <w:sz w:val="22"/>
          <w:szCs w:val="22"/>
        </w:rPr>
        <w:t xml:space="preserve">in patients with ALK-positive </w:t>
      </w:r>
      <w:proofErr w:type="spellStart"/>
      <w:r w:rsidRPr="00E94CA9">
        <w:rPr>
          <w:rFonts w:cs="Arial"/>
          <w:sz w:val="22"/>
          <w:szCs w:val="22"/>
        </w:rPr>
        <w:t>pediatric</w:t>
      </w:r>
      <w:proofErr w:type="spellEnd"/>
      <w:r w:rsidRPr="00E94CA9">
        <w:rPr>
          <w:rFonts w:cs="Arial"/>
          <w:sz w:val="22"/>
          <w:szCs w:val="22"/>
        </w:rPr>
        <w:t xml:space="preserve"> malignancies including NB (NCT02780128; </w:t>
      </w:r>
      <w:r w:rsidRPr="00E94CA9">
        <w:rPr>
          <w:rFonts w:cs="Arial"/>
          <w:color w:val="000000" w:themeColor="text1"/>
          <w:sz w:val="22"/>
          <w:szCs w:val="22"/>
        </w:rPr>
        <w:t xml:space="preserve">NCT01742286), this ALK TKI was selected for </w:t>
      </w:r>
      <w:r w:rsidRPr="00E94CA9">
        <w:rPr>
          <w:rFonts w:cs="Arial"/>
          <w:i/>
          <w:color w:val="000000" w:themeColor="text1"/>
          <w:sz w:val="22"/>
          <w:szCs w:val="22"/>
        </w:rPr>
        <w:t>in vivo</w:t>
      </w:r>
      <w:r w:rsidRPr="00E94CA9">
        <w:rPr>
          <w:rFonts w:cs="Arial"/>
          <w:color w:val="000000" w:themeColor="text1"/>
          <w:sz w:val="22"/>
          <w:szCs w:val="22"/>
        </w:rPr>
        <w:t xml:space="preserve"> investigation. </w:t>
      </w:r>
    </w:p>
    <w:p w14:paraId="34431C3A" w14:textId="40122265" w:rsidR="00D30528" w:rsidRPr="00E94CA9" w:rsidRDefault="005033EF">
      <w:pPr>
        <w:spacing w:line="360" w:lineRule="auto"/>
        <w:ind w:firstLine="284"/>
        <w:jc w:val="both"/>
        <w:rPr>
          <w:rFonts w:cs="Arial"/>
          <w:strike/>
          <w:color w:val="000000" w:themeColor="text1"/>
          <w:sz w:val="22"/>
          <w:szCs w:val="22"/>
        </w:rPr>
      </w:pPr>
      <w:r w:rsidRPr="00E94CA9">
        <w:rPr>
          <w:rFonts w:cs="Arial"/>
          <w:sz w:val="22"/>
          <w:szCs w:val="22"/>
        </w:rPr>
        <w:t xml:space="preserve">NOD </w:t>
      </w:r>
      <w:proofErr w:type="spellStart"/>
      <w:r w:rsidRPr="003B023B">
        <w:rPr>
          <w:rFonts w:cs="Arial"/>
          <w:i/>
          <w:iCs/>
          <w:sz w:val="22"/>
          <w:szCs w:val="22"/>
        </w:rPr>
        <w:t>scid</w:t>
      </w:r>
      <w:proofErr w:type="spellEnd"/>
      <w:r w:rsidRPr="00E94CA9">
        <w:rPr>
          <w:rFonts w:cs="Arial"/>
          <w:sz w:val="22"/>
          <w:szCs w:val="22"/>
        </w:rPr>
        <w:t xml:space="preserve"> gamma mice were treated daily with either vehicle (0.5% HPMC; 0.5% Tween-</w:t>
      </w:r>
      <w:r w:rsidRPr="00E94CA9">
        <w:rPr>
          <w:rFonts w:cs="Arial"/>
          <w:color w:val="000000" w:themeColor="text1"/>
          <w:sz w:val="22"/>
          <w:szCs w:val="22"/>
        </w:rPr>
        <w:t xml:space="preserve">80), single-agent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(30 mg/kg), single-agent AZD1208 (15 mg/kg) or both agents in combination (Supplementary </w:t>
      </w:r>
      <w:r w:rsidR="00771E27">
        <w:rPr>
          <w:rFonts w:cs="Arial"/>
          <w:color w:val="000000" w:themeColor="text1"/>
          <w:sz w:val="22"/>
          <w:szCs w:val="22"/>
        </w:rPr>
        <w:t>Fig.</w:t>
      </w:r>
      <w:r w:rsidRPr="00E94CA9">
        <w:rPr>
          <w:rFonts w:cs="Arial"/>
          <w:color w:val="000000" w:themeColor="text1"/>
          <w:sz w:val="22"/>
          <w:szCs w:val="22"/>
        </w:rPr>
        <w:t xml:space="preserve"> 8</w:t>
      </w:r>
      <w:r w:rsidR="0011772D" w:rsidRPr="00E94CA9">
        <w:rPr>
          <w:rFonts w:cs="Arial"/>
          <w:color w:val="000000" w:themeColor="text1"/>
          <w:sz w:val="22"/>
          <w:szCs w:val="22"/>
        </w:rPr>
        <w:t>a</w:t>
      </w:r>
      <w:r w:rsidRPr="00E94CA9">
        <w:rPr>
          <w:rFonts w:cs="Arial"/>
          <w:color w:val="000000" w:themeColor="text1"/>
          <w:sz w:val="22"/>
          <w:szCs w:val="22"/>
        </w:rPr>
        <w:t xml:space="preserve">). In the COG-N-426x model, single-agent treatment with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or AZD1208 led to a delay in </w:t>
      </w:r>
      <w:proofErr w:type="spellStart"/>
      <w:r w:rsidRPr="00E94CA9">
        <w:rPr>
          <w:rFonts w:cs="Arial"/>
          <w:color w:val="000000" w:themeColor="text1"/>
          <w:sz w:val="22"/>
          <w:szCs w:val="22"/>
        </w:rPr>
        <w:t>tumor</w:t>
      </w:r>
      <w:proofErr w:type="spellEnd"/>
      <w:r w:rsidRPr="00E94CA9">
        <w:rPr>
          <w:rFonts w:cs="Arial"/>
          <w:color w:val="000000" w:themeColor="text1"/>
          <w:sz w:val="22"/>
          <w:szCs w:val="22"/>
        </w:rPr>
        <w:t xml:space="preserve"> growth relative to vehicle treatment, although not significantly different from one another (Fig</w:t>
      </w:r>
      <w:r w:rsidR="0011772D" w:rsidRPr="00E94CA9">
        <w:rPr>
          <w:rFonts w:cs="Arial"/>
          <w:color w:val="000000" w:themeColor="text1"/>
          <w:sz w:val="22"/>
          <w:szCs w:val="22"/>
        </w:rPr>
        <w:t>.</w:t>
      </w:r>
      <w:r w:rsidRPr="00E94CA9">
        <w:rPr>
          <w:rFonts w:cs="Arial"/>
          <w:color w:val="000000" w:themeColor="text1"/>
          <w:sz w:val="22"/>
          <w:szCs w:val="22"/>
        </w:rPr>
        <w:t xml:space="preserve"> 5</w:t>
      </w:r>
      <w:r w:rsidR="0011772D" w:rsidRPr="00E94CA9">
        <w:rPr>
          <w:rFonts w:cs="Arial"/>
          <w:color w:val="000000" w:themeColor="text1"/>
          <w:sz w:val="22"/>
          <w:szCs w:val="22"/>
        </w:rPr>
        <w:t>a</w:t>
      </w:r>
      <w:r w:rsidRPr="00E94CA9">
        <w:rPr>
          <w:rFonts w:cs="Arial"/>
          <w:color w:val="000000" w:themeColor="text1"/>
          <w:sz w:val="22"/>
          <w:szCs w:val="22"/>
        </w:rPr>
        <w:t xml:space="preserve">). However, the combination of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and AZD1208 led to a significant </w:t>
      </w:r>
      <w:r w:rsidR="005C0DC8" w:rsidRPr="00E94CA9">
        <w:rPr>
          <w:rFonts w:cs="Arial"/>
          <w:color w:val="000000" w:themeColor="text1"/>
          <w:sz w:val="22"/>
          <w:szCs w:val="22"/>
        </w:rPr>
        <w:t xml:space="preserve">reduction in </w:t>
      </w:r>
      <w:proofErr w:type="spellStart"/>
      <w:r w:rsidRPr="00E94CA9">
        <w:rPr>
          <w:rFonts w:cs="Arial"/>
          <w:color w:val="000000" w:themeColor="text1"/>
          <w:sz w:val="22"/>
          <w:szCs w:val="22"/>
        </w:rPr>
        <w:t>tumor</w:t>
      </w:r>
      <w:proofErr w:type="spellEnd"/>
      <w:r w:rsidRPr="00E94CA9">
        <w:rPr>
          <w:rFonts w:cs="Arial"/>
          <w:color w:val="000000" w:themeColor="text1"/>
          <w:sz w:val="22"/>
          <w:szCs w:val="22"/>
        </w:rPr>
        <w:t xml:space="preserve"> </w:t>
      </w:r>
      <w:r w:rsidR="005C0DC8" w:rsidRPr="00E94CA9">
        <w:rPr>
          <w:rFonts w:cs="Arial"/>
          <w:color w:val="000000" w:themeColor="text1"/>
          <w:sz w:val="22"/>
          <w:szCs w:val="22"/>
        </w:rPr>
        <w:t xml:space="preserve">volume at day 14 </w:t>
      </w:r>
      <w:r w:rsidRPr="00E94CA9">
        <w:rPr>
          <w:rFonts w:cs="Arial"/>
          <w:color w:val="000000" w:themeColor="text1"/>
          <w:sz w:val="22"/>
          <w:szCs w:val="22"/>
        </w:rPr>
        <w:t>relative to either agent alone (</w:t>
      </w:r>
      <w:r w:rsidRPr="00E94CA9">
        <w:rPr>
          <w:rFonts w:cs="Arial"/>
          <w:i/>
          <w:color w:val="000000" w:themeColor="text1"/>
          <w:sz w:val="22"/>
          <w:szCs w:val="22"/>
        </w:rPr>
        <w:t>p</w:t>
      </w:r>
      <w:r w:rsidRPr="00E94CA9">
        <w:rPr>
          <w:rFonts w:cs="Arial"/>
          <w:color w:val="000000" w:themeColor="text1"/>
          <w:sz w:val="22"/>
          <w:szCs w:val="22"/>
        </w:rPr>
        <w:t xml:space="preserve"> &lt; 0.05</w:t>
      </w:r>
      <w:r w:rsidR="00811ECA">
        <w:rPr>
          <w:rFonts w:cs="Arial"/>
          <w:color w:val="000000" w:themeColor="text1"/>
          <w:sz w:val="22"/>
          <w:szCs w:val="22"/>
        </w:rPr>
        <w:t xml:space="preserve">, </w:t>
      </w:r>
      <w:r w:rsidR="00811ECA" w:rsidRPr="007D59B1">
        <w:rPr>
          <w:rFonts w:eastAsia="+mn-ea" w:cs="Arial"/>
          <w:bCs/>
          <w:color w:val="000000"/>
          <w:kern w:val="24"/>
          <w:sz w:val="22"/>
          <w:szCs w:val="22"/>
        </w:rPr>
        <w:t>Mann-Whitney test</w:t>
      </w:r>
      <w:r w:rsidRPr="00E94CA9">
        <w:rPr>
          <w:rFonts w:cs="Arial"/>
          <w:color w:val="000000" w:themeColor="text1"/>
          <w:sz w:val="22"/>
          <w:szCs w:val="22"/>
        </w:rPr>
        <w:t xml:space="preserve">). Kaplan-Meier survival analysis showed a significant increase in event-free survival (EFS) for animals treated with the combination of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and AZD1208 (median EFS = 29.5 days) relative to single-agent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(median EFS = 19 days; </w:t>
      </w:r>
      <w:r w:rsidRPr="00E94CA9">
        <w:rPr>
          <w:rFonts w:cs="Arial"/>
          <w:i/>
          <w:color w:val="000000" w:themeColor="text1"/>
          <w:sz w:val="22"/>
          <w:szCs w:val="22"/>
        </w:rPr>
        <w:t>p</w:t>
      </w:r>
      <w:r w:rsidRPr="00E94CA9">
        <w:rPr>
          <w:rFonts w:cs="Arial"/>
          <w:color w:val="000000" w:themeColor="text1"/>
          <w:sz w:val="22"/>
          <w:szCs w:val="22"/>
        </w:rPr>
        <w:t xml:space="preserve"> &lt; 0.01</w:t>
      </w:r>
      <w:r w:rsidR="006213FF">
        <w:rPr>
          <w:rFonts w:cs="Arial"/>
          <w:color w:val="000000" w:themeColor="text1"/>
          <w:sz w:val="22"/>
          <w:szCs w:val="22"/>
        </w:rPr>
        <w:t xml:space="preserve">, </w:t>
      </w:r>
      <w:r w:rsidR="006213FF" w:rsidRPr="007D59B1">
        <w:rPr>
          <w:rFonts w:eastAsia="+mn-ea" w:cs="Arial"/>
          <w:bCs/>
          <w:kern w:val="24"/>
          <w:sz w:val="22"/>
          <w:szCs w:val="22"/>
        </w:rPr>
        <w:t>Log-rank test</w:t>
      </w:r>
      <w:r w:rsidRPr="00E94CA9">
        <w:rPr>
          <w:rFonts w:cs="Arial"/>
          <w:color w:val="000000" w:themeColor="text1"/>
          <w:sz w:val="22"/>
          <w:szCs w:val="22"/>
        </w:rPr>
        <w:t xml:space="preserve">) or AZD1208 (median EFS = 15 days; </w:t>
      </w:r>
      <w:r w:rsidRPr="00E94CA9">
        <w:rPr>
          <w:rFonts w:cs="Arial"/>
          <w:i/>
          <w:color w:val="000000" w:themeColor="text1"/>
          <w:sz w:val="22"/>
          <w:szCs w:val="22"/>
        </w:rPr>
        <w:t>p</w:t>
      </w:r>
      <w:r w:rsidRPr="00E94CA9">
        <w:rPr>
          <w:rFonts w:cs="Arial"/>
          <w:color w:val="000000" w:themeColor="text1"/>
          <w:sz w:val="22"/>
          <w:szCs w:val="22"/>
        </w:rPr>
        <w:t xml:space="preserve"> &lt; 0.01</w:t>
      </w:r>
      <w:r w:rsidR="00D73743" w:rsidRPr="00E94CA9">
        <w:rPr>
          <w:rFonts w:cs="Arial"/>
          <w:color w:val="000000" w:themeColor="text1"/>
          <w:sz w:val="22"/>
          <w:szCs w:val="22"/>
        </w:rPr>
        <w:t xml:space="preserve">, </w:t>
      </w:r>
      <w:r w:rsidR="006213FF" w:rsidRPr="007D59B1">
        <w:rPr>
          <w:rFonts w:eastAsia="+mn-ea" w:cs="Arial"/>
          <w:bCs/>
          <w:kern w:val="24"/>
          <w:sz w:val="22"/>
          <w:szCs w:val="22"/>
        </w:rPr>
        <w:t>Log-rank test</w:t>
      </w:r>
      <w:r w:rsidR="006213FF">
        <w:rPr>
          <w:rFonts w:eastAsia="+mn-ea" w:cs="Arial"/>
          <w:bCs/>
          <w:kern w:val="24"/>
          <w:sz w:val="22"/>
          <w:szCs w:val="22"/>
        </w:rPr>
        <w:t>,</w:t>
      </w:r>
      <w:r w:rsidR="006213FF" w:rsidRPr="00E94CA9">
        <w:rPr>
          <w:rFonts w:cs="Arial"/>
          <w:color w:val="000000" w:themeColor="text1"/>
          <w:sz w:val="22"/>
          <w:szCs w:val="22"/>
        </w:rPr>
        <w:t xml:space="preserve"> </w:t>
      </w:r>
      <w:r w:rsidRPr="00E94CA9">
        <w:rPr>
          <w:rFonts w:cs="Arial"/>
          <w:color w:val="000000" w:themeColor="text1"/>
          <w:sz w:val="22"/>
          <w:szCs w:val="22"/>
        </w:rPr>
        <w:t>Fig</w:t>
      </w:r>
      <w:r w:rsidR="0011772D" w:rsidRPr="00E94CA9">
        <w:rPr>
          <w:rFonts w:cs="Arial"/>
          <w:color w:val="000000" w:themeColor="text1"/>
          <w:sz w:val="22"/>
          <w:szCs w:val="22"/>
        </w:rPr>
        <w:t>.</w:t>
      </w:r>
      <w:r w:rsidRPr="00E94CA9">
        <w:rPr>
          <w:rFonts w:cs="Arial"/>
          <w:color w:val="000000" w:themeColor="text1"/>
          <w:sz w:val="22"/>
          <w:szCs w:val="22"/>
        </w:rPr>
        <w:t xml:space="preserve"> 5</w:t>
      </w:r>
      <w:r w:rsidR="0011772D" w:rsidRPr="00E94CA9">
        <w:rPr>
          <w:rFonts w:cs="Arial"/>
          <w:color w:val="000000" w:themeColor="text1"/>
          <w:sz w:val="22"/>
          <w:szCs w:val="22"/>
        </w:rPr>
        <w:t>b</w:t>
      </w:r>
      <w:r w:rsidRPr="00E94CA9">
        <w:rPr>
          <w:rFonts w:cs="Arial"/>
          <w:color w:val="000000" w:themeColor="text1"/>
          <w:sz w:val="22"/>
          <w:szCs w:val="22"/>
        </w:rPr>
        <w:t>)</w:t>
      </w:r>
      <w:r w:rsidR="00506298">
        <w:rPr>
          <w:rFonts w:cs="Arial"/>
          <w:color w:val="000000" w:themeColor="text1"/>
          <w:sz w:val="22"/>
          <w:szCs w:val="22"/>
        </w:rPr>
        <w:t xml:space="preserve">, where an event was defined as a </w:t>
      </w:r>
      <w:proofErr w:type="spellStart"/>
      <w:r w:rsidR="00506298">
        <w:rPr>
          <w:rFonts w:cs="Arial"/>
          <w:color w:val="000000" w:themeColor="text1"/>
          <w:sz w:val="22"/>
          <w:szCs w:val="22"/>
        </w:rPr>
        <w:t>tumor</w:t>
      </w:r>
      <w:proofErr w:type="spellEnd"/>
      <w:r w:rsidR="00506298">
        <w:rPr>
          <w:rFonts w:cs="Arial"/>
          <w:color w:val="000000" w:themeColor="text1"/>
          <w:sz w:val="22"/>
          <w:szCs w:val="22"/>
        </w:rPr>
        <w:t xml:space="preserve"> reaching 15 mm in any direction</w:t>
      </w:r>
      <w:r w:rsidRPr="00E94CA9">
        <w:rPr>
          <w:rFonts w:cs="Arial"/>
          <w:color w:val="000000" w:themeColor="text1"/>
          <w:sz w:val="22"/>
          <w:szCs w:val="22"/>
        </w:rPr>
        <w:t>. All compounds were well-tolerated, with no significant decrease in body weight or lethal toxicity observed (Fig</w:t>
      </w:r>
      <w:r w:rsidR="0011772D" w:rsidRPr="00E94CA9">
        <w:rPr>
          <w:rFonts w:cs="Arial"/>
          <w:color w:val="000000" w:themeColor="text1"/>
          <w:sz w:val="22"/>
          <w:szCs w:val="22"/>
        </w:rPr>
        <w:t>.</w:t>
      </w:r>
      <w:r w:rsidRPr="00E94CA9">
        <w:rPr>
          <w:rFonts w:cs="Arial"/>
          <w:color w:val="000000" w:themeColor="text1"/>
          <w:sz w:val="22"/>
          <w:szCs w:val="22"/>
        </w:rPr>
        <w:t xml:space="preserve"> 5</w:t>
      </w:r>
      <w:r w:rsidR="0011772D" w:rsidRPr="00E94CA9">
        <w:rPr>
          <w:rFonts w:cs="Arial"/>
          <w:color w:val="000000" w:themeColor="text1"/>
          <w:sz w:val="22"/>
          <w:szCs w:val="22"/>
        </w:rPr>
        <w:t>c</w:t>
      </w:r>
      <w:r w:rsidRPr="00E94CA9">
        <w:rPr>
          <w:rFonts w:cs="Arial"/>
          <w:color w:val="000000" w:themeColor="text1"/>
          <w:sz w:val="22"/>
          <w:szCs w:val="22"/>
        </w:rPr>
        <w:t xml:space="preserve">). </w:t>
      </w:r>
    </w:p>
    <w:p w14:paraId="0D9EAEF8" w14:textId="781AC9DA" w:rsidR="00D30528" w:rsidRPr="00E94CA9" w:rsidRDefault="005033EF">
      <w:pPr>
        <w:spacing w:line="360" w:lineRule="auto"/>
        <w:ind w:firstLine="284"/>
        <w:jc w:val="both"/>
        <w:rPr>
          <w:rFonts w:cs="Arial"/>
          <w:strike/>
          <w:color w:val="FF0000"/>
          <w:sz w:val="22"/>
          <w:szCs w:val="22"/>
        </w:rPr>
      </w:pPr>
      <w:r w:rsidRPr="00E94CA9">
        <w:rPr>
          <w:rFonts w:cs="Arial"/>
          <w:color w:val="000000" w:themeColor="text1"/>
          <w:sz w:val="22"/>
          <w:szCs w:val="22"/>
        </w:rPr>
        <w:lastRenderedPageBreak/>
        <w:t xml:space="preserve">Residual COG-N-426x </w:t>
      </w:r>
      <w:proofErr w:type="spellStart"/>
      <w:r w:rsidRPr="00E94CA9">
        <w:rPr>
          <w:rFonts w:cs="Arial"/>
          <w:color w:val="000000" w:themeColor="text1"/>
          <w:sz w:val="22"/>
          <w:szCs w:val="22"/>
        </w:rPr>
        <w:t>tumors</w:t>
      </w:r>
      <w:proofErr w:type="spellEnd"/>
      <w:r w:rsidRPr="00E94CA9">
        <w:rPr>
          <w:rFonts w:cs="Arial"/>
          <w:color w:val="000000" w:themeColor="text1"/>
          <w:sz w:val="22"/>
          <w:szCs w:val="22"/>
        </w:rPr>
        <w:t xml:space="preserve"> harvested at the experimental end</w:t>
      </w:r>
      <w:r w:rsidR="00506298">
        <w:rPr>
          <w:rFonts w:cs="Arial"/>
          <w:color w:val="000000" w:themeColor="text1"/>
          <w:sz w:val="22"/>
          <w:szCs w:val="22"/>
        </w:rPr>
        <w:t>-</w:t>
      </w:r>
      <w:r w:rsidRPr="00E94CA9">
        <w:rPr>
          <w:rFonts w:cs="Arial"/>
          <w:color w:val="000000" w:themeColor="text1"/>
          <w:sz w:val="22"/>
          <w:szCs w:val="22"/>
        </w:rPr>
        <w:t xml:space="preserve">point recapitulated histological features of NB, with H&amp;E staining showing small, round, monomorphic cells with nuclear </w:t>
      </w:r>
      <w:proofErr w:type="spellStart"/>
      <w:r w:rsidRPr="00E94CA9">
        <w:rPr>
          <w:rFonts w:cs="Arial"/>
          <w:color w:val="000000" w:themeColor="text1"/>
          <w:sz w:val="22"/>
          <w:szCs w:val="22"/>
        </w:rPr>
        <w:t>hyperchromasia</w:t>
      </w:r>
      <w:proofErr w:type="spellEnd"/>
      <w:r w:rsidRPr="00E94CA9">
        <w:rPr>
          <w:rFonts w:cs="Arial"/>
          <w:color w:val="000000" w:themeColor="text1"/>
          <w:sz w:val="22"/>
          <w:szCs w:val="22"/>
        </w:rPr>
        <w:t xml:space="preserve"> and scant cytoplasm (Supplementary </w:t>
      </w:r>
      <w:r w:rsidR="00771E27">
        <w:rPr>
          <w:rFonts w:cs="Arial"/>
          <w:color w:val="000000" w:themeColor="text1"/>
          <w:sz w:val="22"/>
          <w:szCs w:val="22"/>
        </w:rPr>
        <w:t>Fig.</w:t>
      </w:r>
      <w:r w:rsidRPr="00E94CA9">
        <w:rPr>
          <w:rFonts w:cs="Arial"/>
          <w:color w:val="000000" w:themeColor="text1"/>
          <w:sz w:val="22"/>
          <w:szCs w:val="22"/>
        </w:rPr>
        <w:t xml:space="preserve"> </w:t>
      </w:r>
      <w:r w:rsidRPr="00506298">
        <w:rPr>
          <w:rFonts w:cs="Arial"/>
          <w:sz w:val="22"/>
          <w:szCs w:val="22"/>
        </w:rPr>
        <w:t>8</w:t>
      </w:r>
      <w:r w:rsidR="008E4E01" w:rsidRPr="00506298">
        <w:rPr>
          <w:rFonts w:cs="Arial"/>
          <w:sz w:val="22"/>
          <w:szCs w:val="22"/>
        </w:rPr>
        <w:t>b</w:t>
      </w:r>
      <w:r w:rsidRPr="00506298">
        <w:rPr>
          <w:rFonts w:cs="Arial"/>
          <w:sz w:val="22"/>
          <w:szCs w:val="22"/>
        </w:rPr>
        <w:t>)</w:t>
      </w:r>
      <w:r w:rsidRPr="00E94CA9">
        <w:rPr>
          <w:rFonts w:cs="Arial"/>
          <w:color w:val="000000" w:themeColor="text1"/>
          <w:sz w:val="22"/>
          <w:szCs w:val="22"/>
        </w:rPr>
        <w:t xml:space="preserve">. Consistent with the superior efficacy of combination treatment, </w:t>
      </w:r>
      <w:proofErr w:type="spellStart"/>
      <w:r w:rsidRPr="00E94CA9">
        <w:rPr>
          <w:rFonts w:cs="Arial"/>
          <w:color w:val="000000" w:themeColor="text1"/>
          <w:sz w:val="22"/>
          <w:szCs w:val="22"/>
        </w:rPr>
        <w:t>tumor</w:t>
      </w:r>
      <w:proofErr w:type="spellEnd"/>
      <w:r w:rsidRPr="00E94CA9">
        <w:rPr>
          <w:rFonts w:cs="Arial"/>
          <w:color w:val="000000" w:themeColor="text1"/>
          <w:sz w:val="22"/>
          <w:szCs w:val="22"/>
        </w:rPr>
        <w:t xml:space="preserve"> immunostaining showed a significant reduction in cell proliferation as indicated by positivity for Ki67 (Supplementary </w:t>
      </w:r>
      <w:r w:rsidR="00771E27">
        <w:rPr>
          <w:rFonts w:cs="Arial"/>
          <w:color w:val="000000" w:themeColor="text1"/>
          <w:sz w:val="22"/>
          <w:szCs w:val="22"/>
        </w:rPr>
        <w:t>Fig.</w:t>
      </w:r>
      <w:r w:rsidRPr="00E94CA9">
        <w:rPr>
          <w:rFonts w:cs="Arial"/>
          <w:color w:val="000000" w:themeColor="text1"/>
          <w:sz w:val="22"/>
          <w:szCs w:val="22"/>
        </w:rPr>
        <w:t xml:space="preserve"> 8</w:t>
      </w:r>
      <w:r w:rsidR="008E4E01" w:rsidRPr="00506298">
        <w:rPr>
          <w:rFonts w:cs="Arial"/>
          <w:sz w:val="22"/>
          <w:szCs w:val="22"/>
        </w:rPr>
        <w:t>c</w:t>
      </w:r>
      <w:r w:rsidRPr="00E94CA9">
        <w:rPr>
          <w:rFonts w:cs="Arial"/>
          <w:color w:val="000000" w:themeColor="text1"/>
          <w:sz w:val="22"/>
          <w:szCs w:val="22"/>
        </w:rPr>
        <w:t xml:space="preserve">; </w:t>
      </w:r>
      <w:r w:rsidRPr="00E94CA9">
        <w:rPr>
          <w:rFonts w:cs="Arial"/>
          <w:i/>
          <w:color w:val="000000" w:themeColor="text1"/>
          <w:sz w:val="22"/>
          <w:szCs w:val="22"/>
        </w:rPr>
        <w:t>p</w:t>
      </w:r>
      <w:r w:rsidRPr="00E94CA9">
        <w:rPr>
          <w:rFonts w:cs="Arial"/>
          <w:color w:val="000000" w:themeColor="text1"/>
          <w:sz w:val="22"/>
          <w:szCs w:val="22"/>
        </w:rPr>
        <w:t xml:space="preserve"> &lt; 0.001</w:t>
      </w:r>
      <w:r w:rsidR="006213FF">
        <w:rPr>
          <w:rFonts w:cs="Arial"/>
          <w:color w:val="000000" w:themeColor="text1"/>
          <w:sz w:val="22"/>
          <w:szCs w:val="22"/>
        </w:rPr>
        <w:t>,</w:t>
      </w:r>
      <w:r w:rsidR="006213FF" w:rsidRPr="006213FF">
        <w:rPr>
          <w:rFonts w:ascii="Times New Roman" w:hAnsi="Times New Roman" w:cs="Times New Roman"/>
        </w:rPr>
        <w:t xml:space="preserve"> </w:t>
      </w:r>
      <w:r w:rsidR="006213FF" w:rsidRPr="006213FF">
        <w:rPr>
          <w:rFonts w:cs="Arial"/>
          <w:sz w:val="22"/>
          <w:szCs w:val="22"/>
        </w:rPr>
        <w:t>unpaired Student’s t-test</w:t>
      </w:r>
      <w:r w:rsidRPr="00E94CA9">
        <w:rPr>
          <w:rFonts w:cs="Arial"/>
          <w:color w:val="000000" w:themeColor="text1"/>
          <w:sz w:val="22"/>
          <w:szCs w:val="22"/>
        </w:rPr>
        <w:t xml:space="preserve">) in combination-treated </w:t>
      </w:r>
      <w:proofErr w:type="spellStart"/>
      <w:r w:rsidRPr="00E94CA9">
        <w:rPr>
          <w:rFonts w:cs="Arial"/>
          <w:color w:val="000000" w:themeColor="text1"/>
          <w:sz w:val="22"/>
          <w:szCs w:val="22"/>
        </w:rPr>
        <w:t>tumors</w:t>
      </w:r>
      <w:proofErr w:type="spellEnd"/>
      <w:r w:rsidRPr="00E94CA9">
        <w:rPr>
          <w:rFonts w:cs="Arial"/>
          <w:color w:val="000000" w:themeColor="text1"/>
          <w:sz w:val="22"/>
          <w:szCs w:val="22"/>
        </w:rPr>
        <w:t xml:space="preserve"> versus single-agent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-treated </w:t>
      </w:r>
      <w:proofErr w:type="spellStart"/>
      <w:r w:rsidRPr="00E94CA9">
        <w:rPr>
          <w:rFonts w:cs="Arial"/>
          <w:color w:val="000000" w:themeColor="text1"/>
          <w:sz w:val="22"/>
          <w:szCs w:val="22"/>
        </w:rPr>
        <w:t>tumors</w:t>
      </w:r>
      <w:proofErr w:type="spellEnd"/>
      <w:r w:rsidRPr="00E94CA9">
        <w:rPr>
          <w:rFonts w:cs="Arial"/>
          <w:color w:val="000000" w:themeColor="text1"/>
          <w:sz w:val="22"/>
          <w:szCs w:val="22"/>
        </w:rPr>
        <w:t xml:space="preserve">. </w:t>
      </w:r>
    </w:p>
    <w:p w14:paraId="7E3F913A" w14:textId="25A7B66E" w:rsidR="008046A5" w:rsidRPr="00E94CA9" w:rsidRDefault="005033EF" w:rsidP="001365AD">
      <w:pPr>
        <w:spacing w:line="360" w:lineRule="auto"/>
        <w:ind w:firstLine="284"/>
        <w:jc w:val="both"/>
        <w:rPr>
          <w:rFonts w:cs="Arial"/>
          <w:color w:val="000000" w:themeColor="text1"/>
          <w:sz w:val="22"/>
          <w:szCs w:val="22"/>
        </w:rPr>
      </w:pPr>
      <w:r w:rsidRPr="00E94CA9">
        <w:rPr>
          <w:rFonts w:cs="Arial"/>
          <w:color w:val="000000" w:themeColor="text1"/>
          <w:sz w:val="22"/>
          <w:szCs w:val="22"/>
        </w:rPr>
        <w:t xml:space="preserve">The superior efficacy of the combination therapy was confirmed in a second cohort of mice bearing </w:t>
      </w:r>
      <w:r w:rsidRPr="00E94CA9">
        <w:rPr>
          <w:rFonts w:cs="Arial"/>
          <w:i/>
          <w:color w:val="000000" w:themeColor="text1"/>
          <w:sz w:val="22"/>
          <w:szCs w:val="22"/>
        </w:rPr>
        <w:t>MYCN</w:t>
      </w:r>
      <w:r w:rsidRPr="00E94CA9">
        <w:rPr>
          <w:rFonts w:cs="Arial"/>
          <w:color w:val="000000" w:themeColor="text1"/>
          <w:sz w:val="22"/>
          <w:szCs w:val="22"/>
        </w:rPr>
        <w:t>+ COG-N-453x NB xenografts (Fig</w:t>
      </w:r>
      <w:r w:rsidR="0011772D" w:rsidRPr="00E94CA9">
        <w:rPr>
          <w:rFonts w:cs="Arial"/>
          <w:color w:val="000000" w:themeColor="text1"/>
          <w:sz w:val="22"/>
          <w:szCs w:val="22"/>
        </w:rPr>
        <w:t>.</w:t>
      </w:r>
      <w:r w:rsidRPr="00E94CA9">
        <w:rPr>
          <w:rFonts w:cs="Arial"/>
          <w:color w:val="000000" w:themeColor="text1"/>
          <w:sz w:val="22"/>
          <w:szCs w:val="22"/>
        </w:rPr>
        <w:t xml:space="preserve"> </w:t>
      </w:r>
      <w:r w:rsidRPr="00506298">
        <w:rPr>
          <w:rFonts w:cs="Arial"/>
          <w:sz w:val="22"/>
          <w:szCs w:val="22"/>
        </w:rPr>
        <w:t>5</w:t>
      </w:r>
      <w:r w:rsidR="008E4E01" w:rsidRPr="00506298">
        <w:rPr>
          <w:rFonts w:cs="Arial"/>
          <w:sz w:val="22"/>
          <w:szCs w:val="22"/>
        </w:rPr>
        <w:t>d</w:t>
      </w:r>
      <w:r w:rsidR="00506298" w:rsidRPr="00506298">
        <w:rPr>
          <w:rFonts w:cs="Arial"/>
          <w:sz w:val="22"/>
          <w:szCs w:val="22"/>
        </w:rPr>
        <w:t>,</w:t>
      </w:r>
      <w:r w:rsidR="008E4E01" w:rsidRPr="00506298">
        <w:rPr>
          <w:rFonts w:cs="Arial"/>
          <w:sz w:val="22"/>
          <w:szCs w:val="22"/>
        </w:rPr>
        <w:t>e</w:t>
      </w:r>
      <w:r w:rsidRPr="00506298">
        <w:rPr>
          <w:rFonts w:cs="Arial"/>
          <w:sz w:val="22"/>
          <w:szCs w:val="22"/>
        </w:rPr>
        <w:t xml:space="preserve">). </w:t>
      </w:r>
      <w:proofErr w:type="spellStart"/>
      <w:r w:rsidRPr="00E94CA9">
        <w:rPr>
          <w:rFonts w:cs="Arial"/>
          <w:color w:val="000000" w:themeColor="text1"/>
          <w:sz w:val="22"/>
          <w:szCs w:val="22"/>
        </w:rPr>
        <w:t>Tumor</w:t>
      </w:r>
      <w:proofErr w:type="spellEnd"/>
      <w:r w:rsidR="005C0DC8" w:rsidRPr="00E94CA9">
        <w:rPr>
          <w:rFonts w:cs="Arial"/>
          <w:color w:val="000000" w:themeColor="text1"/>
          <w:sz w:val="22"/>
          <w:szCs w:val="22"/>
        </w:rPr>
        <w:t xml:space="preserve"> volume</w:t>
      </w:r>
      <w:r w:rsidRPr="00E94CA9">
        <w:rPr>
          <w:rFonts w:cs="Arial"/>
          <w:color w:val="000000" w:themeColor="text1"/>
          <w:sz w:val="22"/>
          <w:szCs w:val="22"/>
        </w:rPr>
        <w:t xml:space="preserve"> was significantly </w:t>
      </w:r>
      <w:r w:rsidR="005C0DC8" w:rsidRPr="00E94CA9">
        <w:rPr>
          <w:rFonts w:cs="Arial"/>
          <w:color w:val="000000" w:themeColor="text1"/>
          <w:sz w:val="22"/>
          <w:szCs w:val="22"/>
        </w:rPr>
        <w:t>reduced at day 8</w:t>
      </w:r>
      <w:r w:rsidRPr="00E94CA9">
        <w:rPr>
          <w:rFonts w:cs="Arial"/>
          <w:color w:val="000000" w:themeColor="text1"/>
          <w:sz w:val="22"/>
          <w:szCs w:val="22"/>
        </w:rPr>
        <w:t xml:space="preserve"> in combination-treated mice relative to mice treated with single-agent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or AZD1208 (</w:t>
      </w:r>
      <w:r w:rsidRPr="00E94CA9">
        <w:rPr>
          <w:rFonts w:cs="Arial"/>
          <w:i/>
          <w:color w:val="000000" w:themeColor="text1"/>
          <w:sz w:val="22"/>
          <w:szCs w:val="22"/>
        </w:rPr>
        <w:t>p</w:t>
      </w:r>
      <w:r w:rsidR="005C0DC8" w:rsidRPr="00E94CA9">
        <w:rPr>
          <w:rFonts w:cs="Arial"/>
          <w:color w:val="000000" w:themeColor="text1"/>
          <w:sz w:val="22"/>
          <w:szCs w:val="22"/>
        </w:rPr>
        <w:t xml:space="preserve"> &lt; 0.0</w:t>
      </w:r>
      <w:r w:rsidRPr="00E94CA9">
        <w:rPr>
          <w:rFonts w:cs="Arial"/>
          <w:color w:val="000000" w:themeColor="text1"/>
          <w:sz w:val="22"/>
          <w:szCs w:val="22"/>
        </w:rPr>
        <w:t>5</w:t>
      </w:r>
      <w:r w:rsidR="006213FF">
        <w:rPr>
          <w:rFonts w:cs="Arial"/>
          <w:color w:val="000000" w:themeColor="text1"/>
          <w:sz w:val="22"/>
          <w:szCs w:val="22"/>
        </w:rPr>
        <w:t xml:space="preserve">, </w:t>
      </w:r>
      <w:r w:rsidR="006213FF" w:rsidRPr="007D59B1">
        <w:rPr>
          <w:rFonts w:eastAsia="+mn-ea" w:cs="Arial"/>
          <w:bCs/>
          <w:kern w:val="24"/>
          <w:sz w:val="22"/>
          <w:szCs w:val="22"/>
        </w:rPr>
        <w:t>Log-rank test</w:t>
      </w:r>
      <w:r w:rsidRPr="00E94CA9">
        <w:rPr>
          <w:rFonts w:cs="Arial"/>
          <w:color w:val="000000" w:themeColor="text1"/>
          <w:sz w:val="22"/>
          <w:szCs w:val="22"/>
        </w:rPr>
        <w:t>) (Fig</w:t>
      </w:r>
      <w:r w:rsidR="0011772D" w:rsidRPr="00E94CA9">
        <w:rPr>
          <w:rFonts w:cs="Arial"/>
          <w:color w:val="000000" w:themeColor="text1"/>
          <w:sz w:val="22"/>
          <w:szCs w:val="22"/>
        </w:rPr>
        <w:t>.</w:t>
      </w:r>
      <w:r w:rsidRPr="00E94CA9">
        <w:rPr>
          <w:rFonts w:cs="Arial"/>
          <w:color w:val="000000" w:themeColor="text1"/>
          <w:sz w:val="22"/>
          <w:szCs w:val="22"/>
        </w:rPr>
        <w:t xml:space="preserve"> 5</w:t>
      </w:r>
      <w:r w:rsidR="0011772D" w:rsidRPr="00E94CA9">
        <w:rPr>
          <w:rFonts w:cs="Arial"/>
          <w:color w:val="000000" w:themeColor="text1"/>
          <w:sz w:val="22"/>
          <w:szCs w:val="22"/>
        </w:rPr>
        <w:t>e</w:t>
      </w:r>
      <w:r w:rsidRPr="00E94CA9">
        <w:rPr>
          <w:rFonts w:cs="Arial"/>
          <w:color w:val="000000" w:themeColor="text1"/>
          <w:sz w:val="22"/>
          <w:szCs w:val="22"/>
        </w:rPr>
        <w:t xml:space="preserve">). Kaplan-Meier survival analysis showed a significant increase in event-free survival (EFS) for COG-N-453x mice treated with the combination (median EFS = 31.5 days) relative to single-agent </w:t>
      </w:r>
      <w:proofErr w:type="spellStart"/>
      <w:r w:rsidRPr="00E94CA9">
        <w:rPr>
          <w:rFonts w:cs="Arial"/>
          <w:color w:val="000000" w:themeColor="text1"/>
          <w:sz w:val="22"/>
          <w:szCs w:val="22"/>
        </w:rPr>
        <w:t>ceritinib</w:t>
      </w:r>
      <w:proofErr w:type="spellEnd"/>
      <w:r w:rsidRPr="00E94CA9">
        <w:rPr>
          <w:rFonts w:cs="Arial"/>
          <w:color w:val="000000" w:themeColor="text1"/>
          <w:sz w:val="22"/>
          <w:szCs w:val="22"/>
        </w:rPr>
        <w:t xml:space="preserve"> (median EFS = 9 days; </w:t>
      </w:r>
      <w:r w:rsidRPr="00E94CA9">
        <w:rPr>
          <w:rFonts w:cs="Arial"/>
          <w:i/>
          <w:color w:val="000000" w:themeColor="text1"/>
          <w:sz w:val="22"/>
          <w:szCs w:val="22"/>
        </w:rPr>
        <w:t>p</w:t>
      </w:r>
      <w:r w:rsidRPr="00E94CA9">
        <w:rPr>
          <w:rFonts w:cs="Arial"/>
          <w:color w:val="000000" w:themeColor="text1"/>
          <w:sz w:val="22"/>
          <w:szCs w:val="22"/>
        </w:rPr>
        <w:t xml:space="preserve"> &lt; 0.05</w:t>
      </w:r>
      <w:r w:rsidR="006213FF">
        <w:rPr>
          <w:rFonts w:cs="Arial"/>
          <w:color w:val="000000" w:themeColor="text1"/>
          <w:sz w:val="22"/>
          <w:szCs w:val="22"/>
        </w:rPr>
        <w:t xml:space="preserve">, </w:t>
      </w:r>
      <w:r w:rsidR="006213FF" w:rsidRPr="007D59B1">
        <w:rPr>
          <w:rFonts w:eastAsia="+mn-ea" w:cs="Arial"/>
          <w:bCs/>
          <w:kern w:val="24"/>
          <w:sz w:val="22"/>
          <w:szCs w:val="22"/>
        </w:rPr>
        <w:t>Log-rank test</w:t>
      </w:r>
      <w:r w:rsidRPr="00E94CA9">
        <w:rPr>
          <w:rFonts w:cs="Arial"/>
          <w:color w:val="000000" w:themeColor="text1"/>
          <w:sz w:val="22"/>
          <w:szCs w:val="22"/>
        </w:rPr>
        <w:t xml:space="preserve">) or AZD1208 (median EFS = 18 days; </w:t>
      </w:r>
      <w:r w:rsidRPr="00E94CA9">
        <w:rPr>
          <w:rFonts w:cs="Arial"/>
          <w:i/>
          <w:color w:val="000000" w:themeColor="text1"/>
          <w:sz w:val="22"/>
          <w:szCs w:val="22"/>
        </w:rPr>
        <w:t>p</w:t>
      </w:r>
      <w:r w:rsidRPr="00E94CA9">
        <w:rPr>
          <w:rFonts w:cs="Arial"/>
          <w:color w:val="000000" w:themeColor="text1"/>
          <w:sz w:val="22"/>
          <w:szCs w:val="22"/>
        </w:rPr>
        <w:t xml:space="preserve"> &lt; 0.05</w:t>
      </w:r>
      <w:r w:rsidR="006213FF">
        <w:rPr>
          <w:rFonts w:cs="Arial"/>
          <w:color w:val="000000" w:themeColor="text1"/>
          <w:sz w:val="22"/>
          <w:szCs w:val="22"/>
        </w:rPr>
        <w:t xml:space="preserve">, </w:t>
      </w:r>
      <w:r w:rsidR="006213FF" w:rsidRPr="007D59B1">
        <w:rPr>
          <w:rFonts w:eastAsia="+mn-ea" w:cs="Arial"/>
          <w:bCs/>
          <w:kern w:val="24"/>
          <w:sz w:val="22"/>
          <w:szCs w:val="22"/>
        </w:rPr>
        <w:t>Log-rank test</w:t>
      </w:r>
      <w:r w:rsidRPr="00506298">
        <w:rPr>
          <w:rFonts w:cs="Arial"/>
          <w:sz w:val="22"/>
          <w:szCs w:val="22"/>
        </w:rPr>
        <w:t>) (Fig</w:t>
      </w:r>
      <w:r w:rsidR="0011772D" w:rsidRPr="00506298">
        <w:rPr>
          <w:rFonts w:cs="Arial"/>
          <w:sz w:val="22"/>
          <w:szCs w:val="22"/>
        </w:rPr>
        <w:t>.</w:t>
      </w:r>
      <w:r w:rsidRPr="00506298">
        <w:rPr>
          <w:rFonts w:cs="Arial"/>
          <w:sz w:val="22"/>
          <w:szCs w:val="22"/>
        </w:rPr>
        <w:t xml:space="preserve"> 5</w:t>
      </w:r>
      <w:r w:rsidR="008E4E01" w:rsidRPr="00506298">
        <w:rPr>
          <w:rFonts w:cs="Arial"/>
          <w:sz w:val="22"/>
          <w:szCs w:val="22"/>
        </w:rPr>
        <w:t>e</w:t>
      </w:r>
      <w:r w:rsidRPr="00506298">
        <w:rPr>
          <w:rFonts w:cs="Arial"/>
          <w:sz w:val="22"/>
          <w:szCs w:val="22"/>
        </w:rPr>
        <w:t xml:space="preserve">). </w:t>
      </w:r>
      <w:r w:rsidRPr="00E94CA9">
        <w:rPr>
          <w:rFonts w:cs="Arial"/>
          <w:color w:val="000000" w:themeColor="text1"/>
          <w:sz w:val="22"/>
          <w:szCs w:val="22"/>
        </w:rPr>
        <w:t xml:space="preserve">These observations confirm the efficacy and tolerability of combined ALK and PIM1 inhibition in xenograft models of high-risk, ALK-positive NB independent of </w:t>
      </w:r>
      <w:r w:rsidRPr="00E94CA9">
        <w:rPr>
          <w:rFonts w:cs="Arial"/>
          <w:i/>
          <w:color w:val="000000" w:themeColor="text1"/>
          <w:sz w:val="22"/>
          <w:szCs w:val="22"/>
        </w:rPr>
        <w:t>MYCN</w:t>
      </w:r>
      <w:r w:rsidRPr="00E94CA9">
        <w:rPr>
          <w:rFonts w:cs="Arial"/>
          <w:color w:val="000000" w:themeColor="text1"/>
          <w:sz w:val="22"/>
          <w:szCs w:val="22"/>
        </w:rPr>
        <w:t xml:space="preserve"> status.</w:t>
      </w:r>
    </w:p>
    <w:p w14:paraId="166E9C12" w14:textId="07FA92EE" w:rsidR="00E83B36" w:rsidRPr="00E94CA9" w:rsidRDefault="00E83B36">
      <w:pPr>
        <w:pStyle w:val="Style1"/>
      </w:pPr>
    </w:p>
    <w:p w14:paraId="59BF6AEA" w14:textId="26DB2C64" w:rsidR="002A3C22" w:rsidRDefault="0013763A" w:rsidP="0013763A">
      <w:pPr>
        <w:spacing w:line="360" w:lineRule="auto"/>
        <w:jc w:val="both"/>
        <w:rPr>
          <w:rFonts w:cs="Arial"/>
          <w:b/>
          <w:bCs/>
          <w:sz w:val="22"/>
          <w:szCs w:val="22"/>
        </w:rPr>
      </w:pPr>
      <w:r w:rsidRPr="00506298">
        <w:rPr>
          <w:rFonts w:cs="Arial"/>
          <w:b/>
          <w:bCs/>
          <w:i/>
          <w:iCs/>
          <w:sz w:val="22"/>
          <w:szCs w:val="22"/>
        </w:rPr>
        <w:t>PIM1</w:t>
      </w:r>
      <w:r w:rsidRPr="00506298">
        <w:rPr>
          <w:rFonts w:cs="Arial"/>
          <w:b/>
          <w:bCs/>
          <w:sz w:val="22"/>
          <w:szCs w:val="22"/>
        </w:rPr>
        <w:t xml:space="preserve"> is upregulated </w:t>
      </w:r>
      <w:r w:rsidR="00545CD3">
        <w:rPr>
          <w:rFonts w:cs="Arial"/>
          <w:b/>
          <w:bCs/>
          <w:sz w:val="22"/>
          <w:szCs w:val="22"/>
        </w:rPr>
        <w:t>by</w:t>
      </w:r>
      <w:r w:rsidRPr="00506298">
        <w:rPr>
          <w:rFonts w:cs="Arial"/>
          <w:b/>
          <w:bCs/>
          <w:sz w:val="22"/>
          <w:szCs w:val="22"/>
        </w:rPr>
        <w:t xml:space="preserve"> ALK inhibition in </w:t>
      </w:r>
      <w:r w:rsidR="002A3C22">
        <w:rPr>
          <w:rFonts w:cs="Arial"/>
          <w:b/>
          <w:bCs/>
          <w:sz w:val="22"/>
          <w:szCs w:val="22"/>
        </w:rPr>
        <w:t>PDX</w:t>
      </w:r>
      <w:r w:rsidR="00506298" w:rsidRPr="00506298">
        <w:rPr>
          <w:rFonts w:cs="Arial"/>
          <w:b/>
          <w:bCs/>
          <w:sz w:val="22"/>
          <w:szCs w:val="22"/>
        </w:rPr>
        <w:t xml:space="preserve"> </w:t>
      </w:r>
    </w:p>
    <w:p w14:paraId="18F10E2A" w14:textId="0C5A5135" w:rsidR="0013763A" w:rsidRPr="00506298" w:rsidRDefault="0013763A" w:rsidP="00845ECF">
      <w:pPr>
        <w:spacing w:line="360" w:lineRule="auto"/>
        <w:ind w:firstLine="720"/>
        <w:jc w:val="both"/>
        <w:rPr>
          <w:rFonts w:cs="Arial"/>
          <w:sz w:val="22"/>
          <w:szCs w:val="22"/>
        </w:rPr>
      </w:pPr>
      <w:r w:rsidRPr="00506298">
        <w:rPr>
          <w:rFonts w:cs="Arial"/>
          <w:sz w:val="22"/>
          <w:szCs w:val="22"/>
        </w:rPr>
        <w:t xml:space="preserve">Analysis of </w:t>
      </w:r>
      <w:r w:rsidRPr="00506298">
        <w:rPr>
          <w:rFonts w:cs="Arial"/>
          <w:i/>
          <w:sz w:val="22"/>
          <w:szCs w:val="22"/>
        </w:rPr>
        <w:t>PIM1</w:t>
      </w:r>
      <w:r w:rsidRPr="00506298">
        <w:rPr>
          <w:rFonts w:cs="Arial"/>
          <w:sz w:val="22"/>
          <w:szCs w:val="22"/>
        </w:rPr>
        <w:t xml:space="preserve"> mRNA expression in residual COG-N-426x </w:t>
      </w:r>
      <w:proofErr w:type="spellStart"/>
      <w:r w:rsidRPr="00506298">
        <w:rPr>
          <w:rFonts w:cs="Arial"/>
          <w:sz w:val="22"/>
          <w:szCs w:val="22"/>
        </w:rPr>
        <w:t>tumors</w:t>
      </w:r>
      <w:proofErr w:type="spellEnd"/>
      <w:r w:rsidRPr="00506298">
        <w:rPr>
          <w:rFonts w:cs="Arial"/>
          <w:sz w:val="22"/>
          <w:szCs w:val="22"/>
        </w:rPr>
        <w:t xml:space="preserve"> at the experimental end-point by RT-qPCR showed a significant increase in </w:t>
      </w:r>
      <w:r w:rsidRPr="00506298">
        <w:rPr>
          <w:rFonts w:cs="Arial"/>
          <w:i/>
          <w:sz w:val="22"/>
          <w:szCs w:val="22"/>
        </w:rPr>
        <w:t>PIM1</w:t>
      </w:r>
      <w:r w:rsidRPr="00506298">
        <w:rPr>
          <w:rFonts w:cs="Arial"/>
          <w:sz w:val="22"/>
          <w:szCs w:val="22"/>
        </w:rPr>
        <w:t xml:space="preserve"> expression in </w:t>
      </w:r>
      <w:proofErr w:type="spellStart"/>
      <w:r w:rsidRPr="00506298">
        <w:rPr>
          <w:rFonts w:cs="Arial"/>
          <w:sz w:val="22"/>
          <w:szCs w:val="22"/>
        </w:rPr>
        <w:t>ceritinib</w:t>
      </w:r>
      <w:proofErr w:type="spellEnd"/>
      <w:r w:rsidRPr="00506298">
        <w:rPr>
          <w:rFonts w:cs="Arial"/>
          <w:sz w:val="22"/>
          <w:szCs w:val="22"/>
        </w:rPr>
        <w:t>-treated animals relative to animals treated with AZD1208 or vehicle (DMSO) (</w:t>
      </w:r>
      <w:r w:rsidRPr="00506298">
        <w:rPr>
          <w:rFonts w:cs="Arial"/>
          <w:i/>
          <w:sz w:val="22"/>
          <w:szCs w:val="22"/>
        </w:rPr>
        <w:t>p</w:t>
      </w:r>
      <w:r w:rsidRPr="00506298">
        <w:rPr>
          <w:rFonts w:cs="Arial"/>
          <w:sz w:val="22"/>
          <w:szCs w:val="22"/>
        </w:rPr>
        <w:t xml:space="preserve"> &lt; 0.05</w:t>
      </w:r>
      <w:r w:rsidR="006213FF">
        <w:rPr>
          <w:rFonts w:cs="Arial"/>
          <w:sz w:val="22"/>
          <w:szCs w:val="22"/>
        </w:rPr>
        <w:t xml:space="preserve">, </w:t>
      </w:r>
      <w:r w:rsidR="006213FF" w:rsidRPr="007D59B1">
        <w:rPr>
          <w:rFonts w:eastAsia="+mn-ea" w:cs="Arial"/>
          <w:bCs/>
          <w:kern w:val="24"/>
          <w:sz w:val="22"/>
          <w:szCs w:val="22"/>
        </w:rPr>
        <w:t>unpaired</w:t>
      </w:r>
      <w:r w:rsidR="006213FF">
        <w:rPr>
          <w:rFonts w:eastAsia="+mn-ea" w:cs="Arial"/>
          <w:bCs/>
          <w:kern w:val="24"/>
          <w:sz w:val="22"/>
          <w:szCs w:val="22"/>
        </w:rPr>
        <w:t xml:space="preserve"> Stud</w:t>
      </w:r>
      <w:bookmarkStart w:id="3" w:name="_GoBack"/>
      <w:bookmarkEnd w:id="3"/>
      <w:r w:rsidR="006213FF">
        <w:rPr>
          <w:rFonts w:eastAsia="+mn-ea" w:cs="Arial"/>
          <w:bCs/>
          <w:kern w:val="24"/>
          <w:sz w:val="22"/>
          <w:szCs w:val="22"/>
        </w:rPr>
        <w:t>ent’s</w:t>
      </w:r>
      <w:r w:rsidR="006213FF" w:rsidRPr="007D59B1">
        <w:rPr>
          <w:rFonts w:eastAsia="+mn-ea" w:cs="Arial"/>
          <w:bCs/>
          <w:kern w:val="24"/>
          <w:sz w:val="22"/>
          <w:szCs w:val="22"/>
        </w:rPr>
        <w:t xml:space="preserve"> </w:t>
      </w:r>
      <w:r w:rsidR="006213FF" w:rsidRPr="007D59B1">
        <w:rPr>
          <w:rFonts w:eastAsia="+mn-ea" w:cs="Arial"/>
          <w:bCs/>
          <w:i/>
          <w:iCs/>
          <w:kern w:val="24"/>
          <w:sz w:val="22"/>
          <w:szCs w:val="22"/>
        </w:rPr>
        <w:t>t</w:t>
      </w:r>
      <w:r w:rsidR="006213FF" w:rsidRPr="007D59B1">
        <w:rPr>
          <w:rFonts w:eastAsia="+mn-ea" w:cs="Arial"/>
          <w:bCs/>
          <w:kern w:val="24"/>
          <w:sz w:val="22"/>
          <w:szCs w:val="22"/>
        </w:rPr>
        <w:t>-test</w:t>
      </w:r>
      <w:r w:rsidRPr="00506298">
        <w:rPr>
          <w:rFonts w:cs="Arial"/>
          <w:sz w:val="22"/>
          <w:szCs w:val="22"/>
        </w:rPr>
        <w:t xml:space="preserve">), while the combination of AZD1208 and </w:t>
      </w:r>
      <w:proofErr w:type="spellStart"/>
      <w:r w:rsidRPr="00506298">
        <w:rPr>
          <w:rFonts w:cs="Arial"/>
          <w:sz w:val="22"/>
          <w:szCs w:val="22"/>
        </w:rPr>
        <w:t>ceritinib</w:t>
      </w:r>
      <w:proofErr w:type="spellEnd"/>
      <w:r w:rsidRPr="00506298">
        <w:rPr>
          <w:rFonts w:cs="Arial"/>
          <w:sz w:val="22"/>
          <w:szCs w:val="22"/>
        </w:rPr>
        <w:t xml:space="preserve"> showed levels of </w:t>
      </w:r>
      <w:r w:rsidRPr="00506298">
        <w:rPr>
          <w:rFonts w:cs="Arial"/>
          <w:i/>
          <w:sz w:val="22"/>
          <w:szCs w:val="22"/>
        </w:rPr>
        <w:t>PIM1</w:t>
      </w:r>
      <w:r w:rsidRPr="00506298">
        <w:rPr>
          <w:rFonts w:cs="Arial"/>
          <w:sz w:val="22"/>
          <w:szCs w:val="22"/>
        </w:rPr>
        <w:t xml:space="preserve"> comparable to those in vehicle-treated animals (Fig. 5</w:t>
      </w:r>
      <w:r w:rsidR="008E4E01" w:rsidRPr="00506298">
        <w:rPr>
          <w:rFonts w:cs="Arial"/>
          <w:sz w:val="22"/>
          <w:szCs w:val="22"/>
        </w:rPr>
        <w:t>f</w:t>
      </w:r>
      <w:r w:rsidRPr="00506298">
        <w:rPr>
          <w:rFonts w:cs="Arial"/>
          <w:sz w:val="22"/>
          <w:szCs w:val="22"/>
        </w:rPr>
        <w:t>). This is in agreement with a gene expression dataset previously reported by</w:t>
      </w:r>
      <w:r w:rsidR="00095629">
        <w:rPr>
          <w:rFonts w:cs="Arial"/>
          <w:sz w:val="22"/>
          <w:szCs w:val="22"/>
        </w:rPr>
        <w:t xml:space="preserve"> </w:t>
      </w:r>
      <w:proofErr w:type="spellStart"/>
      <w:r w:rsidR="004F24F9">
        <w:rPr>
          <w:rFonts w:cs="Arial"/>
          <w:sz w:val="22"/>
          <w:szCs w:val="22"/>
        </w:rPr>
        <w:t>Lambertz</w:t>
      </w:r>
      <w:proofErr w:type="spellEnd"/>
      <w:r w:rsidR="0042177E">
        <w:rPr>
          <w:rFonts w:cs="Arial"/>
          <w:sz w:val="22"/>
          <w:szCs w:val="22"/>
        </w:rPr>
        <w:t xml:space="preserve"> </w:t>
      </w:r>
      <w:r w:rsidRPr="00506298">
        <w:rPr>
          <w:rFonts w:cs="Arial"/>
          <w:sz w:val="22"/>
          <w:szCs w:val="22"/>
        </w:rPr>
        <w:t>et al.</w:t>
      </w:r>
      <w:r w:rsidR="004F24F9">
        <w:rPr>
          <w:rFonts w:cs="Arial"/>
          <w:sz w:val="22"/>
          <w:szCs w:val="22"/>
        </w:rPr>
        <w:fldChar w:fldCharType="begin" w:fldLock="1"/>
      </w:r>
      <w:r w:rsidR="004F24F9">
        <w:rPr>
          <w:rFonts w:cs="Arial"/>
          <w:sz w:val="22"/>
          <w:szCs w:val="22"/>
        </w:rPr>
        <w:instrText>ADDIN CSL_CITATION {"citationItems":[{"id":"ITEM-1","itemData":{"DOI":"10.1158/1078-0432.CCR-14-2024","ISSN":"1078-0432","PMID":"25805801","abstract":"PURPOSE Activating ALK mutations are present in almost 10% of primary neuroblastomas and mark patients for treatment with small-molecule ALK inhibitors in clinical trials. However, recent studies have shown that multiple mechanisms drive resistance to these molecular therapies. We anticipated that detailed mapping of the oncogenic ALK-driven signaling in neuroblastoma can aid to identify potential fragile nodes as additional targets for combination therapies. EXPERIMENTAL DESIGN To achieve this goal, transcriptome profiling was performed in neuroblastoma cell lines with the ALK(F1174L) or ALK(R1275Q) hotspot mutations, ALK amplification, or wild-type ALK following pharmacologic inhibition of ALK using four different compounds. Next, we performed cross-species genomic analyses to identify commonly transcriptionally perturbed genes in MYCN/ALK(F1174L) double transgenic versus MYCN transgenic mouse tumors as compared with the mutant ALK-driven transcriptome in human neuroblastomas. RESULTS A 77-gene ALK signature was established and successfully validated in primary neuroblastoma samples, in a neuroblastoma cell line with ALK(F1174L) and ALK(R1275Q) regulable overexpression constructs and in other ALKomas. In addition to the previously established PI3K/AKT/mTOR, MAPK/ERK, and MYC/MYCN signaling branches, we identified that mutant ALK drives a strong upregulation of MAPK negative feedback regulators and upregulates RET and RET-driven sympathetic neuronal markers of the cholinergic lineage. CONCLUSIONS We provide important novel insights into the transcriptional consequences and the complexity of mutant ALK signaling in this aggressive pediatric tumor. The negative feedback loop of MAPK pathway inhibitors may affect novel ALK inhibition therapies, whereas mutant ALK induced RET signaling can offer novel opportunities for testing ALK-RET oriented molecular combination therapies.","author":[{"dropping-particle":"","family":"Lambertz","given":"I.","non-dropping-particle":"","parse-names":false,"suffix":""},{"dropping-particle":"","family":"Kumps","given":"C.","non-dropping-particle":"","parse-names":false,"suffix":""},{"dropping-particle":"","family":"Claeys","given":"S.","non-dropping-particle":"","parse-names":false,"suffix":""},{"dropping-particle":"","family":"Lindner","given":"S.","non-dropping-particle":"","parse-names":false,"suffix":""},{"dropping-particle":"","family":"Beckers","given":"A.","non-dropping-particle":"","parse-names":false,"suffix":""},{"dropping-particle":"","family":"Janssens","given":"E.","non-dropping-particle":"","parse-names":false,"suffix":""},{"dropping-particle":"","family":"Carter","given":"D. R.","non-dropping-particle":"","parse-names":false,"suffix":""},{"dropping-particle":"","family":"Cazes","given":"A.","non-dropping-particle":"","parse-names":false,"suffix":""},{"dropping-particle":"","family":"Cheung","given":"B. B.","non-dropping-particle":"","parse-names":false,"suffix":""},{"dropping-particle":"","family":"Mariano","given":"M.","non-dropping-particle":"De","parse-names":false,"suffix":""},{"dropping-particle":"","family":"Bondt","given":"A.","non-dropping-particle":"De","parse-names":false,"suffix":""},{"dropping-particle":"","family":"Brouwer","given":"S.","non-dropping-particle":"De","parse-names":false,"suffix":""},{"dropping-particle":"","family":"Delattre","given":"O.","non-dropping-particle":"","parse-names":false,"suffix":""},{"dropping-particle":"","family":"Gibbons","given":"J.","non-dropping-particle":"","parse-names":false,"suffix":""},{"dropping-particle":"","family":"Janoueix-Lerosey","given":"I.","non-dropping-particle":"","parse-names":false,"suffix":""},{"dropping-particle":"","family":"Laureys","given":"G.","non-dropping-particle":"","parse-names":false,"suffix":""},{"dropping-particle":"","family":"Liang","given":"C.","non-dropping-particle":"","parse-names":false,"suffix":""},{"dropping-particle":"","family":"Marchall","given":"G. M.","non-dropping-particle":"","parse-names":false,"suffix":""},{"dropping-particle":"","family":"Porcu","given":"M.","non-dropping-particle":"","parse-names":false,"suffix":""},{"dropping-particle":"","family":"Takita","given":"J.","non-dropping-particle":"","parse-names":false,"suffix":""},{"dropping-particle":"","family":"Trujillo","given":"D. C.","non-dropping-particle":"","parse-names":false,"suffix":""},{"dropping-particle":"","family":"Wyngaert","given":"I.","non-dropping-particle":"Van Den","parse-names":false,"suffix":""},{"dropping-particle":"","family":"Roy","given":"N.","non-dropping-particle":"Van","parse-names":false,"suffix":""},{"dropping-particle":"","family":"Goethem","given":"A.","non-dropping-particle":"Van","parse-names":false,"suffix":""},{"dropping-particle":"","family":"Maerken","given":"T.","non-dropping-particle":"Van","parse-names":false,"suffix":""},{"dropping-particle":"","family":"Zabrocki","given":"P.","non-dropping-particle":"","parse-names":false,"suffix":""},{"dropping-particle":"","family":"Cools","given":"J.","non-dropping-particle":"","parse-names":false,"suffix":""},{"dropping-particle":"","family":"Schulte","given":"J. H.","non-dropping-particle":"","parse-names":false,"suffix":""},{"dropping-particle":"","family":"Vialard","given":"J.","non-dropping-particle":"","parse-names":false,"suffix":""},{"dropping-particle":"","family":"Speleman","given":"F.","non-dropping-particle":"","parse-names":false,"suffix":""},{"dropping-particle":"","family":"Preter","given":"K.","non-dropping-particle":"De","parse-names":false,"suffix":""}],"container-title":"Clinical Cancer Research","id":"ITEM-1","issue":"14","issued":{"date-parts":[["2015","7","15"]]},"page":"3327-3339","title":"Upregulation of MAPK Negative Feedback Regulators and RET in Mutant ALK Neuroblastoma: Implications for Targeted Treatment","type":"article-journal","volume":"21"},"uris":["http://www.mendeley.com/documents/?uuid=f9d2f58d-52a0-3750-8513-c9cbec2168de"]}],"mendeley":{"formattedCitation":"&lt;sup&gt;49&lt;/sup&gt;","plainTextFormattedCitation":"49","previouslyFormattedCitation":"&lt;sup&gt;49&lt;/sup&gt;"},"properties":{"noteIndex":0},"schema":"https://github.com/citation-style-language/schema/raw/master/csl-citation.json"}</w:instrText>
      </w:r>
      <w:r w:rsidR="004F24F9">
        <w:rPr>
          <w:rFonts w:cs="Arial"/>
          <w:sz w:val="22"/>
          <w:szCs w:val="22"/>
        </w:rPr>
        <w:fldChar w:fldCharType="separate"/>
      </w:r>
      <w:r w:rsidR="004F24F9" w:rsidRPr="004F24F9">
        <w:rPr>
          <w:rFonts w:cs="Arial"/>
          <w:noProof/>
          <w:sz w:val="22"/>
          <w:szCs w:val="22"/>
          <w:vertAlign w:val="superscript"/>
        </w:rPr>
        <w:t>49</w:t>
      </w:r>
      <w:r w:rsidR="004F24F9">
        <w:rPr>
          <w:rFonts w:cs="Arial"/>
          <w:sz w:val="22"/>
          <w:szCs w:val="22"/>
        </w:rPr>
        <w:fldChar w:fldCharType="end"/>
      </w:r>
      <w:r w:rsidRPr="00506298">
        <w:rPr>
          <w:rFonts w:cs="Arial"/>
          <w:sz w:val="22"/>
          <w:szCs w:val="22"/>
        </w:rPr>
        <w:t xml:space="preserve"> showing that in ALK-positive NB cell lines treated with 0.32 µM of the preclinical ALK inhibitor </w:t>
      </w:r>
      <w:r w:rsidR="00506298">
        <w:rPr>
          <w:rFonts w:cs="Arial"/>
          <w:sz w:val="22"/>
          <w:szCs w:val="22"/>
        </w:rPr>
        <w:t>NVP-</w:t>
      </w:r>
      <w:r w:rsidRPr="00506298">
        <w:rPr>
          <w:rFonts w:cs="Arial"/>
          <w:sz w:val="22"/>
          <w:szCs w:val="22"/>
        </w:rPr>
        <w:t xml:space="preserve">TAE684 for 6 hours, </w:t>
      </w:r>
      <w:r w:rsidRPr="00506298">
        <w:rPr>
          <w:rFonts w:cs="Arial"/>
          <w:i/>
          <w:iCs/>
          <w:sz w:val="22"/>
          <w:szCs w:val="22"/>
        </w:rPr>
        <w:t>PIM1</w:t>
      </w:r>
      <w:r w:rsidRPr="00506298">
        <w:rPr>
          <w:rFonts w:cs="Arial"/>
          <w:sz w:val="22"/>
          <w:szCs w:val="22"/>
        </w:rPr>
        <w:t xml:space="preserve"> is significantly upregulated relative to vehicle-treated cells in 4/5 cell lines tested (Supplementary </w:t>
      </w:r>
      <w:r w:rsidR="00771E27">
        <w:rPr>
          <w:rFonts w:cs="Arial"/>
          <w:sz w:val="22"/>
          <w:szCs w:val="22"/>
        </w:rPr>
        <w:t>Fig.</w:t>
      </w:r>
      <w:r w:rsidRPr="00506298">
        <w:rPr>
          <w:rFonts w:cs="Arial"/>
          <w:sz w:val="22"/>
          <w:szCs w:val="22"/>
        </w:rPr>
        <w:t xml:space="preserve"> 8</w:t>
      </w:r>
      <w:r w:rsidR="008E4E01" w:rsidRPr="00506298">
        <w:rPr>
          <w:rFonts w:cs="Arial"/>
          <w:sz w:val="22"/>
          <w:szCs w:val="22"/>
        </w:rPr>
        <w:t>d</w:t>
      </w:r>
      <w:r w:rsidRPr="00506298">
        <w:rPr>
          <w:rFonts w:cs="Arial"/>
          <w:sz w:val="22"/>
          <w:szCs w:val="22"/>
        </w:rPr>
        <w:t xml:space="preserve">). In addition, </w:t>
      </w:r>
      <w:r w:rsidR="00506298">
        <w:rPr>
          <w:rFonts w:cs="Arial"/>
          <w:sz w:val="22"/>
          <w:szCs w:val="22"/>
        </w:rPr>
        <w:t xml:space="preserve">the magnitude of gene </w:t>
      </w:r>
      <w:r w:rsidRPr="00506298">
        <w:rPr>
          <w:rFonts w:cs="Arial"/>
          <w:sz w:val="22"/>
          <w:szCs w:val="22"/>
        </w:rPr>
        <w:t xml:space="preserve">upregulation </w:t>
      </w:r>
      <w:r w:rsidR="00506298">
        <w:rPr>
          <w:rFonts w:cs="Arial"/>
          <w:sz w:val="22"/>
          <w:szCs w:val="22"/>
        </w:rPr>
        <w:t>appears to be</w:t>
      </w:r>
      <w:r w:rsidRPr="00506298">
        <w:rPr>
          <w:rFonts w:cs="Arial"/>
          <w:sz w:val="22"/>
          <w:szCs w:val="22"/>
        </w:rPr>
        <w:t xml:space="preserve"> independent of endogenous </w:t>
      </w:r>
      <w:r w:rsidRPr="00506298">
        <w:rPr>
          <w:rFonts w:cs="Arial"/>
          <w:i/>
          <w:iCs/>
          <w:sz w:val="22"/>
          <w:szCs w:val="22"/>
        </w:rPr>
        <w:t>PIM1</w:t>
      </w:r>
      <w:r w:rsidRPr="00506298">
        <w:rPr>
          <w:rFonts w:cs="Arial"/>
          <w:sz w:val="22"/>
          <w:szCs w:val="22"/>
        </w:rPr>
        <w:t xml:space="preserve"> expression levels (Supplementary </w:t>
      </w:r>
      <w:r w:rsidR="00771E27">
        <w:rPr>
          <w:rFonts w:cs="Arial"/>
          <w:sz w:val="22"/>
          <w:szCs w:val="22"/>
        </w:rPr>
        <w:t>Fig.</w:t>
      </w:r>
      <w:r w:rsidRPr="00506298">
        <w:rPr>
          <w:rFonts w:cs="Arial"/>
          <w:sz w:val="22"/>
          <w:szCs w:val="22"/>
        </w:rPr>
        <w:t xml:space="preserve"> 8</w:t>
      </w:r>
      <w:r w:rsidR="008E4E01" w:rsidRPr="00506298">
        <w:rPr>
          <w:rFonts w:cs="Arial"/>
          <w:sz w:val="22"/>
          <w:szCs w:val="22"/>
        </w:rPr>
        <w:t>e</w:t>
      </w:r>
      <w:r w:rsidRPr="00506298">
        <w:rPr>
          <w:rFonts w:cs="Arial"/>
          <w:sz w:val="22"/>
          <w:szCs w:val="22"/>
        </w:rPr>
        <w:t>).</w:t>
      </w:r>
    </w:p>
    <w:p w14:paraId="32E356EE" w14:textId="77777777" w:rsidR="0013763A" w:rsidRPr="00E94CA9" w:rsidRDefault="0013763A">
      <w:pPr>
        <w:pStyle w:val="Style1"/>
      </w:pPr>
    </w:p>
    <w:p w14:paraId="102B5668" w14:textId="7F7D1FF2" w:rsidR="00D30528" w:rsidRPr="00E94CA9" w:rsidRDefault="005033EF">
      <w:pPr>
        <w:pStyle w:val="Style1"/>
      </w:pPr>
      <w:r w:rsidRPr="00E94CA9">
        <w:t>D</w:t>
      </w:r>
      <w:r w:rsidR="00B37C9B" w:rsidRPr="00E94CA9">
        <w:t>iscussion</w:t>
      </w:r>
    </w:p>
    <w:p w14:paraId="699EA0A8" w14:textId="631002D8" w:rsidR="00D30528" w:rsidRPr="00E94CA9" w:rsidRDefault="005033EF" w:rsidP="00517FFC">
      <w:pPr>
        <w:spacing w:line="360" w:lineRule="auto"/>
        <w:ind w:firstLine="284"/>
        <w:jc w:val="both"/>
        <w:rPr>
          <w:rFonts w:cs="Arial"/>
          <w:sz w:val="22"/>
          <w:szCs w:val="22"/>
        </w:rPr>
      </w:pPr>
      <w:r w:rsidRPr="00E94CA9">
        <w:rPr>
          <w:rFonts w:cs="Arial"/>
          <w:sz w:val="22"/>
          <w:szCs w:val="22"/>
        </w:rPr>
        <w:t>The majority of patients undergoing treatment with molecularly targeted anti-cancer compounds acquire resistance after an initial response. For example, therapeutic resistance to ALK inhibitors is well documented for ALK-positive NSCLC and is known to arise through both ALK-dependent and -independent mechanisms</w:t>
      </w:r>
      <w:r w:rsidR="000D3A13" w:rsidRPr="00E94CA9">
        <w:rPr>
          <w:rFonts w:cs="Arial"/>
          <w:sz w:val="22"/>
          <w:szCs w:val="22"/>
        </w:rPr>
        <w:fldChar w:fldCharType="begin" w:fldLock="1"/>
      </w:r>
      <w:r w:rsidR="00394C69">
        <w:rPr>
          <w:rFonts w:cs="Arial"/>
          <w:sz w:val="22"/>
          <w:szCs w:val="22"/>
        </w:rPr>
        <w:instrText>ADDIN CSL_CITATION {"citationItems":[{"id":"ITEM-1","itemData":{"DOI":"10.3390/cancers10030062","ISBN":"2072-6694 (Print)\r2072-6694 (Linking)","PMID":"29495603","abstract":"Anaplastic lymphoma kinase (ALK) is a validated molecular target in several ALK-rearranged malignancies, particularly in non-small-cell lung cancer (NSCLC), which has generated considerable interest and effort in developing ALK tyrosine kinase inhibitors (TKI). Crizotinib was the first ALK inhibitor to receive FDA approval for ALK-positive NSCLC patients treatment. However, the clinical benefit observed in targeting ALK in NSCLC is almost universally limited by the emergence of drug resistance with a median of occurrence of approximately 10 months after the initiation of therapy. Thus, to overcome crizotinib resistance, second/third-generation ALK inhibitors have been developed and received, or are close to receiving, FDA approval. However, even when treated with these new inhibitors tumors became resistant, both in vitro and in clinical settings. The elucidation of the diverse mechanisms through which resistance to ALK TKI emerges, has informed the design of novel therapeutic strategies to improve patients disease outcome. This review summarizes the currently available knowledge regarding ALK physiologic function/structure and neoplastic transforming role, as well as an update on ALK inhibitors and resistance mechanisms along with possible therapeutic strategies that may overcome the development of resistance.","author":[{"dropping-particle":"","family":"Sharma","given":"G G","non-dropping-particle":"","parse-names":false,"suffix":""},{"dropping-particle":"","family":"Mota","given":"I","non-dropping-particle":"","parse-names":false,"suffix":""},{"dropping-particle":"","family":"Mologni","given":"L","non-dropping-particle":"","parse-names":false,"suffix":""},{"dropping-particle":"","family":"Patrucco","given":"E","non-dropping-particle":"","parse-names":false,"suffix":""},{"dropping-particle":"","family":"Gambacorti-Passerini","given":"C","non-dropping-particle":"","parse-names":false,"suffix":""},{"dropping-particle":"","family":"Chiarle","given":"R","non-dropping-particle":"","parse-names":false,"suffix":""}],"container-title":"Cancers (Basel)","id":"ITEM-1","issue":"3","issued":{"date-parts":[["2018"]]},"note":"Sharma, Geeta Geeta\nMota, Ines\nMologni, Luca\nPatrucco, Enrico\nGambacorti-Passerini, Carlo\nChiarle, Roberto\neng\nR01 CA196703/CA/NCI NIH HHS/\nReview\nSwitzerland\n2018/03/03 06:00\nCancers (Basel). 2018 Feb 28;10(3). pii: cancers10030062. doi: 10.3390/cancers10030062.","title":"Tumor Resistance against ALK Targeted Therapy-Where It Comes From and Where It Goes","type":"article-journal","volume":"10"},"uris":["http://www.mendeley.com/documents/?uuid=0bf88e8e-2506-4179-ba11-b1c823735cd8","http://www.mendeley.com/documents/?uuid=2da1ee07-3130-4cc7-b098-e163c667babe"]}],"mendeley":{"formattedCitation":"&lt;sup&gt;20&lt;/sup&gt;","plainTextFormattedCitation":"20","previouslyFormattedCitation":"&lt;sup&gt;20&lt;/sup&gt;"},"properties":{"noteIndex":0},"schema":"https://github.com/citation-style-language/schema/raw/master/csl-citation.json"}</w:instrText>
      </w:r>
      <w:r w:rsidR="000D3A13" w:rsidRPr="00E94CA9">
        <w:rPr>
          <w:rFonts w:cs="Arial"/>
          <w:sz w:val="22"/>
          <w:szCs w:val="22"/>
        </w:rPr>
        <w:fldChar w:fldCharType="separate"/>
      </w:r>
      <w:r w:rsidR="00542124" w:rsidRPr="00E94CA9">
        <w:rPr>
          <w:rFonts w:cs="Arial"/>
          <w:noProof/>
          <w:sz w:val="22"/>
          <w:szCs w:val="22"/>
          <w:vertAlign w:val="superscript"/>
        </w:rPr>
        <w:t>20</w:t>
      </w:r>
      <w:r w:rsidR="000D3A13"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xml:space="preserve">. ALK inhibitors are undergoing clinical assessment for ALK-positive </w:t>
      </w:r>
      <w:proofErr w:type="spellStart"/>
      <w:r w:rsidRPr="00E94CA9">
        <w:rPr>
          <w:rFonts w:cs="Arial"/>
          <w:sz w:val="22"/>
          <w:szCs w:val="22"/>
        </w:rPr>
        <w:t>pediatric</w:t>
      </w:r>
      <w:proofErr w:type="spellEnd"/>
      <w:r w:rsidRPr="00E94CA9">
        <w:rPr>
          <w:rFonts w:cs="Arial"/>
          <w:sz w:val="22"/>
          <w:szCs w:val="22"/>
        </w:rPr>
        <w:t xml:space="preserve"> malignancies including NB</w:t>
      </w:r>
      <w:r w:rsidR="000D3A13" w:rsidRPr="00E94CA9">
        <w:rPr>
          <w:rFonts w:cs="Arial"/>
          <w:sz w:val="22"/>
          <w:szCs w:val="22"/>
        </w:rPr>
        <w:fldChar w:fldCharType="begin" w:fldLock="1"/>
      </w:r>
      <w:r w:rsidR="00394C69">
        <w:rPr>
          <w:rFonts w:cs="Arial"/>
          <w:sz w:val="22"/>
          <w:szCs w:val="22"/>
        </w:rPr>
        <w:instrText>ADDIN CSL_CITATION {"citationItems":[{"id":"ITEM-1","itemData":{"DOI":"10.3390/cancers10040113","ISBN":"2072-6694 (Print)\r2072-6694 (Linking)","PMID":"29642598","abstract":"Neuroblastoma (NB) is the most common and deadly solid tumour in children. Despite the development of new treatment options for high-risk NB, over half of patients relapse and five-year survival remains at 40-50%. Therefore, novel treatment strategies aimed at providing long-term disease remission are urgently sought. ALK, encoding the anaplastic lymphoma kinase receptor, is altered by gain-of-function point mutations in around 14% of high-risk NB and represents an ideal therapeutic target given its low or absent expression in healthy tissue postnatally. Small-molecule inhibitors of Anaplastic Lymphoma Kinase (ALK) approved in ALK fusion-positive lung cancer are currently undergoing clinical assessment in patients with ALK-mutant NB. Parallel pre-clinical studies are demonstrating the efficacy of ALK inhibitors against common ALK variants in NB; however, a complex picture of therapeutic resistance is emerging. It is anticipated that long-term use of these compounds will require combinatorial targeting of pathways downstream of ALK, functionally-related 'bypass' mechanisms and concomitant oncogenic pathways.","author":[{"dropping-particle":"","family":"Trigg","given":"R M","non-dropping-particle":"","parse-names":false,"suffix":""},{"dropping-particle":"","family":"Turner","given":"S D","non-dropping-particle":"","parse-names":false,"suffix":""}],"container-title":"Cancers (Basel)","id":"ITEM-1","issue":"4","issued":{"date-parts":[["2018"]]},"note":"Trigg, Ricky M\nTurner, Suzanne D\neng\nReview\nSwitzerland\n2018/04/13 06:00\nCancers (Basel). 2018 Apr 10;10(4). pii: cancers10040113. doi: 10.3390/cancers10040113.","title":"ALK in Neuroblastoma: Biological and Therapeutic Implications","type":"article-journal","volume":"10"},"uris":["http://www.mendeley.com/documents/?uuid=8599a1df-32f1-40cb-a34b-730c704722e5","http://www.mendeley.com/documents/?uuid=dcdfe34d-ff75-4c4b-8112-d536237535aa"]},{"id":"ITEM-2","itemData":{"DOI":"10.3390/cancers10040099","ISBN":"2072-6694 (Print)\r2072-6694 (Linking)","PMID":"29601554","abstract":"Anaplastic Lymphoma Kinase (ALK)-positive Anaplastic Large Cell Lymphoma (ALCL), remains one of the most curable cancers in the paediatric setting; multi-agent chemotherapy cures approximately 65-90% of patients. Over the last two decades, major efforts have focused on improving the survival rate by intensification of combination chemotherapy regimens and employing stem cell transplantation for chemotherapy-resistant patients. More recently, several new and 'renewed' agents have offered the opportunity for a change in the paradigm for the management of both chemo-sensitive and chemo-resistant forms of ALCL. The development of ALK inhibitors following the identification of the EML4-ALK fusion gene in Non-Small Cell Lung Cancer (NSCLC) has opened new possibilities for ALK-positive ALCL. The uniform expression of CD30 on the cell surface of ALCL has given the opportunity for anti-CD30 antibody therapy. The re-evaluation of vinblastine, which has shown remarkable activity as a single agent even in the face of relapsed disease, has led to the consideration of a revised approach to frontline therapy. The advent of immune therapies such as checkpoint inhibition has provided another option for the treatment of ALCL. In fact, the number of potential new agents now presents a real challenge to the clinical community that must prioritise those thought to offer the most promise for the future. In this review, we will focus on the current status of paediatric ALCL therapy, explore how new and 'renewed' agents are re-shaping the therapeutic landscape for ALCL, and identify the strategies being employed in the next generation of clinical trials.","author":[{"dropping-particle":"","family":"Prokoph","given":"N","non-dropping-particle":"","parse-names":false,"suffix":""},{"dropping-particle":"","family":"Larose","given":"H","non-dropping-particle":"","parse-names":false,"suffix":""},{"dropping-particle":"","family":"Lim","given":"M S","non-dropping-particle":"","parse-names":false,"suffix":""},{"dropping-particle":"","family":"Burke","given":"G A A","non-dropping-particle":"","parse-names":false,"suffix":""},{"dropping-particle":"","family":"Turner","given":"S D","non-dropping-particle":"","parse-names":false,"suffix":""}],"container-title":"Cancers (Basel)","id":"ITEM-2","issue":"4","issued":{"date-parts":[["2018"]]},"note":"Prokoph, Nina\nLarose, Hugo\nLim, Megan S\nBurke, G A Amos\nTurner, Suzanne D\neng\nReview\nSwitzerland\n2018/03/31 06:00\nCancers (Basel). 2018 Mar 30;10(4). pii: cancers10040099. doi: 10.3390/cancers10040099.","title":"Treatment Options for Paediatric Anaplastic Large Cell Lymphoma (ALCL): Current Standard and beyond","type":"article-journal","volume":"10"},"uris":["http://www.mendeley.com/documents/?uuid=71897af1-9c6b-43f8-b1e4-a4b57e138e4c","http://www.mendeley.com/documents/?uuid=33e42885-325a-473d-b12a-dd7252904f14"]}],"mendeley":{"formattedCitation":"&lt;sup&gt;50,51&lt;/sup&gt;","plainTextFormattedCitation":"50,51","previouslyFormattedCitation":"&lt;sup&gt;50,51&lt;/sup&gt;"},"properties":{"noteIndex":0},"schema":"https://github.com/citation-style-language/schema/raw/master/csl-citation.json"}</w:instrText>
      </w:r>
      <w:r w:rsidR="000D3A13" w:rsidRPr="00E94CA9">
        <w:rPr>
          <w:rFonts w:cs="Arial"/>
          <w:sz w:val="22"/>
          <w:szCs w:val="22"/>
        </w:rPr>
        <w:fldChar w:fldCharType="separate"/>
      </w:r>
      <w:r w:rsidR="003912CB" w:rsidRPr="00E94CA9">
        <w:rPr>
          <w:rFonts w:cs="Arial"/>
          <w:noProof/>
          <w:sz w:val="22"/>
          <w:szCs w:val="22"/>
          <w:vertAlign w:val="superscript"/>
        </w:rPr>
        <w:t>50,51</w:t>
      </w:r>
      <w:r w:rsidR="000D3A13"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xml:space="preserve">, and growing evidence from preclinical studies indicates that both </w:t>
      </w:r>
      <w:r w:rsidRPr="00E94CA9">
        <w:rPr>
          <w:rFonts w:cs="Arial"/>
          <w:i/>
          <w:sz w:val="22"/>
          <w:szCs w:val="22"/>
        </w:rPr>
        <w:t>de novo</w:t>
      </w:r>
      <w:r w:rsidRPr="00E94CA9">
        <w:rPr>
          <w:rFonts w:cs="Arial"/>
          <w:sz w:val="22"/>
          <w:szCs w:val="22"/>
        </w:rPr>
        <w:t xml:space="preserve"> and acquired resistance will be of concern</w:t>
      </w:r>
      <w:r w:rsidR="000D3A13" w:rsidRPr="00E94CA9">
        <w:rPr>
          <w:rFonts w:cs="Arial"/>
          <w:sz w:val="22"/>
          <w:szCs w:val="22"/>
        </w:rPr>
        <w:fldChar w:fldCharType="begin" w:fldLock="1"/>
      </w:r>
      <w:r w:rsidR="00394C69">
        <w:rPr>
          <w:rFonts w:cs="Arial"/>
          <w:sz w:val="22"/>
          <w:szCs w:val="22"/>
        </w:rPr>
        <w:instrText>ADDIN CSL_CITATION {"citationItems":[{"id":"ITEM-1","itemData":{"DOI":"10.1158/2159-8290.CD-13-0846","ISBN":"2159-8290 (Electronic)\r2159-8274 (Linking)","PMID":"24675041","abstract":"UNLABELLED: Non-small cell lung cancers (NSCLC) harboring anaplastic lymphoma kinase (ALK) gene rearrangements invariably develop resistance to the ALK tyrosine kinase inhibitor (TKI) crizotinib. Herein, we report the first preclinical evaluation of the next-generation ALK TKI, ceritinib (LDK378), in the setting of crizotinib resistance. An interrogation of in vitro and in vivo models of acquired resistance to crizotinib, including cell lines established from biopsies of patients with crizotinib-resistant NSCLC, revealed that ceritinib potently overcomes crizotinib-resistant mutations. In particular, ceritinib effectively inhibits ALK harboring L1196M, G1269A, I1171T, and S1206Y mutations, and a cocrystal structure of ceritinib bound to ALK provides structural bases for this increased potency. However, we observed that ceritinib did not overcome two crizotinib-resistant ALK mutations, G1202R and F1174C, and one of these mutations was identified in 5 of 11 biopsies from patients with acquired resistance to ceritinib. Altogether, our results demonstrate that ceritinib can overcome crizotinib resistance, consistent with clinical data showing marked efficacy of ceritinib in patients with crizotinib-resistant disease. SIGNIFICANCE: The second-generation ALK inhibitor ceritinib can overcome several crizotinib-resistant mutations and is potent against several in vitro and in vivo laboratory models of acquired resistance to crizotinib. These findings provide the molecular basis for the marked clinical activity of ceritinib in patients with ALK-positive NSCLC with crizotinib-resistant disease. Cancer Discov; 4(6); 662-73. (c)2014 AACR. See related commentary by Ramalingam and Khuri, p. 634 This article is highlighted in the In This Issue feature, p. 621.","author":[{"dropping-particle":"","family":"Friboulet","given":"L","non-dropping-particle":"","parse-names":false,"suffix":""},{"dropping-particle":"","family":"Li","given":"N","non-dropping-particle":"","parse-names":false,"suffix":""},{"dropping-particle":"","family":"Katayama","given":"R","non-dropping-particle":"","parse-names":false,"suffix":""},{"dropping-particle":"","family":"Lee","given":"C C","non-dropping-particle":"","parse-names":false,"suffix":""},{"dropping-particle":"","family":"Gainor","given":"J F","non-dropping-particle":"","parse-names":false,"suffix":""},{"dropping-particle":"","family":"Crystal","given":"A S","non-dropping-particle":"","parse-names":false,"suffix":""},{"dropping-particle":"","family":"Michellys","given":"P Y","non-dropping-particle":"","parse-names":false,"suffix":""},{"dropping-particle":"","family":"Awad","given":"M M","non-dropping-particle":"","parse-names":false,"suffix":""},{"dropping-particle":"","family":"Yanagitani","given":"N","non-dropping-particle":"","parse-names":false,"suffix":""},{"dropping-particle":"","family":"Kim","given":"S","non-dropping-particle":"","parse-names":false,"suffix":""},{"dropping-particle":"","family":"Pferdekamper","given":"A C","non-dropping-particle":"","parse-names":false,"suffix":""},{"dropping-particle":"","family":"Li","given":"J","non-dropping-particle":"","parse-names":false,"suffix":""},{"dropping-particle":"","family":"Kasibhatla","given":"S","non-dropping-particle":"","parse-names":false,"suffix":""},{"dropping-particle":"","family":"Sun","given":"F","non-dropping-particle":"","parse-names":false,"suffix":""},{"dropping-particle":"","family":"Sun","given":"X","non-dropping-particle":"","parse-names":false,"suffix":""},{"dropping-particle":"","family":"Hua","given":"S","non-dropping-particle":"","parse-names":false,"suffix":""},{"dropping-particle":"","family":"McNamara","given":"P","non-dropping-particle":"","parse-names":false,"suffix":""},{"dropping-particle":"","family":"Mahmood","given":"S","non-dropping-particle":"","parse-names":false,"suffix":""},{"dropping-particle":"","family":"Lockerman","given":"E L","non-dropping-particle":"","parse-names":false,"suffix":""},{"dropping-particle":"","family":"Fujita","given":"N","non-dropping-particle":"","parse-names":false,"suffix":""},{"dropping-particle":"","family":"Nishio","given":"M","non-dropping-particle":"","parse-names":false,"suffix":""},{"dropping-particle":"","family":"Harris","given":"J L","non-dropping-particle":"","parse-names":false,"suffix":""},{"dropping-particle":"","family":"Shaw","given":"A T","non-dropping-particle":"","parse-names":false,"suffix":""},{"dropping-particle":"","family":"Engelman","given":"J A","non-dropping-particle":"","parse-names":false,"suffix":""}],"container-title":"Cancer Discov","id":"ITEM-1","issue":"6","issued":{"date-parts":[["2014"]]},"note":"Friboulet, Luc\nLi, Nanxin\nKatayama, Ryohei\nLee, Christian C\nGainor, Justin F\nCrystal, Adam S\nMichellys, Pierre-Yves\nAwad, Mark M\nYanagitani, Noriko\nKim, Sungjoon\nPferdekamper, AnneMarie C\nLi, Jie\nKasibhatla, Shailaja\nSun, Frank\nSun, Xiuying\nHua, Su\nMcNamara, Peter\nMahmood, Sidra\nLockerman, Elizabeth L\nFujita, Naoya\nNishio, Makoto\nHarris, Jennifer L\nShaw, Alice T\nEngelman, Jeffrey A\neng\nR01 CA137008/CA/NCI NIH HHS/\nR01 CA164273/CA/NCI NIH HHS/\n5R01CA164273-02/CA/NCI NIH HHS/\nR01CA137008/CA/NCI NIH HHS/\nResearch Support, N.I.H., Extramural\nResearch Support, Non-U.S. Gov't\n2014/03/29 06:00\nCancer Discov. 2014 Jun;4(6):662-673. doi: 10.1158/2159-8290.CD-13-0846. Epub 2014 Mar 27.","page":"662-673","title":"The ALK inhibitor ceritinib overcomes crizotinib resistance in non-small cell lung cancer","type":"article-journal","volume":"4"},"uris":["http://www.mendeley.com/documents/?uuid=ee08a1bc-f6d5-4724-a0ce-a0417060e079","http://www.mendeley.com/documents/?uuid=afa8f71d-7e7c-431e-8f46-a679e6125379","http://www.mendeley.com/documents/?uuid=f04baa18-feed-46ee-b3a3-2fd4113ce05c"]},{"id":"ITEM-2","itemData":{"DOI":"10.1016/j.bbrc.2014.10.126","ISBN":"1090-2104 (Electronic)\r0006-291X (Linking)","PMID":"25450694","abstract":"Neuroblastoma (NB) patients harboring mutated ALK can be expected to potentially benefit from targeted therapy based on ALK tyrosine kinase inhibitor (TKI), such as crizotinib and ceritinib. However, the effect of the treatment varies with different individuals, although with the same genic changes. Axl receptor tyrosine kinase is expressed in a variety of human cancers, but little data are reported in NB, particularly in which carrying mutated ALK. In this study, we focus on the roles of Axl in ALK-mutated NB for investigating rational therapeutic strategy. We found that Axl is expressed in ALK-positive NB tissues and cell lines, and could be effectively activated by its ligand GAS6. Ligand-dependent Axl activation obviously rescued crizotinib-mediated suppression of cell proliferation in ALK-mutated NB cells. Genetic inhibition of Axl with specific small interfering RNA markedly increased the sensitivity of cells to ALK-TKIs. Furthermore, a small-molecule inhibitor of Axl significantly enhanced ALK-targeted therapy, as an increased frequency of apoptosis was observed in NB cells co-expressing ALK and Axl. Taken together, our results demonstrated that activation of Axl could lead to insensitivity to ALK inhibitors, and dual inhibition of ALK and Axl might be a potential therapeutic strategy against ALK-mutated NB.","author":[{"dropping-particle":"","family":"Xu","given":"F","non-dropping-particle":"","parse-names":false,"suffix":""},{"dropping-particle":"","family":"Li","given":"H","non-dropping-particle":"","parse-names":false,"suffix":""},{"dropping-particle":"","family":"Sun","given":"Y","non-dropping-particle":"","parse-names":false,"suffix":""}],"container-title":"Biochem Biophys Res Commun","id":"ITEM-2","issue":"4","issued":{"date-parts":[["2014"]]},"note":"Xu, Fei\nLi, Hongling\nSun, Yong\neng\n2014/12/03 06:00\nBiochem Biophys Res Commun. 2014 Nov 28;454(4):566-71. doi: 10.1016/j.bbrc.2014.10.126. Epub 2014 Oct 30.","page":"566-571","title":"Inhibition of Axl improves the targeted therapy against ALK-mutated neuroblastoma","type":"article-journal","volume":"454"},"uris":["http://www.mendeley.com/documents/?uuid=dcb784f1-0f68-439c-968f-d1198ec95278","http://www.mendeley.com/documents/?uuid=49470c37-07bc-42b1-8a58-b2a4bd07b883","http://www.mendeley.com/documents/?uuid=a8bc0893-bfc9-4f16-b862-1ea5d8d2b10c"]},{"id":"ITEM-3","itemData":{"DOI":"10.1158/1078-0432.CCR-16-1114","ISBN":"1078-0432 (Print)\r1078-0432 (Linking)","PMID":"27986745","abstract":"Purpose: Anaplastic lymphoma kinase (ALK) is the most frequently mutated oncogene in the pediatric cancer neuroblastoma. We performed an in vitro screen for synergistic drug combinations that target neuroblastomas with mutations in ALK to determine whether drug combinations could enhance antitumor efficacy.Experimental Design: We screened combinations of eight molecularly targeted agents against 17 comprehensively characterized human neuroblastoma-derived cell lines. We investigated the combination of ceritinib and ribociclib on in vitro proliferation, cell cycle, viability, caspase activation, and the cyclin D/CDK4/CDK6/RB and pALK signaling networks in cell lines with representative ALK status. We performed in vivo trials in CB17 SCID mice bearing conventional and patient-derived xenograft models comparing ceritinib alone, ribociclib alone, and the combination, with plasma pharmacokinetics to evaluate for drug-drug interactions.Results: The combination of ribociclib, a dual inhibitor of cyclin-dependent kinase (CDK) 4 and 6, and the ALK inhibitor ceritinib demonstrated higher cytotoxicity (P = 0.008) and synergy scores (P = 0.006) in cell lines with ALK mutations as compared with cell lines lacking mutations or alterations in ALK Compared with either drug alone, combination therapy enhanced growth inhibition, cell-cycle arrest, and caspase-independent cell death. Combination therapy achieved complete regressions in neuroblastoma xenografts with ALK-F1174L and F1245C de novo resistance mutations and prevented the emergence of resistance. Murine ribociclib and ceritinib plasma concentrations were unaltered by combination therapy.Conclusions: This preclinical combination drug screen with in vivo validation has provided the rationale for a first-in-children trial of combination ceritinib and ribociclib in a molecularly selected pediatric population. Clin Cancer Res; 23(11); 2856-68. (c)2016 AACR.","author":[{"dropping-particle":"","family":"Wood","given":"A C","non-dropping-particle":"","parse-names":false,"suffix":""},{"dropping-particle":"","family":"Krytska","given":"K","non-dropping-particle":"","parse-names":false,"suffix":""},{"dropping-particle":"","family":"Ryles","given":"H T","non-dropping-particle":"","parse-names":false,"suffix":""},{"dropping-particle":"","family":"Infarinato","given":"N R","non-dropping-particle":"","parse-names":false,"suffix":""},{"dropping-particle":"","family":"Sano","given":"R","non-dropping-particle":"","parse-names":false,"suffix":""},{"dropping-particle":"","family":"Hansel","given":"T D","non-dropping-particle":"","parse-names":false,"suffix":""},{"dropping-particle":"","family":"Hart","given":"L S","non-dropping-particle":"","parse-names":false,"suffix":""},{"dropping-particle":"","family":"King","given":"F J","non-dropping-particle":"","parse-names":false,"suffix":""},{"dropping-particle":"","family":"Smith","given":"T R","non-dropping-particle":"","parse-names":false,"suffix":""},{"dropping-particle":"","family":"Ainscow","given":"E","non-dropping-particle":"","parse-names":false,"suffix":""},{"dropping-particle":"","family":"Grandinetti","given":"K B","non-dropping-particle":"","parse-names":false,"suffix":""},{"dropping-particle":"","family":"Tuntland","given":"T","non-dropping-particle":"","parse-names":false,"suffix":""},{"dropping-particle":"","family":"Kim","given":"S","non-dropping-particle":"","parse-names":false,"suffix":""},{"dropping-particle":"","family":"Caponigro","given":"G","non-dropping-particle":"","parse-names":false,"suffix":""},{"dropping-particle":"","family":"He","given":"Y Q","non-dropping-particle":"","parse-names":false,"suffix":""},{"dropping-particle":"","family":"Krupa","given":"S","non-dropping-particle":"","parse-names":false,"suffix":""},{"dropping-particle":"","family":"Li","given":"N","non-dropping-particle":"","parse-names":false,"suffix":""},{"dropping-particle":"","family":"Harris","given":"J L","non-dropping-particle":"","parse-names":false,"suffix":""},{"dropping-particle":"","family":"Mosse","given":"Y P","non-dropping-particle":"","parse-names":false,"suffix":""}],"container-title":"Clin Cancer Res","id":"ITEM-3","issue":"11","issued":{"date-parts":[["2017"]]},"note":"Wood, Andrew C\nKrytska, Kateryna\nRyles, Hannah T\nInfarinato, Nicole R\nSano, Renata\nHansel, Theodore D\nHart, Lori S\nKing, Frederick J\nSmith, Timothy R\nAinscow, Edward\nGrandinetti, Kathryn B\nTuntland, Tove\nKim, Sunkyu\nCaponigro, Giordano\nHe, You Qun\nKrupa, Shiva\nLi, Nanxin\nHarris, Jennifer L\nMosse, Yael P\neng\nR01 CA140198/CA/NCI NIH HHS/\n2016/12/18 06:00\nClin Cancer Res. 2017 Jun 1;23(11):2856-2868. doi: 10.1158/1078-0432.CCR-16-1114. Epub 2016 Dec 16.","page":"2856-2868","title":"Dual ALK and CDK4/6 Inhibition Demonstrates Synergy against Neuroblastoma","type":"article-journal","volume":"23"},"uris":["http://www.mendeley.com/documents/?uuid=bebbf45b-5849-41c7-92b5-e34654ae9da4","http://www.mendeley.com/documents/?uuid=76c9bea0-c58e-4a73-beb5-964b2099ac83","http://www.mendeley.com/documents/?uuid=0dc97a26-f06a-4051-8634-01447d7e3fa0"]},{"id":"ITEM-4","itemData":{"DOI":"10.7554/eLife.17137","ISBN":"2050-084X (Electronic)\r2050-084X (Linking)","PMID":"28425916","abstract":"The efficacy of ALK inhibitors in patients with ALK-mutant neuroblastoma is limited, highlighting the need to improve their effectiveness in these patients. To this end, we sought to develop a combination strategy to enhance the antitumor activity of ALK inhibitor monotherapy in human neuroblastoma cell lines and xenograft models expressing activated ALK. Herein, we report that combined inhibition of ALK and MDM2 induced a complementary set of anti-proliferative and pro-apoptotic proteins. Consequently, this combination treatment synergistically inhibited proliferation of TP53 wild-type neuroblastoma cells harboring ALK amplification or mutations in vitro, and resulted in complete and durable responses in neuroblastoma xenografts derived from these cells. We further demonstrate that concurrent inhibition of MDM2 and ALK was able to overcome ceritinib resistance conferred by MYCN upregulation in vitro and in vivo. Together, combined inhibition of ALK and MDM2 may provide an effective treatment for TP53 wild-type neuroblastoma with ALK aberrations.","author":[{"dropping-particle":"","family":"Wang","given":"H Q","non-dropping-particle":"","parse-names":false,"suffix":""},{"dropping-particle":"","family":"Halilovic","given":"E","non-dropping-particle":"","parse-names":false,"suffix":""},{"dropping-particle":"","family":"Li","given":"X","non-dropping-particle":"","parse-names":false,"suffix":""},{"dropping-particle":"","family":"Liang","given":"J","non-dropping-particle":"","parse-names":false,"suffix":""},{"dropping-particle":"","family":"Cao","given":"Y","non-dropping-particle":"","parse-names":false,"suffix":""},{"dropping-particle":"","family":"Rakiec","given":"D P","non-dropping-particle":"","parse-names":false,"suffix":""},{"dropping-particle":"","family":"Ruddy","given":"D A","non-dropping-particle":"","parse-names":false,"suffix":""},{"dropping-particle":"","family":"Jeay","given":"S","non-dropping-particle":"","parse-names":false,"suffix":""},{"dropping-particle":"","family":"Wuerthner","given":"J U","non-dropping-particle":"","parse-names":false,"suffix":""},{"dropping-particle":"","family":"Timple","given":"N","non-dropping-particle":"","parse-names":false,"suffix":""},{"dropping-particle":"","family":"Kasibhatla","given":"S","non-dropping-particle":"","parse-names":false,"suffix":""},{"dropping-particle":"","family":"Li","given":"N","non-dropping-particle":"","parse-names":false,"suffix":""},{"dropping-particle":"","family":"Williams","given":"J A","non-dropping-particle":"","parse-names":false,"suffix":""},{"dropping-particle":"","family":"Sellers","given":"W R","non-dropping-particle":"","parse-names":false,"suffix":""},{"dropping-particle":"","family":"Huang","given":"A","non-dropping-particle":"","parse-names":false,"suffix":""},{"dropping-particle":"","family":"Li","given":"F","non-dropping-particle":"","parse-names":false,"suffix":""}],"container-title":"Elife","id":"ITEM-4","issued":{"date-parts":[["2017"]]},"note":"Wang, Hui Qin\nHalilovic, Ensar\nLi, Xiaoyan\nLiang, Jinsheng\nCao, Yichen\nRakiec, Daniel P\nRuddy, David A\nJeay, Sebastien\nWuerthner, Jens U\nTimple, Noelito\nKasibhatla, Shailaja\nLi, Nanxin\nWilliams, Juliet A\nSellers, William R\nHuang, Alan\nLi, Fang\neng\nResearch Support, Non-U.S. Gov't\nEngland\n2017/04/21 06:00\nElife. 2017 Apr 20;6. doi: 10.7554/eLife.17137.","title":"Combined ALK and MDM2 inhibition increases antitumor activity and overcomes resistance in human ALK mutant neuroblastoma cell lines and xenograft models","type":"article-journal","volume":"6"},"uris":["http://www.mendeley.com/documents/?uuid=6533addd-2340-433a-b722-5087dd1d7299","http://www.mendeley.com/documents/?uuid=9d4dd067-710c-4a8b-b913-6a89e9a4a2b9","http://www.mendeley.com/documents/?uuid=8cd94235-c277-47af-8bc9-0218b51a3dcf"]},{"id":"ITEM-5","itemData":{"DOI":"10.1126/scitranslmed.3002950","ISSN":"1946-6234","PMID":"22072639","abstract":"Activating mutations in the anaplastic lymphoma kinase (ALK) gene were recently discovered in neuroblastoma, a cancer of the developing autonomic nervous system that is the most commonly diagnosed malignancy in the first year of life. The most frequent ALK mutations in neuroblastoma cause amino acid substitutions (F1174L and R1275Q) in the intracellular tyrosine kinase domain of the intact ALK receptor. Identification of ALK as an oncogenic driver in neuroblastoma suggests that crizotinib (PF-02341066), a dual-specific inhibitor of the ALK and Met tyrosine kinases, will be useful in treating this malignancy. Here, we assessed the ability of crizotinib to inhibit proliferation of neuroblastoma cell lines and xenografts expressing mutated or wild-type ALK. Crizotinib inhibited proliferation of cell lines expressing either R1275Q-mutated ALK or amplified wild-type ALK. In contrast, cell lines harboring F1174L-mutated ALK were relatively resistant to crizotinib. Biochemical analyses revealed that this reduced susceptibility of F1174L-mutated ALK to crizotinib inhibition resulted from an increased adenosine triphosphate-binding affinity (as also seen in acquired resistance to epidermal growth factor receptor inhibitors). Thus, this effect should be surmountable with higher doses of crizotinib and/or with higher-affinity inhibitors.","author":[{"dropping-particle":"","family":"Bresler","given":"S. C.","non-dropping-particle":"","parse-names":false,"suffix":""},{"dropping-particle":"","family":"Wood","given":"A. C.","non-dropping-particle":"","parse-names":false,"suffix":""},{"dropping-particle":"","family":"Haglund","given":"E. A.","non-dropping-particle":"","parse-names":false,"suffix":""},{"dropping-particle":"","family":"Courtright","given":"J.","non-dropping-particle":"","parse-names":false,"suffix":""},{"dropping-particle":"","family":"Belcastro","given":"L. T.","non-dropping-particle":"","parse-names":false,"suffix":""},{"dropping-particle":"","family":"Plegaria","given":"J. S.","non-dropping-particle":"","parse-names":false,"suffix":""},{"dropping-particle":"","family":"Cole","given":"K.","non-dropping-particle":"","parse-names":false,"suffix":""},{"dropping-particle":"","family":"Toporovskaya","given":"Y.","non-dropping-particle":"","parse-names":false,"suffix":""},{"dropping-particle":"","family":"Zhao","given":"H.","non-dropping-particle":"","parse-names":false,"suffix":""},{"dropping-particle":"","family":"Carpenter","given":"E. L.","non-dropping-particle":"","parse-names":false,"suffix":""},{"dropping-particle":"","family":"Christensen","given":"J. G.","non-dropping-particle":"","parse-names":false,"suffix":""},{"dropping-particle":"","family":"Maris","given":"J. M.","non-dropping-particle":"","parse-names":false,"suffix":""},{"dropping-particle":"","family":"Lemmon","given":"M. A.","non-dropping-particle":"","parse-names":false,"suffix":""},{"dropping-particle":"","family":"Mosse","given":"Y. P.","non-dropping-particle":"","parse-names":false,"suffix":""}],"container-title":"Science Translational Medicine","id":"ITEM-5","issue":"108","issued":{"date-parts":[["2011","11","9"]]},"page":"108ra114-108ra114","title":"Differential Inhibitor Sensitivity of Anaplastic Lymphoma Kinase Variants Found in Neuroblastoma","type":"article-journal","volume":"3"},"uris":["http://www.mendeley.com/documents/?uuid=1056afb8-9245-33c8-b72b-4b2045f2abe7"]}],"mendeley":{"formattedCitation":"&lt;sup&gt;13,16–19&lt;/sup&gt;","plainTextFormattedCitation":"13,16–19","previouslyFormattedCitation":"&lt;sup&gt;13,16–19&lt;/sup&gt;"},"properties":{"noteIndex":0},"schema":"https://github.com/citation-style-language/schema/raw/master/csl-citation.json"}</w:instrText>
      </w:r>
      <w:r w:rsidR="000D3A13" w:rsidRPr="00E94CA9">
        <w:rPr>
          <w:rFonts w:cs="Arial"/>
          <w:sz w:val="22"/>
          <w:szCs w:val="22"/>
        </w:rPr>
        <w:fldChar w:fldCharType="separate"/>
      </w:r>
      <w:r w:rsidR="00542124" w:rsidRPr="00E94CA9">
        <w:rPr>
          <w:rFonts w:cs="Arial"/>
          <w:noProof/>
          <w:sz w:val="22"/>
          <w:szCs w:val="22"/>
          <w:vertAlign w:val="superscript"/>
        </w:rPr>
        <w:t>13,16–19</w:t>
      </w:r>
      <w:r w:rsidR="000D3A13"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bookmarkStart w:id="4" w:name="Bookmark70"/>
      <w:r w:rsidRPr="00E94CA9">
        <w:rPr>
          <w:rFonts w:cs="Arial"/>
          <w:sz w:val="22"/>
          <w:szCs w:val="22"/>
        </w:rPr>
        <w:fldChar w:fldCharType="begin"/>
      </w:r>
      <w:r w:rsidRPr="00E94CA9">
        <w:rPr>
          <w:rFonts w:cs="Arial"/>
          <w:sz w:val="22"/>
          <w:szCs w:val="22"/>
        </w:rPr>
        <w:instrText>ADDIN EN.CITE.DATA</w:instrText>
      </w:r>
      <w:r w:rsidRPr="00E94CA9">
        <w:rPr>
          <w:rFonts w:cs="Arial"/>
          <w:sz w:val="22"/>
          <w:szCs w:val="22"/>
        </w:rPr>
        <w:fldChar w:fldCharType="end"/>
      </w:r>
      <w:bookmarkStart w:id="5" w:name="Bookmark69"/>
      <w:bookmarkEnd w:id="4"/>
      <w:bookmarkEnd w:id="5"/>
      <w:r w:rsidRPr="00E94CA9">
        <w:rPr>
          <w:rFonts w:cs="Arial"/>
          <w:sz w:val="22"/>
          <w:szCs w:val="22"/>
        </w:rPr>
        <w:t xml:space="preserve">. In this study, we proactively investigated mechanisms of resistance to ALK </w:t>
      </w:r>
      <w:r w:rsidRPr="00E94CA9">
        <w:rPr>
          <w:rFonts w:cs="Arial"/>
          <w:sz w:val="22"/>
          <w:szCs w:val="22"/>
        </w:rPr>
        <w:lastRenderedPageBreak/>
        <w:t xml:space="preserve">inhibitors using </w:t>
      </w:r>
      <w:proofErr w:type="spellStart"/>
      <w:r w:rsidRPr="00E94CA9">
        <w:rPr>
          <w:rFonts w:cs="Arial"/>
          <w:sz w:val="22"/>
          <w:szCs w:val="22"/>
        </w:rPr>
        <w:t>CRISPR</w:t>
      </w:r>
      <w:r w:rsidR="00BD0299">
        <w:rPr>
          <w:rFonts w:cs="Arial"/>
          <w:sz w:val="22"/>
          <w:szCs w:val="22"/>
        </w:rPr>
        <w:t>a</w:t>
      </w:r>
      <w:proofErr w:type="spellEnd"/>
      <w:r w:rsidR="00BD0299">
        <w:rPr>
          <w:rFonts w:cs="Arial"/>
          <w:sz w:val="22"/>
          <w:szCs w:val="22"/>
        </w:rPr>
        <w:t xml:space="preserve"> </w:t>
      </w:r>
      <w:r w:rsidRPr="00E94CA9">
        <w:rPr>
          <w:rFonts w:cs="Arial"/>
          <w:sz w:val="22"/>
          <w:szCs w:val="22"/>
        </w:rPr>
        <w:t xml:space="preserve">screens in NB cell lines </w:t>
      </w:r>
      <w:proofErr w:type="spellStart"/>
      <w:r w:rsidRPr="00E94CA9">
        <w:rPr>
          <w:rFonts w:cs="Arial"/>
          <w:sz w:val="22"/>
          <w:szCs w:val="22"/>
        </w:rPr>
        <w:t>harboring</w:t>
      </w:r>
      <w:proofErr w:type="spellEnd"/>
      <w:r w:rsidRPr="00E94CA9">
        <w:rPr>
          <w:rFonts w:cs="Arial"/>
          <w:sz w:val="22"/>
          <w:szCs w:val="22"/>
        </w:rPr>
        <w:t xml:space="preserve"> recurrent point mutations in the ALK tyrosine kinase domain</w:t>
      </w:r>
      <w:r w:rsidR="0071559F">
        <w:rPr>
          <w:rFonts w:cs="Arial"/>
          <w:sz w:val="22"/>
          <w:szCs w:val="22"/>
        </w:rPr>
        <w:t>,</w:t>
      </w:r>
      <w:r w:rsidRPr="00E94CA9">
        <w:rPr>
          <w:rFonts w:cs="Arial"/>
          <w:sz w:val="22"/>
          <w:szCs w:val="22"/>
        </w:rPr>
        <w:t xml:space="preserve"> including those previously shown to confer endogenous resistance to the ALK inhibitor </w:t>
      </w:r>
      <w:proofErr w:type="spellStart"/>
      <w:r w:rsidRPr="00E94CA9">
        <w:rPr>
          <w:rFonts w:cs="Arial"/>
          <w:sz w:val="22"/>
          <w:szCs w:val="22"/>
        </w:rPr>
        <w:t>crizotinib</w:t>
      </w:r>
      <w:proofErr w:type="spellEnd"/>
      <w:r w:rsidRPr="00E94CA9">
        <w:rPr>
          <w:rFonts w:cs="Arial"/>
          <w:sz w:val="22"/>
          <w:szCs w:val="22"/>
        </w:rPr>
        <w:t>.</w:t>
      </w:r>
    </w:p>
    <w:p w14:paraId="058634D0" w14:textId="6C74FD08" w:rsidR="00D30528" w:rsidRPr="00E94CA9" w:rsidRDefault="00A36628">
      <w:pPr>
        <w:spacing w:line="360" w:lineRule="auto"/>
        <w:ind w:firstLine="284"/>
        <w:jc w:val="both"/>
        <w:rPr>
          <w:rFonts w:cs="Arial"/>
          <w:sz w:val="22"/>
          <w:szCs w:val="22"/>
        </w:rPr>
      </w:pPr>
      <w:bookmarkStart w:id="6" w:name="_Hlk13514136"/>
      <w:r w:rsidRPr="00E94CA9">
        <w:rPr>
          <w:rFonts w:cs="Arial"/>
          <w:color w:val="000000" w:themeColor="text1"/>
          <w:sz w:val="22"/>
          <w:szCs w:val="22"/>
        </w:rPr>
        <w:t xml:space="preserve">Importantly, a genome-wide </w:t>
      </w:r>
      <w:proofErr w:type="spellStart"/>
      <w:r w:rsidRPr="00E94CA9">
        <w:rPr>
          <w:rFonts w:cs="Arial"/>
          <w:color w:val="000000" w:themeColor="text1"/>
          <w:sz w:val="22"/>
          <w:szCs w:val="22"/>
        </w:rPr>
        <w:t>CRISPR</w:t>
      </w:r>
      <w:r w:rsidR="00BD0299">
        <w:rPr>
          <w:rFonts w:cs="Arial"/>
          <w:color w:val="000000" w:themeColor="text1"/>
          <w:sz w:val="22"/>
          <w:szCs w:val="22"/>
        </w:rPr>
        <w:t>a</w:t>
      </w:r>
      <w:proofErr w:type="spellEnd"/>
      <w:r w:rsidR="00BD0299">
        <w:rPr>
          <w:rFonts w:cs="Arial"/>
          <w:color w:val="000000" w:themeColor="text1"/>
          <w:sz w:val="22"/>
          <w:szCs w:val="22"/>
        </w:rPr>
        <w:t xml:space="preserve"> </w:t>
      </w:r>
      <w:r w:rsidRPr="00E94CA9">
        <w:rPr>
          <w:rFonts w:cs="Arial"/>
          <w:color w:val="000000" w:themeColor="text1"/>
          <w:sz w:val="22"/>
          <w:szCs w:val="22"/>
        </w:rPr>
        <w:t>screen</w:t>
      </w:r>
      <w:r w:rsidR="0071559F">
        <w:rPr>
          <w:rFonts w:cs="Arial"/>
          <w:color w:val="000000" w:themeColor="text1"/>
          <w:sz w:val="22"/>
          <w:szCs w:val="22"/>
        </w:rPr>
        <w:t>ing</w:t>
      </w:r>
      <w:r w:rsidRPr="00E94CA9">
        <w:rPr>
          <w:rFonts w:cs="Arial"/>
          <w:color w:val="000000" w:themeColor="text1"/>
          <w:sz w:val="22"/>
          <w:szCs w:val="22"/>
        </w:rPr>
        <w:t xml:space="preserve"> approach allowed us to fully explore all potential resistance mechanisms in an unbiased manner. Our work </w:t>
      </w:r>
      <w:r w:rsidR="00B5052A" w:rsidRPr="00E94CA9">
        <w:rPr>
          <w:rFonts w:cs="Arial"/>
          <w:color w:val="000000" w:themeColor="text1"/>
          <w:sz w:val="22"/>
          <w:szCs w:val="22"/>
        </w:rPr>
        <w:t xml:space="preserve">has </w:t>
      </w:r>
      <w:r w:rsidRPr="00E94CA9">
        <w:rPr>
          <w:rFonts w:cs="Arial"/>
          <w:color w:val="000000" w:themeColor="text1"/>
          <w:sz w:val="22"/>
          <w:szCs w:val="22"/>
        </w:rPr>
        <w:t>expanded on the findings of previous</w:t>
      </w:r>
      <w:r w:rsidR="0071559F">
        <w:rPr>
          <w:rFonts w:cs="Arial"/>
          <w:color w:val="000000" w:themeColor="text1"/>
          <w:sz w:val="22"/>
          <w:szCs w:val="22"/>
        </w:rPr>
        <w:t>ly</w:t>
      </w:r>
      <w:r w:rsidRPr="00E94CA9">
        <w:rPr>
          <w:rFonts w:cs="Arial"/>
          <w:color w:val="000000" w:themeColor="text1"/>
          <w:sz w:val="22"/>
          <w:szCs w:val="22"/>
        </w:rPr>
        <w:t xml:space="preserve"> publi</w:t>
      </w:r>
      <w:r w:rsidR="0071559F">
        <w:rPr>
          <w:rFonts w:cs="Arial"/>
          <w:color w:val="000000" w:themeColor="text1"/>
          <w:sz w:val="22"/>
          <w:szCs w:val="22"/>
        </w:rPr>
        <w:t>shed studies</w:t>
      </w:r>
      <w:r w:rsidRPr="00E94CA9">
        <w:rPr>
          <w:rFonts w:cs="Arial"/>
          <w:color w:val="000000" w:themeColor="text1"/>
          <w:sz w:val="22"/>
          <w:szCs w:val="22"/>
        </w:rPr>
        <w:t xml:space="preserve"> </w:t>
      </w:r>
      <w:r w:rsidR="00B5052A" w:rsidRPr="00E94CA9">
        <w:rPr>
          <w:rFonts w:cs="Arial"/>
          <w:color w:val="000000" w:themeColor="text1"/>
          <w:sz w:val="22"/>
          <w:szCs w:val="22"/>
        </w:rPr>
        <w:t>investigating</w:t>
      </w:r>
      <w:r w:rsidRPr="00E94CA9">
        <w:rPr>
          <w:rFonts w:cs="Arial"/>
          <w:color w:val="000000" w:themeColor="text1"/>
          <w:sz w:val="22"/>
          <w:szCs w:val="22"/>
        </w:rPr>
        <w:t xml:space="preserve"> ALK inhibit</w:t>
      </w:r>
      <w:r w:rsidR="00B8416B" w:rsidRPr="00E94CA9">
        <w:rPr>
          <w:rFonts w:cs="Arial"/>
          <w:color w:val="000000" w:themeColor="text1"/>
          <w:sz w:val="22"/>
          <w:szCs w:val="22"/>
        </w:rPr>
        <w:t>or</w:t>
      </w:r>
      <w:r w:rsidRPr="00E94CA9">
        <w:rPr>
          <w:rFonts w:cs="Arial"/>
          <w:color w:val="000000" w:themeColor="text1"/>
          <w:sz w:val="22"/>
          <w:szCs w:val="22"/>
        </w:rPr>
        <w:t xml:space="preserve"> resistance mechanisms in </w:t>
      </w:r>
      <w:r w:rsidR="004A6467" w:rsidRPr="00E94CA9">
        <w:rPr>
          <w:rFonts w:cs="Arial"/>
          <w:color w:val="000000" w:themeColor="text1"/>
          <w:sz w:val="22"/>
          <w:szCs w:val="22"/>
        </w:rPr>
        <w:t>NB</w:t>
      </w:r>
      <w:r w:rsidR="009477D7" w:rsidRPr="00E94CA9">
        <w:rPr>
          <w:rFonts w:cs="Arial"/>
          <w:color w:val="000000" w:themeColor="text1"/>
          <w:sz w:val="22"/>
          <w:szCs w:val="22"/>
        </w:rPr>
        <w:fldChar w:fldCharType="begin" w:fldLock="1"/>
      </w:r>
      <w:r w:rsidR="004F24F9">
        <w:rPr>
          <w:rFonts w:cs="Arial"/>
          <w:color w:val="000000" w:themeColor="text1"/>
          <w:sz w:val="22"/>
          <w:szCs w:val="22"/>
        </w:rPr>
        <w:instrText>ADDIN CSL_CITATION {"citationItems":[{"id":"ITEM-1","itemData":{"DOI":"10.1038/onc.2015.434","ISBN":"1476-5594 (Electronic)\r0950-9232 (Linking)","PMID":"26616860","abstract":"The crizotinib-resistant ALK(F1174L) mutation arises de novo in neuroblastoma (NB) and is acquired in ALK translocation-driven cancers, lending impetus to the development of novel anaplastic lymphoma kinase (ALK) inhibitors with different modes of action. The diaminopyrimidine TAE684 and its derivative ceritinib (LDK378), which are structurally distinct from crizotinib, are active against NB cells expressing ALK(F1174L). Here we demonstrate acquired resistance to TAE684 and LDK378 in ALK(F1174L)-driven human NB cells that is linked to overexpression and activation of the AXL tyrosine kinase and epithelial-to-mesenchymal transition (EMT). AXL phosphorylation conferred TAE684 resistance to NB cells through upregulated extracellular signal-regulated kinase (ERK) signaling. Inhibition of AXL partly rescued TAE684 resistance, resensitizing these cells to this compound. AXL activation in resistant cells was mediated through increased expression of the active form of its ligand, GAS6, that also served to stabilize the AXL protein. Although ectopic expression of AXL and TWIST2 individually in TAE684-sensitive parental cells led to the elevated expression of mesenchymal markers and invasive capacity, only AXL overexpression induced resistance to TAE684 as well. TAE684-resistant cells showed greater sensitivity to HSP90 inhibition than did their parental counterparts, with downregulation of AXL and AXL-mediated ERK signaling. Our studies indicate that aberrant AXL signaling and development of an EMT phenotype underlie resistance of ALK(F1174L)-driven NB cells to TAE684 and its derivatives. We suggest that the combination of ALK and AXL or HSP90 inhibitors be considered to delay the emergence of such resistance.","author":[{"dropping-particle":"","family":"Debruyne","given":"D N","non-dropping-particle":"","parse-names":false,"suffix":""},{"dropping-particle":"","family":"Bhatnagar","given":"N","non-dropping-particle":"","parse-names":false,"suffix":""},{"dropping-particle":"","family":"Sharma","given":"B","non-dropping-particle":"","parse-names":false,"suffix":""},{"dropping-particle":"","family":"Luther","given":"W","non-dropping-particle":"","parse-names":false,"suffix":""},{"dropping-particle":"","family":"Moore","given":"N F","non-dropping-particle":"","parse-names":false,"suffix":""},{"dropping-particle":"","family":"Cheung","given":"N K","non-dropping-particle":"","parse-names":false,"suffix":""},{"dropping-particle":"","family":"Gray","given":"N S","non-dropping-particle":"","parse-names":false,"suffix":""},{"dropping-particle":"","family":"George","given":"R E","non-dropping-particle":"","parse-names":false,"suffix":""}],"container-title":"Oncogene","id":"ITEM-1","issue":"28","issued":{"date-parts":[["2016"]]},"note":"Debruyne, D N\nBhatnagar, N\nSharma, B\nLuther, W\nMoore, N F\nCheung, N-K\nGray, N S\nGeorge, R E\neng\nP30 CA008748/CA/NCI NIH HHS/\nR01 CA148688/CA/NCI NIH HHS/\nResearch Support, Non-U.S. Gov't\nResearch Support, N.I.H., Extramural\nEngland\n2015/12/01 06:00\nOncogene. 2016 Jul 14;35(28):3681-91. doi: 10.1038/onc.2015.434. Epub 2015 Nov 30.","page":"3681-3691","title":"ALK inhibitor resistance in ALK(F1174L)-driven neuroblastoma is associated with AXL activation and induction of EMT","type":"article-journal","volume":"35"},"uris":["http://www.mendeley.com/documents/?uuid=68ba696a-fba0-4bb0-927a-1b35418a4e29"]},{"id":"ITEM-2","itemData":{"DOI":"10.7554/eLife.17137","ISBN":"2050-084X (Electronic)\r2050-084X (Linking)","PMID":"28425916","abstract":"The efficacy of ALK inhibitors in patients with ALK-mutant neuroblastoma is limited, highlighting the need to improve their effectiveness in these patients. To this end, we sought to develop a combination strategy to enhance the antitumor activity of ALK inhibitor monotherapy in human neuroblastoma cell lines and xenograft models expressing activated ALK. Herein, we report that combined inhibition of ALK and MDM2 induced a complementary set of anti-proliferative and pro-apoptotic proteins. Consequently, this combination treatment synergistically inhibited proliferation of TP53 wild-type neuroblastoma cells harboring ALK amplification or mutations in vitro, and resulted in complete and durable responses in neuroblastoma xenografts derived from these cells. We further demonstrate that concurrent inhibition of MDM2 and ALK was able to overcome ceritinib resistance conferred by MYCN upregulation in vitro and in vivo. Together, combined inhibition of ALK and MDM2 may provide an effective treatment for TP53 wild-type neuroblastoma with ALK aberrations.","author":[{"dropping-particle":"","family":"Wang","given":"H Q","non-dropping-particle":"","parse-names":false,"suffix":""},{"dropping-particle":"","family":"Halilovic","given":"E","non-dropping-particle":"","parse-names":false,"suffix":""},{"dropping-particle":"","family":"Li","given":"X","non-dropping-particle":"","parse-names":false,"suffix":""},{"dropping-particle":"","family":"Liang","given":"J","non-dropping-particle":"","parse-names":false,"suffix":""},{"dropping-particle":"","family":"Cao","given":"Y","non-dropping-particle":"","parse-names":false,"suffix":""},{"dropping-particle":"","family":"Rakiec","given":"D P","non-dropping-particle":"","parse-names":false,"suffix":""},{"dropping-particle":"","family":"Ruddy","given":"D A","non-dropping-particle":"","parse-names":false,"suffix":""},{"dropping-particle":"","family":"Jeay","given":"S","non-dropping-particle":"","parse-names":false,"suffix":""},{"dropping-particle":"","family":"Wuerthner","given":"J U","non-dropping-particle":"","parse-names":false,"suffix":""},{"dropping-particle":"","family":"Timple","given":"N","non-dropping-particle":"","parse-names":false,"suffix":""},{"dropping-particle":"","family":"Kasibhatla","given":"S","non-dropping-particle":"","parse-names":false,"suffix":""},{"dropping-particle":"","family":"Li","given":"N","non-dropping-particle":"","parse-names":false,"suffix":""},{"dropping-particle":"","family":"Williams","given":"J A","non-dropping-particle":"","parse-names":false,"suffix":""},{"dropping-particle":"","family":"Sellers","given":"W R","non-dropping-particle":"","parse-names":false,"suffix":""},{"dropping-particle":"","family":"Huang","given":"A","non-dropping-particle":"","parse-names":false,"suffix":""},{"dropping-particle":"","family":"Li","given":"F","non-dropping-particle":"","parse-names":false,"suffix":""}],"container-title":"Elife","id":"ITEM-2","issued":{"date-parts":[["2017"]]},"note":"Wang, Hui Qin\nHalilovic, Ensar\nLi, Xiaoyan\nLiang, Jinsheng\nCao, Yichen\nRakiec, Daniel P\nRuddy, David A\nJeay, Sebastien\nWuerthner, Jens U\nTimple, Noelito\nKasibhatla, Shailaja\nLi, Nanxin\nWilliams, Juliet A\nSellers, William R\nHuang, Alan\nLi, Fang\neng\nResearch Support, Non-U.S. Gov't\nEngland\n2017/04/21 06:00\nElife. 2017 Apr 20;6. doi: 10.7554/eLife.17137.","title":"Combined ALK and MDM2 inhibition increases antitumor activity and overcomes resistance in human ALK mutant neuroblastoma cell lines and xenograft models","type":"article-journal","volume":"6"},"uris":["http://www.mendeley.com/documents/?uuid=6533addd-2340-433a-b722-5087dd1d7299","http://www.mendeley.com/documents/?uuid=9d4dd067-710c-4a8b-b913-6a89e9a4a2b9","http://www.mendeley.com/documents/?uuid=884d81b1-fc58-4709-be1b-ab10376585e4"]}],"mendeley":{"formattedCitation":"&lt;sup&gt;13,52&lt;/sup&gt;","plainTextFormattedCitation":"13,52","previouslyFormattedCitation":"&lt;sup&gt;13,52&lt;/sup&gt;"},"properties":{"noteIndex":0},"schema":"https://github.com/citation-style-language/schema/raw/master/csl-citation.json"}</w:instrText>
      </w:r>
      <w:r w:rsidR="009477D7" w:rsidRPr="00E94CA9">
        <w:rPr>
          <w:rFonts w:cs="Arial"/>
          <w:color w:val="000000" w:themeColor="text1"/>
          <w:sz w:val="22"/>
          <w:szCs w:val="22"/>
        </w:rPr>
        <w:fldChar w:fldCharType="separate"/>
      </w:r>
      <w:r w:rsidR="00394C69" w:rsidRPr="00394C69">
        <w:rPr>
          <w:rFonts w:cs="Arial"/>
          <w:noProof/>
          <w:color w:val="000000" w:themeColor="text1"/>
          <w:sz w:val="22"/>
          <w:szCs w:val="22"/>
          <w:vertAlign w:val="superscript"/>
        </w:rPr>
        <w:t>13,52</w:t>
      </w:r>
      <w:r w:rsidR="009477D7" w:rsidRPr="00E94CA9">
        <w:rPr>
          <w:rFonts w:cs="Arial"/>
          <w:color w:val="000000" w:themeColor="text1"/>
          <w:sz w:val="22"/>
          <w:szCs w:val="22"/>
        </w:rPr>
        <w:fldChar w:fldCharType="end"/>
      </w:r>
      <w:r w:rsidR="00B5052A" w:rsidRPr="00E94CA9">
        <w:rPr>
          <w:rFonts w:cs="Arial"/>
          <w:color w:val="000000" w:themeColor="text1"/>
          <w:sz w:val="22"/>
          <w:szCs w:val="22"/>
        </w:rPr>
        <w:t>;</w:t>
      </w:r>
      <w:r w:rsidRPr="00E94CA9">
        <w:rPr>
          <w:rFonts w:cs="Arial"/>
          <w:color w:val="000000" w:themeColor="text1"/>
          <w:sz w:val="22"/>
          <w:szCs w:val="22"/>
        </w:rPr>
        <w:t xml:space="preserve"> AXL activation was identified </w:t>
      </w:r>
      <w:r w:rsidR="00B5052A" w:rsidRPr="00E94CA9">
        <w:rPr>
          <w:rFonts w:cs="Arial"/>
          <w:color w:val="000000" w:themeColor="text1"/>
          <w:sz w:val="22"/>
          <w:szCs w:val="22"/>
        </w:rPr>
        <w:t>by</w:t>
      </w:r>
      <w:r w:rsidRPr="00E94CA9">
        <w:rPr>
          <w:rFonts w:cs="Arial"/>
          <w:color w:val="000000" w:themeColor="text1"/>
          <w:sz w:val="22"/>
          <w:szCs w:val="22"/>
        </w:rPr>
        <w:t xml:space="preserve"> a phospho-proteomic assay</w:t>
      </w:r>
      <w:r w:rsidR="007511ED" w:rsidRPr="00E94CA9">
        <w:rPr>
          <w:rFonts w:cs="Arial"/>
          <w:color w:val="000000" w:themeColor="text1"/>
          <w:sz w:val="22"/>
          <w:szCs w:val="22"/>
        </w:rPr>
        <w:t xml:space="preserve"> in NB cel</w:t>
      </w:r>
      <w:r w:rsidR="00837CA4" w:rsidRPr="00E94CA9">
        <w:rPr>
          <w:rFonts w:cs="Arial"/>
          <w:color w:val="000000" w:themeColor="text1"/>
          <w:sz w:val="22"/>
          <w:szCs w:val="22"/>
        </w:rPr>
        <w:t>l</w:t>
      </w:r>
      <w:r w:rsidR="007511ED" w:rsidRPr="00E94CA9">
        <w:rPr>
          <w:rFonts w:cs="Arial"/>
          <w:color w:val="000000" w:themeColor="text1"/>
          <w:sz w:val="22"/>
          <w:szCs w:val="22"/>
        </w:rPr>
        <w:t xml:space="preserve"> lines rendered resistant to ALK inhibitors through continuous exposure to increasing concentrations of drugs</w:t>
      </w:r>
      <w:r w:rsidR="009477D7" w:rsidRPr="00E94CA9">
        <w:rPr>
          <w:rFonts w:cs="Arial"/>
          <w:color w:val="000000" w:themeColor="text1"/>
          <w:sz w:val="22"/>
          <w:szCs w:val="22"/>
        </w:rPr>
        <w:fldChar w:fldCharType="begin" w:fldLock="1"/>
      </w:r>
      <w:r w:rsidR="004F24F9">
        <w:rPr>
          <w:rFonts w:cs="Arial"/>
          <w:color w:val="000000" w:themeColor="text1"/>
          <w:sz w:val="22"/>
          <w:szCs w:val="22"/>
        </w:rPr>
        <w:instrText>ADDIN CSL_CITATION {"citationItems":[{"id":"ITEM-1","itemData":{"DOI":"10.1038/onc.2015.434","ISBN":"1476-5594 (Electronic)\r0950-9232 (Linking)","PMID":"26616860","abstract":"The crizotinib-resistant ALK(F1174L) mutation arises de novo in neuroblastoma (NB) and is acquired in ALK translocation-driven cancers, lending impetus to the development of novel anaplastic lymphoma kinase (ALK) inhibitors with different modes of action. The diaminopyrimidine TAE684 and its derivative ceritinib (LDK378), which are structurally distinct from crizotinib, are active against NB cells expressing ALK(F1174L). Here we demonstrate acquired resistance to TAE684 and LDK378 in ALK(F1174L)-driven human NB cells that is linked to overexpression and activation of the AXL tyrosine kinase and epithelial-to-mesenchymal transition (EMT). AXL phosphorylation conferred TAE684 resistance to NB cells through upregulated extracellular signal-regulated kinase (ERK) signaling. Inhibition of AXL partly rescued TAE684 resistance, resensitizing these cells to this compound. AXL activation in resistant cells was mediated through increased expression of the active form of its ligand, GAS6, that also served to stabilize the AXL protein. Although ectopic expression of AXL and TWIST2 individually in TAE684-sensitive parental cells led to the elevated expression of mesenchymal markers and invasive capacity, only AXL overexpression induced resistance to TAE684 as well. TAE684-resistant cells showed greater sensitivity to HSP90 inhibition than did their parental counterparts, with downregulation of AXL and AXL-mediated ERK signaling. Our studies indicate that aberrant AXL signaling and development of an EMT phenotype underlie resistance of ALK(F1174L)-driven NB cells to TAE684 and its derivatives. We suggest that the combination of ALK and AXL or HSP90 inhibitors be considered to delay the emergence of such resistance.","author":[{"dropping-particle":"","family":"Debruyne","given":"D N","non-dropping-particle":"","parse-names":false,"suffix":""},{"dropping-particle":"","family":"Bhatnagar","given":"N","non-dropping-particle":"","parse-names":false,"suffix":""},{"dropping-particle":"","family":"Sharma","given":"B","non-dropping-particle":"","parse-names":false,"suffix":""},{"dropping-particle":"","family":"Luther","given":"W","non-dropping-particle":"","parse-names":false,"suffix":""},{"dropping-particle":"","family":"Moore","given":"N F","non-dropping-particle":"","parse-names":false,"suffix":""},{"dropping-particle":"","family":"Cheung","given":"N K","non-dropping-particle":"","parse-names":false,"suffix":""},{"dropping-particle":"","family":"Gray","given":"N S","non-dropping-particle":"","parse-names":false,"suffix":""},{"dropping-particle":"","family":"George","given":"R E","non-dropping-particle":"","parse-names":false,"suffix":""}],"container-title":"Oncogene","id":"ITEM-1","issue":"28","issued":{"date-parts":[["2016"]]},"note":"Debruyne, D N\nBhatnagar, N\nSharma, B\nLuther, W\nMoore, N F\nCheung, N-K\nGray, N S\nGeorge, R E\neng\nP30 CA008748/CA/NCI NIH HHS/\nR01 CA148688/CA/NCI NIH HHS/\nResearch Support, Non-U.S. Gov't\nResearch Support, N.I.H., Extramural\nEngland\n2015/12/01 06:00\nOncogene. 2016 Jul 14;35(28):3681-91. doi: 10.1038/onc.2015.434. Epub 2015 Nov 30.","page":"3681-3691","title":"ALK inhibitor resistance in ALK(F1174L)-driven neuroblastoma is associated with AXL activation and induction of EMT","type":"article-journal","volume":"35"},"uris":["http://www.mendeley.com/documents/?uuid=68ba696a-fba0-4bb0-927a-1b35418a4e29"]}],"mendeley":{"formattedCitation":"&lt;sup&gt;52&lt;/sup&gt;","plainTextFormattedCitation":"52","previouslyFormattedCitation":"&lt;sup&gt;52&lt;/sup&gt;"},"properties":{"noteIndex":0},"schema":"https://github.com/citation-style-language/schema/raw/master/csl-citation.json"}</w:instrText>
      </w:r>
      <w:r w:rsidR="009477D7" w:rsidRPr="00E94CA9">
        <w:rPr>
          <w:rFonts w:cs="Arial"/>
          <w:color w:val="000000" w:themeColor="text1"/>
          <w:sz w:val="22"/>
          <w:szCs w:val="22"/>
        </w:rPr>
        <w:fldChar w:fldCharType="separate"/>
      </w:r>
      <w:r w:rsidR="00394C69" w:rsidRPr="00394C69">
        <w:rPr>
          <w:rFonts w:cs="Arial"/>
          <w:noProof/>
          <w:color w:val="000000" w:themeColor="text1"/>
          <w:sz w:val="22"/>
          <w:szCs w:val="22"/>
          <w:vertAlign w:val="superscript"/>
        </w:rPr>
        <w:t>52</w:t>
      </w:r>
      <w:r w:rsidR="009477D7" w:rsidRPr="00E94CA9">
        <w:rPr>
          <w:rFonts w:cs="Arial"/>
          <w:color w:val="000000" w:themeColor="text1"/>
          <w:sz w:val="22"/>
          <w:szCs w:val="22"/>
        </w:rPr>
        <w:fldChar w:fldCharType="end"/>
      </w:r>
      <w:r w:rsidR="00B8416B" w:rsidRPr="00E94CA9">
        <w:rPr>
          <w:rFonts w:cs="Arial"/>
          <w:color w:val="000000" w:themeColor="text1"/>
          <w:sz w:val="22"/>
          <w:szCs w:val="22"/>
        </w:rPr>
        <w:t>,</w:t>
      </w:r>
      <w:r w:rsidRPr="00E94CA9">
        <w:rPr>
          <w:rFonts w:cs="Arial"/>
          <w:color w:val="000000" w:themeColor="text1"/>
          <w:sz w:val="22"/>
          <w:szCs w:val="22"/>
        </w:rPr>
        <w:t xml:space="preserve"> whereas </w:t>
      </w:r>
      <w:r w:rsidRPr="00E94CA9">
        <w:rPr>
          <w:rFonts w:cs="Arial"/>
          <w:i/>
          <w:color w:val="000000" w:themeColor="text1"/>
          <w:sz w:val="22"/>
          <w:szCs w:val="22"/>
        </w:rPr>
        <w:t>MYCN</w:t>
      </w:r>
      <w:r w:rsidRPr="00E94CA9">
        <w:rPr>
          <w:rFonts w:cs="Arial"/>
          <w:color w:val="000000" w:themeColor="text1"/>
          <w:sz w:val="22"/>
          <w:szCs w:val="22"/>
        </w:rPr>
        <w:t xml:space="preserve"> overexpression was noted as a resistance mechanism in another</w:t>
      </w:r>
      <w:r w:rsidR="0053783F" w:rsidRPr="00E94CA9">
        <w:rPr>
          <w:rFonts w:cs="Arial"/>
          <w:color w:val="000000" w:themeColor="text1"/>
          <w:sz w:val="22"/>
          <w:szCs w:val="22"/>
        </w:rPr>
        <w:t xml:space="preserve"> study</w:t>
      </w:r>
      <w:r w:rsidR="009477D7" w:rsidRPr="00E94CA9">
        <w:rPr>
          <w:rFonts w:cs="Arial"/>
          <w:color w:val="000000" w:themeColor="text1"/>
          <w:sz w:val="22"/>
          <w:szCs w:val="22"/>
        </w:rPr>
        <w:fldChar w:fldCharType="begin" w:fldLock="1"/>
      </w:r>
      <w:r w:rsidR="00394C69">
        <w:rPr>
          <w:rFonts w:cs="Arial"/>
          <w:color w:val="000000" w:themeColor="text1"/>
          <w:sz w:val="22"/>
          <w:szCs w:val="22"/>
        </w:rPr>
        <w:instrText>ADDIN CSL_CITATION {"citationItems":[{"id":"ITEM-1","itemData":{"DOI":"10.7554/eLife.17137","ISBN":"2050-084X (Electronic)\r2050-084X (Linking)","PMID":"28425916","abstract":"The efficacy of ALK inhibitors in patients with ALK-mutant neuroblastoma is limited, highlighting the need to improve their effectiveness in these patients. To this end, we sought to develop a combination strategy to enhance the antitumor activity of ALK inhibitor monotherapy in human neuroblastoma cell lines and xenograft models expressing activated ALK. Herein, we report that combined inhibition of ALK and MDM2 induced a complementary set of anti-proliferative and pro-apoptotic proteins. Consequently, this combination treatment synergistically inhibited proliferation of TP53 wild-type neuroblastoma cells harboring ALK amplification or mutations in vitro, and resulted in complete and durable responses in neuroblastoma xenografts derived from these cells. We further demonstrate that concurrent inhibition of MDM2 and ALK was able to overcome ceritinib resistance conferred by MYCN upregulation in vitro and in vivo. Together, combined inhibition of ALK and MDM2 may provide an effective treatment for TP53 wild-type neuroblastoma with ALK aberrations.","author":[{"dropping-particle":"","family":"Wang","given":"H Q","non-dropping-particle":"","parse-names":false,"suffix":""},{"dropping-particle":"","family":"Halilovic","given":"E","non-dropping-particle":"","parse-names":false,"suffix":""},{"dropping-particle":"","family":"Li","given":"X","non-dropping-particle":"","parse-names":false,"suffix":""},{"dropping-particle":"","family":"Liang","given":"J","non-dropping-particle":"","parse-names":false,"suffix":""},{"dropping-particle":"","family":"Cao","given":"Y","non-dropping-particle":"","parse-names":false,"suffix":""},{"dropping-particle":"","family":"Rakiec","given":"D P","non-dropping-particle":"","parse-names":false,"suffix":""},{"dropping-particle":"","family":"Ruddy","given":"D A","non-dropping-particle":"","parse-names":false,"suffix":""},{"dropping-particle":"","family":"Jeay","given":"S","non-dropping-particle":"","parse-names":false,"suffix":""},{"dropping-particle":"","family":"Wuerthner","given":"J U","non-dropping-particle":"","parse-names":false,"suffix":""},{"dropping-particle":"","family":"Timple","given":"N","non-dropping-particle":"","parse-names":false,"suffix":""},{"dropping-particle":"","family":"Kasibhatla","given":"S","non-dropping-particle":"","parse-names":false,"suffix":""},{"dropping-particle":"","family":"Li","given":"N","non-dropping-particle":"","parse-names":false,"suffix":""},{"dropping-particle":"","family":"Williams","given":"J A","non-dropping-particle":"","parse-names":false,"suffix":""},{"dropping-particle":"","family":"Sellers","given":"W R","non-dropping-particle":"","parse-names":false,"suffix":""},{"dropping-particle":"","family":"Huang","given":"A","non-dropping-particle":"","parse-names":false,"suffix":""},{"dropping-particle":"","family":"Li","given":"F","non-dropping-particle":"","parse-names":false,"suffix":""}],"container-title":"Elife","id":"ITEM-1","issued":{"date-parts":[["2017"]]},"note":"Wang, Hui Qin\nHalilovic, Ensar\nLi, Xiaoyan\nLiang, Jinsheng\nCao, Yichen\nRakiec, Daniel P\nRuddy, David A\nJeay, Sebastien\nWuerthner, Jens U\nTimple, Noelito\nKasibhatla, Shailaja\nLi, Nanxin\nWilliams, Juliet A\nSellers, William R\nHuang, Alan\nLi, Fang\neng\nResearch Support, Non-U.S. Gov't\nEngland\n2017/04/21 06:00\nElife. 2017 Apr 20;6. doi: 10.7554/eLife.17137.","title":"Combined ALK and MDM2 inhibition increases antitumor activity and overcomes resistance in human ALK mutant neuroblastoma cell lines and xenograft models","type":"article-journal","volume":"6"},"uris":["http://www.mendeley.com/documents/?uuid=6533addd-2340-433a-b722-5087dd1d7299","http://www.mendeley.com/documents/?uuid=9d4dd067-710c-4a8b-b913-6a89e9a4a2b9"]}],"mendeley":{"formattedCitation":"&lt;sup&gt;13&lt;/sup&gt;","plainTextFormattedCitation":"13","previouslyFormattedCitation":"&lt;sup&gt;13&lt;/sup&gt;"},"properties":{"noteIndex":0},"schema":"https://github.com/citation-style-language/schema/raw/master/csl-citation.json"}</w:instrText>
      </w:r>
      <w:r w:rsidR="009477D7" w:rsidRPr="00E94CA9">
        <w:rPr>
          <w:rFonts w:cs="Arial"/>
          <w:color w:val="000000" w:themeColor="text1"/>
          <w:sz w:val="22"/>
          <w:szCs w:val="22"/>
        </w:rPr>
        <w:fldChar w:fldCharType="separate"/>
      </w:r>
      <w:r w:rsidR="00542124" w:rsidRPr="00E94CA9">
        <w:rPr>
          <w:rFonts w:cs="Arial"/>
          <w:noProof/>
          <w:color w:val="000000" w:themeColor="text1"/>
          <w:sz w:val="22"/>
          <w:szCs w:val="22"/>
          <w:vertAlign w:val="superscript"/>
        </w:rPr>
        <w:t>13</w:t>
      </w:r>
      <w:r w:rsidR="009477D7" w:rsidRPr="00E94CA9">
        <w:rPr>
          <w:rFonts w:cs="Arial"/>
          <w:color w:val="000000" w:themeColor="text1"/>
          <w:sz w:val="22"/>
          <w:szCs w:val="22"/>
        </w:rPr>
        <w:fldChar w:fldCharType="end"/>
      </w:r>
      <w:r w:rsidR="009477D7" w:rsidRPr="00E94CA9">
        <w:rPr>
          <w:rFonts w:cs="Arial"/>
          <w:color w:val="000000" w:themeColor="text1"/>
          <w:sz w:val="22"/>
          <w:szCs w:val="22"/>
        </w:rPr>
        <w:t xml:space="preserve">. </w:t>
      </w:r>
      <w:r w:rsidRPr="00E94CA9">
        <w:rPr>
          <w:rFonts w:cs="Arial"/>
          <w:color w:val="000000" w:themeColor="text1"/>
          <w:sz w:val="22"/>
          <w:szCs w:val="22"/>
        </w:rPr>
        <w:t xml:space="preserve">Of note, </w:t>
      </w:r>
      <w:r w:rsidR="00B5052A" w:rsidRPr="00E94CA9">
        <w:rPr>
          <w:rFonts w:cs="Arial"/>
          <w:color w:val="000000" w:themeColor="text1"/>
          <w:sz w:val="22"/>
          <w:szCs w:val="22"/>
        </w:rPr>
        <w:t xml:space="preserve">whilst </w:t>
      </w:r>
      <w:r w:rsidRPr="00E94CA9">
        <w:rPr>
          <w:rFonts w:cs="Arial"/>
          <w:i/>
          <w:color w:val="000000" w:themeColor="text1"/>
          <w:sz w:val="22"/>
          <w:szCs w:val="22"/>
        </w:rPr>
        <w:t>MYC</w:t>
      </w:r>
      <w:r w:rsidRPr="00E94CA9">
        <w:rPr>
          <w:rFonts w:cs="Arial"/>
          <w:color w:val="000000" w:themeColor="text1"/>
          <w:sz w:val="22"/>
          <w:szCs w:val="22"/>
        </w:rPr>
        <w:t xml:space="preserve"> was identified as a resistance driver in our screen</w:t>
      </w:r>
      <w:r w:rsidR="00B8416B" w:rsidRPr="00E94CA9">
        <w:rPr>
          <w:rFonts w:cs="Arial"/>
          <w:color w:val="000000" w:themeColor="text1"/>
          <w:sz w:val="22"/>
          <w:szCs w:val="22"/>
        </w:rPr>
        <w:t>,</w:t>
      </w:r>
      <w:r w:rsidRPr="00E94CA9">
        <w:rPr>
          <w:rFonts w:cs="Arial"/>
          <w:color w:val="000000" w:themeColor="text1"/>
          <w:sz w:val="22"/>
          <w:szCs w:val="22"/>
        </w:rPr>
        <w:t xml:space="preserve"> </w:t>
      </w:r>
      <w:r w:rsidR="0053783F" w:rsidRPr="00E94CA9">
        <w:rPr>
          <w:rFonts w:cs="Arial"/>
          <w:color w:val="000000" w:themeColor="text1"/>
          <w:sz w:val="22"/>
          <w:szCs w:val="22"/>
        </w:rPr>
        <w:t xml:space="preserve">neither </w:t>
      </w:r>
      <w:r w:rsidRPr="00E94CA9">
        <w:rPr>
          <w:rFonts w:cs="Arial"/>
          <w:i/>
          <w:color w:val="000000" w:themeColor="text1"/>
          <w:sz w:val="22"/>
          <w:szCs w:val="22"/>
        </w:rPr>
        <w:t>MYCN</w:t>
      </w:r>
      <w:r w:rsidRPr="00E94CA9">
        <w:rPr>
          <w:rFonts w:cs="Arial"/>
          <w:color w:val="000000" w:themeColor="text1"/>
          <w:sz w:val="22"/>
          <w:szCs w:val="22"/>
        </w:rPr>
        <w:t xml:space="preserve"> </w:t>
      </w:r>
      <w:r w:rsidR="0053783F" w:rsidRPr="00E94CA9">
        <w:rPr>
          <w:rFonts w:cs="Arial"/>
          <w:color w:val="000000" w:themeColor="text1"/>
          <w:sz w:val="22"/>
          <w:szCs w:val="22"/>
        </w:rPr>
        <w:t xml:space="preserve">nor </w:t>
      </w:r>
      <w:r w:rsidR="0053783F" w:rsidRPr="00E94CA9">
        <w:rPr>
          <w:rFonts w:cs="Arial"/>
          <w:i/>
          <w:color w:val="000000" w:themeColor="text1"/>
          <w:sz w:val="22"/>
          <w:szCs w:val="22"/>
        </w:rPr>
        <w:t>AXL</w:t>
      </w:r>
      <w:r w:rsidR="0053783F" w:rsidRPr="00E94CA9">
        <w:rPr>
          <w:rFonts w:cs="Arial"/>
          <w:color w:val="000000" w:themeColor="text1"/>
          <w:sz w:val="22"/>
          <w:szCs w:val="22"/>
        </w:rPr>
        <w:t xml:space="preserve"> </w:t>
      </w:r>
      <w:r w:rsidRPr="00E94CA9">
        <w:rPr>
          <w:rFonts w:cs="Arial"/>
          <w:color w:val="000000" w:themeColor="text1"/>
          <w:sz w:val="22"/>
          <w:szCs w:val="22"/>
        </w:rPr>
        <w:t>w</w:t>
      </w:r>
      <w:r w:rsidR="0053783F" w:rsidRPr="00E94CA9">
        <w:rPr>
          <w:rFonts w:cs="Arial"/>
          <w:color w:val="000000" w:themeColor="text1"/>
          <w:sz w:val="22"/>
          <w:szCs w:val="22"/>
        </w:rPr>
        <w:t>ere</w:t>
      </w:r>
      <w:r w:rsidRPr="00E94CA9">
        <w:rPr>
          <w:rFonts w:cs="Arial"/>
          <w:color w:val="000000" w:themeColor="text1"/>
          <w:sz w:val="22"/>
          <w:szCs w:val="22"/>
        </w:rPr>
        <w:t xml:space="preserve"> among the resistance driver candidates identified. This may be due to insufficient overexpression of </w:t>
      </w:r>
      <w:r w:rsidRPr="00E94CA9">
        <w:rPr>
          <w:rFonts w:cs="Arial"/>
          <w:i/>
          <w:color w:val="000000" w:themeColor="text1"/>
          <w:sz w:val="22"/>
          <w:szCs w:val="22"/>
        </w:rPr>
        <w:t>MYCN</w:t>
      </w:r>
      <w:r w:rsidRPr="00E94CA9">
        <w:rPr>
          <w:rFonts w:cs="Arial"/>
          <w:color w:val="000000" w:themeColor="text1"/>
          <w:sz w:val="22"/>
          <w:szCs w:val="22"/>
        </w:rPr>
        <w:t xml:space="preserve"> </w:t>
      </w:r>
      <w:r w:rsidR="0053783F" w:rsidRPr="00E94CA9">
        <w:rPr>
          <w:rFonts w:cs="Arial"/>
          <w:color w:val="000000" w:themeColor="text1"/>
          <w:sz w:val="22"/>
          <w:szCs w:val="22"/>
        </w:rPr>
        <w:t xml:space="preserve">or AXL </w:t>
      </w:r>
      <w:r w:rsidRPr="00E94CA9">
        <w:rPr>
          <w:rFonts w:cs="Arial"/>
          <w:color w:val="000000" w:themeColor="text1"/>
          <w:sz w:val="22"/>
          <w:szCs w:val="22"/>
        </w:rPr>
        <w:t xml:space="preserve">induced by </w:t>
      </w:r>
      <w:r w:rsidR="0053783F" w:rsidRPr="00E94CA9">
        <w:rPr>
          <w:rFonts w:cs="Arial"/>
          <w:color w:val="000000" w:themeColor="text1"/>
          <w:sz w:val="22"/>
          <w:szCs w:val="22"/>
        </w:rPr>
        <w:t xml:space="preserve">the </w:t>
      </w:r>
      <w:r w:rsidRPr="00E94CA9">
        <w:rPr>
          <w:rFonts w:cs="Arial"/>
          <w:color w:val="000000" w:themeColor="text1"/>
          <w:sz w:val="22"/>
          <w:szCs w:val="22"/>
        </w:rPr>
        <w:t>CRISPR-</w:t>
      </w:r>
      <w:r w:rsidR="0071559F">
        <w:rPr>
          <w:rFonts w:cs="Arial"/>
          <w:color w:val="000000" w:themeColor="text1"/>
          <w:sz w:val="22"/>
          <w:szCs w:val="22"/>
        </w:rPr>
        <w:t>SAM</w:t>
      </w:r>
      <w:r w:rsidRPr="00E94CA9">
        <w:rPr>
          <w:rFonts w:cs="Arial"/>
          <w:color w:val="000000" w:themeColor="text1"/>
          <w:sz w:val="22"/>
          <w:szCs w:val="22"/>
        </w:rPr>
        <w:t xml:space="preserve"> </w:t>
      </w:r>
      <w:r w:rsidR="0071559F">
        <w:rPr>
          <w:rFonts w:cs="Arial"/>
          <w:color w:val="000000" w:themeColor="text1"/>
          <w:sz w:val="22"/>
          <w:szCs w:val="22"/>
        </w:rPr>
        <w:t>system</w:t>
      </w:r>
      <w:r w:rsidRPr="00E94CA9">
        <w:rPr>
          <w:rFonts w:cs="Arial"/>
          <w:color w:val="000000" w:themeColor="text1"/>
          <w:sz w:val="22"/>
          <w:szCs w:val="22"/>
        </w:rPr>
        <w:t xml:space="preserve"> as variable overexpression levels were observed for different genes in our study.</w:t>
      </w:r>
      <w:bookmarkEnd w:id="6"/>
      <w:r w:rsidRPr="00E94CA9">
        <w:rPr>
          <w:rFonts w:cs="Arial"/>
          <w:color w:val="000000" w:themeColor="text1"/>
          <w:sz w:val="22"/>
          <w:szCs w:val="22"/>
        </w:rPr>
        <w:t xml:space="preserve"> </w:t>
      </w:r>
      <w:r w:rsidR="0053783F" w:rsidRPr="00E94CA9">
        <w:rPr>
          <w:rFonts w:cs="Arial"/>
          <w:color w:val="000000" w:themeColor="text1"/>
          <w:sz w:val="22"/>
          <w:szCs w:val="22"/>
        </w:rPr>
        <w:t xml:space="preserve">Ultimately, the </w:t>
      </w:r>
      <w:r w:rsidR="0053783F" w:rsidRPr="00E94CA9">
        <w:rPr>
          <w:rFonts w:cs="Arial"/>
          <w:i/>
          <w:color w:val="000000" w:themeColor="text1"/>
          <w:sz w:val="22"/>
          <w:szCs w:val="22"/>
        </w:rPr>
        <w:t>in vitro</w:t>
      </w:r>
      <w:r w:rsidR="0053783F" w:rsidRPr="00E94CA9">
        <w:rPr>
          <w:rFonts w:cs="Arial"/>
          <w:color w:val="000000" w:themeColor="text1"/>
          <w:sz w:val="22"/>
          <w:szCs w:val="22"/>
        </w:rPr>
        <w:t xml:space="preserve"> studies conducted to date are potentially predictive of resistance mechanisms in patients but until more children with NB have been treated with ALK inhibitors and biopsy material is taken for study at relapse, CRISPR screens, whil</w:t>
      </w:r>
      <w:r w:rsidR="0071559F">
        <w:rPr>
          <w:rFonts w:cs="Arial"/>
          <w:color w:val="000000" w:themeColor="text1"/>
          <w:sz w:val="22"/>
          <w:szCs w:val="22"/>
        </w:rPr>
        <w:t>e</w:t>
      </w:r>
      <w:r w:rsidR="0053783F" w:rsidRPr="00E94CA9">
        <w:rPr>
          <w:rFonts w:cs="Arial"/>
          <w:color w:val="000000" w:themeColor="text1"/>
          <w:sz w:val="22"/>
          <w:szCs w:val="22"/>
        </w:rPr>
        <w:t xml:space="preserve"> having their caveats</w:t>
      </w:r>
      <w:r w:rsidR="0071559F">
        <w:rPr>
          <w:rFonts w:cs="Arial"/>
          <w:color w:val="000000" w:themeColor="text1"/>
          <w:sz w:val="22"/>
          <w:szCs w:val="22"/>
        </w:rPr>
        <w:t>,</w:t>
      </w:r>
      <w:r w:rsidR="0053783F" w:rsidRPr="00E94CA9">
        <w:rPr>
          <w:rFonts w:cs="Arial"/>
          <w:color w:val="000000" w:themeColor="text1"/>
          <w:sz w:val="22"/>
          <w:szCs w:val="22"/>
        </w:rPr>
        <w:t xml:space="preserve"> offer the best approach for global, unbiased </w:t>
      </w:r>
      <w:r w:rsidR="0071559F">
        <w:rPr>
          <w:rFonts w:cs="Arial"/>
          <w:color w:val="000000" w:themeColor="text1"/>
          <w:sz w:val="22"/>
          <w:szCs w:val="22"/>
        </w:rPr>
        <w:t>identification of</w:t>
      </w:r>
      <w:r w:rsidR="0053783F" w:rsidRPr="00E94CA9">
        <w:rPr>
          <w:rFonts w:cs="Arial"/>
          <w:color w:val="000000" w:themeColor="text1"/>
          <w:sz w:val="22"/>
          <w:szCs w:val="22"/>
        </w:rPr>
        <w:t xml:space="preserve"> resistance mechanisms. </w:t>
      </w:r>
      <w:proofErr w:type="spellStart"/>
      <w:r w:rsidR="0071559F">
        <w:rPr>
          <w:rFonts w:cs="Arial"/>
          <w:color w:val="000000" w:themeColor="text1"/>
          <w:sz w:val="22"/>
          <w:szCs w:val="22"/>
        </w:rPr>
        <w:t>CRISPR</w:t>
      </w:r>
      <w:r w:rsidR="00BD0299">
        <w:rPr>
          <w:rFonts w:cs="Arial"/>
          <w:color w:val="000000" w:themeColor="text1"/>
          <w:sz w:val="22"/>
          <w:szCs w:val="22"/>
        </w:rPr>
        <w:t>a</w:t>
      </w:r>
      <w:proofErr w:type="spellEnd"/>
      <w:r w:rsidR="00BD0299">
        <w:rPr>
          <w:rFonts w:cs="Arial"/>
          <w:color w:val="000000" w:themeColor="text1"/>
          <w:sz w:val="22"/>
          <w:szCs w:val="22"/>
        </w:rPr>
        <w:t xml:space="preserve"> </w:t>
      </w:r>
      <w:r w:rsidR="005033EF" w:rsidRPr="00E94CA9">
        <w:rPr>
          <w:rFonts w:cs="Arial"/>
          <w:sz w:val="22"/>
          <w:szCs w:val="22"/>
        </w:rPr>
        <w:t xml:space="preserve">screens were conducted, employing the second-generation ALK inhibitors </w:t>
      </w:r>
      <w:proofErr w:type="spellStart"/>
      <w:r w:rsidR="005033EF" w:rsidRPr="00E94CA9">
        <w:rPr>
          <w:rFonts w:cs="Arial"/>
          <w:sz w:val="22"/>
          <w:szCs w:val="22"/>
        </w:rPr>
        <w:t>brigatinib</w:t>
      </w:r>
      <w:proofErr w:type="spellEnd"/>
      <w:r w:rsidR="005033EF" w:rsidRPr="00E94CA9">
        <w:rPr>
          <w:rFonts w:cs="Arial"/>
          <w:sz w:val="22"/>
          <w:szCs w:val="22"/>
        </w:rPr>
        <w:t xml:space="preserve"> and </w:t>
      </w:r>
      <w:proofErr w:type="spellStart"/>
      <w:r w:rsidR="005033EF" w:rsidRPr="00E94CA9">
        <w:rPr>
          <w:rFonts w:cs="Arial"/>
          <w:sz w:val="22"/>
          <w:szCs w:val="22"/>
        </w:rPr>
        <w:t>ceritinib</w:t>
      </w:r>
      <w:proofErr w:type="spellEnd"/>
      <w:r w:rsidR="005033EF" w:rsidRPr="00E94CA9">
        <w:rPr>
          <w:rFonts w:cs="Arial"/>
          <w:sz w:val="22"/>
          <w:szCs w:val="22"/>
        </w:rPr>
        <w:t xml:space="preserve"> at both ED</w:t>
      </w:r>
      <w:r w:rsidR="005033EF" w:rsidRPr="00E94CA9">
        <w:rPr>
          <w:rFonts w:cs="Arial"/>
          <w:sz w:val="22"/>
          <w:szCs w:val="22"/>
          <w:vertAlign w:val="subscript"/>
        </w:rPr>
        <w:t>50</w:t>
      </w:r>
      <w:r w:rsidR="005033EF" w:rsidRPr="00E94CA9">
        <w:rPr>
          <w:rFonts w:cs="Arial"/>
          <w:sz w:val="22"/>
          <w:szCs w:val="22"/>
        </w:rPr>
        <w:t xml:space="preserve"> and ED</w:t>
      </w:r>
      <w:r w:rsidR="005033EF" w:rsidRPr="00E94CA9">
        <w:rPr>
          <w:rFonts w:cs="Arial"/>
          <w:sz w:val="22"/>
          <w:szCs w:val="22"/>
          <w:vertAlign w:val="subscript"/>
        </w:rPr>
        <w:t>75</w:t>
      </w:r>
      <w:r w:rsidR="005033EF" w:rsidRPr="00E94CA9">
        <w:rPr>
          <w:rFonts w:cs="Arial"/>
          <w:sz w:val="22"/>
          <w:szCs w:val="22"/>
        </w:rPr>
        <w:t xml:space="preserve"> concentrations to enable discrimination between potential </w:t>
      </w:r>
      <w:r w:rsidR="0071559F">
        <w:rPr>
          <w:rFonts w:cs="Arial"/>
          <w:sz w:val="22"/>
          <w:szCs w:val="22"/>
        </w:rPr>
        <w:t xml:space="preserve">compound- and </w:t>
      </w:r>
      <w:r w:rsidR="005033EF" w:rsidRPr="00E94CA9">
        <w:rPr>
          <w:rFonts w:cs="Arial"/>
          <w:sz w:val="22"/>
          <w:szCs w:val="22"/>
        </w:rPr>
        <w:t>concentration-dependent resistance mechanisms. As expected, we observed the greatest number of resistance genes at the higher (ED</w:t>
      </w:r>
      <w:r w:rsidR="005033EF" w:rsidRPr="00E94CA9">
        <w:rPr>
          <w:rFonts w:cs="Arial"/>
          <w:sz w:val="22"/>
          <w:szCs w:val="22"/>
          <w:vertAlign w:val="subscript"/>
        </w:rPr>
        <w:t>75</w:t>
      </w:r>
      <w:r w:rsidR="005033EF" w:rsidRPr="00E94CA9">
        <w:rPr>
          <w:rFonts w:cs="Arial"/>
          <w:sz w:val="22"/>
          <w:szCs w:val="22"/>
        </w:rPr>
        <w:t xml:space="preserve">) concentrations of </w:t>
      </w:r>
      <w:proofErr w:type="spellStart"/>
      <w:r w:rsidR="005033EF" w:rsidRPr="00E94CA9">
        <w:rPr>
          <w:rFonts w:cs="Arial"/>
          <w:sz w:val="22"/>
          <w:szCs w:val="22"/>
        </w:rPr>
        <w:t>brigatinib</w:t>
      </w:r>
      <w:proofErr w:type="spellEnd"/>
      <w:r w:rsidR="005033EF" w:rsidRPr="00E94CA9">
        <w:rPr>
          <w:rFonts w:cs="Arial"/>
          <w:sz w:val="22"/>
          <w:szCs w:val="22"/>
        </w:rPr>
        <w:t xml:space="preserve"> and </w:t>
      </w:r>
      <w:proofErr w:type="spellStart"/>
      <w:r w:rsidR="005033EF" w:rsidRPr="00E94CA9">
        <w:rPr>
          <w:rFonts w:cs="Arial"/>
          <w:sz w:val="22"/>
          <w:szCs w:val="22"/>
        </w:rPr>
        <w:t>ceritinib</w:t>
      </w:r>
      <w:proofErr w:type="spellEnd"/>
      <w:r w:rsidR="005033EF" w:rsidRPr="00E94CA9">
        <w:rPr>
          <w:rFonts w:cs="Arial"/>
          <w:sz w:val="22"/>
          <w:szCs w:val="22"/>
        </w:rPr>
        <w:t xml:space="preserve"> in SH-SY5Y </w:t>
      </w:r>
      <w:r w:rsidR="0053783F" w:rsidRPr="00E94CA9">
        <w:rPr>
          <w:rFonts w:cs="Arial"/>
          <w:sz w:val="22"/>
          <w:szCs w:val="22"/>
        </w:rPr>
        <w:t xml:space="preserve">and CHLA-20 </w:t>
      </w:r>
      <w:r w:rsidR="005033EF" w:rsidRPr="00E94CA9">
        <w:rPr>
          <w:rFonts w:cs="Arial"/>
          <w:sz w:val="22"/>
          <w:szCs w:val="22"/>
        </w:rPr>
        <w:t>cells. Distinct sets of resistance genes were observed amongst different concentrations of ALK inhibitors, with only three genes (</w:t>
      </w:r>
      <w:r w:rsidR="005033EF" w:rsidRPr="00E94CA9">
        <w:rPr>
          <w:rFonts w:cs="Arial"/>
          <w:i/>
          <w:sz w:val="22"/>
          <w:szCs w:val="22"/>
        </w:rPr>
        <w:t>MET</w:t>
      </w:r>
      <w:r w:rsidR="005033EF" w:rsidRPr="00E94CA9">
        <w:rPr>
          <w:rFonts w:cs="Arial"/>
          <w:sz w:val="22"/>
          <w:szCs w:val="22"/>
        </w:rPr>
        <w:t xml:space="preserve">, </w:t>
      </w:r>
      <w:r w:rsidR="005033EF" w:rsidRPr="00E94CA9">
        <w:rPr>
          <w:rFonts w:cs="Arial"/>
          <w:i/>
          <w:sz w:val="22"/>
          <w:szCs w:val="22"/>
        </w:rPr>
        <w:t>PIM1</w:t>
      </w:r>
      <w:r w:rsidR="005033EF" w:rsidRPr="00E94CA9">
        <w:rPr>
          <w:rFonts w:cs="Arial"/>
          <w:sz w:val="22"/>
          <w:szCs w:val="22"/>
        </w:rPr>
        <w:t xml:space="preserve"> and </w:t>
      </w:r>
      <w:r w:rsidR="005033EF" w:rsidRPr="00E94CA9">
        <w:rPr>
          <w:rFonts w:cs="Arial"/>
          <w:i/>
          <w:sz w:val="22"/>
          <w:szCs w:val="22"/>
        </w:rPr>
        <w:t>SAGE1</w:t>
      </w:r>
      <w:r w:rsidR="005033EF" w:rsidRPr="00E94CA9">
        <w:rPr>
          <w:rFonts w:cs="Arial"/>
          <w:sz w:val="22"/>
          <w:szCs w:val="22"/>
        </w:rPr>
        <w:t>) common to both inhibitors at both ED</w:t>
      </w:r>
      <w:r w:rsidR="005033EF" w:rsidRPr="00E94CA9">
        <w:rPr>
          <w:rFonts w:cs="Arial"/>
          <w:sz w:val="22"/>
          <w:szCs w:val="22"/>
          <w:vertAlign w:val="subscript"/>
        </w:rPr>
        <w:t>50</w:t>
      </w:r>
      <w:r w:rsidR="005033EF" w:rsidRPr="00E94CA9">
        <w:rPr>
          <w:rFonts w:cs="Arial"/>
          <w:sz w:val="22"/>
          <w:szCs w:val="22"/>
        </w:rPr>
        <w:t xml:space="preserve"> and ED</w:t>
      </w:r>
      <w:r w:rsidR="005033EF" w:rsidRPr="00E94CA9">
        <w:rPr>
          <w:rFonts w:cs="Arial"/>
          <w:sz w:val="22"/>
          <w:szCs w:val="22"/>
          <w:vertAlign w:val="subscript"/>
        </w:rPr>
        <w:t>75</w:t>
      </w:r>
      <w:r w:rsidR="005033EF" w:rsidRPr="00E94CA9">
        <w:rPr>
          <w:rFonts w:cs="Arial"/>
          <w:sz w:val="22"/>
          <w:szCs w:val="22"/>
        </w:rPr>
        <w:t xml:space="preserve"> concentrations. Activation of c-MET has previously been shown to confer resistance to </w:t>
      </w:r>
      <w:proofErr w:type="spellStart"/>
      <w:r w:rsidR="005033EF" w:rsidRPr="00E94CA9">
        <w:rPr>
          <w:rFonts w:cs="Arial"/>
          <w:sz w:val="22"/>
          <w:szCs w:val="22"/>
        </w:rPr>
        <w:t>alectinib</w:t>
      </w:r>
      <w:proofErr w:type="spellEnd"/>
      <w:r w:rsidR="005033EF" w:rsidRPr="00E94CA9">
        <w:rPr>
          <w:rFonts w:cs="Arial"/>
          <w:sz w:val="22"/>
          <w:szCs w:val="22"/>
        </w:rPr>
        <w:t xml:space="preserve"> in ALK-positive NSCLC</w:t>
      </w:r>
      <w:r w:rsidR="009477D7" w:rsidRPr="00E94CA9">
        <w:rPr>
          <w:rFonts w:cs="Arial"/>
          <w:sz w:val="22"/>
          <w:szCs w:val="22"/>
        </w:rPr>
        <w:fldChar w:fldCharType="begin" w:fldLock="1"/>
      </w:r>
      <w:r w:rsidR="00394C69">
        <w:rPr>
          <w:rFonts w:cs="Arial"/>
          <w:sz w:val="22"/>
          <w:szCs w:val="22"/>
        </w:rPr>
        <w:instrText>ADDIN CSL_CITATION {"citationItems":[{"id":"ITEM-1","itemData":{"DOI":"10.3892/ijo.2014.2797","ISBN":"1791-2423 (Electronic)\r1019-6439 (Linking)","PMID":"25502629","abstract":"Non-small cell lung cancer (NSCLC) carrying echinoderm microtubule-associated protein-like 4 (EML4)-anaplastic lymphoma kinase (ALK) rearrangements is hypersensitive to ALK inhibitors, including crizotinib and alectinib. Crizotinib was initially designed as a MET inhibitor, whereas alectinib is a selective ALK inhibitor. The MET signal, which is inhibited by crizotinib but not by alectinib, is dysregulated in many human cancers. However, the role of the MET signal in ALK-positive NSCLC remains unclear. In this study, we found that hepatocyte growth factor (HGF), ligand of MET, mediated the resistance to alectinib, but not to crizotinib, via the MET signal in ALK-positive NSCLC cell lines (H3122 and H2228 cell lines). In addition, alectinib activated the MET signal even in the absence of HGF and the inhibition of the MET signal enhanced the efficacy of alectinib. These findings suggest that activated MET acts as a salvage signal in ALK-positive NSCLC. This novel role of the MET signal in ALK-positive NSCLC may pave the way for further clinical trials examining MET inhibitors.","author":[{"dropping-particle":"","family":"Kogita","given":"A","non-dropping-particle":"","parse-names":false,"suffix":""},{"dropping-particle":"","family":"Togashi","given":"Y","non-dropping-particle":"","parse-names":false,"suffix":""},{"dropping-particle":"","family":"Hayashi","given":"H","non-dropping-particle":"","parse-names":false,"suffix":""},{"dropping-particle":"","family":"Banno","given":"E","non-dropping-particle":"","parse-names":false,"suffix":""},{"dropping-particle":"","family":"Terashima","given":"M","non-dropping-particle":"","parse-names":false,"suffix":""},{"dropping-particle":"","family":"Velasco","given":"M A","non-dropping-particle":"De","parse-names":false,"suffix":""},{"dropping-particle":"","family":"Sakai","given":"K","non-dropping-particle":"","parse-names":false,"suffix":""},{"dropping-particle":"","family":"Fujita","given":"Y","non-dropping-particle":"","parse-names":false,"suffix":""},{"dropping-particle":"","family":"Tomida","given":"S","non-dropping-particle":"","parse-names":false,"suffix":""},{"dropping-particle":"","family":"Takeyama","given":"Y","non-dropping-particle":"","parse-names":false,"suffix":""},{"dropping-particle":"","family":"Okuno","given":"K","non-dropping-particle":"","parse-names":false,"suffix":""},{"dropping-particle":"","family":"Nakagawa","given":"K","non-dropping-particle":"","parse-names":false,"suffix":""},{"dropping-particle":"","family":"Nishio","given":"K","non-dropping-particle":"","parse-names":false,"suffix":""}],"container-title":"Int J Oncol","id":"ITEM-1","issue":"3","issued":{"date-parts":[["2015"]]},"note":"Kogita, Akihiro\nTogashi, Yosuke\nHayashi, Hidetoshi\nBanno, Eri\nTerashima, Masato\nDe Velasco, Marco A\nSakai, Kazuko\nFujita, Yoshihiko\nTomida, Shuta\nTakeyama, Yoshifumi\nOkuno, Kiyotaka\nNakagawa, Kazuhiko\nNishio, Kazuto\neng\nResearch Support, Non-U.S. Gov't\nGreece\n2014/12/17 06:00\nInt J Oncol. 2015 Mar;46(3):1025-30. doi: 10.3892/ijo.2014.2797. Epub 2014 Dec 15.","page":"1025-1030","title":"Activated MET acts as a salvage signal after treatment with alectinib, a selective ALK inhibitor, in ALK-positive non-small cell lung cancer","type":"article-journal","volume":"46"},"uris":["http://www.mendeley.com/documents/?uuid=9eb02c0b-2a65-4ea8-8362-2052dc17c3ee","http://www.mendeley.com/documents/?uuid=5067c21c-bce6-4877-bb1f-b5954d3c5a09"]}],"mendeley":{"formattedCitation":"&lt;sup&gt;31&lt;/sup&gt;","plainTextFormattedCitation":"31","previouslyFormattedCitation":"&lt;sup&gt;31&lt;/sup&gt;"},"properties":{"noteIndex":0},"schema":"https://github.com/citation-style-language/schema/raw/master/csl-citation.json"}</w:instrText>
      </w:r>
      <w:r w:rsidR="009477D7" w:rsidRPr="00E94CA9">
        <w:rPr>
          <w:rFonts w:cs="Arial"/>
          <w:sz w:val="22"/>
          <w:szCs w:val="22"/>
        </w:rPr>
        <w:fldChar w:fldCharType="separate"/>
      </w:r>
      <w:r w:rsidR="00542124" w:rsidRPr="00E94CA9">
        <w:rPr>
          <w:rFonts w:cs="Arial"/>
          <w:noProof/>
          <w:sz w:val="22"/>
          <w:szCs w:val="22"/>
          <w:vertAlign w:val="superscript"/>
        </w:rPr>
        <w:t>31</w:t>
      </w:r>
      <w:r w:rsidR="009477D7" w:rsidRPr="00E94CA9">
        <w:rPr>
          <w:rFonts w:cs="Arial"/>
          <w:sz w:val="22"/>
          <w:szCs w:val="22"/>
        </w:rPr>
        <w:fldChar w:fldCharType="end"/>
      </w:r>
      <w:r w:rsidR="005033EF" w:rsidRPr="00E94CA9">
        <w:rPr>
          <w:rFonts w:cs="Arial"/>
          <w:sz w:val="22"/>
          <w:szCs w:val="22"/>
        </w:rPr>
        <w:fldChar w:fldCharType="begin"/>
      </w:r>
      <w:r w:rsidR="005033EF" w:rsidRPr="00E94CA9">
        <w:rPr>
          <w:rFonts w:cs="Arial"/>
          <w:sz w:val="22"/>
          <w:szCs w:val="22"/>
        </w:rPr>
        <w:instrText>ADDIN EN.CITE</w:instrText>
      </w:r>
      <w:r w:rsidR="005033EF" w:rsidRPr="00E94CA9">
        <w:rPr>
          <w:rFonts w:cs="Arial"/>
          <w:sz w:val="22"/>
          <w:szCs w:val="22"/>
        </w:rPr>
        <w:fldChar w:fldCharType="end"/>
      </w:r>
      <w:r w:rsidR="005033EF" w:rsidRPr="00E94CA9">
        <w:rPr>
          <w:rFonts w:cs="Arial"/>
          <w:sz w:val="22"/>
          <w:szCs w:val="22"/>
        </w:rPr>
        <w:t xml:space="preserve">, consistent with a partial functional redundancy of c-MET and ALK due to convergence on several pro-survival </w:t>
      </w:r>
      <w:proofErr w:type="spellStart"/>
      <w:r w:rsidR="005033EF" w:rsidRPr="00E94CA9">
        <w:rPr>
          <w:rFonts w:cs="Arial"/>
          <w:sz w:val="22"/>
          <w:szCs w:val="22"/>
        </w:rPr>
        <w:t>signaling</w:t>
      </w:r>
      <w:proofErr w:type="spellEnd"/>
      <w:r w:rsidR="005033EF" w:rsidRPr="00E94CA9">
        <w:rPr>
          <w:rFonts w:cs="Arial"/>
          <w:sz w:val="22"/>
          <w:szCs w:val="22"/>
        </w:rPr>
        <w:t xml:space="preserve"> pathways</w:t>
      </w:r>
      <w:r w:rsidR="009477D7" w:rsidRPr="00E94CA9">
        <w:rPr>
          <w:rFonts w:cs="Arial"/>
          <w:sz w:val="22"/>
          <w:szCs w:val="22"/>
        </w:rPr>
        <w:fldChar w:fldCharType="begin" w:fldLock="1"/>
      </w:r>
      <w:r w:rsidR="00394C69">
        <w:rPr>
          <w:rFonts w:cs="Arial"/>
          <w:sz w:val="22"/>
          <w:szCs w:val="22"/>
        </w:rPr>
        <w:instrText>ADDIN CSL_CITATION {"citationItems":[{"id":"ITEM-1","itemData":{"DOI":"10.3390/cancers10030062","ISBN":"2072-6694 (Print)\r2072-6694 (Linking)","PMID":"29495603","abstract":"Anaplastic lymphoma kinase (ALK) is a validated molecular target in several ALK-rearranged malignancies, particularly in non-small-cell lung cancer (NSCLC), which has generated considerable interest and effort in developing ALK tyrosine kinase inhibitors (TKI). Crizotinib was the first ALK inhibitor to receive FDA approval for ALK-positive NSCLC patients treatment. However, the clinical benefit observed in targeting ALK in NSCLC is almost universally limited by the emergence of drug resistance with a median of occurrence of approximately 10 months after the initiation of therapy. Thus, to overcome crizotinib resistance, second/third-generation ALK inhibitors have been developed and received, or are close to receiving, FDA approval. However, even when treated with these new inhibitors tumors became resistant, both in vitro and in clinical settings. The elucidation of the diverse mechanisms through which resistance to ALK TKI emerges, has informed the design of novel therapeutic strategies to improve patients disease outcome. This review summarizes the currently available knowledge regarding ALK physiologic function/structure and neoplastic transforming role, as well as an update on ALK inhibitors and resistance mechanisms along with possible therapeutic strategies that may overcome the development of resistance.","author":[{"dropping-particle":"","family":"Sharma","given":"G G","non-dropping-particle":"","parse-names":false,"suffix":""},{"dropping-particle":"","family":"Mota","given":"I","non-dropping-particle":"","parse-names":false,"suffix":""},{"dropping-particle":"","family":"Mologni","given":"L","non-dropping-particle":"","parse-names":false,"suffix":""},{"dropping-particle":"","family":"Patrucco","given":"E","non-dropping-particle":"","parse-names":false,"suffix":""},{"dropping-particle":"","family":"Gambacorti-Passerini","given":"C","non-dropping-particle":"","parse-names":false,"suffix":""},{"dropping-particle":"","family":"Chiarle","given":"R","non-dropping-particle":"","parse-names":false,"suffix":""}],"container-title":"Cancers (Basel)","id":"ITEM-1","issue":"3","issued":{"date-parts":[["2018"]]},"note":"Sharma, Geeta Geeta\nMota, Ines\nMologni, Luca\nPatrucco, Enrico\nGambacorti-Passerini, Carlo\nChiarle, Roberto\neng\nR01 CA196703/CA/NCI NIH HHS/\nReview\nSwitzerland\n2018/03/03 06:00\nCancers (Basel). 2018 Feb 28;10(3). pii: cancers10030062. doi: 10.3390/cancers10030062.","title":"Tumor Resistance against ALK Targeted Therapy-Where It Comes From and Where It Goes","type":"article-journal","volume":"10"},"uris":["http://www.mendeley.com/documents/?uuid=0bf88e8e-2506-4179-ba11-b1c823735cd8","http://www.mendeley.com/documents/?uuid=2da1ee07-3130-4cc7-b098-e163c667babe"]}],"mendeley":{"formattedCitation":"&lt;sup&gt;20&lt;/sup&gt;","plainTextFormattedCitation":"20","previouslyFormattedCitation":"&lt;sup&gt;20&lt;/sup&gt;"},"properties":{"noteIndex":0},"schema":"https://github.com/citation-style-language/schema/raw/master/csl-citation.json"}</w:instrText>
      </w:r>
      <w:r w:rsidR="009477D7" w:rsidRPr="00E94CA9">
        <w:rPr>
          <w:rFonts w:cs="Arial"/>
          <w:sz w:val="22"/>
          <w:szCs w:val="22"/>
        </w:rPr>
        <w:fldChar w:fldCharType="separate"/>
      </w:r>
      <w:r w:rsidR="00542124" w:rsidRPr="00E94CA9">
        <w:rPr>
          <w:rFonts w:cs="Arial"/>
          <w:noProof/>
          <w:sz w:val="22"/>
          <w:szCs w:val="22"/>
          <w:vertAlign w:val="superscript"/>
        </w:rPr>
        <w:t>20</w:t>
      </w:r>
      <w:r w:rsidR="009477D7" w:rsidRPr="00E94CA9">
        <w:rPr>
          <w:rFonts w:cs="Arial"/>
          <w:sz w:val="22"/>
          <w:szCs w:val="22"/>
        </w:rPr>
        <w:fldChar w:fldCharType="end"/>
      </w:r>
      <w:r w:rsidR="005033EF" w:rsidRPr="00E94CA9">
        <w:rPr>
          <w:rFonts w:cs="Arial"/>
          <w:sz w:val="22"/>
          <w:szCs w:val="22"/>
        </w:rPr>
        <w:fldChar w:fldCharType="begin"/>
      </w:r>
      <w:r w:rsidR="005033EF" w:rsidRPr="00E94CA9">
        <w:rPr>
          <w:rFonts w:cs="Arial"/>
          <w:sz w:val="22"/>
          <w:szCs w:val="22"/>
        </w:rPr>
        <w:instrText>ADDIN EN.CITE</w:instrText>
      </w:r>
      <w:r w:rsidR="005033EF" w:rsidRPr="00E94CA9">
        <w:rPr>
          <w:rFonts w:cs="Arial"/>
          <w:sz w:val="22"/>
          <w:szCs w:val="22"/>
        </w:rPr>
        <w:fldChar w:fldCharType="end"/>
      </w:r>
      <w:r w:rsidR="005033EF" w:rsidRPr="00E94CA9">
        <w:rPr>
          <w:rFonts w:cs="Arial"/>
          <w:sz w:val="22"/>
          <w:szCs w:val="22"/>
        </w:rPr>
        <w:t>. PIM1 is a serine/threonine kinase, the expression of which is controlled by the JAK/STAT pathway, and has also been associated with resistance to chemotherapy</w:t>
      </w:r>
      <w:r w:rsidR="009477D7" w:rsidRPr="00E94CA9">
        <w:rPr>
          <w:rFonts w:cs="Arial"/>
          <w:sz w:val="22"/>
          <w:szCs w:val="22"/>
        </w:rPr>
        <w:fldChar w:fldCharType="begin" w:fldLock="1"/>
      </w:r>
      <w:r w:rsidR="00394C69">
        <w:rPr>
          <w:rFonts w:cs="Arial"/>
          <w:sz w:val="22"/>
          <w:szCs w:val="22"/>
        </w:rPr>
        <w:instrText>ADDIN CSL_CITATION {"citationItems":[{"id":"ITEM-1","itemData":{"DOI":"10.1038/sj.onc.1209058","ISBN":"0950-9232 (Print)\r0950-9232 (Linking)","PMID":"16186805","abstract":"Protein kinase Pim-1 has been implicated in the development of hematopoietic and prostatic malignancies. Here, we present the evidence that two isoforms, the 44 and 33 kDa Pim-1, are expressed in all human prostate cancer cell lines examined. The subcellular localization of human 44 kDa Pim-1 is primarily on the plasma membrane, while the 33 kDa isoform is present in both the cytosol and nucleus in PCA cells. The 44 kDa Pim-1 contains the proline-rich motif at the N-terminus and directly binds to the SH3 domain of tyrosine kinase Etk. Such interaction leads to the activation of Etk kinase activity possibly by competing with the tumor suppressor p53. This is corroborated by the fact that overexpression of the 44 kDa Pim-1 in prostate cancer cells confers the resistance to chemotherapeutic drugs. Our results suggest that these two isoforms of Pim-1 kinase may regulate distinct substrates and the 44 kDa Pim-1 may play a more prominent role in drug resistance in prostate cancer cells.","author":[{"dropping-particle":"","family":"Xie","given":"Y","non-dropping-particle":"","parse-names":false,"suffix":""},{"dropping-particle":"","family":"Xu","given":"K","non-dropping-particle":"","parse-names":false,"suffix":""},{"dropping-particle":"","family":"Dai","given":"B","non-dropping-particle":"","parse-names":false,"suffix":""},{"dropping-particle":"","family":"Guo","given":"Z","non-dropping-particle":"","parse-names":false,"suffix":""},{"dropping-particle":"","family":"Jiang","given":"T","non-dropping-particle":"","parse-names":false,"suffix":""},{"dropping-particle":"","family":"Chen","given":"H","non-dropping-particle":"","parse-names":false,"suffix":""},{"dropping-particle":"","family":"Qiu","given":"Y","non-dropping-particle":"","parse-names":false,"suffix":""}],"container-title":"Oncogene","id":"ITEM-1","issue":"1","issued":{"date-parts":[["2006"]]},"note":"Xie, Y\nXu, K\nDai, B\nGuo, Z\nJiang, T\nChen, H\nQiu, Y\neng\nCA85380/CA/NCI NIH HHS/\nResearch Support, N.I.H., Extramural\nResearch Support, U.S. Gov't, Non-P.H.S.\nEngland\n2005/09/28 09:00\nOncogene. 2006 Jan 5;25(1):70-8. doi: 10.1038/sj.onc.1209058.","page":"70-78","title":"The 44 kDa Pim-1 kinase directly interacts with tyrosine kinase Etk/BMX and protects human prostate cancer cells from apoptosis induced by chemotherapeutic drugs","type":"article-journal","volume":"25"},"uris":["http://www.mendeley.com/documents/?uuid=adf2d02d-5788-48e9-a711-375a09dc7824","http://www.mendeley.com/documents/?uuid=a8732db9-80e3-4d63-9604-d1b91d767e66"]},{"id":"ITEM-2","itemData":{"DOI":"10.1016/j.bcp.2012.12.006","ISBN":"1873-2968 (Electronic)\r0006-2952 (Linking)","PMID":"23261525","abstract":"Overexpression of the ATP-binding cassette (ABC) drug efflux proteins P-glycoprotein (ABCB1) and breast cancer resistance protein (ABCG2) on malignant cells is associated with inferior chemotherapy outcomes. Both, ABCB1 and ABCG2, are substrates of the serine/threonine kinase Pim-1; Pim-1 knockdown decreases their cell surface expression, but SGI-1776, the first clinically tested Pim inhibitor, was shown to reverse drug resistance by directly inhibiting ABCB1-mediated transport. We sought to characterize Pim-1-dependent and -independent effects of SGI-1776 on drug resistance. SGI-1776 at the Pim-1-inhibitory and non-cytotoxic concentration of 1 muM decreased the IC(50)s of the ABCG2 and ABCB1 substrate drugs in cytotoxicity assays in resistant cells, with no effect on the IC(50) of non-substrate drug, nor in parental cells. SGI-1776 also increased apoptosis of cells overexpressing ABCG2 or ABCB1 exposed to substrate chemotherapy drugs and decreased their colony formation in the presence of substrate, but not non-substrate, drugs, with no effect on parental cells. SGI-1776 decreased ABCB1 and ABCG2 surface expression on K562/ABCB1 and K562/ABCG2 cells, respectively, with Pim-1 overexpression, but not HL60/VCR and 8226/MR20 cells, with lower-level Pim-1 expression. Finally, SGI-1776 inhibited uptake of ABCG2 and ABCB1 substrates in a concentration-dependent manner irrespective of Pim-1 expression, inhibited ABCB1 and ABCG2 photoaffinity labeling with the transport substrate [(125)I]iodoarylazidoprazosin ([(125)I]IAAP) and stimulated ABCB1 and ABCG2 ATPase activity. Thus SGI-1776 decreases cell surface expression of ABCB1 and ABCG2 and inhibits drug transport by Pim-1-dependent and -independent mechanisms, respectively. Decrease in ABCB1 and ABCG2 cell surface expression mediated by Pim-1 inhibition represents a novel mechanism of chemosensitization.","author":[{"dropping-particle":"","family":"Natarajan","given":"K","non-dropping-particle":"","parse-names":false,"suffix":""},{"dropping-particle":"","family":"Bhullar","given":"J","non-dropping-particle":"","parse-names":false,"suffix":""},{"dropping-particle":"","family":"Shukla","given":"S","non-dropping-particle":"","parse-names":false,"suffix":""},{"dropping-particle":"","family":"Burcu","given":"M","non-dropping-particle":"","parse-names":false,"suffix":""},{"dropping-particle":"","family":"Chen","given":"Z S","non-dropping-particle":"","parse-names":false,"suffix":""},{"dropping-particle":"V","family":"Ambudkar","given":"S","non-dropping-particle":"","parse-names":false,"suffix":""},{"dropping-particle":"","family":"Baer","given":"M R","non-dropping-particle":"","parse-names":false,"suffix":""}],"container-title":"Biochem Pharmacol","id":"ITEM-2","issue":"4","issued":{"date-parts":[["2013"]]},"note":"Natarajan, Karthika\nBhullar, Jasjeet\nShukla, Suneet\nBurcu, Mehmet\nChen, Zhe-Sheng\nAmbudkar, Suresh V\nBaer, Maria R\neng\nP30 CA134274/CA/NCI NIH HHS/\nZ99 CA999999/NULL/Intramural NIH HHS/\nResearch Support, N.I.H., Extramural\nResearch Support, N.I.H., Intramural\nResearch Support, Non-U.S. Gov't\nEngland\n2012/12/25 06:00\nBiochem Pharmacol. 2013 Feb 15;85(4):514-24. doi: 10.1016/j.bcp.2012.12.006. Epub 2012 Dec 19.","page":"514-524","title":"The Pim kinase inhibitor SGI-1776 decreases cell surface expression of P-glycoprotein (ABCB1) and breast cancer resistance protein (ABCG2) and drug transport by Pim-1-dependent and -independent mechanisms","type":"article-journal","volume":"85"},"uris":["http://www.mendeley.com/documents/?uuid=966915e2-2929-476b-b7cd-0bcf6942dfd9","http://www.mendeley.com/documents/?uuid=6585852e-e6bc-4bf7-83a5-8eb68db599bd","http://www.mendeley.com/documents/?uuid=d1214ca8-be57-45bb-b00f-2f5b8c4c2164"]},{"id":"ITEM-3","itemData":{"DOI":"10.1038/onc.2009.124","ISBN":"1476-5594 (Electronic)\r0950-9232 (Linking)","PMID":"19483729","abstract":"Hypoxia changes the responses of cancer cells to many chemotherapy agents, resulting in chemoresistance. The underlying molecular mechanism of hypoxia-induced drug resistance remains unclear. Pim-1 is a survival kinase, which phosphorylates Bad at serine 112 to antagonize drug-induced apoptosis. Here we show that hypoxia increases Pim-1 in a hypoxia-inducible factor-1alpha-independent manner. Inhibition of Pim-1 function by dominant-negative Pim-1 dramatically restores the drug sensitivity to apoptosis induced by chemotherapy under hypoxic conditions in both in vitro and in vivo tumor models. Introduction of siRNAs for Pim-1 also resensitizes cancer cells to chemotherapy drugs under hypoxic conditions, whereas forced overexpression of Pim-1 endows solid tumor cells with resistance to cisplatin, even under normoxia. Dominant-negative Pim-1 prevents a decrease in mitochondrial transmembrane potential in solid tumor cells, which is normally induced by cisplatin (CDDP), followed by the reduced activity of Caspase-3 and Caspase-9, indicating that Pim-1 participates in hypoxia-induced drug resistance through the stabilization of mitochondrial transmembrane potential. Our results demonstrate that Pim-1 is a pivotal regulator involved in hypoxia-induced chemoresistance. Targeting Pim-1 may improve the chemotherapeutic strategy for solid tumors.","author":[{"dropping-particle":"","family":"Chen","given":"J","non-dropping-particle":"","parse-names":false,"suffix":""},{"dropping-particle":"","family":"Kobayashi","given":"M","non-dropping-particle":"","parse-names":false,"suffix":""},{"dropping-particle":"","family":"Darmanin","given":"S","non-dropping-particle":"","parse-names":false,"suffix":""},{"dropping-particle":"","family":"Qiao","given":"Y","non-dropping-particle":"","parse-names":false,"suffix":""},{"dropping-particle":"","family":"Gully","given":"C","non-dropping-particle":"","parse-names":false,"suffix":""},{"dropping-particle":"","family":"Zhao","given":"R","non-dropping-particle":"","parse-names":false,"suffix":""},{"dropping-particle":"","family":"Yeung","given":"S C","non-dropping-particle":"","parse-names":false,"suffix":""},{"dropping-particle":"","family":"Lee","given":"M H","non-dropping-particle":"","parse-names":false,"suffix":""}],"container-title":"Oncogene","id":"ITEM-3","issue":"28","issued":{"date-parts":[["2009"]]},"note":"Chen, J\nKobayashi, M\nDarmanin, S\nQiao, Y\nGully, C\nZhao, R\nYeung, S C\nLee, M H\neng\nP30 CA016672/CA/NCI NIH HHS/\nCA16672/CA/NCI NIH HHS/\nR01CA 089266/CA/NCI NIH HHS/\nR01 CA089266/CA/NCI NIH HHS/\nR56 CA089266/CA/NCI NIH HHS/\nResearch Support, N.I.H., Extramural\nResearch Support, Non-U.S. Gov't\nResearch Support, U.S. Gov't, Non-P.H.S.\nEngland\n2009/06/02 09:00\nOncogene. 2009 Jul 16;28(28):2581-92. doi: 10.1038/onc.2009.124. Epub 2009 Jun 1.","page":"2581-2592","title":"Pim-1 plays a pivotal role in hypoxia-induced chemoresistance","type":"article-journal","volume":"28"},"uris":["http://www.mendeley.com/documents/?uuid=02bc0c8c-73bb-4230-aff2-86110c22f103","http://www.mendeley.com/documents/?uuid=f083db65-258d-4077-b0fe-c4810604a7fb","http://www.mendeley.com/documents/?uuid=70b39eda-67d4-4c08-add0-6e9131e2aa22"]}],"mendeley":{"formattedCitation":"&lt;sup&gt;33–35&lt;/sup&gt;","plainTextFormattedCitation":"33–35","previouslyFormattedCitation":"&lt;sup&gt;33–35&lt;/sup&gt;"},"properties":{"noteIndex":0},"schema":"https://github.com/citation-style-language/schema/raw/master/csl-citation.json"}</w:instrText>
      </w:r>
      <w:r w:rsidR="009477D7" w:rsidRPr="00E94CA9">
        <w:rPr>
          <w:rFonts w:cs="Arial"/>
          <w:sz w:val="22"/>
          <w:szCs w:val="22"/>
        </w:rPr>
        <w:fldChar w:fldCharType="separate"/>
      </w:r>
      <w:r w:rsidR="00542124" w:rsidRPr="00E94CA9">
        <w:rPr>
          <w:rFonts w:cs="Arial"/>
          <w:noProof/>
          <w:sz w:val="22"/>
          <w:szCs w:val="22"/>
          <w:vertAlign w:val="superscript"/>
        </w:rPr>
        <w:t>33–35</w:t>
      </w:r>
      <w:r w:rsidR="009477D7" w:rsidRPr="00E94CA9">
        <w:rPr>
          <w:rFonts w:cs="Arial"/>
          <w:sz w:val="22"/>
          <w:szCs w:val="22"/>
        </w:rPr>
        <w:fldChar w:fldCharType="end"/>
      </w:r>
      <w:r w:rsidR="005033EF" w:rsidRPr="00E94CA9">
        <w:rPr>
          <w:rFonts w:cs="Arial"/>
          <w:sz w:val="22"/>
          <w:szCs w:val="22"/>
        </w:rPr>
        <w:fldChar w:fldCharType="begin"/>
      </w:r>
      <w:r w:rsidR="005033EF" w:rsidRPr="00E94CA9">
        <w:rPr>
          <w:rFonts w:cs="Arial"/>
          <w:sz w:val="22"/>
          <w:szCs w:val="22"/>
        </w:rPr>
        <w:instrText>ADDIN EN.CITE</w:instrText>
      </w:r>
      <w:r w:rsidR="005033EF" w:rsidRPr="00E94CA9">
        <w:rPr>
          <w:rFonts w:cs="Arial"/>
          <w:sz w:val="22"/>
          <w:szCs w:val="22"/>
        </w:rPr>
        <w:fldChar w:fldCharType="end"/>
      </w:r>
      <w:r w:rsidR="005033EF" w:rsidRPr="00E94CA9">
        <w:rPr>
          <w:rFonts w:cs="Arial"/>
          <w:sz w:val="22"/>
          <w:szCs w:val="22"/>
        </w:rPr>
        <w:t xml:space="preserve"> and molecularly targeted agents</w:t>
      </w:r>
      <w:r w:rsidR="009477D7" w:rsidRPr="00E94CA9">
        <w:rPr>
          <w:rFonts w:cs="Arial"/>
          <w:sz w:val="22"/>
          <w:szCs w:val="22"/>
        </w:rPr>
        <w:fldChar w:fldCharType="begin" w:fldLock="1"/>
      </w:r>
      <w:r w:rsidR="00394C69">
        <w:rPr>
          <w:rFonts w:cs="Arial"/>
          <w:sz w:val="22"/>
          <w:szCs w:val="22"/>
        </w:rPr>
        <w:instrText>ADDIN CSL_CITATION {"citationItems":[{"id":"ITEM-1","itemData":{"ISBN":"2156-6976 (Print)\r2156-6976 (Linking)","PMID":"27904766","abstract":"Diffuse large B cell lymphoma (DLBCL) is a heterogeneous lymphoma and the most common subtype of non-Hodgkin lymphoma, accounting for roughly 30% of newly diagnosed cases in the United States. DLBCL can be separated into the activated B cell-like (ABC) and germinal center B cell-like (GCB) subtypes, with distinct gene expression profiles, oncogenic aberrations, and clinical outcomes. ABC-DLBCL is characterized by chronically active B-cell receptor (BCR) signaling that can be modulated by Bruton's tyrosine kinase (BTK) activity. Thus, BTK serves as an attractive therapeutic target in this type of B-cell malignancy. Ibrutinib, a first-in-class, orally available covalent BTK inhibitor, has demonstrated clinical activity in several B-cell leukemias and lymphomas. A phase 1/2 clinical trial of single-agent ibrutinib in relapsed and refractory DLBCL patients revealed an overall response rate of 37% in ABC-DLBCL patients. However, responses to kinase-directed therapies are often limited by emerging resistance mechanisms that bypass the therapeutic target. Here we report the discovery of point mutations within the kinase PIM1 that reduce sensitivity to ibrutinib in ABC-DLBCL. These mutations stabilize PIM1 and affect upstream regulators and downstream targets of NF-kappaB signaling. The introduction of mutant PIM1 into an ABC-DLBCL cell line, TMD8, increased colony formation and decreased sensitivity to ibrutinib. In addition, ibrutinib-resistant cell lines generated by prolonged ibrutinib exposure in vitro upregulated PIM1 expression, consistent with a role for PIM1 in antagonizing ibrutinib activity. The combination of a pan-PIM inhibitor with ibrutinib synergistically inhibited proliferation in vitro and tumor growth in vivo. Together, these data provide a rationale for combining BTK and PIM1 inhibition in the treatment of ABC-DLBCL.","author":[{"dropping-particle":"","family":"Kuo","given":"H P","non-dropping-particle":"","parse-names":false,"suffix":""},{"dropping-particle":"","family":"Ezell","given":"S A","non-dropping-particle":"","parse-names":false,"suffix":""},{"dropping-particle":"","family":"Hsieh","given":"S","non-dropping-particle":"","parse-names":false,"suffix":""},{"dropping-particle":"","family":"Schweighofer","given":"K J","non-dropping-particle":"","parse-names":false,"suffix":""},{"dropping-particle":"","family":"Cheung","given":"L W","non-dropping-particle":"","parse-names":false,"suffix":""},{"dropping-particle":"","family":"Wu","given":"S","non-dropping-particle":"","parse-names":false,"suffix":""},{"dropping-particle":"","family":"Apatira","given":"M","non-dropping-particle":"","parse-names":false,"suffix":""},{"dropping-particle":"","family":"Sirisawad","given":"M","non-dropping-particle":"","parse-names":false,"suffix":""},{"dropping-particle":"","family":"Eckert","given":"K","non-dropping-particle":"","parse-names":false,"suffix":""},{"dropping-particle":"","family":"Liang","given":"Y","non-dropping-particle":"","parse-names":false,"suffix":""},{"dropping-particle":"","family":"Hsu","given":"J","non-dropping-particle":"","parse-names":false,"suffix":""},{"dropping-particle":"","family":"Chen","given":"C T","non-dropping-particle":"","parse-names":false,"suffix":""},{"dropping-particle":"","family":"Beaupre","given":"D","non-dropping-particle":"","parse-names":false,"suffix":""},{"dropping-particle":"","family":"Chang","given":"B Y","non-dropping-particle":"","parse-names":false,"suffix":""}],"container-title":"Am J Cancer Res","id":"ITEM-1","issue":"11","issued":{"date-parts":[["2016"]]},"note":"Kuo, Hsu-Ping\nEzell, Scott A\nHsieh, Sidney\nSchweighofer, Karl J\nCheung, Leo Wk\nWu, Shiquan\nApatira, Mutiah\nSirisawad, Mint\nEckert, Karl\nLiang, Yu\nHsu, Jeff\nChen, Chun-Te\nBeaupre, Darrin\nChang, Betty Y\neng\n2016/12/03 06:00\nAm J Cancer Res. 2016 Nov 1;6(11):2489-2501. eCollection 2016.","page":"2489-2501","title":"The role of PIM1 in the ibrutinib-resistant ABC subtype of diffuse large B-cell lymphoma","type":"article-journal","volume":"6"},"uris":["http://www.mendeley.com/documents/?uuid=4f8df404-5bde-42fa-8d9b-10d880032577","http://www.mendeley.com/documents/?uuid=d42c0ef5-1a49-4f2d-88ad-a1bf73ab7116"]},{"id":"ITEM-2","itemData":{"DOI":"10.1186/s13046-016-0406-z","ISBN":"1756-9966 (Electronic)\r0392-9078 (Linking)","PMID":"27596051","abstract":"BACKGROUND: The effects of PIM-1 on the progression of pancreatic cancer remain unclear, and the prognostic value of PIM-1 levels in tissues is controversial. Additionally, the expression levels and clinical value of PIM-1 in plasma have not been reported. METHODS: The effects of PIM-1 on biological behaviours were analysed. PIM-1 levels in tissues and plasma were detected, and the clinical value was evaluated. RESULTS: We found that PIM-1 knockdown in pancreatic cancer cells suppressed proliferation, induced cell cycle arrest, enhanced apoptosis, resensitized cells to gemcitabine and erlotinib treatment, and inhibited ABCG2 and EZH2 mRNA expression. Our results indicated that PIM-1 and the EGFR pathway formed a positive feedback loop. We also found that PIM-1 expression in pancreatic cancer tissues was significantly upregulated and that a high level of expression was negatively associated with prognosis (P = 0.025, hazard ratio [HR] =2.113, 95 % confidence interval: 1.046-4.266). Additionally, we found that plasma PIM-1 levels in patients with pancreatic cancer were significantly increased and could be used in the diagnosis of pancreatic cancer. High plasma PIM-1 expression was an independent adverse prognostic factor for pancreatic cancer (P = 0.037, HR = 1.87, 95 % CI: 1.04-3.35). CONCLUSION: Our study suggests that PIM-1 contributes to malignancy and has diagnostic and prognostic value in pancreatic cancer.","author":[{"dropping-particle":"","family":"Xu","given":"J","non-dropping-particle":"","parse-names":false,"suffix":""},{"dropping-particle":"","family":"Xiong","given":"G","non-dropping-particle":"","parse-names":false,"suffix":""},{"dropping-particle":"","family":"Cao","given":"Z","non-dropping-particle":"","parse-names":false,"suffix":""},{"dropping-particle":"","family":"Huang","given":"H","non-dropping-particle":"","parse-names":false,"suffix":""},{"dropping-particle":"","family":"Wang","given":"T","non-dropping-particle":"","parse-names":false,"suffix":""},{"dropping-particle":"","family":"You","given":"L","non-dropping-particle":"","parse-names":false,"suffix":""},{"dropping-particle":"","family":"Zhou","given":"L","non-dropping-particle":"","parse-names":false,"suffix":""},{"dropping-particle":"","family":"Zheng","given":"L","non-dropping-particle":"","parse-names":false,"suffix":""},{"dropping-particle":"","family":"Hu","given":"Y","non-dropping-particle":"","parse-names":false,"suffix":""},{"dropping-particle":"","family":"Zhang","given":"T","non-dropping-particle":"","parse-names":false,"suffix":""},{"dropping-particle":"","family":"Zhao","given":"Y","non-dropping-particle":"","parse-names":false,"suffix":""}],"container-title":"J Exp Clin Cancer Res","id":"ITEM-2","issue":"1","issued":{"date-parts":[["2016"]]},"note":"Xu, Jianwei\nXiong, Guangbing\nCao, Zhe\nHuang, Hua\nWang, Tianxiao\nYou, Lei\nZhou, Li\nZheng, Lianfang\nHu, Ya\nZhang, Taiping\nZhao, Yupei\neng\nResearch Support, Non-U.S. Gov't\nEngland\n2016/09/07 06:00\nJ Exp Clin Cancer Res. 2016 Sep 5;35(1):133. doi: 10.1186/s13046-016-0406-z.","page":"133","title":"PIM-1 contributes to the malignancy of pancreatic cancer and displays diagnostic and prognostic value","type":"article-journal","volume":"35"},"uris":["http://www.mendeley.com/documents/?uuid=d5c1f156-40b5-4700-8e0b-d95524a0ece1","http://www.mendeley.com/documents/?uuid=00619ae8-b46f-42f3-bfd4-a5479436f924","http://www.mendeley.com/documents/?uuid=e0df29c8-db5b-4c40-b899-465914525b11"]}],"mendeley":{"formattedCitation":"&lt;sup&gt;36,37&lt;/sup&gt;","plainTextFormattedCitation":"36,37","previouslyFormattedCitation":"&lt;sup&gt;36,37&lt;/sup&gt;"},"properties":{"noteIndex":0},"schema":"https://github.com/citation-style-language/schema/raw/master/csl-citation.json"}</w:instrText>
      </w:r>
      <w:r w:rsidR="009477D7" w:rsidRPr="00E94CA9">
        <w:rPr>
          <w:rFonts w:cs="Arial"/>
          <w:sz w:val="22"/>
          <w:szCs w:val="22"/>
        </w:rPr>
        <w:fldChar w:fldCharType="separate"/>
      </w:r>
      <w:r w:rsidR="00542124" w:rsidRPr="00E94CA9">
        <w:rPr>
          <w:rFonts w:cs="Arial"/>
          <w:noProof/>
          <w:sz w:val="22"/>
          <w:szCs w:val="22"/>
          <w:vertAlign w:val="superscript"/>
        </w:rPr>
        <w:t>36,37</w:t>
      </w:r>
      <w:r w:rsidR="009477D7" w:rsidRPr="00E94CA9">
        <w:rPr>
          <w:rFonts w:cs="Arial"/>
          <w:sz w:val="22"/>
          <w:szCs w:val="22"/>
        </w:rPr>
        <w:fldChar w:fldCharType="end"/>
      </w:r>
      <w:r w:rsidR="005033EF" w:rsidRPr="00E94CA9">
        <w:rPr>
          <w:rFonts w:cs="Arial"/>
          <w:sz w:val="22"/>
          <w:szCs w:val="22"/>
        </w:rPr>
        <w:fldChar w:fldCharType="begin"/>
      </w:r>
      <w:r w:rsidR="005033EF" w:rsidRPr="00E94CA9">
        <w:rPr>
          <w:rFonts w:cs="Arial"/>
          <w:sz w:val="22"/>
          <w:szCs w:val="22"/>
        </w:rPr>
        <w:instrText>ADDIN EN.CITE</w:instrText>
      </w:r>
      <w:r w:rsidR="005033EF" w:rsidRPr="00E94CA9">
        <w:rPr>
          <w:rFonts w:cs="Arial"/>
          <w:sz w:val="22"/>
          <w:szCs w:val="22"/>
        </w:rPr>
        <w:fldChar w:fldCharType="end"/>
      </w:r>
      <w:bookmarkStart w:id="7" w:name="Bookmark78"/>
      <w:r w:rsidR="005033EF" w:rsidRPr="00E94CA9">
        <w:rPr>
          <w:rFonts w:cs="Arial"/>
          <w:sz w:val="22"/>
          <w:szCs w:val="22"/>
        </w:rPr>
        <w:fldChar w:fldCharType="begin"/>
      </w:r>
      <w:r w:rsidR="005033EF" w:rsidRPr="00E94CA9">
        <w:rPr>
          <w:rFonts w:cs="Arial"/>
          <w:sz w:val="22"/>
          <w:szCs w:val="22"/>
        </w:rPr>
        <w:instrText>ADDIN EN.CITE.DATA</w:instrText>
      </w:r>
      <w:r w:rsidR="005033EF" w:rsidRPr="00E94CA9">
        <w:rPr>
          <w:rFonts w:cs="Arial"/>
          <w:sz w:val="22"/>
          <w:szCs w:val="22"/>
        </w:rPr>
        <w:fldChar w:fldCharType="end"/>
      </w:r>
      <w:bookmarkStart w:id="8" w:name="Bookmark77"/>
      <w:bookmarkEnd w:id="7"/>
      <w:bookmarkEnd w:id="8"/>
      <w:r w:rsidR="005033EF" w:rsidRPr="00E94CA9">
        <w:rPr>
          <w:rFonts w:cs="Arial"/>
          <w:sz w:val="22"/>
          <w:szCs w:val="22"/>
        </w:rPr>
        <w:t xml:space="preserve"> in several </w:t>
      </w:r>
      <w:r w:rsidR="005033EF" w:rsidRPr="00E94CA9">
        <w:rPr>
          <w:rFonts w:cs="Arial"/>
          <w:color w:val="000000" w:themeColor="text1"/>
          <w:sz w:val="22"/>
          <w:szCs w:val="22"/>
        </w:rPr>
        <w:t>cancer types</w:t>
      </w:r>
      <w:r w:rsidR="00CD38B3" w:rsidRPr="00E94CA9">
        <w:rPr>
          <w:rFonts w:cs="Arial"/>
          <w:color w:val="000000" w:themeColor="text1"/>
          <w:sz w:val="22"/>
          <w:szCs w:val="22"/>
        </w:rPr>
        <w:t xml:space="preserve"> but </w:t>
      </w:r>
      <w:r w:rsidR="0053783F" w:rsidRPr="00E94CA9">
        <w:rPr>
          <w:rFonts w:cs="Arial"/>
          <w:color w:val="000000" w:themeColor="text1"/>
          <w:sz w:val="22"/>
          <w:szCs w:val="22"/>
        </w:rPr>
        <w:t xml:space="preserve">to our knowledge </w:t>
      </w:r>
      <w:r w:rsidR="00CD38B3" w:rsidRPr="00E94CA9">
        <w:rPr>
          <w:rFonts w:cs="Arial"/>
          <w:color w:val="000000" w:themeColor="text1"/>
          <w:sz w:val="22"/>
          <w:szCs w:val="22"/>
        </w:rPr>
        <w:t>not previously for NB</w:t>
      </w:r>
      <w:r w:rsidR="005033EF" w:rsidRPr="00E94CA9">
        <w:rPr>
          <w:rFonts w:cs="Arial"/>
          <w:color w:val="000000" w:themeColor="text1"/>
          <w:sz w:val="22"/>
          <w:szCs w:val="22"/>
        </w:rPr>
        <w:t>.</w:t>
      </w:r>
      <w:r w:rsidR="005033EF" w:rsidRPr="00E94CA9">
        <w:rPr>
          <w:rFonts w:cs="Arial"/>
          <w:color w:val="000000" w:themeColor="text1"/>
          <w:sz w:val="22"/>
          <w:szCs w:val="22"/>
          <w:vertAlign w:val="superscript"/>
        </w:rPr>
        <w:t xml:space="preserve"> </w:t>
      </w:r>
      <w:r w:rsidR="005033EF" w:rsidRPr="00E94CA9">
        <w:rPr>
          <w:rFonts w:cs="Arial"/>
          <w:sz w:val="22"/>
          <w:szCs w:val="22"/>
        </w:rPr>
        <w:t xml:space="preserve">Of the 16 resistance genes identified in </w:t>
      </w:r>
      <w:proofErr w:type="spellStart"/>
      <w:r w:rsidR="005033EF" w:rsidRPr="00E94CA9">
        <w:rPr>
          <w:rFonts w:cs="Arial"/>
          <w:sz w:val="22"/>
          <w:szCs w:val="22"/>
        </w:rPr>
        <w:t>brigatinib</w:t>
      </w:r>
      <w:proofErr w:type="spellEnd"/>
      <w:r w:rsidR="005033EF" w:rsidRPr="00E94CA9">
        <w:rPr>
          <w:rFonts w:cs="Arial"/>
          <w:sz w:val="22"/>
          <w:szCs w:val="22"/>
        </w:rPr>
        <w:t xml:space="preserve"> and </w:t>
      </w:r>
      <w:proofErr w:type="spellStart"/>
      <w:r w:rsidR="005033EF" w:rsidRPr="00E94CA9">
        <w:rPr>
          <w:rFonts w:cs="Arial"/>
          <w:sz w:val="22"/>
          <w:szCs w:val="22"/>
        </w:rPr>
        <w:t>ceritinib</w:t>
      </w:r>
      <w:proofErr w:type="spellEnd"/>
      <w:r w:rsidR="005033EF" w:rsidRPr="00E94CA9">
        <w:rPr>
          <w:rFonts w:cs="Arial"/>
          <w:sz w:val="22"/>
          <w:szCs w:val="22"/>
        </w:rPr>
        <w:t xml:space="preserve">-treated </w:t>
      </w:r>
      <w:r w:rsidR="004503D2" w:rsidRPr="00E94CA9">
        <w:rPr>
          <w:rFonts w:cs="Arial"/>
          <w:color w:val="000000" w:themeColor="text1"/>
          <w:sz w:val="22"/>
          <w:szCs w:val="22"/>
        </w:rPr>
        <w:t>NB</w:t>
      </w:r>
      <w:r w:rsidR="004503D2" w:rsidRPr="00E94CA9">
        <w:rPr>
          <w:rFonts w:cs="Arial"/>
          <w:sz w:val="22"/>
          <w:szCs w:val="22"/>
        </w:rPr>
        <w:t xml:space="preserve"> </w:t>
      </w:r>
      <w:r w:rsidR="005033EF" w:rsidRPr="00E94CA9">
        <w:rPr>
          <w:rFonts w:cs="Arial"/>
          <w:sz w:val="22"/>
          <w:szCs w:val="22"/>
        </w:rPr>
        <w:t>cells at the ED</w:t>
      </w:r>
      <w:r w:rsidR="005033EF" w:rsidRPr="00E94CA9">
        <w:rPr>
          <w:rFonts w:cs="Arial"/>
          <w:sz w:val="22"/>
          <w:szCs w:val="22"/>
          <w:vertAlign w:val="subscript"/>
        </w:rPr>
        <w:t>75</w:t>
      </w:r>
      <w:r w:rsidR="005033EF" w:rsidRPr="00E94CA9">
        <w:rPr>
          <w:rFonts w:cs="Arial"/>
          <w:sz w:val="22"/>
          <w:szCs w:val="22"/>
        </w:rPr>
        <w:t xml:space="preserve">, two are known to be activated downstream of ALK, namely </w:t>
      </w:r>
      <w:r w:rsidR="005033EF" w:rsidRPr="00E94CA9">
        <w:rPr>
          <w:rFonts w:cs="Arial"/>
          <w:i/>
          <w:sz w:val="22"/>
          <w:szCs w:val="22"/>
        </w:rPr>
        <w:t>KRAS</w:t>
      </w:r>
      <w:r w:rsidR="005033EF" w:rsidRPr="00E94CA9">
        <w:rPr>
          <w:rFonts w:cs="Arial"/>
          <w:sz w:val="22"/>
          <w:szCs w:val="22"/>
        </w:rPr>
        <w:t xml:space="preserve"> and </w:t>
      </w:r>
      <w:r w:rsidR="005033EF" w:rsidRPr="00E94CA9">
        <w:rPr>
          <w:rFonts w:cs="Arial"/>
          <w:i/>
          <w:sz w:val="22"/>
          <w:szCs w:val="22"/>
        </w:rPr>
        <w:t>PIK3CD</w:t>
      </w:r>
      <w:r w:rsidR="005033EF" w:rsidRPr="00E94CA9">
        <w:rPr>
          <w:rFonts w:cs="Arial"/>
          <w:sz w:val="22"/>
          <w:szCs w:val="22"/>
        </w:rPr>
        <w:t xml:space="preserve"> (PI3Kδ). Copy number gain and mutational activation of </w:t>
      </w:r>
      <w:r w:rsidR="005033EF" w:rsidRPr="00E94CA9">
        <w:rPr>
          <w:rFonts w:cs="Arial"/>
          <w:i/>
          <w:sz w:val="22"/>
          <w:szCs w:val="22"/>
        </w:rPr>
        <w:t>KRAS</w:t>
      </w:r>
      <w:r w:rsidR="005033EF" w:rsidRPr="00E94CA9">
        <w:rPr>
          <w:rFonts w:cs="Arial"/>
          <w:sz w:val="22"/>
          <w:szCs w:val="22"/>
        </w:rPr>
        <w:t xml:space="preserve"> at codon 12 has been shown to confer resistance to </w:t>
      </w:r>
      <w:proofErr w:type="spellStart"/>
      <w:r w:rsidR="005033EF" w:rsidRPr="00E94CA9">
        <w:rPr>
          <w:rFonts w:cs="Arial"/>
          <w:sz w:val="22"/>
          <w:szCs w:val="22"/>
        </w:rPr>
        <w:t>crizotinib</w:t>
      </w:r>
      <w:proofErr w:type="spellEnd"/>
      <w:r w:rsidR="005033EF" w:rsidRPr="00E94CA9">
        <w:rPr>
          <w:rFonts w:cs="Arial"/>
          <w:sz w:val="22"/>
          <w:szCs w:val="22"/>
        </w:rPr>
        <w:t xml:space="preserve"> and </w:t>
      </w:r>
      <w:proofErr w:type="spellStart"/>
      <w:r w:rsidR="005033EF" w:rsidRPr="00E94CA9">
        <w:rPr>
          <w:rFonts w:cs="Arial"/>
          <w:sz w:val="22"/>
          <w:szCs w:val="22"/>
        </w:rPr>
        <w:t>ceritinib</w:t>
      </w:r>
      <w:proofErr w:type="spellEnd"/>
      <w:r w:rsidR="005033EF" w:rsidRPr="00E94CA9">
        <w:rPr>
          <w:rFonts w:cs="Arial"/>
          <w:sz w:val="22"/>
          <w:szCs w:val="22"/>
        </w:rPr>
        <w:t xml:space="preserve"> in ALK-positive NSCLC</w:t>
      </w:r>
      <w:r w:rsidR="009477D7" w:rsidRPr="00E94CA9">
        <w:rPr>
          <w:rFonts w:cs="Arial"/>
          <w:sz w:val="22"/>
          <w:szCs w:val="22"/>
        </w:rPr>
        <w:fldChar w:fldCharType="begin" w:fldLock="1"/>
      </w:r>
      <w:r w:rsidR="004F24F9">
        <w:rPr>
          <w:rFonts w:cs="Arial"/>
          <w:sz w:val="22"/>
          <w:szCs w:val="22"/>
        </w:rPr>
        <w:instrText>ADDIN CSL_CITATION {"citationItems":[{"id":"ITEM-1","itemData":{"DOI":"10.1038/nm.3930","ISBN":"1546-170X (Electronic)\r1078-8956 (Linking)","PMID":"26301689","abstract":"One strategy for combating cancer-drug resistance is to deploy rational polytherapy up front that suppresses the survival and emergence of resistant tumor cells. Here we demonstrate in models of lung adenocarcinoma harboring the oncogenic fusion of ALK and EML4 that the GTPase RAS-mitogen-activated protein kinase (MAPK) pathway, but not other known ALK effectors, is required for tumor-cell survival. EML4-ALK activated RAS-MAPK signaling by engaging all three major RAS isoforms through the HELP domain of EML4. Reactivation of the MAPK pathway via either a gain in the number of copies of the gene encoding wild-type K-RAS (KRAS(WT)) or decreased expression of the MAPK phosphatase DUSP6 promoted resistance to ALK inhibitors in vitro, and each was associated with resistance to ALK inhibitors in individuals with EML4-ALK-positive lung adenocarcinoma. Upfront inhibition of both ALK and the kinase MEK enhanced both the magnitude and duration of the initial response in preclinical models of EML4-ALK lung adenocarcinoma. Our findings identify RAS-MAPK dependence as a hallmark of EML4-ALK lung adenocarcinoma and provide a rationale for the upfront inhibition of both ALK and MEK to forestall resistance and improve patient outcomes.","author":[{"dropping-particle":"","family":"Hrustanovic","given":"G","non-dropping-particle":"","parse-names":false,"suffix":""},{"dropping-particle":"","family":"Olivas","given":"V","non-dropping-particle":"","parse-names":false,"suffix":""},{"dropping-particle":"","family":"Pazarentzos","given":"E","non-dropping-particle":"","parse-names":false,"suffix":""},{"dropping-particle":"","family":"Tulpule","given":"A","non-dropping-particle":"","parse-names":false,"suffix":""},{"dropping-particle":"","family":"Asthana","given":"S","non-dropping-particle":"","parse-names":false,"suffix":""},{"dropping-particle":"","family":"Blakely","given":"C M","non-dropping-particle":"","parse-names":false,"suffix":""},{"dropping-particle":"","family":"Okimoto","given":"R A","non-dropping-particle":"","parse-names":false,"suffix":""},{"dropping-particle":"","family":"Lin","given":"L","non-dropping-particle":"","parse-names":false,"suffix":""},{"dropping-particle":"","family":"Neel","given":"D S","non-dropping-particle":"","parse-names":false,"suffix":""},{"dropping-particle":"","family":"Sabnis","given":"A","non-dropping-particle":"","parse-names":false,"suffix":""},{"dropping-particle":"","family":"Flanagan","given":"J","non-dropping-particle":"","parse-names":false,"suffix":""},{"dropping-particle":"","family":"Chan","given":"E","non-dropping-particle":"","parse-names":false,"suffix":""},{"dropping-particle":"","family":"Varella-Garcia","given":"M","non-dropping-particle":"","parse-names":false,"suffix":""},{"dropping-particle":"","family":"Aisner","given":"D L","non-dropping-particle":"","parse-names":false,"suffix":""},{"dropping-particle":"","family":"Vaishnavi","given":"A","non-dropping-particle":"","parse-names":false,"suffix":""},{"dropping-particle":"","family":"Ou","given":"S H","non-dropping-particle":"","parse-names":false,"suffix":""},{"dropping-particle":"","family":"Collisson","given":"E A","non-dropping-particle":"","parse-names":false,"suffix":""},{"dropping-particle":"","family":"Ichihara","given":"E","non-dropping-particle":"","parse-names":false,"suffix":""},{"dropping-particle":"","family":"Mack","given":"P C","non-dropping-particle":"","parse-names":false,"suffix":""},{"dropping-particle":"","family":"Lovly","given":"C M","non-dropping-particle":"","parse-names":false,"suffix":""},{"dropping-particle":"","family":"Karachaliou","given":"N","non-dropping-particle":"","parse-names":false,"suffix":""},{"dropping-particle":"","family":"Rosell","given":"R","non-dropping-particle":"","parse-names":false,"suffix":""},{"dropping-particle":"","family":"Riess","given":"J W","non-dropping-particle":"","parse-names":false,"suffix":""},{"dropping-particle":"","family":"Doebele","given":"R C","non-dropping-particle":"","parse-names":false,"suffix":""},{"dropping-particle":"","family":"Bivona","given":"T G","non-dropping-particle":"","parse-names":false,"suffix":""}],"container-title":"Nat Med","id":"ITEM-1","issue":"9","issued":{"date-parts":[["2015"]]},"note":"Hrustanovic, Gorjan\nOlivas, Victor\nPazarentzos, Evangelos\nTulpule, Asmin\nAsthana, Saurabh\nBlakely, Collin M\nOkimoto, Ross A\nLin, Luping\nNeel, Dana S\nSabnis, Amit\nFlanagan, Jennifer\nChan, Elton\nVarella-Garcia, Marileila\nAisner, Dara L\nVaishnavi, Aria\nOu, Sai-Hong I\nCollisson, Eric A\nIchihara, Eiki\nMack, Philip C\nLovly, Christine M\nKarachaliou, Niki\nRosell, Rafael\nRiess, Jonathan W\nDoebele, Robert C\nBivona, Trever G\neng\nP50 CA058187/CA/NCI NIH HHS/\nP30CA046934/CA/NCI NIH HHS/\nR01 CA121210/CA/NCI NIH HHS/\nDP2 CA174497/CA/NCI NIH HHS/\nK12 CA138464/CA/NCI NIH HHS/\nHoward Hughes Medical Institute/\nP50CA058187/CA/NCI NIH HHS/\nP01CA129243/CA/NCI NIH HHS/\nR01 CA169338/CA/NCI NIH HHS/\n5K12CA086913/CA/NCI NIH HHS/\nR01CA121210/CA/NCI NIH HHS/\nT32 CA128583/CA/NCI NIH HHS/\nK12 CA086913/CA/NCI NIH HHS/\nP01 CA129243/CA/NCI NIH HHS/\nK12CA138464/CA/NCI NIH HHS/\nK08 CA154787/CA/NCI NIH HHS/\nResearch Support, N.I.H., Extramural\nResearch Support, Non-U.S. Gov't\n2015/08/25 06:00\nNat Med. 2015 Sep;21(9):1038-47. doi: 10.1038/nm.3930. Epub 2015 Aug 24.","page":"1038-1047","title":"RAS-MAPK dependence underlies a rational polytherapy strategy in EML4-ALK-positive lung cancer","type":"article-journal","volume":"21"},"uris":["http://www.mendeley.com/documents/?uuid=89bd9a45-e28b-4211-8511-82717a82ce1d","http://www.mendeley.com/documents/?uuid=0916d80f-03ae-4cda-b35a-ba6ac918df85"]},{"id":"ITEM-2","itemData":{"DOI":"10.1158/1078-0432.CCR-11-2906","ISSN":"1078-0432","PMID":"22235099","abstract":"PURPOSE Patients with anaplastic lymphoma kinase (ALK) gene rearrangements often manifest dramatic responses to crizotinib, a small-molecule ALK inhibitor. Unfortunately, not every patient responds and acquired drug resistance inevitably develops in those who do respond. This study aimed to define molecular mechanisms of resistance to crizotinib in patients with ALK(+) non-small cell lung cancer (NSCLC). EXPERIMENTAL DESIGN We analyzed tissue obtained from 14 patients with ALK(+) NSCLC showing evidence of radiologic progression while on crizotinib to define mechanisms of intrinsic and acquired resistance to crizotinib. RESULTS Eleven patients had material evaluable for molecular analysis. Four patients (36%) developed secondary mutations in the tyrosine kinase domain of ALK. A novel mutation in the ALK domain, encoding a G1269A amino acid substitution that confers resistance to crizotinib in vitro, was identified in two of these cases. Two patients, one with a resistance mutation, exhibited new onset ALK copy number gain (CNG). One patient showed outgrowth of epidermal growth factor receptor (EGFR) mutant NSCLC without evidence of a persistent ALK gene rearrangement. Two patients exhibited a KRAS mutation, one of which occurred without evidence of a persisting ALK gene rearrangement. One patient showed the emergence of an ALK gene fusion-negative tumor compared with the baseline sample but with no identifiable alternate driver. Two patients retained ALK positivity with no identifiable resistance mechanism. CONCLUSIONS Crizotinib resistance in ALK(+) NSCLC occurs through somatic kinase domain mutations, ALK gene fusion CNG, and emergence of separate oncogenic drivers.","author":[{"dropping-particle":"","family":"Doebele","given":"Robert C.","non-dropping-particle":"","parse-names":false,"suffix":""},{"dropping-particle":"","family":"Pilling","given":"Amanda B.","non-dropping-particle":"","parse-names":false,"suffix":""},{"dropping-particle":"","family":"Aisner","given":"Dara L.","non-dropping-particle":"","parse-names":false,"suffix":""},{"dropping-particle":"","family":"Kutateladze","given":"Tatiana G.","non-dropping-particle":"","parse-names":false,"suffix":""},{"dropping-particle":"","family":"Le","given":"Anh T.","non-dropping-particle":"","parse-names":false,"suffix":""},{"dropping-particle":"","family":"Weickhardt","given":"Andrew J.","non-dropping-particle":"","parse-names":false,"suffix":""},{"dropping-particle":"","family":"Kondo","given":"Kimi L.","non-dropping-particle":"","parse-names":false,"suffix":""},{"dropping-particle":"","family":"Linderman","given":"Derek J.","non-dropping-particle":"","parse-names":false,"suffix":""},{"dropping-particle":"","family":"Heasley","given":"Lynn E.","non-dropping-particle":"","parse-names":false,"suffix":""},{"dropping-particle":"","family":"Franklin","given":"Wilbur A.","non-dropping-particle":"","parse-names":false,"suffix":""},{"dropping-particle":"","family":"Varella-Garcia","given":"Marileila","non-dropping-particle":"","parse-names":false,"suffix":""},{"dropping-particle":"","family":"Camidge","given":"D. Ross","non-dropping-particle":"","parse-names":false,"suffix":""}],"container-title":"Clinical Cancer Research","id":"ITEM-2","issue":"5","issued":{"date-parts":[["2012","3","1"]]},"page":"1472-1482","title":"Mechanisms of Resistance to Crizotinib in Patients with &lt;i&gt;ALK&lt;/i&gt; Gene Rearranged Non–Small Cell Lung Cancer","type":"article-journal","volume":"18"},"uris":["http://www.mendeley.com/documents/?uuid=c7d9a761-7864-3c1a-a19f-558c66c9f0fb"]}],"mendeley":{"formattedCitation":"&lt;sup&gt;24,53&lt;/sup&gt;","plainTextFormattedCitation":"24,53","previouslyFormattedCitation":"&lt;sup&gt;24,53&lt;/sup&gt;"},"properties":{"noteIndex":0},"schema":"https://github.com/citation-style-language/schema/raw/master/csl-citation.json"}</w:instrText>
      </w:r>
      <w:r w:rsidR="009477D7" w:rsidRPr="00E94CA9">
        <w:rPr>
          <w:rFonts w:cs="Arial"/>
          <w:sz w:val="22"/>
          <w:szCs w:val="22"/>
        </w:rPr>
        <w:fldChar w:fldCharType="separate"/>
      </w:r>
      <w:r w:rsidR="00394C69" w:rsidRPr="00394C69">
        <w:rPr>
          <w:rFonts w:cs="Arial"/>
          <w:noProof/>
          <w:sz w:val="22"/>
          <w:szCs w:val="22"/>
          <w:vertAlign w:val="superscript"/>
        </w:rPr>
        <w:t>24,53</w:t>
      </w:r>
      <w:r w:rsidR="009477D7" w:rsidRPr="00E94CA9">
        <w:rPr>
          <w:rFonts w:cs="Arial"/>
          <w:sz w:val="22"/>
          <w:szCs w:val="22"/>
        </w:rPr>
        <w:fldChar w:fldCharType="end"/>
      </w:r>
      <w:r w:rsidR="005033EF" w:rsidRPr="00E94CA9">
        <w:rPr>
          <w:rFonts w:cs="Arial"/>
          <w:sz w:val="22"/>
          <w:szCs w:val="22"/>
        </w:rPr>
        <w:fldChar w:fldCharType="begin"/>
      </w:r>
      <w:r w:rsidR="005033EF" w:rsidRPr="00E94CA9">
        <w:rPr>
          <w:rFonts w:cs="Arial"/>
          <w:sz w:val="22"/>
          <w:szCs w:val="22"/>
        </w:rPr>
        <w:instrText>ADDIN EN.CITE</w:instrText>
      </w:r>
      <w:r w:rsidR="005033EF" w:rsidRPr="00E94CA9">
        <w:rPr>
          <w:rFonts w:cs="Arial"/>
          <w:sz w:val="22"/>
          <w:szCs w:val="22"/>
        </w:rPr>
        <w:fldChar w:fldCharType="end"/>
      </w:r>
      <w:r w:rsidR="005033EF" w:rsidRPr="00E94CA9">
        <w:rPr>
          <w:rFonts w:cs="Arial"/>
          <w:sz w:val="22"/>
          <w:szCs w:val="22"/>
        </w:rPr>
        <w:t xml:space="preserve">. Similarly, mutational activation of </w:t>
      </w:r>
      <w:r w:rsidR="005033EF" w:rsidRPr="00E94CA9">
        <w:rPr>
          <w:rFonts w:cs="Arial"/>
          <w:i/>
          <w:sz w:val="22"/>
          <w:szCs w:val="22"/>
        </w:rPr>
        <w:t>PIK3CA</w:t>
      </w:r>
      <w:r w:rsidR="005033EF" w:rsidRPr="00E94CA9">
        <w:rPr>
          <w:rFonts w:cs="Arial"/>
          <w:sz w:val="22"/>
          <w:szCs w:val="22"/>
        </w:rPr>
        <w:t xml:space="preserve"> is reported as a resistance mechanism to </w:t>
      </w:r>
      <w:proofErr w:type="spellStart"/>
      <w:r w:rsidR="005033EF" w:rsidRPr="00E94CA9">
        <w:rPr>
          <w:rFonts w:cs="Arial"/>
          <w:sz w:val="22"/>
          <w:szCs w:val="22"/>
        </w:rPr>
        <w:t>alectinib</w:t>
      </w:r>
      <w:proofErr w:type="spellEnd"/>
      <w:r w:rsidR="005033EF" w:rsidRPr="00E94CA9">
        <w:rPr>
          <w:rFonts w:cs="Arial"/>
          <w:sz w:val="22"/>
          <w:szCs w:val="22"/>
        </w:rPr>
        <w:t xml:space="preserve"> and </w:t>
      </w:r>
      <w:proofErr w:type="spellStart"/>
      <w:r w:rsidR="005033EF" w:rsidRPr="00E94CA9">
        <w:rPr>
          <w:rFonts w:cs="Arial"/>
          <w:sz w:val="22"/>
          <w:szCs w:val="22"/>
        </w:rPr>
        <w:t>ceritinib</w:t>
      </w:r>
      <w:proofErr w:type="spellEnd"/>
      <w:r w:rsidR="005033EF" w:rsidRPr="00E94CA9">
        <w:rPr>
          <w:rFonts w:cs="Arial"/>
          <w:sz w:val="22"/>
          <w:szCs w:val="22"/>
        </w:rPr>
        <w:t xml:space="preserve"> in these patients</w:t>
      </w:r>
      <w:r w:rsidR="008512D9" w:rsidRPr="00E94CA9">
        <w:rPr>
          <w:rFonts w:cs="Arial"/>
          <w:sz w:val="22"/>
          <w:szCs w:val="22"/>
        </w:rPr>
        <w:fldChar w:fldCharType="begin" w:fldLock="1"/>
      </w:r>
      <w:r w:rsidR="004F24F9">
        <w:rPr>
          <w:rFonts w:cs="Arial"/>
          <w:sz w:val="22"/>
          <w:szCs w:val="22"/>
        </w:rPr>
        <w:instrText>ADDIN CSL_CITATION {"citationItems":[{"id":"ITEM-1","itemData":{"DOI":"10.1158/2159-8290.CD-16-0596","ISBN":"2159-8290 (Electronic)\r2159-8274 (Linking)","PMID":"27432227","abstract":"Advanced, anaplastic lymphoma kinase (ALK)-positive lung cancer is currently treated with the first-generation ALK inhibitor crizotinib followed by more potent, second-generation ALK inhibitors (e.g., ceritinib and alectinib) upon progression. Second-generation inhibitors are generally effective even in the absence of crizotinib-resistant ALK mutations, likely reflecting incomplete inhibition of ALK by crizotinib in many cases. Herein, we analyzed 103 repeat biopsies from ALK-positive patients progressing on various ALK inhibitors. We find that each ALK inhibitor is associated with a distinct spectrum of ALK resistance mutations and that the frequency of one mutation, ALK(G1202R), increases significantly after treatment with second-generation agents. To investigate strategies to overcome resistance to second-generation ALK inhibitors, we examine the activity of the third-generation ALK inhibitor lorlatinib in a series of ceritinib-resistant, patient-derived cell lines, and observe that the presence of ALK resistance mutations is highly predictive for sensitivity to lorlatinib, whereas those cell lines without ALK mutations are resistant. SIGNIFICANCE: Secondary ALK mutations are a common resistance mechanism to second-generation ALK inhibitors and predict for sensitivity to the third-generation ALK inhibitor lorlatinib. These findings highlight the importance of repeat biopsies and genotyping following disease progression on targeted therapies, particularly second-generation ALK inhibitors. Cancer Discov; 6(10); 1118-33. (c)2016 AACRSee related commentary by Qiao and Lovly, p. 1084This article is highlighted in the In This Issue feature, p. 1069.","author":[{"dropping-particle":"","family":"Gainor","given":"J F","non-dropping-particle":"","parse-names":false,"suffix":""},{"dropping-particle":"","family":"Dardaei","given":"L","non-dropping-particle":"","parse-names":false,"suffix":""},{"dropping-particle":"","family":"Yoda","given":"S","non-dropping-particle":"","parse-names":false,"suffix":""},{"dropping-particle":"","family":"Friboulet","given":"L","non-dropping-particle":"","parse-names":false,"suffix":""},{"dropping-particle":"","family":"Leshchiner","given":"I","non-dropping-particle":"","parse-names":false,"suffix":""},{"dropping-particle":"","family":"Katayama","given":"R","non-dropping-particle":"","parse-names":false,"suffix":""},{"dropping-particle":"","family":"Dagogo-Jack","given":"I","non-dropping-particle":"","parse-names":false,"suffix":""},{"dropping-particle":"","family":"Gadgeel","given":"S","non-dropping-particle":"","parse-names":false,"suffix":""},{"dropping-particle":"","family":"Schultz","given":"K","non-dropping-particle":"","parse-names":false,"suffix":""},{"dropping-particle":"","family":"Singh","given":"M","non-dropping-particle":"","parse-names":false,"suffix":""},{"dropping-particle":"","family":"Chin","given":"E","non-dropping-particle":"","parse-names":false,"suffix":""},{"dropping-particle":"","family":"Parks","given":"M","non-dropping-particle":"","parse-names":false,"suffix":""},{"dropping-particle":"","family":"Lee","given":"D","non-dropping-particle":"","parse-names":false,"suffix":""},{"dropping-particle":"","family":"DiCecca","given":"R H","non-dropping-particle":"","parse-names":false,"suffix":""},{"dropping-particle":"","family":"Lockerman","given":"E","non-dropping-particle":"","parse-names":false,"suffix":""},{"dropping-particle":"","family":"Huynh","given":"T","non-dropping-particle":"","parse-names":false,"suffix":""},{"dropping-particle":"","family":"Logan","given":"J","non-dropping-particle":"","parse-names":false,"suffix":""},{"dropping-particle":"","family":"Ritterhouse","given":"L L","non-dropping-particle":"","parse-names":false,"suffix":""},{"dropping-particle":"","family":"Le","given":"L P","non-dropping-particle":"","parse-names":false,"suffix":""},{"dropping-particle":"","family":"Muniappan","given":"A","non-dropping-particle":"","parse-names":false,"suffix":""},{"dropping-particle":"","family":"Digumarthy","given":"S","non-dropping-particle":"","parse-names":false,"suffix":""},{"dropping-particle":"","family":"Channick","given":"C","non-dropping-particle":"","parse-names":false,"suffix":""},{"dropping-particle":"","family":"Keyes","given":"C","non-dropping-particle":"","parse-names":false,"suffix":""},{"dropping-particle":"","family":"Getz","given":"G","non-dropping-particle":"","parse-names":false,"suffix":""},{"dropping-particle":"","family":"Dias-Santagata","given":"D","non-dropping-particle":"","parse-names":false,"suffix":""},{"dropping-particle":"","family":"Heist","given":"R S","non-dropping-particle":"","parse-names":false,"suffix":""},{"dropping-particle":"","family":"Lennerz","given":"J","non-dropping-particle":"","parse-names":false,"suffix":""},{"dropping-particle":"V","family":"Sequist","given":"L","non-dropping-particle":"","parse-names":false,"suffix":""},{"dropping-particle":"","family":"Benes","given":"C H","non-dropping-particle":"","parse-names":false,"suffix":""},{"dropping-particle":"","family":"Iafrate","given":"A J","non-dropping-particle":"","parse-names":false,"suffix":""},{"dropping-particle":"","family":"Mino-Kenudson","given":"M","non-dropping-particle":"","parse-names":false,"suffix":""},{"dropping-particle":"","family":"Engelman","given":"J A","non-dropping-particle":"","parse-names":false,"suffix":""},{"dropping-particle":"","family":"Shaw","given":"A T","non-dropping-particle":"","parse-names":false,"suffix":""}],"container-title":"Cancer Discov","id":"ITEM-1","issue":"10","issued":{"date-parts":[["2016"]]},"note":"Gainor, Justin F\nDardaei, Leila\nYoda, Satoshi\nFriboulet, Luc\nLeshchiner, Ignaty\nKatayama, Ryohei\nDagogo-Jack, Ibiayi\nGadgeel, Shirish\nSchultz, Katherine\nSingh, Manrose\nChin, Emily\nParks, Melissa\nLee, Dana\nDiCecca, Richard H\nLockerman, Elizabeth\nHuynh, Tiffany\nLogan, Jennifer\nRitterhouse, Lauren L\nLe, Long P\nMuniappan, Ashok\nDigumarthy, Subba\nChannick, Colleen\nKeyes, Colleen\nGetz, Gad\nDias-Santagata, Dora\nHeist, Rebecca S\nLennerz, Jochen\nSequist, Lecia V\nBenes, Cyril H\nIafrate, A John\nMino-Kenudson, Mari\nEngelman, Jeffrey A\nShaw, Alice T\neng\nC06 CA059267/CA/NCI NIH HHS/\nR01 CA164273/CA/NCI NIH HHS/\nResearch Support, N.I.H., Extramural\nResearch Support, Non-U.S. Gov't\n2016/07/20 06:00\nCancer Discov. 2016 Oct;6(10):1118-1133. doi: 10.1158/2159-8290.CD-16-0596. Epub 2016 Jul 18.","page":"1118-1133","title":"Molecular Mechanisms of Resistance to First- and Second-Generation ALK Inhibitors in ALK-Rearranged Lung Cancer","type":"article-journal","volume":"6"},"uris":["http://www.mendeley.com/documents/?uuid=0dc19ffc-2b13-43ad-a235-bea02738a4f7","http://www.mendeley.com/documents/?uuid=6bbac7c5-5ffe-479e-a318-49b5e80ddb5f"]},{"id":"ITEM-2","itemData":{"DOI":"10.1126/science.1254721","ISBN":"1095-9203 (Electronic)\r0036-8075 (Linking)","PMID":"25394791","abstract":"Targeted cancer therapies have produced substantial clinical responses, but most tumors develop resistance to these drugs. Here, we describe a pharmacogenomic platform that facilitates rapid discovery of drug combinations that can overcome resistance. We established cell culture models derived from biopsy samples of lung cancer patients whose disease had progressed while on treatment with epidermal growth factor receptor (EGFR) or anaplastic lymphoma kinase (ALK) tyrosine kinase inhibitors and then subjected these cells to genetic analyses and a pharmacological screen. Multiple effective drug combinations were identified. For example, the combination of ALK and MAPK kinase (MEK) inhibitors was active in an ALK-positive resistant tumor that had developed a MAP2K1 activating mutation, and the combination of EGFR and fibroblast growth factor receptor (FGFR) inhibitors was active in an EGFR mutant resistant cancer with a mutation in FGFR3. Combined ALK and SRC (pp60c-src) inhibition was effective in several ALK-driven patient-derived models, a result not predicted by genetic analysis alone. With further refinements, this strategy could help direct therapeutic choices for individual patients.","author":[{"dropping-particle":"","family":"Crystal","given":"A S","non-dropping-particle":"","parse-names":false,"suffix":""},{"dropping-particle":"","family":"Shaw","given":"A T","non-dropping-particle":"","parse-names":false,"suffix":""},{"dropping-particle":"V","family":"Sequist","given":"L","non-dropping-particle":"","parse-names":false,"suffix":""},{"dropping-particle":"","family":"Friboulet","given":"L","non-dropping-particle":"","parse-names":false,"suffix":""},{"dropping-particle":"","family":"Niederst","given":"M J","non-dropping-particle":"","parse-names":false,"suffix":""},{"dropping-particle":"","family":"Lockerman","given":"E L","non-dropping-particle":"","parse-names":false,"suffix":""},{"dropping-particle":"","family":"Frias","given":"R L","non-dropping-particle":"","parse-names":false,"suffix":""},{"dropping-particle":"","family":"Gainor","given":"J F","non-dropping-particle":"","parse-names":false,"suffix":""},{"dropping-particle":"","family":"Amzallag","given":"A","non-dropping-particle":"","parse-names":false,"suffix":""},{"dropping-particle":"","family":"Greninger","given":"P","non-dropping-particle":"","parse-names":false,"suffix":""},{"dropping-particle":"","family":"Lee","given":"D","non-dropping-particle":"","parse-names":false,"suffix":""},{"dropping-particle":"","family":"Kalsy","given":"A","non-dropping-particle":"","parse-names":false,"suffix":""},{"dropping-particle":"","family":"Gomez-Caraballo","given":"M","non-dropping-particle":"","parse-names":false,"suffix":""},{"dropping-particle":"","family":"Elamine","given":"L","non-dropping-particle":"","parse-names":false,"suffix":""},{"dropping-particle":"","family":"Howe","given":"E","non-dropping-particle":"","parse-names":false,"suffix":""},{"dropping-particle":"","family":"Hur","given":"W","non-dropping-particle":"","parse-names":false,"suffix":""},{"dropping-particle":"","family":"Lifshits","given":"E","non-dropping-particle":"","parse-names":false,"suffix":""},{"dropping-particle":"","family":"Robinson","given":"H E","non-dropping-particle":"","parse-names":false,"suffix":""},{"dropping-particle":"","family":"Katayama","given":"R","non-dropping-particle":"","parse-names":false,"suffix":""},{"dropping-particle":"","family":"Faber","given":"A C","non-dropping-particle":"","parse-names":false,"suffix":""},{"dropping-particle":"","family":"Awad","given":"M M","non-dropping-particle":"","parse-names":false,"suffix":""},{"dropping-particle":"","family":"Ramaswamy","given":"S","non-dropping-particle":"","parse-names":false,"suffix":""},{"dropping-particle":"","family":"Mino-Kenudson","given":"M","non-dropping-particle":"","parse-names":false,"suffix":""},{"dropping-particle":"","family":"Iafrate","given":"A J","non-dropping-particle":"","parse-names":false,"suffix":""},{"dropping-particle":"","family":"Benes","given":"C H","non-dropping-particle":"","parse-names":false,"suffix":""},{"dropping-particle":"","family":"Engelman","given":"J A","non-dropping-particle":"","parse-names":false,"suffix":""}],"container-title":"Science","id":"ITEM-2","issue":"6216","issued":{"date-parts":[["2014"]]},"note":"Crystal, Adam S\nShaw, Alice T\nSequist, Lecia V\nFriboulet, Luc\nNiederst, Matthew J\nLockerman, Elizabeth L\nFrias, Rosa L\nGainor, Justin F\nAmzallag, Arnaud\nGreninger, Patricia\nLee, Dana\nKalsy, Anuj\nGomez-Caraballo, Maria\nElamine, Leila\nHowe, Emily\nHur, Wooyoung\nLifshits, Eugene\nRobinson, Hayley E\nKatayama, Ryohei\nFaber, Anthony C\nAwad, Mark M\nRamaswamy, Sridhar\nMino-Kenudson, Mari\nIafrate, A John\nBenes, Cyril H\nEngelman, Jeffrey A\neng\nR01CA164273/CA/NCI NIH HHS/\n102696/Wellcome Trust/United Kingdom\nP50CA090578/CA/NCI NIH HHS/\nR01 CA137008/CA/NCI NIH HHS/\nU54 HG006097/HG/NHGRI NIH HHS/\nR01 CA164273/CA/NCI NIH HHS/\nR01CA137008/CA/NCI NIH HHS/\n1U54HG006097-01/HG/NHGRI NIH HHS/\n086357/Wellcome Trust/United Kingdom\nP50 CA090578/CA/NCI NIH HHS/\nResearch Support, N.I.H., Extramural\nResearch Support, Non-U.S. Gov't\nResearch Support, U.S. Gov't, Non-P.H.S.\n2014/11/15 06:00\nScience. 2014 Dec 19;346(6216):1480-6. doi: 10.1126/science.1254721. Epub 2014 Nov 13.","page":"1480-1486","title":"Patient-derived models of acquired resistance can identify effective drug combinations for cancer","type":"article-journal","volume":"346"},"uris":["http://www.mendeley.com/documents/?uuid=62f11e7d-3f3a-455a-b00f-b63469bc0a56"]}],"mendeley":{"formattedCitation":"&lt;sup&gt;54,55&lt;/sup&gt;","plainTextFormattedCitation":"54,55","previouslyFormattedCitation":"&lt;sup&gt;54,55&lt;/sup&gt;"},"properties":{"noteIndex":0},"schema":"https://github.com/citation-style-language/schema/raw/master/csl-citation.json"}</w:instrText>
      </w:r>
      <w:r w:rsidR="008512D9" w:rsidRPr="00E94CA9">
        <w:rPr>
          <w:rFonts w:cs="Arial"/>
          <w:sz w:val="22"/>
          <w:szCs w:val="22"/>
        </w:rPr>
        <w:fldChar w:fldCharType="separate"/>
      </w:r>
      <w:r w:rsidR="00394C69" w:rsidRPr="00394C69">
        <w:rPr>
          <w:rFonts w:cs="Arial"/>
          <w:noProof/>
          <w:sz w:val="22"/>
          <w:szCs w:val="22"/>
          <w:vertAlign w:val="superscript"/>
        </w:rPr>
        <w:t>54,55</w:t>
      </w:r>
      <w:r w:rsidR="008512D9" w:rsidRPr="00E94CA9">
        <w:rPr>
          <w:rFonts w:cs="Arial"/>
          <w:sz w:val="22"/>
          <w:szCs w:val="22"/>
        </w:rPr>
        <w:fldChar w:fldCharType="end"/>
      </w:r>
      <w:r w:rsidR="005033EF" w:rsidRPr="00E94CA9">
        <w:rPr>
          <w:rFonts w:cs="Arial"/>
          <w:sz w:val="22"/>
          <w:szCs w:val="22"/>
        </w:rPr>
        <w:fldChar w:fldCharType="begin"/>
      </w:r>
      <w:r w:rsidR="005033EF" w:rsidRPr="00E94CA9">
        <w:rPr>
          <w:rFonts w:cs="Arial"/>
          <w:sz w:val="22"/>
          <w:szCs w:val="22"/>
        </w:rPr>
        <w:instrText>ADDIN EN.CITE</w:instrText>
      </w:r>
      <w:r w:rsidR="005033EF" w:rsidRPr="00E94CA9">
        <w:rPr>
          <w:rFonts w:cs="Arial"/>
          <w:sz w:val="22"/>
          <w:szCs w:val="22"/>
        </w:rPr>
        <w:fldChar w:fldCharType="end"/>
      </w:r>
      <w:r w:rsidR="005033EF" w:rsidRPr="00E94CA9">
        <w:rPr>
          <w:rFonts w:cs="Arial"/>
          <w:sz w:val="22"/>
          <w:szCs w:val="22"/>
        </w:rPr>
        <w:t>. Interestingly, we identified a resistance gene (</w:t>
      </w:r>
      <w:r w:rsidR="005033EF" w:rsidRPr="00E94CA9">
        <w:rPr>
          <w:rFonts w:cs="Arial"/>
          <w:i/>
          <w:sz w:val="22"/>
          <w:szCs w:val="22"/>
        </w:rPr>
        <w:t>MFSD2A</w:t>
      </w:r>
      <w:r w:rsidR="005033EF" w:rsidRPr="00E94CA9">
        <w:rPr>
          <w:rFonts w:cs="Arial"/>
          <w:sz w:val="22"/>
          <w:szCs w:val="22"/>
        </w:rPr>
        <w:t>)</w:t>
      </w:r>
      <w:r w:rsidR="009477D7" w:rsidRPr="00E94CA9">
        <w:rPr>
          <w:rFonts w:cs="Arial"/>
          <w:sz w:val="22"/>
          <w:szCs w:val="22"/>
        </w:rPr>
        <w:fldChar w:fldCharType="begin" w:fldLock="1"/>
      </w:r>
      <w:r w:rsidR="004F24F9">
        <w:rPr>
          <w:rFonts w:cs="Arial"/>
          <w:sz w:val="22"/>
          <w:szCs w:val="22"/>
        </w:rPr>
        <w:instrText>ADDIN CSL_CITATION {"citationItems":[{"id":"ITEM-1","itemData":{"DOI":"10.1038/nature13241","ISBN":"1476-4687 (Electronic)\r0028-0836 (Linking)","PMID":"24828044","abstract":"Docosahexaenoic acid (DHA) is an omega-3 fatty acid that is essential for normal brain growth and cognitive function. Consistent with its importance in the brain, DHA is highly enriched in brain phospholipids. Despite being an abundant fatty acid in brain phospholipids, DHA cannot be de novo synthesized in brain and must be imported across the blood-brain barrier, but mechanisms for DHA uptake in brain have remained enigmatic. Here we identify a member of the major facilitator superfamily--Mfsd2a (previously an orphan transporter)--as the major transporter for DHA uptake into brain. Mfsd2a is found to be expressed exclusively in endothelium of the blood-brain barrier of micro-vessels. Lipidomic analysis indicates that Mfsd2a-deficient (Mfsd2a-knockout) mice show markedly reduced levels of DHA in brain accompanied by neuronal cell loss in hippocampus and cerebellum, as well as cognitive deficits and severe anxiety, and microcephaly. Unexpectedly, cell-based studies indicate that Mfsd2a transports DHA in the form of lysophosphatidylcholine (LPC), but not unesterified fatty acid, in a sodium-dependent manner. Notably, Mfsd2a transports common plasma LPCs carrying long-chain fatty acids such LPC oleate and LPC palmitate, but not LPCs with less than a 14-carbon acyl chain. Moreover, we determine that the phosphor-zwitterionic headgroup of LPC is critical for transport. Importantly, Mfsd2a-knockout mice have markedly reduced uptake of labelled LPC DHA, and other LPCs, from plasma into brain, demonstrating that Mfsd2a is required for brain uptake of DHA. Our findings reveal an unexpected essential physiological role of plasma-derived LPCs in brain growth and function.","author":[{"dropping-particle":"","family":"Nguyen","given":"L N","non-dropping-particle":"","parse-names":false,"suffix":""},{"dropping-particle":"","family":"Ma","given":"D","non-dropping-particle":"","parse-names":false,"suffix":""},{"dropping-particle":"","family":"Shui","given":"G","non-dropping-particle":"","parse-names":false,"suffix":""},{"dropping-particle":"","family":"Wong","given":"P","non-dropping-particle":"","parse-names":false,"suffix":""},{"dropping-particle":"","family":"Cazenave-Gassiot","given":"A","non-dropping-particle":"","parse-names":false,"suffix":""},{"dropping-particle":"","family":"Zhang","given":"X","non-dropping-particle":"","parse-names":false,"suffix":""},{"dropping-particle":"","family":"Wenk","given":"M R","non-dropping-particle":"","parse-names":false,"suffix":""},{"dropping-particle":"","family":"Goh","given":"E L","non-dropping-particle":"","parse-names":false,"suffix":""},{"dropping-particle":"","family":"Silver","given":"D L","non-dropping-particle":"","parse-names":false,"suffix":""}],"container-title":"Nature","id":"ITEM-1","issue":"7501","issued":{"date-parts":[["2014"]]},"note":"Nguyen, Long N\nMa, Dongliang\nShui, Guanghou\nWong, Peiyan\nCazenave-Gassiot, Amaury\nZhang, Xiaodong\nWenk, Markus R\nGoh, Eyleen L K\nSilver, David L\neng\nResearch Support, Non-U.S. Gov't\nEngland\n2014/05/16 06:00\nNature. 2014 May 22;509(7501):503-6. doi: 10.1038/nature13241. Epub 2014 May 14.","page":"503-506","title":"Mfsd2a is a transporter for the essential omega-3 fatty acid docosahexaenoic acid","type":"article-journal","volume":"509"},"uris":["http://www.mendeley.com/documents/?uuid=1eb2731a-8af2-4104-9c04-991dce24977c","http://www.mendeley.com/documents/?uuid=4577bc3e-ce9b-4913-b2d3-918babd22228"]}],"mendeley":{"formattedCitation":"&lt;sup&gt;56&lt;/sup&gt;","plainTextFormattedCitation":"56","previouslyFormattedCitation":"&lt;sup&gt;56&lt;/sup&gt;"},"properties":{"noteIndex":0},"schema":"https://github.com/citation-style-language/schema/raw/master/csl-citation.json"}</w:instrText>
      </w:r>
      <w:r w:rsidR="009477D7" w:rsidRPr="00E94CA9">
        <w:rPr>
          <w:rFonts w:cs="Arial"/>
          <w:sz w:val="22"/>
          <w:szCs w:val="22"/>
        </w:rPr>
        <w:fldChar w:fldCharType="separate"/>
      </w:r>
      <w:r w:rsidR="00394C69" w:rsidRPr="00394C69">
        <w:rPr>
          <w:rFonts w:cs="Arial"/>
          <w:noProof/>
          <w:sz w:val="22"/>
          <w:szCs w:val="22"/>
          <w:vertAlign w:val="superscript"/>
        </w:rPr>
        <w:t>56</w:t>
      </w:r>
      <w:r w:rsidR="009477D7" w:rsidRPr="00E94CA9">
        <w:rPr>
          <w:rFonts w:cs="Arial"/>
          <w:sz w:val="22"/>
          <w:szCs w:val="22"/>
        </w:rPr>
        <w:fldChar w:fldCharType="end"/>
      </w:r>
      <w:r w:rsidR="005033EF" w:rsidRPr="00E94CA9">
        <w:rPr>
          <w:rFonts w:cs="Arial"/>
          <w:sz w:val="22"/>
          <w:szCs w:val="22"/>
        </w:rPr>
        <w:t xml:space="preserve"> encoding a sodium-dependent transporter of fatty acids expressed in brain endothelium</w:t>
      </w:r>
      <w:r w:rsidR="0053783F" w:rsidRPr="00E94CA9">
        <w:rPr>
          <w:rFonts w:cs="Arial"/>
          <w:sz w:val="22"/>
          <w:szCs w:val="22"/>
        </w:rPr>
        <w:t>,</w:t>
      </w:r>
      <w:r w:rsidR="005033EF" w:rsidRPr="00E94CA9">
        <w:rPr>
          <w:rFonts w:cs="Arial"/>
          <w:sz w:val="22"/>
          <w:szCs w:val="22"/>
        </w:rPr>
        <w:fldChar w:fldCharType="begin"/>
      </w:r>
      <w:r w:rsidR="005033EF" w:rsidRPr="00E94CA9">
        <w:rPr>
          <w:rFonts w:cs="Arial"/>
          <w:sz w:val="22"/>
          <w:szCs w:val="22"/>
        </w:rPr>
        <w:instrText>ADDIN EN.CITE</w:instrText>
      </w:r>
      <w:r w:rsidR="005033EF" w:rsidRPr="00E94CA9">
        <w:rPr>
          <w:rFonts w:cs="Arial"/>
          <w:sz w:val="22"/>
          <w:szCs w:val="22"/>
        </w:rPr>
        <w:fldChar w:fldCharType="end"/>
      </w:r>
      <w:r w:rsidR="005033EF" w:rsidRPr="00E94CA9">
        <w:rPr>
          <w:rFonts w:cs="Arial"/>
          <w:sz w:val="22"/>
          <w:szCs w:val="22"/>
        </w:rPr>
        <w:t xml:space="preserve"> in both SH-SY5Y and CHLA-20 cells treated with </w:t>
      </w:r>
      <w:proofErr w:type="spellStart"/>
      <w:r w:rsidR="005033EF" w:rsidRPr="00E94CA9">
        <w:rPr>
          <w:rFonts w:cs="Arial"/>
          <w:sz w:val="22"/>
          <w:szCs w:val="22"/>
        </w:rPr>
        <w:t>brigatinib</w:t>
      </w:r>
      <w:proofErr w:type="spellEnd"/>
      <w:r w:rsidR="005033EF" w:rsidRPr="00E94CA9">
        <w:rPr>
          <w:rFonts w:cs="Arial"/>
          <w:sz w:val="22"/>
          <w:szCs w:val="22"/>
        </w:rPr>
        <w:t xml:space="preserve"> </w:t>
      </w:r>
      <w:r w:rsidR="00914E7B" w:rsidRPr="00E94CA9">
        <w:rPr>
          <w:rFonts w:cs="Arial"/>
          <w:color w:val="000000" w:themeColor="text1"/>
          <w:sz w:val="22"/>
          <w:szCs w:val="22"/>
        </w:rPr>
        <w:t>or</w:t>
      </w:r>
      <w:r w:rsidR="00914E7B" w:rsidRPr="00E94CA9">
        <w:rPr>
          <w:rFonts w:cs="Arial"/>
          <w:sz w:val="22"/>
          <w:szCs w:val="22"/>
        </w:rPr>
        <w:t xml:space="preserve"> </w:t>
      </w:r>
      <w:proofErr w:type="spellStart"/>
      <w:r w:rsidR="005033EF" w:rsidRPr="00E94CA9">
        <w:rPr>
          <w:rFonts w:cs="Arial"/>
          <w:sz w:val="22"/>
          <w:szCs w:val="22"/>
        </w:rPr>
        <w:t>ceritinib</w:t>
      </w:r>
      <w:proofErr w:type="spellEnd"/>
      <w:r w:rsidR="005033EF" w:rsidRPr="00E94CA9">
        <w:rPr>
          <w:rFonts w:cs="Arial"/>
          <w:sz w:val="22"/>
          <w:szCs w:val="22"/>
        </w:rPr>
        <w:t xml:space="preserve"> at ED</w:t>
      </w:r>
      <w:r w:rsidR="005033EF" w:rsidRPr="00E94CA9">
        <w:rPr>
          <w:rFonts w:cs="Arial"/>
          <w:sz w:val="22"/>
          <w:szCs w:val="22"/>
          <w:vertAlign w:val="subscript"/>
        </w:rPr>
        <w:t>75</w:t>
      </w:r>
      <w:r w:rsidR="005033EF" w:rsidRPr="00E94CA9">
        <w:rPr>
          <w:rFonts w:cs="Arial"/>
          <w:sz w:val="22"/>
          <w:szCs w:val="22"/>
        </w:rPr>
        <w:t xml:space="preserve"> </w:t>
      </w:r>
      <w:r w:rsidR="005033EF" w:rsidRPr="00E94CA9">
        <w:rPr>
          <w:rFonts w:cs="Arial"/>
          <w:color w:val="000000" w:themeColor="text1"/>
          <w:sz w:val="22"/>
          <w:szCs w:val="22"/>
        </w:rPr>
        <w:t>concentrations</w:t>
      </w:r>
      <w:r w:rsidR="0053783F" w:rsidRPr="00E94CA9">
        <w:rPr>
          <w:rFonts w:cs="Arial"/>
          <w:color w:val="000000" w:themeColor="text1"/>
          <w:sz w:val="22"/>
          <w:szCs w:val="22"/>
        </w:rPr>
        <w:t xml:space="preserve">, </w:t>
      </w:r>
      <w:r w:rsidR="00327B2C" w:rsidRPr="00E94CA9">
        <w:rPr>
          <w:rFonts w:cs="Arial"/>
          <w:color w:val="000000" w:themeColor="text1"/>
          <w:sz w:val="22"/>
          <w:szCs w:val="22"/>
        </w:rPr>
        <w:t>most likely</w:t>
      </w:r>
      <w:r w:rsidR="005033EF" w:rsidRPr="00E94CA9">
        <w:rPr>
          <w:rFonts w:cs="Arial"/>
          <w:color w:val="000000" w:themeColor="text1"/>
          <w:sz w:val="22"/>
          <w:szCs w:val="22"/>
        </w:rPr>
        <w:t xml:space="preserve"> </w:t>
      </w:r>
      <w:r w:rsidR="0053783F" w:rsidRPr="00E94CA9">
        <w:rPr>
          <w:rFonts w:cs="Arial"/>
          <w:color w:val="000000" w:themeColor="text1"/>
          <w:sz w:val="22"/>
          <w:szCs w:val="22"/>
        </w:rPr>
        <w:t xml:space="preserve">functioning </w:t>
      </w:r>
      <w:r w:rsidR="0053783F" w:rsidRPr="00E94CA9">
        <w:rPr>
          <w:rFonts w:cs="Arial"/>
          <w:color w:val="000000" w:themeColor="text1"/>
          <w:sz w:val="22"/>
          <w:szCs w:val="22"/>
        </w:rPr>
        <w:lastRenderedPageBreak/>
        <w:t>as an</w:t>
      </w:r>
      <w:r w:rsidR="00327B2C" w:rsidRPr="00E94CA9">
        <w:rPr>
          <w:rFonts w:cs="Arial"/>
          <w:color w:val="000000" w:themeColor="text1"/>
          <w:sz w:val="22"/>
          <w:szCs w:val="22"/>
        </w:rPr>
        <w:t xml:space="preserve"> </w:t>
      </w:r>
      <w:r w:rsidR="005033EF" w:rsidRPr="00E94CA9">
        <w:rPr>
          <w:rFonts w:cs="Arial"/>
          <w:color w:val="000000" w:themeColor="text1"/>
          <w:sz w:val="22"/>
          <w:szCs w:val="22"/>
        </w:rPr>
        <w:t xml:space="preserve">efflux </w:t>
      </w:r>
      <w:r w:rsidR="0053783F" w:rsidRPr="00E94CA9">
        <w:rPr>
          <w:rFonts w:cs="Arial"/>
          <w:color w:val="000000" w:themeColor="text1"/>
          <w:sz w:val="22"/>
          <w:szCs w:val="22"/>
        </w:rPr>
        <w:t>pump for</w:t>
      </w:r>
      <w:r w:rsidR="005033EF" w:rsidRPr="00E94CA9">
        <w:rPr>
          <w:rFonts w:cs="Arial"/>
          <w:color w:val="000000" w:themeColor="text1"/>
          <w:sz w:val="22"/>
          <w:szCs w:val="22"/>
        </w:rPr>
        <w:t xml:space="preserve"> </w:t>
      </w:r>
      <w:r w:rsidR="005033EF" w:rsidRPr="00E94CA9">
        <w:rPr>
          <w:rFonts w:cs="Arial"/>
          <w:sz w:val="22"/>
          <w:szCs w:val="22"/>
        </w:rPr>
        <w:t>ALK inhibitors</w:t>
      </w:r>
      <w:r w:rsidR="0053783F" w:rsidRPr="00E94CA9">
        <w:rPr>
          <w:rFonts w:cs="Arial"/>
          <w:sz w:val="22"/>
          <w:szCs w:val="22"/>
        </w:rPr>
        <w:t xml:space="preserve"> although this remains to be investigated further</w:t>
      </w:r>
      <w:r w:rsidR="005033EF" w:rsidRPr="00E94CA9">
        <w:rPr>
          <w:rFonts w:cs="Arial"/>
          <w:sz w:val="22"/>
          <w:szCs w:val="22"/>
        </w:rPr>
        <w:t xml:space="preserve">. Encouragingly, gene set enrichment analysis of </w:t>
      </w:r>
      <w:r w:rsidR="00251211" w:rsidRPr="00E94CA9">
        <w:rPr>
          <w:rFonts w:cs="Arial"/>
          <w:sz w:val="22"/>
          <w:szCs w:val="22"/>
        </w:rPr>
        <w:t>the</w:t>
      </w:r>
      <w:r w:rsidR="005033EF" w:rsidRPr="00E94CA9">
        <w:rPr>
          <w:rFonts w:cs="Arial"/>
          <w:sz w:val="22"/>
          <w:szCs w:val="22"/>
        </w:rPr>
        <w:t xml:space="preserve"> putative resistance genes showed an enrichment for genes involved in negative regulation of cell death.</w:t>
      </w:r>
    </w:p>
    <w:p w14:paraId="08A4B2A2" w14:textId="29F6C6E0" w:rsidR="00D30528" w:rsidRPr="00E94CA9" w:rsidRDefault="005033EF">
      <w:pPr>
        <w:spacing w:line="360" w:lineRule="auto"/>
        <w:ind w:firstLine="284"/>
        <w:jc w:val="both"/>
        <w:rPr>
          <w:rFonts w:cs="Arial"/>
          <w:sz w:val="22"/>
          <w:szCs w:val="22"/>
        </w:rPr>
      </w:pPr>
      <w:r w:rsidRPr="00E94CA9">
        <w:rPr>
          <w:rFonts w:cs="Arial"/>
          <w:i/>
          <w:sz w:val="22"/>
          <w:szCs w:val="22"/>
        </w:rPr>
        <w:t>MET</w:t>
      </w:r>
      <w:r w:rsidRPr="00E94CA9">
        <w:rPr>
          <w:rFonts w:cs="Arial"/>
          <w:sz w:val="22"/>
          <w:szCs w:val="22"/>
        </w:rPr>
        <w:t xml:space="preserve"> was the only putative resistant gene common to all ALK inhibitors. Given that </w:t>
      </w:r>
      <w:proofErr w:type="spellStart"/>
      <w:r w:rsidRPr="00E94CA9">
        <w:rPr>
          <w:rFonts w:cs="Arial"/>
          <w:sz w:val="22"/>
          <w:szCs w:val="22"/>
        </w:rPr>
        <w:t>crizotinib</w:t>
      </w:r>
      <w:proofErr w:type="spellEnd"/>
      <w:r w:rsidRPr="00E94CA9">
        <w:rPr>
          <w:rFonts w:cs="Arial"/>
          <w:sz w:val="22"/>
          <w:szCs w:val="22"/>
        </w:rPr>
        <w:t xml:space="preserve"> is a potent inhibitor of c-MET</w:t>
      </w:r>
      <w:r w:rsidR="009477D7" w:rsidRPr="00E94CA9">
        <w:rPr>
          <w:rFonts w:cs="Arial"/>
          <w:sz w:val="22"/>
          <w:szCs w:val="22"/>
        </w:rPr>
        <w:fldChar w:fldCharType="begin" w:fldLock="1"/>
      </w:r>
      <w:r w:rsidR="00394C69">
        <w:rPr>
          <w:rFonts w:cs="Arial"/>
          <w:sz w:val="22"/>
          <w:szCs w:val="22"/>
        </w:rPr>
        <w:instrText>ADDIN CSL_CITATION {"citationItems":[{"id":"ITEM-1","itemData":{"DOI":"10.3892/ijo.2014.2797","ISBN":"1791-2423 (Electronic)\r1019-6439 (Linking)","PMID":"25502629","abstract":"Non-small cell lung cancer (NSCLC) carrying echinoderm microtubule-associated protein-like 4 (EML4)-anaplastic lymphoma kinase (ALK) rearrangements is hypersensitive to ALK inhibitors, including crizotinib and alectinib. Crizotinib was initially designed as a MET inhibitor, whereas alectinib is a selective ALK inhibitor. The MET signal, which is inhibited by crizotinib but not by alectinib, is dysregulated in many human cancers. However, the role of the MET signal in ALK-positive NSCLC remains unclear. In this study, we found that hepatocyte growth factor (HGF), ligand of MET, mediated the resistance to alectinib, but not to crizotinib, via the MET signal in ALK-positive NSCLC cell lines (H3122 and H2228 cell lines). In addition, alectinib activated the MET signal even in the absence of HGF and the inhibition of the MET signal enhanced the efficacy of alectinib. These findings suggest that activated MET acts as a salvage signal in ALK-positive NSCLC. This novel role of the MET signal in ALK-positive NSCLC may pave the way for further clinical trials examining MET inhibitors.","author":[{"dropping-particle":"","family":"Kogita","given":"A","non-dropping-particle":"","parse-names":false,"suffix":""},{"dropping-particle":"","family":"Togashi","given":"Y","non-dropping-particle":"","parse-names":false,"suffix":""},{"dropping-particle":"","family":"Hayashi","given":"H","non-dropping-particle":"","parse-names":false,"suffix":""},{"dropping-particle":"","family":"Banno","given":"E","non-dropping-particle":"","parse-names":false,"suffix":""},{"dropping-particle":"","family":"Terashima","given":"M","non-dropping-particle":"","parse-names":false,"suffix":""},{"dropping-particle":"","family":"Velasco","given":"M A","non-dropping-particle":"De","parse-names":false,"suffix":""},{"dropping-particle":"","family":"Sakai","given":"K","non-dropping-particle":"","parse-names":false,"suffix":""},{"dropping-particle":"","family":"Fujita","given":"Y","non-dropping-particle":"","parse-names":false,"suffix":""},{"dropping-particle":"","family":"Tomida","given":"S","non-dropping-particle":"","parse-names":false,"suffix":""},{"dropping-particle":"","family":"Takeyama","given":"Y","non-dropping-particle":"","parse-names":false,"suffix":""},{"dropping-particle":"","family":"Okuno","given":"K","non-dropping-particle":"","parse-names":false,"suffix":""},{"dropping-particle":"","family":"Nakagawa","given":"K","non-dropping-particle":"","parse-names":false,"suffix":""},{"dropping-particle":"","family":"Nishio","given":"K","non-dropping-particle":"","parse-names":false,"suffix":""}],"container-title":"Int J Oncol","id":"ITEM-1","issue":"3","issued":{"date-parts":[["2015"]]},"note":"Kogita, Akihiro\nTogashi, Yosuke\nHayashi, Hidetoshi\nBanno, Eri\nTerashima, Masato\nDe Velasco, Marco A\nSakai, Kazuko\nFujita, Yoshihiko\nTomida, Shuta\nTakeyama, Yoshifumi\nOkuno, Kiyotaka\nNakagawa, Kazuhiko\nNishio, Kazuto\neng\nResearch Support, Non-U.S. Gov't\nGreece\n2014/12/17 06:00\nInt J Oncol. 2015 Mar;46(3):1025-30. doi: 10.3892/ijo.2014.2797. Epub 2014 Dec 15.","page":"1025-1030","title":"Activated MET acts as a salvage signal after treatment with alectinib, a selective ALK inhibitor, in ALK-positive non-small cell lung cancer","type":"article-journal","volume":"46"},"uris":["http://www.mendeley.com/documents/?uuid=9eb02c0b-2a65-4ea8-8362-2052dc17c3ee","http://www.mendeley.com/documents/?uuid=5067c21c-bce6-4877-bb1f-b5954d3c5a09"]}],"mendeley":{"formattedCitation":"&lt;sup&gt;31&lt;/sup&gt;","plainTextFormattedCitation":"31","previouslyFormattedCitation":"&lt;sup&gt;31&lt;/sup&gt;"},"properties":{"noteIndex":0},"schema":"https://github.com/citation-style-language/schema/raw/master/csl-citation.json"}</w:instrText>
      </w:r>
      <w:r w:rsidR="009477D7" w:rsidRPr="00E94CA9">
        <w:rPr>
          <w:rFonts w:cs="Arial"/>
          <w:sz w:val="22"/>
          <w:szCs w:val="22"/>
        </w:rPr>
        <w:fldChar w:fldCharType="separate"/>
      </w:r>
      <w:r w:rsidR="00542124" w:rsidRPr="00E94CA9">
        <w:rPr>
          <w:rFonts w:cs="Arial"/>
          <w:noProof/>
          <w:sz w:val="22"/>
          <w:szCs w:val="22"/>
          <w:vertAlign w:val="superscript"/>
        </w:rPr>
        <w:t>31</w:t>
      </w:r>
      <w:r w:rsidR="009477D7"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xml:space="preserve"> and can overcome ALK inhibitor resistance driven by activation of MET in NSCLC</w:t>
      </w:r>
      <w:r w:rsidR="009477D7" w:rsidRPr="00E94CA9">
        <w:rPr>
          <w:rFonts w:cs="Arial"/>
          <w:sz w:val="22"/>
          <w:szCs w:val="22"/>
        </w:rPr>
        <w:fldChar w:fldCharType="begin" w:fldLock="1"/>
      </w:r>
      <w:r w:rsidR="00394C69">
        <w:rPr>
          <w:rFonts w:cs="Arial"/>
          <w:sz w:val="22"/>
          <w:szCs w:val="22"/>
        </w:rPr>
        <w:instrText>ADDIN CSL_CITATION {"citationItems":[{"id":"ITEM-1","itemData":{"DOI":"10.1097/JTO.0b013e3182a008ed","ISBN":"1556-1380 (Electronic)\r1556-0864 (Linking)","PMID":"24128725","author":[{"dropping-particle":"","family":"Toyokawa","given":"G","non-dropping-particle":"","parse-names":false,"suffix":""},{"dropping-particle":"","family":"Takenoyama","given":"M","non-dropping-particle":"","parse-names":false,"suffix":""},{"dropping-particle":"","family":"Watanabe","given":"S","non-dropping-particle":"","parse-names":false,"suffix":""},{"dropping-particle":"","family":"Toyozawa","given":"R","non-dropping-particle":"","parse-names":false,"suffix":""},{"dropping-particle":"","family":"Inamasu","given":"E","non-dropping-particle":"","parse-names":false,"suffix":""},{"dropping-particle":"","family":"Kojo","given":"M","non-dropping-particle":"","parse-names":false,"suffix":""},{"dropping-particle":"","family":"Shiraishi","given":"Y","non-dropping-particle":"","parse-names":false,"suffix":""},{"dropping-particle":"","family":"Morodomi","given":"Y","non-dropping-particle":"","parse-names":false,"suffix":""},{"dropping-particle":"","family":"Takenaka","given":"T","non-dropping-particle":"","parse-names":false,"suffix":""},{"dropping-particle":"","family":"Hirai","given":"F","non-dropping-particle":"","parse-names":false,"suffix":""},{"dropping-particle":"","family":"Yamaguchi","given":"M","non-dropping-particle":"","parse-names":false,"suffix":""},{"dropping-particle":"","family":"Taguchi","given":"K","non-dropping-particle":"","parse-names":false,"suffix":""},{"dropping-particle":"","family":"Seto","given":"T","non-dropping-particle":"","parse-names":false,"suffix":""},{"dropping-particle":"","family":"Ichinose","given":"Y","non-dropping-particle":"","parse-names":false,"suffix":""}],"container-title":"J Thorac Oncol","id":"ITEM-1","issue":"11","issued":{"date-parts":[["2013"]]},"note":"Toyokawa, Gouji\nTakenoyama, Mitsuhiro\nWatanabe, Sawori\nToyozawa, Ryo\nInamasu, Eiko\nKojo, Miyako\nShiraishi, Yoshimasa\nMorodomi, Yosuke\nTakenaka, Tomoyoshi\nHirai, Fumihiko\nYamaguchi, Masafumi\nTaguchi, Kenichi\nSeto, Takashi\nIchinose, Yukito\neng\nCase Reports\nResearch Support, Non-U.S. Gov't\n2013/10/17 06:00\nJ Thorac Oncol. 2013 Nov;8(11):e96-8. doi: 10.1097/JTO.0b013e3182a008ed.","page":"e96-8","title":"Dramatic response to crizotinib in an ALK-positive adenocarcinoma patient with disseminated intravascular coagulation","type":"article-journal","volume":"8"},"uris":["http://www.mendeley.com/documents/?uuid=05e6b477-7efb-4303-8549-2b4d1e4b63d4","http://www.mendeley.com/documents/?uuid=1fd9c71f-5dba-495b-acdc-ceef2cd31c75"]}],"mendeley":{"formattedCitation":"&lt;sup&gt;32&lt;/sup&gt;","plainTextFormattedCitation":"32","previouslyFormattedCitation":"&lt;sup&gt;32&lt;/sup&gt;"},"properties":{"noteIndex":0},"schema":"https://github.com/citation-style-language/schema/raw/master/csl-citation.json"}</w:instrText>
      </w:r>
      <w:r w:rsidR="009477D7" w:rsidRPr="00E94CA9">
        <w:rPr>
          <w:rFonts w:cs="Arial"/>
          <w:sz w:val="22"/>
          <w:szCs w:val="22"/>
        </w:rPr>
        <w:fldChar w:fldCharType="separate"/>
      </w:r>
      <w:r w:rsidR="00542124" w:rsidRPr="00E94CA9">
        <w:rPr>
          <w:rFonts w:cs="Arial"/>
          <w:noProof/>
          <w:sz w:val="22"/>
          <w:szCs w:val="22"/>
          <w:vertAlign w:val="superscript"/>
        </w:rPr>
        <w:t>32</w:t>
      </w:r>
      <w:r w:rsidR="009477D7"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xml:space="preserve">, we chose to focus instead on </w:t>
      </w:r>
      <w:r w:rsidRPr="00E94CA9">
        <w:rPr>
          <w:rFonts w:cs="Arial"/>
          <w:i/>
          <w:sz w:val="22"/>
          <w:szCs w:val="22"/>
        </w:rPr>
        <w:t>PIM</w:t>
      </w:r>
      <w:r w:rsidRPr="002A24F1">
        <w:rPr>
          <w:rFonts w:cs="Arial"/>
          <w:i/>
          <w:iCs/>
          <w:sz w:val="22"/>
          <w:szCs w:val="22"/>
        </w:rPr>
        <w:t>1</w:t>
      </w:r>
      <w:r w:rsidRPr="00E94CA9">
        <w:rPr>
          <w:rFonts w:cs="Arial"/>
          <w:sz w:val="22"/>
          <w:szCs w:val="22"/>
        </w:rPr>
        <w:t xml:space="preserve"> whereby high </w:t>
      </w:r>
      <w:r w:rsidRPr="00E94CA9">
        <w:rPr>
          <w:rFonts w:cs="Arial"/>
          <w:i/>
          <w:sz w:val="22"/>
          <w:szCs w:val="22"/>
        </w:rPr>
        <w:t>PIM1</w:t>
      </w:r>
      <w:r w:rsidRPr="00E94CA9">
        <w:rPr>
          <w:rFonts w:cs="Arial"/>
          <w:sz w:val="22"/>
          <w:szCs w:val="22"/>
        </w:rPr>
        <w:t xml:space="preserve"> gene expression levels were found to be associated with advanced, high-risk disease and poor survival outcomes on analysis of published datasets</w:t>
      </w:r>
      <w:r w:rsidR="009477D7" w:rsidRPr="00E94CA9">
        <w:rPr>
          <w:rFonts w:cs="Arial"/>
          <w:sz w:val="22"/>
          <w:szCs w:val="22"/>
        </w:rPr>
        <w:fldChar w:fldCharType="begin" w:fldLock="1"/>
      </w:r>
      <w:r w:rsidR="004F24F9">
        <w:rPr>
          <w:rFonts w:cs="Arial"/>
          <w:sz w:val="22"/>
          <w:szCs w:val="22"/>
        </w:rPr>
        <w:instrText>ADDIN CSL_CITATION {"citationItems":[{"id":"ITEM-1","itemData":{"DOI":"10.1186/s13059-015-0694-1","ISBN":"1474-760X (Electronic)\r1474-7596 (Linking)","PMID":"26109056","abstract":"BACKGROUND: Gene expression profiling is being widely applied in cancer research to identify biomarkers for clinical endpoint prediction. Since RNA-seq provides a powerful tool for transcriptome-based applications beyond the limitations of microarrays, we sought to systematically evaluate the performance of RNA-seq-based and microarray-based classifiers in this MAQC-III/SEQC study for clinical endpoint prediction using neuroblastoma as a model. RESULTS: We generate gene expression profiles from 498 primary neuroblastomas using both RNA-seq and 44 k microarrays. Characterization of the neuroblastoma transcriptome by RNA-seq reveals that more than 48,000 genes and 200,000 transcripts are being expressed in this malignancy. We also find that RNA-seq provides much more detailed information on specific transcript expression patterns in clinico-genetic neuroblastoma subgroups than microarrays. To systematically compare the power of RNA-seq and microarray-based models in predicting clinical endpoints, we divide the cohort randomly into training and validation sets and develop 360 predictive models on six clinical endpoints of varying predictability. Evaluation of factors potentially affecting model performances reveals that prediction accuracies are most strongly influenced by the nature of the clinical endpoint, whereas technological platforms (RNA-seq vs. microarrays), RNA-seq data analysis pipelines, and feature levels (gene vs. transcript vs. exon-junction level) do not significantly affect performances of the models. CONCLUSIONS: We demonstrate that RNA-seq outperforms microarrays in determining the transcriptomic characteristics of cancer, while RNA-seq and microarray-based models perform similarly in clinical endpoint prediction. Our findings may be valuable to guide future studies on the development of gene expression-based predictive models and their implementation in clinical practice.","author":[{"dropping-particle":"","family":"Zhang","given":"W","non-dropping-particle":"","parse-names":false,"suffix":""},{"dropping-particle":"","family":"Yu","given":"Y","non-dropping-particle":"","parse-names":false,"suffix":""},{"dropping-particle":"","family":"Hertwig","given":"F","non-dropping-particle":"","parse-names":false,"suffix":""},{"dropping-particle":"","family":"Thierry-Mieg","given":"J","non-dropping-particle":"","parse-names":false,"suffix":""},{"dropping-particle":"","family":"Zhang","given":"W","non-dropping-particle":"","parse-names":false,"suffix":""},{"dropping-particle":"","family":"Thierry-Mieg","given":"D","non-dropping-particle":"","parse-names":false,"suffix":""},{"dropping-particle":"","family":"Wang","given":"J","non-dropping-particle":"","parse-names":false,"suffix":""},{"dropping-particle":"","family":"Furlanello","given":"C","non-dropping-particle":"","parse-names":false,"suffix":""},{"dropping-particle":"","family":"Devanarayan","given":"V","non-dropping-particle":"","parse-names":false,"suffix":""},{"dropping-particle":"","family":"Cheng","given":"J","non-dropping-particle":"","parse-names":false,"suffix":""},{"dropping-particle":"","family":"Deng","given":"Y","non-dropping-particle":"","parse-names":false,"suffix":""},{"dropping-particle":"","family":"Hero","given":"B","non-dropping-particle":"","parse-names":false,"suffix":""},{"dropping-particle":"","family":"Hong","given":"H","non-dropping-particle":"","parse-names":false,"suffix":""},{"dropping-particle":"","family":"Jia","given":"M","non-dropping-particle":"","parse-names":false,"suffix":""},{"dropping-particle":"","family":"Li","given":"L","non-dropping-particle":"","parse-names":false,"suffix":""},{"dropping-particle":"","family":"Lin","given":"S M","non-dropping-particle":"","parse-names":false,"suffix":""},{"dropping-particle":"","family":"Nikolsky","given":"Y","non-dropping-particle":"","parse-names":false,"suffix":""},{"dropping-particle":"","family":"Oberthuer","given":"A","non-dropping-particle":"","parse-names":false,"suffix":""},{"dropping-particle":"","family":"Qing","given":"T","non-dropping-particle":"","parse-names":false,"suffix":""},{"dropping-particle":"","family":"Su","given":"Z","non-dropping-particle":"","parse-names":false,"suffix":""},{"dropping-particle":"","family":"Volland","given":"R","non-dropping-particle":"","parse-names":false,"suffix":""},{"dropping-particle":"","family":"Wang","given":"C","non-dropping-particle":"","parse-names":false,"suffix":""},{"dropping-particle":"","family":"Wang","given":"M D","non-dropping-particle":"","parse-names":false,"suffix":""},{"dropping-particle":"","family":"Ai","given":"J","non-dropping-particle":"","parse-names":false,"suffix":""},{"dropping-particle":"","family":"Albanese","given":"D","non-dropping-particle":"","parse-names":false,"suffix":""},{"dropping-particle":"","family":"Asgharzadeh","given":"S","non-dropping-particle":"","parse-names":false,"suffix":""},{"dropping-particle":"","family":"Avigad","given":"S","non-dropping-particle":"","parse-names":false,"suffix":""},{"dropping-particle":"","family":"Bao","given":"W","non-dropping-particle":"","parse-names":false,"suffix":""},{"dropping-particle":"","family":"Bessarabova","given":"M","non-dropping-particle":"","parse-names":false,"suffix":""},{"dropping-particle":"","family":"Brilliant","given":"M H","non-dropping-particle":"","parse-names":false,"suffix":""},{"dropping-particle":"","family":"Brors","given":"B","non-dropping-particle":"","parse-names":false,"suffix":""},{"dropping-particle":"","family":"Chierici","given":"M","non-dropping-particle":"","parse-names":false,"suffix":""},{"dropping-particle":"","family":"Chu","given":"T M","non-dropping-particle":"","parse-names":false,"suffix":""},{"dropping-particle":"","family":"Zhang","given":"J","non-dropping-particle":"","parse-names":false,"suffix":""},{"dropping-particle":"","family":"Grundy","given":"R G","non-dropping-particle":"","parse-names":false,"suffix":""},{"dropping-particle":"","family":"He","given":"M M","non-dropping-particle":"","parse-names":false,"suffix":""},{"dropping-particle":"","family":"Hebbring","given":"S","non-dropping-particle":"","parse-names":false,"suffix":""},{"dropping-particle":"","family":"Kaufman","given":"H L","non-dropping-particle":"","parse-names":false,"suffix":""},{"dropping-particle":"","family":"Lababidi","given":"S","non-dropping-particle":"","parse-names":false,"suffix":""},{"dropping-particle":"","family":"Lancashire","given":"L J","non-dropping-particle":"","parse-names":false,"suffix":""},{"dropping-particle":"","family":"Li","given":"Y","non-dropping-particle":"","parse-names":false,"suffix":""},{"dropping-particle":"","family":"Lu","given":"X X","non-dropping-particle":"","parse-names":false,"suffix":""},{"dropping-particle":"","family":"Luo","given":"H","non-dropping-particle":"","parse-names":false,"suffix":""},{"dropping-particle":"","family":"Ma","given":"X","non-dropping-particle":"","parse-names":false,"suffix":""},{"dropping-particle":"","family":"Ning","given":"B","non-dropping-particle":"","parse-names":false,"suffix":""},{"dropping-particle":"","family":"Noguera","given":"R","non-dropping-particle":"","parse-names":false,"suffix":""},{"dropping-particle":"","family":"Peifer","given":"M","non-dropping-particle":"","parse-names":false,"suffix":""},{"dropping-particle":"","family":"Phan","given":"J H","non-dropping-particle":"","parse-names":false,"suffix":""},{"dropping-particle":"","family":"Roels","given":"F","non-dropping-particle":"","parse-names":false,"suffix":""},{"dropping-particle":"","family":"Rosswog","given":"C","non-dropping-particle":"","parse-names":false,"suffix":""},{"dropping-particle":"","family":"Shao","given":"S","non-dropping-particle":"","parse-names":false,"suffix":""},{"dropping-particle":"","family":"Shen","given":"J","non-dropping-particle":"","parse-names":false,"suffix":""},{"dropping-particle":"","family":"Theissen","given":"J","non-dropping-particle":"","parse-names":false,"suffix":""},{"dropping-particle":"","family":"Tonini","given":"G P","non-dropping-particle":"","parse-names":false,"suffix":""},{"dropping-particle":"","family":"Vandesompele","given":"J","non-dropping-particle":"","parse-names":false,"suffix":""},{"dropping-particle":"","family":"Wu","given":"P Y","non-dropping-particle":"","parse-names":false,"suffix":""},{"dropping-particle":"","family":"Xiao","given":"W","non-dropping-particle":"","parse-names":false,"suffix":""},{"dropping-particle":"","family":"Xu","given":"J","non-dropping-particle":"","parse-names":false,"suffix":""},{"dropping-particle":"","family":"Xu","given":"W","non-dropping-particle":"","parse-names":false,"suffix":""},{"dropping-particle":"","family":"Xuan","given":"J","non-dropping-particle":"","parse-names":false,"suffix":""},{"dropping-particle":"","family":"Yang","given":"Y","non-dropping-particle":"","parse-names":false,"suffix":""},{"dropping-particle":"","family":"Ye","given":"Z","non-dropping-particle":"","parse-names":false,"suffix":""},{"dropping-particle":"","family":"Dong","given":"Z","non-dropping-particle":"","parse-names":false,"suffix":""},{"dropping-particle":"","family":"Zhang","given":"K K","non-dropping-particle":"","parse-names":false,"suffix":""},{"dropping-particle":"","family":"Yin","given":"Y","non-dropping-particle":"","parse-names":false,"suffix":""},{"dropping-particle":"","family":"Zhao","given":"C","non-dropping-particle":"","parse-names":false,"suffix":""},{"dropping-particle":"","family":"Zheng","given":"Y","non-dropping-particle":"","parse-names":false,"suffix":""},{"dropping-particle":"","family":"Wolfinger","given":"R D","non-dropping-particle":"","parse-names":false,"suffix":""},{"dropping-particle":"","family":"Shi","given":"T","non-dropping-particle":"","parse-names":false,"suffix":""},{"dropping-particle":"","family":"Malkas","given":"L H","non-dropping-particle":"","parse-names":false,"suffix":""},{"dropping-particle":"","family":"Berthold","given":"F","non-dropping-particle":"","parse-names":false,"suffix":""},{"dropping-particle":"","family":"Wang","given":"J","non-dropping-particle":"","parse-names":false,"suffix":""},{"dropping-particle":"","family":"Tong","given":"W","non-dropping-particle":"","parse-names":false,"suffix":""},{"dropping-particle":"","family":"Shi","given":"L","non-dropping-particle":"","parse-names":false,"suffix":""},{"dropping-particle":"","family":"Peng","given":"Z","non-dropping-particle":"","parse-names":false,"suffix":""},{"dropping-particle":"","family":"Fischer","given":"M","non-dropping-particle":"","parse-names":false,"suffix":""}],"container-title":"Genome Biol","id":"ITEM-1","issued":{"date-parts":[["2015"]]},"note":"Zhang, Wenqian\nYu, Ying\nHertwig, Falk\nThierry-Mieg, Jean\nZhang, Wenwei\nThierry-Mieg, Danielle\nWang, Jian\nFurlanello, Cesare\nDevanarayan, Viswanath\nCheng, Jie\nDeng, Youping\nHero, Barbara\nHong, Huixiao\nJia, Meiwen\nLi, Li\nLin, Simon M\nNikolsky, Yuri\nOberthuer, Andre\nQing, Tao\nSu, Zhenqiang\nVolland, Ruth\nWang, Charles\nWang, May D\nAi, Junmei\nAlbanese, Davide\nAsgharzadeh, Shahab\nAvigad, Smadar\nBao, Wenjun\nBessarabova, Marina\nBrilliant, Murray H\nBrors, Benedikt\nChierici, Marco\nChu, Tzu-Ming\nZhang, Jibin\nGrundy, Richard G\nHe, Min Max\nHebbring, Scott\nKaufman, Howard L\nLababidi, Samir\nLancashire, Lee J\nLi, Yan\nLu, Xin X\nLuo, Heng\nMa, Xiwen\nNing, Baitang\nNoguera, Rosa\nPeifer, Martin\nPhan, John H\nRoels, Frederik\nRosswog, Carolina\nShao, Susan\nShen, Jie\nTheissen, Jessica\nTonini, Gian Paolo\nVandesompele, Jo\nWu, Po-Yen\nXiao, Wenzhong\nXu, Joshua\nXu, Weihong\nXuan, Jiekun\nYang, Yong\nYe, Zhan\nDong, Zirui\nZhang, Ke K\nYin, Ye\nZhao, Chen\nZheng, Yuanting\nWolfinger, Russell D\nShi, Tieliu\nMalkas, Linda H\nBerthold, Frank\nWang, Jun\nTong, Weida\nShi, Leming\nPeng, Zhiyu\nFischer, Matthias\neng\nR01 CA163256/CA/NCI NIH HHS/\nP01 HG000205/HG/NHGRI NIH HHS/\nU54CA119338/CA/NCI NIH HHS/\nR21 AA020104/AA/NIAAA NIH HHS/\nU54 CA119338/CA/NCI NIH HHS/\nR01CA163256/CA/NCI NIH HHS/\n1RC2CA148265/CA/NCI NIH HHS/\nRC2 CA148265/CA/NCI NIH HHS/\nComparative Study\nEvaluation Studies\nResearch Support, N.I.H., Extramural\nResearch Support, Non-U.S. Gov't\nEngland\n2015/06/26 06:00\nGenome Biol. 2015 Jun 25;16:133. doi: 10.1186/s13059-015-0694-1.","page":"133","title":"Comparison of RNA-seq and microarray-based models for clinical endpoint prediction","type":"article-journal","volume":"16"},"uris":["http://www.mendeley.com/documents/?uuid=21379eb8-c072-4ca1-ad40-8700f4f3f313","http://www.mendeley.com/documents/?uuid=b90344df-6c83-4299-930b-b95bae1ef47c"]},{"id":"ITEM-2","itemData":{"DOI":"10.1038/cddis.2013.84","ISBN":"2041-4889 (Electronic)","PMID":"23579273","abstract":"Neuroblastoma is an embryonal malignancy of the sympathetic nervous system. Spontaneous regression and differentiation of neuroblastoma is observed in a subset of patients, and has been suggested to represent delayed activation of physiologic molecular programs of fetal neuroblasts. Homeobox genes constitute an important family of transcription factors, which play a fundamental role in morphogenesis and cell differentiation during embryogenesis. In this study, we demonstrate that expression of the majority of the human HOX class I homeobox genes is significantly associated with clinical covariates in neuroblastoma using microarray expression data of 649 primary tumors. Moreover, a HOX gene expression-based classifier predicted neuroblastoma patient outcome independently of age, stage and MYCN amplification status. Among all HOX genes, HOXC9 expression was most prominently associated with favorable prognostic markers. Most notably, elevated HOXC9 expression was significantly associated with spontaneous regression in infant neuroblastoma. Re-expression of HOXC9 in three neuroblastoma cell lines led to a significant reduction in cell viability, and abrogated tumor growth almost completely in neuroblastoma xenografts. Neuroblastoma growth arrest was related to the induction of programmed cell death, as indicated by an increase in the sub-G1 fraction and translocation of phosphatidylserine to the outer membrane. Programmed cell death was associated with the release of cytochrome c from the mitochondria into the cytosol and activation of the intrinsic cascade of caspases, indicating that HOXC9 re-expression triggers the intrinsic apoptotic pathway. Collectively, our results show a strong prognostic impact of HOX gene expression in neuroblastoma, and may point towards a role of Hox-C9 in neuroblastoma spontaneous regression.","author":[{"dropping-particle":"","family":"Kocak","given":"H","non-dropping-particle":"","parse-names":false,"suffix":""},{"dropping-particle":"","family":"Ackermann","given":"S","non-dropping-particle":"","parse-names":false,"suffix":""},{"dropping-particle":"","family":"Hero","given":"B","non-dropping-particle":"","parse-names":false,"suffix":""},{"dropping-particle":"","family":"Kahlert","given":"Y","non-dropping-particle":"","parse-names":false,"suffix":""},{"dropping-particle":"","family":"Oberthuer","given":"A","non-dropping-particle":"","parse-names":false,"suffix":""},{"dropping-particle":"","family":"Juraeva","given":"D","non-dropping-particle":"","parse-names":false,"suffix":""},{"dropping-particle":"","family":"Roels","given":"F","non-dropping-particle":"","parse-names":false,"suffix":""},{"dropping-particle":"","family":"Theissen","given":"J","non-dropping-particle":"","parse-names":false,"suffix":""},{"dropping-particle":"","family":"Westermann","given":"F","non-dropping-particle":"","parse-names":false,"suffix":""},{"dropping-particle":"","family":"Deubzer","given":"H","non-dropping-particle":"","parse-names":false,"suffix":""},{"dropping-particle":"","family":"Ehemann","given":"V","non-dropping-particle":"","parse-names":false,"suffix":""},{"dropping-particle":"","family":"Brors","given":"B","non-dropping-particle":"","parse-names":false,"suffix":""},{"dropping-particle":"","family":"Odenthal","given":"M","non-dropping-particle":"","parse-names":false,"suffix":""},{"dropping-particle":"","family":"Berthold","given":"F","non-dropping-particle":"","parse-names":false,"suffix":""},{"dropping-particle":"","family":"Fischer","given":"M","non-dropping-particle":"","parse-names":false,"suffix":""}],"container-title":"Cell Death Dis","id":"ITEM-2","issued":{"date-parts":[["2013"]]},"note":"Kocak, H\nAckermann, S\nHero, B\nKahlert, Y\nOberthuer, A\nJuraeva, D\nRoels, F\nTheissen, J\nWestermann, F\nDeubzer, H\nEhemann, V\nBrors, B\nOdenthal, M\nBerthold, F\nFischer, M\neng\nResearch Support, Non-U.S. Gov't\nEngland\n2013/04/13 06:00\nCell Death Dis. 2013 Apr 11;4:e586. doi: 10.1038/cddis.2013.84.","page":"e586","title":"Hox-C9 activates the intrinsic pathway of apoptosis and is associated with spontaneous regression in neuroblastoma","type":"article-journal","volume":"4"},"uris":["http://www.mendeley.com/documents/?uuid=8adbc531-6e9a-4e44-bf0e-25d4d1c79d4c"]}],"mendeley":{"formattedCitation":"&lt;sup&gt;28,29&lt;/sup&gt;","plainTextFormattedCitation":"28,29","previouslyFormattedCitation":"&lt;sup&gt;28,29&lt;/sup&gt;"},"properties":{"noteIndex":0},"schema":"https://github.com/citation-style-language/schema/raw/master/csl-citation.json"}</w:instrText>
      </w:r>
      <w:r w:rsidR="009477D7" w:rsidRPr="00E94CA9">
        <w:rPr>
          <w:rFonts w:cs="Arial"/>
          <w:sz w:val="22"/>
          <w:szCs w:val="22"/>
        </w:rPr>
        <w:fldChar w:fldCharType="separate"/>
      </w:r>
      <w:r w:rsidR="00394C69" w:rsidRPr="00394C69">
        <w:rPr>
          <w:rFonts w:cs="Arial"/>
          <w:noProof/>
          <w:sz w:val="22"/>
          <w:szCs w:val="22"/>
          <w:vertAlign w:val="superscript"/>
        </w:rPr>
        <w:t>28,29</w:t>
      </w:r>
      <w:r w:rsidR="009477D7"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xml:space="preserve">. In addition to validating </w:t>
      </w:r>
      <w:r w:rsidRPr="00E94CA9">
        <w:rPr>
          <w:rFonts w:cs="Arial"/>
          <w:i/>
          <w:sz w:val="22"/>
          <w:szCs w:val="22"/>
        </w:rPr>
        <w:t>PIM1</w:t>
      </w:r>
      <w:r w:rsidRPr="00E94CA9">
        <w:rPr>
          <w:rFonts w:cs="Arial"/>
          <w:sz w:val="22"/>
          <w:szCs w:val="22"/>
        </w:rPr>
        <w:t xml:space="preserve"> as a resistance gene in NB cell lines, we sought to determine whether </w:t>
      </w:r>
      <w:r w:rsidRPr="00E94CA9">
        <w:rPr>
          <w:rFonts w:cs="Arial"/>
          <w:i/>
          <w:sz w:val="22"/>
          <w:szCs w:val="22"/>
        </w:rPr>
        <w:t>PIM1</w:t>
      </w:r>
      <w:r w:rsidRPr="00E94CA9">
        <w:rPr>
          <w:rFonts w:cs="Arial"/>
          <w:sz w:val="22"/>
          <w:szCs w:val="22"/>
        </w:rPr>
        <w:t xml:space="preserve"> induces resistance to ALK inhibition in another ALK-driven </w:t>
      </w:r>
      <w:proofErr w:type="spellStart"/>
      <w:r w:rsidRPr="00E94CA9">
        <w:rPr>
          <w:rFonts w:cs="Arial"/>
          <w:sz w:val="22"/>
          <w:szCs w:val="22"/>
        </w:rPr>
        <w:t>pediatric</w:t>
      </w:r>
      <w:proofErr w:type="spellEnd"/>
      <w:r w:rsidRPr="00E94CA9">
        <w:rPr>
          <w:rFonts w:cs="Arial"/>
          <w:sz w:val="22"/>
          <w:szCs w:val="22"/>
        </w:rPr>
        <w:t xml:space="preserve"> cancer, namely ALCL, since full-length ALK and NPM-ALK have been shown to activate common downstream pathways such as Ras/MAPK, PI3K/AKT and JAK/STAT</w:t>
      </w:r>
      <w:r w:rsidR="009477D7" w:rsidRPr="00E94CA9">
        <w:rPr>
          <w:rFonts w:cs="Arial"/>
          <w:sz w:val="22"/>
          <w:szCs w:val="22"/>
        </w:rPr>
        <w:fldChar w:fldCharType="begin" w:fldLock="1"/>
      </w:r>
      <w:r w:rsidR="00394C69">
        <w:rPr>
          <w:rFonts w:cs="Arial"/>
          <w:sz w:val="22"/>
          <w:szCs w:val="22"/>
        </w:rPr>
        <w:instrText>ADDIN CSL_CITATION {"citationItems":[{"id":"ITEM-1","itemData":{"DOI":"10.3390/cancers10040113","ISBN":"2072-6694 (Print)\r2072-6694 (Linking)","PMID":"29642598","abstract":"Neuroblastoma (NB) is the most common and deadly solid tumour in children. Despite the development of new treatment options for high-risk NB, over half of patients relapse and five-year survival remains at 40-50%. Therefore, novel treatment strategies aimed at providing long-term disease remission are urgently sought. ALK, encoding the anaplastic lymphoma kinase receptor, is altered by gain-of-function point mutations in around 14% of high-risk NB and represents an ideal therapeutic target given its low or absent expression in healthy tissue postnatally. Small-molecule inhibitors of Anaplastic Lymphoma Kinase (ALK) approved in ALK fusion-positive lung cancer are currently undergoing clinical assessment in patients with ALK-mutant NB. Parallel pre-clinical studies are demonstrating the efficacy of ALK inhibitors against common ALK variants in NB; however, a complex picture of therapeutic resistance is emerging. It is anticipated that long-term use of these compounds will require combinatorial targeting of pathways downstream of ALK, functionally-related 'bypass' mechanisms and concomitant oncogenic pathways.","author":[{"dropping-particle":"","family":"Trigg","given":"R M","non-dropping-particle":"","parse-names":false,"suffix":""},{"dropping-particle":"","family":"Turner","given":"S D","non-dropping-particle":"","parse-names":false,"suffix":""}],"container-title":"Cancers (Basel)","id":"ITEM-1","issue":"4","issued":{"date-parts":[["2018"]]},"note":"Trigg, Ricky M\nTurner, Suzanne D\neng\nReview\nSwitzerland\n2018/04/13 06:00\nCancers (Basel). 2018 Apr 10;10(4). pii: cancers10040113. doi: 10.3390/cancers10040113.","title":"ALK in Neuroblastoma: Biological and Therapeutic Implications","type":"article-journal","volume":"10"},"uris":["http://www.mendeley.com/documents/?uuid=dcdfe34d-ff75-4c4b-8112-d536237535aa","http://www.mendeley.com/documents/?uuid=8599a1df-32f1-40cb-a34b-730c704722e5"]}],"mendeley":{"formattedCitation":"&lt;sup&gt;50&lt;/sup&gt;","plainTextFormattedCitation":"50","previouslyFormattedCitation":"&lt;sup&gt;50&lt;/sup&gt;"},"properties":{"noteIndex":0},"schema":"https://github.com/citation-style-language/schema/raw/master/csl-citation.json"}</w:instrText>
      </w:r>
      <w:r w:rsidR="009477D7" w:rsidRPr="00E94CA9">
        <w:rPr>
          <w:rFonts w:cs="Arial"/>
          <w:sz w:val="22"/>
          <w:szCs w:val="22"/>
        </w:rPr>
        <w:fldChar w:fldCharType="separate"/>
      </w:r>
      <w:r w:rsidR="003912CB" w:rsidRPr="00E94CA9">
        <w:rPr>
          <w:rFonts w:cs="Arial"/>
          <w:noProof/>
          <w:sz w:val="22"/>
          <w:szCs w:val="22"/>
          <w:vertAlign w:val="superscript"/>
        </w:rPr>
        <w:t>50</w:t>
      </w:r>
      <w:r w:rsidR="009477D7" w:rsidRPr="00E94CA9">
        <w:rPr>
          <w:rFonts w:cs="Arial"/>
          <w:sz w:val="22"/>
          <w:szCs w:val="22"/>
        </w:rPr>
        <w:fldChar w:fldCharType="end"/>
      </w:r>
      <w:r w:rsidRPr="00E94CA9">
        <w:rPr>
          <w:rFonts w:cs="Arial"/>
          <w:sz w:val="22"/>
          <w:szCs w:val="22"/>
        </w:rPr>
        <w:t xml:space="preserve">. Indeed, overexpression of </w:t>
      </w:r>
      <w:r w:rsidRPr="00E94CA9">
        <w:rPr>
          <w:rFonts w:cs="Arial"/>
          <w:i/>
          <w:sz w:val="22"/>
          <w:szCs w:val="22"/>
        </w:rPr>
        <w:t>PIM1</w:t>
      </w:r>
      <w:r w:rsidRPr="00E94CA9">
        <w:rPr>
          <w:rFonts w:cs="Arial"/>
          <w:sz w:val="22"/>
          <w:szCs w:val="22"/>
        </w:rPr>
        <w:t xml:space="preserve"> </w:t>
      </w:r>
      <w:r w:rsidRPr="00E94CA9">
        <w:rPr>
          <w:rFonts w:cs="Arial"/>
          <w:color w:val="000000" w:themeColor="text1"/>
          <w:sz w:val="22"/>
          <w:szCs w:val="22"/>
        </w:rPr>
        <w:t xml:space="preserve">in ALK-positive ALCL cell lines decreased sensitivity to </w:t>
      </w:r>
      <w:proofErr w:type="spellStart"/>
      <w:r w:rsidRPr="00E94CA9">
        <w:rPr>
          <w:rFonts w:cs="Arial"/>
          <w:sz w:val="22"/>
          <w:szCs w:val="22"/>
        </w:rPr>
        <w:t>brigatinib</w:t>
      </w:r>
      <w:proofErr w:type="spellEnd"/>
      <w:r w:rsidRPr="00E94CA9">
        <w:rPr>
          <w:rFonts w:cs="Arial"/>
          <w:sz w:val="22"/>
          <w:szCs w:val="22"/>
        </w:rPr>
        <w:t xml:space="preserve"> and </w:t>
      </w:r>
      <w:proofErr w:type="spellStart"/>
      <w:r w:rsidRPr="00E94CA9">
        <w:rPr>
          <w:rFonts w:cs="Arial"/>
          <w:sz w:val="22"/>
          <w:szCs w:val="22"/>
        </w:rPr>
        <w:t>ceritinib</w:t>
      </w:r>
      <w:proofErr w:type="spellEnd"/>
      <w:r w:rsidRPr="00E94CA9">
        <w:rPr>
          <w:rFonts w:cs="Arial"/>
          <w:sz w:val="22"/>
          <w:szCs w:val="22"/>
        </w:rPr>
        <w:t xml:space="preserve">, </w:t>
      </w:r>
      <w:r w:rsidR="00251211" w:rsidRPr="00E94CA9">
        <w:rPr>
          <w:rFonts w:cs="Arial"/>
          <w:sz w:val="22"/>
          <w:szCs w:val="22"/>
        </w:rPr>
        <w:t>consistent with results published previously</w:t>
      </w:r>
      <w:r w:rsidRPr="00E94CA9">
        <w:rPr>
          <w:rFonts w:cs="Arial"/>
          <w:sz w:val="22"/>
          <w:szCs w:val="22"/>
        </w:rPr>
        <w:t xml:space="preserve"> demonstrat</w:t>
      </w:r>
      <w:r w:rsidR="00251211" w:rsidRPr="00E94CA9">
        <w:rPr>
          <w:rFonts w:cs="Arial"/>
          <w:sz w:val="22"/>
          <w:szCs w:val="22"/>
        </w:rPr>
        <w:t>ing</w:t>
      </w:r>
      <w:r w:rsidRPr="00E94CA9">
        <w:rPr>
          <w:rFonts w:cs="Arial"/>
          <w:sz w:val="22"/>
          <w:szCs w:val="22"/>
        </w:rPr>
        <w:t xml:space="preserve"> robust synergy between a small-molecule pan-PIM inhibitor and </w:t>
      </w:r>
      <w:proofErr w:type="spellStart"/>
      <w:r w:rsidRPr="00E94CA9">
        <w:rPr>
          <w:rFonts w:cs="Arial"/>
          <w:sz w:val="22"/>
          <w:szCs w:val="22"/>
        </w:rPr>
        <w:t>crizotinib</w:t>
      </w:r>
      <w:proofErr w:type="spellEnd"/>
      <w:r w:rsidRPr="00E94CA9">
        <w:rPr>
          <w:rFonts w:cs="Arial"/>
          <w:sz w:val="22"/>
          <w:szCs w:val="22"/>
        </w:rPr>
        <w:t xml:space="preserve"> in </w:t>
      </w:r>
      <w:r w:rsidR="00251211" w:rsidRPr="00E94CA9">
        <w:rPr>
          <w:rFonts w:cs="Arial"/>
          <w:sz w:val="22"/>
          <w:szCs w:val="22"/>
        </w:rPr>
        <w:t>ALCL</w:t>
      </w:r>
      <w:r w:rsidRPr="00E94CA9">
        <w:rPr>
          <w:rFonts w:cs="Arial"/>
          <w:sz w:val="22"/>
          <w:szCs w:val="22"/>
        </w:rPr>
        <w:t xml:space="preserve"> cell lines</w:t>
      </w:r>
      <w:r w:rsidR="009477D7" w:rsidRPr="00E94CA9">
        <w:rPr>
          <w:rFonts w:cs="Arial"/>
          <w:sz w:val="22"/>
          <w:szCs w:val="22"/>
        </w:rPr>
        <w:fldChar w:fldCharType="begin" w:fldLock="1"/>
      </w:r>
      <w:r w:rsidR="00394C69">
        <w:rPr>
          <w:rFonts w:cs="Arial"/>
          <w:sz w:val="22"/>
          <w:szCs w:val="22"/>
        </w:rPr>
        <w:instrText>ADDIN CSL_CITATION {"citationItems":[{"id":"ITEM-1","itemData":{"DOI":"10.1158/1535-7163.MCT-05-0146","ISBN":"1535-7163 (Print)\r1535-7163 (Linking)","PMID":"16373702","abstract":"To glean biological differences and similarities of peripheral T-cell lymphoma-not otherwise specified [PTCL-NOS] to diffuse large B-cell lymphoma (DLBCL), a transcriptosome analysis was done on five PTCL-NOS and four DLBCL patients and validated by quantitative real-time reverse transcription-PCR on 10 selected genes. Normal peripheral blood T cells, peripheral blood B cells, and lymph node were used as controls. The resultant gene expression profile delineated distinct \"tumor profile signatures\" for PTCL-NOS and DLBCL. Several highly overexpressed genes in both PTCL-NOS and DLBCL involve the immune network, stroma, angiogenesis, and cell survival cascades that make important contributions to lymphomagenesis. Inflammatory chemokines and their receptors likely play a central role in these complex interrelated pathways: CCL2 and CXCR4 in PTCL-NOS and CCL5 and CCR1 in DLBCL. Highly overexpressed oncogenes unique to PTCL-NOS are SPI1, STK6, alpha-PDGFR, and SH2D1A, whereas in DLBCL they are PIM1, PIM2, LYN, BCL2A1, and RAB13. Oncogenes common to both lymphomas are MAFB, MET, NF-kappaB2, LCK, and LYN. Several tumor suppressors are also down-regulated (TPTE, MGC154, PTCH, ST5, and SUI1). This study illustrates the relevance of tumor-stroma immune trafficking and identified potential novel prognostic markers and targets for therapeutic intervention.","author":[{"dropping-particle":"","family":"Mahadevan","given":"D","non-dropping-particle":"","parse-names":false,"suffix":""},{"dropping-particle":"","family":"Spier","given":"C","non-dropping-particle":"","parse-names":false,"suffix":""},{"dropping-particle":"","family":"Croce","given":"K","non-dropping-particle":"Della","parse-names":false,"suffix":""},{"dropping-particle":"","family":"Miller","given":"S","non-dropping-particle":"","parse-names":false,"suffix":""},{"dropping-particle":"","family":"George","given":"B","non-dropping-particle":"","parse-names":false,"suffix":""},{"dropping-particle":"","family":"Riley","given":"C","non-dropping-particle":"","parse-names":false,"suffix":""},{"dropping-particle":"","family":"Warner","given":"S","non-dropping-particle":"","parse-names":false,"suffix":""},{"dropping-particle":"","family":"Grogan","given":"T M","non-dropping-particle":"","parse-names":false,"suffix":""},{"dropping-particle":"","family":"Miller","given":"T P","non-dropping-particle":"","parse-names":false,"suffix":""}],"container-title":"Mol Cancer Ther","id":"ITEM-1","issue":"12","issued":{"date-parts":[["2005"]]},"note":"Mahadevan, Daruka\nSpier, Catherine\nDella Croce, Kimiko\nMiller, Susan\nGeorge, Benjamin\nRiley, Chris\nWarner, Stephen\nGrogan, Thomas M\nMiller, Thomas P\neng\nCA-32102/CA/NCI NIH HHS/\nResearch Support, N.I.H., Extramural\n2005/12/24 09:00\nMol Cancer Ther. 2005 Dec;4(12):1867-79. doi: 10.1158/1535-7163.MCT-05-0146.","page":"1867-1879","title":"Transcript profiling in peripheral T-cell lymphoma, not otherwise specified, and diffuse large B-cell lymphoma identifies distinct tumor profile signatures","type":"article-journal","volume":"4"},"uris":["http://www.mendeley.com/documents/?uuid=b68855d2-bbb0-4509-a485-0a52ddd7730f","http://www.mendeley.com/documents/?uuid=07f66305-ab76-401c-87a4-b2f4f57cf8b9"]}],"mendeley":{"formattedCitation":"&lt;sup&gt;40&lt;/sup&gt;","plainTextFormattedCitation":"40","previouslyFormattedCitation":"&lt;sup&gt;40&lt;/sup&gt;"},"properties":{"noteIndex":0},"schema":"https://github.com/citation-style-language/schema/raw/master/csl-citation.json"}</w:instrText>
      </w:r>
      <w:r w:rsidR="009477D7" w:rsidRPr="00E94CA9">
        <w:rPr>
          <w:rFonts w:cs="Arial"/>
          <w:sz w:val="22"/>
          <w:szCs w:val="22"/>
        </w:rPr>
        <w:fldChar w:fldCharType="separate"/>
      </w:r>
      <w:r w:rsidR="00542124" w:rsidRPr="00E94CA9">
        <w:rPr>
          <w:rFonts w:cs="Arial"/>
          <w:noProof/>
          <w:sz w:val="22"/>
          <w:szCs w:val="22"/>
          <w:vertAlign w:val="superscript"/>
        </w:rPr>
        <w:t>40</w:t>
      </w:r>
      <w:r w:rsidR="009477D7" w:rsidRPr="00E94CA9">
        <w:rPr>
          <w:rFonts w:cs="Arial"/>
          <w:sz w:val="22"/>
          <w:szCs w:val="22"/>
        </w:rPr>
        <w:fldChar w:fldCharType="end"/>
      </w:r>
      <w:r w:rsidRPr="00E94CA9">
        <w:rPr>
          <w:rFonts w:cs="Arial"/>
          <w:sz w:val="22"/>
          <w:szCs w:val="22"/>
        </w:rPr>
        <w:fldChar w:fldCharType="begin"/>
      </w:r>
      <w:r w:rsidRPr="00E94CA9">
        <w:rPr>
          <w:rFonts w:cs="Arial"/>
          <w:sz w:val="22"/>
          <w:szCs w:val="22"/>
        </w:rPr>
        <w:instrText>ADDIN EN.CITE</w:instrText>
      </w:r>
      <w:r w:rsidRPr="00E94CA9">
        <w:rPr>
          <w:rFonts w:cs="Arial"/>
          <w:sz w:val="22"/>
          <w:szCs w:val="22"/>
        </w:rPr>
        <w:fldChar w:fldCharType="end"/>
      </w:r>
      <w:r w:rsidRPr="00E94CA9">
        <w:rPr>
          <w:rFonts w:cs="Arial"/>
          <w:sz w:val="22"/>
          <w:szCs w:val="22"/>
        </w:rPr>
        <w:t>. Therefore, further studies investigating the potential for combined PIM and ALK inhibition in other ALK-positive malignancies are warranted.</w:t>
      </w:r>
    </w:p>
    <w:p w14:paraId="207F9106" w14:textId="5F1BFAC4" w:rsidR="00561410" w:rsidRPr="002A24F1" w:rsidRDefault="005033EF" w:rsidP="00561410">
      <w:pPr>
        <w:spacing w:line="360" w:lineRule="auto"/>
        <w:ind w:firstLine="284"/>
        <w:jc w:val="both"/>
        <w:rPr>
          <w:rFonts w:cs="Arial"/>
          <w:sz w:val="22"/>
        </w:rPr>
      </w:pPr>
      <w:r w:rsidRPr="002A24F1">
        <w:rPr>
          <w:rFonts w:cs="Arial"/>
          <w:sz w:val="22"/>
          <w:szCs w:val="22"/>
        </w:rPr>
        <w:t xml:space="preserve">We assessed the </w:t>
      </w:r>
      <w:r w:rsidRPr="002A24F1">
        <w:rPr>
          <w:rFonts w:cs="Arial"/>
          <w:i/>
          <w:sz w:val="22"/>
          <w:szCs w:val="22"/>
        </w:rPr>
        <w:t>in vitro</w:t>
      </w:r>
      <w:r w:rsidRPr="002A24F1">
        <w:rPr>
          <w:rFonts w:cs="Arial"/>
          <w:sz w:val="22"/>
          <w:szCs w:val="22"/>
        </w:rPr>
        <w:t xml:space="preserve"> responses of </w:t>
      </w:r>
      <w:r w:rsidR="00430527" w:rsidRPr="002A24F1">
        <w:rPr>
          <w:rFonts w:cs="Arial"/>
          <w:color w:val="000000" w:themeColor="text1"/>
          <w:sz w:val="22"/>
          <w:szCs w:val="22"/>
        </w:rPr>
        <w:t xml:space="preserve">both ALK-positive and ALK-negative </w:t>
      </w:r>
      <w:r w:rsidRPr="002A24F1">
        <w:rPr>
          <w:rFonts w:cs="Arial"/>
          <w:color w:val="000000" w:themeColor="text1"/>
          <w:sz w:val="22"/>
          <w:szCs w:val="22"/>
        </w:rPr>
        <w:t>NB cells to several</w:t>
      </w:r>
      <w:r w:rsidRPr="002A24F1">
        <w:rPr>
          <w:rFonts w:cs="Arial"/>
          <w:color w:val="000000" w:themeColor="text1"/>
          <w:sz w:val="22"/>
        </w:rPr>
        <w:t xml:space="preserve"> small-molecule pan-PIM kinase inhibitors and found that cells were relatively insensitive after 72 hours of exposure. However, knockdown of </w:t>
      </w:r>
      <w:r w:rsidRPr="002A24F1">
        <w:rPr>
          <w:rFonts w:cs="Arial"/>
          <w:i/>
          <w:color w:val="000000" w:themeColor="text1"/>
          <w:sz w:val="22"/>
        </w:rPr>
        <w:t>PIM1</w:t>
      </w:r>
      <w:r w:rsidRPr="002A24F1">
        <w:rPr>
          <w:rFonts w:cs="Arial"/>
          <w:color w:val="000000" w:themeColor="text1"/>
          <w:sz w:val="22"/>
        </w:rPr>
        <w:t xml:space="preserve"> by RNA interference sensitized cells to ALK inhibition and the combination of ALK inhibitors with AZD1208 demonstrated mild synergy, prompting us to investigate the combination of </w:t>
      </w:r>
      <w:proofErr w:type="spellStart"/>
      <w:r w:rsidRPr="002A24F1">
        <w:rPr>
          <w:rFonts w:cs="Arial"/>
          <w:color w:val="000000" w:themeColor="text1"/>
          <w:sz w:val="22"/>
        </w:rPr>
        <w:t>ceritinib</w:t>
      </w:r>
      <w:proofErr w:type="spellEnd"/>
      <w:r w:rsidRPr="002A24F1">
        <w:rPr>
          <w:rFonts w:cs="Arial"/>
          <w:color w:val="000000" w:themeColor="text1"/>
          <w:sz w:val="22"/>
        </w:rPr>
        <w:t xml:space="preserve"> and AZD1208 </w:t>
      </w:r>
      <w:r w:rsidRPr="002A24F1">
        <w:rPr>
          <w:rFonts w:cs="Arial"/>
          <w:i/>
          <w:color w:val="000000" w:themeColor="text1"/>
          <w:sz w:val="22"/>
        </w:rPr>
        <w:t>in vivo</w:t>
      </w:r>
      <w:r w:rsidR="00561410" w:rsidRPr="002A24F1">
        <w:rPr>
          <w:rFonts w:cs="Arial"/>
          <w:sz w:val="22"/>
        </w:rPr>
        <w:t xml:space="preserve">. </w:t>
      </w:r>
      <w:r w:rsidR="00AD0C9D" w:rsidRPr="002A24F1">
        <w:rPr>
          <w:rFonts w:cs="Arial"/>
          <w:sz w:val="22"/>
        </w:rPr>
        <w:t xml:space="preserve">To examine the clinical relevance of this drug combination, </w:t>
      </w:r>
      <w:r w:rsidR="00AD0C9D" w:rsidRPr="002A24F1">
        <w:rPr>
          <w:rFonts w:cs="Arial"/>
          <w:color w:val="000000" w:themeColor="text1"/>
          <w:sz w:val="22"/>
        </w:rPr>
        <w:t>w</w:t>
      </w:r>
      <w:r w:rsidRPr="002A24F1">
        <w:rPr>
          <w:rFonts w:cs="Arial"/>
          <w:color w:val="000000" w:themeColor="text1"/>
          <w:sz w:val="22"/>
        </w:rPr>
        <w:t xml:space="preserve">e employed two patient-derived models of high-risk NB </w:t>
      </w:r>
      <w:proofErr w:type="spellStart"/>
      <w:r w:rsidRPr="002A24F1">
        <w:rPr>
          <w:rFonts w:cs="Arial"/>
          <w:color w:val="000000" w:themeColor="text1"/>
          <w:sz w:val="22"/>
        </w:rPr>
        <w:t>harboring</w:t>
      </w:r>
      <w:proofErr w:type="spellEnd"/>
      <w:r w:rsidRPr="002A24F1">
        <w:rPr>
          <w:rFonts w:cs="Arial"/>
          <w:color w:val="000000" w:themeColor="text1"/>
          <w:sz w:val="22"/>
        </w:rPr>
        <w:t xml:space="preserve"> ALK</w:t>
      </w:r>
      <w:r w:rsidRPr="002A24F1">
        <w:rPr>
          <w:rFonts w:cs="Arial"/>
          <w:color w:val="000000" w:themeColor="text1"/>
          <w:sz w:val="22"/>
          <w:vertAlign w:val="superscript"/>
        </w:rPr>
        <w:t>F1245C</w:t>
      </w:r>
      <w:r w:rsidRPr="002A24F1">
        <w:rPr>
          <w:rFonts w:cs="Arial"/>
          <w:color w:val="000000" w:themeColor="text1"/>
          <w:sz w:val="22"/>
        </w:rPr>
        <w:t xml:space="preserve"> </w:t>
      </w:r>
      <w:r w:rsidR="00C560C5" w:rsidRPr="002A24F1">
        <w:rPr>
          <w:rFonts w:cs="Arial"/>
          <w:color w:val="000000" w:themeColor="text1"/>
          <w:sz w:val="22"/>
        </w:rPr>
        <w:t xml:space="preserve">or </w:t>
      </w:r>
      <w:r w:rsidRPr="002A24F1">
        <w:rPr>
          <w:rFonts w:cs="Arial"/>
          <w:color w:val="000000" w:themeColor="text1"/>
          <w:sz w:val="22"/>
        </w:rPr>
        <w:t>ALK</w:t>
      </w:r>
      <w:r w:rsidRPr="002A24F1">
        <w:rPr>
          <w:rFonts w:cs="Arial"/>
          <w:color w:val="000000" w:themeColor="text1"/>
          <w:sz w:val="22"/>
          <w:vertAlign w:val="superscript"/>
        </w:rPr>
        <w:t>F1174L</w:t>
      </w:r>
      <w:r w:rsidRPr="002A24F1">
        <w:rPr>
          <w:rFonts w:cs="Arial"/>
          <w:color w:val="000000" w:themeColor="text1"/>
          <w:sz w:val="22"/>
        </w:rPr>
        <w:t xml:space="preserve"> mutations </w:t>
      </w:r>
      <w:r w:rsidR="00C560C5" w:rsidRPr="002A24F1">
        <w:rPr>
          <w:rFonts w:cs="Arial"/>
          <w:color w:val="000000" w:themeColor="text1"/>
          <w:sz w:val="22"/>
        </w:rPr>
        <w:t>respectively</w:t>
      </w:r>
      <w:r w:rsidR="00AD0C9D" w:rsidRPr="002A24F1">
        <w:rPr>
          <w:rFonts w:cs="Arial"/>
          <w:color w:val="000000" w:themeColor="text1"/>
          <w:sz w:val="22"/>
        </w:rPr>
        <w:t xml:space="preserve">. </w:t>
      </w:r>
      <w:r w:rsidR="00AD0C9D" w:rsidRPr="002A24F1">
        <w:rPr>
          <w:rFonts w:cs="Arial"/>
          <w:sz w:val="22"/>
        </w:rPr>
        <w:t>PDX</w:t>
      </w:r>
      <w:r w:rsidR="002A24F1" w:rsidRPr="002A24F1">
        <w:rPr>
          <w:rFonts w:cs="Arial"/>
          <w:sz w:val="22"/>
        </w:rPr>
        <w:t xml:space="preserve"> models</w:t>
      </w:r>
      <w:r w:rsidR="00AD0C9D" w:rsidRPr="002A24F1">
        <w:rPr>
          <w:rFonts w:cs="Arial"/>
          <w:sz w:val="22"/>
        </w:rPr>
        <w:t xml:space="preserve"> are perhaps more representative of the clinical scenario than are cell lines due to their relative genetic likeness to </w:t>
      </w:r>
      <w:proofErr w:type="spellStart"/>
      <w:r w:rsidR="00AD0C9D" w:rsidRPr="002A24F1">
        <w:rPr>
          <w:rFonts w:cs="Arial"/>
          <w:sz w:val="22"/>
        </w:rPr>
        <w:t>tumors</w:t>
      </w:r>
      <w:proofErr w:type="spellEnd"/>
      <w:r w:rsidR="00AD0C9D" w:rsidRPr="002A24F1">
        <w:rPr>
          <w:rFonts w:cs="Arial"/>
          <w:sz w:val="22"/>
        </w:rPr>
        <w:t xml:space="preserve"> in patients, as opposed to long-term cultured cell lines that have evolved further from the original malignancy. We</w:t>
      </w:r>
      <w:r w:rsidRPr="002A24F1">
        <w:rPr>
          <w:rFonts w:cs="Arial"/>
          <w:sz w:val="22"/>
        </w:rPr>
        <w:t xml:space="preserve"> observed a significant delay in </w:t>
      </w:r>
      <w:proofErr w:type="spellStart"/>
      <w:r w:rsidRPr="002A24F1">
        <w:rPr>
          <w:rFonts w:cs="Arial"/>
          <w:sz w:val="22"/>
        </w:rPr>
        <w:t>tumor</w:t>
      </w:r>
      <w:proofErr w:type="spellEnd"/>
      <w:r w:rsidRPr="002A24F1">
        <w:rPr>
          <w:rFonts w:cs="Arial"/>
          <w:sz w:val="22"/>
        </w:rPr>
        <w:t xml:space="preserve"> growth </w:t>
      </w:r>
      <w:r w:rsidR="00251211" w:rsidRPr="002A24F1">
        <w:rPr>
          <w:rFonts w:cs="Arial"/>
          <w:sz w:val="22"/>
        </w:rPr>
        <w:t>with</w:t>
      </w:r>
      <w:r w:rsidRPr="002A24F1">
        <w:rPr>
          <w:rFonts w:cs="Arial"/>
          <w:sz w:val="22"/>
        </w:rPr>
        <w:t xml:space="preserve"> the combination treatment relative to single</w:t>
      </w:r>
      <w:r w:rsidRPr="002A24F1">
        <w:rPr>
          <w:rFonts w:cs="Arial"/>
          <w:color w:val="000000" w:themeColor="text1"/>
          <w:sz w:val="22"/>
        </w:rPr>
        <w:t xml:space="preserve">-agent treatments in both models. </w:t>
      </w:r>
      <w:r w:rsidR="009F5798" w:rsidRPr="002A24F1">
        <w:rPr>
          <w:rFonts w:cs="Arial"/>
          <w:color w:val="000000" w:themeColor="text1"/>
          <w:sz w:val="22"/>
          <w:szCs w:val="22"/>
        </w:rPr>
        <w:t xml:space="preserve">Of note, PIM inhibition sensitized both </w:t>
      </w:r>
      <w:r w:rsidR="009F5798" w:rsidRPr="002A24F1">
        <w:rPr>
          <w:rFonts w:cs="Arial"/>
          <w:i/>
          <w:iCs/>
          <w:color w:val="000000" w:themeColor="text1"/>
          <w:sz w:val="22"/>
          <w:szCs w:val="22"/>
        </w:rPr>
        <w:t>MYCN</w:t>
      </w:r>
      <w:r w:rsidR="009F5798" w:rsidRPr="002A24F1">
        <w:rPr>
          <w:rFonts w:cs="Arial"/>
          <w:color w:val="000000" w:themeColor="text1"/>
          <w:sz w:val="22"/>
          <w:szCs w:val="22"/>
        </w:rPr>
        <w:t xml:space="preserve">-amplified and wild-type, </w:t>
      </w:r>
      <w:r w:rsidR="009F5798" w:rsidRPr="002A24F1">
        <w:rPr>
          <w:rFonts w:cs="Arial"/>
          <w:i/>
          <w:iCs/>
          <w:color w:val="000000" w:themeColor="text1"/>
          <w:sz w:val="22"/>
          <w:szCs w:val="22"/>
        </w:rPr>
        <w:t>ALK</w:t>
      </w:r>
      <w:r w:rsidR="009F5798" w:rsidRPr="002A24F1">
        <w:rPr>
          <w:rFonts w:cs="Arial"/>
          <w:color w:val="000000" w:themeColor="text1"/>
          <w:sz w:val="22"/>
          <w:szCs w:val="22"/>
        </w:rPr>
        <w:t xml:space="preserve">-driven neuroblastoma cells to ALK inhibitors both </w:t>
      </w:r>
      <w:r w:rsidR="009F5798" w:rsidRPr="002A24F1">
        <w:rPr>
          <w:rFonts w:cs="Arial"/>
          <w:i/>
          <w:iCs/>
          <w:color w:val="000000" w:themeColor="text1"/>
          <w:sz w:val="22"/>
          <w:szCs w:val="22"/>
        </w:rPr>
        <w:t>in vitro</w:t>
      </w:r>
      <w:r w:rsidR="009F5798" w:rsidRPr="002A24F1">
        <w:rPr>
          <w:rFonts w:cs="Arial"/>
          <w:color w:val="000000" w:themeColor="text1"/>
          <w:sz w:val="22"/>
          <w:szCs w:val="22"/>
        </w:rPr>
        <w:t xml:space="preserve"> and </w:t>
      </w:r>
      <w:r w:rsidR="009F5798" w:rsidRPr="002A24F1">
        <w:rPr>
          <w:rFonts w:cs="Arial"/>
          <w:i/>
          <w:iCs/>
          <w:color w:val="000000" w:themeColor="text1"/>
          <w:sz w:val="22"/>
          <w:szCs w:val="22"/>
        </w:rPr>
        <w:t>in vivo</w:t>
      </w:r>
      <w:r w:rsidR="009F5798" w:rsidRPr="002A24F1">
        <w:rPr>
          <w:rFonts w:cs="Arial"/>
          <w:color w:val="000000" w:themeColor="text1"/>
          <w:sz w:val="22"/>
          <w:szCs w:val="22"/>
        </w:rPr>
        <w:t>, suggesting co-inhibition of PIM and ALK as a viable strategy to enhance the efficacy of ALK inhibitors. It has previously been shown that ALK and MYCN are part of a positive feedback loop whereby ALK regulates expression of MYCN through repression of HPB1</w:t>
      </w:r>
      <w:r w:rsidR="009F5798" w:rsidRPr="002A24F1">
        <w:rPr>
          <w:rFonts w:cs="Arial"/>
          <w:color w:val="000000" w:themeColor="text1"/>
          <w:sz w:val="22"/>
          <w:szCs w:val="22"/>
        </w:rPr>
        <w:fldChar w:fldCharType="begin" w:fldLock="1"/>
      </w:r>
      <w:r w:rsidR="004F24F9">
        <w:rPr>
          <w:rFonts w:cs="Arial"/>
          <w:color w:val="000000" w:themeColor="text1"/>
          <w:sz w:val="22"/>
          <w:szCs w:val="22"/>
        </w:rPr>
        <w:instrText>ADDIN CSL_CITATION {"citationItems":[{"id":"ITEM-1","itemData":{"DOI":"10.1038/s41388-018-0595-3","ISSN":"0950-9232","author":[{"dropping-particle":"","family":"Claeys","given":"Shana","non-dropping-particle":"","parse-names":false,"suffix":""},{"dropping-particle":"","family":"Denecker","given":"Geertrui","non-dropping-particle":"","parse-names":false,"suffix":""},{"dropping-particle":"","family":"Durinck","given":"Kaat","non-dropping-particle":"","parse-names":false,"suffix":""},{"dropping-particle":"","family":"Decaesteker","given":"Bieke","non-dropping-particle":"","parse-names":false,"suffix":""},{"dropping-particle":"","family":"Mus","given":"Liselot M.","non-dropping-particle":"","parse-names":false,"suffix":""},{"dropping-particle":"","family":"Loontiens","given":"Siebe","non-dropping-particle":"","parse-names":false,"suffix":""},{"dropping-particle":"","family":"Vanhauwaert","given":"Suzanne","non-dropping-particle":"","parse-names":false,"suffix":""},{"dropping-particle":"","family":"Althoff","given":"Kristina","non-dropping-particle":"","parse-names":false,"suffix":""},{"dropping-particle":"","family":"Wigerup","given":"Caroline","non-dropping-particle":"","parse-names":false,"suffix":""},{"dropping-particle":"","family":"Bexell","given":"Daniel","non-dropping-particle":"","parse-names":false,"suffix":""},{"dropping-particle":"","family":"Dolman","given":"Emmy","non-dropping-particle":"","parse-names":false,"suffix":""},{"dropping-particle":"","family":"Henrich","given":"Kai-Oliver","non-dropping-particle":"","parse-names":false,"suffix":""},{"dropping-particle":"","family":"Wehrmann","given":"Lea","non-dropping-particle":"","parse-names":false,"suffix":""},{"dropping-particle":"","family":"Westerhout","given":"Ellen M.","non-dropping-particle":"","parse-names":false,"suffix":""},{"dropping-particle":"","family":"Demoulin","given":"Jean-Baptiste","non-dropping-particle":"","parse-names":false,"suffix":""},{"dropping-particle":"","family":"Kumps","given":"Candy","non-dropping-particle":"","parse-names":false,"suffix":""},{"dropping-particle":"","family":"Maerken","given":"Tom","non-dropping-particle":"Van","parse-names":false,"suffix":""},{"dropping-particle":"","family":"Laureys","given":"Genevieve","non-dropping-particle":"","parse-names":false,"suffix":""},{"dropping-particle":"","family":"Neste","given":"Christophe","non-dropping-particle":"Van","parse-names":false,"suffix":""},{"dropping-particle":"","family":"Wilde","given":"Bram","non-dropping-particle":"De","parse-names":false,"suffix":""},{"dropping-particle":"","family":"Wever","given":"Olivier","non-dropping-particle":"De","parse-names":false,"suffix":""},{"dropping-particle":"","family":"Westermann","given":"Frank","non-dropping-particle":"","parse-names":false,"suffix":""},{"dropping-particle":"","family":"Versteeg","given":"Rogier","non-dropping-particle":"","parse-names":false,"suffix":""},{"dropping-particle":"","family":"Molenaar","given":"Jan J.","non-dropping-particle":"","parse-names":false,"suffix":""},{"dropping-particle":"","family":"Påhlman","given":"Sven","non-dropping-particle":"","parse-names":false,"suffix":""},{"dropping-particle":"","family":"Schulte","given":"Johannes H.","non-dropping-particle":"","parse-names":false,"suffix":""},{"dropping-particle":"","family":"Preter","given":"Katleen","non-dropping-particle":"De","parse-names":false,"suffix":""},{"dropping-particle":"","family":"Speleman","given":"Frank","non-dropping-particle":"","parse-names":false,"suffix":""}],"container-title":"Oncogene","id":"ITEM-1","issue":"15","issued":{"date-parts":[["2019","4","11"]]},"page":"2690-2705","title":"ALK positively regulates MYCN activity through repression of HBP1 expression","type":"article-journal","volume":"38"},"uris":["http://www.mendeley.com/documents/?uuid=7837d0f9-d722-34da-9230-31c2cff7c17b","http://www.mendeley.com/documents/?uuid=91c2d83b-0f5c-4ef7-9994-ffcf5adf2310"]}],"mendeley":{"formattedCitation":"&lt;sup&gt;57&lt;/sup&gt;","plainTextFormattedCitation":"57","previouslyFormattedCitation":"&lt;sup&gt;57&lt;/sup&gt;"},"properties":{"noteIndex":0},"schema":"https://github.com/citation-style-language/schema/raw/master/csl-citation.json"}</w:instrText>
      </w:r>
      <w:r w:rsidR="009F5798" w:rsidRPr="002A24F1">
        <w:rPr>
          <w:rFonts w:cs="Arial"/>
          <w:color w:val="000000" w:themeColor="text1"/>
          <w:sz w:val="22"/>
          <w:szCs w:val="22"/>
        </w:rPr>
        <w:fldChar w:fldCharType="separate"/>
      </w:r>
      <w:r w:rsidR="00394C69" w:rsidRPr="002A24F1">
        <w:rPr>
          <w:rFonts w:cs="Arial"/>
          <w:noProof/>
          <w:color w:val="000000" w:themeColor="text1"/>
          <w:sz w:val="22"/>
          <w:szCs w:val="22"/>
          <w:vertAlign w:val="superscript"/>
        </w:rPr>
        <w:t>57</w:t>
      </w:r>
      <w:r w:rsidR="009F5798" w:rsidRPr="002A24F1">
        <w:rPr>
          <w:rFonts w:cs="Arial"/>
          <w:color w:val="000000" w:themeColor="text1"/>
          <w:sz w:val="22"/>
          <w:szCs w:val="22"/>
        </w:rPr>
        <w:fldChar w:fldCharType="end"/>
      </w:r>
      <w:r w:rsidR="009F5798" w:rsidRPr="002A24F1">
        <w:rPr>
          <w:rFonts w:cs="Arial"/>
          <w:color w:val="000000" w:themeColor="text1"/>
          <w:sz w:val="22"/>
          <w:szCs w:val="22"/>
        </w:rPr>
        <w:t>. However, our data</w:t>
      </w:r>
      <w:r w:rsidR="00AD0C9D" w:rsidRPr="002A24F1">
        <w:rPr>
          <w:rFonts w:cs="Arial"/>
          <w:color w:val="000000" w:themeColor="text1"/>
          <w:sz w:val="22"/>
          <w:szCs w:val="22"/>
        </w:rPr>
        <w:t xml:space="preserve">, </w:t>
      </w:r>
      <w:r w:rsidR="00AD0C9D" w:rsidRPr="002A24F1">
        <w:rPr>
          <w:rFonts w:cs="Arial"/>
          <w:sz w:val="22"/>
          <w:szCs w:val="22"/>
        </w:rPr>
        <w:t xml:space="preserve">particularly the </w:t>
      </w:r>
      <w:r w:rsidR="00AD0C9D" w:rsidRPr="002A24F1">
        <w:rPr>
          <w:rFonts w:cs="Arial"/>
          <w:i/>
          <w:iCs/>
          <w:sz w:val="22"/>
          <w:szCs w:val="22"/>
        </w:rPr>
        <w:t>in vivo</w:t>
      </w:r>
      <w:r w:rsidR="00AD0C9D" w:rsidRPr="002A24F1">
        <w:rPr>
          <w:rFonts w:cs="Arial"/>
          <w:sz w:val="22"/>
          <w:szCs w:val="22"/>
        </w:rPr>
        <w:t xml:space="preserve"> PDX data</w:t>
      </w:r>
      <w:r w:rsidR="009F5798" w:rsidRPr="002A24F1">
        <w:rPr>
          <w:rFonts w:cs="Arial"/>
          <w:sz w:val="22"/>
          <w:szCs w:val="22"/>
        </w:rPr>
        <w:t xml:space="preserve"> </w:t>
      </w:r>
      <w:r w:rsidR="009F5798" w:rsidRPr="002A24F1">
        <w:rPr>
          <w:rFonts w:cs="Arial"/>
          <w:color w:val="000000" w:themeColor="text1"/>
          <w:sz w:val="22"/>
          <w:szCs w:val="22"/>
        </w:rPr>
        <w:t xml:space="preserve">suggest that combined PIM and ALK inhibition is effective </w:t>
      </w:r>
      <w:r w:rsidR="00553276">
        <w:rPr>
          <w:rFonts w:cs="Arial"/>
          <w:color w:val="000000" w:themeColor="text1"/>
          <w:sz w:val="22"/>
          <w:szCs w:val="22"/>
        </w:rPr>
        <w:t xml:space="preserve">independent </w:t>
      </w:r>
      <w:r w:rsidR="009F5798" w:rsidRPr="002A24F1">
        <w:rPr>
          <w:rFonts w:cs="Arial"/>
          <w:color w:val="000000" w:themeColor="text1"/>
          <w:sz w:val="22"/>
          <w:szCs w:val="22"/>
        </w:rPr>
        <w:t>of MYCN status</w:t>
      </w:r>
      <w:r w:rsidR="00561410" w:rsidRPr="002A24F1">
        <w:rPr>
          <w:rFonts w:cs="Arial"/>
          <w:color w:val="000000" w:themeColor="text1"/>
          <w:sz w:val="22"/>
          <w:szCs w:val="22"/>
        </w:rPr>
        <w:t xml:space="preserve">. </w:t>
      </w:r>
      <w:r w:rsidRPr="002A24F1">
        <w:rPr>
          <w:rFonts w:cs="Arial"/>
          <w:color w:val="000000" w:themeColor="text1"/>
          <w:sz w:val="22"/>
          <w:szCs w:val="22"/>
        </w:rPr>
        <w:t xml:space="preserve">Moreover, </w:t>
      </w:r>
      <w:r w:rsidRPr="002A24F1">
        <w:rPr>
          <w:rFonts w:cs="Arial"/>
          <w:i/>
          <w:color w:val="000000" w:themeColor="text1"/>
          <w:sz w:val="22"/>
          <w:szCs w:val="22"/>
        </w:rPr>
        <w:t>PIM1</w:t>
      </w:r>
      <w:r w:rsidRPr="002A24F1">
        <w:rPr>
          <w:rFonts w:cs="Arial"/>
          <w:color w:val="000000" w:themeColor="text1"/>
          <w:sz w:val="22"/>
          <w:szCs w:val="22"/>
        </w:rPr>
        <w:t xml:space="preserve"> mRNA </w:t>
      </w:r>
      <w:r w:rsidRPr="002A24F1">
        <w:rPr>
          <w:rFonts w:cs="Arial"/>
          <w:color w:val="000000" w:themeColor="text1"/>
          <w:sz w:val="22"/>
        </w:rPr>
        <w:t xml:space="preserve">levels were significantly elevated in COG-N-426x </w:t>
      </w:r>
      <w:proofErr w:type="spellStart"/>
      <w:r w:rsidRPr="002A24F1">
        <w:rPr>
          <w:rFonts w:cs="Arial"/>
          <w:color w:val="000000" w:themeColor="text1"/>
          <w:sz w:val="22"/>
        </w:rPr>
        <w:t>tumors</w:t>
      </w:r>
      <w:proofErr w:type="spellEnd"/>
      <w:r w:rsidRPr="002A24F1">
        <w:rPr>
          <w:rFonts w:cs="Arial"/>
          <w:color w:val="000000" w:themeColor="text1"/>
          <w:sz w:val="22"/>
        </w:rPr>
        <w:t xml:space="preserve"> treated with </w:t>
      </w:r>
      <w:proofErr w:type="spellStart"/>
      <w:r w:rsidRPr="002A24F1">
        <w:rPr>
          <w:rFonts w:cs="Arial"/>
          <w:color w:val="000000" w:themeColor="text1"/>
          <w:sz w:val="22"/>
        </w:rPr>
        <w:t>ceritinib</w:t>
      </w:r>
      <w:proofErr w:type="spellEnd"/>
      <w:r w:rsidRPr="002A24F1">
        <w:rPr>
          <w:rFonts w:cs="Arial"/>
          <w:color w:val="000000" w:themeColor="text1"/>
          <w:sz w:val="22"/>
        </w:rPr>
        <w:t xml:space="preserve"> relative to vehicle at </w:t>
      </w:r>
      <w:r w:rsidR="00C560C5" w:rsidRPr="002A24F1">
        <w:rPr>
          <w:rFonts w:cs="Arial"/>
          <w:color w:val="000000" w:themeColor="text1"/>
          <w:sz w:val="22"/>
        </w:rPr>
        <w:t xml:space="preserve">the experimental </w:t>
      </w:r>
      <w:r w:rsidRPr="002A24F1">
        <w:rPr>
          <w:rFonts w:cs="Arial"/>
          <w:color w:val="000000" w:themeColor="text1"/>
          <w:sz w:val="22"/>
        </w:rPr>
        <w:t>end</w:t>
      </w:r>
      <w:r w:rsidRPr="002A24F1">
        <w:rPr>
          <w:rFonts w:cs="Arial"/>
          <w:sz w:val="22"/>
        </w:rPr>
        <w:t xml:space="preserve">-point, thus providing </w:t>
      </w:r>
      <w:r w:rsidRPr="002A24F1">
        <w:rPr>
          <w:rFonts w:cs="Arial"/>
          <w:i/>
          <w:sz w:val="22"/>
        </w:rPr>
        <w:t>in vivo</w:t>
      </w:r>
      <w:r w:rsidRPr="002A24F1">
        <w:rPr>
          <w:rFonts w:cs="Arial"/>
          <w:sz w:val="22"/>
        </w:rPr>
        <w:t xml:space="preserve"> evidence of </w:t>
      </w:r>
      <w:r w:rsidRPr="002A24F1">
        <w:rPr>
          <w:rFonts w:cs="Arial"/>
          <w:i/>
          <w:sz w:val="22"/>
        </w:rPr>
        <w:t>PIM1</w:t>
      </w:r>
      <w:r w:rsidRPr="002A24F1">
        <w:rPr>
          <w:rFonts w:cs="Arial"/>
          <w:sz w:val="22"/>
        </w:rPr>
        <w:t xml:space="preserve"> as a resistance gene. In summary, our data confirm that PIM1 induces resistance to ALK inhibitors in NB cell lines and also demonstrate the </w:t>
      </w:r>
      <w:r w:rsidRPr="002A24F1">
        <w:rPr>
          <w:rFonts w:cs="Arial"/>
          <w:sz w:val="22"/>
        </w:rPr>
        <w:lastRenderedPageBreak/>
        <w:t>potential for combined pharmacological inhibition of ALK and PIM1 in patients with ALK-positive, high-risk NB.</w:t>
      </w:r>
    </w:p>
    <w:p w14:paraId="131BE63A" w14:textId="77777777" w:rsidR="00202A3C" w:rsidRPr="00ED41A4" w:rsidRDefault="00202A3C" w:rsidP="00561410">
      <w:pPr>
        <w:spacing w:line="360" w:lineRule="auto"/>
        <w:ind w:firstLine="284"/>
        <w:jc w:val="both"/>
        <w:rPr>
          <w:sz w:val="22"/>
        </w:rPr>
      </w:pPr>
    </w:p>
    <w:p w14:paraId="522D2D8C" w14:textId="47271628" w:rsidR="00B37C9B" w:rsidRPr="007D59B1" w:rsidRDefault="00B37C9B" w:rsidP="00B37C9B">
      <w:pPr>
        <w:spacing w:line="360" w:lineRule="auto"/>
        <w:jc w:val="both"/>
        <w:rPr>
          <w:rFonts w:cs="Arial"/>
          <w:b/>
          <w:sz w:val="22"/>
          <w:szCs w:val="22"/>
        </w:rPr>
      </w:pPr>
      <w:r w:rsidRPr="007D59B1">
        <w:rPr>
          <w:rFonts w:cs="Arial"/>
          <w:b/>
          <w:sz w:val="22"/>
          <w:szCs w:val="22"/>
        </w:rPr>
        <w:t>Methods</w:t>
      </w:r>
    </w:p>
    <w:p w14:paraId="3DFFA475" w14:textId="2EE8E2A7" w:rsidR="00202A3C" w:rsidRPr="007D59B1" w:rsidRDefault="00202A3C" w:rsidP="00202A3C">
      <w:pPr>
        <w:tabs>
          <w:tab w:val="left" w:pos="5100"/>
        </w:tabs>
        <w:spacing w:line="360" w:lineRule="auto"/>
        <w:jc w:val="both"/>
        <w:rPr>
          <w:rFonts w:cs="Arial"/>
          <w:b/>
          <w:color w:val="000000"/>
          <w:sz w:val="22"/>
          <w:szCs w:val="22"/>
          <w:shd w:val="clear" w:color="auto" w:fill="FFFFFF"/>
        </w:rPr>
      </w:pPr>
      <w:r w:rsidRPr="007D59B1">
        <w:rPr>
          <w:rFonts w:cs="Arial"/>
          <w:b/>
          <w:color w:val="000000"/>
          <w:sz w:val="22"/>
          <w:szCs w:val="22"/>
          <w:shd w:val="clear" w:color="auto" w:fill="FFFFFF"/>
        </w:rPr>
        <w:t xml:space="preserve">Cell lines and cell culture. </w:t>
      </w:r>
      <w:r w:rsidRPr="007D59B1">
        <w:rPr>
          <w:rFonts w:cs="Arial"/>
          <w:color w:val="000000"/>
          <w:sz w:val="22"/>
          <w:szCs w:val="22"/>
          <w:shd w:val="clear" w:color="auto" w:fill="FFFFFF"/>
        </w:rPr>
        <w:t>The neuroblastoma cell lines CHLA-15, CHLA-20, CHLA-42, CHLA-90, CHLA-95, CHLA-171, COG-N-426 (Felix), LA-N-5, LA-N-6, NB-1643, NB-EBC1, SK-N-BE(1), SK-N-BE(2), SK-N-FI, SMS-KAN, SMS-KCR and SMS-LHN were obtained from COG. CHP-134, IMR-32, KELLY, LA-N-1 and SH-SY5Y were obtained from the European Collection of Authenticated Cell Cultures (ECACC). GI-ME-N, NBL-S and NGP were obtained from German Collection of Microorganisms and Cell Cultures (DSMZ) and 293FT was obtained from Thermo Fisher Scientific. CHLA-15, CHLA-20, CHLA-42, CHLA-90, CHLA-95, CHLA-171, COG-N-426 (Felix), NB-1643, NB-EBC1 and NBL-S cells were cultured in IMDM (Gibco,</w:t>
      </w:r>
      <w:r w:rsidR="00870957">
        <w:rPr>
          <w:rFonts w:cs="Arial"/>
          <w:color w:val="000000"/>
          <w:sz w:val="22"/>
          <w:szCs w:val="22"/>
          <w:shd w:val="clear" w:color="auto" w:fill="FFFFFF"/>
        </w:rPr>
        <w:t xml:space="preserve"> Cat</w:t>
      </w:r>
      <w:r w:rsidRPr="007D59B1">
        <w:rPr>
          <w:rFonts w:cs="Arial"/>
          <w:color w:val="000000"/>
          <w:sz w:val="22"/>
          <w:szCs w:val="22"/>
          <w:shd w:val="clear" w:color="auto" w:fill="FFFFFF"/>
        </w:rPr>
        <w:t>#21980032) supplemented with 20% FBS, 1% insulin-transferrin-selenium (ITS; Gibco, Cat#41400045) and 1% penicillin</w:t>
      </w:r>
      <w:r w:rsidR="0030702D">
        <w:rPr>
          <w:rFonts w:cs="Arial"/>
          <w:color w:val="000000"/>
          <w:sz w:val="22"/>
          <w:szCs w:val="22"/>
          <w:shd w:val="clear" w:color="auto" w:fill="FFFFFF"/>
        </w:rPr>
        <w:t>/</w:t>
      </w:r>
      <w:r w:rsidRPr="007D59B1">
        <w:rPr>
          <w:rFonts w:cs="Arial"/>
          <w:color w:val="000000"/>
          <w:sz w:val="22"/>
          <w:szCs w:val="22"/>
          <w:shd w:val="clear" w:color="auto" w:fill="FFFFFF"/>
        </w:rPr>
        <w:t>streptomycin (PS). CHP-134, GI-ME-N, IMR-32, KELLY, LA-N-1, LA-N-5, LA-N-6, NGP, SK-N-BE(1), SK-N-BE(2), SK-N-FI, SMS-KAN, SMS-KCNR and SMS-LHN cells were cultured in RPMI 1640 medium (Gibco, Cat#21875091) supplemented with 10% FBS, 1% ITS and 1% PS. SH-SY5Y and 293FT cells were cultured in DMEM (Gibco, Cat#41966029) supplemented with 10% FBS and 1% PS. Cells were grown at 37°C in a humidified incubator with 5% CO</w:t>
      </w:r>
      <w:r w:rsidRPr="007D59B1">
        <w:rPr>
          <w:rFonts w:cs="Arial"/>
          <w:color w:val="000000"/>
          <w:sz w:val="22"/>
          <w:szCs w:val="22"/>
          <w:shd w:val="clear" w:color="auto" w:fill="FFFFFF"/>
          <w:vertAlign w:val="subscript"/>
        </w:rPr>
        <w:t>2</w:t>
      </w:r>
      <w:r w:rsidRPr="007D59B1">
        <w:rPr>
          <w:rFonts w:cs="Arial"/>
          <w:color w:val="000000"/>
          <w:sz w:val="22"/>
          <w:szCs w:val="22"/>
          <w:shd w:val="clear" w:color="auto" w:fill="FFFFFF"/>
        </w:rPr>
        <w:t xml:space="preserve">. All cells were mycoplasma-free and subjected to </w:t>
      </w:r>
      <w:r w:rsidR="002A3C22">
        <w:rPr>
          <w:rFonts w:cs="Arial"/>
          <w:color w:val="000000"/>
          <w:sz w:val="22"/>
          <w:szCs w:val="22"/>
          <w:shd w:val="clear" w:color="auto" w:fill="FFFFFF"/>
        </w:rPr>
        <w:t>quarterly</w:t>
      </w:r>
      <w:r w:rsidR="002A3C22" w:rsidRPr="007D59B1">
        <w:rPr>
          <w:rFonts w:cs="Arial"/>
          <w:color w:val="000000"/>
          <w:sz w:val="22"/>
          <w:szCs w:val="22"/>
          <w:shd w:val="clear" w:color="auto" w:fill="FFFFFF"/>
        </w:rPr>
        <w:t xml:space="preserve"> </w:t>
      </w:r>
      <w:r w:rsidRPr="007D59B1">
        <w:rPr>
          <w:rFonts w:cs="Arial"/>
          <w:color w:val="000000"/>
          <w:sz w:val="22"/>
          <w:szCs w:val="22"/>
          <w:shd w:val="clear" w:color="auto" w:fill="FFFFFF"/>
        </w:rPr>
        <w:t>in-house testing</w:t>
      </w:r>
      <w:r w:rsidR="002A3C22">
        <w:rPr>
          <w:rFonts w:cs="Arial"/>
          <w:color w:val="000000"/>
          <w:sz w:val="22"/>
          <w:szCs w:val="22"/>
          <w:shd w:val="clear" w:color="auto" w:fill="FFFFFF"/>
        </w:rPr>
        <w:t xml:space="preserve"> using the </w:t>
      </w:r>
      <w:r w:rsidR="00692135" w:rsidRPr="00692135">
        <w:rPr>
          <w:rFonts w:cs="Arial"/>
          <w:color w:val="000000"/>
          <w:sz w:val="22"/>
          <w:szCs w:val="22"/>
          <w:shd w:val="clear" w:color="auto" w:fill="FFFFFF"/>
        </w:rPr>
        <w:t>EZ-PCR Mycoplasma Detection Kit</w:t>
      </w:r>
      <w:r w:rsidR="00692135">
        <w:rPr>
          <w:rFonts w:cs="Arial"/>
          <w:color w:val="000000"/>
          <w:sz w:val="22"/>
          <w:szCs w:val="22"/>
          <w:shd w:val="clear" w:color="auto" w:fill="FFFFFF"/>
        </w:rPr>
        <w:t xml:space="preserve"> (Geneflow, Cat#K1-0210)</w:t>
      </w:r>
      <w:r w:rsidRPr="007D59B1">
        <w:rPr>
          <w:rFonts w:cs="Arial"/>
          <w:color w:val="000000"/>
          <w:sz w:val="22"/>
          <w:szCs w:val="22"/>
          <w:shd w:val="clear" w:color="auto" w:fill="FFFFFF"/>
        </w:rPr>
        <w:t>.</w:t>
      </w:r>
    </w:p>
    <w:p w14:paraId="141BB796" w14:textId="77777777" w:rsidR="008804DA" w:rsidRPr="007D59B1" w:rsidRDefault="008804DA" w:rsidP="00202A3C">
      <w:pPr>
        <w:tabs>
          <w:tab w:val="left" w:pos="5100"/>
        </w:tabs>
        <w:spacing w:line="360" w:lineRule="auto"/>
        <w:rPr>
          <w:rFonts w:cs="Arial"/>
          <w:sz w:val="22"/>
          <w:szCs w:val="22"/>
        </w:rPr>
      </w:pPr>
    </w:p>
    <w:p w14:paraId="05B30D06" w14:textId="797931F5" w:rsidR="00202A3C" w:rsidRPr="007D59B1" w:rsidRDefault="00202A3C" w:rsidP="00872AA4">
      <w:pPr>
        <w:tabs>
          <w:tab w:val="left" w:pos="5100"/>
        </w:tabs>
        <w:spacing w:line="360" w:lineRule="auto"/>
        <w:jc w:val="both"/>
        <w:rPr>
          <w:rFonts w:cs="Arial"/>
          <w:sz w:val="22"/>
          <w:szCs w:val="22"/>
        </w:rPr>
      </w:pPr>
      <w:r w:rsidRPr="007D59B1">
        <w:rPr>
          <w:rFonts w:cs="Arial"/>
          <w:b/>
          <w:sz w:val="22"/>
          <w:szCs w:val="22"/>
        </w:rPr>
        <w:t xml:space="preserve">Genotyping of cell lines for </w:t>
      </w:r>
      <w:r w:rsidRPr="007D59B1">
        <w:rPr>
          <w:rFonts w:cs="Arial"/>
          <w:b/>
          <w:i/>
          <w:sz w:val="22"/>
          <w:szCs w:val="22"/>
        </w:rPr>
        <w:t>ALK</w:t>
      </w:r>
      <w:r w:rsidRPr="007D59B1">
        <w:rPr>
          <w:rFonts w:cs="Arial"/>
          <w:b/>
          <w:sz w:val="22"/>
          <w:szCs w:val="22"/>
        </w:rPr>
        <w:t xml:space="preserve"> status. </w:t>
      </w:r>
      <w:r w:rsidRPr="007D59B1">
        <w:rPr>
          <w:rFonts w:cs="Arial"/>
          <w:sz w:val="22"/>
          <w:szCs w:val="22"/>
        </w:rPr>
        <w:t xml:space="preserve">Total RNA was extracted using the RNeasy Plus Mini Kit (Qiagen, Cat#74134). RNA was reverse transcribed using </w:t>
      </w:r>
      <w:proofErr w:type="spellStart"/>
      <w:r w:rsidRPr="007D59B1">
        <w:rPr>
          <w:rFonts w:cs="Arial"/>
          <w:sz w:val="22"/>
          <w:szCs w:val="22"/>
        </w:rPr>
        <w:t>iScript</w:t>
      </w:r>
      <w:proofErr w:type="spellEnd"/>
      <w:r w:rsidRPr="007D59B1">
        <w:rPr>
          <w:rFonts w:cs="Arial"/>
          <w:sz w:val="22"/>
          <w:szCs w:val="22"/>
        </w:rPr>
        <w:t xml:space="preserve"> Reverse Transcription </w:t>
      </w:r>
      <w:proofErr w:type="spellStart"/>
      <w:r w:rsidRPr="007D59B1">
        <w:rPr>
          <w:rFonts w:cs="Arial"/>
          <w:sz w:val="22"/>
          <w:szCs w:val="22"/>
        </w:rPr>
        <w:t>Supermix</w:t>
      </w:r>
      <w:proofErr w:type="spellEnd"/>
      <w:r w:rsidRPr="007D59B1">
        <w:rPr>
          <w:rFonts w:cs="Arial"/>
          <w:sz w:val="22"/>
          <w:szCs w:val="22"/>
        </w:rPr>
        <w:t xml:space="preserve"> (Bio-Rad, Cat#1708840). The kinase domain of ALK was PCR-amplified from 10 ng cDNA using the Q5 High-Fidelity PCR Kit (NEB) with primers F: CGGCATCATGATTGTGTACC; R: GTTGCTTTTGCTGGGGTATG. Amplicons were resolved by agarose gel electrophoresis and extracted using the </w:t>
      </w:r>
      <w:proofErr w:type="spellStart"/>
      <w:r w:rsidRPr="007D59B1">
        <w:rPr>
          <w:rFonts w:cs="Arial"/>
          <w:sz w:val="22"/>
          <w:szCs w:val="22"/>
        </w:rPr>
        <w:t>QIAquick</w:t>
      </w:r>
      <w:proofErr w:type="spellEnd"/>
      <w:r w:rsidRPr="007D59B1">
        <w:rPr>
          <w:rFonts w:cs="Arial"/>
          <w:sz w:val="22"/>
          <w:szCs w:val="22"/>
        </w:rPr>
        <w:t xml:space="preserve"> Gel Extraction Kit (Qiagen, Cat#28706). DNA was Sanger sequenced with a custom sequencing primer, F: ACCTCGACCATCATG. Chromatograms were analysed in </w:t>
      </w:r>
      <w:proofErr w:type="spellStart"/>
      <w:r w:rsidRPr="007D59B1">
        <w:rPr>
          <w:rFonts w:cs="Arial"/>
          <w:sz w:val="22"/>
          <w:szCs w:val="22"/>
        </w:rPr>
        <w:t>SnapGene</w:t>
      </w:r>
      <w:proofErr w:type="spellEnd"/>
      <w:r w:rsidRPr="007D59B1">
        <w:rPr>
          <w:rFonts w:cs="Arial"/>
          <w:sz w:val="22"/>
          <w:szCs w:val="22"/>
        </w:rPr>
        <w:t xml:space="preserve"> Viewer using that of CHP-134 as reference, since its ALK coding sequence is identical to </w:t>
      </w:r>
      <w:proofErr w:type="spellStart"/>
      <w:r w:rsidRPr="007D59B1">
        <w:rPr>
          <w:rFonts w:cs="Arial"/>
          <w:sz w:val="22"/>
          <w:szCs w:val="22"/>
        </w:rPr>
        <w:t>RefSeq</w:t>
      </w:r>
      <w:proofErr w:type="spellEnd"/>
      <w:r w:rsidRPr="007D59B1">
        <w:rPr>
          <w:rFonts w:cs="Arial"/>
          <w:sz w:val="22"/>
          <w:szCs w:val="22"/>
        </w:rPr>
        <w:t xml:space="preserve"> NM_004304 (NCBI-BLAST).</w:t>
      </w:r>
    </w:p>
    <w:p w14:paraId="41075ABF" w14:textId="77777777" w:rsidR="00202A3C" w:rsidRPr="007D59B1" w:rsidRDefault="00202A3C" w:rsidP="00202A3C">
      <w:pPr>
        <w:spacing w:line="360" w:lineRule="auto"/>
        <w:jc w:val="both"/>
        <w:rPr>
          <w:rFonts w:cs="Arial"/>
          <w:sz w:val="22"/>
          <w:szCs w:val="22"/>
        </w:rPr>
      </w:pPr>
    </w:p>
    <w:p w14:paraId="45A726F9" w14:textId="182AF942" w:rsidR="00202A3C" w:rsidRPr="007D59B1" w:rsidRDefault="00202A3C" w:rsidP="00202A3C">
      <w:pPr>
        <w:spacing w:line="360" w:lineRule="auto"/>
        <w:jc w:val="both"/>
        <w:rPr>
          <w:rFonts w:cs="Arial"/>
          <w:sz w:val="22"/>
          <w:szCs w:val="22"/>
        </w:rPr>
      </w:pPr>
      <w:r w:rsidRPr="007D59B1">
        <w:rPr>
          <w:rFonts w:cs="Arial"/>
          <w:b/>
          <w:sz w:val="22"/>
          <w:szCs w:val="22"/>
        </w:rPr>
        <w:t>Cell viability assays</w:t>
      </w:r>
      <w:r w:rsidR="00144F8D" w:rsidRPr="007D59B1">
        <w:rPr>
          <w:rFonts w:cs="Arial"/>
          <w:b/>
          <w:sz w:val="22"/>
          <w:szCs w:val="22"/>
        </w:rPr>
        <w:t xml:space="preserve">. </w:t>
      </w:r>
      <w:r w:rsidRPr="007D59B1">
        <w:rPr>
          <w:rFonts w:cs="Arial"/>
          <w:sz w:val="22"/>
          <w:szCs w:val="22"/>
        </w:rPr>
        <w:t xml:space="preserve">Cells were seeded in black/clear bottom 96-well plates (Greiner Bio-One, Cat#655209) at densities that resulted in near-confluency after 96 hours. After 24 hours, the media was aspirated and 200 µL fresh media was added containing compounds in log-scale concentrations (0, 1, 3, 10, 30, 100, 300, 1000, 3000 </w:t>
      </w:r>
      <w:proofErr w:type="spellStart"/>
      <w:r w:rsidRPr="007D59B1">
        <w:rPr>
          <w:rFonts w:cs="Arial"/>
          <w:sz w:val="22"/>
          <w:szCs w:val="22"/>
        </w:rPr>
        <w:t>nM</w:t>
      </w:r>
      <w:proofErr w:type="spellEnd"/>
      <w:r w:rsidRPr="007D59B1">
        <w:rPr>
          <w:rFonts w:cs="Arial"/>
          <w:sz w:val="22"/>
          <w:szCs w:val="22"/>
        </w:rPr>
        <w:t xml:space="preserve">) in technical triplicate. DMSO </w:t>
      </w:r>
      <w:r w:rsidRPr="007D59B1">
        <w:rPr>
          <w:rFonts w:cs="Arial"/>
          <w:sz w:val="22"/>
          <w:szCs w:val="22"/>
        </w:rPr>
        <w:lastRenderedPageBreak/>
        <w:t xml:space="preserve">concentration was </w:t>
      </w:r>
      <w:r w:rsidR="00550168">
        <w:rPr>
          <w:rFonts w:cs="Arial"/>
          <w:sz w:val="22"/>
          <w:szCs w:val="22"/>
        </w:rPr>
        <w:t>fixed</w:t>
      </w:r>
      <w:r w:rsidR="00550168" w:rsidRPr="007D59B1">
        <w:rPr>
          <w:rFonts w:cs="Arial"/>
          <w:sz w:val="22"/>
          <w:szCs w:val="22"/>
        </w:rPr>
        <w:t xml:space="preserve"> </w:t>
      </w:r>
      <w:r w:rsidRPr="007D59B1">
        <w:rPr>
          <w:rFonts w:cs="Arial"/>
          <w:sz w:val="22"/>
          <w:szCs w:val="22"/>
        </w:rPr>
        <w:t xml:space="preserve">at 0.3% for all cells. Plates were sealed with </w:t>
      </w:r>
      <w:proofErr w:type="spellStart"/>
      <w:r w:rsidRPr="007D59B1">
        <w:rPr>
          <w:rFonts w:cs="Arial"/>
          <w:sz w:val="22"/>
          <w:szCs w:val="22"/>
        </w:rPr>
        <w:t>AeraSeal</w:t>
      </w:r>
      <w:proofErr w:type="spellEnd"/>
      <w:r w:rsidRPr="007D59B1">
        <w:rPr>
          <w:rFonts w:cs="Arial"/>
          <w:sz w:val="22"/>
          <w:szCs w:val="22"/>
        </w:rPr>
        <w:t xml:space="preserve"> breathable film (Excel Scientific, Cat#BS-25) to reduce evaporation and cells were incubated at 37⁰C. After 68 hours, 120 µL </w:t>
      </w:r>
      <w:proofErr w:type="spellStart"/>
      <w:r w:rsidRPr="007D59B1">
        <w:rPr>
          <w:rFonts w:cs="Arial"/>
          <w:sz w:val="22"/>
          <w:szCs w:val="22"/>
        </w:rPr>
        <w:t>CellTiter</w:t>
      </w:r>
      <w:proofErr w:type="spellEnd"/>
      <w:r w:rsidRPr="007D59B1">
        <w:rPr>
          <w:rFonts w:cs="Arial"/>
          <w:sz w:val="22"/>
          <w:szCs w:val="22"/>
        </w:rPr>
        <w:t xml:space="preserve">-Blue cell viability reagent (Promega, Cat#G8082) diluted 1:5 with media was added to each well and cells were incubated at 37⁰C for 4 hours. After 4 hours, fluorescence was read on a </w:t>
      </w:r>
      <w:proofErr w:type="spellStart"/>
      <w:r w:rsidRPr="007D59B1">
        <w:rPr>
          <w:rFonts w:cs="Arial"/>
          <w:sz w:val="22"/>
          <w:szCs w:val="22"/>
        </w:rPr>
        <w:t>SpectraMax</w:t>
      </w:r>
      <w:proofErr w:type="spellEnd"/>
      <w:r w:rsidRPr="007D59B1">
        <w:rPr>
          <w:rFonts w:cs="Arial"/>
          <w:sz w:val="22"/>
          <w:szCs w:val="22"/>
        </w:rPr>
        <w:t xml:space="preserve"> i3 microplate reader (Molecular Devices). PBS was used to calculate background signal for subtraction from all measurements. Normalized dose-response curves were generated by non-linear regression and ED</w:t>
      </w:r>
      <w:r w:rsidRPr="007D59B1">
        <w:rPr>
          <w:rFonts w:cs="Arial"/>
          <w:sz w:val="22"/>
          <w:szCs w:val="22"/>
          <w:vertAlign w:val="subscript"/>
        </w:rPr>
        <w:t>50</w:t>
      </w:r>
      <w:r w:rsidRPr="007D59B1">
        <w:rPr>
          <w:rFonts w:cs="Arial"/>
          <w:sz w:val="22"/>
          <w:szCs w:val="22"/>
        </w:rPr>
        <w:t xml:space="preserve"> values calculated with GraphPad Prism 7 software (GraphPad Software Inc).</w:t>
      </w:r>
    </w:p>
    <w:p w14:paraId="388EEEC8" w14:textId="77777777" w:rsidR="00202A3C" w:rsidRPr="007D59B1" w:rsidRDefault="00202A3C" w:rsidP="00202A3C">
      <w:pPr>
        <w:spacing w:line="360" w:lineRule="auto"/>
        <w:jc w:val="both"/>
        <w:rPr>
          <w:rFonts w:cs="Arial"/>
          <w:sz w:val="22"/>
          <w:szCs w:val="22"/>
        </w:rPr>
      </w:pPr>
    </w:p>
    <w:p w14:paraId="532B146E" w14:textId="51383D94" w:rsidR="00202A3C" w:rsidRPr="007D59B1" w:rsidRDefault="00202A3C" w:rsidP="00202A3C">
      <w:pPr>
        <w:spacing w:line="360" w:lineRule="auto"/>
        <w:jc w:val="both"/>
        <w:rPr>
          <w:rFonts w:cs="Arial"/>
          <w:sz w:val="22"/>
          <w:szCs w:val="22"/>
        </w:rPr>
      </w:pPr>
      <w:r w:rsidRPr="007D59B1">
        <w:rPr>
          <w:rFonts w:cs="Arial"/>
          <w:b/>
          <w:sz w:val="22"/>
          <w:szCs w:val="22"/>
        </w:rPr>
        <w:t>Colony formation assays</w:t>
      </w:r>
      <w:r w:rsidR="00144F8D" w:rsidRPr="007D59B1">
        <w:rPr>
          <w:rFonts w:cs="Arial"/>
          <w:b/>
          <w:sz w:val="22"/>
          <w:szCs w:val="22"/>
        </w:rPr>
        <w:t xml:space="preserve">. </w:t>
      </w:r>
      <w:r w:rsidRPr="007D59B1">
        <w:rPr>
          <w:rFonts w:cs="Arial"/>
          <w:sz w:val="22"/>
          <w:szCs w:val="22"/>
        </w:rPr>
        <w:t>Cells were seeded into six-well plates at 10</w:t>
      </w:r>
      <w:r w:rsidRPr="007D59B1">
        <w:rPr>
          <w:rFonts w:cs="Arial"/>
          <w:sz w:val="22"/>
          <w:szCs w:val="22"/>
          <w:vertAlign w:val="superscript"/>
        </w:rPr>
        <w:t>3</w:t>
      </w:r>
      <w:r w:rsidRPr="007D59B1">
        <w:rPr>
          <w:rFonts w:cs="Arial"/>
          <w:sz w:val="22"/>
          <w:szCs w:val="22"/>
        </w:rPr>
        <w:t xml:space="preserve"> cells per well. After 24 hours, compounds were added at the following log-scale concentrations: 0, 30, 100, 300, 1000, 3000 </w:t>
      </w:r>
      <w:proofErr w:type="spellStart"/>
      <w:r w:rsidRPr="007D59B1">
        <w:rPr>
          <w:rFonts w:cs="Arial"/>
          <w:sz w:val="22"/>
          <w:szCs w:val="22"/>
        </w:rPr>
        <w:t>nM</w:t>
      </w:r>
      <w:proofErr w:type="spellEnd"/>
      <w:r w:rsidRPr="007D59B1">
        <w:rPr>
          <w:rFonts w:cs="Arial"/>
          <w:sz w:val="22"/>
          <w:szCs w:val="22"/>
        </w:rPr>
        <w:t xml:space="preserve"> (0.3% DMSO) and media was replaced every three days. Cells were cultured for 12 days, after which each colony in the DMSO control comprised at least 50 cells. Colonies were fixed with 10% neutral buffered formalin, stained with 0.05% (w/v) crystal violet (25% methanol), washed and imaged on an </w:t>
      </w:r>
      <w:proofErr w:type="spellStart"/>
      <w:r w:rsidRPr="007D59B1">
        <w:rPr>
          <w:rFonts w:cs="Arial"/>
          <w:sz w:val="22"/>
          <w:szCs w:val="22"/>
        </w:rPr>
        <w:t>ImageQuant</w:t>
      </w:r>
      <w:proofErr w:type="spellEnd"/>
      <w:r w:rsidRPr="007D59B1">
        <w:rPr>
          <w:rFonts w:cs="Arial"/>
          <w:sz w:val="22"/>
          <w:szCs w:val="22"/>
        </w:rPr>
        <w:t xml:space="preserve"> LAS-4000 imaging system (GE Life Sciences).</w:t>
      </w:r>
    </w:p>
    <w:p w14:paraId="36BBAB56" w14:textId="77777777" w:rsidR="00202A3C" w:rsidRPr="007D59B1" w:rsidRDefault="00202A3C" w:rsidP="00202A3C">
      <w:pPr>
        <w:spacing w:line="360" w:lineRule="auto"/>
        <w:jc w:val="both"/>
        <w:rPr>
          <w:rFonts w:cs="Arial"/>
          <w:sz w:val="22"/>
          <w:szCs w:val="22"/>
        </w:rPr>
      </w:pPr>
    </w:p>
    <w:p w14:paraId="5CFC723F" w14:textId="542CA4DA" w:rsidR="00202A3C" w:rsidRPr="007D59B1" w:rsidRDefault="00202A3C" w:rsidP="00202A3C">
      <w:pPr>
        <w:spacing w:line="360" w:lineRule="auto"/>
        <w:jc w:val="both"/>
        <w:rPr>
          <w:rFonts w:cs="Arial"/>
          <w:sz w:val="22"/>
          <w:szCs w:val="22"/>
        </w:rPr>
      </w:pPr>
      <w:r w:rsidRPr="007D59B1">
        <w:rPr>
          <w:rFonts w:cs="Arial"/>
          <w:b/>
          <w:sz w:val="22"/>
          <w:szCs w:val="22"/>
        </w:rPr>
        <w:t>Synergy experiments</w:t>
      </w:r>
      <w:r w:rsidR="00144F8D" w:rsidRPr="007D59B1">
        <w:rPr>
          <w:rFonts w:cs="Arial"/>
          <w:b/>
          <w:sz w:val="22"/>
          <w:szCs w:val="22"/>
        </w:rPr>
        <w:t xml:space="preserve">. </w:t>
      </w:r>
      <w:r w:rsidRPr="007D59B1">
        <w:rPr>
          <w:rFonts w:cs="Arial"/>
          <w:sz w:val="22"/>
          <w:szCs w:val="22"/>
        </w:rPr>
        <w:t xml:space="preserve">For dose-response curves, cells were treated with log-scale concentrations of ALK inhibitors </w:t>
      </w:r>
      <w:r w:rsidR="00F06B96">
        <w:rPr>
          <w:rFonts w:cs="Arial"/>
          <w:sz w:val="22"/>
          <w:szCs w:val="22"/>
        </w:rPr>
        <w:t xml:space="preserve">as described above </w:t>
      </w:r>
      <w:r w:rsidRPr="007D59B1">
        <w:rPr>
          <w:rFonts w:cs="Arial"/>
          <w:sz w:val="22"/>
          <w:szCs w:val="22"/>
        </w:rPr>
        <w:t>in addition to fixed concentrations of AZD1208 as indicated. Potential synergy between ALK inhibitors and AZD1208 was evaluated by calculating the combination index (CI) based on the Bliss Independence model</w:t>
      </w:r>
      <w:r w:rsidR="005271C7" w:rsidRPr="007D59B1">
        <w:rPr>
          <w:rFonts w:cs="Arial"/>
          <w:sz w:val="22"/>
          <w:szCs w:val="22"/>
        </w:rPr>
        <w:fldChar w:fldCharType="begin" w:fldLock="1"/>
      </w:r>
      <w:r w:rsidR="00394C69" w:rsidRPr="007D59B1">
        <w:rPr>
          <w:rFonts w:cs="Arial"/>
          <w:sz w:val="22"/>
          <w:szCs w:val="22"/>
        </w:rPr>
        <w:instrText>ADDIN CSL_CITATION {"citationItems":[{"id":"ITEM-1","itemData":{"DOI":"10.1002/prp2.149","ISBN":"2052-1707 (Print)\r2052-1707 (Linking)","PMID":"26171228","abstract":"Combination therapies exploit the chances for better efficacy, decreased toxicity, and reduced development of drug resistance and owing to these advantages, have become a standard for the treatment of several diseases and continue to represent a promising approach in indications of unmet medical need. In this context, studying the effects of a combination of drugs in order to provide evidence of a significant superiority compared to the single agents is of particular interest. Research in this field has resulted in a large number of papers and revealed several issues. Here, we propose an overview of the current methodological landscape concerning the study of combination effects. First, we aim to provide the minimal set of mathematical and pharmacological concepts necessary to understand the most commonly used approaches, divided into effect-based approaches and dose-effect-based approaches, and introduced in light of their respective practical advantages and limitations. Then, we discuss six main common methodological issues that scientists have to face at each step of the development of new combination therapies. In particular, in the absence of a reference methodology suitable for all biomedical situations, the analysis of drug combinations should benefit from a collective, appropriate, and rigorous application of the concepts and methods reviewed here.","author":[{"dropping-particle":"","family":"Foucquier","given":"J","non-dropping-particle":"","parse-names":false,"suffix":""},{"dropping-particle":"","family":"Guedj","given":"M","non-dropping-particle":"","parse-names":false,"suffix":""}],"container-title":"Pharmacol Res Perspect","id":"ITEM-1","issue":"3","issued":{"date-parts":[["2015"]]},"note":"Foucquier, Julie\nGuedj, Mickael\neng\nReview\n2015/07/15 06:00\nPharmacol Res Perspect. 2015 Jun;3(3):e00149. doi: 10.1002/prp2.149. Epub 2015 May 20.","page":"e00149","title":"Analysis of drug combinations: current methodological landscape","type":"article-journal","volume":"3"},"uris":["http://www.mendeley.com/documents/?uuid=1dd909c5-c7e8-4157-8e28-3322dac9da5d","http://www.mendeley.com/documents/?uuid=c5584bef-0917-47f9-8501-d7ea7452cc73"]}],"mendeley":{"formattedCitation":"&lt;sup&gt;48&lt;/sup&gt;","plainTextFormattedCitation":"48","previouslyFormattedCitation":"&lt;sup&gt;48&lt;/sup&gt;"},"properties":{"noteIndex":0},"schema":"https://github.com/citation-style-language/schema/raw/master/csl-citation.json"}</w:instrText>
      </w:r>
      <w:r w:rsidR="005271C7" w:rsidRPr="007D59B1">
        <w:rPr>
          <w:rFonts w:cs="Arial"/>
          <w:sz w:val="22"/>
          <w:szCs w:val="22"/>
        </w:rPr>
        <w:fldChar w:fldCharType="separate"/>
      </w:r>
      <w:r w:rsidR="005271C7" w:rsidRPr="007D59B1">
        <w:rPr>
          <w:rFonts w:cs="Arial"/>
          <w:noProof/>
          <w:sz w:val="22"/>
          <w:szCs w:val="22"/>
          <w:vertAlign w:val="superscript"/>
        </w:rPr>
        <w:t>48</w:t>
      </w:r>
      <w:r w:rsidR="005271C7" w:rsidRPr="007D59B1">
        <w:rPr>
          <w:rFonts w:cs="Arial"/>
          <w:sz w:val="22"/>
          <w:szCs w:val="22"/>
        </w:rPr>
        <w:fldChar w:fldCharType="end"/>
      </w:r>
      <w:r w:rsidR="005271C7" w:rsidRPr="007D59B1">
        <w:rPr>
          <w:rFonts w:cs="Arial"/>
          <w:sz w:val="22"/>
          <w:szCs w:val="22"/>
        </w:rPr>
        <w:t xml:space="preserve">. </w:t>
      </w:r>
      <w:r w:rsidRPr="007D59B1">
        <w:rPr>
          <w:rFonts w:cs="Arial"/>
          <w:sz w:val="22"/>
          <w:szCs w:val="22"/>
        </w:rPr>
        <w:t>The CI can be calculated with the following equation: CI= (</w:t>
      </w:r>
      <w:proofErr w:type="spellStart"/>
      <w:r w:rsidRPr="007D59B1">
        <w:rPr>
          <w:rFonts w:cs="Arial"/>
          <w:sz w:val="22"/>
          <w:szCs w:val="22"/>
        </w:rPr>
        <w:t>Ea+Eb</w:t>
      </w:r>
      <w:proofErr w:type="spellEnd"/>
      <w:r w:rsidRPr="007D59B1">
        <w:rPr>
          <w:rFonts w:cs="Arial"/>
          <w:sz w:val="22"/>
          <w:szCs w:val="22"/>
        </w:rPr>
        <w:t>-((</w:t>
      </w:r>
      <w:proofErr w:type="spellStart"/>
      <w:r w:rsidRPr="007D59B1">
        <w:rPr>
          <w:rFonts w:cs="Arial"/>
          <w:sz w:val="22"/>
          <w:szCs w:val="22"/>
        </w:rPr>
        <w:t>Ea</w:t>
      </w:r>
      <w:proofErr w:type="spellEnd"/>
      <w:r w:rsidRPr="007D59B1">
        <w:rPr>
          <w:rFonts w:cs="Arial"/>
          <w:sz w:val="22"/>
          <w:szCs w:val="22"/>
        </w:rPr>
        <w:t>*Eb))/</w:t>
      </w:r>
      <w:proofErr w:type="spellStart"/>
      <w:r w:rsidRPr="007D59B1">
        <w:rPr>
          <w:rFonts w:cs="Arial"/>
          <w:sz w:val="22"/>
          <w:szCs w:val="22"/>
        </w:rPr>
        <w:t>Eab</w:t>
      </w:r>
      <w:proofErr w:type="spellEnd"/>
      <w:r w:rsidRPr="007D59B1">
        <w:rPr>
          <w:rFonts w:cs="Arial"/>
          <w:sz w:val="22"/>
          <w:szCs w:val="22"/>
        </w:rPr>
        <w:t xml:space="preserve">, where </w:t>
      </w:r>
      <w:proofErr w:type="spellStart"/>
      <w:r w:rsidRPr="007D59B1">
        <w:rPr>
          <w:rFonts w:cs="Arial"/>
          <w:sz w:val="22"/>
          <w:szCs w:val="22"/>
        </w:rPr>
        <w:t>Ea</w:t>
      </w:r>
      <w:proofErr w:type="spellEnd"/>
      <w:r w:rsidRPr="007D59B1">
        <w:rPr>
          <w:rFonts w:cs="Arial"/>
          <w:sz w:val="22"/>
          <w:szCs w:val="22"/>
        </w:rPr>
        <w:t xml:space="preserve"> indicates the viability effect of drug A (ALK inhibitor) and Eb indicates the viability effect of drug B (AZD1208) and </w:t>
      </w:r>
      <w:proofErr w:type="spellStart"/>
      <w:r w:rsidRPr="007D59B1">
        <w:rPr>
          <w:rFonts w:cs="Arial"/>
          <w:sz w:val="22"/>
          <w:szCs w:val="22"/>
        </w:rPr>
        <w:t>Eab</w:t>
      </w:r>
      <w:proofErr w:type="spellEnd"/>
      <w:r w:rsidRPr="007D59B1">
        <w:rPr>
          <w:rFonts w:cs="Arial"/>
          <w:sz w:val="22"/>
          <w:szCs w:val="22"/>
        </w:rPr>
        <w:t xml:space="preserve"> indicates the viability effect of the drug combination. CI &lt; 1 indicates synergism, CI = 1 indicates additivity and CI &gt; 1 indicates antagonism. For dose-response matrices, cells were treated with log-scale concentrations of each compound in 8x8 grids and DMSO concentration was maintained at 0.3%. Cell viability was measured with </w:t>
      </w:r>
      <w:proofErr w:type="spellStart"/>
      <w:r w:rsidRPr="007D59B1">
        <w:rPr>
          <w:rFonts w:cs="Arial"/>
          <w:sz w:val="22"/>
          <w:szCs w:val="22"/>
        </w:rPr>
        <w:t>CellTiter</w:t>
      </w:r>
      <w:proofErr w:type="spellEnd"/>
      <w:r w:rsidRPr="007D59B1">
        <w:rPr>
          <w:rFonts w:cs="Arial"/>
          <w:sz w:val="22"/>
          <w:szCs w:val="22"/>
        </w:rPr>
        <w:t xml:space="preserve">-Blue </w:t>
      </w:r>
      <w:r w:rsidR="00F06B96">
        <w:rPr>
          <w:rFonts w:cs="Arial"/>
          <w:sz w:val="22"/>
          <w:szCs w:val="22"/>
        </w:rPr>
        <w:t xml:space="preserve">as described above </w:t>
      </w:r>
      <w:r w:rsidRPr="007D59B1">
        <w:rPr>
          <w:rFonts w:cs="Arial"/>
          <w:sz w:val="22"/>
          <w:szCs w:val="22"/>
        </w:rPr>
        <w:t xml:space="preserve">and data were normalized to the average of </w:t>
      </w:r>
      <w:r w:rsidR="0030702D">
        <w:rPr>
          <w:rFonts w:cs="Arial"/>
          <w:sz w:val="22"/>
          <w:szCs w:val="22"/>
        </w:rPr>
        <w:t xml:space="preserve">the </w:t>
      </w:r>
      <w:r w:rsidRPr="007D59B1">
        <w:rPr>
          <w:rFonts w:cs="Arial"/>
          <w:sz w:val="22"/>
          <w:szCs w:val="22"/>
        </w:rPr>
        <w:t>untreated well</w:t>
      </w:r>
      <w:r w:rsidR="0030702D">
        <w:rPr>
          <w:rFonts w:cs="Arial"/>
          <w:sz w:val="22"/>
          <w:szCs w:val="22"/>
        </w:rPr>
        <w:t>.</w:t>
      </w:r>
      <w:r w:rsidRPr="007D59B1">
        <w:rPr>
          <w:rFonts w:cs="Arial"/>
          <w:sz w:val="22"/>
          <w:szCs w:val="22"/>
        </w:rPr>
        <w:t xml:space="preserve"> All synergy experiments were performed in technical triplicate.</w:t>
      </w:r>
    </w:p>
    <w:p w14:paraId="5BB7B40D" w14:textId="77777777" w:rsidR="00202A3C" w:rsidRPr="007D59B1" w:rsidRDefault="00202A3C" w:rsidP="00202A3C">
      <w:pPr>
        <w:spacing w:line="360" w:lineRule="auto"/>
        <w:jc w:val="both"/>
        <w:rPr>
          <w:rFonts w:cs="Arial"/>
          <w:sz w:val="22"/>
          <w:szCs w:val="22"/>
        </w:rPr>
      </w:pPr>
    </w:p>
    <w:p w14:paraId="11CB0BE6" w14:textId="01947548" w:rsidR="00202A3C" w:rsidRPr="007D59B1" w:rsidRDefault="00202A3C" w:rsidP="00202A3C">
      <w:pPr>
        <w:spacing w:line="360" w:lineRule="auto"/>
        <w:jc w:val="both"/>
        <w:rPr>
          <w:rFonts w:cs="Arial"/>
          <w:sz w:val="22"/>
          <w:szCs w:val="22"/>
        </w:rPr>
      </w:pPr>
      <w:r w:rsidRPr="007D59B1">
        <w:rPr>
          <w:rFonts w:cs="Arial"/>
          <w:b/>
          <w:sz w:val="22"/>
          <w:szCs w:val="22"/>
        </w:rPr>
        <w:t>Cloning of guide sequences</w:t>
      </w:r>
      <w:r w:rsidR="00144F8D" w:rsidRPr="007D59B1">
        <w:rPr>
          <w:rFonts w:cs="Arial"/>
          <w:b/>
          <w:sz w:val="22"/>
          <w:szCs w:val="22"/>
        </w:rPr>
        <w:t xml:space="preserve">. </w:t>
      </w:r>
      <w:r w:rsidRPr="007D59B1">
        <w:rPr>
          <w:rFonts w:cs="Arial"/>
          <w:sz w:val="22"/>
          <w:szCs w:val="22"/>
        </w:rPr>
        <w:t xml:space="preserve">Promoter-targeting guide sequences for the 15 genes used to confirm CRISPR SAM activity were designed with the Cas9 Activator Tool (sam.genome-engineering.org/database) and the oligonucleotides </w:t>
      </w:r>
      <w:r w:rsidRPr="007D59B1">
        <w:rPr>
          <w:rFonts w:cs="Arial"/>
          <w:color w:val="000000" w:themeColor="text1"/>
          <w:sz w:val="22"/>
          <w:szCs w:val="22"/>
        </w:rPr>
        <w:t xml:space="preserve">are shown in </w:t>
      </w:r>
      <w:r w:rsidR="000459AF" w:rsidRPr="007D59B1">
        <w:rPr>
          <w:rFonts w:cs="Arial"/>
          <w:color w:val="000000" w:themeColor="text1"/>
          <w:sz w:val="22"/>
          <w:szCs w:val="22"/>
        </w:rPr>
        <w:t xml:space="preserve">Supplementary </w:t>
      </w:r>
      <w:r w:rsidRPr="007D59B1">
        <w:rPr>
          <w:rFonts w:cs="Arial"/>
          <w:color w:val="000000" w:themeColor="text1"/>
          <w:sz w:val="22"/>
          <w:szCs w:val="22"/>
        </w:rPr>
        <w:t xml:space="preserve">Table </w:t>
      </w:r>
      <w:r w:rsidR="00F06B96">
        <w:rPr>
          <w:rFonts w:cs="Arial"/>
          <w:color w:val="000000" w:themeColor="text1"/>
          <w:sz w:val="22"/>
          <w:szCs w:val="22"/>
        </w:rPr>
        <w:t>5</w:t>
      </w:r>
      <w:r w:rsidRPr="007D59B1">
        <w:rPr>
          <w:rFonts w:cs="Arial"/>
          <w:color w:val="000000" w:themeColor="text1"/>
          <w:sz w:val="22"/>
          <w:szCs w:val="22"/>
        </w:rPr>
        <w:t xml:space="preserve">. Guide sequences for targeting of the screen candidate genes were obtained from the </w:t>
      </w:r>
      <w:proofErr w:type="spellStart"/>
      <w:r w:rsidRPr="007D59B1">
        <w:rPr>
          <w:rFonts w:cs="Arial"/>
          <w:color w:val="000000" w:themeColor="text1"/>
          <w:sz w:val="22"/>
          <w:szCs w:val="22"/>
        </w:rPr>
        <w:t>Addgene</w:t>
      </w:r>
      <w:proofErr w:type="spellEnd"/>
      <w:r w:rsidRPr="007D59B1">
        <w:rPr>
          <w:rFonts w:cs="Arial"/>
          <w:color w:val="000000" w:themeColor="text1"/>
          <w:sz w:val="22"/>
          <w:szCs w:val="22"/>
        </w:rPr>
        <w:t xml:space="preserve"> depositor datasheet (www.addgene.org/pooled-library/zhang-human-sam-v1) and modified by the addition of </w:t>
      </w:r>
      <w:proofErr w:type="spellStart"/>
      <w:r w:rsidRPr="007D59B1">
        <w:rPr>
          <w:rFonts w:cs="Arial"/>
          <w:color w:val="000000" w:themeColor="text1"/>
          <w:sz w:val="22"/>
          <w:szCs w:val="22"/>
        </w:rPr>
        <w:t>BsmBI</w:t>
      </w:r>
      <w:proofErr w:type="spellEnd"/>
      <w:r w:rsidRPr="007D59B1">
        <w:rPr>
          <w:rFonts w:cs="Arial"/>
          <w:color w:val="000000" w:themeColor="text1"/>
          <w:sz w:val="22"/>
          <w:szCs w:val="22"/>
        </w:rPr>
        <w:t xml:space="preserve"> recognition sites (</w:t>
      </w:r>
      <w:r w:rsidR="000459AF" w:rsidRPr="007D59B1">
        <w:rPr>
          <w:rFonts w:cs="Arial"/>
          <w:color w:val="000000" w:themeColor="text1"/>
          <w:sz w:val="22"/>
          <w:szCs w:val="22"/>
        </w:rPr>
        <w:t xml:space="preserve">Supplementary </w:t>
      </w:r>
      <w:r w:rsidRPr="007D59B1">
        <w:rPr>
          <w:rFonts w:cs="Arial"/>
          <w:color w:val="000000" w:themeColor="text1"/>
          <w:sz w:val="22"/>
          <w:szCs w:val="22"/>
        </w:rPr>
        <w:t xml:space="preserve">Table </w:t>
      </w:r>
      <w:r w:rsidR="00F06B96">
        <w:rPr>
          <w:rFonts w:cs="Arial"/>
          <w:color w:val="000000" w:themeColor="text1"/>
          <w:sz w:val="22"/>
          <w:szCs w:val="22"/>
        </w:rPr>
        <w:t>6</w:t>
      </w:r>
      <w:r w:rsidRPr="007D59B1">
        <w:rPr>
          <w:rFonts w:cs="Arial"/>
          <w:color w:val="000000" w:themeColor="text1"/>
          <w:sz w:val="22"/>
          <w:szCs w:val="22"/>
        </w:rPr>
        <w:t xml:space="preserve">). Oligonucleotide </w:t>
      </w:r>
      <w:r w:rsidRPr="007D59B1">
        <w:rPr>
          <w:rFonts w:cs="Arial"/>
          <w:sz w:val="22"/>
          <w:szCs w:val="22"/>
        </w:rPr>
        <w:t xml:space="preserve">sequences for generation of 20 bp non-targeting (scrambled) guide sequence were kindly </w:t>
      </w:r>
      <w:r w:rsidRPr="007D59B1">
        <w:rPr>
          <w:rFonts w:cs="Arial"/>
          <w:sz w:val="22"/>
          <w:szCs w:val="22"/>
        </w:rPr>
        <w:lastRenderedPageBreak/>
        <w:t xml:space="preserve">shared by Dr Feng Zhang. Double-stranded sequences were generated by phosphorylating and annealing oligonucleotides with T4 polynucleotide kinase (NEB, Cat#M0201) and T4 DNA ligase (NEB, Cat#M0202), respectively. Guide sequences were cloned into the </w:t>
      </w:r>
      <w:proofErr w:type="spellStart"/>
      <w:r w:rsidRPr="007D59B1">
        <w:rPr>
          <w:rFonts w:cs="Arial"/>
          <w:sz w:val="22"/>
          <w:szCs w:val="22"/>
        </w:rPr>
        <w:t>lenti</w:t>
      </w:r>
      <w:proofErr w:type="spellEnd"/>
      <w:r w:rsidRPr="007D59B1">
        <w:rPr>
          <w:rFonts w:cs="Arial"/>
          <w:sz w:val="22"/>
          <w:szCs w:val="22"/>
        </w:rPr>
        <w:t xml:space="preserve"> sgRNA(MS2)_</w:t>
      </w:r>
      <w:proofErr w:type="spellStart"/>
      <w:r w:rsidRPr="007D59B1">
        <w:rPr>
          <w:rFonts w:cs="Arial"/>
          <w:sz w:val="22"/>
          <w:szCs w:val="22"/>
        </w:rPr>
        <w:t>zeo</w:t>
      </w:r>
      <w:proofErr w:type="spellEnd"/>
      <w:r w:rsidRPr="007D59B1">
        <w:rPr>
          <w:rFonts w:cs="Arial"/>
          <w:sz w:val="22"/>
          <w:szCs w:val="22"/>
        </w:rPr>
        <w:t xml:space="preserve"> backbone (</w:t>
      </w:r>
      <w:proofErr w:type="spellStart"/>
      <w:r w:rsidRPr="007D59B1">
        <w:rPr>
          <w:rFonts w:cs="Arial"/>
          <w:sz w:val="22"/>
          <w:szCs w:val="22"/>
        </w:rPr>
        <w:t>Addgene</w:t>
      </w:r>
      <w:proofErr w:type="spellEnd"/>
      <w:r w:rsidRPr="007D59B1">
        <w:rPr>
          <w:rFonts w:cs="Arial"/>
          <w:sz w:val="22"/>
          <w:szCs w:val="22"/>
        </w:rPr>
        <w:t xml:space="preserve">, Cat#61427) by Golden Gate assembly using </w:t>
      </w:r>
      <w:proofErr w:type="spellStart"/>
      <w:r w:rsidRPr="007D59B1">
        <w:rPr>
          <w:rFonts w:cs="Arial"/>
          <w:sz w:val="22"/>
          <w:szCs w:val="22"/>
        </w:rPr>
        <w:t>BsmBI</w:t>
      </w:r>
      <w:proofErr w:type="spellEnd"/>
      <w:r w:rsidRPr="007D59B1">
        <w:rPr>
          <w:rFonts w:cs="Arial"/>
          <w:sz w:val="22"/>
          <w:szCs w:val="22"/>
        </w:rPr>
        <w:t xml:space="preserve"> (NEB, Cat#R0580) and amplified in NEB Stable competent </w:t>
      </w:r>
      <w:r w:rsidRPr="007D59B1">
        <w:rPr>
          <w:rFonts w:cs="Arial"/>
          <w:i/>
          <w:sz w:val="22"/>
          <w:szCs w:val="22"/>
        </w:rPr>
        <w:t>E. coli</w:t>
      </w:r>
      <w:r w:rsidRPr="007D59B1">
        <w:rPr>
          <w:rFonts w:cs="Arial"/>
          <w:sz w:val="22"/>
          <w:szCs w:val="22"/>
        </w:rPr>
        <w:t>. A full protocol is available at sam.genome-engineering.org/protocols.</w:t>
      </w:r>
    </w:p>
    <w:p w14:paraId="35944169" w14:textId="77777777" w:rsidR="00202A3C" w:rsidRPr="007D59B1" w:rsidRDefault="00202A3C" w:rsidP="00202A3C">
      <w:pPr>
        <w:spacing w:line="360" w:lineRule="auto"/>
        <w:jc w:val="both"/>
        <w:rPr>
          <w:rFonts w:cs="Arial"/>
          <w:sz w:val="22"/>
          <w:szCs w:val="22"/>
        </w:rPr>
      </w:pPr>
    </w:p>
    <w:p w14:paraId="33FA830B" w14:textId="0DF0DE2C" w:rsidR="00202A3C" w:rsidRPr="007D59B1" w:rsidRDefault="00202A3C" w:rsidP="00202A3C">
      <w:pPr>
        <w:spacing w:line="360" w:lineRule="auto"/>
        <w:jc w:val="both"/>
        <w:rPr>
          <w:rFonts w:cs="Arial"/>
          <w:sz w:val="22"/>
          <w:szCs w:val="22"/>
        </w:rPr>
      </w:pPr>
      <w:r w:rsidRPr="007D59B1">
        <w:rPr>
          <w:rFonts w:cs="Arial"/>
          <w:b/>
          <w:sz w:val="22"/>
          <w:szCs w:val="22"/>
        </w:rPr>
        <w:t>Production of lentivirus and cell transduction</w:t>
      </w:r>
      <w:r w:rsidR="00144F8D" w:rsidRPr="007D59B1">
        <w:rPr>
          <w:rFonts w:cs="Arial"/>
          <w:b/>
          <w:sz w:val="22"/>
          <w:szCs w:val="22"/>
        </w:rPr>
        <w:t xml:space="preserve">. </w:t>
      </w:r>
      <w:r w:rsidRPr="007D59B1">
        <w:rPr>
          <w:rFonts w:cs="Arial"/>
          <w:sz w:val="22"/>
          <w:szCs w:val="22"/>
        </w:rPr>
        <w:t>Low-passage 293FT cells were cultured in DMEM with 5% FBS. Cells were seeded at 40% confluency in six-well plates</w:t>
      </w:r>
      <w:r w:rsidR="00630A58">
        <w:rPr>
          <w:rFonts w:cs="Arial"/>
          <w:sz w:val="22"/>
          <w:szCs w:val="22"/>
        </w:rPr>
        <w:t xml:space="preserve"> for small-scale production or 15 cm dishes for larger scale production</w:t>
      </w:r>
      <w:r w:rsidRPr="007D59B1">
        <w:rPr>
          <w:rFonts w:cs="Arial"/>
          <w:sz w:val="22"/>
          <w:szCs w:val="22"/>
        </w:rPr>
        <w:t>. Once confluency reached 80-90%, cells were transfected with pMD2.G (</w:t>
      </w:r>
      <w:proofErr w:type="spellStart"/>
      <w:r w:rsidRPr="007D59B1">
        <w:rPr>
          <w:rFonts w:cs="Arial"/>
          <w:sz w:val="22"/>
          <w:szCs w:val="22"/>
        </w:rPr>
        <w:t>Addgene</w:t>
      </w:r>
      <w:proofErr w:type="spellEnd"/>
      <w:r w:rsidRPr="007D59B1">
        <w:rPr>
          <w:rFonts w:cs="Arial"/>
          <w:sz w:val="22"/>
          <w:szCs w:val="22"/>
        </w:rPr>
        <w:t>, Cat#12259), psPAX2 (</w:t>
      </w:r>
      <w:proofErr w:type="spellStart"/>
      <w:r w:rsidRPr="007D59B1">
        <w:rPr>
          <w:rFonts w:cs="Arial"/>
          <w:sz w:val="22"/>
          <w:szCs w:val="22"/>
        </w:rPr>
        <w:t>Addgene</w:t>
      </w:r>
      <w:proofErr w:type="spellEnd"/>
      <w:r w:rsidRPr="007D59B1">
        <w:rPr>
          <w:rFonts w:cs="Arial"/>
          <w:sz w:val="22"/>
          <w:szCs w:val="22"/>
        </w:rPr>
        <w:t xml:space="preserve">, Cat#12260) and transfer plasmid </w:t>
      </w:r>
      <w:r w:rsidR="00630A58">
        <w:rPr>
          <w:rFonts w:cs="Arial"/>
          <w:sz w:val="22"/>
          <w:szCs w:val="22"/>
        </w:rPr>
        <w:t xml:space="preserve">at equimolar ratios </w:t>
      </w:r>
      <w:r w:rsidRPr="007D59B1">
        <w:rPr>
          <w:rFonts w:cs="Arial"/>
          <w:sz w:val="22"/>
          <w:szCs w:val="22"/>
        </w:rPr>
        <w:t>using TransIT-293</w:t>
      </w:r>
      <w:r w:rsidR="00630A58">
        <w:rPr>
          <w:rFonts w:cs="Arial"/>
          <w:sz w:val="22"/>
          <w:szCs w:val="22"/>
        </w:rPr>
        <w:t xml:space="preserve"> transfection reagent</w:t>
      </w:r>
      <w:r w:rsidRPr="007D59B1">
        <w:rPr>
          <w:rFonts w:cs="Arial"/>
          <w:sz w:val="22"/>
          <w:szCs w:val="22"/>
        </w:rPr>
        <w:t xml:space="preserve"> (</w:t>
      </w:r>
      <w:proofErr w:type="spellStart"/>
      <w:r w:rsidRPr="007D59B1">
        <w:rPr>
          <w:rFonts w:cs="Arial"/>
          <w:sz w:val="22"/>
          <w:szCs w:val="22"/>
        </w:rPr>
        <w:t>Mirus</w:t>
      </w:r>
      <w:proofErr w:type="spellEnd"/>
      <w:r w:rsidRPr="007D59B1">
        <w:rPr>
          <w:rFonts w:cs="Arial"/>
          <w:sz w:val="22"/>
          <w:szCs w:val="22"/>
        </w:rPr>
        <w:t xml:space="preserve"> Bio, Cat#MIR2704) according to the manufacturer’s instructions. </w:t>
      </w:r>
      <w:r w:rsidR="00A92894">
        <w:rPr>
          <w:rFonts w:cs="Arial"/>
          <w:sz w:val="22"/>
          <w:szCs w:val="22"/>
        </w:rPr>
        <w:t>T</w:t>
      </w:r>
      <w:r w:rsidRPr="007D59B1">
        <w:rPr>
          <w:rFonts w:cs="Arial"/>
          <w:sz w:val="22"/>
          <w:szCs w:val="22"/>
        </w:rPr>
        <w:t>he media containing lentivirus was collected</w:t>
      </w:r>
      <w:r w:rsidR="00A92894">
        <w:rPr>
          <w:rFonts w:cs="Arial"/>
          <w:sz w:val="22"/>
          <w:szCs w:val="22"/>
        </w:rPr>
        <w:t xml:space="preserve"> after 60 hours.</w:t>
      </w:r>
      <w:r w:rsidRPr="007D59B1">
        <w:rPr>
          <w:rFonts w:cs="Arial"/>
          <w:sz w:val="22"/>
          <w:szCs w:val="22"/>
        </w:rPr>
        <w:t xml:space="preserve"> </w:t>
      </w:r>
      <w:r w:rsidR="00A92894">
        <w:rPr>
          <w:rFonts w:cs="Arial"/>
          <w:sz w:val="22"/>
          <w:szCs w:val="22"/>
        </w:rPr>
        <w:t>C</w:t>
      </w:r>
      <w:r w:rsidRPr="007D59B1">
        <w:rPr>
          <w:rFonts w:cs="Arial"/>
          <w:sz w:val="22"/>
          <w:szCs w:val="22"/>
        </w:rPr>
        <w:t>ellular debris was removed by centrifugation at 500 x g</w:t>
      </w:r>
      <w:r w:rsidR="00630A58">
        <w:rPr>
          <w:rFonts w:cs="Arial"/>
          <w:sz w:val="22"/>
          <w:szCs w:val="22"/>
        </w:rPr>
        <w:t xml:space="preserve"> and </w:t>
      </w:r>
      <w:r w:rsidR="00A6611F">
        <w:rPr>
          <w:rFonts w:cs="Arial"/>
          <w:sz w:val="22"/>
          <w:szCs w:val="22"/>
        </w:rPr>
        <w:t xml:space="preserve">the media was </w:t>
      </w:r>
      <w:r w:rsidR="00630A58">
        <w:rPr>
          <w:rFonts w:cs="Arial"/>
          <w:sz w:val="22"/>
          <w:szCs w:val="22"/>
        </w:rPr>
        <w:t>pass</w:t>
      </w:r>
      <w:r w:rsidR="00A6611F">
        <w:rPr>
          <w:rFonts w:cs="Arial"/>
          <w:sz w:val="22"/>
          <w:szCs w:val="22"/>
        </w:rPr>
        <w:t>ed</w:t>
      </w:r>
      <w:r w:rsidR="00630A58">
        <w:rPr>
          <w:rFonts w:cs="Arial"/>
          <w:sz w:val="22"/>
          <w:szCs w:val="22"/>
        </w:rPr>
        <w:t xml:space="preserve"> through a 0.45 µm </w:t>
      </w:r>
      <w:proofErr w:type="spellStart"/>
      <w:r w:rsidR="00630A58" w:rsidRPr="00630A58">
        <w:rPr>
          <w:rFonts w:cs="Arial"/>
          <w:sz w:val="22"/>
          <w:szCs w:val="22"/>
        </w:rPr>
        <w:t>polyethersulfone</w:t>
      </w:r>
      <w:proofErr w:type="spellEnd"/>
      <w:r w:rsidR="00630A58">
        <w:rPr>
          <w:rFonts w:cs="Arial"/>
          <w:sz w:val="22"/>
          <w:szCs w:val="22"/>
        </w:rPr>
        <w:t xml:space="preserve"> (PES) filter</w:t>
      </w:r>
      <w:r w:rsidRPr="007D59B1">
        <w:rPr>
          <w:rFonts w:cs="Arial"/>
          <w:sz w:val="22"/>
          <w:szCs w:val="22"/>
        </w:rPr>
        <w:t xml:space="preserve">. The supernatant was stored at -80°C. To generate stable cell lines, cells were seeded into culture vessels in media supplemented with 5% FBS, grown to near-confluency and then transduced with lentiviral media. After 20 hours, cells were split into media containing antibiotics as follows: 10 µg/mL </w:t>
      </w:r>
      <w:proofErr w:type="spellStart"/>
      <w:r w:rsidRPr="007D59B1">
        <w:rPr>
          <w:rFonts w:cs="Arial"/>
          <w:sz w:val="22"/>
          <w:szCs w:val="22"/>
        </w:rPr>
        <w:t>blasticidin</w:t>
      </w:r>
      <w:proofErr w:type="spellEnd"/>
      <w:r w:rsidRPr="007D59B1">
        <w:rPr>
          <w:rFonts w:cs="Arial"/>
          <w:sz w:val="22"/>
          <w:szCs w:val="22"/>
        </w:rPr>
        <w:t xml:space="preserve"> for 7 days, 300 µg/mL hygromycin for 7 days, 500 µg/mL zeocin for 5 days or 1.5 µg/mL puromycin for 5 days. Antibiotic concentrations were determined by kill curve analysis.</w:t>
      </w:r>
    </w:p>
    <w:p w14:paraId="2C820D05" w14:textId="77777777" w:rsidR="00202A3C" w:rsidRPr="007D59B1" w:rsidRDefault="00202A3C" w:rsidP="00202A3C">
      <w:pPr>
        <w:spacing w:line="360" w:lineRule="auto"/>
        <w:jc w:val="both"/>
        <w:rPr>
          <w:rFonts w:cs="Arial"/>
          <w:sz w:val="22"/>
          <w:szCs w:val="22"/>
        </w:rPr>
      </w:pPr>
    </w:p>
    <w:p w14:paraId="1C764939" w14:textId="5C4563B1" w:rsidR="00202A3C" w:rsidRPr="007D59B1" w:rsidRDefault="00202A3C" w:rsidP="00202A3C">
      <w:pPr>
        <w:spacing w:line="360" w:lineRule="auto"/>
        <w:jc w:val="both"/>
        <w:rPr>
          <w:rFonts w:cs="Arial"/>
          <w:strike/>
          <w:color w:val="FF0000"/>
          <w:sz w:val="22"/>
          <w:szCs w:val="22"/>
        </w:rPr>
      </w:pPr>
      <w:r w:rsidRPr="007D59B1">
        <w:rPr>
          <w:rFonts w:cs="Arial"/>
          <w:b/>
          <w:sz w:val="22"/>
          <w:szCs w:val="22"/>
        </w:rPr>
        <w:t>Generation of CRISPR SAM cell lines</w:t>
      </w:r>
      <w:r w:rsidR="00144F8D" w:rsidRPr="007D59B1">
        <w:rPr>
          <w:rFonts w:cs="Arial"/>
          <w:b/>
          <w:sz w:val="22"/>
          <w:szCs w:val="22"/>
        </w:rPr>
        <w:t xml:space="preserve">. </w:t>
      </w:r>
      <w:r w:rsidRPr="007D59B1">
        <w:rPr>
          <w:rFonts w:cs="Arial"/>
          <w:sz w:val="22"/>
          <w:szCs w:val="22"/>
        </w:rPr>
        <w:t>CHLA-20 and SH-SY5Y cells were co-transduced with lentiviruses carrying the dCas9-VP64_blast (</w:t>
      </w:r>
      <w:proofErr w:type="spellStart"/>
      <w:r w:rsidRPr="007D59B1">
        <w:rPr>
          <w:rFonts w:cs="Arial"/>
          <w:sz w:val="22"/>
          <w:szCs w:val="22"/>
        </w:rPr>
        <w:t>Addgene</w:t>
      </w:r>
      <w:proofErr w:type="spellEnd"/>
      <w:r w:rsidRPr="007D59B1">
        <w:rPr>
          <w:rFonts w:cs="Arial"/>
          <w:sz w:val="22"/>
          <w:szCs w:val="22"/>
        </w:rPr>
        <w:t xml:space="preserve">, Cat#61425) and </w:t>
      </w:r>
      <w:proofErr w:type="spellStart"/>
      <w:r w:rsidRPr="007D59B1">
        <w:rPr>
          <w:rFonts w:cs="Arial"/>
          <w:sz w:val="22"/>
          <w:szCs w:val="22"/>
        </w:rPr>
        <w:t>lenti</w:t>
      </w:r>
      <w:proofErr w:type="spellEnd"/>
      <w:r w:rsidRPr="007D59B1">
        <w:rPr>
          <w:rFonts w:cs="Arial"/>
          <w:sz w:val="22"/>
          <w:szCs w:val="22"/>
        </w:rPr>
        <w:t xml:space="preserve"> MS2-</w:t>
      </w:r>
      <w:r w:rsidR="0066652D">
        <w:rPr>
          <w:rFonts w:cs="Arial"/>
          <w:sz w:val="22"/>
          <w:szCs w:val="22"/>
        </w:rPr>
        <w:t>p</w:t>
      </w:r>
      <w:r w:rsidRPr="007D59B1">
        <w:rPr>
          <w:rFonts w:cs="Arial"/>
          <w:sz w:val="22"/>
          <w:szCs w:val="22"/>
        </w:rPr>
        <w:t>65-HSF1_hygro (</w:t>
      </w:r>
      <w:proofErr w:type="spellStart"/>
      <w:r w:rsidRPr="007D59B1">
        <w:rPr>
          <w:rFonts w:cs="Arial"/>
          <w:sz w:val="22"/>
          <w:szCs w:val="22"/>
        </w:rPr>
        <w:t>Addgene</w:t>
      </w:r>
      <w:proofErr w:type="spellEnd"/>
      <w:r w:rsidRPr="007D59B1">
        <w:rPr>
          <w:rFonts w:cs="Arial"/>
          <w:sz w:val="22"/>
          <w:szCs w:val="22"/>
        </w:rPr>
        <w:t xml:space="preserve">, Cat#61426) constructs at MOI ~ 0.2 and selected as described above. To confirm CRISPR SAM activity, cells were transduced with lentivirus carrying the </w:t>
      </w:r>
      <w:proofErr w:type="spellStart"/>
      <w:r w:rsidRPr="007D59B1">
        <w:rPr>
          <w:rFonts w:cs="Arial"/>
          <w:sz w:val="22"/>
          <w:szCs w:val="22"/>
        </w:rPr>
        <w:t>lenti</w:t>
      </w:r>
      <w:proofErr w:type="spellEnd"/>
      <w:r w:rsidRPr="007D59B1">
        <w:rPr>
          <w:rFonts w:cs="Arial"/>
          <w:sz w:val="22"/>
          <w:szCs w:val="22"/>
        </w:rPr>
        <w:t xml:space="preserve"> sgRNA(MS2)_</w:t>
      </w:r>
      <w:proofErr w:type="spellStart"/>
      <w:r w:rsidRPr="007D59B1">
        <w:rPr>
          <w:rFonts w:cs="Arial"/>
          <w:sz w:val="22"/>
          <w:szCs w:val="22"/>
        </w:rPr>
        <w:t>zeo</w:t>
      </w:r>
      <w:proofErr w:type="spellEnd"/>
      <w:r w:rsidRPr="007D59B1">
        <w:rPr>
          <w:rFonts w:cs="Arial"/>
          <w:sz w:val="22"/>
          <w:szCs w:val="22"/>
        </w:rPr>
        <w:t xml:space="preserve"> construct (</w:t>
      </w:r>
      <w:proofErr w:type="spellStart"/>
      <w:r w:rsidRPr="007D59B1">
        <w:rPr>
          <w:rFonts w:cs="Arial"/>
          <w:sz w:val="22"/>
          <w:szCs w:val="22"/>
        </w:rPr>
        <w:t>Addgene</w:t>
      </w:r>
      <w:proofErr w:type="spellEnd"/>
      <w:r w:rsidRPr="007D59B1">
        <w:rPr>
          <w:rFonts w:cs="Arial"/>
          <w:sz w:val="22"/>
          <w:szCs w:val="22"/>
        </w:rPr>
        <w:t xml:space="preserve">, Cat#61427) into which guide sequences were cloned and overexpression of the target genes was confirmed by RT-qPCR. </w:t>
      </w:r>
    </w:p>
    <w:p w14:paraId="00E3D339" w14:textId="77777777" w:rsidR="00202A3C" w:rsidRPr="007D59B1" w:rsidRDefault="00202A3C" w:rsidP="00202A3C">
      <w:pPr>
        <w:spacing w:line="360" w:lineRule="auto"/>
        <w:jc w:val="both"/>
        <w:rPr>
          <w:rFonts w:cs="Arial"/>
          <w:sz w:val="22"/>
          <w:szCs w:val="22"/>
        </w:rPr>
      </w:pPr>
    </w:p>
    <w:p w14:paraId="69B00461" w14:textId="5C424659" w:rsidR="00202A3C" w:rsidRPr="007D59B1" w:rsidRDefault="00202A3C" w:rsidP="00202A3C">
      <w:pPr>
        <w:spacing w:line="360" w:lineRule="auto"/>
        <w:jc w:val="both"/>
        <w:rPr>
          <w:rFonts w:cs="Arial"/>
          <w:sz w:val="22"/>
          <w:szCs w:val="22"/>
        </w:rPr>
      </w:pPr>
      <w:r w:rsidRPr="007D59B1">
        <w:rPr>
          <w:rFonts w:cs="Arial"/>
          <w:b/>
          <w:sz w:val="22"/>
          <w:szCs w:val="22"/>
        </w:rPr>
        <w:t>RT-qPCR analysis</w:t>
      </w:r>
      <w:r w:rsidR="00144F8D" w:rsidRPr="007D59B1">
        <w:rPr>
          <w:rFonts w:cs="Arial"/>
          <w:b/>
          <w:sz w:val="22"/>
          <w:szCs w:val="22"/>
        </w:rPr>
        <w:t xml:space="preserve">. </w:t>
      </w:r>
      <w:r w:rsidRPr="007D59B1">
        <w:rPr>
          <w:rFonts w:cs="Arial"/>
          <w:sz w:val="22"/>
          <w:szCs w:val="22"/>
        </w:rPr>
        <w:t xml:space="preserve">Total RNA was isolated from cell lines using the RNeasy Plus Mini Kit (Qiagen, Cat#74134). 1 µg RNA was reverse transcribed using </w:t>
      </w:r>
      <w:proofErr w:type="spellStart"/>
      <w:r w:rsidRPr="007D59B1">
        <w:rPr>
          <w:rFonts w:cs="Arial"/>
          <w:sz w:val="22"/>
          <w:szCs w:val="22"/>
        </w:rPr>
        <w:t>iScript</w:t>
      </w:r>
      <w:proofErr w:type="spellEnd"/>
      <w:r w:rsidRPr="007D59B1">
        <w:rPr>
          <w:rFonts w:cs="Arial"/>
          <w:sz w:val="22"/>
          <w:szCs w:val="22"/>
        </w:rPr>
        <w:t xml:space="preserve"> Reverse Transcription </w:t>
      </w:r>
      <w:proofErr w:type="spellStart"/>
      <w:r w:rsidRPr="007D59B1">
        <w:rPr>
          <w:rFonts w:cs="Arial"/>
          <w:sz w:val="22"/>
          <w:szCs w:val="22"/>
        </w:rPr>
        <w:t>Supermix</w:t>
      </w:r>
      <w:proofErr w:type="spellEnd"/>
      <w:r w:rsidRPr="007D59B1">
        <w:rPr>
          <w:rFonts w:cs="Arial"/>
          <w:sz w:val="22"/>
          <w:szCs w:val="22"/>
        </w:rPr>
        <w:t xml:space="preserve"> (Bio-Rad, Cat#1708840) and 20 ng cDNA template was used for qPCR. cDNA was amplified with </w:t>
      </w:r>
      <w:proofErr w:type="spellStart"/>
      <w:r w:rsidRPr="007D59B1">
        <w:rPr>
          <w:rFonts w:cs="Arial"/>
          <w:sz w:val="22"/>
          <w:szCs w:val="22"/>
        </w:rPr>
        <w:t>PowerUp</w:t>
      </w:r>
      <w:proofErr w:type="spellEnd"/>
      <w:r w:rsidRPr="007D59B1">
        <w:rPr>
          <w:rFonts w:cs="Arial"/>
          <w:sz w:val="22"/>
          <w:szCs w:val="22"/>
        </w:rPr>
        <w:t xml:space="preserve"> SYBR Green Master Mix (Thermo Fisher Scientific, Cat#A25918) and 600 </w:t>
      </w:r>
      <w:proofErr w:type="spellStart"/>
      <w:r w:rsidRPr="007D59B1">
        <w:rPr>
          <w:rFonts w:cs="Arial"/>
          <w:sz w:val="22"/>
          <w:szCs w:val="22"/>
        </w:rPr>
        <w:t>nM</w:t>
      </w:r>
      <w:proofErr w:type="spellEnd"/>
      <w:r w:rsidRPr="007D59B1">
        <w:rPr>
          <w:rFonts w:cs="Arial"/>
          <w:sz w:val="22"/>
          <w:szCs w:val="22"/>
        </w:rPr>
        <w:t xml:space="preserve"> primers on a </w:t>
      </w:r>
      <w:proofErr w:type="spellStart"/>
      <w:r w:rsidRPr="007D59B1">
        <w:rPr>
          <w:rFonts w:cs="Arial"/>
          <w:sz w:val="22"/>
          <w:szCs w:val="22"/>
        </w:rPr>
        <w:t>QuantStudio</w:t>
      </w:r>
      <w:proofErr w:type="spellEnd"/>
      <w:r w:rsidRPr="007D59B1">
        <w:rPr>
          <w:rFonts w:cs="Arial"/>
          <w:sz w:val="22"/>
          <w:szCs w:val="22"/>
        </w:rPr>
        <w:t xml:space="preserve"> 6 Flex Real-Time PCR System (Thermo Fisher Scientific) under standard cycling conditions. Relative quantification (∆∆C</w:t>
      </w:r>
      <w:r w:rsidRPr="007D59B1">
        <w:rPr>
          <w:rFonts w:cs="Arial"/>
          <w:sz w:val="22"/>
          <w:szCs w:val="22"/>
          <w:vertAlign w:val="subscript"/>
        </w:rPr>
        <w:t>T</w:t>
      </w:r>
      <w:r w:rsidRPr="007D59B1">
        <w:rPr>
          <w:rFonts w:cs="Arial"/>
          <w:sz w:val="22"/>
          <w:szCs w:val="22"/>
        </w:rPr>
        <w:t xml:space="preserve">) analysis was conducted with normalization to </w:t>
      </w:r>
      <w:r w:rsidRPr="007D59B1">
        <w:rPr>
          <w:rFonts w:cs="Arial"/>
          <w:i/>
          <w:sz w:val="22"/>
          <w:szCs w:val="22"/>
        </w:rPr>
        <w:t>GAPDH</w:t>
      </w:r>
      <w:r w:rsidRPr="007D59B1">
        <w:rPr>
          <w:rFonts w:cs="Arial"/>
          <w:sz w:val="22"/>
          <w:szCs w:val="22"/>
        </w:rPr>
        <w:t xml:space="preserve">. All reactions were performed in technical triplicates and each plate included no-RT and no-template controls. Primer sequences for all RT-qPCR experiments are listed in </w:t>
      </w:r>
      <w:r w:rsidR="000459AF" w:rsidRPr="007D59B1">
        <w:rPr>
          <w:rFonts w:cs="Arial"/>
          <w:color w:val="000000" w:themeColor="text1"/>
          <w:sz w:val="22"/>
          <w:szCs w:val="22"/>
        </w:rPr>
        <w:t xml:space="preserve">Supplementary </w:t>
      </w:r>
      <w:r w:rsidRPr="007D59B1">
        <w:rPr>
          <w:rFonts w:cs="Arial"/>
          <w:color w:val="000000" w:themeColor="text1"/>
          <w:sz w:val="22"/>
          <w:szCs w:val="22"/>
        </w:rPr>
        <w:t>T</w:t>
      </w:r>
      <w:r w:rsidRPr="007D59B1">
        <w:rPr>
          <w:rFonts w:cs="Arial"/>
          <w:sz w:val="22"/>
          <w:szCs w:val="22"/>
        </w:rPr>
        <w:t xml:space="preserve">able </w:t>
      </w:r>
      <w:r w:rsidR="00F06B96">
        <w:rPr>
          <w:rFonts w:cs="Arial"/>
          <w:sz w:val="22"/>
          <w:szCs w:val="22"/>
        </w:rPr>
        <w:t>7</w:t>
      </w:r>
      <w:r w:rsidRPr="007D59B1">
        <w:rPr>
          <w:rFonts w:cs="Arial"/>
          <w:sz w:val="22"/>
          <w:szCs w:val="22"/>
        </w:rPr>
        <w:t>.</w:t>
      </w:r>
    </w:p>
    <w:p w14:paraId="20A4DA60" w14:textId="77777777" w:rsidR="00202A3C" w:rsidRPr="007D59B1" w:rsidRDefault="00202A3C" w:rsidP="00202A3C">
      <w:pPr>
        <w:spacing w:line="360" w:lineRule="auto"/>
        <w:jc w:val="both"/>
        <w:rPr>
          <w:rFonts w:cs="Arial"/>
          <w:sz w:val="22"/>
          <w:szCs w:val="22"/>
        </w:rPr>
      </w:pPr>
    </w:p>
    <w:p w14:paraId="7A1162C3" w14:textId="3EFA789B" w:rsidR="00202A3C" w:rsidRPr="007D59B1" w:rsidRDefault="00202A3C" w:rsidP="00202A3C">
      <w:pPr>
        <w:spacing w:line="360" w:lineRule="auto"/>
        <w:jc w:val="both"/>
        <w:rPr>
          <w:rFonts w:cs="Arial"/>
          <w:sz w:val="22"/>
          <w:szCs w:val="22"/>
        </w:rPr>
      </w:pPr>
      <w:r w:rsidRPr="007D59B1">
        <w:rPr>
          <w:rFonts w:cs="Arial"/>
          <w:b/>
          <w:sz w:val="22"/>
          <w:szCs w:val="22"/>
        </w:rPr>
        <w:t>CRISPR SAM screens</w:t>
      </w:r>
      <w:r w:rsidR="00144F8D" w:rsidRPr="007D59B1">
        <w:rPr>
          <w:rFonts w:cs="Arial"/>
          <w:b/>
          <w:sz w:val="22"/>
          <w:szCs w:val="22"/>
        </w:rPr>
        <w:t xml:space="preserve">. </w:t>
      </w:r>
      <w:r w:rsidRPr="007D59B1">
        <w:rPr>
          <w:rFonts w:cs="Arial"/>
          <w:sz w:val="22"/>
          <w:szCs w:val="22"/>
        </w:rPr>
        <w:t>The zeocin-resistant pooled gRNA library v1 (</w:t>
      </w:r>
      <w:proofErr w:type="spellStart"/>
      <w:r w:rsidRPr="007D59B1">
        <w:rPr>
          <w:rFonts w:cs="Arial"/>
          <w:sz w:val="22"/>
          <w:szCs w:val="22"/>
        </w:rPr>
        <w:t>Addgene</w:t>
      </w:r>
      <w:proofErr w:type="spellEnd"/>
      <w:r w:rsidRPr="007D59B1">
        <w:rPr>
          <w:rFonts w:cs="Arial"/>
          <w:sz w:val="22"/>
          <w:szCs w:val="22"/>
        </w:rPr>
        <w:t>, Cat#1000000057) was packaged into lentivirus in 15 cm plates</w:t>
      </w:r>
      <w:r w:rsidR="00F06B96">
        <w:rPr>
          <w:rFonts w:cs="Arial"/>
          <w:sz w:val="22"/>
          <w:szCs w:val="22"/>
        </w:rPr>
        <w:t xml:space="preserve"> as described above</w:t>
      </w:r>
      <w:r w:rsidRPr="007D59B1">
        <w:rPr>
          <w:rFonts w:cs="Arial"/>
          <w:sz w:val="22"/>
          <w:szCs w:val="22"/>
        </w:rPr>
        <w:t>. CHLA-20 and SH-SY5Y cells stably expressing dCas9-VP64 and MS2-</w:t>
      </w:r>
      <w:r w:rsidR="0066652D">
        <w:rPr>
          <w:rFonts w:cs="Arial"/>
          <w:sz w:val="22"/>
          <w:szCs w:val="22"/>
        </w:rPr>
        <w:t>p</w:t>
      </w:r>
      <w:r w:rsidRPr="007D59B1">
        <w:rPr>
          <w:rFonts w:cs="Arial"/>
          <w:sz w:val="22"/>
          <w:szCs w:val="22"/>
        </w:rPr>
        <w:t>65-HSF1 were seeded into 15 cm plates and transduced with the lentiviral gRNA library at MOI 0.3-0.4, with a minimum representation of 500 transduced cells per guide. After 20 hours, cells were split into 500 µg/mL zeocin for 5 days and passaged every second day, maintaining &gt; 500 cells per guide. After 5 days of selection, 3.6 x 10</w:t>
      </w:r>
      <w:r w:rsidRPr="007D59B1">
        <w:rPr>
          <w:rFonts w:cs="Arial"/>
          <w:sz w:val="22"/>
          <w:szCs w:val="22"/>
          <w:vertAlign w:val="superscript"/>
        </w:rPr>
        <w:t>7</w:t>
      </w:r>
      <w:r w:rsidRPr="007D59B1">
        <w:rPr>
          <w:rFonts w:cs="Arial"/>
          <w:sz w:val="22"/>
          <w:szCs w:val="22"/>
        </w:rPr>
        <w:t xml:space="preserve"> cells were harvested as a day 0 sample. The remaining cells were split into duplicate populations and cultured in the presence of vehicle (0.3% DMSO), </w:t>
      </w:r>
      <w:proofErr w:type="spellStart"/>
      <w:r w:rsidR="00F65BE1" w:rsidRPr="007D59B1">
        <w:rPr>
          <w:rFonts w:cs="Arial"/>
          <w:color w:val="000000" w:themeColor="text1"/>
          <w:sz w:val="22"/>
          <w:szCs w:val="22"/>
        </w:rPr>
        <w:t>brigatinib</w:t>
      </w:r>
      <w:proofErr w:type="spellEnd"/>
      <w:r w:rsidR="00F65BE1" w:rsidRPr="007D59B1">
        <w:rPr>
          <w:rFonts w:cs="Arial"/>
          <w:color w:val="000000" w:themeColor="text1"/>
          <w:sz w:val="22"/>
          <w:szCs w:val="22"/>
        </w:rPr>
        <w:t xml:space="preserve"> or</w:t>
      </w:r>
      <w:r w:rsidRPr="007D59B1">
        <w:rPr>
          <w:rFonts w:cs="Arial"/>
          <w:color w:val="000000" w:themeColor="text1"/>
          <w:sz w:val="22"/>
          <w:szCs w:val="22"/>
        </w:rPr>
        <w:t xml:space="preserve"> </w:t>
      </w:r>
      <w:proofErr w:type="spellStart"/>
      <w:r w:rsidR="00F65BE1" w:rsidRPr="007D59B1">
        <w:rPr>
          <w:rFonts w:cs="Arial"/>
          <w:color w:val="000000" w:themeColor="text1"/>
          <w:sz w:val="22"/>
          <w:szCs w:val="22"/>
        </w:rPr>
        <w:t>ceritinib</w:t>
      </w:r>
      <w:proofErr w:type="spellEnd"/>
      <w:r w:rsidR="00F65BE1" w:rsidRPr="007D59B1">
        <w:rPr>
          <w:rFonts w:cs="Arial"/>
          <w:color w:val="000000" w:themeColor="text1"/>
          <w:sz w:val="22"/>
          <w:szCs w:val="22"/>
        </w:rPr>
        <w:t xml:space="preserve"> </w:t>
      </w:r>
      <w:r w:rsidRPr="007D59B1">
        <w:rPr>
          <w:rFonts w:cs="Arial"/>
          <w:sz w:val="22"/>
          <w:szCs w:val="22"/>
        </w:rPr>
        <w:t>at ED</w:t>
      </w:r>
      <w:r w:rsidRPr="007D59B1">
        <w:rPr>
          <w:rFonts w:cs="Arial"/>
          <w:sz w:val="22"/>
          <w:szCs w:val="22"/>
          <w:vertAlign w:val="subscript"/>
        </w:rPr>
        <w:t>50</w:t>
      </w:r>
      <w:r w:rsidRPr="007D59B1">
        <w:rPr>
          <w:rFonts w:cs="Arial"/>
          <w:sz w:val="22"/>
          <w:szCs w:val="22"/>
        </w:rPr>
        <w:t>- and ED</w:t>
      </w:r>
      <w:r w:rsidRPr="007D59B1">
        <w:rPr>
          <w:rFonts w:cs="Arial"/>
          <w:sz w:val="22"/>
          <w:szCs w:val="22"/>
          <w:vertAlign w:val="subscript"/>
        </w:rPr>
        <w:t>75</w:t>
      </w:r>
      <w:r w:rsidRPr="007D59B1">
        <w:rPr>
          <w:rFonts w:cs="Arial"/>
          <w:sz w:val="22"/>
          <w:szCs w:val="22"/>
        </w:rPr>
        <w:t>-equivalent concentrations as determined by 72-hour dose-response assay. Cells were maintained below 80% confluency and harvested after 14 days of treatme</w:t>
      </w:r>
      <w:r w:rsidR="00FE7137" w:rsidRPr="007D59B1">
        <w:rPr>
          <w:rFonts w:cs="Arial"/>
          <w:sz w:val="22"/>
          <w:szCs w:val="22"/>
        </w:rPr>
        <w:t>nt for genomic DNA extraction.</w:t>
      </w:r>
    </w:p>
    <w:p w14:paraId="0806D7FE" w14:textId="77777777" w:rsidR="00202A3C" w:rsidRPr="007D59B1" w:rsidRDefault="00202A3C" w:rsidP="00202A3C">
      <w:pPr>
        <w:spacing w:line="360" w:lineRule="auto"/>
        <w:jc w:val="both"/>
        <w:rPr>
          <w:rFonts w:cs="Arial"/>
          <w:sz w:val="22"/>
          <w:szCs w:val="22"/>
        </w:rPr>
      </w:pPr>
    </w:p>
    <w:p w14:paraId="475E8C2A" w14:textId="423676A0" w:rsidR="00202A3C" w:rsidRDefault="00202A3C" w:rsidP="00202A3C">
      <w:pPr>
        <w:spacing w:line="360" w:lineRule="auto"/>
        <w:jc w:val="both"/>
        <w:rPr>
          <w:rFonts w:cs="Arial"/>
          <w:sz w:val="22"/>
          <w:szCs w:val="22"/>
        </w:rPr>
      </w:pPr>
      <w:r w:rsidRPr="007D59B1">
        <w:rPr>
          <w:rFonts w:cs="Arial"/>
          <w:b/>
          <w:sz w:val="22"/>
          <w:szCs w:val="22"/>
        </w:rPr>
        <w:t xml:space="preserve">Preparation of </w:t>
      </w:r>
      <w:proofErr w:type="spellStart"/>
      <w:r w:rsidRPr="007D59B1">
        <w:rPr>
          <w:rFonts w:cs="Arial"/>
          <w:b/>
          <w:sz w:val="22"/>
          <w:szCs w:val="22"/>
        </w:rPr>
        <w:t>HiSeq</w:t>
      </w:r>
      <w:proofErr w:type="spellEnd"/>
      <w:r w:rsidRPr="007D59B1">
        <w:rPr>
          <w:rFonts w:cs="Arial"/>
          <w:b/>
          <w:sz w:val="22"/>
          <w:szCs w:val="22"/>
        </w:rPr>
        <w:t xml:space="preserve"> libraries</w:t>
      </w:r>
      <w:r w:rsidR="00144F8D" w:rsidRPr="007D59B1">
        <w:rPr>
          <w:rFonts w:cs="Arial"/>
          <w:b/>
          <w:sz w:val="22"/>
          <w:szCs w:val="22"/>
        </w:rPr>
        <w:t xml:space="preserve">. </w:t>
      </w:r>
      <w:r w:rsidRPr="007D59B1">
        <w:rPr>
          <w:rFonts w:cs="Arial"/>
          <w:sz w:val="22"/>
          <w:szCs w:val="22"/>
        </w:rPr>
        <w:t xml:space="preserve">Genomic DNA was extracted with the </w:t>
      </w:r>
      <w:proofErr w:type="spellStart"/>
      <w:r w:rsidRPr="007D59B1">
        <w:rPr>
          <w:rFonts w:cs="Arial"/>
          <w:sz w:val="22"/>
          <w:szCs w:val="22"/>
        </w:rPr>
        <w:t>QIAamp</w:t>
      </w:r>
      <w:proofErr w:type="spellEnd"/>
      <w:r w:rsidRPr="007D59B1">
        <w:rPr>
          <w:rFonts w:cs="Arial"/>
          <w:sz w:val="22"/>
          <w:szCs w:val="22"/>
        </w:rPr>
        <w:t xml:space="preserve"> DNA Blood Maxi Kit (Qiagen, Cat#51194). The gRNA regions were PCR-amplified for 22 cycles with </w:t>
      </w:r>
      <w:proofErr w:type="spellStart"/>
      <w:r w:rsidRPr="007D59B1">
        <w:rPr>
          <w:rFonts w:cs="Arial"/>
          <w:sz w:val="22"/>
          <w:szCs w:val="22"/>
        </w:rPr>
        <w:t>Herculase</w:t>
      </w:r>
      <w:proofErr w:type="spellEnd"/>
      <w:r w:rsidRPr="007D59B1">
        <w:rPr>
          <w:rFonts w:cs="Arial"/>
          <w:sz w:val="22"/>
          <w:szCs w:val="22"/>
        </w:rPr>
        <w:t xml:space="preserve"> II Fusion DNA Polymerase (Agilent, Cat#600677) in 23 replicate reactions, with a total input of 230 µg DNA corresponding to 500x library coverage. Each 100 µL reaction comprised </w:t>
      </w:r>
      <w:proofErr w:type="spellStart"/>
      <w:r w:rsidRPr="007D59B1">
        <w:rPr>
          <w:rFonts w:cs="Arial"/>
          <w:sz w:val="22"/>
          <w:szCs w:val="22"/>
        </w:rPr>
        <w:t>Herculase</w:t>
      </w:r>
      <w:proofErr w:type="spellEnd"/>
      <w:r w:rsidRPr="007D59B1">
        <w:rPr>
          <w:rFonts w:cs="Arial"/>
          <w:sz w:val="22"/>
          <w:szCs w:val="22"/>
        </w:rPr>
        <w:t xml:space="preserve"> II reaction buffer (2 mM Mg</w:t>
      </w:r>
      <w:r w:rsidRPr="007D59B1">
        <w:rPr>
          <w:rFonts w:cs="Arial"/>
          <w:sz w:val="22"/>
          <w:szCs w:val="22"/>
          <w:vertAlign w:val="superscript"/>
        </w:rPr>
        <w:t>2+</w:t>
      </w:r>
      <w:r w:rsidRPr="007D59B1">
        <w:rPr>
          <w:rFonts w:cs="Arial"/>
          <w:sz w:val="22"/>
          <w:szCs w:val="22"/>
        </w:rPr>
        <w:t xml:space="preserve">), 1 mM dNTPs, 2% DMSO, 250 </w:t>
      </w:r>
      <w:proofErr w:type="spellStart"/>
      <w:r w:rsidRPr="007D59B1">
        <w:rPr>
          <w:rFonts w:cs="Arial"/>
          <w:sz w:val="22"/>
          <w:szCs w:val="22"/>
        </w:rPr>
        <w:t>nM</w:t>
      </w:r>
      <w:proofErr w:type="spellEnd"/>
      <w:r w:rsidRPr="007D59B1">
        <w:rPr>
          <w:rFonts w:cs="Arial"/>
          <w:sz w:val="22"/>
          <w:szCs w:val="22"/>
        </w:rPr>
        <w:t xml:space="preserve"> pooled forward primer, 250 </w:t>
      </w:r>
      <w:proofErr w:type="spellStart"/>
      <w:r w:rsidRPr="007D59B1">
        <w:rPr>
          <w:rFonts w:cs="Arial"/>
          <w:sz w:val="22"/>
          <w:szCs w:val="22"/>
        </w:rPr>
        <w:t>nM</w:t>
      </w:r>
      <w:proofErr w:type="spellEnd"/>
      <w:r w:rsidRPr="007D59B1">
        <w:rPr>
          <w:rFonts w:cs="Arial"/>
          <w:sz w:val="22"/>
          <w:szCs w:val="22"/>
        </w:rPr>
        <w:t xml:space="preserve"> specific reverse primer and 10 µg template DNA. The Illumina-compatible primers contained P5/P7 adapters, a staggered region (forward primers only) and 8 bp index barcodes (</w:t>
      </w:r>
      <w:r w:rsidR="000459AF" w:rsidRPr="007D59B1">
        <w:rPr>
          <w:rFonts w:cs="Arial"/>
          <w:color w:val="000000" w:themeColor="text1"/>
          <w:sz w:val="22"/>
          <w:szCs w:val="22"/>
        </w:rPr>
        <w:t xml:space="preserve">Supplementary </w:t>
      </w:r>
      <w:r w:rsidRPr="007D59B1">
        <w:rPr>
          <w:rFonts w:cs="Arial"/>
          <w:sz w:val="22"/>
          <w:szCs w:val="22"/>
        </w:rPr>
        <w:t xml:space="preserve">Table </w:t>
      </w:r>
      <w:r w:rsidR="00F06B96">
        <w:rPr>
          <w:rFonts w:cs="Arial"/>
          <w:sz w:val="22"/>
          <w:szCs w:val="22"/>
        </w:rPr>
        <w:t>8</w:t>
      </w:r>
      <w:r w:rsidRPr="007D59B1">
        <w:rPr>
          <w:rFonts w:cs="Arial"/>
          <w:sz w:val="22"/>
          <w:szCs w:val="22"/>
        </w:rPr>
        <w:t xml:space="preserve">). PCR products were pooled and 400 µL was ethanol precipitated, resuspended in 100 µL water and resolved on a 3% agarose gel at 100 V for 5 hours. The 270-280 bp amplicon was isolated with the </w:t>
      </w:r>
      <w:proofErr w:type="spellStart"/>
      <w:r w:rsidRPr="007D59B1">
        <w:rPr>
          <w:rFonts w:cs="Arial"/>
          <w:sz w:val="22"/>
          <w:szCs w:val="22"/>
        </w:rPr>
        <w:t>QIAquick</w:t>
      </w:r>
      <w:proofErr w:type="spellEnd"/>
      <w:r w:rsidRPr="007D59B1">
        <w:rPr>
          <w:rFonts w:cs="Arial"/>
          <w:sz w:val="22"/>
          <w:szCs w:val="22"/>
        </w:rPr>
        <w:t xml:space="preserve"> Gel Extraction Kit (Qiagen, Cat#28706) according to the manufacturer’s protocol, except the QC buffer was incubated at room temperature</w:t>
      </w:r>
      <w:r w:rsidRPr="007D59B1">
        <w:rPr>
          <w:rFonts w:cs="Arial"/>
          <w:color w:val="000000" w:themeColor="text1"/>
          <w:sz w:val="22"/>
          <w:szCs w:val="22"/>
        </w:rPr>
        <w:t xml:space="preserve">. </w:t>
      </w:r>
      <w:r w:rsidR="004F3680" w:rsidRPr="007D59B1">
        <w:rPr>
          <w:rFonts w:cs="Arial"/>
          <w:color w:val="000000" w:themeColor="text1"/>
          <w:sz w:val="22"/>
          <w:szCs w:val="22"/>
        </w:rPr>
        <w:t xml:space="preserve">Products were tested for concentration and specificity using High sensitivity D1000 </w:t>
      </w:r>
      <w:proofErr w:type="spellStart"/>
      <w:r w:rsidR="004F3680" w:rsidRPr="007D59B1">
        <w:rPr>
          <w:rFonts w:cs="Arial"/>
          <w:color w:val="000000" w:themeColor="text1"/>
          <w:sz w:val="22"/>
          <w:szCs w:val="22"/>
        </w:rPr>
        <w:t>ScreenTape</w:t>
      </w:r>
      <w:proofErr w:type="spellEnd"/>
      <w:r w:rsidR="004F3680" w:rsidRPr="007D59B1">
        <w:rPr>
          <w:rFonts w:cs="Arial"/>
          <w:color w:val="000000" w:themeColor="text1"/>
          <w:sz w:val="22"/>
          <w:szCs w:val="22"/>
        </w:rPr>
        <w:t xml:space="preserve"> and qPCR using KAPA Library Quantification Kit,</w:t>
      </w:r>
      <w:r w:rsidRPr="007D59B1">
        <w:rPr>
          <w:rFonts w:cs="Arial"/>
          <w:color w:val="000000" w:themeColor="text1"/>
          <w:sz w:val="22"/>
          <w:szCs w:val="22"/>
        </w:rPr>
        <w:t xml:space="preserve"> multiplexed</w:t>
      </w:r>
      <w:r w:rsidRPr="007D59B1">
        <w:rPr>
          <w:rFonts w:cs="Arial"/>
          <w:sz w:val="22"/>
          <w:szCs w:val="22"/>
        </w:rPr>
        <w:t xml:space="preserve">, spiked with </w:t>
      </w:r>
      <w:proofErr w:type="spellStart"/>
      <w:r w:rsidRPr="007D59B1">
        <w:rPr>
          <w:rFonts w:cs="Arial"/>
          <w:sz w:val="22"/>
          <w:szCs w:val="22"/>
        </w:rPr>
        <w:t>PhiX</w:t>
      </w:r>
      <w:proofErr w:type="spellEnd"/>
      <w:r w:rsidRPr="007D59B1">
        <w:rPr>
          <w:rFonts w:cs="Arial"/>
          <w:sz w:val="22"/>
          <w:szCs w:val="22"/>
        </w:rPr>
        <w:t xml:space="preserve"> Control v3 library (Illumina, Cat#FC-110-3001) and run on an Illumina </w:t>
      </w:r>
      <w:proofErr w:type="spellStart"/>
      <w:r w:rsidRPr="007D59B1">
        <w:rPr>
          <w:rFonts w:cs="Arial"/>
          <w:sz w:val="22"/>
          <w:szCs w:val="22"/>
        </w:rPr>
        <w:t>HiSeq</w:t>
      </w:r>
      <w:proofErr w:type="spellEnd"/>
      <w:r w:rsidRPr="007D59B1">
        <w:rPr>
          <w:rFonts w:cs="Arial"/>
          <w:sz w:val="22"/>
          <w:szCs w:val="22"/>
        </w:rPr>
        <w:t xml:space="preserve"> 2500 on Rapid Run 1 x 100 bp mode for 115 cycles.</w:t>
      </w:r>
    </w:p>
    <w:p w14:paraId="140B27F4" w14:textId="77777777" w:rsidR="002A3C22" w:rsidRPr="007D59B1" w:rsidRDefault="002A3C22" w:rsidP="00202A3C">
      <w:pPr>
        <w:spacing w:line="360" w:lineRule="auto"/>
        <w:jc w:val="both"/>
        <w:rPr>
          <w:rFonts w:cs="Arial"/>
          <w:sz w:val="22"/>
          <w:szCs w:val="22"/>
        </w:rPr>
      </w:pPr>
    </w:p>
    <w:p w14:paraId="3C218162" w14:textId="5305581A" w:rsidR="00202A3C" w:rsidRPr="007D59B1" w:rsidRDefault="00202A3C" w:rsidP="00202A3C">
      <w:pPr>
        <w:spacing w:line="360" w:lineRule="auto"/>
        <w:jc w:val="both"/>
        <w:rPr>
          <w:rFonts w:cs="Arial"/>
          <w:sz w:val="22"/>
          <w:szCs w:val="22"/>
        </w:rPr>
      </w:pPr>
      <w:r w:rsidRPr="007D59B1">
        <w:rPr>
          <w:rFonts w:cs="Arial"/>
          <w:b/>
          <w:sz w:val="22"/>
          <w:szCs w:val="22"/>
        </w:rPr>
        <w:t>NGS gene enrichment analysis</w:t>
      </w:r>
      <w:r w:rsidR="00144F8D" w:rsidRPr="007D59B1">
        <w:rPr>
          <w:rFonts w:cs="Arial"/>
          <w:b/>
          <w:sz w:val="22"/>
          <w:szCs w:val="22"/>
        </w:rPr>
        <w:t xml:space="preserve">. </w:t>
      </w:r>
      <w:r w:rsidRPr="007D59B1">
        <w:rPr>
          <w:rFonts w:cs="Arial"/>
          <w:sz w:val="22"/>
          <w:szCs w:val="22"/>
        </w:rPr>
        <w:t xml:space="preserve">Raw FASTQ files were downloaded from the Bauer Core server using FileZilla. Initial QC was conducted with </w:t>
      </w:r>
      <w:proofErr w:type="spellStart"/>
      <w:r w:rsidRPr="007D59B1">
        <w:rPr>
          <w:rFonts w:cs="Arial"/>
          <w:sz w:val="22"/>
          <w:szCs w:val="22"/>
        </w:rPr>
        <w:t>FastQC</w:t>
      </w:r>
      <w:proofErr w:type="spellEnd"/>
      <w:r w:rsidRPr="007D59B1">
        <w:rPr>
          <w:rFonts w:cs="Arial"/>
          <w:sz w:val="22"/>
          <w:szCs w:val="22"/>
        </w:rPr>
        <w:t xml:space="preserve"> (</w:t>
      </w:r>
      <w:proofErr w:type="spellStart"/>
      <w:r w:rsidRPr="007D59B1">
        <w:rPr>
          <w:rFonts w:cs="Arial"/>
          <w:sz w:val="22"/>
          <w:szCs w:val="22"/>
        </w:rPr>
        <w:t>Babraham</w:t>
      </w:r>
      <w:proofErr w:type="spellEnd"/>
      <w:r w:rsidRPr="007D59B1">
        <w:rPr>
          <w:rFonts w:cs="Arial"/>
          <w:sz w:val="22"/>
          <w:szCs w:val="22"/>
        </w:rPr>
        <w:t xml:space="preserve"> Bioinformatics, Cambridge, UK) to assess the general quality of the sequence runs. </w:t>
      </w:r>
      <w:r w:rsidR="004F3680" w:rsidRPr="007D59B1">
        <w:rPr>
          <w:rFonts w:cs="Arial"/>
          <w:color w:val="000000" w:themeColor="text1"/>
          <w:sz w:val="22"/>
          <w:szCs w:val="22"/>
        </w:rPr>
        <w:t xml:space="preserve">Raw </w:t>
      </w:r>
      <w:r w:rsidR="00A04435" w:rsidRPr="007D59B1">
        <w:rPr>
          <w:rFonts w:cs="Arial"/>
          <w:color w:val="000000" w:themeColor="text1"/>
          <w:sz w:val="22"/>
          <w:szCs w:val="22"/>
        </w:rPr>
        <w:t>FASTQ</w:t>
      </w:r>
      <w:r w:rsidR="004F3680" w:rsidRPr="007D59B1">
        <w:rPr>
          <w:rFonts w:cs="Arial"/>
          <w:color w:val="000000" w:themeColor="text1"/>
          <w:sz w:val="22"/>
          <w:szCs w:val="22"/>
        </w:rPr>
        <w:t xml:space="preserve"> sequencing files were demultiplexed with bcl2fastq2 v2.2, then matched to the guide sequences from the library files using the </w:t>
      </w:r>
      <w:proofErr w:type="spellStart"/>
      <w:r w:rsidR="004F3680" w:rsidRPr="007D59B1">
        <w:rPr>
          <w:rFonts w:cs="Arial"/>
          <w:color w:val="000000" w:themeColor="text1"/>
          <w:sz w:val="22"/>
          <w:szCs w:val="22"/>
        </w:rPr>
        <w:t>MAGeCK</w:t>
      </w:r>
      <w:proofErr w:type="spellEnd"/>
      <w:r w:rsidR="004F3680" w:rsidRPr="007D59B1">
        <w:rPr>
          <w:rFonts w:cs="Arial"/>
          <w:color w:val="000000" w:themeColor="text1"/>
          <w:sz w:val="22"/>
          <w:szCs w:val="22"/>
        </w:rPr>
        <w:t xml:space="preserve"> count function. Due to the absence of non-targeting guides in this library, an analysis to control </w:t>
      </w:r>
      <w:r w:rsidR="003702EB" w:rsidRPr="007D59B1">
        <w:rPr>
          <w:rFonts w:cs="Arial"/>
          <w:color w:val="000000" w:themeColor="text1"/>
          <w:sz w:val="22"/>
          <w:szCs w:val="22"/>
        </w:rPr>
        <w:t xml:space="preserve">for </w:t>
      </w:r>
      <w:r w:rsidR="004F3680" w:rsidRPr="007D59B1">
        <w:rPr>
          <w:rFonts w:cs="Arial"/>
          <w:color w:val="000000" w:themeColor="text1"/>
          <w:sz w:val="22"/>
          <w:szCs w:val="22"/>
        </w:rPr>
        <w:t xml:space="preserve">the empirical false positive rate could not be performed. </w:t>
      </w:r>
      <w:r w:rsidRPr="007D59B1">
        <w:rPr>
          <w:rFonts w:cs="Arial"/>
          <w:color w:val="000000" w:themeColor="text1"/>
          <w:sz w:val="22"/>
          <w:szCs w:val="22"/>
        </w:rPr>
        <w:t>Read counts per gRNA were calculated by averagin</w:t>
      </w:r>
      <w:r w:rsidRPr="007D59B1">
        <w:rPr>
          <w:rFonts w:cs="Arial"/>
          <w:sz w:val="22"/>
          <w:szCs w:val="22"/>
        </w:rPr>
        <w:t xml:space="preserve">g gRNA read counts of two biological replicates per screen condition and normalizing to total gRNA read count. Normalized read </w:t>
      </w:r>
      <w:r w:rsidRPr="007D59B1">
        <w:rPr>
          <w:rFonts w:cs="Arial"/>
          <w:sz w:val="22"/>
          <w:szCs w:val="22"/>
        </w:rPr>
        <w:lastRenderedPageBreak/>
        <w:t>counts in ALK inhibitor-treated cell populations were log-transformed and compared with those in DMSO-treated cell populations to identify gRNAs that were preferentially enriched under ALK inhibitor conditions. An arbitrary threshold of &gt; 1.5-fold enrichment was applied and genes with multiple gRNAs exceeding this threshold were considered to be enriched</w:t>
      </w:r>
      <w:r w:rsidR="00F101E4" w:rsidRPr="007D59B1">
        <w:rPr>
          <w:rFonts w:cs="Arial"/>
          <w:sz w:val="22"/>
          <w:szCs w:val="22"/>
        </w:rPr>
        <w:t xml:space="preserve">. </w:t>
      </w:r>
      <w:r w:rsidRPr="007D59B1">
        <w:rPr>
          <w:rFonts w:cs="Arial"/>
          <w:sz w:val="22"/>
          <w:szCs w:val="22"/>
        </w:rPr>
        <w:t xml:space="preserve">To improve stringency, only genes enriched in both </w:t>
      </w:r>
      <w:proofErr w:type="spellStart"/>
      <w:r w:rsidRPr="007D59B1">
        <w:rPr>
          <w:rFonts w:cs="Arial"/>
          <w:sz w:val="22"/>
          <w:szCs w:val="22"/>
        </w:rPr>
        <w:t>brigatinib</w:t>
      </w:r>
      <w:proofErr w:type="spellEnd"/>
      <w:r w:rsidRPr="007D59B1">
        <w:rPr>
          <w:rFonts w:cs="Arial"/>
          <w:sz w:val="22"/>
          <w:szCs w:val="22"/>
        </w:rPr>
        <w:t xml:space="preserve"> and </w:t>
      </w:r>
      <w:proofErr w:type="spellStart"/>
      <w:r w:rsidRPr="007D59B1">
        <w:rPr>
          <w:rFonts w:cs="Arial"/>
          <w:sz w:val="22"/>
          <w:szCs w:val="22"/>
        </w:rPr>
        <w:t>ceritinib</w:t>
      </w:r>
      <w:proofErr w:type="spellEnd"/>
      <w:r w:rsidRPr="007D59B1">
        <w:rPr>
          <w:rFonts w:cs="Arial"/>
          <w:sz w:val="22"/>
          <w:szCs w:val="22"/>
        </w:rPr>
        <w:t xml:space="preserve"> screens at a given concentration (ED</w:t>
      </w:r>
      <w:r w:rsidRPr="007D59B1">
        <w:rPr>
          <w:rFonts w:cs="Arial"/>
          <w:sz w:val="22"/>
          <w:szCs w:val="22"/>
          <w:vertAlign w:val="subscript"/>
        </w:rPr>
        <w:t>50</w:t>
      </w:r>
      <w:r w:rsidRPr="007D59B1">
        <w:rPr>
          <w:rFonts w:cs="Arial"/>
          <w:sz w:val="22"/>
          <w:szCs w:val="22"/>
        </w:rPr>
        <w:t xml:space="preserve"> or ED</w:t>
      </w:r>
      <w:r w:rsidRPr="007D59B1">
        <w:rPr>
          <w:rFonts w:cs="Arial"/>
          <w:sz w:val="22"/>
          <w:szCs w:val="22"/>
          <w:vertAlign w:val="subscript"/>
        </w:rPr>
        <w:t>75</w:t>
      </w:r>
      <w:r w:rsidRPr="007D59B1">
        <w:rPr>
          <w:rFonts w:cs="Arial"/>
          <w:sz w:val="22"/>
          <w:szCs w:val="22"/>
        </w:rPr>
        <w:t>)</w:t>
      </w:r>
      <w:r w:rsidR="00FE7137" w:rsidRPr="007D59B1">
        <w:rPr>
          <w:rFonts w:cs="Arial"/>
          <w:sz w:val="22"/>
          <w:szCs w:val="22"/>
        </w:rPr>
        <w:t xml:space="preserve"> were considered as candidates.</w:t>
      </w:r>
      <w:r w:rsidR="009C6BC1" w:rsidRPr="007D59B1">
        <w:rPr>
          <w:rFonts w:cs="Arial"/>
          <w:strike/>
          <w:color w:val="FF0000"/>
          <w:sz w:val="22"/>
          <w:szCs w:val="22"/>
        </w:rPr>
        <w:t xml:space="preserve"> </w:t>
      </w:r>
    </w:p>
    <w:p w14:paraId="6C6D616B" w14:textId="77777777" w:rsidR="00202A3C" w:rsidRPr="007D59B1" w:rsidRDefault="00202A3C" w:rsidP="00202A3C">
      <w:pPr>
        <w:spacing w:line="360" w:lineRule="auto"/>
        <w:jc w:val="both"/>
        <w:rPr>
          <w:rFonts w:cs="Arial"/>
          <w:sz w:val="22"/>
          <w:szCs w:val="22"/>
        </w:rPr>
      </w:pPr>
    </w:p>
    <w:p w14:paraId="033CB200" w14:textId="3021AF81" w:rsidR="00202A3C" w:rsidRPr="007D59B1" w:rsidRDefault="00202A3C" w:rsidP="00202A3C">
      <w:pPr>
        <w:spacing w:line="360" w:lineRule="auto"/>
        <w:jc w:val="both"/>
        <w:rPr>
          <w:rFonts w:cs="Arial"/>
          <w:sz w:val="22"/>
          <w:szCs w:val="22"/>
        </w:rPr>
      </w:pPr>
      <w:r w:rsidRPr="007D59B1">
        <w:rPr>
          <w:rFonts w:cs="Arial"/>
          <w:b/>
          <w:sz w:val="22"/>
          <w:szCs w:val="22"/>
        </w:rPr>
        <w:t>Gene set enrichment analysis</w:t>
      </w:r>
      <w:r w:rsidR="00144F8D" w:rsidRPr="007D59B1">
        <w:rPr>
          <w:rFonts w:cs="Arial"/>
          <w:b/>
          <w:sz w:val="22"/>
          <w:szCs w:val="22"/>
        </w:rPr>
        <w:t xml:space="preserve">. </w:t>
      </w:r>
      <w:r w:rsidRPr="007D59B1">
        <w:rPr>
          <w:rFonts w:cs="Arial"/>
          <w:sz w:val="22"/>
          <w:szCs w:val="22"/>
        </w:rPr>
        <w:t>Hallmark and gene ontology gene expression datasets were downloaded from the molecular Signatures database (</w:t>
      </w:r>
      <w:proofErr w:type="spellStart"/>
      <w:r w:rsidRPr="007D59B1">
        <w:rPr>
          <w:rFonts w:cs="Arial"/>
          <w:sz w:val="22"/>
          <w:szCs w:val="22"/>
        </w:rPr>
        <w:t>MSigDB</w:t>
      </w:r>
      <w:proofErr w:type="spellEnd"/>
      <w:r w:rsidRPr="007D59B1">
        <w:rPr>
          <w:rFonts w:cs="Arial"/>
          <w:sz w:val="22"/>
          <w:szCs w:val="22"/>
        </w:rPr>
        <w:t>) v6.2</w:t>
      </w:r>
      <w:r w:rsidR="005271C7" w:rsidRPr="007D59B1">
        <w:rPr>
          <w:rFonts w:cs="Arial"/>
          <w:sz w:val="22"/>
          <w:szCs w:val="22"/>
        </w:rPr>
        <w:fldChar w:fldCharType="begin" w:fldLock="1"/>
      </w:r>
      <w:r w:rsidR="004F24F9">
        <w:rPr>
          <w:rFonts w:cs="Arial"/>
          <w:sz w:val="22"/>
          <w:szCs w:val="22"/>
        </w:rPr>
        <w:instrText>ADDIN CSL_CITATION {"citationItems":[{"id":"ITEM-1","itemData":{"DOI":"10.1016/j.cels.2015.12.004","ISBN":"2405-4712 (Print)\r2405-4712 (Linking)","PMID":"26771021","abstract":"The Molecular Signatures Database (MSigDB) is one of the most widely used and comprehensive databases of gene sets for performing gene set enrichment analysis. Since its creation, MSigDB has grown beyond its roots in metabolic disease and cancer to include &gt;10,000 gene sets. These better represent a wider range of biological processes and diseases, but the utility of the database is reduced by increased redundancy across, and heterogeneity within, gene sets. To address this challenge, here we use a combination of automated approaches and expert curation to develop a collection of \"hallmark\" gene sets as part of MSigDB. Each hallmark in this collection consists of a \"refined\" gene set, derived from multiple \"founder\" sets, that conveys a specific biological state or process and displays coherent expression. The hallmarks effectively summarize most of the relevant information of the original founder sets and, by reducing both variation and redundancy, provide more refined and concise inputs for gene set enrichment analysis.","author":[{"dropping-particle":"","family":"Liberzon","given":"A","non-dropping-particle":"","parse-names":false,"suffix":""},{"dropping-particle":"","family":"Birger","given":"C","non-dropping-particle":"","parse-names":false,"suffix":""},{"dropping-particle":"","family":"Thorvaldsdottir","given":"H","non-dropping-particle":"","parse-names":false,"suffix":""},{"dropping-particle":"","family":"Ghandi","given":"M","non-dropping-particle":"","parse-names":false,"suffix":""},{"dropping-particle":"","family":"Mesirov","given":"J P","non-dropping-particle":"","parse-names":false,"suffix":""},{"dropping-particle":"","family":"Tamayo","given":"P","non-dropping-particle":"","parse-names":false,"suffix":""}],"container-title":"Cell Syst","id":"ITEM-1","issue":"6","issued":{"date-parts":[["2015"]]},"note":"Liberzon, Arthur\nBirger, Chet\nThorvaldsdottir, Helga\nGhandi, Mahmoud\nMesirov, Jill P\nTamayo, Pablo\neng\nR01 CA121941/CA/NCI NIH HHS/\nR01 CA154480/CA/NCI NIH HHS/\nR01 GM074024/GM/NIGMS NIH HHS/\nU54 CA112962/CA/NCI NIH HHS/\n2016/01/16 06:00\nCell Syst. 2015 Dec 23;1(6):417-425. doi: 10.1016/j.cels.2015.12.004.","page":"417-425","title":"The Molecular Signatures Database (MSigDB) hallmark gene set collection","type":"article-journal","volume":"1"},"uris":["http://www.mendeley.com/documents/?uuid=7e8cf1cc-061c-4bfc-9ad6-66150a44c636","http://www.mendeley.com/documents/?uuid=08c48fa2-d3a5-4d98-89dd-43bb0f878e22"]}],"mendeley":{"formattedCitation":"&lt;sup&gt;27&lt;/sup&gt;","plainTextFormattedCitation":"27","previouslyFormattedCitation":"&lt;sup&gt;27&lt;/sup&gt;"},"properties":{"noteIndex":0},"schema":"https://github.com/citation-style-language/schema/raw/master/csl-citation.json"}</w:instrText>
      </w:r>
      <w:r w:rsidR="005271C7" w:rsidRPr="007D59B1">
        <w:rPr>
          <w:rFonts w:cs="Arial"/>
          <w:sz w:val="22"/>
          <w:szCs w:val="22"/>
        </w:rPr>
        <w:fldChar w:fldCharType="separate"/>
      </w:r>
      <w:r w:rsidR="00394C69" w:rsidRPr="007D59B1">
        <w:rPr>
          <w:rFonts w:cs="Arial"/>
          <w:noProof/>
          <w:sz w:val="22"/>
          <w:szCs w:val="22"/>
          <w:vertAlign w:val="superscript"/>
        </w:rPr>
        <w:t>27</w:t>
      </w:r>
      <w:r w:rsidR="005271C7" w:rsidRPr="007D59B1">
        <w:rPr>
          <w:rFonts w:cs="Arial"/>
          <w:sz w:val="22"/>
          <w:szCs w:val="22"/>
        </w:rPr>
        <w:fldChar w:fldCharType="end"/>
      </w:r>
      <w:r w:rsidR="00283E06" w:rsidRPr="007D59B1">
        <w:rPr>
          <w:rFonts w:cs="Arial"/>
          <w:sz w:val="22"/>
          <w:szCs w:val="22"/>
        </w:rPr>
        <w:t xml:space="preserve"> </w:t>
      </w:r>
      <w:r w:rsidRPr="007D59B1">
        <w:rPr>
          <w:rFonts w:cs="Arial"/>
          <w:sz w:val="22"/>
          <w:szCs w:val="22"/>
        </w:rPr>
        <w:t xml:space="preserve">and </w:t>
      </w:r>
      <w:proofErr w:type="spellStart"/>
      <w:r w:rsidRPr="007D59B1">
        <w:rPr>
          <w:rFonts w:cs="Arial"/>
          <w:sz w:val="22"/>
          <w:szCs w:val="22"/>
        </w:rPr>
        <w:t>analyzed</w:t>
      </w:r>
      <w:proofErr w:type="spellEnd"/>
      <w:r w:rsidRPr="007D59B1">
        <w:rPr>
          <w:rFonts w:cs="Arial"/>
          <w:sz w:val="22"/>
          <w:szCs w:val="22"/>
        </w:rPr>
        <w:t xml:space="preserve"> with GSEA v3.0 (www.broadinstitute.org/gsea)</w:t>
      </w:r>
      <w:r w:rsidR="00283E06" w:rsidRPr="007D59B1">
        <w:rPr>
          <w:rFonts w:cs="Arial"/>
          <w:sz w:val="22"/>
          <w:szCs w:val="22"/>
        </w:rPr>
        <w:fldChar w:fldCharType="begin" w:fldLock="1"/>
      </w:r>
      <w:r w:rsidR="004F24F9">
        <w:rPr>
          <w:rFonts w:cs="Arial"/>
          <w:sz w:val="22"/>
          <w:szCs w:val="22"/>
        </w:rPr>
        <w:instrText>ADDIN CSL_CITATION {"citationItems":[{"id":"ITEM-1","itemData":{"DOI":"10.1038/ng1180","ISSN":"1061-4036","abstract":"DNA microarrays can be used to identify gene expression changes characteristic of human disease. This is challenging, however, when relevant differences are subtle at the level of individual genes. We introduce an analytical strategy, Gene Set Enrichment Analysis, designed to detect modest but coordinate changes in the expression of groups of functionally related genes. Using this approach, we identify a set of genes involved in oxidative phosphorylation whose expression is coordinately decreased in human diabetic muscle. Expression of these genes is high at sites of insulin-mediated glucose disposal, activated by PGC-1α and correlated with total-body aerobic capacity. Our results associate this gene set with clinically important variation in human metabolism and illustrate the value of pathway relationships in the analysis of genomic profiling experiments.","author":[{"dropping-particle":"","family":"Mootha","given":"Vamsi K","non-dropping-particle":"","parse-names":false,"suffix":""},{"dropping-particle":"","family":"Lindgren","given":"Cecilia M","non-dropping-particle":"","parse-names":false,"suffix":""},{"dropping-particle":"","family":"Eriksson","given":"Karl-Fredrik","non-dropping-particle":"","parse-names":false,"suffix":""},{"dropping-particle":"","family":"Subramanian","given":"Aravind","non-dropping-particle":"","parse-names":false,"suffix":""},{"dropping-particle":"","family":"Sihag","given":"Smita","non-dropping-particle":"","parse-names":false,"suffix":""},{"dropping-particle":"","family":"Lehar","given":"Joseph","non-dropping-particle":"","parse-names":false,"suffix":""},{"dropping-particle":"","family":"Puigserver","given":"Pere","non-dropping-particle":"","parse-names":false,"suffix":""},{"dropping-particle":"","family":"Carlsson","given":"Emma","non-dropping-particle":"","parse-names":false,"suffix":""},{"dropping-particle":"","family":"Ridderstråle","given":"Martin","non-dropping-particle":"","parse-names":false,"suffix":""},{"dropping-particle":"","family":"Laurila","given":"Esa","non-dropping-particle":"","parse-names":false,"suffix":""},{"dropping-particle":"","family":"Houstis","given":"Nicholas","non-dropping-particle":"","parse-names":false,"suffix":""},{"dropping-particle":"","family":"Daly","given":"Mark J","non-dropping-particle":"","parse-names":false,"suffix":""},{"dropping-particle":"","family":"Patterson","given":"Nick","non-dropping-particle":"","parse-names":false,"suffix":""},{"dropping-particle":"","family":"Mesirov","given":"Jill P","non-dropping-particle":"","parse-names":false,"suffix":""},{"dropping-particle":"","family":"Golub","given":"Todd R","non-dropping-particle":"","parse-names":false,"suffix":""},{"dropping-particle":"","family":"Tamayo","given":"Pablo","non-dropping-particle":"","parse-names":false,"suffix":""},{"dropping-particle":"","family":"Spiegelman","given":"Bruce","non-dropping-particle":"","parse-names":false,"suffix":""},{"dropping-particle":"","family":"Lander","given":"Eric S","non-dropping-particle":"","parse-names":false,"suffix":""},{"dropping-particle":"","family":"Hirschhorn","given":"Joel N","non-dropping-particle":"","parse-names":false,"suffix":""},{"dropping-particle":"","family":"Altshuler","given":"David","non-dropping-particle":"","parse-names":false,"suffix":""},{"dropping-particle":"","family":"Groop","given":"Leif C","non-dropping-particle":"","parse-names":false,"suffix":""}],"container-title":"Nature Genetics","id":"ITEM-1","issue":"3","issued":{"date-parts":[["2003","7","15"]]},"page":"267-273","publisher":"Nature Publishing Group","title":"PGC-1α-responsive genes involved in oxidative phosphorylation are coordinately downregulated in human diabetes","type":"article-journal","volume":"34"},"uris":["http://www.mendeley.com/documents/?uuid=4b9e7d3e-f0f9-3451-a5a3-aac5612c2445","http://www.mendeley.com/documents/?uuid=a082f535-0cbf-4a24-93dd-f7e109630ebb"]},{"id":"ITEM-2","itemData":{"DOI":"10.1073/pnas.0506580102","ISSN":"0027-8424","PMID":"16199517","abstract":"Although genomewide RNA expression analysis has become a routine tool in biomedical research, extracting biological insight from such information remains a major challenge. Here, we describe a powerful analytical method called Gene Set Enrichment Analysis (GSEA) for interpreting gene expression data. The method derives its power by focusing on gene sets, that is, groups of genes that share common biological function, chromosomal location, or regulation. We demonstrate how GSEA yields insights into several cancer-related data sets, including leukemia and lung cancer. Notably, where single-gene analysis finds little similarity between two independent studies of patient survival in lung cancer, GSEA reveals many biological pathways in common. The GSEA method is embodied in a freely available software package, together with an initial database of 1,325 biologically defined gene sets.","author":[{"dropping-particle":"","family":"Subramanian","given":"Aravind","non-dropping-particle":"","parse-names":false,"suffix":""},{"dropping-particle":"","family":"Tamayo","given":"Pablo","non-dropping-particle":"","parse-names":false,"suffix":""},{"dropping-particle":"","family":"Mootha","given":"Vamsi K","non-dropping-particle":"","parse-names":false,"suffix":""},{"dropping-particle":"","family":"Mukherjee","given":"Sayan","non-dropping-particle":"","parse-names":false,"suffix":""},{"dropping-particle":"","family":"Ebert","given":"Benjamin L","non-dropping-particle":"","parse-names":false,"suffix":""},{"dropping-particle":"","family":"Gillette","given":"Michael A","non-dropping-particle":"","parse-names":false,"suffix":""},{"dropping-particle":"","family":"Paulovich","given":"Amanda","non-dropping-particle":"","parse-names":false,"suffix":""},{"dropping-particle":"","family":"Pomeroy","given":"Scott L","non-dropping-particle":"","parse-names":false,"suffix":""},{"dropping-particle":"","family":"Golub","given":"Todd R","non-dropping-particle":"","parse-names":false,"suffix":""},{"dropping-particle":"","family":"Lander","given":"Eric S","non-dropping-particle":"","parse-names":false,"suffix":""},{"dropping-particle":"","family":"Mesirov","given":"Jill P","non-dropping-particle":"","parse-names":false,"suffix":""}],"container-title":"Proceedings of the National Academy of Sciences of the United States of America","id":"ITEM-2","issue":"43","issued":{"date-parts":[["2005","10","25"]]},"page":"15545-50","publisher":"National Academy of Sciences","title":"Gene set enrichment analysis: a knowledge-based approach for interpreting genome-wide expression profiles.","type":"article-journal","volume":"102"},"uris":["http://www.mendeley.com/documents/?uuid=6dfa49b1-74ed-3d98-b7f6-e23c05d35254"]}],"mendeley":{"formattedCitation":"&lt;sup&gt;58,59&lt;/sup&gt;","plainTextFormattedCitation":"58,59","previouslyFormattedCitation":"&lt;sup&gt;58,59&lt;/sup&gt;"},"properties":{"noteIndex":0},"schema":"https://github.com/citation-style-language/schema/raw/master/csl-citation.json"}</w:instrText>
      </w:r>
      <w:r w:rsidR="00283E06" w:rsidRPr="007D59B1">
        <w:rPr>
          <w:rFonts w:cs="Arial"/>
          <w:sz w:val="22"/>
          <w:szCs w:val="22"/>
        </w:rPr>
        <w:fldChar w:fldCharType="separate"/>
      </w:r>
      <w:r w:rsidR="00394C69" w:rsidRPr="007D59B1">
        <w:rPr>
          <w:rFonts w:cs="Arial"/>
          <w:noProof/>
          <w:sz w:val="22"/>
          <w:szCs w:val="22"/>
          <w:vertAlign w:val="superscript"/>
        </w:rPr>
        <w:t>58,59</w:t>
      </w:r>
      <w:r w:rsidR="00283E06" w:rsidRPr="007D59B1">
        <w:rPr>
          <w:rFonts w:cs="Arial"/>
          <w:sz w:val="22"/>
          <w:szCs w:val="22"/>
        </w:rPr>
        <w:fldChar w:fldCharType="end"/>
      </w:r>
      <w:r w:rsidR="003A1428" w:rsidRPr="007D59B1">
        <w:rPr>
          <w:rFonts w:cs="Arial"/>
          <w:sz w:val="22"/>
          <w:szCs w:val="22"/>
        </w:rPr>
        <w:t xml:space="preserve">. </w:t>
      </w:r>
      <w:r w:rsidRPr="007D59B1">
        <w:rPr>
          <w:rFonts w:cs="Arial"/>
          <w:sz w:val="22"/>
          <w:szCs w:val="22"/>
        </w:rPr>
        <w:t xml:space="preserve">Enrichment was carried out by calculating overlaps between </w:t>
      </w:r>
      <w:proofErr w:type="spellStart"/>
      <w:r w:rsidRPr="007D59B1">
        <w:rPr>
          <w:rFonts w:cs="Arial"/>
          <w:sz w:val="22"/>
          <w:szCs w:val="22"/>
        </w:rPr>
        <w:t>MSigDB</w:t>
      </w:r>
      <w:proofErr w:type="spellEnd"/>
      <w:r w:rsidRPr="007D59B1">
        <w:rPr>
          <w:rFonts w:cs="Arial"/>
          <w:sz w:val="22"/>
          <w:szCs w:val="22"/>
        </w:rPr>
        <w:t xml:space="preserve"> datasets and putative resistance genes in SH-SY5Y cells treated with </w:t>
      </w:r>
      <w:proofErr w:type="spellStart"/>
      <w:r w:rsidRPr="007D59B1">
        <w:rPr>
          <w:rFonts w:cs="Arial"/>
          <w:sz w:val="22"/>
          <w:szCs w:val="22"/>
        </w:rPr>
        <w:t>brigatinib</w:t>
      </w:r>
      <w:proofErr w:type="spellEnd"/>
      <w:r w:rsidRPr="007D59B1">
        <w:rPr>
          <w:rFonts w:cs="Arial"/>
          <w:sz w:val="22"/>
          <w:szCs w:val="22"/>
        </w:rPr>
        <w:t xml:space="preserve"> and </w:t>
      </w:r>
      <w:proofErr w:type="spellStart"/>
      <w:r w:rsidRPr="007D59B1">
        <w:rPr>
          <w:rFonts w:cs="Arial"/>
          <w:sz w:val="22"/>
          <w:szCs w:val="22"/>
        </w:rPr>
        <w:t>ceritinib</w:t>
      </w:r>
      <w:proofErr w:type="spellEnd"/>
      <w:r w:rsidRPr="007D59B1">
        <w:rPr>
          <w:rFonts w:cs="Arial"/>
          <w:sz w:val="22"/>
          <w:szCs w:val="22"/>
        </w:rPr>
        <w:t xml:space="preserve"> at ED</w:t>
      </w:r>
      <w:r w:rsidRPr="007D59B1">
        <w:rPr>
          <w:rFonts w:cs="Arial"/>
          <w:sz w:val="22"/>
          <w:szCs w:val="22"/>
          <w:vertAlign w:val="subscript"/>
        </w:rPr>
        <w:t>50</w:t>
      </w:r>
      <w:r w:rsidRPr="007D59B1">
        <w:rPr>
          <w:rFonts w:cs="Arial"/>
          <w:sz w:val="22"/>
          <w:szCs w:val="22"/>
        </w:rPr>
        <w:t xml:space="preserve"> and/or ED</w:t>
      </w:r>
      <w:r w:rsidRPr="007D59B1">
        <w:rPr>
          <w:rFonts w:cs="Arial"/>
          <w:sz w:val="22"/>
          <w:szCs w:val="22"/>
          <w:vertAlign w:val="subscript"/>
        </w:rPr>
        <w:t>75</w:t>
      </w:r>
      <w:r w:rsidRPr="007D59B1">
        <w:rPr>
          <w:rFonts w:cs="Arial"/>
          <w:sz w:val="22"/>
          <w:szCs w:val="22"/>
        </w:rPr>
        <w:t xml:space="preserve"> concentrations.</w:t>
      </w:r>
    </w:p>
    <w:p w14:paraId="4A856618" w14:textId="77777777" w:rsidR="00202A3C" w:rsidRPr="007D59B1" w:rsidRDefault="00202A3C" w:rsidP="00202A3C">
      <w:pPr>
        <w:spacing w:line="360" w:lineRule="auto"/>
        <w:jc w:val="both"/>
        <w:rPr>
          <w:rFonts w:cs="Arial"/>
          <w:sz w:val="22"/>
          <w:szCs w:val="22"/>
        </w:rPr>
      </w:pPr>
    </w:p>
    <w:p w14:paraId="751FD099" w14:textId="630786B5" w:rsidR="0042177E" w:rsidRPr="007D59B1" w:rsidRDefault="00202A3C" w:rsidP="004F24F9">
      <w:pPr>
        <w:spacing w:line="360" w:lineRule="auto"/>
        <w:jc w:val="both"/>
        <w:rPr>
          <w:rFonts w:cs="Arial"/>
          <w:color w:val="000000" w:themeColor="text1"/>
          <w:sz w:val="22"/>
          <w:szCs w:val="22"/>
        </w:rPr>
      </w:pPr>
      <w:r w:rsidRPr="007D59B1">
        <w:rPr>
          <w:rFonts w:cs="Arial"/>
          <w:b/>
          <w:sz w:val="22"/>
          <w:szCs w:val="22"/>
        </w:rPr>
        <w:t>Analysis of public datasets</w:t>
      </w:r>
      <w:r w:rsidR="00144F8D" w:rsidRPr="007D59B1">
        <w:rPr>
          <w:rFonts w:cs="Arial"/>
          <w:b/>
          <w:sz w:val="22"/>
          <w:szCs w:val="22"/>
        </w:rPr>
        <w:t xml:space="preserve">. </w:t>
      </w:r>
      <w:r w:rsidRPr="007D59B1">
        <w:rPr>
          <w:rFonts w:cs="Arial"/>
          <w:sz w:val="22"/>
          <w:szCs w:val="22"/>
        </w:rPr>
        <w:t>All candidate genes identified from the CRISPR SAM screens were investigated by Kaplan-Meier event-free survival analysis with microarray data from primary neuroblastoma patient cohorts using R2: Genomics Analysis and Visualization Platform (http://r2.amc.nl). The following cohort</w:t>
      </w:r>
      <w:r w:rsidR="00A04435" w:rsidRPr="007D59B1">
        <w:rPr>
          <w:rFonts w:cs="Arial"/>
          <w:sz w:val="22"/>
          <w:szCs w:val="22"/>
        </w:rPr>
        <w:t>s</w:t>
      </w:r>
      <w:r w:rsidRPr="007D59B1">
        <w:rPr>
          <w:rFonts w:cs="Arial"/>
          <w:sz w:val="22"/>
          <w:szCs w:val="22"/>
        </w:rPr>
        <w:t xml:space="preserve"> w</w:t>
      </w:r>
      <w:r w:rsidR="00A04435" w:rsidRPr="007D59B1">
        <w:rPr>
          <w:rFonts w:cs="Arial"/>
          <w:sz w:val="22"/>
          <w:szCs w:val="22"/>
        </w:rPr>
        <w:t>ere</w:t>
      </w:r>
      <w:r w:rsidRPr="007D59B1">
        <w:rPr>
          <w:rFonts w:cs="Arial"/>
          <w:sz w:val="22"/>
          <w:szCs w:val="22"/>
        </w:rPr>
        <w:t xml:space="preserve"> analysed: </w:t>
      </w:r>
      <w:proofErr w:type="spellStart"/>
      <w:r w:rsidRPr="007D59B1">
        <w:rPr>
          <w:rFonts w:cs="Arial"/>
          <w:sz w:val="22"/>
          <w:szCs w:val="22"/>
        </w:rPr>
        <w:t>Kocak</w:t>
      </w:r>
      <w:proofErr w:type="spellEnd"/>
      <w:r w:rsidRPr="007D59B1">
        <w:rPr>
          <w:rFonts w:cs="Arial"/>
          <w:sz w:val="22"/>
          <w:szCs w:val="22"/>
        </w:rPr>
        <w:t xml:space="preserve"> (</w:t>
      </w:r>
      <w:r w:rsidRPr="007D59B1">
        <w:rPr>
          <w:rFonts w:cs="Arial"/>
          <w:i/>
          <w:sz w:val="22"/>
          <w:szCs w:val="22"/>
        </w:rPr>
        <w:t>n</w:t>
      </w:r>
      <w:r w:rsidRPr="007D59B1">
        <w:rPr>
          <w:rFonts w:cs="Arial"/>
          <w:sz w:val="22"/>
          <w:szCs w:val="22"/>
        </w:rPr>
        <w:t xml:space="preserve"> = 476) [accession: GSE45547]</w:t>
      </w:r>
      <w:r w:rsidR="0006559B" w:rsidRPr="007D59B1">
        <w:rPr>
          <w:rFonts w:cs="Arial"/>
          <w:sz w:val="22"/>
          <w:szCs w:val="22"/>
        </w:rPr>
        <w:fldChar w:fldCharType="begin" w:fldLock="1"/>
      </w:r>
      <w:r w:rsidR="004F24F9">
        <w:rPr>
          <w:rFonts w:cs="Arial"/>
          <w:sz w:val="22"/>
          <w:szCs w:val="22"/>
        </w:rPr>
        <w:instrText>ADDIN CSL_CITATION {"citationItems":[{"id":"ITEM-1","itemData":{"DOI":"10.1038/cddis.2013.84","ISBN":"2041-4889 (Electronic)","PMID":"23579273","abstract":"Neuroblastoma is an embryonal malignancy of the sympathetic nervous system. Spontaneous regression and differentiation of neuroblastoma is observed in a subset of patients, and has been suggested to represent delayed activation of physiologic molecular programs of fetal neuroblasts. Homeobox genes constitute an important family of transcription factors, which play a fundamental role in morphogenesis and cell differentiation during embryogenesis. In this study, we demonstrate that expression of the majority of the human HOX class I homeobox genes is significantly associated with clinical covariates in neuroblastoma using microarray expression data of 649 primary tumors. Moreover, a HOX gene expression-based classifier predicted neuroblastoma patient outcome independently of age, stage and MYCN amplification status. Among all HOX genes, HOXC9 expression was most prominently associated with favorable prognostic markers. Most notably, elevated HOXC9 expression was significantly associated with spontaneous regression in infant neuroblastoma. Re-expression of HOXC9 in three neuroblastoma cell lines led to a significant reduction in cell viability, and abrogated tumor growth almost completely in neuroblastoma xenografts. Neuroblastoma growth arrest was related to the induction of programmed cell death, as indicated by an increase in the sub-G1 fraction and translocation of phosphatidylserine to the outer membrane. Programmed cell death was associated with the release of cytochrome c from the mitochondria into the cytosol and activation of the intrinsic cascade of caspases, indicating that HOXC9 re-expression triggers the intrinsic apoptotic pathway. Collectively, our results show a strong prognostic impact of HOX gene expression in neuroblastoma, and may point towards a role of Hox-C9 in neuroblastoma spontaneous regression.","author":[{"dropping-particle":"","family":"Kocak","given":"H","non-dropping-particle":"","parse-names":false,"suffix":""},{"dropping-particle":"","family":"Ackermann","given":"S","non-dropping-particle":"","parse-names":false,"suffix":""},{"dropping-particle":"","family":"Hero","given":"B","non-dropping-particle":"","parse-names":false,"suffix":""},{"dropping-particle":"","family":"Kahlert","given":"Y","non-dropping-particle":"","parse-names":false,"suffix":""},{"dropping-particle":"","family":"Oberthuer","given":"A","non-dropping-particle":"","parse-names":false,"suffix":""},{"dropping-particle":"","family":"Juraeva","given":"D","non-dropping-particle":"","parse-names":false,"suffix":""},{"dropping-particle":"","family":"Roels","given":"F","non-dropping-particle":"","parse-names":false,"suffix":""},{"dropping-particle":"","family":"Theissen","given":"J","non-dropping-particle":"","parse-names":false,"suffix":""},{"dropping-particle":"","family":"Westermann","given":"F","non-dropping-particle":"","parse-names":false,"suffix":""},{"dropping-particle":"","family":"Deubzer","given":"H","non-dropping-particle":"","parse-names":false,"suffix":""},{"dropping-particle":"","family":"Ehemann","given":"V","non-dropping-particle":"","parse-names":false,"suffix":""},{"dropping-particle":"","family":"Brors","given":"B","non-dropping-particle":"","parse-names":false,"suffix":""},{"dropping-particle":"","family":"Odenthal","given":"M","non-dropping-particle":"","parse-names":false,"suffix":""},{"dropping-particle":"","family":"Berthold","given":"F","non-dropping-particle":"","parse-names":false,"suffix":""},{"dropping-particle":"","family":"Fischer","given":"M","non-dropping-particle":"","parse-names":false,"suffix":""}],"container-title":"Cell Death Dis","id":"ITEM-1","issued":{"date-parts":[["2013"]]},"note":"Kocak, H\nAckermann, S\nHero, B\nKahlert, Y\nOberthuer, A\nJuraeva, D\nRoels, F\nTheissen, J\nWestermann, F\nDeubzer, H\nEhemann, V\nBrors, B\nOdenthal, M\nBerthold, F\nFischer, M\neng\nResearch Support, Non-U.S. Gov't\nEngland\n2013/04/13 06:00\nCell Death Dis. 2013 Apr 11;4:e586. doi: 10.1038/cddis.2013.84.","page":"e586","title":"Hox-C9 activates the intrinsic pathway of apoptosis and is associated with spontaneous regression in neuroblastoma","type":"article-journal","volume":"4"},"uris":["http://www.mendeley.com/documents/?uuid=8adbc531-6e9a-4e44-bf0e-25d4d1c79d4c"]}],"mendeley":{"formattedCitation":"&lt;sup&gt;29&lt;/sup&gt;","plainTextFormattedCitation":"29","previouslyFormattedCitation":"&lt;sup&gt;29&lt;/sup&gt;"},"properties":{"noteIndex":0},"schema":"https://github.com/citation-style-language/schema/raw/master/csl-citation.json"}</w:instrText>
      </w:r>
      <w:r w:rsidR="0006559B" w:rsidRPr="007D59B1">
        <w:rPr>
          <w:rFonts w:cs="Arial"/>
          <w:sz w:val="22"/>
          <w:szCs w:val="22"/>
        </w:rPr>
        <w:fldChar w:fldCharType="separate"/>
      </w:r>
      <w:r w:rsidR="00394C69" w:rsidRPr="007D59B1">
        <w:rPr>
          <w:rFonts w:cs="Arial"/>
          <w:noProof/>
          <w:sz w:val="22"/>
          <w:szCs w:val="22"/>
          <w:vertAlign w:val="superscript"/>
        </w:rPr>
        <w:t>29</w:t>
      </w:r>
      <w:r w:rsidR="0006559B" w:rsidRPr="007D59B1">
        <w:rPr>
          <w:rFonts w:cs="Arial"/>
          <w:sz w:val="22"/>
          <w:szCs w:val="22"/>
        </w:rPr>
        <w:fldChar w:fldCharType="end"/>
      </w:r>
      <w:r w:rsidRPr="007D59B1">
        <w:rPr>
          <w:rFonts w:cs="Arial"/>
          <w:sz w:val="22"/>
          <w:szCs w:val="22"/>
        </w:rPr>
        <w:t xml:space="preserve"> and SEQC (</w:t>
      </w:r>
      <w:r w:rsidRPr="007D59B1">
        <w:rPr>
          <w:rFonts w:cs="Arial"/>
          <w:i/>
          <w:sz w:val="22"/>
          <w:szCs w:val="22"/>
        </w:rPr>
        <w:t>n</w:t>
      </w:r>
      <w:r w:rsidRPr="007D59B1">
        <w:rPr>
          <w:rFonts w:cs="Arial"/>
          <w:sz w:val="22"/>
          <w:szCs w:val="22"/>
        </w:rPr>
        <w:t xml:space="preserve"> = 498) [accession: GSE49710]</w:t>
      </w:r>
      <w:r w:rsidR="003A1428" w:rsidRPr="007D59B1">
        <w:rPr>
          <w:rFonts w:cs="Arial"/>
          <w:sz w:val="22"/>
          <w:szCs w:val="22"/>
        </w:rPr>
        <w:fldChar w:fldCharType="begin" w:fldLock="1"/>
      </w:r>
      <w:r w:rsidR="004F24F9">
        <w:rPr>
          <w:rFonts w:cs="Arial"/>
          <w:sz w:val="22"/>
          <w:szCs w:val="22"/>
        </w:rPr>
        <w:instrText>ADDIN CSL_CITATION {"citationItems":[{"id":"ITEM-1","itemData":{"DOI":"10.1186/s13059-015-0694-1","ISBN":"1474-760X (Electronic)\r1474-7596 (Linking)","PMID":"26109056","abstract":"BACKGROUND: Gene expression profiling is being widely applied in cancer research to identify biomarkers for clinical endpoint prediction. Since RNA-seq provides a powerful tool for transcriptome-based applications beyond the limitations of microarrays, we sought to systematically evaluate the performance of RNA-seq-based and microarray-based classifiers in this MAQC-III/SEQC study for clinical endpoint prediction using neuroblastoma as a model. RESULTS: We generate gene expression profiles from 498 primary neuroblastomas using both RNA-seq and 44 k microarrays. Characterization of the neuroblastoma transcriptome by RNA-seq reveals that more than 48,000 genes and 200,000 transcripts are being expressed in this malignancy. We also find that RNA-seq provides much more detailed information on specific transcript expression patterns in clinico-genetic neuroblastoma subgroups than microarrays. To systematically compare the power of RNA-seq and microarray-based models in predicting clinical endpoints, we divide the cohort randomly into training and validation sets and develop 360 predictive models on six clinical endpoints of varying predictability. Evaluation of factors potentially affecting model performances reveals that prediction accuracies are most strongly influenced by the nature of the clinical endpoint, whereas technological platforms (RNA-seq vs. microarrays), RNA-seq data analysis pipelines, and feature levels (gene vs. transcript vs. exon-junction level) do not significantly affect performances of the models. CONCLUSIONS: We demonstrate that RNA-seq outperforms microarrays in determining the transcriptomic characteristics of cancer, while RNA-seq and microarray-based models perform similarly in clinical endpoint prediction. Our findings may be valuable to guide future studies on the development of gene expression-based predictive models and their implementation in clinical practice.","author":[{"dropping-particle":"","family":"Zhang","given":"W","non-dropping-particle":"","parse-names":false,"suffix":""},{"dropping-particle":"","family":"Yu","given":"Y","non-dropping-particle":"","parse-names":false,"suffix":""},{"dropping-particle":"","family":"Hertwig","given":"F","non-dropping-particle":"","parse-names":false,"suffix":""},{"dropping-particle":"","family":"Thierry-Mieg","given":"J","non-dropping-particle":"","parse-names":false,"suffix":""},{"dropping-particle":"","family":"Zhang","given":"W","non-dropping-particle":"","parse-names":false,"suffix":""},{"dropping-particle":"","family":"Thierry-Mieg","given":"D","non-dropping-particle":"","parse-names":false,"suffix":""},{"dropping-particle":"","family":"Wang","given":"J","non-dropping-particle":"","parse-names":false,"suffix":""},{"dropping-particle":"","family":"Furlanello","given":"C","non-dropping-particle":"","parse-names":false,"suffix":""},{"dropping-particle":"","family":"Devanarayan","given":"V","non-dropping-particle":"","parse-names":false,"suffix":""},{"dropping-particle":"","family":"Cheng","given":"J","non-dropping-particle":"","parse-names":false,"suffix":""},{"dropping-particle":"","family":"Deng","given":"Y","non-dropping-particle":"","parse-names":false,"suffix":""},{"dropping-particle":"","family":"Hero","given":"B","non-dropping-particle":"","parse-names":false,"suffix":""},{"dropping-particle":"","family":"Hong","given":"H","non-dropping-particle":"","parse-names":false,"suffix":""},{"dropping-particle":"","family":"Jia","given":"M","non-dropping-particle":"","parse-names":false,"suffix":""},{"dropping-particle":"","family":"Li","given":"L","non-dropping-particle":"","parse-names":false,"suffix":""},{"dropping-particle":"","family":"Lin","given":"S M","non-dropping-particle":"","parse-names":false,"suffix":""},{"dropping-particle":"","family":"Nikolsky","given":"Y","non-dropping-particle":"","parse-names":false,"suffix":""},{"dropping-particle":"","family":"Oberthuer","given":"A","non-dropping-particle":"","parse-names":false,"suffix":""},{"dropping-particle":"","family":"Qing","given":"T","non-dropping-particle":"","parse-names":false,"suffix":""},{"dropping-particle":"","family":"Su","given":"Z","non-dropping-particle":"","parse-names":false,"suffix":""},{"dropping-particle":"","family":"Volland","given":"R","non-dropping-particle":"","parse-names":false,"suffix":""},{"dropping-particle":"","family":"Wang","given":"C","non-dropping-particle":"","parse-names":false,"suffix":""},{"dropping-particle":"","family":"Wang","given":"M D","non-dropping-particle":"","parse-names":false,"suffix":""},{"dropping-particle":"","family":"Ai","given":"J","non-dropping-particle":"","parse-names":false,"suffix":""},{"dropping-particle":"","family":"Albanese","given":"D","non-dropping-particle":"","parse-names":false,"suffix":""},{"dropping-particle":"","family":"Asgharzadeh","given":"S","non-dropping-particle":"","parse-names":false,"suffix":""},{"dropping-particle":"","family":"Avigad","given":"S","non-dropping-particle":"","parse-names":false,"suffix":""},{"dropping-particle":"","family":"Bao","given":"W","non-dropping-particle":"","parse-names":false,"suffix":""},{"dropping-particle":"","family":"Bessarabova","given":"M","non-dropping-particle":"","parse-names":false,"suffix":""},{"dropping-particle":"","family":"Brilliant","given":"M H","non-dropping-particle":"","parse-names":false,"suffix":""},{"dropping-particle":"","family":"Brors","given":"B","non-dropping-particle":"","parse-names":false,"suffix":""},{"dropping-particle":"","family":"Chierici","given":"M","non-dropping-particle":"","parse-names":false,"suffix":""},{"dropping-particle":"","family":"Chu","given":"T M","non-dropping-particle":"","parse-names":false,"suffix":""},{"dropping-particle":"","family":"Zhang","given":"J","non-dropping-particle":"","parse-names":false,"suffix":""},{"dropping-particle":"","family":"Grundy","given":"R G","non-dropping-particle":"","parse-names":false,"suffix":""},{"dropping-particle":"","family":"He","given":"M M","non-dropping-particle":"","parse-names":false,"suffix":""},{"dropping-particle":"","family":"Hebbring","given":"S","non-dropping-particle":"","parse-names":false,"suffix":""},{"dropping-particle":"","family":"Kaufman","given":"H L","non-dropping-particle":"","parse-names":false,"suffix":""},{"dropping-particle":"","family":"Lababidi","given":"S","non-dropping-particle":"","parse-names":false,"suffix":""},{"dropping-particle":"","family":"Lancashire","given":"L J","non-dropping-particle":"","parse-names":false,"suffix":""},{"dropping-particle":"","family":"Li","given":"Y","non-dropping-particle":"","parse-names":false,"suffix":""},{"dropping-particle":"","family":"Lu","given":"X X","non-dropping-particle":"","parse-names":false,"suffix":""},{"dropping-particle":"","family":"Luo","given":"H","non-dropping-particle":"","parse-names":false,"suffix":""},{"dropping-particle":"","family":"Ma","given":"X","non-dropping-particle":"","parse-names":false,"suffix":""},{"dropping-particle":"","family":"Ning","given":"B","non-dropping-particle":"","parse-names":false,"suffix":""},{"dropping-particle":"","family":"Noguera","given":"R","non-dropping-particle":"","parse-names":false,"suffix":""},{"dropping-particle":"","family":"Peifer","given":"M","non-dropping-particle":"","parse-names":false,"suffix":""},{"dropping-particle":"","family":"Phan","given":"J H","non-dropping-particle":"","parse-names":false,"suffix":""},{"dropping-particle":"","family":"Roels","given":"F","non-dropping-particle":"","parse-names":false,"suffix":""},{"dropping-particle":"","family":"Rosswog","given":"C","non-dropping-particle":"","parse-names":false,"suffix":""},{"dropping-particle":"","family":"Shao","given":"S","non-dropping-particle":"","parse-names":false,"suffix":""},{"dropping-particle":"","family":"Shen","given":"J","non-dropping-particle":"","parse-names":false,"suffix":""},{"dropping-particle":"","family":"Theissen","given":"J","non-dropping-particle":"","parse-names":false,"suffix":""},{"dropping-particle":"","family":"Tonini","given":"G P","non-dropping-particle":"","parse-names":false,"suffix":""},{"dropping-particle":"","family":"Vandesompele","given":"J","non-dropping-particle":"","parse-names":false,"suffix":""},{"dropping-particle":"","family":"Wu","given":"P Y","non-dropping-particle":"","parse-names":false,"suffix":""},{"dropping-particle":"","family":"Xiao","given":"W","non-dropping-particle":"","parse-names":false,"suffix":""},{"dropping-particle":"","family":"Xu","given":"J","non-dropping-particle":"","parse-names":false,"suffix":""},{"dropping-particle":"","family":"Xu","given":"W","non-dropping-particle":"","parse-names":false,"suffix":""},{"dropping-particle":"","family":"Xuan","given":"J","non-dropping-particle":"","parse-names":false,"suffix":""},{"dropping-particle":"","family":"Yang","given":"Y","non-dropping-particle":"","parse-names":false,"suffix":""},{"dropping-particle":"","family":"Ye","given":"Z","non-dropping-particle":"","parse-names":false,"suffix":""},{"dropping-particle":"","family":"Dong","given":"Z","non-dropping-particle":"","parse-names":false,"suffix":""},{"dropping-particle":"","family":"Zhang","given":"K K","non-dropping-particle":"","parse-names":false,"suffix":""},{"dropping-particle":"","family":"Yin","given":"Y","non-dropping-particle":"","parse-names":false,"suffix":""},{"dropping-particle":"","family":"Zhao","given":"C","non-dropping-particle":"","parse-names":false,"suffix":""},{"dropping-particle":"","family":"Zheng","given":"Y","non-dropping-particle":"","parse-names":false,"suffix":""},{"dropping-particle":"","family":"Wolfinger","given":"R D","non-dropping-particle":"","parse-names":false,"suffix":""},{"dropping-particle":"","family":"Shi","given":"T","non-dropping-particle":"","parse-names":false,"suffix":""},{"dropping-particle":"","family":"Malkas","given":"L H","non-dropping-particle":"","parse-names":false,"suffix":""},{"dropping-particle":"","family":"Berthold","given":"F","non-dropping-particle":"","parse-names":false,"suffix":""},{"dropping-particle":"","family":"Wang","given":"J","non-dropping-particle":"","parse-names":false,"suffix":""},{"dropping-particle":"","family":"Tong","given":"W","non-dropping-particle":"","parse-names":false,"suffix":""},{"dropping-particle":"","family":"Shi","given":"L","non-dropping-particle":"","parse-names":false,"suffix":""},{"dropping-particle":"","family":"Peng","given":"Z","non-dropping-particle":"","parse-names":false,"suffix":""},{"dropping-particle":"","family":"Fischer","given":"M","non-dropping-particle":"","parse-names":false,"suffix":""}],"container-title":"Genome Biol","id":"ITEM-1","issued":{"date-parts":[["2015"]]},"note":"Zhang, Wenqian\nYu, Ying\nHertwig, Falk\nThierry-Mieg, Jean\nZhang, Wenwei\nThierry-Mieg, Danielle\nWang, Jian\nFurlanello, Cesare\nDevanarayan, Viswanath\nCheng, Jie\nDeng, Youping\nHero, Barbara\nHong, Huixiao\nJia, Meiwen\nLi, Li\nLin, Simon M\nNikolsky, Yuri\nOberthuer, Andre\nQing, Tao\nSu, Zhenqiang\nVolland, Ruth\nWang, Charles\nWang, May D\nAi, Junmei\nAlbanese, Davide\nAsgharzadeh, Shahab\nAvigad, Smadar\nBao, Wenjun\nBessarabova, Marina\nBrilliant, Murray H\nBrors, Benedikt\nChierici, Marco\nChu, Tzu-Ming\nZhang, Jibin\nGrundy, Richard G\nHe, Min Max\nHebbring, Scott\nKaufman, Howard L\nLababidi, Samir\nLancashire, Lee J\nLi, Yan\nLu, Xin X\nLuo, Heng\nMa, Xiwen\nNing, Baitang\nNoguera, Rosa\nPeifer, Martin\nPhan, John H\nRoels, Frederik\nRosswog, Carolina\nShao, Susan\nShen, Jie\nTheissen, Jessica\nTonini, Gian Paolo\nVandesompele, Jo\nWu, Po-Yen\nXiao, Wenzhong\nXu, Joshua\nXu, Weihong\nXuan, Jiekun\nYang, Yong\nYe, Zhan\nDong, Zirui\nZhang, Ke K\nYin, Ye\nZhao, Chen\nZheng, Yuanting\nWolfinger, Russell D\nShi, Tieliu\nMalkas, Linda H\nBerthold, Frank\nWang, Jun\nTong, Weida\nShi, Leming\nPeng, Zhiyu\nFischer, Matthias\neng\nR01 CA163256/CA/NCI NIH HHS/\nP01 HG000205/HG/NHGRI NIH HHS/\nU54CA119338/CA/NCI NIH HHS/\nR21 AA020104/AA/NIAAA NIH HHS/\nU54 CA119338/CA/NCI NIH HHS/\nR01CA163256/CA/NCI NIH HHS/\n1RC2CA148265/CA/NCI NIH HHS/\nRC2 CA148265/CA/NCI NIH HHS/\nComparative Study\nEvaluation Studies\nResearch Support, N.I.H., Extramural\nResearch Support, Non-U.S. Gov't\nEngland\n2015/06/26 06:00\nGenome Biol. 2015 Jun 25;16:133. doi: 10.1186/s13059-015-0694-1.","page":"133","title":"Comparison of RNA-seq and microarray-based models for clinical endpoint prediction","type":"article-journal","volume":"16"},"uris":["http://www.mendeley.com/documents/?uuid=21379eb8-c072-4ca1-ad40-8700f4f3f313","http://www.mendeley.com/documents/?uuid=b90344df-6c83-4299-930b-b95bae1ef47c"]}],"mendeley":{"formattedCitation":"&lt;sup&gt;28&lt;/sup&gt;","plainTextFormattedCitation":"28","previouslyFormattedCitation":"&lt;sup&gt;28&lt;/sup&gt;"},"properties":{"noteIndex":0},"schema":"https://github.com/citation-style-language/schema/raw/master/csl-citation.json"}</w:instrText>
      </w:r>
      <w:r w:rsidR="003A1428" w:rsidRPr="007D59B1">
        <w:rPr>
          <w:rFonts w:cs="Arial"/>
          <w:sz w:val="22"/>
          <w:szCs w:val="22"/>
        </w:rPr>
        <w:fldChar w:fldCharType="separate"/>
      </w:r>
      <w:r w:rsidR="00394C69" w:rsidRPr="007D59B1">
        <w:rPr>
          <w:rFonts w:cs="Arial"/>
          <w:noProof/>
          <w:sz w:val="22"/>
          <w:szCs w:val="22"/>
          <w:vertAlign w:val="superscript"/>
        </w:rPr>
        <w:t>28</w:t>
      </w:r>
      <w:r w:rsidR="003A1428" w:rsidRPr="007D59B1">
        <w:rPr>
          <w:rFonts w:cs="Arial"/>
          <w:sz w:val="22"/>
          <w:szCs w:val="22"/>
        </w:rPr>
        <w:fldChar w:fldCharType="end"/>
      </w:r>
      <w:r w:rsidRPr="007D59B1">
        <w:rPr>
          <w:rFonts w:cs="Arial"/>
          <w:sz w:val="22"/>
          <w:szCs w:val="22"/>
        </w:rPr>
        <w:t xml:space="preserve">. The cut-off method was selected as scan to determine the optimal threshold for each gene, and significance was assessed by log-rank test. The </w:t>
      </w:r>
      <w:r w:rsidRPr="007D59B1">
        <w:rPr>
          <w:rFonts w:cs="Arial"/>
          <w:i/>
          <w:sz w:val="22"/>
          <w:szCs w:val="22"/>
        </w:rPr>
        <w:t>p</w:t>
      </w:r>
      <w:r w:rsidRPr="007D59B1">
        <w:rPr>
          <w:rFonts w:cs="Arial"/>
          <w:sz w:val="22"/>
          <w:szCs w:val="22"/>
        </w:rPr>
        <w:t>-values were corrected for multiple testing using the Bonferroni method.</w:t>
      </w:r>
      <w:r w:rsidR="00E56CE7" w:rsidRPr="007D59B1">
        <w:rPr>
          <w:rFonts w:cs="Arial"/>
          <w:sz w:val="22"/>
          <w:szCs w:val="22"/>
        </w:rPr>
        <w:t xml:space="preserve"> </w:t>
      </w:r>
      <w:r w:rsidR="00251211" w:rsidRPr="007D59B1">
        <w:rPr>
          <w:rFonts w:cs="Arial"/>
          <w:color w:val="000000" w:themeColor="text1"/>
          <w:sz w:val="22"/>
          <w:szCs w:val="22"/>
        </w:rPr>
        <w:t xml:space="preserve">The </w:t>
      </w:r>
      <w:r w:rsidR="00E56CE7" w:rsidRPr="007D59B1">
        <w:rPr>
          <w:rFonts w:cs="Arial"/>
          <w:color w:val="000000" w:themeColor="text1"/>
          <w:sz w:val="22"/>
          <w:szCs w:val="22"/>
        </w:rPr>
        <w:t xml:space="preserve">Hazard ratio was determined through a Cox proportional hazards model using the </w:t>
      </w:r>
      <w:proofErr w:type="spellStart"/>
      <w:r w:rsidR="00E56CE7" w:rsidRPr="007D59B1">
        <w:rPr>
          <w:rFonts w:cs="Arial"/>
          <w:color w:val="000000" w:themeColor="text1"/>
          <w:sz w:val="22"/>
          <w:szCs w:val="22"/>
        </w:rPr>
        <w:t>coxph</w:t>
      </w:r>
      <w:proofErr w:type="spellEnd"/>
      <w:r w:rsidR="00E56CE7" w:rsidRPr="007D59B1">
        <w:rPr>
          <w:rFonts w:cs="Arial"/>
          <w:color w:val="000000" w:themeColor="text1"/>
          <w:sz w:val="22"/>
          <w:szCs w:val="22"/>
        </w:rPr>
        <w:t xml:space="preserve"> function in the survival package in R.</w:t>
      </w:r>
      <w:r w:rsidR="00095629">
        <w:rPr>
          <w:rFonts w:cs="Arial"/>
          <w:color w:val="000000" w:themeColor="text1"/>
          <w:sz w:val="22"/>
          <w:szCs w:val="22"/>
        </w:rPr>
        <w:t xml:space="preserve"> </w:t>
      </w:r>
      <w:r w:rsidR="004F24F9">
        <w:rPr>
          <w:rFonts w:cs="Arial"/>
          <w:color w:val="000000" w:themeColor="text1"/>
          <w:sz w:val="22"/>
          <w:szCs w:val="22"/>
        </w:rPr>
        <w:t xml:space="preserve">The data </w:t>
      </w:r>
      <w:proofErr w:type="spellStart"/>
      <w:r w:rsidR="004F24F9">
        <w:rPr>
          <w:rFonts w:cs="Arial"/>
          <w:color w:val="000000" w:themeColor="text1"/>
          <w:sz w:val="22"/>
          <w:szCs w:val="22"/>
        </w:rPr>
        <w:t>analyzed</w:t>
      </w:r>
      <w:proofErr w:type="spellEnd"/>
      <w:r w:rsidR="004F24F9">
        <w:rPr>
          <w:rFonts w:cs="Arial"/>
          <w:color w:val="000000" w:themeColor="text1"/>
          <w:sz w:val="22"/>
          <w:szCs w:val="22"/>
        </w:rPr>
        <w:t xml:space="preserve"> in Supplementary </w:t>
      </w:r>
      <w:proofErr w:type="spellStart"/>
      <w:r w:rsidR="00771E27">
        <w:rPr>
          <w:rFonts w:cs="Arial"/>
          <w:color w:val="000000" w:themeColor="text1"/>
          <w:sz w:val="22"/>
          <w:szCs w:val="22"/>
        </w:rPr>
        <w:t>Fig.</w:t>
      </w:r>
      <w:r w:rsidR="0042177E">
        <w:rPr>
          <w:rFonts w:cs="Arial"/>
          <w:color w:val="000000" w:themeColor="text1"/>
          <w:sz w:val="22"/>
          <w:szCs w:val="22"/>
        </w:rPr>
        <w:t>s</w:t>
      </w:r>
      <w:proofErr w:type="spellEnd"/>
      <w:r w:rsidR="004F24F9">
        <w:rPr>
          <w:rFonts w:cs="Arial"/>
          <w:color w:val="000000" w:themeColor="text1"/>
          <w:sz w:val="22"/>
          <w:szCs w:val="22"/>
        </w:rPr>
        <w:t xml:space="preserve"> 8d</w:t>
      </w:r>
      <w:r w:rsidR="0042177E">
        <w:rPr>
          <w:rFonts w:cs="Arial"/>
          <w:color w:val="000000" w:themeColor="text1"/>
          <w:sz w:val="22"/>
          <w:szCs w:val="22"/>
        </w:rPr>
        <w:t xml:space="preserve"> and </w:t>
      </w:r>
      <w:r w:rsidR="004F24F9">
        <w:rPr>
          <w:rFonts w:cs="Arial"/>
          <w:color w:val="000000" w:themeColor="text1"/>
          <w:sz w:val="22"/>
          <w:szCs w:val="22"/>
        </w:rPr>
        <w:t xml:space="preserve">e </w:t>
      </w:r>
      <w:r w:rsidR="004F24F9" w:rsidRPr="004F24F9">
        <w:rPr>
          <w:rFonts w:cs="Arial"/>
          <w:color w:val="000000" w:themeColor="text1"/>
          <w:sz w:val="22"/>
          <w:szCs w:val="22"/>
        </w:rPr>
        <w:t>can be accessed through</w:t>
      </w:r>
      <w:r w:rsidR="004F24F9">
        <w:rPr>
          <w:rFonts w:cs="Arial"/>
          <w:color w:val="000000" w:themeColor="text1"/>
          <w:sz w:val="22"/>
          <w:szCs w:val="22"/>
        </w:rPr>
        <w:t xml:space="preserve"> </w:t>
      </w:r>
      <w:proofErr w:type="spellStart"/>
      <w:r w:rsidR="004F24F9" w:rsidRPr="004F24F9">
        <w:rPr>
          <w:rFonts w:cs="Arial"/>
          <w:color w:val="000000" w:themeColor="text1"/>
          <w:sz w:val="22"/>
          <w:szCs w:val="22"/>
        </w:rPr>
        <w:t>ArrayExpress</w:t>
      </w:r>
      <w:proofErr w:type="spellEnd"/>
      <w:r w:rsidR="004F24F9" w:rsidRPr="004F24F9">
        <w:rPr>
          <w:rFonts w:cs="Arial"/>
          <w:color w:val="000000" w:themeColor="text1"/>
          <w:sz w:val="22"/>
          <w:szCs w:val="22"/>
        </w:rPr>
        <w:t xml:space="preserve"> (accession number E-MTAB-320</w:t>
      </w:r>
      <w:r w:rsidR="004F24F9">
        <w:rPr>
          <w:rFonts w:cs="Arial"/>
          <w:color w:val="000000" w:themeColor="text1"/>
          <w:sz w:val="22"/>
          <w:szCs w:val="22"/>
        </w:rPr>
        <w:t>5</w:t>
      </w:r>
      <w:r w:rsidR="004F24F9" w:rsidRPr="004F24F9">
        <w:rPr>
          <w:rFonts w:cs="Arial"/>
          <w:color w:val="000000" w:themeColor="text1"/>
          <w:sz w:val="22"/>
          <w:szCs w:val="22"/>
        </w:rPr>
        <w:t>)</w:t>
      </w:r>
      <w:r w:rsidR="004F24F9">
        <w:rPr>
          <w:rFonts w:cs="Arial"/>
          <w:color w:val="000000" w:themeColor="text1"/>
          <w:sz w:val="22"/>
          <w:szCs w:val="22"/>
        </w:rPr>
        <w:fldChar w:fldCharType="begin" w:fldLock="1"/>
      </w:r>
      <w:r w:rsidR="004F24F9">
        <w:rPr>
          <w:rFonts w:cs="Arial"/>
          <w:color w:val="000000" w:themeColor="text1"/>
          <w:sz w:val="22"/>
          <w:szCs w:val="22"/>
        </w:rPr>
        <w:instrText>ADDIN CSL_CITATION {"citationItems":[{"id":"ITEM-1","itemData":{"DOI":"10.1158/1078-0432.CCR-14-2024","ISSN":"1078-0432","PMID":"25805801","abstract":"PURPOSE Activating ALK mutations are present in almost 10% of primary neuroblastomas and mark patients for treatment with small-molecule ALK inhibitors in clinical trials. However, recent studies have shown that multiple mechanisms drive resistance to these molecular therapies. We anticipated that detailed mapping of the oncogenic ALK-driven signaling in neuroblastoma can aid to identify potential fragile nodes as additional targets for combination therapies. EXPERIMENTAL DESIGN To achieve this goal, transcriptome profiling was performed in neuroblastoma cell lines with the ALK(F1174L) or ALK(R1275Q) hotspot mutations, ALK amplification, or wild-type ALK following pharmacologic inhibition of ALK using four different compounds. Next, we performed cross-species genomic analyses to identify commonly transcriptionally perturbed genes in MYCN/ALK(F1174L) double transgenic versus MYCN transgenic mouse tumors as compared with the mutant ALK-driven transcriptome in human neuroblastomas. RESULTS A 77-gene ALK signature was established and successfully validated in primary neuroblastoma samples, in a neuroblastoma cell line with ALK(F1174L) and ALK(R1275Q) regulable overexpression constructs and in other ALKomas. In addition to the previously established PI3K/AKT/mTOR, MAPK/ERK, and MYC/MYCN signaling branches, we identified that mutant ALK drives a strong upregulation of MAPK negative feedback regulators and upregulates RET and RET-driven sympathetic neuronal markers of the cholinergic lineage. CONCLUSIONS We provide important novel insights into the transcriptional consequences and the complexity of mutant ALK signaling in this aggressive pediatric tumor. The negative feedback loop of MAPK pathway inhibitors may affect novel ALK inhibition therapies, whereas mutant ALK induced RET signaling can offer novel opportunities for testing ALK-RET oriented molecular combination therapies.","author":[{"dropping-particle":"","family":"Lambertz","given":"I.","non-dropping-particle":"","parse-names":false,"suffix":""},{"dropping-particle":"","family":"Kumps","given":"C.","non-dropping-particle":"","parse-names":false,"suffix":""},{"dropping-particle":"","family":"Claeys","given":"S.","non-dropping-particle":"","parse-names":false,"suffix":""},{"dropping-particle":"","family":"Lindner","given":"S.","non-dropping-particle":"","parse-names":false,"suffix":""},{"dropping-particle":"","family":"Beckers","given":"A.","non-dropping-particle":"","parse-names":false,"suffix":""},{"dropping-particle":"","family":"Janssens","given":"E.","non-dropping-particle":"","parse-names":false,"suffix":""},{"dropping-particle":"","family":"Carter","given":"D. R.","non-dropping-particle":"","parse-names":false,"suffix":""},{"dropping-particle":"","family":"Cazes","given":"A.","non-dropping-particle":"","parse-names":false,"suffix":""},{"dropping-particle":"","family":"Cheung","given":"B. B.","non-dropping-particle":"","parse-names":false,"suffix":""},{"dropping-particle":"","family":"Mariano","given":"M.","non-dropping-particle":"De","parse-names":false,"suffix":""},{"dropping-particle":"","family":"Bondt","given":"A.","non-dropping-particle":"De","parse-names":false,"suffix":""},{"dropping-particle":"","family":"Brouwer","given":"S.","non-dropping-particle":"De","parse-names":false,"suffix":""},{"dropping-particle":"","family":"Delattre","given":"O.","non-dropping-particle":"","parse-names":false,"suffix":""},{"dropping-particle":"","family":"Gibbons","given":"J.","non-dropping-particle":"","parse-names":false,"suffix":""},{"dropping-particle":"","family":"Janoueix-Lerosey","given":"I.","non-dropping-particle":"","parse-names":false,"suffix":""},{"dropping-particle":"","family":"Laureys","given":"G.","non-dropping-particle":"","parse-names":false,"suffix":""},{"dropping-particle":"","family":"Liang","given":"C.","non-dropping-particle":"","parse-names":false,"suffix":""},{"dropping-particle":"","family":"Marchall","given":"G. M.","non-dropping-particle":"","parse-names":false,"suffix":""},{"dropping-particle":"","family":"Porcu","given":"M.","non-dropping-particle":"","parse-names":false,"suffix":""},{"dropping-particle":"","family":"Takita","given":"J.","non-dropping-particle":"","parse-names":false,"suffix":""},{"dropping-particle":"","family":"Trujillo","given":"D. C.","non-dropping-particle":"","parse-names":false,"suffix":""},{"dropping-particle":"","family":"Wyngaert","given":"I.","non-dropping-particle":"Van Den","parse-names":false,"suffix":""},{"dropping-particle":"","family":"Roy","given":"N.","non-dropping-particle":"Van","parse-names":false,"suffix":""},{"dropping-particle":"","family":"Goethem","given":"A.","non-dropping-particle":"Van","parse-names":false,"suffix":""},{"dropping-particle":"","family":"Maerken","given":"T.","non-dropping-particle":"Van","parse-names":false,"suffix":""},{"dropping-particle":"","family":"Zabrocki","given":"P.","non-dropping-particle":"","parse-names":false,"suffix":""},{"dropping-particle":"","family":"Cools","given":"J.","non-dropping-particle":"","parse-names":false,"suffix":""},{"dropping-particle":"","family":"Schulte","given":"J. H.","non-dropping-particle":"","parse-names":false,"suffix":""},{"dropping-particle":"","family":"Vialard","given":"J.","non-dropping-particle":"","parse-names":false,"suffix":""},{"dropping-particle":"","family":"Speleman","given":"F.","non-dropping-particle":"","parse-names":false,"suffix":""},{"dropping-particle":"","family":"Preter","given":"K.","non-dropping-particle":"De","parse-names":false,"suffix":""}],"container-title":"Clinical Cancer Research","id":"ITEM-1","issue":"14","issued":{"date-parts":[["2015","7","15"]]},"page":"3327-3339","title":"Upregulation of MAPK Negative Feedback Regulators and RET in Mutant ALK Neuroblastoma: Implications for Targeted Treatment","type":"article-journal","volume":"21"},"uris":["http://www.mendeley.com/documents/?uuid=f9d2f58d-52a0-3750-8513-c9cbec2168de"]}],"mendeley":{"formattedCitation":"&lt;sup&gt;49&lt;/sup&gt;","plainTextFormattedCitation":"49"},"properties":{"noteIndex":0},"schema":"https://github.com/citation-style-language/schema/raw/master/csl-citation.json"}</w:instrText>
      </w:r>
      <w:r w:rsidR="004F24F9">
        <w:rPr>
          <w:rFonts w:cs="Arial"/>
          <w:color w:val="000000" w:themeColor="text1"/>
          <w:sz w:val="22"/>
          <w:szCs w:val="22"/>
        </w:rPr>
        <w:fldChar w:fldCharType="separate"/>
      </w:r>
      <w:r w:rsidR="004F24F9" w:rsidRPr="004F24F9">
        <w:rPr>
          <w:rFonts w:cs="Arial"/>
          <w:noProof/>
          <w:color w:val="000000" w:themeColor="text1"/>
          <w:sz w:val="22"/>
          <w:szCs w:val="22"/>
          <w:vertAlign w:val="superscript"/>
        </w:rPr>
        <w:t>49</w:t>
      </w:r>
      <w:r w:rsidR="004F24F9">
        <w:rPr>
          <w:rFonts w:cs="Arial"/>
          <w:color w:val="000000" w:themeColor="text1"/>
          <w:sz w:val="22"/>
          <w:szCs w:val="22"/>
        </w:rPr>
        <w:fldChar w:fldCharType="end"/>
      </w:r>
      <w:r w:rsidR="004F24F9">
        <w:rPr>
          <w:rFonts w:cs="Arial"/>
          <w:color w:val="000000" w:themeColor="text1"/>
          <w:sz w:val="22"/>
          <w:szCs w:val="22"/>
        </w:rPr>
        <w:t>.</w:t>
      </w:r>
      <w:r w:rsidR="00095629" w:rsidRPr="00506298">
        <w:rPr>
          <w:rFonts w:cs="Arial"/>
          <w:sz w:val="22"/>
          <w:szCs w:val="22"/>
        </w:rPr>
        <w:t xml:space="preserve"> </w:t>
      </w:r>
    </w:p>
    <w:p w14:paraId="3E17DEAC" w14:textId="77777777" w:rsidR="00202A3C" w:rsidRPr="007D59B1" w:rsidRDefault="00202A3C" w:rsidP="00202A3C">
      <w:pPr>
        <w:spacing w:line="360" w:lineRule="auto"/>
        <w:jc w:val="both"/>
        <w:rPr>
          <w:rFonts w:cs="Arial"/>
          <w:sz w:val="22"/>
          <w:szCs w:val="22"/>
        </w:rPr>
      </w:pPr>
    </w:p>
    <w:p w14:paraId="37229D34" w14:textId="40F1D097" w:rsidR="00202A3C" w:rsidRPr="007D59B1" w:rsidRDefault="00202A3C" w:rsidP="00202A3C">
      <w:pPr>
        <w:spacing w:line="360" w:lineRule="auto"/>
        <w:jc w:val="both"/>
        <w:rPr>
          <w:rFonts w:cs="Arial"/>
          <w:sz w:val="22"/>
          <w:szCs w:val="22"/>
        </w:rPr>
      </w:pPr>
      <w:r w:rsidRPr="007D59B1">
        <w:rPr>
          <w:rFonts w:cs="Arial"/>
          <w:b/>
          <w:sz w:val="22"/>
          <w:szCs w:val="22"/>
        </w:rPr>
        <w:t>Immunoblot a</w:t>
      </w:r>
      <w:r w:rsidR="00144F8D" w:rsidRPr="007D59B1">
        <w:rPr>
          <w:rFonts w:cs="Arial"/>
          <w:b/>
          <w:sz w:val="22"/>
          <w:szCs w:val="22"/>
        </w:rPr>
        <w:t xml:space="preserve">nalysis. </w:t>
      </w:r>
      <w:r w:rsidRPr="007D59B1">
        <w:rPr>
          <w:rFonts w:cs="Arial"/>
          <w:sz w:val="22"/>
          <w:szCs w:val="22"/>
        </w:rPr>
        <w:t xml:space="preserve">Adherent cells were washed and lysates prepared with pre-chilled RIPA Lysis and Extraction Buffer (Thermo Fisher Scientific, Cat#89900) supplemented with 1% Halt Protease and Phosphatase Inhibitor Cocktail (Thermo Fisher Scientific, Cat#78440). Around 50 µg protein lysate per sample was resolved by SDS-PAGE and transferred to a 0.45 µm PVDF membrane for 2.5 hours at 80 V according to the manufacturer’s protocol (Bio-Rad). The membrane was blocked in 5% BSA and blotted with antibodies overnight at 4⁰C. Primary </w:t>
      </w:r>
      <w:r w:rsidRPr="007D59B1">
        <w:rPr>
          <w:rFonts w:cs="Arial"/>
          <w:color w:val="000000" w:themeColor="text1"/>
          <w:sz w:val="22"/>
          <w:szCs w:val="22"/>
        </w:rPr>
        <w:t>antibodies were as follows</w:t>
      </w:r>
      <w:r w:rsidR="00987DFA">
        <w:rPr>
          <w:rFonts w:cs="Arial"/>
          <w:color w:val="000000" w:themeColor="text1"/>
          <w:sz w:val="22"/>
          <w:szCs w:val="22"/>
        </w:rPr>
        <w:t xml:space="preserve"> and diluted 1:1000 unless specified otherwise</w:t>
      </w:r>
      <w:r w:rsidRPr="007D59B1">
        <w:rPr>
          <w:rFonts w:cs="Arial"/>
          <w:color w:val="000000" w:themeColor="text1"/>
          <w:sz w:val="22"/>
          <w:szCs w:val="22"/>
        </w:rPr>
        <w:t>:</w:t>
      </w:r>
      <w:r w:rsidR="00914E7B" w:rsidRPr="007D59B1">
        <w:rPr>
          <w:rFonts w:cs="Arial"/>
          <w:color w:val="000000" w:themeColor="text1"/>
          <w:sz w:val="22"/>
          <w:szCs w:val="22"/>
        </w:rPr>
        <w:t xml:space="preserve"> </w:t>
      </w:r>
      <w:r w:rsidRPr="007D59B1">
        <w:rPr>
          <w:rFonts w:cs="Arial"/>
          <w:color w:val="000000" w:themeColor="text1"/>
          <w:sz w:val="22"/>
          <w:szCs w:val="22"/>
        </w:rPr>
        <w:t xml:space="preserve">anti-BAD (CST, Cat#9292), anti-phospho-BAD (Ser112) (CST, Cat#9291), anti-BAX (CST, Cat#5023), anti-BCL-2 (CST, Cat#4223), anti-PIM1 (CST, Cat#2907), anti-PRAS40 (CST, Cat#2691), anti-phospho-PRAS40 (Thr246) (CST, Cat#13175), </w:t>
      </w:r>
      <w:r w:rsidR="00D94505" w:rsidRPr="007D59B1">
        <w:rPr>
          <w:rFonts w:cs="Arial"/>
          <w:color w:val="000000" w:themeColor="text1"/>
          <w:sz w:val="22"/>
          <w:szCs w:val="22"/>
        </w:rPr>
        <w:t>anti-AKT (CST, Cat#9272), anti-</w:t>
      </w:r>
      <w:proofErr w:type="spellStart"/>
      <w:r w:rsidR="00D94505" w:rsidRPr="007D59B1">
        <w:rPr>
          <w:rFonts w:cs="Arial"/>
          <w:color w:val="000000" w:themeColor="text1"/>
          <w:sz w:val="22"/>
          <w:szCs w:val="22"/>
        </w:rPr>
        <w:t>pAKT</w:t>
      </w:r>
      <w:proofErr w:type="spellEnd"/>
      <w:r w:rsidR="00D94505" w:rsidRPr="007D59B1">
        <w:rPr>
          <w:rFonts w:cs="Arial"/>
          <w:color w:val="000000" w:themeColor="text1"/>
          <w:sz w:val="22"/>
          <w:szCs w:val="22"/>
        </w:rPr>
        <w:t xml:space="preserve"> (CST, Cat#9271), anti-ALK (CST, Cat#3633), anti-</w:t>
      </w:r>
      <w:proofErr w:type="spellStart"/>
      <w:r w:rsidR="00D94505" w:rsidRPr="007D59B1">
        <w:rPr>
          <w:rFonts w:cs="Arial"/>
          <w:color w:val="000000" w:themeColor="text1"/>
          <w:sz w:val="22"/>
          <w:szCs w:val="22"/>
        </w:rPr>
        <w:t>pALK</w:t>
      </w:r>
      <w:proofErr w:type="spellEnd"/>
      <w:r w:rsidR="00D94505" w:rsidRPr="007D59B1">
        <w:rPr>
          <w:rFonts w:cs="Arial"/>
          <w:color w:val="000000" w:themeColor="text1"/>
          <w:sz w:val="22"/>
          <w:szCs w:val="22"/>
        </w:rPr>
        <w:t xml:space="preserve"> (CST, Cat#3341), anti-GAPDH (</w:t>
      </w:r>
      <w:r w:rsidR="003861EB" w:rsidRPr="007D59B1">
        <w:rPr>
          <w:rFonts w:cs="Arial"/>
          <w:color w:val="000000" w:themeColor="text1"/>
          <w:sz w:val="22"/>
          <w:szCs w:val="22"/>
        </w:rPr>
        <w:t>CST</w:t>
      </w:r>
      <w:r w:rsidR="00D94505" w:rsidRPr="007D59B1">
        <w:rPr>
          <w:rFonts w:cs="Arial"/>
          <w:color w:val="000000" w:themeColor="text1"/>
          <w:sz w:val="22"/>
          <w:szCs w:val="22"/>
        </w:rPr>
        <w:t>, Cat#</w:t>
      </w:r>
      <w:r w:rsidR="003861EB" w:rsidRPr="007D59B1">
        <w:rPr>
          <w:rFonts w:cs="Arial"/>
          <w:color w:val="000000" w:themeColor="text1"/>
          <w:sz w:val="22"/>
          <w:szCs w:val="22"/>
        </w:rPr>
        <w:t>97166</w:t>
      </w:r>
      <w:r w:rsidR="00987DFA">
        <w:rPr>
          <w:rFonts w:cs="Arial"/>
          <w:color w:val="000000" w:themeColor="text1"/>
          <w:sz w:val="22"/>
          <w:szCs w:val="22"/>
        </w:rPr>
        <w:t>; diluted 1:10,000</w:t>
      </w:r>
      <w:r w:rsidR="00D94505" w:rsidRPr="007D59B1">
        <w:rPr>
          <w:rFonts w:cs="Arial"/>
          <w:color w:val="000000" w:themeColor="text1"/>
          <w:sz w:val="22"/>
          <w:szCs w:val="22"/>
        </w:rPr>
        <w:t xml:space="preserve">), </w:t>
      </w:r>
      <w:r w:rsidRPr="007D59B1">
        <w:rPr>
          <w:rFonts w:cs="Arial"/>
          <w:color w:val="000000" w:themeColor="text1"/>
          <w:sz w:val="22"/>
          <w:szCs w:val="22"/>
        </w:rPr>
        <w:t>and anti-α-tubulin (CST, Cat#T9026</w:t>
      </w:r>
      <w:r w:rsidR="00987DFA">
        <w:rPr>
          <w:rFonts w:cs="Arial"/>
          <w:color w:val="000000" w:themeColor="text1"/>
          <w:sz w:val="22"/>
          <w:szCs w:val="22"/>
        </w:rPr>
        <w:t>; diluted 1:10,000</w:t>
      </w:r>
      <w:r w:rsidRPr="007D59B1">
        <w:rPr>
          <w:rFonts w:cs="Arial"/>
          <w:color w:val="000000" w:themeColor="text1"/>
          <w:sz w:val="22"/>
          <w:szCs w:val="22"/>
        </w:rPr>
        <w:t xml:space="preserve">). Membranes were then incubated with secondary antibodies for 1 hour at room temperature. </w:t>
      </w:r>
      <w:r w:rsidRPr="007D59B1">
        <w:rPr>
          <w:rFonts w:cs="Arial"/>
          <w:color w:val="000000" w:themeColor="text1"/>
          <w:sz w:val="22"/>
          <w:szCs w:val="22"/>
        </w:rPr>
        <w:lastRenderedPageBreak/>
        <w:t>Secondary antibodies were as follows</w:t>
      </w:r>
      <w:r w:rsidR="00987DFA">
        <w:rPr>
          <w:rFonts w:cs="Arial"/>
          <w:color w:val="000000" w:themeColor="text1"/>
          <w:sz w:val="22"/>
          <w:szCs w:val="22"/>
        </w:rPr>
        <w:t xml:space="preserve"> and diluted 1:10,000</w:t>
      </w:r>
      <w:r w:rsidRPr="007D59B1">
        <w:rPr>
          <w:rFonts w:cs="Arial"/>
          <w:color w:val="000000" w:themeColor="text1"/>
          <w:sz w:val="22"/>
          <w:szCs w:val="22"/>
        </w:rPr>
        <w:t>: anti-mouse HRP-immunoglobulins (</w:t>
      </w:r>
      <w:proofErr w:type="spellStart"/>
      <w:r w:rsidRPr="007D59B1">
        <w:rPr>
          <w:rFonts w:cs="Arial"/>
          <w:color w:val="000000" w:themeColor="text1"/>
          <w:sz w:val="22"/>
          <w:szCs w:val="22"/>
        </w:rPr>
        <w:t>Dako</w:t>
      </w:r>
      <w:proofErr w:type="spellEnd"/>
      <w:r w:rsidRPr="007D59B1">
        <w:rPr>
          <w:rFonts w:cs="Arial"/>
          <w:color w:val="000000" w:themeColor="text1"/>
          <w:sz w:val="22"/>
          <w:szCs w:val="22"/>
        </w:rPr>
        <w:t>, Cat#P0260) and anti-rabbit HRP-immunoglobulins (</w:t>
      </w:r>
      <w:proofErr w:type="spellStart"/>
      <w:r w:rsidRPr="007D59B1">
        <w:rPr>
          <w:rFonts w:cs="Arial"/>
          <w:color w:val="000000" w:themeColor="text1"/>
          <w:sz w:val="22"/>
          <w:szCs w:val="22"/>
        </w:rPr>
        <w:t>Dako</w:t>
      </w:r>
      <w:proofErr w:type="spellEnd"/>
      <w:r w:rsidRPr="007D59B1">
        <w:rPr>
          <w:rFonts w:cs="Arial"/>
          <w:sz w:val="22"/>
          <w:szCs w:val="22"/>
        </w:rPr>
        <w:t>, Cat#P0448). If required, membranes were stripped once with stripping buffer (2% SDS, 62.5 mM Tris HCl [pH 6.8], 0.8% β-</w:t>
      </w:r>
      <w:proofErr w:type="spellStart"/>
      <w:r w:rsidRPr="007D59B1">
        <w:rPr>
          <w:rFonts w:cs="Arial"/>
          <w:sz w:val="22"/>
          <w:szCs w:val="22"/>
        </w:rPr>
        <w:t>mercaptoethanol</w:t>
      </w:r>
      <w:proofErr w:type="spellEnd"/>
      <w:r w:rsidRPr="007D59B1">
        <w:rPr>
          <w:rFonts w:cs="Arial"/>
          <w:sz w:val="22"/>
          <w:szCs w:val="22"/>
        </w:rPr>
        <w:t xml:space="preserve">) and re-blocked. Membranes were developed with Immobilon Western Chemiluminescent HRP Substrate (Merck Millipore) and imaged with an </w:t>
      </w:r>
      <w:proofErr w:type="spellStart"/>
      <w:r w:rsidRPr="007D59B1">
        <w:rPr>
          <w:rFonts w:cs="Arial"/>
          <w:sz w:val="22"/>
          <w:szCs w:val="22"/>
        </w:rPr>
        <w:t>ImageQuant</w:t>
      </w:r>
      <w:proofErr w:type="spellEnd"/>
      <w:r w:rsidRPr="007D59B1">
        <w:rPr>
          <w:rFonts w:cs="Arial"/>
          <w:sz w:val="22"/>
          <w:szCs w:val="22"/>
        </w:rPr>
        <w:t xml:space="preserve"> LAS-4000 ima</w:t>
      </w:r>
      <w:r w:rsidR="00FE7137" w:rsidRPr="007D59B1">
        <w:rPr>
          <w:rFonts w:cs="Arial"/>
          <w:sz w:val="22"/>
          <w:szCs w:val="22"/>
        </w:rPr>
        <w:t>ging system (GE Life Sciences).</w:t>
      </w:r>
      <w:r w:rsidR="003C57D0">
        <w:rPr>
          <w:rFonts w:cs="Arial"/>
          <w:sz w:val="22"/>
          <w:szCs w:val="22"/>
        </w:rPr>
        <w:t xml:space="preserve"> Raw, unprocessed blots are presented for Fig 2c in the Source Data file.</w:t>
      </w:r>
    </w:p>
    <w:p w14:paraId="45F59B4C" w14:textId="77777777" w:rsidR="00202A3C" w:rsidRPr="007D59B1" w:rsidRDefault="00202A3C" w:rsidP="00202A3C">
      <w:pPr>
        <w:spacing w:line="360" w:lineRule="auto"/>
        <w:jc w:val="both"/>
        <w:rPr>
          <w:rFonts w:cs="Arial"/>
          <w:sz w:val="22"/>
          <w:szCs w:val="22"/>
        </w:rPr>
      </w:pPr>
    </w:p>
    <w:p w14:paraId="72D84298" w14:textId="17DBF591" w:rsidR="00202A3C" w:rsidRPr="00AF6D22" w:rsidRDefault="00202A3C" w:rsidP="003B023B">
      <w:pPr>
        <w:tabs>
          <w:tab w:val="left" w:pos="5100"/>
        </w:tabs>
        <w:spacing w:line="360" w:lineRule="auto"/>
        <w:jc w:val="both"/>
        <w:rPr>
          <w:rFonts w:cs="Arial"/>
          <w:sz w:val="22"/>
          <w:szCs w:val="22"/>
        </w:rPr>
      </w:pPr>
      <w:r w:rsidRPr="007D59B1">
        <w:rPr>
          <w:rFonts w:cs="Arial"/>
          <w:b/>
          <w:sz w:val="22"/>
          <w:szCs w:val="22"/>
        </w:rPr>
        <w:t>Mice and animal housing</w:t>
      </w:r>
      <w:r w:rsidR="00144F8D" w:rsidRPr="007D59B1">
        <w:rPr>
          <w:rFonts w:cs="Arial"/>
          <w:b/>
          <w:sz w:val="22"/>
          <w:szCs w:val="22"/>
        </w:rPr>
        <w:t xml:space="preserve">. </w:t>
      </w:r>
      <w:r w:rsidRPr="007D59B1">
        <w:rPr>
          <w:rFonts w:cs="Arial"/>
          <w:sz w:val="22"/>
          <w:szCs w:val="22"/>
        </w:rPr>
        <w:t xml:space="preserve">NOD </w:t>
      </w:r>
      <w:proofErr w:type="spellStart"/>
      <w:r w:rsidRPr="007D59B1">
        <w:rPr>
          <w:rFonts w:cs="Arial"/>
          <w:i/>
          <w:sz w:val="22"/>
          <w:szCs w:val="22"/>
        </w:rPr>
        <w:t>scid</w:t>
      </w:r>
      <w:proofErr w:type="spellEnd"/>
      <w:r w:rsidRPr="007D59B1">
        <w:rPr>
          <w:rFonts w:cs="Arial"/>
          <w:sz w:val="22"/>
          <w:szCs w:val="22"/>
        </w:rPr>
        <w:t xml:space="preserve"> gamma (NSG) </w:t>
      </w:r>
      <w:r w:rsidR="00A6611F">
        <w:rPr>
          <w:rFonts w:cs="Arial"/>
          <w:sz w:val="22"/>
          <w:szCs w:val="22"/>
        </w:rPr>
        <w:t xml:space="preserve">mice </w:t>
      </w:r>
      <w:r w:rsidRPr="007D59B1">
        <w:rPr>
          <w:rFonts w:cs="Arial"/>
          <w:sz w:val="22"/>
          <w:szCs w:val="22"/>
        </w:rPr>
        <w:t xml:space="preserve">were obtained from Charles River and housed in groups of 2-5. Animal work was carried out under UK Home Office licence </w:t>
      </w:r>
      <w:r w:rsidR="002A3C22">
        <w:rPr>
          <w:rFonts w:cs="Arial"/>
          <w:sz w:val="22"/>
          <w:szCs w:val="22"/>
        </w:rPr>
        <w:t xml:space="preserve">P4DBEFF63 </w:t>
      </w:r>
      <w:r w:rsidRPr="007D59B1">
        <w:rPr>
          <w:rFonts w:cs="Arial"/>
          <w:sz w:val="22"/>
          <w:szCs w:val="22"/>
        </w:rPr>
        <w:t xml:space="preserve">according to the Animals (Scientific Procedures) Act 1986, and was approved by the </w:t>
      </w:r>
      <w:r w:rsidR="006C6CFD" w:rsidRPr="007D59B1">
        <w:rPr>
          <w:rFonts w:cs="Arial"/>
          <w:sz w:val="22"/>
          <w:szCs w:val="22"/>
        </w:rPr>
        <w:t>University of Cambridge</w:t>
      </w:r>
      <w:r w:rsidRPr="007D59B1">
        <w:rPr>
          <w:rFonts w:cs="Arial"/>
          <w:sz w:val="22"/>
          <w:szCs w:val="22"/>
        </w:rPr>
        <w:t xml:space="preserve"> Animal Welfare and Ethical Review Body (</w:t>
      </w:r>
      <w:r w:rsidRPr="00AF6D22">
        <w:rPr>
          <w:rFonts w:cs="Arial"/>
          <w:sz w:val="22"/>
          <w:szCs w:val="22"/>
        </w:rPr>
        <w:t>AWERB).</w:t>
      </w:r>
      <w:r w:rsidR="00AF6D22" w:rsidRPr="00AF6D22">
        <w:rPr>
          <w:rFonts w:cs="Arial"/>
          <w:sz w:val="22"/>
          <w:szCs w:val="22"/>
        </w:rPr>
        <w:t xml:space="preserve"> </w:t>
      </w:r>
      <w:r w:rsidR="00AF6D22" w:rsidRPr="00845ECF">
        <w:rPr>
          <w:rFonts w:cs="Arial"/>
          <w:sz w:val="22"/>
          <w:szCs w:val="22"/>
          <w:lang w:val="en-US"/>
        </w:rPr>
        <w:t>We have complied with all relevant ethical regulations for animal testing and research in the UK.</w:t>
      </w:r>
    </w:p>
    <w:p w14:paraId="6D7FA672" w14:textId="77777777" w:rsidR="00202A3C" w:rsidRPr="007D59B1" w:rsidRDefault="00202A3C" w:rsidP="00202A3C">
      <w:pPr>
        <w:tabs>
          <w:tab w:val="left" w:pos="5100"/>
        </w:tabs>
        <w:spacing w:line="360" w:lineRule="auto"/>
        <w:jc w:val="both"/>
        <w:rPr>
          <w:rFonts w:cs="Arial"/>
          <w:b/>
          <w:sz w:val="22"/>
          <w:szCs w:val="22"/>
        </w:rPr>
      </w:pPr>
    </w:p>
    <w:p w14:paraId="79821DF9" w14:textId="3C7A27F9" w:rsidR="00202A3C" w:rsidRPr="007D59B1" w:rsidRDefault="00202A3C" w:rsidP="00202A3C">
      <w:pPr>
        <w:tabs>
          <w:tab w:val="left" w:pos="5100"/>
        </w:tabs>
        <w:spacing w:line="360" w:lineRule="auto"/>
        <w:jc w:val="both"/>
        <w:rPr>
          <w:rFonts w:cs="Arial"/>
          <w:sz w:val="22"/>
          <w:szCs w:val="22"/>
        </w:rPr>
      </w:pPr>
      <w:r w:rsidRPr="007D59B1">
        <w:rPr>
          <w:rFonts w:cs="Arial"/>
          <w:b/>
          <w:sz w:val="22"/>
          <w:szCs w:val="22"/>
        </w:rPr>
        <w:t>Xenograft study</w:t>
      </w:r>
      <w:r w:rsidR="00144F8D" w:rsidRPr="007D59B1">
        <w:rPr>
          <w:rFonts w:cs="Arial"/>
          <w:b/>
          <w:sz w:val="22"/>
          <w:szCs w:val="22"/>
        </w:rPr>
        <w:t xml:space="preserve">. </w:t>
      </w:r>
      <w:r w:rsidRPr="007D59B1">
        <w:rPr>
          <w:rFonts w:cs="Arial"/>
          <w:sz w:val="22"/>
          <w:szCs w:val="22"/>
        </w:rPr>
        <w:t>COG-N-426x and COG-N-453x patient-derived xenograft (PDX) cells were obtained from the Childhood Cancer Repository maintained by the Children’s Oncology Group (COG). Cells were suspended in Matrigel diluted 1:2 with PBS and 3 x 10</w:t>
      </w:r>
      <w:r w:rsidRPr="007D59B1">
        <w:rPr>
          <w:rFonts w:cs="Arial"/>
          <w:sz w:val="22"/>
          <w:szCs w:val="22"/>
          <w:vertAlign w:val="superscript"/>
        </w:rPr>
        <w:t>5</w:t>
      </w:r>
      <w:r w:rsidRPr="007D59B1">
        <w:rPr>
          <w:rFonts w:cs="Arial"/>
          <w:sz w:val="22"/>
          <w:szCs w:val="22"/>
        </w:rPr>
        <w:t xml:space="preserve"> cells (300 µL) injected into the left flank of NSG mice at 6-8 weeks of age. </w:t>
      </w:r>
      <w:proofErr w:type="spellStart"/>
      <w:r w:rsidRPr="007D59B1">
        <w:rPr>
          <w:rFonts w:cs="Arial"/>
          <w:sz w:val="22"/>
          <w:szCs w:val="22"/>
        </w:rPr>
        <w:t>Tumors</w:t>
      </w:r>
      <w:proofErr w:type="spellEnd"/>
      <w:r w:rsidRPr="007D59B1">
        <w:rPr>
          <w:rFonts w:cs="Arial"/>
          <w:sz w:val="22"/>
          <w:szCs w:val="22"/>
        </w:rPr>
        <w:t xml:space="preserve"> were measured daily with manual </w:t>
      </w:r>
      <w:proofErr w:type="spellStart"/>
      <w:r w:rsidRPr="007D59B1">
        <w:rPr>
          <w:rFonts w:cs="Arial"/>
          <w:sz w:val="22"/>
          <w:szCs w:val="22"/>
        </w:rPr>
        <w:t>calipers</w:t>
      </w:r>
      <w:proofErr w:type="spellEnd"/>
      <w:r w:rsidRPr="007D59B1">
        <w:rPr>
          <w:rFonts w:cs="Arial"/>
          <w:sz w:val="22"/>
          <w:szCs w:val="22"/>
        </w:rPr>
        <w:t xml:space="preserve"> and </w:t>
      </w:r>
      <w:proofErr w:type="spellStart"/>
      <w:r w:rsidRPr="007D59B1">
        <w:rPr>
          <w:rFonts w:cs="Arial"/>
          <w:sz w:val="22"/>
          <w:szCs w:val="22"/>
        </w:rPr>
        <w:t>tumor</w:t>
      </w:r>
      <w:proofErr w:type="spellEnd"/>
      <w:r w:rsidRPr="007D59B1">
        <w:rPr>
          <w:rFonts w:cs="Arial"/>
          <w:sz w:val="22"/>
          <w:szCs w:val="22"/>
        </w:rPr>
        <w:t xml:space="preserve"> volumes estimated using the modified ellipsoid formula: V = ab</w:t>
      </w:r>
      <w:r w:rsidRPr="007D59B1">
        <w:rPr>
          <w:rFonts w:cs="Arial"/>
          <w:sz w:val="22"/>
          <w:szCs w:val="22"/>
          <w:vertAlign w:val="superscript"/>
        </w:rPr>
        <w:t>2</w:t>
      </w:r>
      <w:r w:rsidRPr="007D59B1">
        <w:rPr>
          <w:rFonts w:cs="Arial"/>
          <w:sz w:val="22"/>
          <w:szCs w:val="22"/>
        </w:rPr>
        <w:t xml:space="preserve">/2, where a and b (a &gt; b) are length and width measurements. Once </w:t>
      </w:r>
      <w:proofErr w:type="spellStart"/>
      <w:r w:rsidRPr="007D59B1">
        <w:rPr>
          <w:rFonts w:cs="Arial"/>
          <w:sz w:val="22"/>
          <w:szCs w:val="22"/>
        </w:rPr>
        <w:t>tumors</w:t>
      </w:r>
      <w:proofErr w:type="spellEnd"/>
      <w:r w:rsidRPr="007D59B1">
        <w:rPr>
          <w:rFonts w:cs="Arial"/>
          <w:sz w:val="22"/>
          <w:szCs w:val="22"/>
        </w:rPr>
        <w:t xml:space="preserve"> </w:t>
      </w:r>
      <w:r w:rsidRPr="007D59B1">
        <w:rPr>
          <w:rFonts w:cs="Arial"/>
          <w:color w:val="000000" w:themeColor="text1"/>
          <w:sz w:val="22"/>
          <w:szCs w:val="22"/>
        </w:rPr>
        <w:t xml:space="preserve">reached </w:t>
      </w:r>
      <w:r w:rsidR="00C560C5" w:rsidRPr="007D59B1">
        <w:rPr>
          <w:rFonts w:cs="Arial"/>
          <w:color w:val="000000" w:themeColor="text1"/>
          <w:sz w:val="22"/>
          <w:szCs w:val="22"/>
        </w:rPr>
        <w:t xml:space="preserve">approximately </w:t>
      </w:r>
      <w:r w:rsidRPr="007D59B1">
        <w:rPr>
          <w:rFonts w:cs="Arial"/>
          <w:color w:val="000000" w:themeColor="text1"/>
          <w:sz w:val="22"/>
          <w:szCs w:val="22"/>
        </w:rPr>
        <w:t>75 mm</w:t>
      </w:r>
      <w:r w:rsidRPr="007D59B1">
        <w:rPr>
          <w:rFonts w:cs="Arial"/>
          <w:color w:val="000000" w:themeColor="text1"/>
          <w:sz w:val="22"/>
          <w:szCs w:val="22"/>
          <w:vertAlign w:val="superscript"/>
        </w:rPr>
        <w:t>3</w:t>
      </w:r>
      <w:r w:rsidRPr="007D59B1">
        <w:rPr>
          <w:rFonts w:cs="Arial"/>
          <w:color w:val="000000" w:themeColor="text1"/>
          <w:sz w:val="22"/>
          <w:szCs w:val="22"/>
        </w:rPr>
        <w:t xml:space="preserve">, mice were randomly </w:t>
      </w:r>
      <w:r w:rsidR="00251211" w:rsidRPr="007D59B1">
        <w:rPr>
          <w:rFonts w:cs="Arial"/>
          <w:color w:val="000000" w:themeColor="text1"/>
          <w:sz w:val="22"/>
          <w:szCs w:val="22"/>
        </w:rPr>
        <w:t>allocated</w:t>
      </w:r>
      <w:r w:rsidRPr="007D59B1">
        <w:rPr>
          <w:rFonts w:cs="Arial"/>
          <w:color w:val="000000" w:themeColor="text1"/>
          <w:sz w:val="22"/>
          <w:szCs w:val="22"/>
        </w:rPr>
        <w:t xml:space="preserve"> into four treatment groups (</w:t>
      </w:r>
      <w:r w:rsidRPr="007D59B1">
        <w:rPr>
          <w:rFonts w:cs="Arial"/>
          <w:i/>
          <w:color w:val="000000" w:themeColor="text1"/>
          <w:sz w:val="22"/>
          <w:szCs w:val="22"/>
        </w:rPr>
        <w:t>n</w:t>
      </w:r>
      <w:r w:rsidRPr="007D59B1">
        <w:rPr>
          <w:rFonts w:cs="Arial"/>
          <w:color w:val="000000" w:themeColor="text1"/>
          <w:sz w:val="22"/>
          <w:szCs w:val="22"/>
        </w:rPr>
        <w:t xml:space="preserve"> = 4 per group) and treated daily with the following agents by oral gavage at 10 µL per gram body weight: vehicle (0.5% hydroxypropyl methylcellulose; 0.5% Tween-80), </w:t>
      </w:r>
      <w:proofErr w:type="spellStart"/>
      <w:r w:rsidR="00F65BE1" w:rsidRPr="007D59B1">
        <w:rPr>
          <w:rFonts w:cs="Arial"/>
          <w:color w:val="000000" w:themeColor="text1"/>
          <w:sz w:val="22"/>
          <w:szCs w:val="22"/>
        </w:rPr>
        <w:t>ceritinib</w:t>
      </w:r>
      <w:proofErr w:type="spellEnd"/>
      <w:r w:rsidRPr="007D59B1">
        <w:rPr>
          <w:rFonts w:cs="Arial"/>
          <w:color w:val="000000" w:themeColor="text1"/>
          <w:sz w:val="22"/>
          <w:szCs w:val="22"/>
        </w:rPr>
        <w:t xml:space="preserve"> (30 mg/kg), AZD1208 (15 mg/kg) or the combination of </w:t>
      </w:r>
      <w:proofErr w:type="spellStart"/>
      <w:r w:rsidR="00F65BE1" w:rsidRPr="007D59B1">
        <w:rPr>
          <w:rFonts w:cs="Arial"/>
          <w:color w:val="000000" w:themeColor="text1"/>
          <w:sz w:val="22"/>
          <w:szCs w:val="22"/>
        </w:rPr>
        <w:t>ceritinib</w:t>
      </w:r>
      <w:proofErr w:type="spellEnd"/>
      <w:r w:rsidRPr="007D59B1">
        <w:rPr>
          <w:rFonts w:cs="Arial"/>
          <w:color w:val="000000" w:themeColor="text1"/>
          <w:sz w:val="22"/>
          <w:szCs w:val="22"/>
        </w:rPr>
        <w:t xml:space="preserve"> (30 mg/kg) and AZD1208 (15 mg/kg). Mice were euthanized once </w:t>
      </w:r>
      <w:proofErr w:type="spellStart"/>
      <w:r w:rsidRPr="007D59B1">
        <w:rPr>
          <w:rFonts w:cs="Arial"/>
          <w:color w:val="000000" w:themeColor="text1"/>
          <w:sz w:val="22"/>
          <w:szCs w:val="22"/>
        </w:rPr>
        <w:t>tumors</w:t>
      </w:r>
      <w:proofErr w:type="spellEnd"/>
      <w:r w:rsidRPr="007D59B1">
        <w:rPr>
          <w:rFonts w:cs="Arial"/>
          <w:color w:val="000000" w:themeColor="text1"/>
          <w:sz w:val="22"/>
          <w:szCs w:val="22"/>
        </w:rPr>
        <w:t xml:space="preserve"> reached 15 mm in any direction (defined as an event for event-free survival analysis) and </w:t>
      </w:r>
      <w:proofErr w:type="spellStart"/>
      <w:r w:rsidRPr="007D59B1">
        <w:rPr>
          <w:rFonts w:cs="Arial"/>
          <w:color w:val="000000" w:themeColor="text1"/>
          <w:sz w:val="22"/>
          <w:szCs w:val="22"/>
        </w:rPr>
        <w:t>tumors</w:t>
      </w:r>
      <w:proofErr w:type="spellEnd"/>
      <w:r w:rsidRPr="007D59B1">
        <w:rPr>
          <w:rFonts w:cs="Arial"/>
          <w:color w:val="000000" w:themeColor="text1"/>
          <w:sz w:val="22"/>
          <w:szCs w:val="22"/>
        </w:rPr>
        <w:t xml:space="preserve"> were fixed in 10% neutral-buffered formalin for 24 hours. </w:t>
      </w:r>
      <w:proofErr w:type="spellStart"/>
      <w:r w:rsidRPr="007D59B1">
        <w:rPr>
          <w:rFonts w:cs="Arial"/>
          <w:color w:val="000000" w:themeColor="text1"/>
          <w:sz w:val="22"/>
          <w:szCs w:val="22"/>
        </w:rPr>
        <w:t>Tumors</w:t>
      </w:r>
      <w:proofErr w:type="spellEnd"/>
      <w:r w:rsidRPr="007D59B1">
        <w:rPr>
          <w:rFonts w:cs="Arial"/>
          <w:color w:val="000000" w:themeColor="text1"/>
          <w:sz w:val="22"/>
          <w:szCs w:val="22"/>
        </w:rPr>
        <w:t xml:space="preserve"> </w:t>
      </w:r>
      <w:r w:rsidRPr="007D59B1">
        <w:rPr>
          <w:rFonts w:cs="Arial"/>
          <w:sz w:val="22"/>
          <w:szCs w:val="22"/>
        </w:rPr>
        <w:t xml:space="preserve">were paraffin-embedded and 10 µm sections were cut from central regions. COG-N-426x tissue sections were stained with </w:t>
      </w:r>
      <w:proofErr w:type="spellStart"/>
      <w:r w:rsidRPr="007D59B1">
        <w:rPr>
          <w:rFonts w:cs="Arial"/>
          <w:sz w:val="22"/>
          <w:szCs w:val="22"/>
        </w:rPr>
        <w:t>hematoxylin</w:t>
      </w:r>
      <w:proofErr w:type="spellEnd"/>
      <w:r w:rsidRPr="007D59B1">
        <w:rPr>
          <w:rFonts w:cs="Arial"/>
          <w:sz w:val="22"/>
          <w:szCs w:val="22"/>
        </w:rPr>
        <w:t xml:space="preserve"> and eosin or with antibodies against ALK (CST, Cat#3633)</w:t>
      </w:r>
      <w:r w:rsidR="00EB52BE" w:rsidRPr="007D59B1">
        <w:rPr>
          <w:rFonts w:cs="Arial"/>
          <w:sz w:val="22"/>
          <w:szCs w:val="22"/>
        </w:rPr>
        <w:t xml:space="preserve"> or </w:t>
      </w:r>
      <w:r w:rsidRPr="007D59B1">
        <w:rPr>
          <w:rFonts w:cs="Arial"/>
          <w:sz w:val="22"/>
          <w:szCs w:val="22"/>
        </w:rPr>
        <w:t xml:space="preserve">Ki-67 (CST, Cat#12202). </w:t>
      </w:r>
      <w:r w:rsidRPr="007D59B1">
        <w:rPr>
          <w:rFonts w:cs="Arial"/>
          <w:color w:val="000000" w:themeColor="text1"/>
          <w:sz w:val="22"/>
          <w:szCs w:val="22"/>
        </w:rPr>
        <w:t xml:space="preserve">All </w:t>
      </w:r>
      <w:r w:rsidRPr="007D59B1">
        <w:rPr>
          <w:rFonts w:cs="Arial"/>
          <w:sz w:val="22"/>
          <w:szCs w:val="22"/>
        </w:rPr>
        <w:t xml:space="preserve">antibodies were diluted 1:200 and incubated on slides overnight at 4⁰C. Slides were then incubated with secondary biotinylated antibody </w:t>
      </w:r>
      <w:r w:rsidR="00F145C9" w:rsidRPr="007D59B1">
        <w:rPr>
          <w:rFonts w:cs="Arial"/>
          <w:sz w:val="22"/>
          <w:szCs w:val="22"/>
        </w:rPr>
        <w:t>(Vector Laboratories, Cat#</w:t>
      </w:r>
      <w:r w:rsidR="00F145C9">
        <w:rPr>
          <w:rFonts w:cs="Arial"/>
          <w:sz w:val="22"/>
          <w:szCs w:val="22"/>
        </w:rPr>
        <w:t>BA</w:t>
      </w:r>
      <w:r w:rsidR="00F145C9" w:rsidRPr="007D59B1">
        <w:rPr>
          <w:rFonts w:cs="Arial"/>
          <w:sz w:val="22"/>
          <w:szCs w:val="22"/>
        </w:rPr>
        <w:t>-</w:t>
      </w:r>
      <w:r w:rsidR="00F145C9">
        <w:rPr>
          <w:rFonts w:cs="Arial"/>
          <w:sz w:val="22"/>
          <w:szCs w:val="22"/>
        </w:rPr>
        <w:t>10</w:t>
      </w:r>
      <w:r w:rsidR="00F145C9" w:rsidRPr="007D59B1">
        <w:rPr>
          <w:rFonts w:cs="Arial"/>
          <w:sz w:val="22"/>
          <w:szCs w:val="22"/>
        </w:rPr>
        <w:t>00)</w:t>
      </w:r>
      <w:r w:rsidR="00F145C9">
        <w:rPr>
          <w:rFonts w:cs="Arial"/>
          <w:sz w:val="22"/>
          <w:szCs w:val="22"/>
        </w:rPr>
        <w:t xml:space="preserve"> </w:t>
      </w:r>
      <w:r w:rsidRPr="007D59B1">
        <w:rPr>
          <w:rFonts w:cs="Arial"/>
          <w:sz w:val="22"/>
          <w:szCs w:val="22"/>
        </w:rPr>
        <w:t xml:space="preserve">in 2% goat serum for 30 mins at room temperature. Slides were washed and incubated with VECTASTAIN Elite ABC reagent (Vector Laboratories, Cat#PK-6101) for 45 mins followed by incubation with Vector DAB HRP substrate </w:t>
      </w:r>
      <w:bookmarkStart w:id="9" w:name="OLE_LINK2"/>
      <w:r w:rsidRPr="007D59B1">
        <w:rPr>
          <w:rFonts w:cs="Arial"/>
          <w:sz w:val="22"/>
          <w:szCs w:val="22"/>
        </w:rPr>
        <w:t>(Vector Laboratories, Cat#SK-4100)</w:t>
      </w:r>
      <w:bookmarkEnd w:id="9"/>
      <w:r w:rsidRPr="007D59B1">
        <w:rPr>
          <w:rFonts w:cs="Arial"/>
          <w:sz w:val="22"/>
          <w:szCs w:val="22"/>
        </w:rPr>
        <w:t xml:space="preserve"> until the desired stain intensity was achieved. Slides were counterstained with Mayer’s hemalum solution (Carl Roth, Cat#T865.1) and mounted with </w:t>
      </w:r>
      <w:proofErr w:type="spellStart"/>
      <w:r w:rsidRPr="007D59B1">
        <w:rPr>
          <w:rFonts w:cs="Arial"/>
          <w:sz w:val="22"/>
          <w:szCs w:val="22"/>
        </w:rPr>
        <w:t>Aquatex</w:t>
      </w:r>
      <w:proofErr w:type="spellEnd"/>
      <w:r w:rsidRPr="007D59B1">
        <w:rPr>
          <w:rFonts w:cs="Arial"/>
          <w:sz w:val="22"/>
          <w:szCs w:val="22"/>
        </w:rPr>
        <w:t xml:space="preserve"> reagent (Sigma-Aldrich, Cat#1085620050). RNA was extracted from 10 µm sections of COG-N-426x </w:t>
      </w:r>
      <w:proofErr w:type="spellStart"/>
      <w:r w:rsidRPr="007D59B1">
        <w:rPr>
          <w:rFonts w:cs="Arial"/>
          <w:sz w:val="22"/>
          <w:szCs w:val="22"/>
        </w:rPr>
        <w:t>tumors</w:t>
      </w:r>
      <w:proofErr w:type="spellEnd"/>
      <w:r w:rsidRPr="007D59B1">
        <w:rPr>
          <w:rFonts w:cs="Arial"/>
          <w:sz w:val="22"/>
          <w:szCs w:val="22"/>
        </w:rPr>
        <w:t xml:space="preserve"> using the </w:t>
      </w:r>
      <w:proofErr w:type="spellStart"/>
      <w:r w:rsidRPr="007D59B1">
        <w:rPr>
          <w:rFonts w:cs="Arial"/>
          <w:sz w:val="22"/>
          <w:szCs w:val="22"/>
        </w:rPr>
        <w:t>PureLink</w:t>
      </w:r>
      <w:proofErr w:type="spellEnd"/>
      <w:r w:rsidRPr="007D59B1">
        <w:rPr>
          <w:rFonts w:cs="Arial"/>
          <w:sz w:val="22"/>
          <w:szCs w:val="22"/>
        </w:rPr>
        <w:t xml:space="preserve"> FFPE RNA Isolation Kit and treated with RQ1 </w:t>
      </w:r>
      <w:r w:rsidRPr="007D59B1">
        <w:rPr>
          <w:rFonts w:cs="Arial"/>
          <w:sz w:val="22"/>
          <w:szCs w:val="22"/>
        </w:rPr>
        <w:lastRenderedPageBreak/>
        <w:t>RNase-Free DNase before reverse transcription and qPCR as described earlier. 20 ng cDNA was used per qPCR reaction.</w:t>
      </w:r>
    </w:p>
    <w:p w14:paraId="37D55941" w14:textId="12964097" w:rsidR="00851A5F" w:rsidRPr="007D59B1" w:rsidRDefault="00851A5F" w:rsidP="00ED41A4">
      <w:pPr>
        <w:tabs>
          <w:tab w:val="left" w:pos="5100"/>
        </w:tabs>
        <w:spacing w:line="360" w:lineRule="auto"/>
        <w:jc w:val="both"/>
        <w:rPr>
          <w:rFonts w:cs="Arial"/>
          <w:sz w:val="22"/>
          <w:szCs w:val="22"/>
        </w:rPr>
      </w:pPr>
    </w:p>
    <w:p w14:paraId="2938A917" w14:textId="0FC6E3CB" w:rsidR="00851A5F" w:rsidRPr="007D59B1" w:rsidRDefault="00ED41A4" w:rsidP="00851A5F">
      <w:pPr>
        <w:tabs>
          <w:tab w:val="left" w:pos="5100"/>
        </w:tabs>
        <w:spacing w:line="360" w:lineRule="auto"/>
        <w:jc w:val="both"/>
        <w:rPr>
          <w:rFonts w:cs="Arial"/>
          <w:color w:val="000000" w:themeColor="text1"/>
          <w:sz w:val="22"/>
          <w:szCs w:val="22"/>
        </w:rPr>
      </w:pPr>
      <w:r w:rsidRPr="007D59B1">
        <w:rPr>
          <w:rFonts w:cs="Arial"/>
          <w:b/>
          <w:color w:val="000000" w:themeColor="text1"/>
          <w:sz w:val="22"/>
          <w:szCs w:val="22"/>
        </w:rPr>
        <w:t xml:space="preserve">Analysis of </w:t>
      </w:r>
      <w:r w:rsidR="00851A5F" w:rsidRPr="007D59B1">
        <w:rPr>
          <w:rFonts w:cs="Arial"/>
          <w:b/>
          <w:color w:val="000000" w:themeColor="text1"/>
          <w:sz w:val="22"/>
          <w:szCs w:val="22"/>
        </w:rPr>
        <w:t>Apoptosis.</w:t>
      </w:r>
      <w:r w:rsidR="00851A5F" w:rsidRPr="007D59B1">
        <w:rPr>
          <w:rFonts w:cs="Arial"/>
          <w:color w:val="000000" w:themeColor="text1"/>
          <w:sz w:val="22"/>
          <w:szCs w:val="22"/>
        </w:rPr>
        <w:t xml:space="preserve"> Cells were </w:t>
      </w:r>
      <w:r w:rsidRPr="007D59B1">
        <w:rPr>
          <w:rFonts w:cs="Arial"/>
          <w:color w:val="000000" w:themeColor="text1"/>
          <w:sz w:val="22"/>
          <w:szCs w:val="22"/>
        </w:rPr>
        <w:t xml:space="preserve">collected by </w:t>
      </w:r>
      <w:r w:rsidR="00851A5F" w:rsidRPr="007D59B1">
        <w:rPr>
          <w:rFonts w:cs="Arial"/>
          <w:color w:val="000000" w:themeColor="text1"/>
          <w:sz w:val="22"/>
          <w:szCs w:val="22"/>
        </w:rPr>
        <w:t>centrifug</w:t>
      </w:r>
      <w:r w:rsidRPr="007D59B1">
        <w:rPr>
          <w:rFonts w:cs="Arial"/>
          <w:color w:val="000000" w:themeColor="text1"/>
          <w:sz w:val="22"/>
          <w:szCs w:val="22"/>
        </w:rPr>
        <w:t>ation</w:t>
      </w:r>
      <w:r w:rsidR="00851A5F" w:rsidRPr="007D59B1">
        <w:rPr>
          <w:rFonts w:cs="Arial"/>
          <w:color w:val="000000" w:themeColor="text1"/>
          <w:sz w:val="22"/>
          <w:szCs w:val="22"/>
        </w:rPr>
        <w:t xml:space="preserve">, washed once in PBS, then resuspended in 100 </w:t>
      </w:r>
      <w:proofErr w:type="spellStart"/>
      <w:r w:rsidR="00851A5F" w:rsidRPr="007D59B1">
        <w:rPr>
          <w:rFonts w:cs="Arial"/>
          <w:color w:val="000000" w:themeColor="text1"/>
          <w:sz w:val="22"/>
          <w:szCs w:val="22"/>
        </w:rPr>
        <w:t>μL</w:t>
      </w:r>
      <w:proofErr w:type="spellEnd"/>
      <w:r w:rsidR="00851A5F" w:rsidRPr="007D59B1">
        <w:rPr>
          <w:rFonts w:cs="Arial"/>
          <w:color w:val="000000" w:themeColor="text1"/>
          <w:sz w:val="22"/>
          <w:szCs w:val="22"/>
        </w:rPr>
        <w:t xml:space="preserve"> Annexin V Binding Buffer containing 5 </w:t>
      </w:r>
      <w:proofErr w:type="spellStart"/>
      <w:r w:rsidR="00851A5F" w:rsidRPr="007D59B1">
        <w:rPr>
          <w:rFonts w:cs="Arial"/>
          <w:color w:val="000000" w:themeColor="text1"/>
          <w:sz w:val="22"/>
          <w:szCs w:val="22"/>
        </w:rPr>
        <w:t>μL</w:t>
      </w:r>
      <w:proofErr w:type="spellEnd"/>
      <w:r w:rsidR="00851A5F" w:rsidRPr="007D59B1">
        <w:rPr>
          <w:rFonts w:cs="Arial"/>
          <w:color w:val="000000" w:themeColor="text1"/>
          <w:sz w:val="22"/>
          <w:szCs w:val="22"/>
        </w:rPr>
        <w:t xml:space="preserve">/reaction APC-Annexin V </w:t>
      </w:r>
      <w:r w:rsidR="001B3190" w:rsidRPr="007D59B1">
        <w:rPr>
          <w:rFonts w:cs="Arial"/>
          <w:color w:val="000000" w:themeColor="text1"/>
          <w:sz w:val="22"/>
          <w:szCs w:val="22"/>
        </w:rPr>
        <w:t>(</w:t>
      </w:r>
      <w:proofErr w:type="spellStart"/>
      <w:r w:rsidR="001B3190" w:rsidRPr="007D59B1">
        <w:rPr>
          <w:rFonts w:cs="Arial"/>
          <w:color w:val="000000" w:themeColor="text1"/>
          <w:sz w:val="22"/>
          <w:szCs w:val="22"/>
        </w:rPr>
        <w:t>BioLegend</w:t>
      </w:r>
      <w:proofErr w:type="spellEnd"/>
      <w:r w:rsidR="001B3190" w:rsidRPr="007D59B1">
        <w:rPr>
          <w:rFonts w:cs="Arial"/>
          <w:color w:val="000000" w:themeColor="text1"/>
          <w:sz w:val="22"/>
          <w:szCs w:val="22"/>
        </w:rPr>
        <w:t xml:space="preserve">, Cat#640920) </w:t>
      </w:r>
      <w:r w:rsidR="00851A5F" w:rsidRPr="007D59B1">
        <w:rPr>
          <w:rFonts w:cs="Arial"/>
          <w:color w:val="000000" w:themeColor="text1"/>
          <w:sz w:val="22"/>
          <w:szCs w:val="22"/>
        </w:rPr>
        <w:t xml:space="preserve">and incubated for 30 minutes at room temperature. APC-Annexin V was </w:t>
      </w:r>
      <w:r w:rsidR="007B77F5" w:rsidRPr="007D59B1">
        <w:rPr>
          <w:rFonts w:cs="Arial"/>
          <w:color w:val="000000" w:themeColor="text1"/>
          <w:sz w:val="22"/>
          <w:szCs w:val="22"/>
        </w:rPr>
        <w:t xml:space="preserve">then </w:t>
      </w:r>
      <w:r w:rsidR="00851A5F" w:rsidRPr="007D59B1">
        <w:rPr>
          <w:rFonts w:cs="Arial"/>
          <w:color w:val="000000" w:themeColor="text1"/>
          <w:sz w:val="22"/>
          <w:szCs w:val="22"/>
        </w:rPr>
        <w:t xml:space="preserve">removed from the cells </w:t>
      </w:r>
      <w:r w:rsidR="00251211" w:rsidRPr="007D59B1">
        <w:rPr>
          <w:rFonts w:cs="Arial"/>
          <w:color w:val="000000" w:themeColor="text1"/>
          <w:sz w:val="22"/>
          <w:szCs w:val="22"/>
        </w:rPr>
        <w:t>following</w:t>
      </w:r>
      <w:r w:rsidR="00851A5F" w:rsidRPr="007D59B1">
        <w:rPr>
          <w:rFonts w:cs="Arial"/>
          <w:color w:val="000000" w:themeColor="text1"/>
          <w:sz w:val="22"/>
          <w:szCs w:val="22"/>
        </w:rPr>
        <w:t xml:space="preserve"> centrifugation, washed once in Annexin V Binding Buffer</w:t>
      </w:r>
      <w:r w:rsidR="001B3190" w:rsidRPr="007D59B1">
        <w:rPr>
          <w:rFonts w:cs="Arial"/>
          <w:color w:val="000000" w:themeColor="text1"/>
          <w:sz w:val="22"/>
          <w:szCs w:val="22"/>
        </w:rPr>
        <w:t xml:space="preserve"> (Thermo Fisher Scientific, Cat#V13246)</w:t>
      </w:r>
      <w:r w:rsidR="00851A5F" w:rsidRPr="007D59B1">
        <w:rPr>
          <w:rFonts w:cs="Arial"/>
          <w:color w:val="000000" w:themeColor="text1"/>
          <w:sz w:val="22"/>
          <w:szCs w:val="22"/>
        </w:rPr>
        <w:t xml:space="preserve">, </w:t>
      </w:r>
      <w:r w:rsidR="007B77F5" w:rsidRPr="007D59B1">
        <w:rPr>
          <w:rFonts w:cs="Arial"/>
          <w:color w:val="000000" w:themeColor="text1"/>
          <w:sz w:val="22"/>
          <w:szCs w:val="22"/>
        </w:rPr>
        <w:t>and</w:t>
      </w:r>
      <w:r w:rsidR="00851A5F" w:rsidRPr="007D59B1">
        <w:rPr>
          <w:rFonts w:cs="Arial"/>
          <w:color w:val="000000" w:themeColor="text1"/>
          <w:sz w:val="22"/>
          <w:szCs w:val="22"/>
        </w:rPr>
        <w:t xml:space="preserve"> cells resuspended in 100 </w:t>
      </w:r>
      <w:proofErr w:type="spellStart"/>
      <w:r w:rsidR="00851A5F" w:rsidRPr="007D59B1">
        <w:rPr>
          <w:rFonts w:cs="Arial"/>
          <w:color w:val="000000" w:themeColor="text1"/>
          <w:sz w:val="22"/>
          <w:szCs w:val="22"/>
        </w:rPr>
        <w:t>μL</w:t>
      </w:r>
      <w:proofErr w:type="spellEnd"/>
      <w:r w:rsidR="00851A5F" w:rsidRPr="007D59B1">
        <w:rPr>
          <w:rFonts w:cs="Arial"/>
          <w:color w:val="000000" w:themeColor="text1"/>
          <w:sz w:val="22"/>
          <w:szCs w:val="22"/>
        </w:rPr>
        <w:t xml:space="preserve"> Annexin V Binding Buffer containing 1 mg/mL propidium iodide</w:t>
      </w:r>
      <w:r w:rsidR="001B3190" w:rsidRPr="007D59B1">
        <w:rPr>
          <w:rFonts w:cs="Arial"/>
          <w:color w:val="000000" w:themeColor="text1"/>
          <w:sz w:val="22"/>
          <w:szCs w:val="22"/>
        </w:rPr>
        <w:t xml:space="preserve"> (Sigma-Aldrich, Cat#P4170-10MG)</w:t>
      </w:r>
      <w:r w:rsidR="00851A5F" w:rsidRPr="007D59B1">
        <w:rPr>
          <w:rFonts w:cs="Arial"/>
          <w:color w:val="000000" w:themeColor="text1"/>
          <w:sz w:val="22"/>
          <w:szCs w:val="22"/>
        </w:rPr>
        <w:t xml:space="preserve">. Data were acquired using a BD </w:t>
      </w:r>
      <w:proofErr w:type="spellStart"/>
      <w:r w:rsidR="00851A5F" w:rsidRPr="007D59B1">
        <w:rPr>
          <w:rFonts w:cs="Arial"/>
          <w:color w:val="000000" w:themeColor="text1"/>
          <w:sz w:val="22"/>
          <w:szCs w:val="22"/>
        </w:rPr>
        <w:t>Accuri</w:t>
      </w:r>
      <w:proofErr w:type="spellEnd"/>
      <w:r w:rsidR="00851A5F" w:rsidRPr="007D59B1">
        <w:rPr>
          <w:rFonts w:cs="Arial"/>
          <w:color w:val="000000" w:themeColor="text1"/>
          <w:sz w:val="22"/>
          <w:szCs w:val="22"/>
        </w:rPr>
        <w:t xml:space="preserve"> C6 flow cytometer and </w:t>
      </w:r>
      <w:proofErr w:type="spellStart"/>
      <w:r w:rsidR="00851A5F" w:rsidRPr="007D59B1">
        <w:rPr>
          <w:rFonts w:cs="Arial"/>
          <w:color w:val="000000" w:themeColor="text1"/>
          <w:sz w:val="22"/>
          <w:szCs w:val="22"/>
        </w:rPr>
        <w:t>analyzed</w:t>
      </w:r>
      <w:proofErr w:type="spellEnd"/>
      <w:r w:rsidR="00851A5F" w:rsidRPr="007D59B1">
        <w:rPr>
          <w:rFonts w:cs="Arial"/>
          <w:color w:val="000000" w:themeColor="text1"/>
          <w:sz w:val="22"/>
          <w:szCs w:val="22"/>
        </w:rPr>
        <w:t xml:space="preserve"> using </w:t>
      </w:r>
      <w:proofErr w:type="spellStart"/>
      <w:r w:rsidR="00851A5F" w:rsidRPr="007D59B1">
        <w:rPr>
          <w:rFonts w:cs="Arial"/>
          <w:color w:val="000000" w:themeColor="text1"/>
          <w:sz w:val="22"/>
          <w:szCs w:val="22"/>
        </w:rPr>
        <w:t>FlowJo</w:t>
      </w:r>
      <w:proofErr w:type="spellEnd"/>
      <w:r w:rsidR="00851A5F" w:rsidRPr="007D59B1">
        <w:rPr>
          <w:rFonts w:cs="Arial"/>
          <w:color w:val="000000" w:themeColor="text1"/>
          <w:sz w:val="22"/>
          <w:szCs w:val="22"/>
        </w:rPr>
        <w:t xml:space="preserve"> V10 software. Cells were gated according to physical parameters in order to discard cell debris (FCS/SSC) and cell clumps (</w:t>
      </w:r>
      <w:r w:rsidR="007B77F5" w:rsidRPr="007D59B1">
        <w:rPr>
          <w:rFonts w:cs="Arial"/>
          <w:color w:val="000000" w:themeColor="text1"/>
          <w:sz w:val="22"/>
          <w:szCs w:val="22"/>
        </w:rPr>
        <w:t>w</w:t>
      </w:r>
      <w:r w:rsidR="00851A5F" w:rsidRPr="007D59B1">
        <w:rPr>
          <w:rFonts w:cs="Arial"/>
          <w:color w:val="000000" w:themeColor="text1"/>
          <w:sz w:val="22"/>
          <w:szCs w:val="22"/>
        </w:rPr>
        <w:t>idth/</w:t>
      </w:r>
      <w:r w:rsidR="007B77F5" w:rsidRPr="007D59B1">
        <w:rPr>
          <w:rFonts w:cs="Arial"/>
          <w:color w:val="000000" w:themeColor="text1"/>
          <w:sz w:val="22"/>
          <w:szCs w:val="22"/>
        </w:rPr>
        <w:t>a</w:t>
      </w:r>
      <w:r w:rsidR="00851A5F" w:rsidRPr="007D59B1">
        <w:rPr>
          <w:rFonts w:cs="Arial"/>
          <w:color w:val="000000" w:themeColor="text1"/>
          <w:sz w:val="22"/>
          <w:szCs w:val="22"/>
        </w:rPr>
        <w:t xml:space="preserve">rea). </w:t>
      </w:r>
    </w:p>
    <w:p w14:paraId="0FC4E37A" w14:textId="77777777" w:rsidR="00202A3C" w:rsidRPr="007D59B1" w:rsidRDefault="00202A3C" w:rsidP="00202A3C">
      <w:pPr>
        <w:spacing w:line="360" w:lineRule="auto"/>
        <w:jc w:val="both"/>
        <w:rPr>
          <w:rFonts w:cs="Arial"/>
          <w:color w:val="000000" w:themeColor="text1"/>
          <w:sz w:val="22"/>
          <w:szCs w:val="22"/>
        </w:rPr>
      </w:pPr>
    </w:p>
    <w:p w14:paraId="2C3A26FC" w14:textId="313B9AF8" w:rsidR="00202A3C" w:rsidRPr="007D59B1" w:rsidRDefault="00202A3C" w:rsidP="00202A3C">
      <w:pPr>
        <w:spacing w:line="360" w:lineRule="auto"/>
        <w:jc w:val="both"/>
        <w:rPr>
          <w:rFonts w:cs="Arial"/>
          <w:sz w:val="22"/>
          <w:szCs w:val="22"/>
        </w:rPr>
      </w:pPr>
      <w:r w:rsidRPr="007D59B1">
        <w:rPr>
          <w:rFonts w:cs="Arial"/>
          <w:b/>
          <w:sz w:val="22"/>
          <w:szCs w:val="22"/>
        </w:rPr>
        <w:t>Statistical analysis</w:t>
      </w:r>
      <w:r w:rsidR="00144F8D" w:rsidRPr="007D59B1">
        <w:rPr>
          <w:rFonts w:cs="Arial"/>
          <w:b/>
          <w:sz w:val="22"/>
          <w:szCs w:val="22"/>
        </w:rPr>
        <w:t xml:space="preserve">. </w:t>
      </w:r>
      <w:r w:rsidRPr="007D59B1">
        <w:rPr>
          <w:rFonts w:cs="Arial"/>
          <w:sz w:val="22"/>
          <w:szCs w:val="22"/>
        </w:rPr>
        <w:t xml:space="preserve">Methods for statistical analysis are specified in the relevant </w:t>
      </w:r>
      <w:r w:rsidR="00771E27">
        <w:rPr>
          <w:rFonts w:cs="Arial"/>
          <w:sz w:val="22"/>
          <w:szCs w:val="22"/>
        </w:rPr>
        <w:t>Fig.</w:t>
      </w:r>
      <w:r w:rsidRPr="007D59B1">
        <w:rPr>
          <w:rFonts w:cs="Arial"/>
          <w:sz w:val="22"/>
          <w:szCs w:val="22"/>
        </w:rPr>
        <w:t xml:space="preserve"> captions. All Student’s </w:t>
      </w:r>
      <w:r w:rsidRPr="007D59B1">
        <w:rPr>
          <w:rFonts w:cs="Arial"/>
          <w:i/>
          <w:sz w:val="22"/>
          <w:szCs w:val="22"/>
        </w:rPr>
        <w:t>t</w:t>
      </w:r>
      <w:r w:rsidRPr="007D59B1">
        <w:rPr>
          <w:rFonts w:cs="Arial"/>
          <w:sz w:val="22"/>
          <w:szCs w:val="22"/>
        </w:rPr>
        <w:t>-tests, ANOVA models, correlation analyses and Kaplan-Meier survival analyses in mice were conducted with GraphPad Prism 7 software. Heat maps for cell viability were produced in Excel 2016. Gene set enrichment analysis was conducted in GSEA v3.0 software as described above. Kaplan-Meier survival analyses in human patients from published gene expression datasets were generated in R2: Genomics Platform as described above.</w:t>
      </w:r>
    </w:p>
    <w:p w14:paraId="778FBB65" w14:textId="77777777" w:rsidR="008804DA" w:rsidRDefault="008804DA" w:rsidP="008804DA">
      <w:pPr>
        <w:spacing w:line="360" w:lineRule="auto"/>
        <w:jc w:val="both"/>
        <w:rPr>
          <w:rFonts w:cs="Arial"/>
          <w:b/>
          <w:color w:val="000000" w:themeColor="text1"/>
          <w:sz w:val="22"/>
          <w:szCs w:val="22"/>
        </w:rPr>
      </w:pPr>
    </w:p>
    <w:p w14:paraId="3A10AC6A" w14:textId="77777777" w:rsidR="00075125" w:rsidRPr="007D59B1" w:rsidRDefault="00075125" w:rsidP="00075125">
      <w:pPr>
        <w:spacing w:line="360" w:lineRule="auto"/>
        <w:jc w:val="both"/>
        <w:rPr>
          <w:rFonts w:cs="Arial"/>
          <w:color w:val="000000" w:themeColor="text1"/>
          <w:sz w:val="22"/>
          <w:szCs w:val="22"/>
        </w:rPr>
      </w:pPr>
      <w:r w:rsidRPr="007D59B1">
        <w:rPr>
          <w:rFonts w:cs="Arial"/>
          <w:b/>
          <w:color w:val="000000" w:themeColor="text1"/>
          <w:sz w:val="22"/>
          <w:szCs w:val="22"/>
        </w:rPr>
        <w:t xml:space="preserve">Reporting Summary. </w:t>
      </w:r>
      <w:r w:rsidRPr="007D59B1">
        <w:rPr>
          <w:rFonts w:cs="Arial"/>
          <w:color w:val="000000" w:themeColor="text1"/>
          <w:sz w:val="22"/>
          <w:szCs w:val="22"/>
        </w:rPr>
        <w:t>Further information on research design is available in the Nature Research Reporting Summary linked to this article.</w:t>
      </w:r>
    </w:p>
    <w:p w14:paraId="2CB33A4C" w14:textId="77777777" w:rsidR="00075125" w:rsidRPr="007D59B1" w:rsidRDefault="00075125" w:rsidP="00075125">
      <w:pPr>
        <w:spacing w:line="360" w:lineRule="auto"/>
        <w:jc w:val="both"/>
        <w:rPr>
          <w:rFonts w:cs="Arial"/>
          <w:color w:val="000000" w:themeColor="text1"/>
          <w:sz w:val="22"/>
          <w:szCs w:val="22"/>
        </w:rPr>
      </w:pPr>
    </w:p>
    <w:p w14:paraId="78BBAFAF" w14:textId="77777777" w:rsidR="008804DA" w:rsidRPr="007D59B1" w:rsidRDefault="008804DA" w:rsidP="008804DA">
      <w:pPr>
        <w:pStyle w:val="Style1"/>
        <w:rPr>
          <w:color w:val="000000" w:themeColor="text1"/>
        </w:rPr>
      </w:pPr>
      <w:r w:rsidRPr="007D59B1">
        <w:rPr>
          <w:color w:val="000000" w:themeColor="text1"/>
        </w:rPr>
        <w:t>Data availability</w:t>
      </w:r>
    </w:p>
    <w:p w14:paraId="534FB985" w14:textId="75A766BE" w:rsidR="008804DA" w:rsidRDefault="008804DA" w:rsidP="008804DA">
      <w:pPr>
        <w:spacing w:line="360" w:lineRule="auto"/>
        <w:jc w:val="both"/>
        <w:rPr>
          <w:rFonts w:cs="Arial"/>
          <w:color w:val="000000" w:themeColor="text1"/>
          <w:sz w:val="22"/>
          <w:szCs w:val="22"/>
        </w:rPr>
      </w:pPr>
      <w:r w:rsidRPr="007D59B1">
        <w:rPr>
          <w:rFonts w:cs="Arial"/>
          <w:color w:val="000000" w:themeColor="text1"/>
          <w:sz w:val="22"/>
          <w:szCs w:val="22"/>
        </w:rPr>
        <w:t xml:space="preserve">All relevant data supporting the key findings of the study are available within the article and its Supplementary Information files or from the corresponding author upon reasonable request. </w:t>
      </w:r>
      <w:r w:rsidRPr="00366D01">
        <w:rPr>
          <w:rFonts w:cs="Arial"/>
          <w:color w:val="000000" w:themeColor="text1"/>
          <w:sz w:val="22"/>
          <w:szCs w:val="22"/>
        </w:rPr>
        <w:t>The source data underlying Fig</w:t>
      </w:r>
      <w:r>
        <w:rPr>
          <w:rFonts w:cs="Arial"/>
          <w:color w:val="000000" w:themeColor="text1"/>
          <w:sz w:val="22"/>
          <w:szCs w:val="22"/>
        </w:rPr>
        <w:t>s</w:t>
      </w:r>
      <w:r w:rsidRPr="00366D01">
        <w:rPr>
          <w:rFonts w:cs="Arial"/>
          <w:color w:val="000000" w:themeColor="text1"/>
          <w:sz w:val="22"/>
          <w:szCs w:val="22"/>
        </w:rPr>
        <w:t xml:space="preserve"> </w:t>
      </w:r>
      <w:r>
        <w:rPr>
          <w:rFonts w:cs="Arial"/>
          <w:color w:val="000000" w:themeColor="text1"/>
          <w:sz w:val="22"/>
          <w:szCs w:val="22"/>
        </w:rPr>
        <w:t xml:space="preserve">2, 3a, 3c-g, 4 and 5, </w:t>
      </w:r>
      <w:r w:rsidRPr="00366D01">
        <w:rPr>
          <w:rFonts w:cs="Arial"/>
          <w:color w:val="000000" w:themeColor="text1"/>
          <w:sz w:val="22"/>
          <w:szCs w:val="22"/>
        </w:rPr>
        <w:t xml:space="preserve"> and Supplementary Figs 1a</w:t>
      </w:r>
      <w:r>
        <w:rPr>
          <w:rFonts w:cs="Arial"/>
          <w:color w:val="000000" w:themeColor="text1"/>
          <w:sz w:val="22"/>
          <w:szCs w:val="22"/>
        </w:rPr>
        <w:t xml:space="preserve">, 1d, 3, 4, 5a-d, 5f-g, 6, 7 and 8c-e </w:t>
      </w:r>
      <w:r w:rsidRPr="00366D01">
        <w:rPr>
          <w:rFonts w:cs="Arial"/>
          <w:color w:val="000000" w:themeColor="text1"/>
          <w:sz w:val="22"/>
          <w:szCs w:val="22"/>
        </w:rPr>
        <w:t>are provided as a Source Data file</w:t>
      </w:r>
      <w:r>
        <w:rPr>
          <w:rFonts w:cs="Arial"/>
          <w:color w:val="000000" w:themeColor="text1"/>
          <w:sz w:val="22"/>
          <w:szCs w:val="22"/>
        </w:rPr>
        <w:t>.</w:t>
      </w:r>
      <w:r w:rsidRPr="00366D01">
        <w:rPr>
          <w:rFonts w:cs="Arial"/>
          <w:color w:val="000000" w:themeColor="text1"/>
          <w:sz w:val="22"/>
          <w:szCs w:val="22"/>
        </w:rPr>
        <w:t xml:space="preserve"> </w:t>
      </w:r>
      <w:r w:rsidRPr="007D59B1">
        <w:rPr>
          <w:rFonts w:cs="Arial"/>
          <w:color w:val="000000" w:themeColor="text1"/>
          <w:sz w:val="22"/>
          <w:szCs w:val="22"/>
        </w:rPr>
        <w:t>A reporting summary for this Article is available as a Supplementary Information file.</w:t>
      </w:r>
      <w:r w:rsidR="00687C70">
        <w:rPr>
          <w:rFonts w:cs="Arial"/>
          <w:color w:val="000000" w:themeColor="text1"/>
          <w:sz w:val="22"/>
          <w:szCs w:val="22"/>
        </w:rPr>
        <w:t xml:space="preserve"> Publicly available microarray data used for </w:t>
      </w:r>
      <w:r w:rsidR="00687C70" w:rsidRPr="007D59B1">
        <w:rPr>
          <w:rFonts w:cs="Arial"/>
          <w:sz w:val="22"/>
          <w:szCs w:val="22"/>
        </w:rPr>
        <w:t xml:space="preserve">Kaplan-Meier event-free survival analysis </w:t>
      </w:r>
      <w:r w:rsidR="00687C70">
        <w:rPr>
          <w:rFonts w:cs="Arial"/>
          <w:sz w:val="22"/>
          <w:szCs w:val="22"/>
        </w:rPr>
        <w:t xml:space="preserve">is available from the NCBI gene expression omnibus with </w:t>
      </w:r>
      <w:r w:rsidR="00687C70" w:rsidRPr="007D59B1">
        <w:rPr>
          <w:rFonts w:cs="Arial"/>
          <w:sz w:val="22"/>
          <w:szCs w:val="22"/>
        </w:rPr>
        <w:t>accession</w:t>
      </w:r>
      <w:r w:rsidR="00687C70">
        <w:rPr>
          <w:rFonts w:cs="Arial"/>
          <w:sz w:val="22"/>
          <w:szCs w:val="22"/>
        </w:rPr>
        <w:t xml:space="preserve"> codes</w:t>
      </w:r>
      <w:r w:rsidR="00687C70" w:rsidRPr="007D59B1">
        <w:rPr>
          <w:rFonts w:cs="Arial"/>
          <w:sz w:val="22"/>
          <w:szCs w:val="22"/>
        </w:rPr>
        <w:t xml:space="preserve">: </w:t>
      </w:r>
      <w:hyperlink r:id="rId8" w:history="1">
        <w:r w:rsidR="00687C70" w:rsidRPr="008A6089">
          <w:rPr>
            <w:rStyle w:val="Hyperlink"/>
            <w:rFonts w:cs="Arial"/>
            <w:sz w:val="22"/>
            <w:szCs w:val="22"/>
          </w:rPr>
          <w:t>GSE45547</w:t>
        </w:r>
      </w:hyperlink>
      <w:r w:rsidR="00687C70" w:rsidRPr="007D59B1">
        <w:rPr>
          <w:rFonts w:cs="Arial"/>
          <w:sz w:val="22"/>
          <w:szCs w:val="22"/>
        </w:rPr>
        <w:fldChar w:fldCharType="begin" w:fldLock="1"/>
      </w:r>
      <w:r w:rsidR="00687C70" w:rsidRPr="007D59B1">
        <w:rPr>
          <w:rFonts w:cs="Arial"/>
          <w:sz w:val="22"/>
          <w:szCs w:val="22"/>
        </w:rPr>
        <w:instrText>ADDIN CSL_CITATION {"citationItems":[{"id":"ITEM-1","itemData":{"DOI":"10.1038/cddis.2013.84","ISBN":"2041-4889 (Electronic)","PMID":"23579273","abstract":"Neuroblastoma is an embryonal malignancy of the sympathetic nervous system. Spontaneous regression and differentiation of neuroblastoma is observed in a subset of patients, and has been suggested to represent delayed activation of physiologic molecular programs of fetal neuroblasts. Homeobox genes constitute an important family of transcription factors, which play a fundamental role in morphogenesis and cell differentiation during embryogenesis. In this study, we demonstrate that expression of the majority of the human HOX class I homeobox genes is significantly associated with clinical covariates in neuroblastoma using microarray expression data of 649 primary tumors. Moreover, a HOX gene expression-based classifier predicted neuroblastoma patient outcome independently of age, stage and MYCN amplification status. Among all HOX genes, HOXC9 expression was most prominently associated with favorable prognostic markers. Most notably, elevated HOXC9 expression was significantly associated with spontaneous regression in infant neuroblastoma. Re-expression of HOXC9 in three neuroblastoma cell lines led to a significant reduction in cell viability, and abrogated tumor growth almost completely in neuroblastoma xenografts. Neuroblastoma growth arrest was related to the induction of programmed cell death, as indicated by an increase in the sub-G1 fraction and translocation of phosphatidylserine to the outer membrane. Programmed cell death was associated with the release of cytochrome c from the mitochondria into the cytosol and activation of the intrinsic cascade of caspases, indicating that HOXC9 re-expression triggers the intrinsic apoptotic pathway. Collectively, our results show a strong prognostic impact of HOX gene expression in neuroblastoma, and may point towards a role of Hox-C9 in neuroblastoma spontaneous regression.","author":[{"dropping-particle":"","family":"Kocak","given":"H","non-dropping-particle":"","parse-names":false,"suffix":""},{"dropping-particle":"","family":"Ackermann","given":"S","non-dropping-particle":"","parse-names":false,"suffix":""},{"dropping-particle":"","family":"Hero","given":"B","non-dropping-particle":"","parse-names":false,"suffix":""},{"dropping-particle":"","family":"Kahlert","given":"Y","non-dropping-particle":"","parse-names":false,"suffix":""},{"dropping-particle":"","family":"Oberthuer","given":"A","non-dropping-particle":"","parse-names":false,"suffix":""},{"dropping-particle":"","family":"Juraeva","given":"D","non-dropping-particle":"","parse-names":false,"suffix":""},{"dropping-particle":"","family":"Roels","given":"F","non-dropping-particle":"","parse-names":false,"suffix":""},{"dropping-particle":"","family":"Theissen","given":"J","non-dropping-particle":"","parse-names":false,"suffix":""},{"dropping-particle":"","family":"Westermann","given":"F","non-dropping-particle":"","parse-names":false,"suffix":""},{"dropping-particle":"","family":"Deubzer","given":"H","non-dropping-particle":"","parse-names":false,"suffix":""},{"dropping-particle":"","family":"Ehemann","given":"V","non-dropping-particle":"","parse-names":false,"suffix":""},{"dropping-particle":"","family":"Brors","given":"B","non-dropping-particle":"","parse-names":false,"suffix":""},{"dropping-particle":"","family":"Odenthal","given":"M","non-dropping-particle":"","parse-names":false,"suffix":""},{"dropping-particle":"","family":"Berthold","given":"F","non-dropping-particle":"","parse-names":false,"suffix":""},{"dropping-particle":"","family":"Fischer","given":"M","non-dropping-particle":"","parse-names":false,"suffix":""}],"container-title":"Cell Death Dis","id":"ITEM-1","issued":{"date-parts":[["2013"]]},"note":"Kocak, H\nAckermann, S\nHero, B\nKahlert, Y\nOberthuer, A\nJuraeva, D\nRoels, F\nTheissen, J\nWestermann, F\nDeubzer, H\nEhemann, V\nBrors, B\nOdenthal, M\nBerthold, F\nFischer, M\neng\nResearch Support, Non-U.S. Gov't\nEngland\n2013/04/13 06:00\nCell Death Dis. 2013 Apr 11;4:e586. doi: 10.1038/cddis.2013.84.","page":"e586","title":"Hox-C9 activates the intrinsic pathway of apoptosis and is associated with spontaneous regression in neuroblastoma","type":"article-journal","volume":"4"},"uris":["http://www.mendeley.com/documents/?uuid=8adbc531-6e9a-4e44-bf0e-25d4d1c79d4c"]}],"mendeley":{"formattedCitation":"&lt;sup&gt;29&lt;/sup&gt;","plainTextFormattedCitation":"29","previouslyFormattedCitation":"&lt;sup&gt;30&lt;/sup&gt;"},"properties":{"noteIndex":0},"schema":"https://github.com/citation-style-language/schema/raw/master/csl-citation.json"}</w:instrText>
      </w:r>
      <w:r w:rsidR="00687C70" w:rsidRPr="007D59B1">
        <w:rPr>
          <w:rFonts w:cs="Arial"/>
          <w:sz w:val="22"/>
          <w:szCs w:val="22"/>
        </w:rPr>
        <w:fldChar w:fldCharType="separate"/>
      </w:r>
      <w:r w:rsidR="00687C70" w:rsidRPr="007D59B1">
        <w:rPr>
          <w:rFonts w:cs="Arial"/>
          <w:noProof/>
          <w:sz w:val="22"/>
          <w:szCs w:val="22"/>
          <w:vertAlign w:val="superscript"/>
        </w:rPr>
        <w:t>29</w:t>
      </w:r>
      <w:r w:rsidR="00687C70" w:rsidRPr="007D59B1">
        <w:rPr>
          <w:rFonts w:cs="Arial"/>
          <w:sz w:val="22"/>
          <w:szCs w:val="22"/>
        </w:rPr>
        <w:fldChar w:fldCharType="end"/>
      </w:r>
      <w:r w:rsidR="00687C70" w:rsidRPr="007D59B1">
        <w:rPr>
          <w:rFonts w:cs="Arial"/>
          <w:sz w:val="22"/>
          <w:szCs w:val="22"/>
        </w:rPr>
        <w:t xml:space="preserve"> and </w:t>
      </w:r>
      <w:hyperlink r:id="rId9" w:history="1">
        <w:r w:rsidR="00687C70" w:rsidRPr="008A6089">
          <w:rPr>
            <w:rStyle w:val="Hyperlink"/>
            <w:rFonts w:cs="Arial"/>
            <w:sz w:val="22"/>
            <w:szCs w:val="22"/>
          </w:rPr>
          <w:t>GSE49710</w:t>
        </w:r>
      </w:hyperlink>
      <w:r w:rsidR="00687C70" w:rsidRPr="007D59B1">
        <w:rPr>
          <w:rFonts w:cs="Arial"/>
          <w:sz w:val="22"/>
          <w:szCs w:val="22"/>
        </w:rPr>
        <w:fldChar w:fldCharType="begin" w:fldLock="1"/>
      </w:r>
      <w:r w:rsidR="00687C70" w:rsidRPr="007D59B1">
        <w:rPr>
          <w:rFonts w:cs="Arial"/>
          <w:sz w:val="22"/>
          <w:szCs w:val="22"/>
        </w:rPr>
        <w:instrText>ADDIN CSL_CITATION {"citationItems":[{"id":"ITEM-1","itemData":{"DOI":"10.1186/s13059-015-0694-1","ISBN":"1474-760X (Electronic)\r1474-7596 (Linking)","PMID":"26109056","abstract":"BACKGROUND: Gene expression profiling is being widely applied in cancer research to identify biomarkers for clinical endpoint prediction. Since RNA-seq provides a powerful tool for transcriptome-based applications beyond the limitations of microarrays, we sought to systematically evaluate the performance of RNA-seq-based and microarray-based classifiers in this MAQC-III/SEQC study for clinical endpoint prediction using neuroblastoma as a model. RESULTS: We generate gene expression profiles from 498 primary neuroblastomas using both RNA-seq and 44 k microarrays. Characterization of the neuroblastoma transcriptome by RNA-seq reveals that more than 48,000 genes and 200,000 transcripts are being expressed in this malignancy. We also find that RNA-seq provides much more detailed information on specific transcript expression patterns in clinico-genetic neuroblastoma subgroups than microarrays. To systematically compare the power of RNA-seq and microarray-based models in predicting clinical endpoints, we divide the cohort randomly into training and validation sets and develop 360 predictive models on six clinical endpoints of varying predictability. Evaluation of factors potentially affecting model performances reveals that prediction accuracies are most strongly influenced by the nature of the clinical endpoint, whereas technological platforms (RNA-seq vs. microarrays), RNA-seq data analysis pipelines, and feature levels (gene vs. transcript vs. exon-junction level) do not significantly affect performances of the models. CONCLUSIONS: We demonstrate that RNA-seq outperforms microarrays in determining the transcriptomic characteristics of cancer, while RNA-seq and microarray-based models perform similarly in clinical endpoint prediction. Our findings may be valuable to guide future studies on the development of gene expression-based predictive models and their implementation in clinical practice.","author":[{"dropping-particle":"","family":"Zhang","given":"W","non-dropping-particle":"","parse-names":false,"suffix":""},{"dropping-particle":"","family":"Yu","given":"Y","non-dropping-particle":"","parse-names":false,"suffix":""},{"dropping-particle":"","family":"Hertwig","given":"F","non-dropping-particle":"","parse-names":false,"suffix":""},{"dropping-particle":"","family":"Thierry-Mieg","given":"J","non-dropping-particle":"","parse-names":false,"suffix":""},{"dropping-particle":"","family":"Zhang","given":"W","non-dropping-particle":"","parse-names":false,"suffix":""},{"dropping-particle":"","family":"Thierry-Mieg","given":"D","non-dropping-particle":"","parse-names":false,"suffix":""},{"dropping-particle":"","family":"Wang","given":"J","non-dropping-particle":"","parse-names":false,"suffix":""},{"dropping-particle":"","family":"Furlanello","given":"C","non-dropping-particle":"","parse-names":false,"suffix":""},{"dropping-particle":"","family":"Devanarayan","given":"V","non-dropping-particle":"","parse-names":false,"suffix":""},{"dropping-particle":"","family":"Cheng","given":"J","non-dropping-particle":"","parse-names":false,"suffix":""},{"dropping-particle":"","family":"Deng","given":"Y","non-dropping-particle":"","parse-names":false,"suffix":""},{"dropping-particle":"","family":"Hero","given":"B","non-dropping-particle":"","parse-names":false,"suffix":""},{"dropping-particle":"","family":"Hong","given":"H","non-dropping-particle":"","parse-names":false,"suffix":""},{"dropping-particle":"","family":"Jia","given":"M","non-dropping-particle":"","parse-names":false,"suffix":""},{"dropping-particle":"","family":"Li","given":"L","non-dropping-particle":"","parse-names":false,"suffix":""},{"dropping-particle":"","family":"Lin","given":"S M","non-dropping-particle":"","parse-names":false,"suffix":""},{"dropping-particle":"","family":"Nikolsky","given":"Y","non-dropping-particle":"","parse-names":false,"suffix":""},{"dropping-particle":"","family":"Oberthuer","given":"A","non-dropping-particle":"","parse-names":false,"suffix":""},{"dropping-particle":"","family":"Qing","given":"T","non-dropping-particle":"","parse-names":false,"suffix":""},{"dropping-particle":"","family":"Su","given":"Z","non-dropping-particle":"","parse-names":false,"suffix":""},{"dropping-particle":"","family":"Volland","given":"R","non-dropping-particle":"","parse-names":false,"suffix":""},{"dropping-particle":"","family":"Wang","given":"C","non-dropping-particle":"","parse-names":false,"suffix":""},{"dropping-particle":"","family":"Wang","given":"M D","non-dropping-particle":"","parse-names":false,"suffix":""},{"dropping-particle":"","family":"Ai","given":"J","non-dropping-particle":"","parse-names":false,"suffix":""},{"dropping-particle":"","family":"Albanese","given":"D","non-dropping-particle":"","parse-names":false,"suffix":""},{"dropping-particle":"","family":"Asgharzadeh","given":"S","non-dropping-particle":"","parse-names":false,"suffix":""},{"dropping-particle":"","family":"Avigad","given":"S","non-dropping-particle":"","parse-names":false,"suffix":""},{"dropping-particle":"","family":"Bao","given":"W","non-dropping-particle":"","parse-names":false,"suffix":""},{"dropping-particle":"","family":"Bessarabova","given":"M","non-dropping-particle":"","parse-names":false,"suffix":""},{"dropping-particle":"","family":"Brilliant","given":"M H","non-dropping-particle":"","parse-names":false,"suffix":""},{"dropping-particle":"","family":"Brors","given":"B","non-dropping-particle":"","parse-names":false,"suffix":""},{"dropping-particle":"","family":"Chierici","given":"M","non-dropping-particle":"","parse-names":false,"suffix":""},{"dropping-particle":"","family":"Chu","given":"T M","non-dropping-particle":"","parse-names":false,"suffix":""},{"dropping-particle":"","family":"Zhang","given":"J","non-dropping-particle":"","parse-names":false,"suffix":""},{"dropping-particle":"","family":"Grundy","given":"R G","non-dropping-particle":"","parse-names":false,"suffix":""},{"dropping-particle":"","family":"He","given":"M M","non-dropping-particle":"","parse-names":false,"suffix":""},{"dropping-particle":"","family":"Hebbring","given":"S","non-dropping-particle":"","parse-names":false,"suffix":""},{"dropping-particle":"","family":"Kaufman","given":"H L","non-dropping-particle":"","parse-names":false,"suffix":""},{"dropping-particle":"","family":"Lababidi","given":"S","non-dropping-particle":"","parse-names":false,"suffix":""},{"dropping-particle":"","family":"Lancashire","given":"L J","non-dropping-particle":"","parse-names":false,"suffix":""},{"dropping-particle":"","family":"Li","given":"Y","non-dropping-particle":"","parse-names":false,"suffix":""},{"dropping-particle":"","family":"Lu","given":"X X","non-dropping-particle":"","parse-names":false,"suffix":""},{"dropping-particle":"","family":"Luo","given":"H","non-dropping-particle":"","parse-names":false,"suffix":""},{"dropping-particle":"","family":"Ma","given":"X","non-dropping-particle":"","parse-names":false,"suffix":""},{"dropping-particle":"","family":"Ning","given":"B","non-dropping-particle":"","parse-names":false,"suffix":""},{"dropping-particle":"","family":"Noguera","given":"R","non-dropping-particle":"","parse-names":false,"suffix":""},{"dropping-particle":"","family":"Peifer","given":"M","non-dropping-particle":"","parse-names":false,"suffix":""},{"dropping-particle":"","family":"Phan","given":"J H","non-dropping-particle":"","parse-names":false,"suffix":""},{"dropping-particle":"","family":"Roels","given":"F","non-dropping-particle":"","parse-names":false,"suffix":""},{"dropping-particle":"","family":"Rosswog","given":"C","non-dropping-particle":"","parse-names":false,"suffix":""},{"dropping-particle":"","family":"Shao","given":"S","non-dropping-particle":"","parse-names":false,"suffix":""},{"dropping-particle":"","family":"Shen","given":"J","non-dropping-particle":"","parse-names":false,"suffix":""},{"dropping-particle":"","family":"Theissen","given":"J","non-dropping-particle":"","parse-names":false,"suffix":""},{"dropping-particle":"","family":"Tonini","given":"G P","non-dropping-particle":"","parse-names":false,"suffix":""},{"dropping-particle":"","family":"Vandesompele","given":"J","non-dropping-particle":"","parse-names":false,"suffix":""},{"dropping-particle":"","family":"Wu","given":"P Y","non-dropping-particle":"","parse-names":false,"suffix":""},{"dropping-particle":"","family":"Xiao","given":"W","non-dropping-particle":"","parse-names":false,"suffix":""},{"dropping-particle":"","family":"Xu","given":"J","non-dropping-particle":"","parse-names":false,"suffix":""},{"dropping-particle":"","family":"Xu","given":"W","non-dropping-particle":"","parse-names":false,"suffix":""},{"dropping-particle":"","family":"Xuan","given":"J","non-dropping-particle":"","parse-names":false,"suffix":""},{"dropping-particle":"","family":"Yang","given":"Y","non-dropping-particle":"","parse-names":false,"suffix":""},{"dropping-particle":"","family":"Ye","given":"Z","non-dropping-particle":"","parse-names":false,"suffix":""},{"dropping-particle":"","family":"Dong","given":"Z","non-dropping-particle":"","parse-names":false,"suffix":""},{"dropping-particle":"","family":"Zhang","given":"K K","non-dropping-particle":"","parse-names":false,"suffix":""},{"dropping-particle":"","family":"Yin","given":"Y","non-dropping-particle":"","parse-names":false,"suffix":""},{"dropping-particle":"","family":"Zhao","given":"C","non-dropping-particle":"","parse-names":false,"suffix":""},{"dropping-particle":"","family":"Zheng","given":"Y","non-dropping-particle":"","parse-names":false,"suffix":""},{"dropping-particle":"","family":"Wolfinger","given":"R D","non-dropping-particle":"","parse-names":false,"suffix":""},{"dropping-particle":"","family":"Shi","given":"T","non-dropping-particle":"","parse-names":false,"suffix":""},{"dropping-particle":"","family":"Malkas","given":"L H","non-dropping-particle":"","parse-names":false,"suffix":""},{"dropping-particle":"","family":"Berthold","given":"F","non-dropping-particle":"","parse-names":false,"suffix":""},{"dropping-particle":"","family":"Wang","given":"J","non-dropping-particle":"","parse-names":false,"suffix":""},{"dropping-particle":"","family":"Tong","given":"W","non-dropping-particle":"","parse-names":false,"suffix":""},{"dropping-particle":"","family":"Shi","given":"L","non-dropping-particle":"","parse-names":false,"suffix":""},{"dropping-particle":"","family":"Peng","given":"Z","non-dropping-particle":"","parse-names":false,"suffix":""},{"dropping-particle":"","family":"Fischer","given":"M","non-dropping-particle":"","parse-names":false,"suffix":""}],"container-title":"Genome Biol","id":"ITEM-1","issued":{"date-parts":[["2015"]]},"note":"Zhang, Wenqian\nYu, Ying\nHertwig, Falk\nThierry-Mieg, Jean\nZhang, Wenwei\nThierry-Mieg, Danielle\nWang, Jian\nFurlanello, Cesare\nDevanarayan, Viswanath\nCheng, Jie\nDeng, Youping\nHero, Barbara\nHong, Huixiao\nJia, Meiwen\nLi, Li\nLin, Simon M\nNikolsky, Yuri\nOberthuer, Andre\nQing, Tao\nSu, Zhenqiang\nVolland, Ruth\nWang, Charles\nWang, May D\nAi, Junmei\nAlbanese, Davide\nAsgharzadeh, Shahab\nAvigad, Smadar\nBao, Wenjun\nBessarabova, Marina\nBrilliant, Murray H\nBrors, Benedikt\nChierici, Marco\nChu, Tzu-Ming\nZhang, Jibin\nGrundy, Richard G\nHe, Min Max\nHebbring, Scott\nKaufman, Howard L\nLababidi, Samir\nLancashire, Lee J\nLi, Yan\nLu, Xin X\nLuo, Heng\nMa, Xiwen\nNing, Baitang\nNoguera, Rosa\nPeifer, Martin\nPhan, John H\nRoels, Frederik\nRosswog, Carolina\nShao, Susan\nShen, Jie\nTheissen, Jessica\nTonini, Gian Paolo\nVandesompele, Jo\nWu, Po-Yen\nXiao, Wenzhong\nXu, Joshua\nXu, Weihong\nXuan, Jiekun\nYang, Yong\nYe, Zhan\nDong, Zirui\nZhang, Ke K\nYin, Ye\nZhao, Chen\nZheng, Yuanting\nWolfinger, Russell D\nShi, Tieliu\nMalkas, Linda H\nBerthold, Frank\nWang, Jun\nTong, Weida\nShi, Leming\nPeng, Zhiyu\nFischer, Matthias\neng\nR01 CA163256/CA/NCI NIH HHS/\nP01 HG000205/HG/NHGRI NIH HHS/\nU54CA119338/CA/NCI NIH HHS/\nR21 AA020104/AA/NIAAA NIH HHS/\nU54 CA119338/CA/NCI NIH HHS/\nR01CA163256/CA/NCI NIH HHS/\n1RC2CA148265/CA/NCI NIH HHS/\nRC2 CA148265/CA/NCI NIH HHS/\nComparative Study\nEvaluation Studies\nResearch Support, N.I.H., Extramural\nResearch Support, Non-U.S. Gov't\nEngland\n2015/06/26 06:00\nGenome Biol. 2015 Jun 25;16:133. doi: 10.1186/s13059-015-0694-1.","page":"133","title":"Comparison of RNA-seq and microarray-based models for clinical endpoint prediction","type":"article-journal","volume":"16"},"uris":["http://www.mendeley.com/documents/?uuid=21379eb8-c072-4ca1-ad40-8700f4f3f313","http://www.mendeley.com/documents/?uuid=b90344df-6c83-4299-930b-b95bae1ef47c"]}],"mendeley":{"formattedCitation":"&lt;sup&gt;28&lt;/sup&gt;","plainTextFormattedCitation":"28","previouslyFormattedCitation":"&lt;sup&gt;29&lt;/sup&gt;"},"properties":{"noteIndex":0},"schema":"https://github.com/citation-style-language/schema/raw/master/csl-citation.json"}</w:instrText>
      </w:r>
      <w:r w:rsidR="00687C70" w:rsidRPr="007D59B1">
        <w:rPr>
          <w:rFonts w:cs="Arial"/>
          <w:sz w:val="22"/>
          <w:szCs w:val="22"/>
        </w:rPr>
        <w:fldChar w:fldCharType="separate"/>
      </w:r>
      <w:r w:rsidR="00687C70" w:rsidRPr="007D59B1">
        <w:rPr>
          <w:rFonts w:cs="Arial"/>
          <w:noProof/>
          <w:sz w:val="22"/>
          <w:szCs w:val="22"/>
          <w:vertAlign w:val="superscript"/>
        </w:rPr>
        <w:t>28</w:t>
      </w:r>
      <w:r w:rsidR="00687C70" w:rsidRPr="007D59B1">
        <w:rPr>
          <w:rFonts w:cs="Arial"/>
          <w:sz w:val="22"/>
          <w:szCs w:val="22"/>
        </w:rPr>
        <w:fldChar w:fldCharType="end"/>
      </w:r>
      <w:r w:rsidR="00687C70">
        <w:rPr>
          <w:rFonts w:cs="Arial"/>
          <w:sz w:val="22"/>
          <w:szCs w:val="22"/>
        </w:rPr>
        <w:t xml:space="preserve">. </w:t>
      </w:r>
      <w:r w:rsidR="00687C70">
        <w:rPr>
          <w:rFonts w:cs="Arial"/>
          <w:color w:val="000000" w:themeColor="text1"/>
          <w:sz w:val="22"/>
          <w:szCs w:val="22"/>
        </w:rPr>
        <w:t xml:space="preserve">The data </w:t>
      </w:r>
      <w:proofErr w:type="spellStart"/>
      <w:r w:rsidR="00687C70">
        <w:rPr>
          <w:rFonts w:cs="Arial"/>
          <w:color w:val="000000" w:themeColor="text1"/>
          <w:sz w:val="22"/>
          <w:szCs w:val="22"/>
        </w:rPr>
        <w:t>analyzed</w:t>
      </w:r>
      <w:proofErr w:type="spellEnd"/>
      <w:r w:rsidR="00687C70">
        <w:rPr>
          <w:rFonts w:cs="Arial"/>
          <w:color w:val="000000" w:themeColor="text1"/>
          <w:sz w:val="22"/>
          <w:szCs w:val="22"/>
        </w:rPr>
        <w:t xml:space="preserve"> in Supplementary </w:t>
      </w:r>
      <w:r w:rsidR="00771E27">
        <w:rPr>
          <w:rFonts w:cs="Arial"/>
          <w:color w:val="000000" w:themeColor="text1"/>
          <w:sz w:val="22"/>
          <w:szCs w:val="22"/>
        </w:rPr>
        <w:t>Fig</w:t>
      </w:r>
      <w:r w:rsidR="00687C70">
        <w:rPr>
          <w:rFonts w:cs="Arial"/>
          <w:color w:val="000000" w:themeColor="text1"/>
          <w:sz w:val="22"/>
          <w:szCs w:val="22"/>
        </w:rPr>
        <w:t xml:space="preserve">s 8d and e </w:t>
      </w:r>
      <w:r w:rsidR="00687C70" w:rsidRPr="004F24F9">
        <w:rPr>
          <w:rFonts w:cs="Arial"/>
          <w:color w:val="000000" w:themeColor="text1"/>
          <w:sz w:val="22"/>
          <w:szCs w:val="22"/>
        </w:rPr>
        <w:t xml:space="preserve">can be </w:t>
      </w:r>
      <w:r w:rsidR="00687C70" w:rsidRPr="009D44D9">
        <w:rPr>
          <w:rFonts w:cs="Arial"/>
          <w:i/>
          <w:iCs/>
          <w:color w:val="000000" w:themeColor="text1"/>
          <w:sz w:val="22"/>
          <w:szCs w:val="22"/>
        </w:rPr>
        <w:t>accessed</w:t>
      </w:r>
      <w:r w:rsidR="00687C70" w:rsidRPr="004F24F9">
        <w:rPr>
          <w:rFonts w:cs="Arial"/>
          <w:color w:val="000000" w:themeColor="text1"/>
          <w:sz w:val="22"/>
          <w:szCs w:val="22"/>
        </w:rPr>
        <w:t xml:space="preserve"> through</w:t>
      </w:r>
      <w:r w:rsidR="00687C70">
        <w:rPr>
          <w:rFonts w:cs="Arial"/>
          <w:color w:val="000000" w:themeColor="text1"/>
          <w:sz w:val="22"/>
          <w:szCs w:val="22"/>
        </w:rPr>
        <w:t xml:space="preserve"> </w:t>
      </w:r>
      <w:proofErr w:type="spellStart"/>
      <w:r w:rsidR="00687C70" w:rsidRPr="004F24F9">
        <w:rPr>
          <w:rFonts w:cs="Arial"/>
          <w:color w:val="000000" w:themeColor="text1"/>
          <w:sz w:val="22"/>
          <w:szCs w:val="22"/>
        </w:rPr>
        <w:t>ArrayExpress</w:t>
      </w:r>
      <w:proofErr w:type="spellEnd"/>
      <w:r w:rsidR="00687C70" w:rsidRPr="004F24F9">
        <w:rPr>
          <w:rFonts w:cs="Arial"/>
          <w:color w:val="000000" w:themeColor="text1"/>
          <w:sz w:val="22"/>
          <w:szCs w:val="22"/>
        </w:rPr>
        <w:t xml:space="preserve"> </w:t>
      </w:r>
      <w:r w:rsidR="00687C70">
        <w:rPr>
          <w:rFonts w:cs="Arial"/>
          <w:color w:val="000000" w:themeColor="text1"/>
          <w:sz w:val="22"/>
          <w:szCs w:val="22"/>
        </w:rPr>
        <w:t xml:space="preserve">with </w:t>
      </w:r>
      <w:r w:rsidR="00687C70" w:rsidRPr="004F24F9">
        <w:rPr>
          <w:rFonts w:cs="Arial"/>
          <w:color w:val="000000" w:themeColor="text1"/>
          <w:sz w:val="22"/>
          <w:szCs w:val="22"/>
        </w:rPr>
        <w:t xml:space="preserve">accession </w:t>
      </w:r>
      <w:r w:rsidR="00687C70">
        <w:rPr>
          <w:rFonts w:cs="Arial"/>
          <w:color w:val="000000" w:themeColor="text1"/>
          <w:sz w:val="22"/>
          <w:szCs w:val="22"/>
        </w:rPr>
        <w:t>code</w:t>
      </w:r>
      <w:r w:rsidR="00687C70" w:rsidRPr="004F24F9">
        <w:rPr>
          <w:rFonts w:cs="Arial"/>
          <w:color w:val="000000" w:themeColor="text1"/>
          <w:sz w:val="22"/>
          <w:szCs w:val="22"/>
        </w:rPr>
        <w:t xml:space="preserve"> E-MTAB-320</w:t>
      </w:r>
      <w:r w:rsidR="00687C70">
        <w:rPr>
          <w:rFonts w:cs="Arial"/>
          <w:color w:val="000000" w:themeColor="text1"/>
          <w:sz w:val="22"/>
          <w:szCs w:val="22"/>
        </w:rPr>
        <w:t>5</w:t>
      </w:r>
      <w:r w:rsidR="00687C70">
        <w:rPr>
          <w:rFonts w:cs="Arial"/>
          <w:color w:val="000000" w:themeColor="text1"/>
          <w:sz w:val="22"/>
          <w:szCs w:val="22"/>
        </w:rPr>
        <w:fldChar w:fldCharType="begin" w:fldLock="1"/>
      </w:r>
      <w:r w:rsidR="00687C70">
        <w:rPr>
          <w:rFonts w:cs="Arial"/>
          <w:color w:val="000000" w:themeColor="text1"/>
          <w:sz w:val="22"/>
          <w:szCs w:val="22"/>
        </w:rPr>
        <w:instrText>ADDIN CSL_CITATION {"citationItems":[{"id":"ITEM-1","itemData":{"DOI":"10.1158/1078-0432.CCR-14-2024","ISSN":"1078-0432","PMID":"25805801","abstract":"PURPOSE Activating ALK mutations are present in almost 10% of primary neuroblastomas and mark patients for treatment with small-molecule ALK inhibitors in clinical trials. However, recent studies have shown that multiple mechanisms drive resistance to these molecular therapies. We anticipated that detailed mapping of the oncogenic ALK-driven signaling in neuroblastoma can aid to identify potential fragile nodes as additional targets for combination therapies. EXPERIMENTAL DESIGN To achieve this goal, transcriptome profiling was performed in neuroblastoma cell lines with the ALK(F1174L) or ALK(R1275Q) hotspot mutations, ALK amplification, or wild-type ALK following pharmacologic inhibition of ALK using four different compounds. Next, we performed cross-species genomic analyses to identify commonly transcriptionally perturbed genes in MYCN/ALK(F1174L) double transgenic versus MYCN transgenic mouse tumors as compared with the mutant ALK-driven transcriptome in human neuroblastomas. RESULTS A 77-gene ALK signature was established and successfully validated in primary neuroblastoma samples, in a neuroblastoma cell line with ALK(F1174L) and ALK(R1275Q) regulable overexpression constructs and in other ALKomas. In addition to the previously established PI3K/AKT/mTOR, MAPK/ERK, and MYC/MYCN signaling branches, we identified that mutant ALK drives a strong upregulation of MAPK negative feedback regulators and upregulates RET and RET-driven sympathetic neuronal markers of the cholinergic lineage. CONCLUSIONS We provide important novel insights into the transcriptional consequences and the complexity of mutant ALK signaling in this aggressive pediatric tumor. The negative feedback loop of MAPK pathway inhibitors may affect novel ALK inhibition therapies, whereas mutant ALK induced RET signaling can offer novel opportunities for testing ALK-RET oriented molecular combination therapies.","author":[{"dropping-particle":"","family":"Lambertz","given":"I.","non-dropping-particle":"","parse-names":false,"suffix":""},{"dropping-particle":"","family":"Kumps","given":"C.","non-dropping-particle":"","parse-names":false,"suffix":""},{"dropping-particle":"","family":"Claeys","given":"S.","non-dropping-particle":"","parse-names":false,"suffix":""},{"dropping-particle":"","family":"Lindner","given":"S.","non-dropping-particle":"","parse-names":false,"suffix":""},{"dropping-particle":"","family":"Beckers","given":"A.","non-dropping-particle":"","parse-names":false,"suffix":""},{"dropping-particle":"","family":"Janssens","given":"E.","non-dropping-particle":"","parse-names":false,"suffix":""},{"dropping-particle":"","family":"Carter","given":"D. R.","non-dropping-particle":"","parse-names":false,"suffix":""},{"dropping-particle":"","family":"Cazes","given":"A.","non-dropping-particle":"","parse-names":false,"suffix":""},{"dropping-particle":"","family":"Cheung","given":"B. B.","non-dropping-particle":"","parse-names":false,"suffix":""},{"dropping-particle":"","family":"Mariano","given":"M.","non-dropping-particle":"De","parse-names":false,"suffix":""},{"dropping-particle":"","family":"Bondt","given":"A.","non-dropping-particle":"De","parse-names":false,"suffix":""},{"dropping-particle":"","family":"Brouwer","given":"S.","non-dropping-particle":"De","parse-names":false,"suffix":""},{"dropping-particle":"","family":"Delattre","given":"O.","non-dropping-particle":"","parse-names":false,"suffix":""},{"dropping-particle":"","family":"Gibbons","given":"J.","non-dropping-particle":"","parse-names":false,"suffix":""},{"dropping-particle":"","family":"Janoueix-Lerosey","given":"I.","non-dropping-particle":"","parse-names":false,"suffix":""},{"dropping-particle":"","family":"Laureys","given":"G.","non-dropping-particle":"","parse-names":false,"suffix":""},{"dropping-particle":"","family":"Liang","given":"C.","non-dropping-particle":"","parse-names":false,"suffix":""},{"dropping-particle":"","family":"Marchall","given":"G. M.","non-dropping-particle":"","parse-names":false,"suffix":""},{"dropping-particle":"","family":"Porcu","given":"M.","non-dropping-particle":"","parse-names":false,"suffix":""},{"dropping-particle":"","family":"Takita","given":"J.","non-dropping-particle":"","parse-names":false,"suffix":""},{"dropping-particle":"","family":"Trujillo","given":"D. C.","non-dropping-particle":"","parse-names":false,"suffix":""},{"dropping-particle":"","family":"Wyngaert","given":"I.","non-dropping-particle":"Van Den","parse-names":false,"suffix":""},{"dropping-particle":"","family":"Roy","given":"N.","non-dropping-particle":"Van","parse-names":false,"suffix":""},{"dropping-particle":"","family":"Goethem","given":"A.","non-dropping-particle":"Van","parse-names":false,"suffix":""},{"dropping-particle":"","family":"Maerken","given":"T.","non-dropping-particle":"Van","parse-names":false,"suffix":""},{"dropping-particle":"","family":"Zabrocki","given":"P.","non-dropping-particle":"","parse-names":false,"suffix":""},{"dropping-particle":"","family":"Cools","given":"J.","non-dropping-particle":"","parse-names":false,"suffix":""},{"dropping-particle":"","family":"Schulte","given":"J. H.","non-dropping-particle":"","parse-names":false,"suffix":""},{"dropping-particle":"","family":"Vialard","given":"J.","non-dropping-particle":"","parse-names":false,"suffix":""},{"dropping-particle":"","family":"Speleman","given":"F.","non-dropping-particle":"","parse-names":false,"suffix":""},{"dropping-particle":"","family":"Preter","given":"K.","non-dropping-particle":"De","parse-names":false,"suffix":""}],"container-title":"Clinical Cancer Research","id":"ITEM-1","issue":"14","issued":{"date-parts":[["2015","7","15"]]},"page":"3327-3339","title":"Upregulation of MAPK Negative Feedback Regulators and RET in Mutant ALK Neuroblastoma: Implications for Targeted Treatment","type":"article-journal","volume":"21"},"uris":["http://www.mendeley.com/documents/?uuid=f9d2f58d-52a0-3750-8513-c9cbec2168de"]}],"mendeley":{"formattedCitation":"&lt;sup&gt;49&lt;/sup&gt;","plainTextFormattedCitation":"49"},"properties":{"noteIndex":0},"schema":"https://github.com/citation-style-language/schema/raw/master/csl-citation.json"}</w:instrText>
      </w:r>
      <w:r w:rsidR="00687C70">
        <w:rPr>
          <w:rFonts w:cs="Arial"/>
          <w:color w:val="000000" w:themeColor="text1"/>
          <w:sz w:val="22"/>
          <w:szCs w:val="22"/>
        </w:rPr>
        <w:fldChar w:fldCharType="separate"/>
      </w:r>
      <w:r w:rsidR="00687C70" w:rsidRPr="004F24F9">
        <w:rPr>
          <w:rFonts w:cs="Arial"/>
          <w:noProof/>
          <w:color w:val="000000" w:themeColor="text1"/>
          <w:sz w:val="22"/>
          <w:szCs w:val="22"/>
          <w:vertAlign w:val="superscript"/>
        </w:rPr>
        <w:t>49</w:t>
      </w:r>
      <w:r w:rsidR="00687C70">
        <w:rPr>
          <w:rFonts w:cs="Arial"/>
          <w:color w:val="000000" w:themeColor="text1"/>
          <w:sz w:val="22"/>
          <w:szCs w:val="22"/>
        </w:rPr>
        <w:fldChar w:fldCharType="end"/>
      </w:r>
      <w:r w:rsidR="00687C70">
        <w:rPr>
          <w:rFonts w:cs="Arial"/>
          <w:color w:val="000000" w:themeColor="text1"/>
          <w:sz w:val="22"/>
          <w:szCs w:val="22"/>
        </w:rPr>
        <w:t>.</w:t>
      </w:r>
    </w:p>
    <w:p w14:paraId="4263CA1A" w14:textId="7726BB50" w:rsidR="002B05A8" w:rsidRDefault="002B05A8" w:rsidP="00202A3C">
      <w:pPr>
        <w:spacing w:line="360" w:lineRule="auto"/>
        <w:jc w:val="both"/>
        <w:rPr>
          <w:rFonts w:cs="Arial"/>
          <w:color w:val="000000" w:themeColor="text1"/>
          <w:sz w:val="22"/>
          <w:szCs w:val="22"/>
        </w:rPr>
      </w:pPr>
    </w:p>
    <w:p w14:paraId="14260151" w14:textId="77777777" w:rsidR="008804DA" w:rsidRPr="007D59B1" w:rsidRDefault="008804DA" w:rsidP="008804DA">
      <w:pPr>
        <w:rPr>
          <w:rFonts w:cs="Arial"/>
          <w:b/>
          <w:sz w:val="22"/>
          <w:szCs w:val="22"/>
        </w:rPr>
      </w:pPr>
      <w:r w:rsidRPr="007D59B1">
        <w:rPr>
          <w:rFonts w:cs="Arial"/>
          <w:b/>
          <w:sz w:val="22"/>
          <w:szCs w:val="22"/>
        </w:rPr>
        <w:t>References</w:t>
      </w:r>
    </w:p>
    <w:p w14:paraId="110D49EF" w14:textId="77777777" w:rsidR="008804DA" w:rsidRPr="007D59B1" w:rsidRDefault="008804DA" w:rsidP="008804DA">
      <w:pPr>
        <w:rPr>
          <w:rFonts w:cs="Arial"/>
          <w:sz w:val="22"/>
          <w:szCs w:val="22"/>
        </w:rPr>
      </w:pPr>
    </w:p>
    <w:p w14:paraId="5315B6F0" w14:textId="6BF465C9" w:rsidR="004F24F9" w:rsidRPr="004F24F9" w:rsidRDefault="008804DA" w:rsidP="004F24F9">
      <w:pPr>
        <w:widowControl w:val="0"/>
        <w:autoSpaceDE w:val="0"/>
        <w:autoSpaceDN w:val="0"/>
        <w:adjustRightInd w:val="0"/>
        <w:ind w:left="640" w:hanging="640"/>
        <w:rPr>
          <w:rFonts w:cs="Arial"/>
          <w:noProof/>
          <w:sz w:val="22"/>
          <w:szCs w:val="24"/>
        </w:rPr>
      </w:pPr>
      <w:r w:rsidRPr="007D59B1">
        <w:rPr>
          <w:rFonts w:cs="Arial"/>
          <w:sz w:val="22"/>
          <w:szCs w:val="22"/>
        </w:rPr>
        <w:fldChar w:fldCharType="begin" w:fldLock="1"/>
      </w:r>
      <w:r w:rsidRPr="007D59B1">
        <w:rPr>
          <w:rFonts w:cs="Arial"/>
          <w:sz w:val="22"/>
          <w:szCs w:val="22"/>
        </w:rPr>
        <w:instrText xml:space="preserve">ADDIN Mendeley Bibliography CSL_BIBLIOGRAPHY </w:instrText>
      </w:r>
      <w:r w:rsidRPr="007D59B1">
        <w:rPr>
          <w:rFonts w:cs="Arial"/>
          <w:sz w:val="22"/>
          <w:szCs w:val="22"/>
        </w:rPr>
        <w:fldChar w:fldCharType="separate"/>
      </w:r>
      <w:r w:rsidR="004F24F9" w:rsidRPr="004F24F9">
        <w:rPr>
          <w:rFonts w:cs="Arial"/>
          <w:noProof/>
          <w:sz w:val="22"/>
          <w:szCs w:val="24"/>
        </w:rPr>
        <w:t>1.</w:t>
      </w:r>
      <w:r w:rsidR="004F24F9" w:rsidRPr="004F24F9">
        <w:rPr>
          <w:rFonts w:cs="Arial"/>
          <w:noProof/>
          <w:sz w:val="22"/>
          <w:szCs w:val="24"/>
        </w:rPr>
        <w:tab/>
        <w:t xml:space="preserve">Spix, C., Pastore, G., Sankila, R., Stiller, C. A. &amp; Steliarova-Foucher, E. Neuroblastoma incidence and survival in European children (1978-1997): report from </w:t>
      </w:r>
      <w:r w:rsidR="004F24F9" w:rsidRPr="004F24F9">
        <w:rPr>
          <w:rFonts w:cs="Arial"/>
          <w:noProof/>
          <w:sz w:val="22"/>
          <w:szCs w:val="24"/>
        </w:rPr>
        <w:lastRenderedPageBreak/>
        <w:t xml:space="preserve">the Automated Childhood Cancer Information System project. </w:t>
      </w:r>
      <w:r w:rsidR="004F24F9" w:rsidRPr="004F24F9">
        <w:rPr>
          <w:rFonts w:cs="Arial"/>
          <w:i/>
          <w:iCs/>
          <w:noProof/>
          <w:sz w:val="22"/>
          <w:szCs w:val="24"/>
        </w:rPr>
        <w:t>Eur. J. Cancer</w:t>
      </w:r>
      <w:r w:rsidR="004F24F9" w:rsidRPr="004F24F9">
        <w:rPr>
          <w:rFonts w:cs="Arial"/>
          <w:noProof/>
          <w:sz w:val="22"/>
          <w:szCs w:val="24"/>
        </w:rPr>
        <w:t xml:space="preserve"> </w:t>
      </w:r>
      <w:r w:rsidR="004F24F9" w:rsidRPr="004F24F9">
        <w:rPr>
          <w:rFonts w:cs="Arial"/>
          <w:b/>
          <w:bCs/>
          <w:noProof/>
          <w:sz w:val="22"/>
          <w:szCs w:val="24"/>
        </w:rPr>
        <w:t>42</w:t>
      </w:r>
      <w:r w:rsidR="004F24F9" w:rsidRPr="004F24F9">
        <w:rPr>
          <w:rFonts w:cs="Arial"/>
          <w:noProof/>
          <w:sz w:val="22"/>
          <w:szCs w:val="24"/>
        </w:rPr>
        <w:t>, 2081–2091 (2006).</w:t>
      </w:r>
    </w:p>
    <w:p w14:paraId="0317F939"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2.</w:t>
      </w:r>
      <w:r w:rsidRPr="004F24F9">
        <w:rPr>
          <w:rFonts w:cs="Arial"/>
          <w:noProof/>
          <w:sz w:val="22"/>
          <w:szCs w:val="24"/>
        </w:rPr>
        <w:tab/>
        <w:t xml:space="preserve">Smith, M. A. </w:t>
      </w:r>
      <w:r w:rsidRPr="004F24F9">
        <w:rPr>
          <w:rFonts w:cs="Arial"/>
          <w:i/>
          <w:iCs/>
          <w:noProof/>
          <w:sz w:val="22"/>
          <w:szCs w:val="24"/>
        </w:rPr>
        <w:t>et al.</w:t>
      </w:r>
      <w:r w:rsidRPr="004F24F9">
        <w:rPr>
          <w:rFonts w:cs="Arial"/>
          <w:noProof/>
          <w:sz w:val="22"/>
          <w:szCs w:val="24"/>
        </w:rPr>
        <w:t xml:space="preserve"> Outcomes for children and adolescents with cancer: challenges for the twenty-first century. </w:t>
      </w:r>
      <w:r w:rsidRPr="004F24F9">
        <w:rPr>
          <w:rFonts w:cs="Arial"/>
          <w:i/>
          <w:iCs/>
          <w:noProof/>
          <w:sz w:val="22"/>
          <w:szCs w:val="24"/>
        </w:rPr>
        <w:t>J Clin Oncol</w:t>
      </w:r>
      <w:r w:rsidRPr="004F24F9">
        <w:rPr>
          <w:rFonts w:cs="Arial"/>
          <w:noProof/>
          <w:sz w:val="22"/>
          <w:szCs w:val="24"/>
        </w:rPr>
        <w:t xml:space="preserve"> </w:t>
      </w:r>
      <w:r w:rsidRPr="004F24F9">
        <w:rPr>
          <w:rFonts w:cs="Arial"/>
          <w:b/>
          <w:bCs/>
          <w:noProof/>
          <w:sz w:val="22"/>
          <w:szCs w:val="24"/>
        </w:rPr>
        <w:t>28</w:t>
      </w:r>
      <w:r w:rsidRPr="004F24F9">
        <w:rPr>
          <w:rFonts w:cs="Arial"/>
          <w:noProof/>
          <w:sz w:val="22"/>
          <w:szCs w:val="24"/>
        </w:rPr>
        <w:t>, 2625–2634 (2010).</w:t>
      </w:r>
    </w:p>
    <w:p w14:paraId="49C09FA0"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w:t>
      </w:r>
      <w:r w:rsidRPr="004F24F9">
        <w:rPr>
          <w:rFonts w:cs="Arial"/>
          <w:noProof/>
          <w:sz w:val="22"/>
          <w:szCs w:val="24"/>
        </w:rPr>
        <w:tab/>
        <w:t xml:space="preserve">Maris, J. M., Hogarty, M. D., Bagatell, R. &amp; Cohn, S. L. Neuroblastoma. </w:t>
      </w:r>
      <w:r w:rsidRPr="004F24F9">
        <w:rPr>
          <w:rFonts w:cs="Arial"/>
          <w:i/>
          <w:iCs/>
          <w:noProof/>
          <w:sz w:val="22"/>
          <w:szCs w:val="24"/>
        </w:rPr>
        <w:t>Lancet</w:t>
      </w:r>
      <w:r w:rsidRPr="004F24F9">
        <w:rPr>
          <w:rFonts w:cs="Arial"/>
          <w:noProof/>
          <w:sz w:val="22"/>
          <w:szCs w:val="24"/>
        </w:rPr>
        <w:t xml:space="preserve"> </w:t>
      </w:r>
      <w:r w:rsidRPr="004F24F9">
        <w:rPr>
          <w:rFonts w:cs="Arial"/>
          <w:b/>
          <w:bCs/>
          <w:noProof/>
          <w:sz w:val="22"/>
          <w:szCs w:val="24"/>
        </w:rPr>
        <w:t>369</w:t>
      </w:r>
      <w:r w:rsidRPr="004F24F9">
        <w:rPr>
          <w:rFonts w:cs="Arial"/>
          <w:noProof/>
          <w:sz w:val="22"/>
          <w:szCs w:val="24"/>
        </w:rPr>
        <w:t>, 2106–2120 (2007).</w:t>
      </w:r>
    </w:p>
    <w:p w14:paraId="7DB8A580" w14:textId="34AF8FB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w:t>
      </w:r>
      <w:r w:rsidRPr="004F24F9">
        <w:rPr>
          <w:rFonts w:cs="Arial"/>
          <w:noProof/>
          <w:sz w:val="22"/>
          <w:szCs w:val="24"/>
        </w:rPr>
        <w:tab/>
        <w:t xml:space="preserve">Park, J. R. </w:t>
      </w:r>
      <w:r w:rsidRPr="004F24F9">
        <w:rPr>
          <w:rFonts w:cs="Arial"/>
          <w:i/>
          <w:iCs/>
          <w:noProof/>
          <w:sz w:val="22"/>
          <w:szCs w:val="24"/>
        </w:rPr>
        <w:t>et al.</w:t>
      </w:r>
      <w:r w:rsidRPr="004F24F9">
        <w:rPr>
          <w:rFonts w:cs="Arial"/>
          <w:noProof/>
          <w:sz w:val="22"/>
          <w:szCs w:val="24"/>
        </w:rPr>
        <w:t xml:space="preserve"> Children’s Oncology Group’s 2013 blueprint for research: neuroblastoma. </w:t>
      </w:r>
      <w:r w:rsidRPr="004F24F9">
        <w:rPr>
          <w:rFonts w:cs="Arial"/>
          <w:i/>
          <w:iCs/>
          <w:noProof/>
          <w:sz w:val="22"/>
          <w:szCs w:val="24"/>
        </w:rPr>
        <w:t>Pediatr Blood Cancer</w:t>
      </w:r>
      <w:r w:rsidRPr="004F24F9">
        <w:rPr>
          <w:rFonts w:cs="Arial"/>
          <w:noProof/>
          <w:sz w:val="22"/>
          <w:szCs w:val="24"/>
        </w:rPr>
        <w:t xml:space="preserve"> </w:t>
      </w:r>
      <w:r w:rsidRPr="004F24F9">
        <w:rPr>
          <w:rFonts w:cs="Arial"/>
          <w:b/>
          <w:bCs/>
          <w:noProof/>
          <w:sz w:val="22"/>
          <w:szCs w:val="24"/>
        </w:rPr>
        <w:t>60</w:t>
      </w:r>
      <w:r w:rsidRPr="004F24F9">
        <w:rPr>
          <w:rFonts w:cs="Arial"/>
          <w:noProof/>
          <w:sz w:val="22"/>
          <w:szCs w:val="24"/>
        </w:rPr>
        <w:t xml:space="preserve">, 985–993 </w:t>
      </w:r>
      <w:r w:rsidR="006548B2">
        <w:rPr>
          <w:rFonts w:cs="Arial"/>
          <w:noProof/>
          <w:sz w:val="22"/>
          <w:szCs w:val="22"/>
        </w:rPr>
        <w:t>doi</w:t>
      </w:r>
      <w:r w:rsidR="006548B2" w:rsidRPr="00212691">
        <w:rPr>
          <w:rFonts w:cs="Arial"/>
          <w:noProof/>
          <w:sz w:val="22"/>
          <w:szCs w:val="22"/>
        </w:rPr>
        <w:t>: 10.1002/pbc.24433</w:t>
      </w:r>
      <w:r w:rsidR="006548B2" w:rsidRPr="004F24F9">
        <w:rPr>
          <w:rFonts w:cs="Arial"/>
          <w:noProof/>
          <w:sz w:val="22"/>
          <w:szCs w:val="24"/>
        </w:rPr>
        <w:t xml:space="preserve"> </w:t>
      </w:r>
      <w:r w:rsidRPr="004F24F9">
        <w:rPr>
          <w:rFonts w:cs="Arial"/>
          <w:noProof/>
          <w:sz w:val="22"/>
          <w:szCs w:val="24"/>
        </w:rPr>
        <w:t>(2013).</w:t>
      </w:r>
      <w:r w:rsidR="002D35E2" w:rsidRPr="002D35E2">
        <w:rPr>
          <w:rFonts w:cs="Arial"/>
          <w:noProof/>
          <w:sz w:val="22"/>
          <w:szCs w:val="22"/>
        </w:rPr>
        <w:t xml:space="preserve"> </w:t>
      </w:r>
    </w:p>
    <w:p w14:paraId="2FB21151"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5.</w:t>
      </w:r>
      <w:r w:rsidRPr="004F24F9">
        <w:rPr>
          <w:rFonts w:cs="Arial"/>
          <w:noProof/>
          <w:sz w:val="22"/>
          <w:szCs w:val="24"/>
        </w:rPr>
        <w:tab/>
        <w:t xml:space="preserve">Gisselsson, D., Lundberg, G., Ora, I. &amp; Hoglund, M. Distinct evolutionary mechanisms for genomic imbalances in high-risk and low-risk neuroblastomas. </w:t>
      </w:r>
      <w:r w:rsidRPr="004F24F9">
        <w:rPr>
          <w:rFonts w:cs="Arial"/>
          <w:i/>
          <w:iCs/>
          <w:noProof/>
          <w:sz w:val="22"/>
          <w:szCs w:val="24"/>
        </w:rPr>
        <w:t>J Carcinog</w:t>
      </w:r>
      <w:r w:rsidRPr="004F24F9">
        <w:rPr>
          <w:rFonts w:cs="Arial"/>
          <w:noProof/>
          <w:sz w:val="22"/>
          <w:szCs w:val="24"/>
        </w:rPr>
        <w:t xml:space="preserve"> </w:t>
      </w:r>
      <w:r w:rsidRPr="004F24F9">
        <w:rPr>
          <w:rFonts w:cs="Arial"/>
          <w:b/>
          <w:bCs/>
          <w:noProof/>
          <w:sz w:val="22"/>
          <w:szCs w:val="24"/>
        </w:rPr>
        <w:t>6</w:t>
      </w:r>
      <w:r w:rsidRPr="004F24F9">
        <w:rPr>
          <w:rFonts w:cs="Arial"/>
          <w:noProof/>
          <w:sz w:val="22"/>
          <w:szCs w:val="24"/>
        </w:rPr>
        <w:t>, 15 (2007).</w:t>
      </w:r>
    </w:p>
    <w:p w14:paraId="5D4F26F7"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6.</w:t>
      </w:r>
      <w:r w:rsidRPr="004F24F9">
        <w:rPr>
          <w:rFonts w:cs="Arial"/>
          <w:noProof/>
          <w:sz w:val="22"/>
          <w:szCs w:val="24"/>
        </w:rPr>
        <w:tab/>
        <w:t xml:space="preserve">Janoueix-Lerosey, I. </w:t>
      </w:r>
      <w:r w:rsidRPr="004F24F9">
        <w:rPr>
          <w:rFonts w:cs="Arial"/>
          <w:i/>
          <w:iCs/>
          <w:noProof/>
          <w:sz w:val="22"/>
          <w:szCs w:val="24"/>
        </w:rPr>
        <w:t>et al.</w:t>
      </w:r>
      <w:r w:rsidRPr="004F24F9">
        <w:rPr>
          <w:rFonts w:cs="Arial"/>
          <w:noProof/>
          <w:sz w:val="22"/>
          <w:szCs w:val="24"/>
        </w:rPr>
        <w:t xml:space="preserve"> Overall genomic pattern is a predictor of outcome in neuroblastoma. </w:t>
      </w:r>
      <w:r w:rsidRPr="004F24F9">
        <w:rPr>
          <w:rFonts w:cs="Arial"/>
          <w:i/>
          <w:iCs/>
          <w:noProof/>
          <w:sz w:val="22"/>
          <w:szCs w:val="24"/>
        </w:rPr>
        <w:t>J Clin Oncol</w:t>
      </w:r>
      <w:r w:rsidRPr="004F24F9">
        <w:rPr>
          <w:rFonts w:cs="Arial"/>
          <w:noProof/>
          <w:sz w:val="22"/>
          <w:szCs w:val="24"/>
        </w:rPr>
        <w:t xml:space="preserve"> </w:t>
      </w:r>
      <w:r w:rsidRPr="004F24F9">
        <w:rPr>
          <w:rFonts w:cs="Arial"/>
          <w:b/>
          <w:bCs/>
          <w:noProof/>
          <w:sz w:val="22"/>
          <w:szCs w:val="24"/>
        </w:rPr>
        <w:t>27</w:t>
      </w:r>
      <w:r w:rsidRPr="004F24F9">
        <w:rPr>
          <w:rFonts w:cs="Arial"/>
          <w:noProof/>
          <w:sz w:val="22"/>
          <w:szCs w:val="24"/>
        </w:rPr>
        <w:t>, 1026–1033 (2009).</w:t>
      </w:r>
    </w:p>
    <w:p w14:paraId="4096CA11"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7.</w:t>
      </w:r>
      <w:r w:rsidRPr="004F24F9">
        <w:rPr>
          <w:rFonts w:cs="Arial"/>
          <w:noProof/>
          <w:sz w:val="22"/>
          <w:szCs w:val="24"/>
        </w:rPr>
        <w:tab/>
        <w:t xml:space="preserve">Cheung, N. K. </w:t>
      </w:r>
      <w:r w:rsidRPr="004F24F9">
        <w:rPr>
          <w:rFonts w:cs="Arial"/>
          <w:i/>
          <w:iCs/>
          <w:noProof/>
          <w:sz w:val="22"/>
          <w:szCs w:val="24"/>
        </w:rPr>
        <w:t>et al.</w:t>
      </w:r>
      <w:r w:rsidRPr="004F24F9">
        <w:rPr>
          <w:rFonts w:cs="Arial"/>
          <w:noProof/>
          <w:sz w:val="22"/>
          <w:szCs w:val="24"/>
        </w:rPr>
        <w:t xml:space="preserve"> Association of age at diagnosis and genetic mutations in patients with neuroblastoma. </w:t>
      </w:r>
      <w:r w:rsidRPr="004F24F9">
        <w:rPr>
          <w:rFonts w:cs="Arial"/>
          <w:i/>
          <w:iCs/>
          <w:noProof/>
          <w:sz w:val="22"/>
          <w:szCs w:val="24"/>
        </w:rPr>
        <w:t>JAMA</w:t>
      </w:r>
      <w:r w:rsidRPr="004F24F9">
        <w:rPr>
          <w:rFonts w:cs="Arial"/>
          <w:noProof/>
          <w:sz w:val="22"/>
          <w:szCs w:val="24"/>
        </w:rPr>
        <w:t xml:space="preserve"> </w:t>
      </w:r>
      <w:r w:rsidRPr="004F24F9">
        <w:rPr>
          <w:rFonts w:cs="Arial"/>
          <w:b/>
          <w:bCs/>
          <w:noProof/>
          <w:sz w:val="22"/>
          <w:szCs w:val="24"/>
        </w:rPr>
        <w:t>307</w:t>
      </w:r>
      <w:r w:rsidRPr="004F24F9">
        <w:rPr>
          <w:rFonts w:cs="Arial"/>
          <w:noProof/>
          <w:sz w:val="22"/>
          <w:szCs w:val="24"/>
        </w:rPr>
        <w:t>, 1062–1071 (2012).</w:t>
      </w:r>
    </w:p>
    <w:p w14:paraId="73D2BD13"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8.</w:t>
      </w:r>
      <w:r w:rsidRPr="004F24F9">
        <w:rPr>
          <w:rFonts w:cs="Arial"/>
          <w:noProof/>
          <w:sz w:val="22"/>
          <w:szCs w:val="24"/>
        </w:rPr>
        <w:tab/>
        <w:t xml:space="preserve">Molenaar, J. J. </w:t>
      </w:r>
      <w:r w:rsidRPr="004F24F9">
        <w:rPr>
          <w:rFonts w:cs="Arial"/>
          <w:i/>
          <w:iCs/>
          <w:noProof/>
          <w:sz w:val="22"/>
          <w:szCs w:val="24"/>
        </w:rPr>
        <w:t>et al.</w:t>
      </w:r>
      <w:r w:rsidRPr="004F24F9">
        <w:rPr>
          <w:rFonts w:cs="Arial"/>
          <w:noProof/>
          <w:sz w:val="22"/>
          <w:szCs w:val="24"/>
        </w:rPr>
        <w:t xml:space="preserve"> Sequencing of neuroblastoma identifies chromothripsis and defects in neuritogenesis genes. </w:t>
      </w:r>
      <w:r w:rsidRPr="004F24F9">
        <w:rPr>
          <w:rFonts w:cs="Arial"/>
          <w:i/>
          <w:iCs/>
          <w:noProof/>
          <w:sz w:val="22"/>
          <w:szCs w:val="24"/>
        </w:rPr>
        <w:t>Nature</w:t>
      </w:r>
      <w:r w:rsidRPr="004F24F9">
        <w:rPr>
          <w:rFonts w:cs="Arial"/>
          <w:noProof/>
          <w:sz w:val="22"/>
          <w:szCs w:val="24"/>
        </w:rPr>
        <w:t xml:space="preserve"> </w:t>
      </w:r>
      <w:r w:rsidRPr="004F24F9">
        <w:rPr>
          <w:rFonts w:cs="Arial"/>
          <w:b/>
          <w:bCs/>
          <w:noProof/>
          <w:sz w:val="22"/>
          <w:szCs w:val="24"/>
        </w:rPr>
        <w:t>483</w:t>
      </w:r>
      <w:r w:rsidRPr="004F24F9">
        <w:rPr>
          <w:rFonts w:cs="Arial"/>
          <w:noProof/>
          <w:sz w:val="22"/>
          <w:szCs w:val="24"/>
        </w:rPr>
        <w:t>, 589–593 (2012).</w:t>
      </w:r>
    </w:p>
    <w:p w14:paraId="76AC6601"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9.</w:t>
      </w:r>
      <w:r w:rsidRPr="004F24F9">
        <w:rPr>
          <w:rFonts w:cs="Arial"/>
          <w:noProof/>
          <w:sz w:val="22"/>
          <w:szCs w:val="24"/>
        </w:rPr>
        <w:tab/>
        <w:t xml:space="preserve">Sausen, M. </w:t>
      </w:r>
      <w:r w:rsidRPr="004F24F9">
        <w:rPr>
          <w:rFonts w:cs="Arial"/>
          <w:i/>
          <w:iCs/>
          <w:noProof/>
          <w:sz w:val="22"/>
          <w:szCs w:val="24"/>
        </w:rPr>
        <w:t>et al.</w:t>
      </w:r>
      <w:r w:rsidRPr="004F24F9">
        <w:rPr>
          <w:rFonts w:cs="Arial"/>
          <w:noProof/>
          <w:sz w:val="22"/>
          <w:szCs w:val="24"/>
        </w:rPr>
        <w:t xml:space="preserve"> Integrated genomic analyses identify ARID1A and ARID1B alterations in the childhood cancer neuroblastoma. </w:t>
      </w:r>
      <w:r w:rsidRPr="004F24F9">
        <w:rPr>
          <w:rFonts w:cs="Arial"/>
          <w:i/>
          <w:iCs/>
          <w:noProof/>
          <w:sz w:val="22"/>
          <w:szCs w:val="24"/>
        </w:rPr>
        <w:t>Nat Genet</w:t>
      </w:r>
      <w:r w:rsidRPr="004F24F9">
        <w:rPr>
          <w:rFonts w:cs="Arial"/>
          <w:noProof/>
          <w:sz w:val="22"/>
          <w:szCs w:val="24"/>
        </w:rPr>
        <w:t xml:space="preserve"> </w:t>
      </w:r>
      <w:r w:rsidRPr="004F24F9">
        <w:rPr>
          <w:rFonts w:cs="Arial"/>
          <w:b/>
          <w:bCs/>
          <w:noProof/>
          <w:sz w:val="22"/>
          <w:szCs w:val="24"/>
        </w:rPr>
        <w:t>45</w:t>
      </w:r>
      <w:r w:rsidRPr="004F24F9">
        <w:rPr>
          <w:rFonts w:cs="Arial"/>
          <w:noProof/>
          <w:sz w:val="22"/>
          <w:szCs w:val="24"/>
        </w:rPr>
        <w:t>, 12–17 (2013).</w:t>
      </w:r>
    </w:p>
    <w:p w14:paraId="4ED227FA"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10.</w:t>
      </w:r>
      <w:r w:rsidRPr="004F24F9">
        <w:rPr>
          <w:rFonts w:cs="Arial"/>
          <w:noProof/>
          <w:sz w:val="22"/>
          <w:szCs w:val="24"/>
        </w:rPr>
        <w:tab/>
        <w:t xml:space="preserve">De Brouwer, S. </w:t>
      </w:r>
      <w:r w:rsidRPr="004F24F9">
        <w:rPr>
          <w:rFonts w:cs="Arial"/>
          <w:i/>
          <w:iCs/>
          <w:noProof/>
          <w:sz w:val="22"/>
          <w:szCs w:val="24"/>
        </w:rPr>
        <w:t>et al.</w:t>
      </w:r>
      <w:r w:rsidRPr="004F24F9">
        <w:rPr>
          <w:rFonts w:cs="Arial"/>
          <w:noProof/>
          <w:sz w:val="22"/>
          <w:szCs w:val="24"/>
        </w:rPr>
        <w:t xml:space="preserve"> Meta-analysis of neuroblastomas reveals a skewed ALK mutation spectrum in tumors with MYCN amplification. </w:t>
      </w:r>
      <w:r w:rsidRPr="004F24F9">
        <w:rPr>
          <w:rFonts w:cs="Arial"/>
          <w:i/>
          <w:iCs/>
          <w:noProof/>
          <w:sz w:val="22"/>
          <w:szCs w:val="24"/>
        </w:rPr>
        <w:t>Clin Cancer Res</w:t>
      </w:r>
      <w:r w:rsidRPr="004F24F9">
        <w:rPr>
          <w:rFonts w:cs="Arial"/>
          <w:noProof/>
          <w:sz w:val="22"/>
          <w:szCs w:val="24"/>
        </w:rPr>
        <w:t xml:space="preserve"> </w:t>
      </w:r>
      <w:r w:rsidRPr="004F24F9">
        <w:rPr>
          <w:rFonts w:cs="Arial"/>
          <w:b/>
          <w:bCs/>
          <w:noProof/>
          <w:sz w:val="22"/>
          <w:szCs w:val="24"/>
        </w:rPr>
        <w:t>16</w:t>
      </w:r>
      <w:r w:rsidRPr="004F24F9">
        <w:rPr>
          <w:rFonts w:cs="Arial"/>
          <w:noProof/>
          <w:sz w:val="22"/>
          <w:szCs w:val="24"/>
        </w:rPr>
        <w:t>, 4353–4362 (2010).</w:t>
      </w:r>
    </w:p>
    <w:p w14:paraId="6F548626"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11.</w:t>
      </w:r>
      <w:r w:rsidRPr="004F24F9">
        <w:rPr>
          <w:rFonts w:cs="Arial"/>
          <w:noProof/>
          <w:sz w:val="22"/>
          <w:szCs w:val="24"/>
        </w:rPr>
        <w:tab/>
        <w:t xml:space="preserve">Bresler, S. C. </w:t>
      </w:r>
      <w:r w:rsidRPr="004F24F9">
        <w:rPr>
          <w:rFonts w:cs="Arial"/>
          <w:i/>
          <w:iCs/>
          <w:noProof/>
          <w:sz w:val="22"/>
          <w:szCs w:val="24"/>
        </w:rPr>
        <w:t>et al.</w:t>
      </w:r>
      <w:r w:rsidRPr="004F24F9">
        <w:rPr>
          <w:rFonts w:cs="Arial"/>
          <w:noProof/>
          <w:sz w:val="22"/>
          <w:szCs w:val="24"/>
        </w:rPr>
        <w:t xml:space="preserve"> ALK mutations confer differential oncogenic activation and sensitivity to ALK inhibition therapy in neuroblastoma. </w:t>
      </w:r>
      <w:r w:rsidRPr="004F24F9">
        <w:rPr>
          <w:rFonts w:cs="Arial"/>
          <w:i/>
          <w:iCs/>
          <w:noProof/>
          <w:sz w:val="22"/>
          <w:szCs w:val="24"/>
        </w:rPr>
        <w:t>Cancer Cell</w:t>
      </w:r>
      <w:r w:rsidRPr="004F24F9">
        <w:rPr>
          <w:rFonts w:cs="Arial"/>
          <w:noProof/>
          <w:sz w:val="22"/>
          <w:szCs w:val="24"/>
        </w:rPr>
        <w:t xml:space="preserve"> </w:t>
      </w:r>
      <w:r w:rsidRPr="004F24F9">
        <w:rPr>
          <w:rFonts w:cs="Arial"/>
          <w:b/>
          <w:bCs/>
          <w:noProof/>
          <w:sz w:val="22"/>
          <w:szCs w:val="24"/>
        </w:rPr>
        <w:t>26</w:t>
      </w:r>
      <w:r w:rsidRPr="004F24F9">
        <w:rPr>
          <w:rFonts w:cs="Arial"/>
          <w:noProof/>
          <w:sz w:val="22"/>
          <w:szCs w:val="24"/>
        </w:rPr>
        <w:t>, 682–694 (2014).</w:t>
      </w:r>
    </w:p>
    <w:p w14:paraId="18AB41F7"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12.</w:t>
      </w:r>
      <w:r w:rsidRPr="004F24F9">
        <w:rPr>
          <w:rFonts w:cs="Arial"/>
          <w:noProof/>
          <w:sz w:val="22"/>
          <w:szCs w:val="24"/>
        </w:rPr>
        <w:tab/>
        <w:t xml:space="preserve">George, R. E. </w:t>
      </w:r>
      <w:r w:rsidRPr="004F24F9">
        <w:rPr>
          <w:rFonts w:cs="Arial"/>
          <w:i/>
          <w:iCs/>
          <w:noProof/>
          <w:sz w:val="22"/>
          <w:szCs w:val="24"/>
        </w:rPr>
        <w:t>et al.</w:t>
      </w:r>
      <w:r w:rsidRPr="004F24F9">
        <w:rPr>
          <w:rFonts w:cs="Arial"/>
          <w:noProof/>
          <w:sz w:val="22"/>
          <w:szCs w:val="24"/>
        </w:rPr>
        <w:t xml:space="preserve"> Activating mutations in ALK provide a therapeutic target in neuroblastoma. </w:t>
      </w:r>
      <w:r w:rsidRPr="004F24F9">
        <w:rPr>
          <w:rFonts w:cs="Arial"/>
          <w:i/>
          <w:iCs/>
          <w:noProof/>
          <w:sz w:val="22"/>
          <w:szCs w:val="24"/>
        </w:rPr>
        <w:t>Nature</w:t>
      </w:r>
      <w:r w:rsidRPr="004F24F9">
        <w:rPr>
          <w:rFonts w:cs="Arial"/>
          <w:noProof/>
          <w:sz w:val="22"/>
          <w:szCs w:val="24"/>
        </w:rPr>
        <w:t xml:space="preserve"> </w:t>
      </w:r>
      <w:r w:rsidRPr="004F24F9">
        <w:rPr>
          <w:rFonts w:cs="Arial"/>
          <w:b/>
          <w:bCs/>
          <w:noProof/>
          <w:sz w:val="22"/>
          <w:szCs w:val="24"/>
        </w:rPr>
        <w:t>455</w:t>
      </w:r>
      <w:r w:rsidRPr="004F24F9">
        <w:rPr>
          <w:rFonts w:cs="Arial"/>
          <w:noProof/>
          <w:sz w:val="22"/>
          <w:szCs w:val="24"/>
        </w:rPr>
        <w:t>, 975–978 (2008).</w:t>
      </w:r>
    </w:p>
    <w:p w14:paraId="7D0E5268" w14:textId="00D0066F"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13.</w:t>
      </w:r>
      <w:r w:rsidRPr="004F24F9">
        <w:rPr>
          <w:rFonts w:cs="Arial"/>
          <w:noProof/>
          <w:sz w:val="22"/>
          <w:szCs w:val="24"/>
        </w:rPr>
        <w:tab/>
        <w:t xml:space="preserve">Wang, H. Q. </w:t>
      </w:r>
      <w:r w:rsidRPr="004F24F9">
        <w:rPr>
          <w:rFonts w:cs="Arial"/>
          <w:i/>
          <w:iCs/>
          <w:noProof/>
          <w:sz w:val="22"/>
          <w:szCs w:val="24"/>
        </w:rPr>
        <w:t>et al.</w:t>
      </w:r>
      <w:r w:rsidRPr="004F24F9">
        <w:rPr>
          <w:rFonts w:cs="Arial"/>
          <w:noProof/>
          <w:sz w:val="22"/>
          <w:szCs w:val="24"/>
        </w:rPr>
        <w:t xml:space="preserve"> Combined ALK and MDM2 inhibition increases antitumor activity and overcomes resistance in human ALK mutant neuroblastoma cell lines and xenograft models. </w:t>
      </w:r>
      <w:r w:rsidRPr="004F24F9">
        <w:rPr>
          <w:rFonts w:cs="Arial"/>
          <w:i/>
          <w:iCs/>
          <w:noProof/>
          <w:sz w:val="22"/>
          <w:szCs w:val="24"/>
        </w:rPr>
        <w:t>Elife</w:t>
      </w:r>
      <w:r w:rsidRPr="004F24F9">
        <w:rPr>
          <w:rFonts w:cs="Arial"/>
          <w:noProof/>
          <w:sz w:val="22"/>
          <w:szCs w:val="24"/>
        </w:rPr>
        <w:t xml:space="preserve"> </w:t>
      </w:r>
      <w:r w:rsidRPr="004F24F9">
        <w:rPr>
          <w:rFonts w:cs="Arial"/>
          <w:b/>
          <w:bCs/>
          <w:noProof/>
          <w:sz w:val="22"/>
          <w:szCs w:val="24"/>
        </w:rPr>
        <w:t>6</w:t>
      </w:r>
      <w:r w:rsidRPr="004F24F9">
        <w:rPr>
          <w:rFonts w:cs="Arial"/>
          <w:noProof/>
          <w:sz w:val="22"/>
          <w:szCs w:val="24"/>
        </w:rPr>
        <w:t xml:space="preserve">, </w:t>
      </w:r>
      <w:r w:rsidR="006548B2" w:rsidRPr="00212691">
        <w:rPr>
          <w:rFonts w:cs="Arial"/>
          <w:noProof/>
          <w:sz w:val="22"/>
          <w:szCs w:val="22"/>
        </w:rPr>
        <w:t>doi: 10.7554/eLife.17137</w:t>
      </w:r>
      <w:r w:rsidR="006548B2" w:rsidRPr="004F24F9">
        <w:rPr>
          <w:rFonts w:cs="Arial"/>
          <w:noProof/>
          <w:sz w:val="22"/>
          <w:szCs w:val="24"/>
        </w:rPr>
        <w:t xml:space="preserve"> </w:t>
      </w:r>
      <w:r w:rsidRPr="004F24F9">
        <w:rPr>
          <w:rFonts w:cs="Arial"/>
          <w:noProof/>
          <w:sz w:val="22"/>
          <w:szCs w:val="24"/>
        </w:rPr>
        <w:t>(2017).</w:t>
      </w:r>
      <w:r w:rsidR="002D35E2" w:rsidRPr="002D35E2">
        <w:rPr>
          <w:rFonts w:cs="Arial"/>
          <w:noProof/>
          <w:sz w:val="22"/>
          <w:szCs w:val="22"/>
        </w:rPr>
        <w:t xml:space="preserve"> </w:t>
      </w:r>
    </w:p>
    <w:p w14:paraId="297C4A08" w14:textId="00D7AEC6"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14.</w:t>
      </w:r>
      <w:r w:rsidRPr="004F24F9">
        <w:rPr>
          <w:rFonts w:cs="Arial"/>
          <w:noProof/>
          <w:sz w:val="22"/>
          <w:szCs w:val="24"/>
        </w:rPr>
        <w:tab/>
        <w:t xml:space="preserve">Guan, J. </w:t>
      </w:r>
      <w:r w:rsidRPr="004F24F9">
        <w:rPr>
          <w:rFonts w:cs="Arial"/>
          <w:i/>
          <w:iCs/>
          <w:noProof/>
          <w:sz w:val="22"/>
          <w:szCs w:val="24"/>
        </w:rPr>
        <w:t>et al.</w:t>
      </w:r>
      <w:r w:rsidRPr="004F24F9">
        <w:rPr>
          <w:rFonts w:cs="Arial"/>
          <w:noProof/>
          <w:sz w:val="22"/>
          <w:szCs w:val="24"/>
        </w:rPr>
        <w:t xml:space="preserve"> The ALK inhibitor PF-06463922 is effective as a single agent in neuroblastoma driven by expression of ALK and MYCN. </w:t>
      </w:r>
      <w:r w:rsidRPr="004F24F9">
        <w:rPr>
          <w:rFonts w:cs="Arial"/>
          <w:i/>
          <w:iCs/>
          <w:noProof/>
          <w:sz w:val="22"/>
          <w:szCs w:val="24"/>
        </w:rPr>
        <w:t>Dis. Model. Mech.</w:t>
      </w:r>
      <w:r w:rsidRPr="004F24F9">
        <w:rPr>
          <w:rFonts w:cs="Arial"/>
          <w:noProof/>
          <w:sz w:val="22"/>
          <w:szCs w:val="24"/>
        </w:rPr>
        <w:t xml:space="preserve"> </w:t>
      </w:r>
      <w:r w:rsidRPr="004F24F9">
        <w:rPr>
          <w:rFonts w:cs="Arial"/>
          <w:b/>
          <w:bCs/>
          <w:noProof/>
          <w:sz w:val="22"/>
          <w:szCs w:val="24"/>
        </w:rPr>
        <w:t>9</w:t>
      </w:r>
      <w:r w:rsidRPr="004F24F9">
        <w:rPr>
          <w:rFonts w:cs="Arial"/>
          <w:noProof/>
          <w:sz w:val="22"/>
          <w:szCs w:val="24"/>
        </w:rPr>
        <w:t xml:space="preserve">, 941–952 </w:t>
      </w:r>
      <w:r w:rsidR="006548B2" w:rsidRPr="00212691">
        <w:rPr>
          <w:rFonts w:cs="Arial"/>
          <w:noProof/>
          <w:sz w:val="22"/>
          <w:szCs w:val="22"/>
        </w:rPr>
        <w:t>doi: 10.1242/dmm.024448</w:t>
      </w:r>
      <w:r w:rsidR="006548B2" w:rsidRPr="004F24F9">
        <w:rPr>
          <w:rFonts w:cs="Arial"/>
          <w:noProof/>
          <w:sz w:val="22"/>
          <w:szCs w:val="24"/>
        </w:rPr>
        <w:t xml:space="preserve"> </w:t>
      </w:r>
      <w:r w:rsidRPr="004F24F9">
        <w:rPr>
          <w:rFonts w:cs="Arial"/>
          <w:noProof/>
          <w:sz w:val="22"/>
          <w:szCs w:val="24"/>
        </w:rPr>
        <w:t>(2016).</w:t>
      </w:r>
      <w:r w:rsidR="002D35E2" w:rsidRPr="002D35E2">
        <w:rPr>
          <w:rFonts w:cs="Arial"/>
          <w:noProof/>
          <w:sz w:val="22"/>
          <w:szCs w:val="22"/>
        </w:rPr>
        <w:t xml:space="preserve"> </w:t>
      </w:r>
    </w:p>
    <w:p w14:paraId="2030DE43" w14:textId="4AFA97A2"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15.</w:t>
      </w:r>
      <w:r w:rsidRPr="004F24F9">
        <w:rPr>
          <w:rFonts w:cs="Arial"/>
          <w:noProof/>
          <w:sz w:val="22"/>
          <w:szCs w:val="24"/>
        </w:rPr>
        <w:tab/>
        <w:t xml:space="preserve">Siaw, J. T. </w:t>
      </w:r>
      <w:r w:rsidRPr="004F24F9">
        <w:rPr>
          <w:rFonts w:cs="Arial"/>
          <w:i/>
          <w:iCs/>
          <w:noProof/>
          <w:sz w:val="22"/>
          <w:szCs w:val="24"/>
        </w:rPr>
        <w:t>et al.</w:t>
      </w:r>
      <w:r w:rsidRPr="004F24F9">
        <w:rPr>
          <w:rFonts w:cs="Arial"/>
          <w:noProof/>
          <w:sz w:val="22"/>
          <w:szCs w:val="24"/>
        </w:rPr>
        <w:t xml:space="preserve"> Brigatinib, an anaplastic lymphoma kinase inhibitor, abrogates activity and growth in ALK-positive neuroblastoma cells, Drosophila and mice. </w:t>
      </w:r>
      <w:r w:rsidRPr="004F24F9">
        <w:rPr>
          <w:rFonts w:cs="Arial"/>
          <w:i/>
          <w:iCs/>
          <w:noProof/>
          <w:sz w:val="22"/>
          <w:szCs w:val="24"/>
        </w:rPr>
        <w:t>Oncotarget</w:t>
      </w:r>
      <w:r w:rsidRPr="004F24F9">
        <w:rPr>
          <w:rFonts w:cs="Arial"/>
          <w:noProof/>
          <w:sz w:val="22"/>
          <w:szCs w:val="24"/>
        </w:rPr>
        <w:t xml:space="preserve"> </w:t>
      </w:r>
      <w:r w:rsidRPr="004F24F9">
        <w:rPr>
          <w:rFonts w:cs="Arial"/>
          <w:b/>
          <w:bCs/>
          <w:noProof/>
          <w:sz w:val="22"/>
          <w:szCs w:val="24"/>
        </w:rPr>
        <w:t>7</w:t>
      </w:r>
      <w:r w:rsidRPr="004F24F9">
        <w:rPr>
          <w:rFonts w:cs="Arial"/>
          <w:noProof/>
          <w:sz w:val="22"/>
          <w:szCs w:val="24"/>
        </w:rPr>
        <w:t xml:space="preserve">, 29011–22 </w:t>
      </w:r>
      <w:r w:rsidR="006548B2" w:rsidRPr="007D6397">
        <w:rPr>
          <w:rFonts w:cs="Arial"/>
          <w:noProof/>
          <w:sz w:val="22"/>
          <w:szCs w:val="22"/>
        </w:rPr>
        <w:t>doi: 10.18632/oncotarget.8508</w:t>
      </w:r>
      <w:r w:rsidR="006548B2" w:rsidRPr="004F24F9">
        <w:rPr>
          <w:rFonts w:cs="Arial"/>
          <w:noProof/>
          <w:sz w:val="22"/>
          <w:szCs w:val="24"/>
        </w:rPr>
        <w:t xml:space="preserve"> </w:t>
      </w:r>
      <w:r w:rsidRPr="004F24F9">
        <w:rPr>
          <w:rFonts w:cs="Arial"/>
          <w:noProof/>
          <w:sz w:val="22"/>
          <w:szCs w:val="24"/>
        </w:rPr>
        <w:t>(2016).</w:t>
      </w:r>
      <w:r w:rsidR="002D35E2" w:rsidRPr="002D35E2">
        <w:rPr>
          <w:rFonts w:cs="Arial"/>
          <w:noProof/>
          <w:sz w:val="22"/>
          <w:szCs w:val="22"/>
        </w:rPr>
        <w:t xml:space="preserve"> </w:t>
      </w:r>
    </w:p>
    <w:p w14:paraId="0DCB8383" w14:textId="2FE60927" w:rsidR="004F24F9" w:rsidRPr="002D35E2" w:rsidRDefault="004F24F9" w:rsidP="002D35E2">
      <w:pPr>
        <w:widowControl w:val="0"/>
        <w:autoSpaceDE w:val="0"/>
        <w:autoSpaceDN w:val="0"/>
        <w:adjustRightInd w:val="0"/>
        <w:ind w:left="640" w:hanging="640"/>
        <w:rPr>
          <w:rFonts w:cs="Arial"/>
          <w:noProof/>
          <w:sz w:val="22"/>
          <w:szCs w:val="22"/>
        </w:rPr>
      </w:pPr>
      <w:r w:rsidRPr="004F24F9">
        <w:rPr>
          <w:rFonts w:cs="Arial"/>
          <w:noProof/>
          <w:sz w:val="22"/>
          <w:szCs w:val="24"/>
        </w:rPr>
        <w:t>16.</w:t>
      </w:r>
      <w:r w:rsidRPr="004F24F9">
        <w:rPr>
          <w:rFonts w:cs="Arial"/>
          <w:noProof/>
          <w:sz w:val="22"/>
          <w:szCs w:val="24"/>
        </w:rPr>
        <w:tab/>
        <w:t xml:space="preserve">Bresler, S. C. </w:t>
      </w:r>
      <w:r w:rsidRPr="004F24F9">
        <w:rPr>
          <w:rFonts w:cs="Arial"/>
          <w:i/>
          <w:iCs/>
          <w:noProof/>
          <w:sz w:val="22"/>
          <w:szCs w:val="24"/>
        </w:rPr>
        <w:t>et al.</w:t>
      </w:r>
      <w:r w:rsidRPr="004F24F9">
        <w:rPr>
          <w:rFonts w:cs="Arial"/>
          <w:noProof/>
          <w:sz w:val="22"/>
          <w:szCs w:val="24"/>
        </w:rPr>
        <w:t xml:space="preserve"> Differential Inhibitor Sensitivity of Anaplastic Lymphoma Kinase Variants Found in Neuroblastoma. </w:t>
      </w:r>
      <w:r w:rsidRPr="004F24F9">
        <w:rPr>
          <w:rFonts w:cs="Arial"/>
          <w:i/>
          <w:iCs/>
          <w:noProof/>
          <w:sz w:val="22"/>
          <w:szCs w:val="24"/>
        </w:rPr>
        <w:t>Sci. Transl. Med.</w:t>
      </w:r>
      <w:r w:rsidRPr="004F24F9">
        <w:rPr>
          <w:rFonts w:cs="Arial"/>
          <w:noProof/>
          <w:sz w:val="22"/>
          <w:szCs w:val="24"/>
        </w:rPr>
        <w:t xml:space="preserve"> </w:t>
      </w:r>
      <w:r w:rsidRPr="004F24F9">
        <w:rPr>
          <w:rFonts w:cs="Arial"/>
          <w:b/>
          <w:bCs/>
          <w:noProof/>
          <w:sz w:val="22"/>
          <w:szCs w:val="24"/>
        </w:rPr>
        <w:t>3</w:t>
      </w:r>
      <w:r w:rsidRPr="004F24F9">
        <w:rPr>
          <w:rFonts w:cs="Arial"/>
          <w:noProof/>
          <w:sz w:val="22"/>
          <w:szCs w:val="24"/>
        </w:rPr>
        <w:t xml:space="preserve">, 108ra114-108ra114 </w:t>
      </w:r>
      <w:r w:rsidR="006548B2" w:rsidRPr="007D6397">
        <w:rPr>
          <w:rFonts w:cs="Arial"/>
          <w:noProof/>
          <w:sz w:val="22"/>
          <w:szCs w:val="22"/>
        </w:rPr>
        <w:t>doi: 10.1126/scitranslmed.3002950</w:t>
      </w:r>
      <w:r w:rsidR="006548B2" w:rsidRPr="004F24F9">
        <w:rPr>
          <w:rFonts w:cs="Arial"/>
          <w:noProof/>
          <w:sz w:val="22"/>
          <w:szCs w:val="24"/>
        </w:rPr>
        <w:t xml:space="preserve"> </w:t>
      </w:r>
      <w:r w:rsidRPr="004F24F9">
        <w:rPr>
          <w:rFonts w:cs="Arial"/>
          <w:noProof/>
          <w:sz w:val="22"/>
          <w:szCs w:val="24"/>
        </w:rPr>
        <w:t>(2011).</w:t>
      </w:r>
      <w:r w:rsidR="002D35E2" w:rsidRPr="002D35E2">
        <w:rPr>
          <w:rFonts w:cs="Arial"/>
          <w:noProof/>
          <w:sz w:val="22"/>
          <w:szCs w:val="22"/>
        </w:rPr>
        <w:t xml:space="preserve"> </w:t>
      </w:r>
    </w:p>
    <w:p w14:paraId="538103E4"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17.</w:t>
      </w:r>
      <w:r w:rsidRPr="004F24F9">
        <w:rPr>
          <w:rFonts w:cs="Arial"/>
          <w:noProof/>
          <w:sz w:val="22"/>
          <w:szCs w:val="24"/>
        </w:rPr>
        <w:tab/>
        <w:t xml:space="preserve">Friboulet, L. </w:t>
      </w:r>
      <w:r w:rsidRPr="004F24F9">
        <w:rPr>
          <w:rFonts w:cs="Arial"/>
          <w:i/>
          <w:iCs/>
          <w:noProof/>
          <w:sz w:val="22"/>
          <w:szCs w:val="24"/>
        </w:rPr>
        <w:t>et al.</w:t>
      </w:r>
      <w:r w:rsidRPr="004F24F9">
        <w:rPr>
          <w:rFonts w:cs="Arial"/>
          <w:noProof/>
          <w:sz w:val="22"/>
          <w:szCs w:val="24"/>
        </w:rPr>
        <w:t xml:space="preserve"> The ALK inhibitor ceritinib overcomes crizotinib resistance in non-small cell lung cancer. </w:t>
      </w:r>
      <w:r w:rsidRPr="004F24F9">
        <w:rPr>
          <w:rFonts w:cs="Arial"/>
          <w:i/>
          <w:iCs/>
          <w:noProof/>
          <w:sz w:val="22"/>
          <w:szCs w:val="24"/>
        </w:rPr>
        <w:t>Cancer Discov</w:t>
      </w:r>
      <w:r w:rsidRPr="004F24F9">
        <w:rPr>
          <w:rFonts w:cs="Arial"/>
          <w:noProof/>
          <w:sz w:val="22"/>
          <w:szCs w:val="24"/>
        </w:rPr>
        <w:t xml:space="preserve"> </w:t>
      </w:r>
      <w:r w:rsidRPr="004F24F9">
        <w:rPr>
          <w:rFonts w:cs="Arial"/>
          <w:b/>
          <w:bCs/>
          <w:noProof/>
          <w:sz w:val="22"/>
          <w:szCs w:val="24"/>
        </w:rPr>
        <w:t>4</w:t>
      </w:r>
      <w:r w:rsidRPr="004F24F9">
        <w:rPr>
          <w:rFonts w:cs="Arial"/>
          <w:noProof/>
          <w:sz w:val="22"/>
          <w:szCs w:val="24"/>
        </w:rPr>
        <w:t>, 662–673 (2014).</w:t>
      </w:r>
    </w:p>
    <w:p w14:paraId="177F30BA"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18.</w:t>
      </w:r>
      <w:r w:rsidRPr="004F24F9">
        <w:rPr>
          <w:rFonts w:cs="Arial"/>
          <w:noProof/>
          <w:sz w:val="22"/>
          <w:szCs w:val="24"/>
        </w:rPr>
        <w:tab/>
        <w:t xml:space="preserve">Xu, F., Li, H. &amp; Sun, Y. Inhibition of Axl improves the targeted therapy against ALK-mutated neuroblastoma. </w:t>
      </w:r>
      <w:r w:rsidRPr="004F24F9">
        <w:rPr>
          <w:rFonts w:cs="Arial"/>
          <w:i/>
          <w:iCs/>
          <w:noProof/>
          <w:sz w:val="22"/>
          <w:szCs w:val="24"/>
        </w:rPr>
        <w:t>Biochem Biophys Res Commun</w:t>
      </w:r>
      <w:r w:rsidRPr="004F24F9">
        <w:rPr>
          <w:rFonts w:cs="Arial"/>
          <w:noProof/>
          <w:sz w:val="22"/>
          <w:szCs w:val="24"/>
        </w:rPr>
        <w:t xml:space="preserve"> </w:t>
      </w:r>
      <w:r w:rsidRPr="004F24F9">
        <w:rPr>
          <w:rFonts w:cs="Arial"/>
          <w:b/>
          <w:bCs/>
          <w:noProof/>
          <w:sz w:val="22"/>
          <w:szCs w:val="24"/>
        </w:rPr>
        <w:t>454</w:t>
      </w:r>
      <w:r w:rsidRPr="004F24F9">
        <w:rPr>
          <w:rFonts w:cs="Arial"/>
          <w:noProof/>
          <w:sz w:val="22"/>
          <w:szCs w:val="24"/>
        </w:rPr>
        <w:t>, 566–571 (2014).</w:t>
      </w:r>
    </w:p>
    <w:p w14:paraId="057CFC75"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19.</w:t>
      </w:r>
      <w:r w:rsidRPr="004F24F9">
        <w:rPr>
          <w:rFonts w:cs="Arial"/>
          <w:noProof/>
          <w:sz w:val="22"/>
          <w:szCs w:val="24"/>
        </w:rPr>
        <w:tab/>
        <w:t xml:space="preserve">Wood, A. C. </w:t>
      </w:r>
      <w:r w:rsidRPr="004F24F9">
        <w:rPr>
          <w:rFonts w:cs="Arial"/>
          <w:i/>
          <w:iCs/>
          <w:noProof/>
          <w:sz w:val="22"/>
          <w:szCs w:val="24"/>
        </w:rPr>
        <w:t>et al.</w:t>
      </w:r>
      <w:r w:rsidRPr="004F24F9">
        <w:rPr>
          <w:rFonts w:cs="Arial"/>
          <w:noProof/>
          <w:sz w:val="22"/>
          <w:szCs w:val="24"/>
        </w:rPr>
        <w:t xml:space="preserve"> Dual ALK and CDK4/6 Inhibition Demonstrates Synergy against Neuroblastoma. </w:t>
      </w:r>
      <w:r w:rsidRPr="004F24F9">
        <w:rPr>
          <w:rFonts w:cs="Arial"/>
          <w:i/>
          <w:iCs/>
          <w:noProof/>
          <w:sz w:val="22"/>
          <w:szCs w:val="24"/>
        </w:rPr>
        <w:t>Clin Cancer Res</w:t>
      </w:r>
      <w:r w:rsidRPr="004F24F9">
        <w:rPr>
          <w:rFonts w:cs="Arial"/>
          <w:noProof/>
          <w:sz w:val="22"/>
          <w:szCs w:val="24"/>
        </w:rPr>
        <w:t xml:space="preserve"> </w:t>
      </w:r>
      <w:r w:rsidRPr="004F24F9">
        <w:rPr>
          <w:rFonts w:cs="Arial"/>
          <w:b/>
          <w:bCs/>
          <w:noProof/>
          <w:sz w:val="22"/>
          <w:szCs w:val="24"/>
        </w:rPr>
        <w:t>23</w:t>
      </w:r>
      <w:r w:rsidRPr="004F24F9">
        <w:rPr>
          <w:rFonts w:cs="Arial"/>
          <w:noProof/>
          <w:sz w:val="22"/>
          <w:szCs w:val="24"/>
        </w:rPr>
        <w:t>, 2856–2868 (2017).</w:t>
      </w:r>
    </w:p>
    <w:p w14:paraId="26EDC06A" w14:textId="18434E52"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20.</w:t>
      </w:r>
      <w:r w:rsidRPr="004F24F9">
        <w:rPr>
          <w:rFonts w:cs="Arial"/>
          <w:noProof/>
          <w:sz w:val="22"/>
          <w:szCs w:val="24"/>
        </w:rPr>
        <w:tab/>
        <w:t xml:space="preserve">Sharma, G. G. </w:t>
      </w:r>
      <w:r w:rsidRPr="004F24F9">
        <w:rPr>
          <w:rFonts w:cs="Arial"/>
          <w:i/>
          <w:iCs/>
          <w:noProof/>
          <w:sz w:val="22"/>
          <w:szCs w:val="24"/>
        </w:rPr>
        <w:t>et al.</w:t>
      </w:r>
      <w:r w:rsidRPr="004F24F9">
        <w:rPr>
          <w:rFonts w:cs="Arial"/>
          <w:noProof/>
          <w:sz w:val="22"/>
          <w:szCs w:val="24"/>
        </w:rPr>
        <w:t xml:space="preserve"> Tumor Resistance against ALK Targeted Therapy-Where It Comes From and Where It Goes. </w:t>
      </w:r>
      <w:r w:rsidRPr="004F24F9">
        <w:rPr>
          <w:rFonts w:cs="Arial"/>
          <w:i/>
          <w:iCs/>
          <w:noProof/>
          <w:sz w:val="22"/>
          <w:szCs w:val="24"/>
        </w:rPr>
        <w:t>Cancers (Basel)</w:t>
      </w:r>
      <w:r w:rsidRPr="004F24F9">
        <w:rPr>
          <w:rFonts w:cs="Arial"/>
          <w:noProof/>
          <w:sz w:val="22"/>
          <w:szCs w:val="24"/>
        </w:rPr>
        <w:t xml:space="preserve"> </w:t>
      </w:r>
      <w:r w:rsidRPr="004F24F9">
        <w:rPr>
          <w:rFonts w:cs="Arial"/>
          <w:b/>
          <w:bCs/>
          <w:noProof/>
          <w:sz w:val="22"/>
          <w:szCs w:val="24"/>
        </w:rPr>
        <w:t>10</w:t>
      </w:r>
      <w:r w:rsidRPr="004F24F9">
        <w:rPr>
          <w:rFonts w:cs="Arial"/>
          <w:noProof/>
          <w:sz w:val="22"/>
          <w:szCs w:val="24"/>
        </w:rPr>
        <w:t xml:space="preserve">, </w:t>
      </w:r>
      <w:r w:rsidR="006548B2" w:rsidRPr="007D6397">
        <w:rPr>
          <w:rFonts w:cs="Arial"/>
          <w:noProof/>
          <w:sz w:val="22"/>
          <w:szCs w:val="22"/>
        </w:rPr>
        <w:t>doi: 10.3390/cancers10030062</w:t>
      </w:r>
      <w:r w:rsidR="006548B2" w:rsidRPr="004F24F9">
        <w:rPr>
          <w:rFonts w:cs="Arial"/>
          <w:noProof/>
          <w:sz w:val="22"/>
          <w:szCs w:val="24"/>
        </w:rPr>
        <w:t xml:space="preserve"> </w:t>
      </w:r>
      <w:r w:rsidRPr="004F24F9">
        <w:rPr>
          <w:rFonts w:cs="Arial"/>
          <w:noProof/>
          <w:sz w:val="22"/>
          <w:szCs w:val="24"/>
        </w:rPr>
        <w:t>(2018).</w:t>
      </w:r>
      <w:r w:rsidR="002D35E2" w:rsidRPr="002D35E2">
        <w:rPr>
          <w:rFonts w:cs="Arial"/>
          <w:noProof/>
          <w:sz w:val="22"/>
          <w:szCs w:val="22"/>
        </w:rPr>
        <w:t xml:space="preserve"> </w:t>
      </w:r>
    </w:p>
    <w:p w14:paraId="09FB66EC"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21.</w:t>
      </w:r>
      <w:r w:rsidRPr="004F24F9">
        <w:rPr>
          <w:rFonts w:cs="Arial"/>
          <w:noProof/>
          <w:sz w:val="22"/>
          <w:szCs w:val="24"/>
        </w:rPr>
        <w:tab/>
        <w:t xml:space="preserve">Dagogo-Jack, I. &amp; Shaw, A. T. Crizotinib resistance: implications for therapeutic strategies. </w:t>
      </w:r>
      <w:r w:rsidRPr="004F24F9">
        <w:rPr>
          <w:rFonts w:cs="Arial"/>
          <w:i/>
          <w:iCs/>
          <w:noProof/>
          <w:sz w:val="22"/>
          <w:szCs w:val="24"/>
        </w:rPr>
        <w:t>Ann Oncol</w:t>
      </w:r>
      <w:r w:rsidRPr="004F24F9">
        <w:rPr>
          <w:rFonts w:cs="Arial"/>
          <w:noProof/>
          <w:sz w:val="22"/>
          <w:szCs w:val="24"/>
        </w:rPr>
        <w:t xml:space="preserve"> </w:t>
      </w:r>
      <w:r w:rsidRPr="004F24F9">
        <w:rPr>
          <w:rFonts w:cs="Arial"/>
          <w:b/>
          <w:bCs/>
          <w:noProof/>
          <w:sz w:val="22"/>
          <w:szCs w:val="24"/>
        </w:rPr>
        <w:t>27 Suppl 3</w:t>
      </w:r>
      <w:r w:rsidRPr="004F24F9">
        <w:rPr>
          <w:rFonts w:cs="Arial"/>
          <w:noProof/>
          <w:sz w:val="22"/>
          <w:szCs w:val="24"/>
        </w:rPr>
        <w:t>, iii42–iii50 (2016).</w:t>
      </w:r>
    </w:p>
    <w:p w14:paraId="0CA818FF" w14:textId="37AB7F1B"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22.</w:t>
      </w:r>
      <w:r w:rsidRPr="004F24F9">
        <w:rPr>
          <w:rFonts w:cs="Arial"/>
          <w:noProof/>
          <w:sz w:val="22"/>
          <w:szCs w:val="24"/>
        </w:rPr>
        <w:tab/>
        <w:t xml:space="preserve">Katayama, R. </w:t>
      </w:r>
      <w:r w:rsidRPr="004F24F9">
        <w:rPr>
          <w:rFonts w:cs="Arial"/>
          <w:i/>
          <w:iCs/>
          <w:noProof/>
          <w:sz w:val="22"/>
          <w:szCs w:val="24"/>
        </w:rPr>
        <w:t>et al.</w:t>
      </w:r>
      <w:r w:rsidRPr="004F24F9">
        <w:rPr>
          <w:rFonts w:cs="Arial"/>
          <w:noProof/>
          <w:sz w:val="22"/>
          <w:szCs w:val="24"/>
        </w:rPr>
        <w:t xml:space="preserve"> Mechanisms of Acquired Crizotinib Resistance in ALK-Rearranged Lung Cancers. </w:t>
      </w:r>
      <w:r w:rsidRPr="004F24F9">
        <w:rPr>
          <w:rFonts w:cs="Arial"/>
          <w:i/>
          <w:iCs/>
          <w:noProof/>
          <w:sz w:val="22"/>
          <w:szCs w:val="24"/>
        </w:rPr>
        <w:t>Sci. Transl. Med.</w:t>
      </w:r>
      <w:r w:rsidRPr="004F24F9">
        <w:rPr>
          <w:rFonts w:cs="Arial"/>
          <w:noProof/>
          <w:sz w:val="22"/>
          <w:szCs w:val="24"/>
        </w:rPr>
        <w:t xml:space="preserve"> </w:t>
      </w:r>
      <w:r w:rsidRPr="004F24F9">
        <w:rPr>
          <w:rFonts w:cs="Arial"/>
          <w:b/>
          <w:bCs/>
          <w:noProof/>
          <w:sz w:val="22"/>
          <w:szCs w:val="24"/>
        </w:rPr>
        <w:t>4</w:t>
      </w:r>
      <w:r w:rsidRPr="004F24F9">
        <w:rPr>
          <w:rFonts w:cs="Arial"/>
          <w:noProof/>
          <w:sz w:val="22"/>
          <w:szCs w:val="24"/>
        </w:rPr>
        <w:t xml:space="preserve">, 120ra17-120ra17 </w:t>
      </w:r>
      <w:r w:rsidR="006548B2" w:rsidRPr="001D6664">
        <w:rPr>
          <w:rFonts w:cs="Arial"/>
          <w:noProof/>
          <w:sz w:val="22"/>
          <w:szCs w:val="22"/>
        </w:rPr>
        <w:t>doi: 10.1126/scitranslmed.3003316</w:t>
      </w:r>
      <w:r w:rsidR="006548B2" w:rsidRPr="004F24F9">
        <w:rPr>
          <w:rFonts w:cs="Arial"/>
          <w:noProof/>
          <w:sz w:val="22"/>
          <w:szCs w:val="24"/>
        </w:rPr>
        <w:t xml:space="preserve"> </w:t>
      </w:r>
      <w:r w:rsidRPr="004F24F9">
        <w:rPr>
          <w:rFonts w:cs="Arial"/>
          <w:noProof/>
          <w:sz w:val="22"/>
          <w:szCs w:val="24"/>
        </w:rPr>
        <w:t>(2012).</w:t>
      </w:r>
      <w:r w:rsidR="002D35E2" w:rsidRPr="002D35E2">
        <w:rPr>
          <w:rFonts w:cs="Arial"/>
          <w:noProof/>
          <w:sz w:val="22"/>
          <w:szCs w:val="22"/>
        </w:rPr>
        <w:t xml:space="preserve"> </w:t>
      </w:r>
    </w:p>
    <w:p w14:paraId="27D39706"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23.</w:t>
      </w:r>
      <w:r w:rsidRPr="004F24F9">
        <w:rPr>
          <w:rFonts w:cs="Arial"/>
          <w:noProof/>
          <w:sz w:val="22"/>
          <w:szCs w:val="24"/>
        </w:rPr>
        <w:tab/>
        <w:t xml:space="preserve">Wilson, F. H. </w:t>
      </w:r>
      <w:r w:rsidRPr="004F24F9">
        <w:rPr>
          <w:rFonts w:cs="Arial"/>
          <w:i/>
          <w:iCs/>
          <w:noProof/>
          <w:sz w:val="22"/>
          <w:szCs w:val="24"/>
        </w:rPr>
        <w:t>et al.</w:t>
      </w:r>
      <w:r w:rsidRPr="004F24F9">
        <w:rPr>
          <w:rFonts w:cs="Arial"/>
          <w:noProof/>
          <w:sz w:val="22"/>
          <w:szCs w:val="24"/>
        </w:rPr>
        <w:t xml:space="preserve"> A functional landscape of resistance to ALK inhibition in lung cancer. </w:t>
      </w:r>
      <w:r w:rsidRPr="004F24F9">
        <w:rPr>
          <w:rFonts w:cs="Arial"/>
          <w:i/>
          <w:iCs/>
          <w:noProof/>
          <w:sz w:val="22"/>
          <w:szCs w:val="24"/>
        </w:rPr>
        <w:t>Cancer Cell</w:t>
      </w:r>
      <w:r w:rsidRPr="004F24F9">
        <w:rPr>
          <w:rFonts w:cs="Arial"/>
          <w:noProof/>
          <w:sz w:val="22"/>
          <w:szCs w:val="24"/>
        </w:rPr>
        <w:t xml:space="preserve"> </w:t>
      </w:r>
      <w:r w:rsidRPr="004F24F9">
        <w:rPr>
          <w:rFonts w:cs="Arial"/>
          <w:b/>
          <w:bCs/>
          <w:noProof/>
          <w:sz w:val="22"/>
          <w:szCs w:val="24"/>
        </w:rPr>
        <w:t>27</w:t>
      </w:r>
      <w:r w:rsidRPr="004F24F9">
        <w:rPr>
          <w:rFonts w:cs="Arial"/>
          <w:noProof/>
          <w:sz w:val="22"/>
          <w:szCs w:val="24"/>
        </w:rPr>
        <w:t>, 397–408 (2015).</w:t>
      </w:r>
    </w:p>
    <w:p w14:paraId="7B559758"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lastRenderedPageBreak/>
        <w:t>24.</w:t>
      </w:r>
      <w:r w:rsidRPr="004F24F9">
        <w:rPr>
          <w:rFonts w:cs="Arial"/>
          <w:noProof/>
          <w:sz w:val="22"/>
          <w:szCs w:val="24"/>
        </w:rPr>
        <w:tab/>
        <w:t xml:space="preserve">Doebele, R. C. </w:t>
      </w:r>
      <w:r w:rsidRPr="004F24F9">
        <w:rPr>
          <w:rFonts w:cs="Arial"/>
          <w:i/>
          <w:iCs/>
          <w:noProof/>
          <w:sz w:val="22"/>
          <w:szCs w:val="24"/>
        </w:rPr>
        <w:t>et al.</w:t>
      </w:r>
      <w:r w:rsidRPr="004F24F9">
        <w:rPr>
          <w:rFonts w:cs="Arial"/>
          <w:noProof/>
          <w:sz w:val="22"/>
          <w:szCs w:val="24"/>
        </w:rPr>
        <w:t xml:space="preserve"> Mechanisms of Resistance to Crizotinib in Patients with </w:t>
      </w:r>
      <w:r w:rsidRPr="004F24F9">
        <w:rPr>
          <w:rFonts w:cs="Arial"/>
          <w:i/>
          <w:iCs/>
          <w:noProof/>
          <w:sz w:val="22"/>
          <w:szCs w:val="24"/>
        </w:rPr>
        <w:t>ALK</w:t>
      </w:r>
      <w:r w:rsidRPr="004F24F9">
        <w:rPr>
          <w:rFonts w:cs="Arial"/>
          <w:noProof/>
          <w:sz w:val="22"/>
          <w:szCs w:val="24"/>
        </w:rPr>
        <w:t xml:space="preserve"> Gene Rearranged Non–Small Cell Lung Cancer. </w:t>
      </w:r>
      <w:r w:rsidRPr="004F24F9">
        <w:rPr>
          <w:rFonts w:cs="Arial"/>
          <w:i/>
          <w:iCs/>
          <w:noProof/>
          <w:sz w:val="22"/>
          <w:szCs w:val="24"/>
        </w:rPr>
        <w:t>Clin. Cancer Res.</w:t>
      </w:r>
      <w:r w:rsidRPr="004F24F9">
        <w:rPr>
          <w:rFonts w:cs="Arial"/>
          <w:noProof/>
          <w:sz w:val="22"/>
          <w:szCs w:val="24"/>
        </w:rPr>
        <w:t xml:space="preserve"> </w:t>
      </w:r>
      <w:r w:rsidRPr="004F24F9">
        <w:rPr>
          <w:rFonts w:cs="Arial"/>
          <w:b/>
          <w:bCs/>
          <w:noProof/>
          <w:sz w:val="22"/>
          <w:szCs w:val="24"/>
        </w:rPr>
        <w:t>18</w:t>
      </w:r>
      <w:r w:rsidRPr="004F24F9">
        <w:rPr>
          <w:rFonts w:cs="Arial"/>
          <w:noProof/>
          <w:sz w:val="22"/>
          <w:szCs w:val="24"/>
        </w:rPr>
        <w:t>, 1472–1482 (2012).</w:t>
      </w:r>
    </w:p>
    <w:p w14:paraId="1D9C06D4"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25.</w:t>
      </w:r>
      <w:r w:rsidRPr="004F24F9">
        <w:rPr>
          <w:rFonts w:cs="Arial"/>
          <w:noProof/>
          <w:sz w:val="22"/>
          <w:szCs w:val="24"/>
        </w:rPr>
        <w:tab/>
        <w:t xml:space="preserve">Lovly, C. M. </w:t>
      </w:r>
      <w:r w:rsidRPr="004F24F9">
        <w:rPr>
          <w:rFonts w:cs="Arial"/>
          <w:i/>
          <w:iCs/>
          <w:noProof/>
          <w:sz w:val="22"/>
          <w:szCs w:val="24"/>
        </w:rPr>
        <w:t>et al.</w:t>
      </w:r>
      <w:r w:rsidRPr="004F24F9">
        <w:rPr>
          <w:rFonts w:cs="Arial"/>
          <w:noProof/>
          <w:sz w:val="22"/>
          <w:szCs w:val="24"/>
        </w:rPr>
        <w:t xml:space="preserve"> Rationale for co-targeting IGF-1R and ALK in ALK fusion-positive lung cancer. </w:t>
      </w:r>
      <w:r w:rsidRPr="004F24F9">
        <w:rPr>
          <w:rFonts w:cs="Arial"/>
          <w:i/>
          <w:iCs/>
          <w:noProof/>
          <w:sz w:val="22"/>
          <w:szCs w:val="24"/>
        </w:rPr>
        <w:t>Nat. Med.</w:t>
      </w:r>
      <w:r w:rsidRPr="004F24F9">
        <w:rPr>
          <w:rFonts w:cs="Arial"/>
          <w:noProof/>
          <w:sz w:val="22"/>
          <w:szCs w:val="24"/>
        </w:rPr>
        <w:t xml:space="preserve"> </w:t>
      </w:r>
      <w:r w:rsidRPr="004F24F9">
        <w:rPr>
          <w:rFonts w:cs="Arial"/>
          <w:b/>
          <w:bCs/>
          <w:noProof/>
          <w:sz w:val="22"/>
          <w:szCs w:val="24"/>
        </w:rPr>
        <w:t>20</w:t>
      </w:r>
      <w:r w:rsidRPr="004F24F9">
        <w:rPr>
          <w:rFonts w:cs="Arial"/>
          <w:noProof/>
          <w:sz w:val="22"/>
          <w:szCs w:val="24"/>
        </w:rPr>
        <w:t>, 1027–34 (2014).</w:t>
      </w:r>
    </w:p>
    <w:p w14:paraId="05BEB03C"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26.</w:t>
      </w:r>
      <w:r w:rsidRPr="004F24F9">
        <w:rPr>
          <w:rFonts w:cs="Arial"/>
          <w:noProof/>
          <w:sz w:val="22"/>
          <w:szCs w:val="24"/>
        </w:rPr>
        <w:tab/>
        <w:t xml:space="preserve">Konermann, S. </w:t>
      </w:r>
      <w:r w:rsidRPr="004F24F9">
        <w:rPr>
          <w:rFonts w:cs="Arial"/>
          <w:i/>
          <w:iCs/>
          <w:noProof/>
          <w:sz w:val="22"/>
          <w:szCs w:val="24"/>
        </w:rPr>
        <w:t>et al.</w:t>
      </w:r>
      <w:r w:rsidRPr="004F24F9">
        <w:rPr>
          <w:rFonts w:cs="Arial"/>
          <w:noProof/>
          <w:sz w:val="22"/>
          <w:szCs w:val="24"/>
        </w:rPr>
        <w:t xml:space="preserve"> Genome-scale transcriptional activation by an engineered CRISPR-Cas9 complex. </w:t>
      </w:r>
      <w:r w:rsidRPr="004F24F9">
        <w:rPr>
          <w:rFonts w:cs="Arial"/>
          <w:i/>
          <w:iCs/>
          <w:noProof/>
          <w:sz w:val="22"/>
          <w:szCs w:val="24"/>
        </w:rPr>
        <w:t>Nature</w:t>
      </w:r>
      <w:r w:rsidRPr="004F24F9">
        <w:rPr>
          <w:rFonts w:cs="Arial"/>
          <w:noProof/>
          <w:sz w:val="22"/>
          <w:szCs w:val="24"/>
        </w:rPr>
        <w:t xml:space="preserve"> </w:t>
      </w:r>
      <w:r w:rsidRPr="004F24F9">
        <w:rPr>
          <w:rFonts w:cs="Arial"/>
          <w:b/>
          <w:bCs/>
          <w:noProof/>
          <w:sz w:val="22"/>
          <w:szCs w:val="24"/>
        </w:rPr>
        <w:t>517</w:t>
      </w:r>
      <w:r w:rsidRPr="004F24F9">
        <w:rPr>
          <w:rFonts w:cs="Arial"/>
          <w:noProof/>
          <w:sz w:val="22"/>
          <w:szCs w:val="24"/>
        </w:rPr>
        <w:t>, 583–588 (2015).</w:t>
      </w:r>
    </w:p>
    <w:p w14:paraId="7F7BB0A1"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27.</w:t>
      </w:r>
      <w:r w:rsidRPr="004F24F9">
        <w:rPr>
          <w:rFonts w:cs="Arial"/>
          <w:noProof/>
          <w:sz w:val="22"/>
          <w:szCs w:val="24"/>
        </w:rPr>
        <w:tab/>
        <w:t xml:space="preserve">Liberzon, A. </w:t>
      </w:r>
      <w:r w:rsidRPr="004F24F9">
        <w:rPr>
          <w:rFonts w:cs="Arial"/>
          <w:i/>
          <w:iCs/>
          <w:noProof/>
          <w:sz w:val="22"/>
          <w:szCs w:val="24"/>
        </w:rPr>
        <w:t>et al.</w:t>
      </w:r>
      <w:r w:rsidRPr="004F24F9">
        <w:rPr>
          <w:rFonts w:cs="Arial"/>
          <w:noProof/>
          <w:sz w:val="22"/>
          <w:szCs w:val="24"/>
        </w:rPr>
        <w:t xml:space="preserve"> The Molecular Signatures Database (MSigDB) hallmark gene set collection. </w:t>
      </w:r>
      <w:r w:rsidRPr="004F24F9">
        <w:rPr>
          <w:rFonts w:cs="Arial"/>
          <w:i/>
          <w:iCs/>
          <w:noProof/>
          <w:sz w:val="22"/>
          <w:szCs w:val="24"/>
        </w:rPr>
        <w:t>Cell Syst</w:t>
      </w:r>
      <w:r w:rsidRPr="004F24F9">
        <w:rPr>
          <w:rFonts w:cs="Arial"/>
          <w:noProof/>
          <w:sz w:val="22"/>
          <w:szCs w:val="24"/>
        </w:rPr>
        <w:t xml:space="preserve"> </w:t>
      </w:r>
      <w:r w:rsidRPr="004F24F9">
        <w:rPr>
          <w:rFonts w:cs="Arial"/>
          <w:b/>
          <w:bCs/>
          <w:noProof/>
          <w:sz w:val="22"/>
          <w:szCs w:val="24"/>
        </w:rPr>
        <w:t>1</w:t>
      </w:r>
      <w:r w:rsidRPr="004F24F9">
        <w:rPr>
          <w:rFonts w:cs="Arial"/>
          <w:noProof/>
          <w:sz w:val="22"/>
          <w:szCs w:val="24"/>
        </w:rPr>
        <w:t>, 417–425 (2015).</w:t>
      </w:r>
    </w:p>
    <w:p w14:paraId="47341197" w14:textId="109172E0"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28.</w:t>
      </w:r>
      <w:r w:rsidRPr="004F24F9">
        <w:rPr>
          <w:rFonts w:cs="Arial"/>
          <w:noProof/>
          <w:sz w:val="22"/>
          <w:szCs w:val="24"/>
        </w:rPr>
        <w:tab/>
        <w:t xml:space="preserve">Zhang, W. </w:t>
      </w:r>
      <w:r w:rsidRPr="004F24F9">
        <w:rPr>
          <w:rFonts w:cs="Arial"/>
          <w:i/>
          <w:iCs/>
          <w:noProof/>
          <w:sz w:val="22"/>
          <w:szCs w:val="24"/>
        </w:rPr>
        <w:t>et al.</w:t>
      </w:r>
      <w:r w:rsidRPr="004F24F9">
        <w:rPr>
          <w:rFonts w:cs="Arial"/>
          <w:noProof/>
          <w:sz w:val="22"/>
          <w:szCs w:val="24"/>
        </w:rPr>
        <w:t xml:space="preserve"> Comparison of RNA-seq and microarray-based models for clinical endpoint prediction. </w:t>
      </w:r>
      <w:r w:rsidRPr="004F24F9">
        <w:rPr>
          <w:rFonts w:cs="Arial"/>
          <w:i/>
          <w:iCs/>
          <w:noProof/>
          <w:sz w:val="22"/>
          <w:szCs w:val="24"/>
        </w:rPr>
        <w:t>Genome Biol</w:t>
      </w:r>
      <w:r w:rsidRPr="004F24F9">
        <w:rPr>
          <w:rFonts w:cs="Arial"/>
          <w:noProof/>
          <w:sz w:val="22"/>
          <w:szCs w:val="24"/>
        </w:rPr>
        <w:t xml:space="preserve"> </w:t>
      </w:r>
      <w:r w:rsidRPr="004F24F9">
        <w:rPr>
          <w:rFonts w:cs="Arial"/>
          <w:b/>
          <w:bCs/>
          <w:noProof/>
          <w:sz w:val="22"/>
          <w:szCs w:val="24"/>
        </w:rPr>
        <w:t>16</w:t>
      </w:r>
      <w:r w:rsidRPr="004F24F9">
        <w:rPr>
          <w:rFonts w:cs="Arial"/>
          <w:noProof/>
          <w:sz w:val="22"/>
          <w:szCs w:val="24"/>
        </w:rPr>
        <w:t xml:space="preserve">, 133 </w:t>
      </w:r>
      <w:r w:rsidR="006548B2" w:rsidRPr="002B0800">
        <w:rPr>
          <w:rFonts w:cs="Arial"/>
          <w:noProof/>
          <w:sz w:val="22"/>
          <w:szCs w:val="22"/>
        </w:rPr>
        <w:t>doi: 10.1186/s13059-015-0694-1</w:t>
      </w:r>
      <w:r w:rsidR="006548B2" w:rsidRPr="004F24F9">
        <w:rPr>
          <w:rFonts w:cs="Arial"/>
          <w:noProof/>
          <w:sz w:val="22"/>
          <w:szCs w:val="24"/>
        </w:rPr>
        <w:t xml:space="preserve"> </w:t>
      </w:r>
      <w:r w:rsidRPr="004F24F9">
        <w:rPr>
          <w:rFonts w:cs="Arial"/>
          <w:noProof/>
          <w:sz w:val="22"/>
          <w:szCs w:val="24"/>
        </w:rPr>
        <w:t>(2015).</w:t>
      </w:r>
      <w:r w:rsidR="007B1F1A" w:rsidRPr="007B1F1A">
        <w:rPr>
          <w:rFonts w:cs="Arial"/>
          <w:noProof/>
          <w:sz w:val="22"/>
          <w:szCs w:val="22"/>
        </w:rPr>
        <w:t xml:space="preserve"> </w:t>
      </w:r>
    </w:p>
    <w:p w14:paraId="3393A67F" w14:textId="07A21C33" w:rsidR="004F24F9" w:rsidRPr="007B1F1A" w:rsidRDefault="004F24F9" w:rsidP="00845ECF">
      <w:pPr>
        <w:ind w:left="640" w:hanging="640"/>
        <w:rPr>
          <w:rFonts w:cs="Arial"/>
          <w:noProof/>
          <w:sz w:val="22"/>
          <w:szCs w:val="22"/>
        </w:rPr>
      </w:pPr>
      <w:r w:rsidRPr="004F24F9">
        <w:rPr>
          <w:rFonts w:cs="Arial"/>
          <w:noProof/>
          <w:sz w:val="22"/>
          <w:szCs w:val="24"/>
        </w:rPr>
        <w:t>29.</w:t>
      </w:r>
      <w:r w:rsidRPr="004F24F9">
        <w:rPr>
          <w:rFonts w:cs="Arial"/>
          <w:noProof/>
          <w:sz w:val="22"/>
          <w:szCs w:val="24"/>
        </w:rPr>
        <w:tab/>
        <w:t xml:space="preserve">Kocak, H. </w:t>
      </w:r>
      <w:r w:rsidRPr="004F24F9">
        <w:rPr>
          <w:rFonts w:cs="Arial"/>
          <w:i/>
          <w:iCs/>
          <w:noProof/>
          <w:sz w:val="22"/>
          <w:szCs w:val="24"/>
        </w:rPr>
        <w:t>et al.</w:t>
      </w:r>
      <w:r w:rsidRPr="004F24F9">
        <w:rPr>
          <w:rFonts w:cs="Arial"/>
          <w:noProof/>
          <w:sz w:val="22"/>
          <w:szCs w:val="24"/>
        </w:rPr>
        <w:t xml:space="preserve"> Hox-C9 activates the intrinsic pathway of apoptosis and is associated with spontaneous regression in neuroblastoma. </w:t>
      </w:r>
      <w:r w:rsidRPr="004F24F9">
        <w:rPr>
          <w:rFonts w:cs="Arial"/>
          <w:i/>
          <w:iCs/>
          <w:noProof/>
          <w:sz w:val="22"/>
          <w:szCs w:val="24"/>
        </w:rPr>
        <w:t>Cell Death Dis</w:t>
      </w:r>
      <w:r w:rsidRPr="004F24F9">
        <w:rPr>
          <w:rFonts w:cs="Arial"/>
          <w:noProof/>
          <w:sz w:val="22"/>
          <w:szCs w:val="24"/>
        </w:rPr>
        <w:t xml:space="preserve"> </w:t>
      </w:r>
      <w:r w:rsidRPr="004F24F9">
        <w:rPr>
          <w:rFonts w:cs="Arial"/>
          <w:b/>
          <w:bCs/>
          <w:noProof/>
          <w:sz w:val="22"/>
          <w:szCs w:val="24"/>
        </w:rPr>
        <w:t>4</w:t>
      </w:r>
      <w:r w:rsidRPr="004F24F9">
        <w:rPr>
          <w:rFonts w:cs="Arial"/>
          <w:noProof/>
          <w:sz w:val="22"/>
          <w:szCs w:val="24"/>
        </w:rPr>
        <w:t xml:space="preserve">, e586 </w:t>
      </w:r>
      <w:r w:rsidR="006548B2" w:rsidRPr="00435828">
        <w:rPr>
          <w:rFonts w:cs="Arial"/>
          <w:noProof/>
          <w:sz w:val="22"/>
          <w:szCs w:val="22"/>
        </w:rPr>
        <w:t>doi: 10.1038/cddis.2013.84</w:t>
      </w:r>
      <w:r w:rsidR="006548B2" w:rsidRPr="004F24F9">
        <w:rPr>
          <w:rFonts w:cs="Arial"/>
          <w:noProof/>
          <w:sz w:val="22"/>
          <w:szCs w:val="24"/>
        </w:rPr>
        <w:t xml:space="preserve"> </w:t>
      </w:r>
      <w:r w:rsidRPr="004F24F9">
        <w:rPr>
          <w:rFonts w:cs="Arial"/>
          <w:noProof/>
          <w:sz w:val="22"/>
          <w:szCs w:val="24"/>
        </w:rPr>
        <w:t>(2013).</w:t>
      </w:r>
      <w:r w:rsidR="007B1F1A" w:rsidRPr="007B1F1A">
        <w:rPr>
          <w:rFonts w:cs="Arial"/>
          <w:noProof/>
          <w:sz w:val="22"/>
          <w:szCs w:val="22"/>
        </w:rPr>
        <w:t xml:space="preserve"> </w:t>
      </w:r>
    </w:p>
    <w:p w14:paraId="42672B68"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30.</w:t>
      </w:r>
      <w:r w:rsidRPr="004F24F9">
        <w:rPr>
          <w:rFonts w:cs="Arial"/>
          <w:noProof/>
          <w:sz w:val="22"/>
          <w:szCs w:val="24"/>
        </w:rPr>
        <w:tab/>
        <w:t xml:space="preserve">Cotto, K. C. </w:t>
      </w:r>
      <w:r w:rsidRPr="004F24F9">
        <w:rPr>
          <w:rFonts w:cs="Arial"/>
          <w:i/>
          <w:iCs/>
          <w:noProof/>
          <w:sz w:val="22"/>
          <w:szCs w:val="24"/>
        </w:rPr>
        <w:t>et al.</w:t>
      </w:r>
      <w:r w:rsidRPr="004F24F9">
        <w:rPr>
          <w:rFonts w:cs="Arial"/>
          <w:noProof/>
          <w:sz w:val="22"/>
          <w:szCs w:val="24"/>
        </w:rPr>
        <w:t xml:space="preserve"> DGIdb 3.0: a redesign and expansion of the drug-gene interaction database. </w:t>
      </w:r>
      <w:r w:rsidRPr="004F24F9">
        <w:rPr>
          <w:rFonts w:cs="Arial"/>
          <w:i/>
          <w:iCs/>
          <w:noProof/>
          <w:sz w:val="22"/>
          <w:szCs w:val="24"/>
        </w:rPr>
        <w:t>Nucleic Acids Res.</w:t>
      </w:r>
      <w:r w:rsidRPr="004F24F9">
        <w:rPr>
          <w:rFonts w:cs="Arial"/>
          <w:noProof/>
          <w:sz w:val="22"/>
          <w:szCs w:val="24"/>
        </w:rPr>
        <w:t xml:space="preserve"> </w:t>
      </w:r>
      <w:r w:rsidRPr="004F24F9">
        <w:rPr>
          <w:rFonts w:cs="Arial"/>
          <w:b/>
          <w:bCs/>
          <w:noProof/>
          <w:sz w:val="22"/>
          <w:szCs w:val="24"/>
        </w:rPr>
        <w:t>46</w:t>
      </w:r>
      <w:r w:rsidRPr="004F24F9">
        <w:rPr>
          <w:rFonts w:cs="Arial"/>
          <w:noProof/>
          <w:sz w:val="22"/>
          <w:szCs w:val="24"/>
        </w:rPr>
        <w:t>, D1068–D1073 (2018).</w:t>
      </w:r>
    </w:p>
    <w:p w14:paraId="0AF90362"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31.</w:t>
      </w:r>
      <w:r w:rsidRPr="004F24F9">
        <w:rPr>
          <w:rFonts w:cs="Arial"/>
          <w:noProof/>
          <w:sz w:val="22"/>
          <w:szCs w:val="24"/>
        </w:rPr>
        <w:tab/>
        <w:t xml:space="preserve">Kogita, A. </w:t>
      </w:r>
      <w:r w:rsidRPr="004F24F9">
        <w:rPr>
          <w:rFonts w:cs="Arial"/>
          <w:i/>
          <w:iCs/>
          <w:noProof/>
          <w:sz w:val="22"/>
          <w:szCs w:val="24"/>
        </w:rPr>
        <w:t>et al.</w:t>
      </w:r>
      <w:r w:rsidRPr="004F24F9">
        <w:rPr>
          <w:rFonts w:cs="Arial"/>
          <w:noProof/>
          <w:sz w:val="22"/>
          <w:szCs w:val="24"/>
        </w:rPr>
        <w:t xml:space="preserve"> Activated MET acts as a salvage signal after treatment with alectinib, a selective ALK inhibitor, in ALK-positive non-small cell lung cancer. </w:t>
      </w:r>
      <w:r w:rsidRPr="004F24F9">
        <w:rPr>
          <w:rFonts w:cs="Arial"/>
          <w:i/>
          <w:iCs/>
          <w:noProof/>
          <w:sz w:val="22"/>
          <w:szCs w:val="24"/>
        </w:rPr>
        <w:t>Int J Oncol</w:t>
      </w:r>
      <w:r w:rsidRPr="004F24F9">
        <w:rPr>
          <w:rFonts w:cs="Arial"/>
          <w:noProof/>
          <w:sz w:val="22"/>
          <w:szCs w:val="24"/>
        </w:rPr>
        <w:t xml:space="preserve"> </w:t>
      </w:r>
      <w:r w:rsidRPr="004F24F9">
        <w:rPr>
          <w:rFonts w:cs="Arial"/>
          <w:b/>
          <w:bCs/>
          <w:noProof/>
          <w:sz w:val="22"/>
          <w:szCs w:val="24"/>
        </w:rPr>
        <w:t>46</w:t>
      </w:r>
      <w:r w:rsidRPr="004F24F9">
        <w:rPr>
          <w:rFonts w:cs="Arial"/>
          <w:noProof/>
          <w:sz w:val="22"/>
          <w:szCs w:val="24"/>
        </w:rPr>
        <w:t>, 1025–1030 (2015).</w:t>
      </w:r>
    </w:p>
    <w:p w14:paraId="0E038ED6"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32.</w:t>
      </w:r>
      <w:r w:rsidRPr="004F24F9">
        <w:rPr>
          <w:rFonts w:cs="Arial"/>
          <w:noProof/>
          <w:sz w:val="22"/>
          <w:szCs w:val="24"/>
        </w:rPr>
        <w:tab/>
        <w:t xml:space="preserve">Toyokawa, G. </w:t>
      </w:r>
      <w:r w:rsidRPr="004F24F9">
        <w:rPr>
          <w:rFonts w:cs="Arial"/>
          <w:i/>
          <w:iCs/>
          <w:noProof/>
          <w:sz w:val="22"/>
          <w:szCs w:val="24"/>
        </w:rPr>
        <w:t>et al.</w:t>
      </w:r>
      <w:r w:rsidRPr="004F24F9">
        <w:rPr>
          <w:rFonts w:cs="Arial"/>
          <w:noProof/>
          <w:sz w:val="22"/>
          <w:szCs w:val="24"/>
        </w:rPr>
        <w:t xml:space="preserve"> Dramatic response to crizotinib in an ALK-positive adenocarcinoma patient with disseminated intravascular coagulation. </w:t>
      </w:r>
      <w:r w:rsidRPr="004F24F9">
        <w:rPr>
          <w:rFonts w:cs="Arial"/>
          <w:i/>
          <w:iCs/>
          <w:noProof/>
          <w:sz w:val="22"/>
          <w:szCs w:val="24"/>
        </w:rPr>
        <w:t>J Thorac Oncol</w:t>
      </w:r>
      <w:r w:rsidRPr="004F24F9">
        <w:rPr>
          <w:rFonts w:cs="Arial"/>
          <w:noProof/>
          <w:sz w:val="22"/>
          <w:szCs w:val="24"/>
        </w:rPr>
        <w:t xml:space="preserve"> </w:t>
      </w:r>
      <w:r w:rsidRPr="004F24F9">
        <w:rPr>
          <w:rFonts w:cs="Arial"/>
          <w:b/>
          <w:bCs/>
          <w:noProof/>
          <w:sz w:val="22"/>
          <w:szCs w:val="24"/>
        </w:rPr>
        <w:t>8</w:t>
      </w:r>
      <w:r w:rsidRPr="004F24F9">
        <w:rPr>
          <w:rFonts w:cs="Arial"/>
          <w:noProof/>
          <w:sz w:val="22"/>
          <w:szCs w:val="24"/>
        </w:rPr>
        <w:t>, e96-8 (2013).</w:t>
      </w:r>
    </w:p>
    <w:p w14:paraId="398B5F1D"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33.</w:t>
      </w:r>
      <w:r w:rsidRPr="004F24F9">
        <w:rPr>
          <w:rFonts w:cs="Arial"/>
          <w:noProof/>
          <w:sz w:val="22"/>
          <w:szCs w:val="24"/>
        </w:rPr>
        <w:tab/>
        <w:t xml:space="preserve">Xie, Y. </w:t>
      </w:r>
      <w:r w:rsidRPr="004F24F9">
        <w:rPr>
          <w:rFonts w:cs="Arial"/>
          <w:i/>
          <w:iCs/>
          <w:noProof/>
          <w:sz w:val="22"/>
          <w:szCs w:val="24"/>
        </w:rPr>
        <w:t>et al.</w:t>
      </w:r>
      <w:r w:rsidRPr="004F24F9">
        <w:rPr>
          <w:rFonts w:cs="Arial"/>
          <w:noProof/>
          <w:sz w:val="22"/>
          <w:szCs w:val="24"/>
        </w:rPr>
        <w:t xml:space="preserve"> The 44 kDa Pim-1 kinase directly interacts with tyrosine kinase Etk/BMX and protects human prostate cancer cells from apoptosis induced by chemotherapeutic drugs. </w:t>
      </w:r>
      <w:r w:rsidRPr="004F24F9">
        <w:rPr>
          <w:rFonts w:cs="Arial"/>
          <w:i/>
          <w:iCs/>
          <w:noProof/>
          <w:sz w:val="22"/>
          <w:szCs w:val="24"/>
        </w:rPr>
        <w:t>Oncogene</w:t>
      </w:r>
      <w:r w:rsidRPr="004F24F9">
        <w:rPr>
          <w:rFonts w:cs="Arial"/>
          <w:noProof/>
          <w:sz w:val="22"/>
          <w:szCs w:val="24"/>
        </w:rPr>
        <w:t xml:space="preserve"> </w:t>
      </w:r>
      <w:r w:rsidRPr="004F24F9">
        <w:rPr>
          <w:rFonts w:cs="Arial"/>
          <w:b/>
          <w:bCs/>
          <w:noProof/>
          <w:sz w:val="22"/>
          <w:szCs w:val="24"/>
        </w:rPr>
        <w:t>25</w:t>
      </w:r>
      <w:r w:rsidRPr="004F24F9">
        <w:rPr>
          <w:rFonts w:cs="Arial"/>
          <w:noProof/>
          <w:sz w:val="22"/>
          <w:szCs w:val="24"/>
        </w:rPr>
        <w:t>, 70–78 (2006).</w:t>
      </w:r>
    </w:p>
    <w:p w14:paraId="32CCBE4B"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34.</w:t>
      </w:r>
      <w:r w:rsidRPr="004F24F9">
        <w:rPr>
          <w:rFonts w:cs="Arial"/>
          <w:noProof/>
          <w:sz w:val="22"/>
          <w:szCs w:val="24"/>
        </w:rPr>
        <w:tab/>
        <w:t xml:space="preserve">Natarajan, K. </w:t>
      </w:r>
      <w:r w:rsidRPr="004F24F9">
        <w:rPr>
          <w:rFonts w:cs="Arial"/>
          <w:i/>
          <w:iCs/>
          <w:noProof/>
          <w:sz w:val="22"/>
          <w:szCs w:val="24"/>
        </w:rPr>
        <w:t>et al.</w:t>
      </w:r>
      <w:r w:rsidRPr="004F24F9">
        <w:rPr>
          <w:rFonts w:cs="Arial"/>
          <w:noProof/>
          <w:sz w:val="22"/>
          <w:szCs w:val="24"/>
        </w:rPr>
        <w:t xml:space="preserve"> The Pim kinase inhibitor SGI-1776 decreases cell surface expression of P-glycoprotein (ABCB1) and breast cancer resistance protein (ABCG2) and drug transport by Pim-1-dependent and -independent mechanisms. </w:t>
      </w:r>
      <w:r w:rsidRPr="004F24F9">
        <w:rPr>
          <w:rFonts w:cs="Arial"/>
          <w:i/>
          <w:iCs/>
          <w:noProof/>
          <w:sz w:val="22"/>
          <w:szCs w:val="24"/>
        </w:rPr>
        <w:t>Biochem Pharmacol</w:t>
      </w:r>
      <w:r w:rsidRPr="004F24F9">
        <w:rPr>
          <w:rFonts w:cs="Arial"/>
          <w:noProof/>
          <w:sz w:val="22"/>
          <w:szCs w:val="24"/>
        </w:rPr>
        <w:t xml:space="preserve"> </w:t>
      </w:r>
      <w:r w:rsidRPr="004F24F9">
        <w:rPr>
          <w:rFonts w:cs="Arial"/>
          <w:b/>
          <w:bCs/>
          <w:noProof/>
          <w:sz w:val="22"/>
          <w:szCs w:val="24"/>
        </w:rPr>
        <w:t>85</w:t>
      </w:r>
      <w:r w:rsidRPr="004F24F9">
        <w:rPr>
          <w:rFonts w:cs="Arial"/>
          <w:noProof/>
          <w:sz w:val="22"/>
          <w:szCs w:val="24"/>
        </w:rPr>
        <w:t>, 514–524 (2013).</w:t>
      </w:r>
    </w:p>
    <w:p w14:paraId="73AD0627"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35.</w:t>
      </w:r>
      <w:r w:rsidRPr="004F24F9">
        <w:rPr>
          <w:rFonts w:cs="Arial"/>
          <w:noProof/>
          <w:sz w:val="22"/>
          <w:szCs w:val="24"/>
        </w:rPr>
        <w:tab/>
        <w:t xml:space="preserve">Chen, J. </w:t>
      </w:r>
      <w:r w:rsidRPr="004F24F9">
        <w:rPr>
          <w:rFonts w:cs="Arial"/>
          <w:i/>
          <w:iCs/>
          <w:noProof/>
          <w:sz w:val="22"/>
          <w:szCs w:val="24"/>
        </w:rPr>
        <w:t>et al.</w:t>
      </w:r>
      <w:r w:rsidRPr="004F24F9">
        <w:rPr>
          <w:rFonts w:cs="Arial"/>
          <w:noProof/>
          <w:sz w:val="22"/>
          <w:szCs w:val="24"/>
        </w:rPr>
        <w:t xml:space="preserve"> Pim-1 plays a pivotal role in hypoxia-induced chemoresistance. </w:t>
      </w:r>
      <w:r w:rsidRPr="004F24F9">
        <w:rPr>
          <w:rFonts w:cs="Arial"/>
          <w:i/>
          <w:iCs/>
          <w:noProof/>
          <w:sz w:val="22"/>
          <w:szCs w:val="24"/>
        </w:rPr>
        <w:t>Oncogene</w:t>
      </w:r>
      <w:r w:rsidRPr="004F24F9">
        <w:rPr>
          <w:rFonts w:cs="Arial"/>
          <w:noProof/>
          <w:sz w:val="22"/>
          <w:szCs w:val="24"/>
        </w:rPr>
        <w:t xml:space="preserve"> </w:t>
      </w:r>
      <w:r w:rsidRPr="004F24F9">
        <w:rPr>
          <w:rFonts w:cs="Arial"/>
          <w:b/>
          <w:bCs/>
          <w:noProof/>
          <w:sz w:val="22"/>
          <w:szCs w:val="24"/>
        </w:rPr>
        <w:t>28</w:t>
      </w:r>
      <w:r w:rsidRPr="004F24F9">
        <w:rPr>
          <w:rFonts w:cs="Arial"/>
          <w:noProof/>
          <w:sz w:val="22"/>
          <w:szCs w:val="24"/>
        </w:rPr>
        <w:t>, 2581–2592 (2009).</w:t>
      </w:r>
    </w:p>
    <w:p w14:paraId="4FD20E3D"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36.</w:t>
      </w:r>
      <w:r w:rsidRPr="004F24F9">
        <w:rPr>
          <w:rFonts w:cs="Arial"/>
          <w:noProof/>
          <w:sz w:val="22"/>
          <w:szCs w:val="24"/>
        </w:rPr>
        <w:tab/>
        <w:t xml:space="preserve">Kuo, H. P. </w:t>
      </w:r>
      <w:r w:rsidRPr="004F24F9">
        <w:rPr>
          <w:rFonts w:cs="Arial"/>
          <w:i/>
          <w:iCs/>
          <w:noProof/>
          <w:sz w:val="22"/>
          <w:szCs w:val="24"/>
        </w:rPr>
        <w:t>et al.</w:t>
      </w:r>
      <w:r w:rsidRPr="004F24F9">
        <w:rPr>
          <w:rFonts w:cs="Arial"/>
          <w:noProof/>
          <w:sz w:val="22"/>
          <w:szCs w:val="24"/>
        </w:rPr>
        <w:t xml:space="preserve"> The role of PIM1 in the ibrutinib-resistant ABC subtype of diffuse large B-cell lymphoma. </w:t>
      </w:r>
      <w:r w:rsidRPr="004F24F9">
        <w:rPr>
          <w:rFonts w:cs="Arial"/>
          <w:i/>
          <w:iCs/>
          <w:noProof/>
          <w:sz w:val="22"/>
          <w:szCs w:val="24"/>
        </w:rPr>
        <w:t>Am J Cancer Res</w:t>
      </w:r>
      <w:r w:rsidRPr="004F24F9">
        <w:rPr>
          <w:rFonts w:cs="Arial"/>
          <w:noProof/>
          <w:sz w:val="22"/>
          <w:szCs w:val="24"/>
        </w:rPr>
        <w:t xml:space="preserve"> </w:t>
      </w:r>
      <w:r w:rsidRPr="004F24F9">
        <w:rPr>
          <w:rFonts w:cs="Arial"/>
          <w:b/>
          <w:bCs/>
          <w:noProof/>
          <w:sz w:val="22"/>
          <w:szCs w:val="24"/>
        </w:rPr>
        <w:t>6</w:t>
      </w:r>
      <w:r w:rsidRPr="004F24F9">
        <w:rPr>
          <w:rFonts w:cs="Arial"/>
          <w:noProof/>
          <w:sz w:val="22"/>
          <w:szCs w:val="24"/>
        </w:rPr>
        <w:t>, 2489–2501 (2016).</w:t>
      </w:r>
    </w:p>
    <w:p w14:paraId="48790E9B"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37.</w:t>
      </w:r>
      <w:r w:rsidRPr="004F24F9">
        <w:rPr>
          <w:rFonts w:cs="Arial"/>
          <w:noProof/>
          <w:sz w:val="22"/>
          <w:szCs w:val="24"/>
        </w:rPr>
        <w:tab/>
        <w:t xml:space="preserve">Xu, J. </w:t>
      </w:r>
      <w:r w:rsidRPr="004F24F9">
        <w:rPr>
          <w:rFonts w:cs="Arial"/>
          <w:i/>
          <w:iCs/>
          <w:noProof/>
          <w:sz w:val="22"/>
          <w:szCs w:val="24"/>
        </w:rPr>
        <w:t>et al.</w:t>
      </w:r>
      <w:r w:rsidRPr="004F24F9">
        <w:rPr>
          <w:rFonts w:cs="Arial"/>
          <w:noProof/>
          <w:sz w:val="22"/>
          <w:szCs w:val="24"/>
        </w:rPr>
        <w:t xml:space="preserve"> PIM-1 contributes to the malignancy of pancreatic cancer and displays diagnostic and prognostic value. </w:t>
      </w:r>
      <w:r w:rsidRPr="004F24F9">
        <w:rPr>
          <w:rFonts w:cs="Arial"/>
          <w:i/>
          <w:iCs/>
          <w:noProof/>
          <w:sz w:val="22"/>
          <w:szCs w:val="24"/>
        </w:rPr>
        <w:t>J Exp Clin Cancer Res</w:t>
      </w:r>
      <w:r w:rsidRPr="004F24F9">
        <w:rPr>
          <w:rFonts w:cs="Arial"/>
          <w:noProof/>
          <w:sz w:val="22"/>
          <w:szCs w:val="24"/>
        </w:rPr>
        <w:t xml:space="preserve"> </w:t>
      </w:r>
      <w:r w:rsidRPr="004F24F9">
        <w:rPr>
          <w:rFonts w:cs="Arial"/>
          <w:b/>
          <w:bCs/>
          <w:noProof/>
          <w:sz w:val="22"/>
          <w:szCs w:val="24"/>
        </w:rPr>
        <w:t>35</w:t>
      </w:r>
      <w:r w:rsidRPr="004F24F9">
        <w:rPr>
          <w:rFonts w:cs="Arial"/>
          <w:noProof/>
          <w:sz w:val="22"/>
          <w:szCs w:val="24"/>
        </w:rPr>
        <w:t>, 133 (2016).</w:t>
      </w:r>
    </w:p>
    <w:p w14:paraId="67321EFB" w14:textId="655C1408"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38.</w:t>
      </w:r>
      <w:r w:rsidRPr="004F24F9">
        <w:rPr>
          <w:rFonts w:cs="Arial"/>
          <w:noProof/>
          <w:sz w:val="22"/>
          <w:szCs w:val="24"/>
        </w:rPr>
        <w:tab/>
        <w:t xml:space="preserve">Cheng, H. </w:t>
      </w:r>
      <w:r w:rsidRPr="004F24F9">
        <w:rPr>
          <w:rFonts w:cs="Arial"/>
          <w:i/>
          <w:iCs/>
          <w:noProof/>
          <w:sz w:val="22"/>
          <w:szCs w:val="24"/>
        </w:rPr>
        <w:t>et al.</w:t>
      </w:r>
      <w:r w:rsidRPr="004F24F9">
        <w:rPr>
          <w:rFonts w:cs="Arial"/>
          <w:noProof/>
          <w:sz w:val="22"/>
          <w:szCs w:val="24"/>
        </w:rPr>
        <w:t xml:space="preserve"> PIM-1 mRNA expression is a potential prognostic biomarker in acute myeloid leukemia. </w:t>
      </w:r>
      <w:r w:rsidRPr="004F24F9">
        <w:rPr>
          <w:rFonts w:cs="Arial"/>
          <w:i/>
          <w:iCs/>
          <w:noProof/>
          <w:sz w:val="22"/>
          <w:szCs w:val="24"/>
        </w:rPr>
        <w:t>J Transl Med</w:t>
      </w:r>
      <w:r w:rsidRPr="004F24F9">
        <w:rPr>
          <w:rFonts w:cs="Arial"/>
          <w:noProof/>
          <w:sz w:val="22"/>
          <w:szCs w:val="24"/>
        </w:rPr>
        <w:t xml:space="preserve"> </w:t>
      </w:r>
      <w:r w:rsidRPr="004F24F9">
        <w:rPr>
          <w:rFonts w:cs="Arial"/>
          <w:b/>
          <w:bCs/>
          <w:noProof/>
          <w:sz w:val="22"/>
          <w:szCs w:val="24"/>
        </w:rPr>
        <w:t>15</w:t>
      </w:r>
      <w:r w:rsidRPr="004F24F9">
        <w:rPr>
          <w:rFonts w:cs="Arial"/>
          <w:noProof/>
          <w:sz w:val="22"/>
          <w:szCs w:val="24"/>
        </w:rPr>
        <w:t xml:space="preserve">, 179 </w:t>
      </w:r>
      <w:r w:rsidR="006548B2" w:rsidRPr="00435828">
        <w:rPr>
          <w:rFonts w:cs="Arial"/>
          <w:noProof/>
          <w:sz w:val="22"/>
          <w:szCs w:val="22"/>
        </w:rPr>
        <w:t>doi: 10.1186/s12967-017-1287-4</w:t>
      </w:r>
      <w:r w:rsidR="006548B2" w:rsidRPr="004F24F9">
        <w:rPr>
          <w:rFonts w:cs="Arial"/>
          <w:noProof/>
          <w:sz w:val="22"/>
          <w:szCs w:val="24"/>
        </w:rPr>
        <w:t xml:space="preserve"> </w:t>
      </w:r>
      <w:r w:rsidRPr="004F24F9">
        <w:rPr>
          <w:rFonts w:cs="Arial"/>
          <w:noProof/>
          <w:sz w:val="22"/>
          <w:szCs w:val="24"/>
        </w:rPr>
        <w:t>(2017).</w:t>
      </w:r>
      <w:r w:rsidR="007B1F1A" w:rsidRPr="007B1F1A">
        <w:rPr>
          <w:rFonts w:cs="Arial"/>
          <w:noProof/>
          <w:sz w:val="22"/>
          <w:szCs w:val="22"/>
        </w:rPr>
        <w:t xml:space="preserve"> </w:t>
      </w:r>
    </w:p>
    <w:p w14:paraId="08DB78C0"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39.</w:t>
      </w:r>
      <w:r w:rsidRPr="004F24F9">
        <w:rPr>
          <w:rFonts w:cs="Arial"/>
          <w:noProof/>
          <w:sz w:val="22"/>
          <w:szCs w:val="24"/>
        </w:rPr>
        <w:tab/>
        <w:t xml:space="preserve">Liao, Y. </w:t>
      </w:r>
      <w:r w:rsidRPr="004F24F9">
        <w:rPr>
          <w:rFonts w:cs="Arial"/>
          <w:i/>
          <w:iCs/>
          <w:noProof/>
          <w:sz w:val="22"/>
          <w:szCs w:val="24"/>
        </w:rPr>
        <w:t>et al.</w:t>
      </w:r>
      <w:r w:rsidRPr="004F24F9">
        <w:rPr>
          <w:rFonts w:cs="Arial"/>
          <w:noProof/>
          <w:sz w:val="22"/>
          <w:szCs w:val="24"/>
        </w:rPr>
        <w:t xml:space="preserve"> Clinical and biological significance of PIM1 kinase in osteosarcoma. </w:t>
      </w:r>
      <w:r w:rsidRPr="004F24F9">
        <w:rPr>
          <w:rFonts w:cs="Arial"/>
          <w:i/>
          <w:iCs/>
          <w:noProof/>
          <w:sz w:val="22"/>
          <w:szCs w:val="24"/>
        </w:rPr>
        <w:t>J Orthop Res</w:t>
      </w:r>
      <w:r w:rsidRPr="004F24F9">
        <w:rPr>
          <w:rFonts w:cs="Arial"/>
          <w:noProof/>
          <w:sz w:val="22"/>
          <w:szCs w:val="24"/>
        </w:rPr>
        <w:t xml:space="preserve"> </w:t>
      </w:r>
      <w:r w:rsidRPr="004F24F9">
        <w:rPr>
          <w:rFonts w:cs="Arial"/>
          <w:b/>
          <w:bCs/>
          <w:noProof/>
          <w:sz w:val="22"/>
          <w:szCs w:val="24"/>
        </w:rPr>
        <w:t>34</w:t>
      </w:r>
      <w:r w:rsidRPr="004F24F9">
        <w:rPr>
          <w:rFonts w:cs="Arial"/>
          <w:noProof/>
          <w:sz w:val="22"/>
          <w:szCs w:val="24"/>
        </w:rPr>
        <w:t>, 1185–1194 (2016).</w:t>
      </w:r>
    </w:p>
    <w:p w14:paraId="66B41100"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40.</w:t>
      </w:r>
      <w:r w:rsidRPr="004F24F9">
        <w:rPr>
          <w:rFonts w:cs="Arial"/>
          <w:noProof/>
          <w:sz w:val="22"/>
          <w:szCs w:val="24"/>
        </w:rPr>
        <w:tab/>
        <w:t xml:space="preserve">Mahadevan, D. </w:t>
      </w:r>
      <w:r w:rsidRPr="004F24F9">
        <w:rPr>
          <w:rFonts w:cs="Arial"/>
          <w:i/>
          <w:iCs/>
          <w:noProof/>
          <w:sz w:val="22"/>
          <w:szCs w:val="24"/>
        </w:rPr>
        <w:t>et al.</w:t>
      </w:r>
      <w:r w:rsidRPr="004F24F9">
        <w:rPr>
          <w:rFonts w:cs="Arial"/>
          <w:noProof/>
          <w:sz w:val="22"/>
          <w:szCs w:val="24"/>
        </w:rPr>
        <w:t xml:space="preserve"> Transcript profiling in peripheral T-cell lymphoma, not otherwise specified, and diffuse large B-cell lymphoma identifies distinct tumor profile signatures. </w:t>
      </w:r>
      <w:r w:rsidRPr="004F24F9">
        <w:rPr>
          <w:rFonts w:cs="Arial"/>
          <w:i/>
          <w:iCs/>
          <w:noProof/>
          <w:sz w:val="22"/>
          <w:szCs w:val="24"/>
        </w:rPr>
        <w:t>Mol Cancer Ther</w:t>
      </w:r>
      <w:r w:rsidRPr="004F24F9">
        <w:rPr>
          <w:rFonts w:cs="Arial"/>
          <w:noProof/>
          <w:sz w:val="22"/>
          <w:szCs w:val="24"/>
        </w:rPr>
        <w:t xml:space="preserve"> </w:t>
      </w:r>
      <w:r w:rsidRPr="004F24F9">
        <w:rPr>
          <w:rFonts w:cs="Arial"/>
          <w:b/>
          <w:bCs/>
          <w:noProof/>
          <w:sz w:val="22"/>
          <w:szCs w:val="24"/>
        </w:rPr>
        <w:t>4</w:t>
      </w:r>
      <w:r w:rsidRPr="004F24F9">
        <w:rPr>
          <w:rFonts w:cs="Arial"/>
          <w:noProof/>
          <w:sz w:val="22"/>
          <w:szCs w:val="24"/>
        </w:rPr>
        <w:t>, 1867–1879 (2005).</w:t>
      </w:r>
    </w:p>
    <w:p w14:paraId="24FD1022"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41.</w:t>
      </w:r>
      <w:r w:rsidRPr="004F24F9">
        <w:rPr>
          <w:rFonts w:cs="Arial"/>
          <w:noProof/>
          <w:sz w:val="22"/>
          <w:szCs w:val="24"/>
        </w:rPr>
        <w:tab/>
        <w:t xml:space="preserve">Brunen, D., de Vries, R. C., Lieftink, C., Beijersbergen, R. L. &amp; Bernards, R. PIM Kinases Are a Potential Prognostic Biomarker and Therapeutic Target in Neuroblastoma. </w:t>
      </w:r>
      <w:r w:rsidRPr="004F24F9">
        <w:rPr>
          <w:rFonts w:cs="Arial"/>
          <w:i/>
          <w:iCs/>
          <w:noProof/>
          <w:sz w:val="22"/>
          <w:szCs w:val="24"/>
        </w:rPr>
        <w:t>Mol Cancer Ther</w:t>
      </w:r>
      <w:r w:rsidRPr="004F24F9">
        <w:rPr>
          <w:rFonts w:cs="Arial"/>
          <w:noProof/>
          <w:sz w:val="22"/>
          <w:szCs w:val="24"/>
        </w:rPr>
        <w:t xml:space="preserve"> </w:t>
      </w:r>
      <w:r w:rsidRPr="004F24F9">
        <w:rPr>
          <w:rFonts w:cs="Arial"/>
          <w:b/>
          <w:bCs/>
          <w:noProof/>
          <w:sz w:val="22"/>
          <w:szCs w:val="24"/>
        </w:rPr>
        <w:t>17</w:t>
      </w:r>
      <w:r w:rsidRPr="004F24F9">
        <w:rPr>
          <w:rFonts w:cs="Arial"/>
          <w:noProof/>
          <w:sz w:val="22"/>
          <w:szCs w:val="24"/>
        </w:rPr>
        <w:t>, 849–857 (2018).</w:t>
      </w:r>
    </w:p>
    <w:p w14:paraId="1B60A7BE"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42.</w:t>
      </w:r>
      <w:r w:rsidRPr="004F24F9">
        <w:rPr>
          <w:rFonts w:cs="Arial"/>
          <w:noProof/>
          <w:sz w:val="22"/>
          <w:szCs w:val="24"/>
        </w:rPr>
        <w:tab/>
        <w:t xml:space="preserve">Braso-Maristany, F. </w:t>
      </w:r>
      <w:r w:rsidRPr="004F24F9">
        <w:rPr>
          <w:rFonts w:cs="Arial"/>
          <w:i/>
          <w:iCs/>
          <w:noProof/>
          <w:sz w:val="22"/>
          <w:szCs w:val="24"/>
        </w:rPr>
        <w:t>et al.</w:t>
      </w:r>
      <w:r w:rsidRPr="004F24F9">
        <w:rPr>
          <w:rFonts w:cs="Arial"/>
          <w:noProof/>
          <w:sz w:val="22"/>
          <w:szCs w:val="24"/>
        </w:rPr>
        <w:t xml:space="preserve"> PIM1 kinase regulates cell death, tumor growth and chemotherapy response in triple-negative breast cancer. </w:t>
      </w:r>
      <w:r w:rsidRPr="004F24F9">
        <w:rPr>
          <w:rFonts w:cs="Arial"/>
          <w:i/>
          <w:iCs/>
          <w:noProof/>
          <w:sz w:val="22"/>
          <w:szCs w:val="24"/>
        </w:rPr>
        <w:t>Nat Med</w:t>
      </w:r>
      <w:r w:rsidRPr="004F24F9">
        <w:rPr>
          <w:rFonts w:cs="Arial"/>
          <w:noProof/>
          <w:sz w:val="22"/>
          <w:szCs w:val="24"/>
        </w:rPr>
        <w:t xml:space="preserve"> </w:t>
      </w:r>
      <w:r w:rsidRPr="004F24F9">
        <w:rPr>
          <w:rFonts w:cs="Arial"/>
          <w:b/>
          <w:bCs/>
          <w:noProof/>
          <w:sz w:val="22"/>
          <w:szCs w:val="24"/>
        </w:rPr>
        <w:t>22</w:t>
      </w:r>
      <w:r w:rsidRPr="004F24F9">
        <w:rPr>
          <w:rFonts w:cs="Arial"/>
          <w:noProof/>
          <w:sz w:val="22"/>
          <w:szCs w:val="24"/>
        </w:rPr>
        <w:t>, 1303–1313 (2016).</w:t>
      </w:r>
    </w:p>
    <w:p w14:paraId="660FF11F"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43.</w:t>
      </w:r>
      <w:r w:rsidRPr="004F24F9">
        <w:rPr>
          <w:rFonts w:cs="Arial"/>
          <w:noProof/>
          <w:sz w:val="22"/>
          <w:szCs w:val="24"/>
        </w:rPr>
        <w:tab/>
        <w:t xml:space="preserve">Xiang, X. </w:t>
      </w:r>
      <w:r w:rsidRPr="004F24F9">
        <w:rPr>
          <w:rFonts w:cs="Arial"/>
          <w:i/>
          <w:iCs/>
          <w:noProof/>
          <w:sz w:val="22"/>
          <w:szCs w:val="24"/>
        </w:rPr>
        <w:t>et al.</w:t>
      </w:r>
      <w:r w:rsidRPr="004F24F9">
        <w:rPr>
          <w:rFonts w:cs="Arial"/>
          <w:noProof/>
          <w:sz w:val="22"/>
          <w:szCs w:val="24"/>
        </w:rPr>
        <w:t xml:space="preserve"> PIM1 overexpression in T-cell lymphomas protects tumor cells from apoptosis and confers doxorubicin resistance by upregulating c-myc expression. </w:t>
      </w:r>
      <w:r w:rsidRPr="004F24F9">
        <w:rPr>
          <w:rFonts w:cs="Arial"/>
          <w:i/>
          <w:iCs/>
          <w:noProof/>
          <w:sz w:val="22"/>
          <w:szCs w:val="24"/>
        </w:rPr>
        <w:t>Acta Biochim Biophys Sin</w:t>
      </w:r>
      <w:r w:rsidRPr="004F24F9">
        <w:rPr>
          <w:rFonts w:cs="Arial"/>
          <w:noProof/>
          <w:sz w:val="22"/>
          <w:szCs w:val="24"/>
        </w:rPr>
        <w:t xml:space="preserve"> (2018). doi:10.1093/abbs/gmy076</w:t>
      </w:r>
    </w:p>
    <w:p w14:paraId="0CA22EF2"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44.</w:t>
      </w:r>
      <w:r w:rsidRPr="004F24F9">
        <w:rPr>
          <w:rFonts w:cs="Arial"/>
          <w:noProof/>
          <w:sz w:val="22"/>
          <w:szCs w:val="24"/>
        </w:rPr>
        <w:tab/>
        <w:t xml:space="preserve">Aho, T. L. </w:t>
      </w:r>
      <w:r w:rsidRPr="004F24F9">
        <w:rPr>
          <w:rFonts w:cs="Arial"/>
          <w:i/>
          <w:iCs/>
          <w:noProof/>
          <w:sz w:val="22"/>
          <w:szCs w:val="24"/>
        </w:rPr>
        <w:t>et al.</w:t>
      </w:r>
      <w:r w:rsidRPr="004F24F9">
        <w:rPr>
          <w:rFonts w:cs="Arial"/>
          <w:noProof/>
          <w:sz w:val="22"/>
          <w:szCs w:val="24"/>
        </w:rPr>
        <w:t xml:space="preserve"> Pim-1 kinase promotes inactivation of the pro-apoptotic Bad protein by phosphorylating it on the Ser112 gatekeeper site. </w:t>
      </w:r>
      <w:r w:rsidRPr="004F24F9">
        <w:rPr>
          <w:rFonts w:cs="Arial"/>
          <w:i/>
          <w:iCs/>
          <w:noProof/>
          <w:sz w:val="22"/>
          <w:szCs w:val="24"/>
        </w:rPr>
        <w:t>FEBS Lett</w:t>
      </w:r>
      <w:r w:rsidRPr="004F24F9">
        <w:rPr>
          <w:rFonts w:cs="Arial"/>
          <w:noProof/>
          <w:sz w:val="22"/>
          <w:szCs w:val="24"/>
        </w:rPr>
        <w:t xml:space="preserve"> </w:t>
      </w:r>
      <w:r w:rsidRPr="004F24F9">
        <w:rPr>
          <w:rFonts w:cs="Arial"/>
          <w:b/>
          <w:bCs/>
          <w:noProof/>
          <w:sz w:val="22"/>
          <w:szCs w:val="24"/>
        </w:rPr>
        <w:t>571</w:t>
      </w:r>
      <w:r w:rsidRPr="004F24F9">
        <w:rPr>
          <w:rFonts w:cs="Arial"/>
          <w:noProof/>
          <w:sz w:val="22"/>
          <w:szCs w:val="24"/>
        </w:rPr>
        <w:t>, 43–49 (2004).</w:t>
      </w:r>
    </w:p>
    <w:p w14:paraId="44EFB6FB"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45.</w:t>
      </w:r>
      <w:r w:rsidRPr="004F24F9">
        <w:rPr>
          <w:rFonts w:cs="Arial"/>
          <w:noProof/>
          <w:sz w:val="22"/>
          <w:szCs w:val="24"/>
        </w:rPr>
        <w:tab/>
        <w:t xml:space="preserve">Zhang, F. </w:t>
      </w:r>
      <w:r w:rsidRPr="004F24F9">
        <w:rPr>
          <w:rFonts w:cs="Arial"/>
          <w:i/>
          <w:iCs/>
          <w:noProof/>
          <w:sz w:val="22"/>
          <w:szCs w:val="24"/>
        </w:rPr>
        <w:t>et al.</w:t>
      </w:r>
      <w:r w:rsidRPr="004F24F9">
        <w:rPr>
          <w:rFonts w:cs="Arial"/>
          <w:noProof/>
          <w:sz w:val="22"/>
          <w:szCs w:val="24"/>
        </w:rPr>
        <w:t xml:space="preserve"> PIM1 protein kinase regulates PRAS40 phosphorylation and mTOR activity in FDCP1 cells. </w:t>
      </w:r>
      <w:r w:rsidRPr="004F24F9">
        <w:rPr>
          <w:rFonts w:cs="Arial"/>
          <w:i/>
          <w:iCs/>
          <w:noProof/>
          <w:sz w:val="22"/>
          <w:szCs w:val="24"/>
        </w:rPr>
        <w:t>Cancer Biol Ther</w:t>
      </w:r>
      <w:r w:rsidRPr="004F24F9">
        <w:rPr>
          <w:rFonts w:cs="Arial"/>
          <w:noProof/>
          <w:sz w:val="22"/>
          <w:szCs w:val="24"/>
        </w:rPr>
        <w:t xml:space="preserve"> </w:t>
      </w:r>
      <w:r w:rsidRPr="004F24F9">
        <w:rPr>
          <w:rFonts w:cs="Arial"/>
          <w:b/>
          <w:bCs/>
          <w:noProof/>
          <w:sz w:val="22"/>
          <w:szCs w:val="24"/>
        </w:rPr>
        <w:t>8</w:t>
      </w:r>
      <w:r w:rsidRPr="004F24F9">
        <w:rPr>
          <w:rFonts w:cs="Arial"/>
          <w:noProof/>
          <w:sz w:val="22"/>
          <w:szCs w:val="24"/>
        </w:rPr>
        <w:t>, 846–853 (2009).</w:t>
      </w:r>
    </w:p>
    <w:p w14:paraId="3B4B9672" w14:textId="4CE85483" w:rsidR="004F24F9" w:rsidRPr="007B1F1A" w:rsidRDefault="004F24F9" w:rsidP="00845ECF">
      <w:pPr>
        <w:ind w:left="640" w:hanging="640"/>
        <w:rPr>
          <w:rFonts w:cs="Arial"/>
          <w:noProof/>
          <w:sz w:val="22"/>
          <w:szCs w:val="22"/>
        </w:rPr>
      </w:pPr>
      <w:r w:rsidRPr="004F24F9">
        <w:rPr>
          <w:rFonts w:cs="Arial"/>
          <w:noProof/>
          <w:sz w:val="22"/>
          <w:szCs w:val="24"/>
        </w:rPr>
        <w:lastRenderedPageBreak/>
        <w:t>46.</w:t>
      </w:r>
      <w:r w:rsidRPr="004F24F9">
        <w:rPr>
          <w:rFonts w:cs="Arial"/>
          <w:noProof/>
          <w:sz w:val="22"/>
          <w:szCs w:val="24"/>
        </w:rPr>
        <w:tab/>
        <w:t xml:space="preserve">Martin-Sanchez, E. </w:t>
      </w:r>
      <w:r w:rsidRPr="004F24F9">
        <w:rPr>
          <w:rFonts w:cs="Arial"/>
          <w:i/>
          <w:iCs/>
          <w:noProof/>
          <w:sz w:val="22"/>
          <w:szCs w:val="24"/>
        </w:rPr>
        <w:t>et al.</w:t>
      </w:r>
      <w:r w:rsidRPr="004F24F9">
        <w:rPr>
          <w:rFonts w:cs="Arial"/>
          <w:noProof/>
          <w:sz w:val="22"/>
          <w:szCs w:val="24"/>
        </w:rPr>
        <w:t xml:space="preserve"> PIM kinases as potential therapeutic targets in a subset of peripheral T cell lymphoma cases. </w:t>
      </w:r>
      <w:r w:rsidRPr="004F24F9">
        <w:rPr>
          <w:rFonts w:cs="Arial"/>
          <w:i/>
          <w:iCs/>
          <w:noProof/>
          <w:sz w:val="22"/>
          <w:szCs w:val="24"/>
        </w:rPr>
        <w:t>PLoS One</w:t>
      </w:r>
      <w:r w:rsidRPr="004F24F9">
        <w:rPr>
          <w:rFonts w:cs="Arial"/>
          <w:noProof/>
          <w:sz w:val="22"/>
          <w:szCs w:val="24"/>
        </w:rPr>
        <w:t xml:space="preserve"> </w:t>
      </w:r>
      <w:r w:rsidRPr="004F24F9">
        <w:rPr>
          <w:rFonts w:cs="Arial"/>
          <w:b/>
          <w:bCs/>
          <w:noProof/>
          <w:sz w:val="22"/>
          <w:szCs w:val="24"/>
        </w:rPr>
        <w:t>9</w:t>
      </w:r>
      <w:r w:rsidRPr="004F24F9">
        <w:rPr>
          <w:rFonts w:cs="Arial"/>
          <w:noProof/>
          <w:sz w:val="22"/>
          <w:szCs w:val="24"/>
        </w:rPr>
        <w:t xml:space="preserve">, e112148 </w:t>
      </w:r>
      <w:r w:rsidR="006548B2" w:rsidRPr="00D5568C">
        <w:rPr>
          <w:rFonts w:cs="Arial"/>
          <w:noProof/>
          <w:sz w:val="22"/>
          <w:szCs w:val="22"/>
        </w:rPr>
        <w:t>doi</w:t>
      </w:r>
      <w:r w:rsidR="006548B2">
        <w:rPr>
          <w:rFonts w:cs="Arial"/>
          <w:noProof/>
          <w:sz w:val="22"/>
          <w:szCs w:val="22"/>
        </w:rPr>
        <w:t xml:space="preserve">: </w:t>
      </w:r>
      <w:r w:rsidR="006548B2" w:rsidRPr="00D5568C">
        <w:rPr>
          <w:rFonts w:cs="Arial"/>
          <w:noProof/>
          <w:sz w:val="22"/>
          <w:szCs w:val="22"/>
        </w:rPr>
        <w:t>10.1371/journal.pone.0112148</w:t>
      </w:r>
      <w:r w:rsidR="006548B2" w:rsidRPr="004F24F9">
        <w:rPr>
          <w:rFonts w:cs="Arial"/>
          <w:noProof/>
          <w:sz w:val="22"/>
          <w:szCs w:val="24"/>
        </w:rPr>
        <w:t xml:space="preserve"> </w:t>
      </w:r>
      <w:r w:rsidRPr="004F24F9">
        <w:rPr>
          <w:rFonts w:cs="Arial"/>
          <w:noProof/>
          <w:sz w:val="22"/>
          <w:szCs w:val="24"/>
        </w:rPr>
        <w:t>(2014).</w:t>
      </w:r>
      <w:r w:rsidR="007B1F1A" w:rsidRPr="007B1F1A">
        <w:rPr>
          <w:rFonts w:cs="Arial"/>
          <w:noProof/>
          <w:sz w:val="22"/>
          <w:szCs w:val="22"/>
        </w:rPr>
        <w:t xml:space="preserve"> </w:t>
      </w:r>
    </w:p>
    <w:p w14:paraId="5DD77665"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47.</w:t>
      </w:r>
      <w:r w:rsidRPr="004F24F9">
        <w:rPr>
          <w:rFonts w:cs="Arial"/>
          <w:noProof/>
          <w:sz w:val="22"/>
          <w:szCs w:val="24"/>
        </w:rPr>
        <w:tab/>
        <w:t xml:space="preserve">Cortes, J. </w:t>
      </w:r>
      <w:r w:rsidRPr="004F24F9">
        <w:rPr>
          <w:rFonts w:cs="Arial"/>
          <w:i/>
          <w:iCs/>
          <w:noProof/>
          <w:sz w:val="22"/>
          <w:szCs w:val="24"/>
        </w:rPr>
        <w:t>et al.</w:t>
      </w:r>
      <w:r w:rsidRPr="004F24F9">
        <w:rPr>
          <w:rFonts w:cs="Arial"/>
          <w:noProof/>
          <w:sz w:val="22"/>
          <w:szCs w:val="24"/>
        </w:rPr>
        <w:t xml:space="preserve"> Phase I studies of AZD1208, a proviral integration Moloney virus kinase inhibitor in solid and haematological cancers. </w:t>
      </w:r>
      <w:r w:rsidRPr="004F24F9">
        <w:rPr>
          <w:rFonts w:cs="Arial"/>
          <w:i/>
          <w:iCs/>
          <w:noProof/>
          <w:sz w:val="22"/>
          <w:szCs w:val="24"/>
        </w:rPr>
        <w:t>Br J Cancer</w:t>
      </w:r>
      <w:r w:rsidRPr="004F24F9">
        <w:rPr>
          <w:rFonts w:cs="Arial"/>
          <w:noProof/>
          <w:sz w:val="22"/>
          <w:szCs w:val="24"/>
        </w:rPr>
        <w:t xml:space="preserve"> </w:t>
      </w:r>
      <w:r w:rsidRPr="004F24F9">
        <w:rPr>
          <w:rFonts w:cs="Arial"/>
          <w:b/>
          <w:bCs/>
          <w:noProof/>
          <w:sz w:val="22"/>
          <w:szCs w:val="24"/>
        </w:rPr>
        <w:t>118</w:t>
      </w:r>
      <w:r w:rsidRPr="004F24F9">
        <w:rPr>
          <w:rFonts w:cs="Arial"/>
          <w:noProof/>
          <w:sz w:val="22"/>
          <w:szCs w:val="24"/>
        </w:rPr>
        <w:t>, 1425–1433 (2018).</w:t>
      </w:r>
    </w:p>
    <w:p w14:paraId="2DE5D882" w14:textId="15B9DCB0"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48.</w:t>
      </w:r>
      <w:r w:rsidRPr="004F24F9">
        <w:rPr>
          <w:rFonts w:cs="Arial"/>
          <w:noProof/>
          <w:sz w:val="22"/>
          <w:szCs w:val="24"/>
        </w:rPr>
        <w:tab/>
        <w:t xml:space="preserve">Foucquier, J. &amp; Guedj, M. Analysis of drug combinations: current methodological landscape. </w:t>
      </w:r>
      <w:r w:rsidRPr="004F24F9">
        <w:rPr>
          <w:rFonts w:cs="Arial"/>
          <w:i/>
          <w:iCs/>
          <w:noProof/>
          <w:sz w:val="22"/>
          <w:szCs w:val="24"/>
        </w:rPr>
        <w:t>Pharmacol Res Perspect</w:t>
      </w:r>
      <w:r w:rsidRPr="004F24F9">
        <w:rPr>
          <w:rFonts w:cs="Arial"/>
          <w:noProof/>
          <w:sz w:val="22"/>
          <w:szCs w:val="24"/>
        </w:rPr>
        <w:t xml:space="preserve"> </w:t>
      </w:r>
      <w:r w:rsidRPr="004F24F9">
        <w:rPr>
          <w:rFonts w:cs="Arial"/>
          <w:b/>
          <w:bCs/>
          <w:noProof/>
          <w:sz w:val="22"/>
          <w:szCs w:val="24"/>
        </w:rPr>
        <w:t>3</w:t>
      </w:r>
      <w:r w:rsidRPr="004F24F9">
        <w:rPr>
          <w:rFonts w:cs="Arial"/>
          <w:noProof/>
          <w:sz w:val="22"/>
          <w:szCs w:val="24"/>
        </w:rPr>
        <w:t xml:space="preserve">, e00149 </w:t>
      </w:r>
      <w:r w:rsidR="006548B2">
        <w:rPr>
          <w:rFonts w:cs="Arial"/>
          <w:noProof/>
          <w:sz w:val="22"/>
          <w:szCs w:val="22"/>
        </w:rPr>
        <w:t xml:space="preserve">doi: </w:t>
      </w:r>
      <w:r w:rsidR="006548B2" w:rsidRPr="001C2A22">
        <w:rPr>
          <w:rFonts w:cs="Arial"/>
          <w:noProof/>
          <w:sz w:val="22"/>
          <w:szCs w:val="22"/>
        </w:rPr>
        <w:t>10.1002/prp2.149</w:t>
      </w:r>
      <w:r w:rsidR="006548B2" w:rsidRPr="004F24F9">
        <w:rPr>
          <w:rFonts w:cs="Arial"/>
          <w:noProof/>
          <w:sz w:val="22"/>
          <w:szCs w:val="24"/>
        </w:rPr>
        <w:t xml:space="preserve"> </w:t>
      </w:r>
      <w:r w:rsidRPr="004F24F9">
        <w:rPr>
          <w:rFonts w:cs="Arial"/>
          <w:noProof/>
          <w:sz w:val="22"/>
          <w:szCs w:val="24"/>
        </w:rPr>
        <w:t>(2015).</w:t>
      </w:r>
      <w:r w:rsidR="007B1F1A" w:rsidRPr="007B1F1A">
        <w:rPr>
          <w:rFonts w:cs="Arial"/>
          <w:noProof/>
          <w:sz w:val="22"/>
          <w:szCs w:val="22"/>
        </w:rPr>
        <w:t xml:space="preserve"> </w:t>
      </w:r>
    </w:p>
    <w:p w14:paraId="65AFC891"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49.</w:t>
      </w:r>
      <w:r w:rsidRPr="004F24F9">
        <w:rPr>
          <w:rFonts w:cs="Arial"/>
          <w:noProof/>
          <w:sz w:val="22"/>
          <w:szCs w:val="24"/>
        </w:rPr>
        <w:tab/>
        <w:t xml:space="preserve">Lambertz, I. </w:t>
      </w:r>
      <w:r w:rsidRPr="004F24F9">
        <w:rPr>
          <w:rFonts w:cs="Arial"/>
          <w:i/>
          <w:iCs/>
          <w:noProof/>
          <w:sz w:val="22"/>
          <w:szCs w:val="24"/>
        </w:rPr>
        <w:t>et al.</w:t>
      </w:r>
      <w:r w:rsidRPr="004F24F9">
        <w:rPr>
          <w:rFonts w:cs="Arial"/>
          <w:noProof/>
          <w:sz w:val="22"/>
          <w:szCs w:val="24"/>
        </w:rPr>
        <w:t xml:space="preserve"> Upregulation of MAPK Negative Feedback Regulators and RET in Mutant ALK Neuroblastoma: Implications for Targeted Treatment. </w:t>
      </w:r>
      <w:r w:rsidRPr="004F24F9">
        <w:rPr>
          <w:rFonts w:cs="Arial"/>
          <w:i/>
          <w:iCs/>
          <w:noProof/>
          <w:sz w:val="22"/>
          <w:szCs w:val="24"/>
        </w:rPr>
        <w:t>Clin. Cancer Res.</w:t>
      </w:r>
      <w:r w:rsidRPr="004F24F9">
        <w:rPr>
          <w:rFonts w:cs="Arial"/>
          <w:noProof/>
          <w:sz w:val="22"/>
          <w:szCs w:val="24"/>
        </w:rPr>
        <w:t xml:space="preserve"> </w:t>
      </w:r>
      <w:r w:rsidRPr="004F24F9">
        <w:rPr>
          <w:rFonts w:cs="Arial"/>
          <w:b/>
          <w:bCs/>
          <w:noProof/>
          <w:sz w:val="22"/>
          <w:szCs w:val="24"/>
        </w:rPr>
        <w:t>21</w:t>
      </w:r>
      <w:r w:rsidRPr="004F24F9">
        <w:rPr>
          <w:rFonts w:cs="Arial"/>
          <w:noProof/>
          <w:sz w:val="22"/>
          <w:szCs w:val="24"/>
        </w:rPr>
        <w:t>, 3327–3339 (2015).</w:t>
      </w:r>
    </w:p>
    <w:p w14:paraId="23AE5E9C" w14:textId="19689FF5"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50.</w:t>
      </w:r>
      <w:r w:rsidRPr="004F24F9">
        <w:rPr>
          <w:rFonts w:cs="Arial"/>
          <w:noProof/>
          <w:sz w:val="22"/>
          <w:szCs w:val="24"/>
        </w:rPr>
        <w:tab/>
        <w:t xml:space="preserve">Trigg, R. M. &amp; Turner, S. D. ALK in Neuroblastoma: Biological and Therapeutic Implications. </w:t>
      </w:r>
      <w:r w:rsidRPr="004F24F9">
        <w:rPr>
          <w:rFonts w:cs="Arial"/>
          <w:i/>
          <w:iCs/>
          <w:noProof/>
          <w:sz w:val="22"/>
          <w:szCs w:val="24"/>
        </w:rPr>
        <w:t>Cancers (Basel)</w:t>
      </w:r>
      <w:r w:rsidRPr="004F24F9">
        <w:rPr>
          <w:rFonts w:cs="Arial"/>
          <w:noProof/>
          <w:sz w:val="22"/>
          <w:szCs w:val="24"/>
        </w:rPr>
        <w:t xml:space="preserve"> </w:t>
      </w:r>
      <w:r w:rsidRPr="004F24F9">
        <w:rPr>
          <w:rFonts w:cs="Arial"/>
          <w:b/>
          <w:bCs/>
          <w:noProof/>
          <w:sz w:val="22"/>
          <w:szCs w:val="24"/>
        </w:rPr>
        <w:t>10</w:t>
      </w:r>
      <w:r w:rsidRPr="004F24F9">
        <w:rPr>
          <w:rFonts w:cs="Arial"/>
          <w:noProof/>
          <w:sz w:val="22"/>
          <w:szCs w:val="24"/>
        </w:rPr>
        <w:t xml:space="preserve">, </w:t>
      </w:r>
      <w:r w:rsidR="006548B2" w:rsidRPr="001C2A22">
        <w:rPr>
          <w:rFonts w:cs="Arial"/>
          <w:noProof/>
          <w:sz w:val="22"/>
          <w:szCs w:val="22"/>
        </w:rPr>
        <w:t>doi: 10.3390/cancers10040113</w:t>
      </w:r>
      <w:r w:rsidR="006548B2" w:rsidRPr="004F24F9">
        <w:rPr>
          <w:rFonts w:cs="Arial"/>
          <w:noProof/>
          <w:sz w:val="22"/>
          <w:szCs w:val="24"/>
        </w:rPr>
        <w:t xml:space="preserve"> </w:t>
      </w:r>
      <w:r w:rsidRPr="004F24F9">
        <w:rPr>
          <w:rFonts w:cs="Arial"/>
          <w:noProof/>
          <w:sz w:val="22"/>
          <w:szCs w:val="24"/>
        </w:rPr>
        <w:t>(2018).</w:t>
      </w:r>
      <w:r w:rsidR="007B1F1A" w:rsidRPr="007B1F1A">
        <w:rPr>
          <w:rFonts w:cs="Arial"/>
          <w:noProof/>
          <w:sz w:val="22"/>
          <w:szCs w:val="22"/>
        </w:rPr>
        <w:t xml:space="preserve"> </w:t>
      </w:r>
    </w:p>
    <w:p w14:paraId="73704AC7" w14:textId="7034D34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51.</w:t>
      </w:r>
      <w:r w:rsidRPr="004F24F9">
        <w:rPr>
          <w:rFonts w:cs="Arial"/>
          <w:noProof/>
          <w:sz w:val="22"/>
          <w:szCs w:val="24"/>
        </w:rPr>
        <w:tab/>
        <w:t xml:space="preserve">Prokoph, N., Larose, H., Lim, M. S., Burke, G. A. A. &amp; Turner, S. D. Treatment Options for Paediatric Anaplastic Large Cell Lymphoma (ALCL): Current Standard and beyond. </w:t>
      </w:r>
      <w:r w:rsidRPr="004F24F9">
        <w:rPr>
          <w:rFonts w:cs="Arial"/>
          <w:i/>
          <w:iCs/>
          <w:noProof/>
          <w:sz w:val="22"/>
          <w:szCs w:val="24"/>
        </w:rPr>
        <w:t>Cancers (Basel)</w:t>
      </w:r>
      <w:r w:rsidRPr="004F24F9">
        <w:rPr>
          <w:rFonts w:cs="Arial"/>
          <w:noProof/>
          <w:sz w:val="22"/>
          <w:szCs w:val="24"/>
        </w:rPr>
        <w:t xml:space="preserve"> </w:t>
      </w:r>
      <w:r w:rsidRPr="004F24F9">
        <w:rPr>
          <w:rFonts w:cs="Arial"/>
          <w:b/>
          <w:bCs/>
          <w:noProof/>
          <w:sz w:val="22"/>
          <w:szCs w:val="24"/>
        </w:rPr>
        <w:t>10</w:t>
      </w:r>
      <w:r w:rsidRPr="004F24F9">
        <w:rPr>
          <w:rFonts w:cs="Arial"/>
          <w:noProof/>
          <w:sz w:val="22"/>
          <w:szCs w:val="24"/>
        </w:rPr>
        <w:t xml:space="preserve">, </w:t>
      </w:r>
      <w:r w:rsidR="006548B2" w:rsidRPr="001C2A22">
        <w:rPr>
          <w:rFonts w:cs="Arial"/>
          <w:noProof/>
          <w:sz w:val="22"/>
          <w:szCs w:val="22"/>
        </w:rPr>
        <w:t>doi: 10.3390/cancers10040099</w:t>
      </w:r>
      <w:r w:rsidR="006548B2" w:rsidRPr="004F24F9">
        <w:rPr>
          <w:rFonts w:cs="Arial"/>
          <w:noProof/>
          <w:sz w:val="22"/>
          <w:szCs w:val="24"/>
        </w:rPr>
        <w:t xml:space="preserve"> </w:t>
      </w:r>
      <w:r w:rsidRPr="004F24F9">
        <w:rPr>
          <w:rFonts w:cs="Arial"/>
          <w:noProof/>
          <w:sz w:val="22"/>
          <w:szCs w:val="24"/>
        </w:rPr>
        <w:t>(2018).</w:t>
      </w:r>
      <w:r w:rsidR="007B1F1A" w:rsidRPr="007B1F1A">
        <w:rPr>
          <w:rFonts w:cs="Arial"/>
          <w:noProof/>
          <w:sz w:val="22"/>
          <w:szCs w:val="22"/>
        </w:rPr>
        <w:t xml:space="preserve"> </w:t>
      </w:r>
    </w:p>
    <w:p w14:paraId="35F1B8C4"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52.</w:t>
      </w:r>
      <w:r w:rsidRPr="004F24F9">
        <w:rPr>
          <w:rFonts w:cs="Arial"/>
          <w:noProof/>
          <w:sz w:val="22"/>
          <w:szCs w:val="24"/>
        </w:rPr>
        <w:tab/>
        <w:t xml:space="preserve">Debruyne, D. N. </w:t>
      </w:r>
      <w:r w:rsidRPr="004F24F9">
        <w:rPr>
          <w:rFonts w:cs="Arial"/>
          <w:i/>
          <w:iCs/>
          <w:noProof/>
          <w:sz w:val="22"/>
          <w:szCs w:val="24"/>
        </w:rPr>
        <w:t>et al.</w:t>
      </w:r>
      <w:r w:rsidRPr="004F24F9">
        <w:rPr>
          <w:rFonts w:cs="Arial"/>
          <w:noProof/>
          <w:sz w:val="22"/>
          <w:szCs w:val="24"/>
        </w:rPr>
        <w:t xml:space="preserve"> ALK inhibitor resistance in ALK(F1174L)-driven neuroblastoma is associated with AXL activation and induction of EMT. </w:t>
      </w:r>
      <w:r w:rsidRPr="004F24F9">
        <w:rPr>
          <w:rFonts w:cs="Arial"/>
          <w:i/>
          <w:iCs/>
          <w:noProof/>
          <w:sz w:val="22"/>
          <w:szCs w:val="24"/>
        </w:rPr>
        <w:t>Oncogene</w:t>
      </w:r>
      <w:r w:rsidRPr="004F24F9">
        <w:rPr>
          <w:rFonts w:cs="Arial"/>
          <w:noProof/>
          <w:sz w:val="22"/>
          <w:szCs w:val="24"/>
        </w:rPr>
        <w:t xml:space="preserve"> </w:t>
      </w:r>
      <w:r w:rsidRPr="004F24F9">
        <w:rPr>
          <w:rFonts w:cs="Arial"/>
          <w:b/>
          <w:bCs/>
          <w:noProof/>
          <w:sz w:val="22"/>
          <w:szCs w:val="24"/>
        </w:rPr>
        <w:t>35</w:t>
      </w:r>
      <w:r w:rsidRPr="004F24F9">
        <w:rPr>
          <w:rFonts w:cs="Arial"/>
          <w:noProof/>
          <w:sz w:val="22"/>
          <w:szCs w:val="24"/>
        </w:rPr>
        <w:t>, 3681–3691 (2016).</w:t>
      </w:r>
    </w:p>
    <w:p w14:paraId="154A1671"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53.</w:t>
      </w:r>
      <w:r w:rsidRPr="004F24F9">
        <w:rPr>
          <w:rFonts w:cs="Arial"/>
          <w:noProof/>
          <w:sz w:val="22"/>
          <w:szCs w:val="24"/>
        </w:rPr>
        <w:tab/>
        <w:t xml:space="preserve">Hrustanovic, G. </w:t>
      </w:r>
      <w:r w:rsidRPr="004F24F9">
        <w:rPr>
          <w:rFonts w:cs="Arial"/>
          <w:i/>
          <w:iCs/>
          <w:noProof/>
          <w:sz w:val="22"/>
          <w:szCs w:val="24"/>
        </w:rPr>
        <w:t>et al.</w:t>
      </w:r>
      <w:r w:rsidRPr="004F24F9">
        <w:rPr>
          <w:rFonts w:cs="Arial"/>
          <w:noProof/>
          <w:sz w:val="22"/>
          <w:szCs w:val="24"/>
        </w:rPr>
        <w:t xml:space="preserve"> RAS-MAPK dependence underlies a rational polytherapy strategy in EML4-ALK-positive lung cancer. </w:t>
      </w:r>
      <w:r w:rsidRPr="004F24F9">
        <w:rPr>
          <w:rFonts w:cs="Arial"/>
          <w:i/>
          <w:iCs/>
          <w:noProof/>
          <w:sz w:val="22"/>
          <w:szCs w:val="24"/>
        </w:rPr>
        <w:t>Nat Med</w:t>
      </w:r>
      <w:r w:rsidRPr="004F24F9">
        <w:rPr>
          <w:rFonts w:cs="Arial"/>
          <w:noProof/>
          <w:sz w:val="22"/>
          <w:szCs w:val="24"/>
        </w:rPr>
        <w:t xml:space="preserve"> </w:t>
      </w:r>
      <w:r w:rsidRPr="004F24F9">
        <w:rPr>
          <w:rFonts w:cs="Arial"/>
          <w:b/>
          <w:bCs/>
          <w:noProof/>
          <w:sz w:val="22"/>
          <w:szCs w:val="24"/>
        </w:rPr>
        <w:t>21</w:t>
      </w:r>
      <w:r w:rsidRPr="004F24F9">
        <w:rPr>
          <w:rFonts w:cs="Arial"/>
          <w:noProof/>
          <w:sz w:val="22"/>
          <w:szCs w:val="24"/>
        </w:rPr>
        <w:t>, 1038–1047 (2015).</w:t>
      </w:r>
    </w:p>
    <w:p w14:paraId="564B9B5B"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54.</w:t>
      </w:r>
      <w:r w:rsidRPr="004F24F9">
        <w:rPr>
          <w:rFonts w:cs="Arial"/>
          <w:noProof/>
          <w:sz w:val="22"/>
          <w:szCs w:val="24"/>
        </w:rPr>
        <w:tab/>
        <w:t xml:space="preserve">Gainor, J. F. </w:t>
      </w:r>
      <w:r w:rsidRPr="004F24F9">
        <w:rPr>
          <w:rFonts w:cs="Arial"/>
          <w:i/>
          <w:iCs/>
          <w:noProof/>
          <w:sz w:val="22"/>
          <w:szCs w:val="24"/>
        </w:rPr>
        <w:t>et al.</w:t>
      </w:r>
      <w:r w:rsidRPr="004F24F9">
        <w:rPr>
          <w:rFonts w:cs="Arial"/>
          <w:noProof/>
          <w:sz w:val="22"/>
          <w:szCs w:val="24"/>
        </w:rPr>
        <w:t xml:space="preserve"> Molecular Mechanisms of Resistance to First- and Second-Generation ALK Inhibitors in ALK-Rearranged Lung Cancer. </w:t>
      </w:r>
      <w:r w:rsidRPr="004F24F9">
        <w:rPr>
          <w:rFonts w:cs="Arial"/>
          <w:i/>
          <w:iCs/>
          <w:noProof/>
          <w:sz w:val="22"/>
          <w:szCs w:val="24"/>
        </w:rPr>
        <w:t>Cancer Discov</w:t>
      </w:r>
      <w:r w:rsidRPr="004F24F9">
        <w:rPr>
          <w:rFonts w:cs="Arial"/>
          <w:noProof/>
          <w:sz w:val="22"/>
          <w:szCs w:val="24"/>
        </w:rPr>
        <w:t xml:space="preserve"> </w:t>
      </w:r>
      <w:r w:rsidRPr="004F24F9">
        <w:rPr>
          <w:rFonts w:cs="Arial"/>
          <w:b/>
          <w:bCs/>
          <w:noProof/>
          <w:sz w:val="22"/>
          <w:szCs w:val="24"/>
        </w:rPr>
        <w:t>6</w:t>
      </w:r>
      <w:r w:rsidRPr="004F24F9">
        <w:rPr>
          <w:rFonts w:cs="Arial"/>
          <w:noProof/>
          <w:sz w:val="22"/>
          <w:szCs w:val="24"/>
        </w:rPr>
        <w:t>, 1118–1133 (2016).</w:t>
      </w:r>
    </w:p>
    <w:p w14:paraId="2D93D5A4"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55.</w:t>
      </w:r>
      <w:r w:rsidRPr="004F24F9">
        <w:rPr>
          <w:rFonts w:cs="Arial"/>
          <w:noProof/>
          <w:sz w:val="22"/>
          <w:szCs w:val="24"/>
        </w:rPr>
        <w:tab/>
        <w:t xml:space="preserve">Crystal, A. S. </w:t>
      </w:r>
      <w:r w:rsidRPr="004F24F9">
        <w:rPr>
          <w:rFonts w:cs="Arial"/>
          <w:i/>
          <w:iCs/>
          <w:noProof/>
          <w:sz w:val="22"/>
          <w:szCs w:val="24"/>
        </w:rPr>
        <w:t>et al.</w:t>
      </w:r>
      <w:r w:rsidRPr="004F24F9">
        <w:rPr>
          <w:rFonts w:cs="Arial"/>
          <w:noProof/>
          <w:sz w:val="22"/>
          <w:szCs w:val="24"/>
        </w:rPr>
        <w:t xml:space="preserve"> Patient-derived models of acquired resistance can identify effective drug combinations for cancer. </w:t>
      </w:r>
      <w:r w:rsidRPr="004F24F9">
        <w:rPr>
          <w:rFonts w:cs="Arial"/>
          <w:i/>
          <w:iCs/>
          <w:noProof/>
          <w:sz w:val="22"/>
          <w:szCs w:val="24"/>
        </w:rPr>
        <w:t>Science (80-. ).</w:t>
      </w:r>
      <w:r w:rsidRPr="004F24F9">
        <w:rPr>
          <w:rFonts w:cs="Arial"/>
          <w:noProof/>
          <w:sz w:val="22"/>
          <w:szCs w:val="24"/>
        </w:rPr>
        <w:t xml:space="preserve"> </w:t>
      </w:r>
      <w:r w:rsidRPr="004F24F9">
        <w:rPr>
          <w:rFonts w:cs="Arial"/>
          <w:b/>
          <w:bCs/>
          <w:noProof/>
          <w:sz w:val="22"/>
          <w:szCs w:val="24"/>
        </w:rPr>
        <w:t>346</w:t>
      </w:r>
      <w:r w:rsidRPr="004F24F9">
        <w:rPr>
          <w:rFonts w:cs="Arial"/>
          <w:noProof/>
          <w:sz w:val="22"/>
          <w:szCs w:val="24"/>
        </w:rPr>
        <w:t>, 1480–1486 (2014).</w:t>
      </w:r>
    </w:p>
    <w:p w14:paraId="1B77B76B"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56.</w:t>
      </w:r>
      <w:r w:rsidRPr="004F24F9">
        <w:rPr>
          <w:rFonts w:cs="Arial"/>
          <w:noProof/>
          <w:sz w:val="22"/>
          <w:szCs w:val="24"/>
        </w:rPr>
        <w:tab/>
        <w:t xml:space="preserve">Nguyen, L. N. </w:t>
      </w:r>
      <w:r w:rsidRPr="004F24F9">
        <w:rPr>
          <w:rFonts w:cs="Arial"/>
          <w:i/>
          <w:iCs/>
          <w:noProof/>
          <w:sz w:val="22"/>
          <w:szCs w:val="24"/>
        </w:rPr>
        <w:t>et al.</w:t>
      </w:r>
      <w:r w:rsidRPr="004F24F9">
        <w:rPr>
          <w:rFonts w:cs="Arial"/>
          <w:noProof/>
          <w:sz w:val="22"/>
          <w:szCs w:val="24"/>
        </w:rPr>
        <w:t xml:space="preserve"> Mfsd2a is a transporter for the essential omega-3 fatty acid docosahexaenoic acid. </w:t>
      </w:r>
      <w:r w:rsidRPr="004F24F9">
        <w:rPr>
          <w:rFonts w:cs="Arial"/>
          <w:i/>
          <w:iCs/>
          <w:noProof/>
          <w:sz w:val="22"/>
          <w:szCs w:val="24"/>
        </w:rPr>
        <w:t>Nature</w:t>
      </w:r>
      <w:r w:rsidRPr="004F24F9">
        <w:rPr>
          <w:rFonts w:cs="Arial"/>
          <w:noProof/>
          <w:sz w:val="22"/>
          <w:szCs w:val="24"/>
        </w:rPr>
        <w:t xml:space="preserve"> </w:t>
      </w:r>
      <w:r w:rsidRPr="004F24F9">
        <w:rPr>
          <w:rFonts w:cs="Arial"/>
          <w:b/>
          <w:bCs/>
          <w:noProof/>
          <w:sz w:val="22"/>
          <w:szCs w:val="24"/>
        </w:rPr>
        <w:t>509</w:t>
      </w:r>
      <w:r w:rsidRPr="004F24F9">
        <w:rPr>
          <w:rFonts w:cs="Arial"/>
          <w:noProof/>
          <w:sz w:val="22"/>
          <w:szCs w:val="24"/>
        </w:rPr>
        <w:t>, 503–506 (2014).</w:t>
      </w:r>
    </w:p>
    <w:p w14:paraId="5AC4383F" w14:textId="39A77642" w:rsidR="004F24F9" w:rsidRPr="007B1F1A" w:rsidRDefault="004F24F9" w:rsidP="00845ECF">
      <w:pPr>
        <w:ind w:left="640" w:hanging="640"/>
        <w:rPr>
          <w:rFonts w:cs="Arial"/>
          <w:noProof/>
          <w:sz w:val="22"/>
          <w:szCs w:val="22"/>
        </w:rPr>
      </w:pPr>
      <w:r w:rsidRPr="004F24F9">
        <w:rPr>
          <w:rFonts w:cs="Arial"/>
          <w:noProof/>
          <w:sz w:val="22"/>
          <w:szCs w:val="24"/>
        </w:rPr>
        <w:t>57.</w:t>
      </w:r>
      <w:r w:rsidRPr="004F24F9">
        <w:rPr>
          <w:rFonts w:cs="Arial"/>
          <w:noProof/>
          <w:sz w:val="22"/>
          <w:szCs w:val="24"/>
        </w:rPr>
        <w:tab/>
        <w:t xml:space="preserve">Claeys, S. </w:t>
      </w:r>
      <w:r w:rsidRPr="004F24F9">
        <w:rPr>
          <w:rFonts w:cs="Arial"/>
          <w:i/>
          <w:iCs/>
          <w:noProof/>
          <w:sz w:val="22"/>
          <w:szCs w:val="24"/>
        </w:rPr>
        <w:t>et al.</w:t>
      </w:r>
      <w:r w:rsidRPr="004F24F9">
        <w:rPr>
          <w:rFonts w:cs="Arial"/>
          <w:noProof/>
          <w:sz w:val="22"/>
          <w:szCs w:val="24"/>
        </w:rPr>
        <w:t xml:space="preserve"> ALK positively regulates MYCN activity through repression of HBP1 expression. </w:t>
      </w:r>
      <w:r w:rsidRPr="004F24F9">
        <w:rPr>
          <w:rFonts w:cs="Arial"/>
          <w:i/>
          <w:iCs/>
          <w:noProof/>
          <w:sz w:val="22"/>
          <w:szCs w:val="24"/>
        </w:rPr>
        <w:t>Oncogene</w:t>
      </w:r>
      <w:r w:rsidRPr="004F24F9">
        <w:rPr>
          <w:rFonts w:cs="Arial"/>
          <w:noProof/>
          <w:sz w:val="22"/>
          <w:szCs w:val="24"/>
        </w:rPr>
        <w:t xml:space="preserve"> </w:t>
      </w:r>
      <w:r w:rsidRPr="004F24F9">
        <w:rPr>
          <w:rFonts w:cs="Arial"/>
          <w:b/>
          <w:bCs/>
          <w:noProof/>
          <w:sz w:val="22"/>
          <w:szCs w:val="24"/>
        </w:rPr>
        <w:t>38</w:t>
      </w:r>
      <w:r w:rsidRPr="004F24F9">
        <w:rPr>
          <w:rFonts w:cs="Arial"/>
          <w:noProof/>
          <w:sz w:val="22"/>
          <w:szCs w:val="24"/>
        </w:rPr>
        <w:t xml:space="preserve">, 2690–2705 </w:t>
      </w:r>
      <w:r w:rsidR="006548B2">
        <w:rPr>
          <w:rFonts w:cs="Arial"/>
          <w:noProof/>
          <w:sz w:val="22"/>
          <w:szCs w:val="22"/>
        </w:rPr>
        <w:t>doi</w:t>
      </w:r>
      <w:r w:rsidR="006548B2" w:rsidRPr="001C2A22">
        <w:rPr>
          <w:rFonts w:cs="Arial"/>
          <w:noProof/>
          <w:sz w:val="22"/>
          <w:szCs w:val="22"/>
        </w:rPr>
        <w:t>: 10.18632/oncotarget.22423</w:t>
      </w:r>
      <w:r w:rsidR="006548B2" w:rsidRPr="004F24F9">
        <w:rPr>
          <w:rFonts w:cs="Arial"/>
          <w:noProof/>
          <w:sz w:val="22"/>
          <w:szCs w:val="24"/>
        </w:rPr>
        <w:t xml:space="preserve"> </w:t>
      </w:r>
      <w:r w:rsidRPr="004F24F9">
        <w:rPr>
          <w:rFonts w:cs="Arial"/>
          <w:noProof/>
          <w:sz w:val="22"/>
          <w:szCs w:val="24"/>
        </w:rPr>
        <w:t>(2019).</w:t>
      </w:r>
      <w:r w:rsidR="007B1F1A" w:rsidRPr="007B1F1A">
        <w:rPr>
          <w:rFonts w:cs="Arial"/>
          <w:noProof/>
          <w:sz w:val="22"/>
          <w:szCs w:val="22"/>
        </w:rPr>
        <w:t xml:space="preserve"> </w:t>
      </w:r>
    </w:p>
    <w:p w14:paraId="34AEA174" w14:textId="77777777" w:rsidR="004F24F9" w:rsidRPr="004F24F9" w:rsidRDefault="004F24F9" w:rsidP="004F24F9">
      <w:pPr>
        <w:widowControl w:val="0"/>
        <w:autoSpaceDE w:val="0"/>
        <w:autoSpaceDN w:val="0"/>
        <w:adjustRightInd w:val="0"/>
        <w:ind w:left="640" w:hanging="640"/>
        <w:rPr>
          <w:rFonts w:cs="Arial"/>
          <w:noProof/>
          <w:sz w:val="22"/>
          <w:szCs w:val="24"/>
        </w:rPr>
      </w:pPr>
      <w:r w:rsidRPr="004F24F9">
        <w:rPr>
          <w:rFonts w:cs="Arial"/>
          <w:noProof/>
          <w:sz w:val="22"/>
          <w:szCs w:val="24"/>
        </w:rPr>
        <w:t>58.</w:t>
      </w:r>
      <w:r w:rsidRPr="004F24F9">
        <w:rPr>
          <w:rFonts w:cs="Arial"/>
          <w:noProof/>
          <w:sz w:val="22"/>
          <w:szCs w:val="24"/>
        </w:rPr>
        <w:tab/>
        <w:t xml:space="preserve">Mootha, V. K. </w:t>
      </w:r>
      <w:r w:rsidRPr="004F24F9">
        <w:rPr>
          <w:rFonts w:cs="Arial"/>
          <w:i/>
          <w:iCs/>
          <w:noProof/>
          <w:sz w:val="22"/>
          <w:szCs w:val="24"/>
        </w:rPr>
        <w:t>et al.</w:t>
      </w:r>
      <w:r w:rsidRPr="004F24F9">
        <w:rPr>
          <w:rFonts w:cs="Arial"/>
          <w:noProof/>
          <w:sz w:val="22"/>
          <w:szCs w:val="24"/>
        </w:rPr>
        <w:t xml:space="preserve"> PGC-1α-responsive genes involved in oxidative phosphorylation are coordinately downregulated in human diabetes. </w:t>
      </w:r>
      <w:r w:rsidRPr="004F24F9">
        <w:rPr>
          <w:rFonts w:cs="Arial"/>
          <w:i/>
          <w:iCs/>
          <w:noProof/>
          <w:sz w:val="22"/>
          <w:szCs w:val="24"/>
        </w:rPr>
        <w:t>Nat. Genet.</w:t>
      </w:r>
      <w:r w:rsidRPr="004F24F9">
        <w:rPr>
          <w:rFonts w:cs="Arial"/>
          <w:noProof/>
          <w:sz w:val="22"/>
          <w:szCs w:val="24"/>
        </w:rPr>
        <w:t xml:space="preserve"> </w:t>
      </w:r>
      <w:r w:rsidRPr="004F24F9">
        <w:rPr>
          <w:rFonts w:cs="Arial"/>
          <w:b/>
          <w:bCs/>
          <w:noProof/>
          <w:sz w:val="22"/>
          <w:szCs w:val="24"/>
        </w:rPr>
        <w:t>34</w:t>
      </w:r>
      <w:r w:rsidRPr="004F24F9">
        <w:rPr>
          <w:rFonts w:cs="Arial"/>
          <w:noProof/>
          <w:sz w:val="22"/>
          <w:szCs w:val="24"/>
        </w:rPr>
        <w:t>, 267–273 (2003).</w:t>
      </w:r>
    </w:p>
    <w:p w14:paraId="2A74AD71" w14:textId="77777777" w:rsidR="004F24F9" w:rsidRPr="004F24F9" w:rsidRDefault="004F24F9" w:rsidP="004F24F9">
      <w:pPr>
        <w:widowControl w:val="0"/>
        <w:autoSpaceDE w:val="0"/>
        <w:autoSpaceDN w:val="0"/>
        <w:adjustRightInd w:val="0"/>
        <w:ind w:left="640" w:hanging="640"/>
        <w:rPr>
          <w:rFonts w:cs="Arial"/>
          <w:noProof/>
          <w:sz w:val="22"/>
        </w:rPr>
      </w:pPr>
      <w:r w:rsidRPr="004F24F9">
        <w:rPr>
          <w:rFonts w:cs="Arial"/>
          <w:noProof/>
          <w:sz w:val="22"/>
          <w:szCs w:val="24"/>
        </w:rPr>
        <w:t>59.</w:t>
      </w:r>
      <w:r w:rsidRPr="004F24F9">
        <w:rPr>
          <w:rFonts w:cs="Arial"/>
          <w:noProof/>
          <w:sz w:val="22"/>
          <w:szCs w:val="24"/>
        </w:rPr>
        <w:tab/>
        <w:t xml:space="preserve">Subramanian, A. </w:t>
      </w:r>
      <w:r w:rsidRPr="004F24F9">
        <w:rPr>
          <w:rFonts w:cs="Arial"/>
          <w:i/>
          <w:iCs/>
          <w:noProof/>
          <w:sz w:val="22"/>
          <w:szCs w:val="24"/>
        </w:rPr>
        <w:t>et al.</w:t>
      </w:r>
      <w:r w:rsidRPr="004F24F9">
        <w:rPr>
          <w:rFonts w:cs="Arial"/>
          <w:noProof/>
          <w:sz w:val="22"/>
          <w:szCs w:val="24"/>
        </w:rPr>
        <w:t xml:space="preserve"> Gene set enrichment analysis: a knowledge-based approach for interpreting genome-wide expression profiles. </w:t>
      </w:r>
      <w:r w:rsidRPr="004F24F9">
        <w:rPr>
          <w:rFonts w:cs="Arial"/>
          <w:i/>
          <w:iCs/>
          <w:noProof/>
          <w:sz w:val="22"/>
          <w:szCs w:val="24"/>
        </w:rPr>
        <w:t>Proc. Natl. Acad. Sci. U. S. A.</w:t>
      </w:r>
      <w:r w:rsidRPr="004F24F9">
        <w:rPr>
          <w:rFonts w:cs="Arial"/>
          <w:noProof/>
          <w:sz w:val="22"/>
          <w:szCs w:val="24"/>
        </w:rPr>
        <w:t xml:space="preserve"> </w:t>
      </w:r>
      <w:r w:rsidRPr="004F24F9">
        <w:rPr>
          <w:rFonts w:cs="Arial"/>
          <w:b/>
          <w:bCs/>
          <w:noProof/>
          <w:sz w:val="22"/>
          <w:szCs w:val="24"/>
        </w:rPr>
        <w:t>102</w:t>
      </w:r>
      <w:r w:rsidRPr="004F24F9">
        <w:rPr>
          <w:rFonts w:cs="Arial"/>
          <w:noProof/>
          <w:sz w:val="22"/>
          <w:szCs w:val="24"/>
        </w:rPr>
        <w:t>, 15545–50 (2005).</w:t>
      </w:r>
    </w:p>
    <w:p w14:paraId="23ECF290" w14:textId="0A45BB66" w:rsidR="008804DA" w:rsidRPr="007D59B1" w:rsidRDefault="008804DA" w:rsidP="008804DA">
      <w:pPr>
        <w:spacing w:line="360" w:lineRule="auto"/>
        <w:jc w:val="both"/>
        <w:rPr>
          <w:rFonts w:cs="Arial"/>
          <w:color w:val="000000" w:themeColor="text1"/>
          <w:sz w:val="22"/>
          <w:szCs w:val="22"/>
        </w:rPr>
      </w:pPr>
      <w:r w:rsidRPr="007D59B1">
        <w:rPr>
          <w:rFonts w:cs="Arial"/>
          <w:sz w:val="22"/>
          <w:szCs w:val="22"/>
        </w:rPr>
        <w:fldChar w:fldCharType="end"/>
      </w:r>
    </w:p>
    <w:p w14:paraId="1BC80D76" w14:textId="1FA3247D" w:rsidR="008804DA" w:rsidRPr="007D59B1" w:rsidRDefault="008804DA" w:rsidP="008804DA">
      <w:pPr>
        <w:spacing w:line="360" w:lineRule="auto"/>
        <w:jc w:val="both"/>
        <w:rPr>
          <w:rFonts w:cs="Arial"/>
          <w:b/>
          <w:sz w:val="22"/>
          <w:szCs w:val="22"/>
        </w:rPr>
      </w:pPr>
      <w:r w:rsidRPr="007D59B1">
        <w:rPr>
          <w:rFonts w:cs="Arial"/>
          <w:b/>
          <w:sz w:val="22"/>
          <w:szCs w:val="22"/>
        </w:rPr>
        <w:t>Acknowledgements</w:t>
      </w:r>
    </w:p>
    <w:p w14:paraId="64B93BB6" w14:textId="77777777" w:rsidR="008804DA" w:rsidRPr="002A3C22" w:rsidRDefault="008804DA" w:rsidP="008804DA">
      <w:pPr>
        <w:spacing w:line="360" w:lineRule="auto"/>
        <w:jc w:val="both"/>
        <w:rPr>
          <w:rFonts w:ascii="Times New Roman" w:eastAsia="Times New Roman" w:hAnsi="Times New Roman" w:cs="Times New Roman"/>
          <w:sz w:val="24"/>
          <w:szCs w:val="24"/>
        </w:rPr>
      </w:pPr>
      <w:r w:rsidRPr="007D59B1">
        <w:rPr>
          <w:rFonts w:cs="Arial"/>
          <w:sz w:val="22"/>
          <w:szCs w:val="22"/>
        </w:rPr>
        <w:t xml:space="preserve">This research is supported with funding from Children with Cancer UK (CWCUK; 16-209) awarded to SDT and LCL, RMT was supported by the CWCUK grant and LCL was in receipt of a Cancer Research UK Cambridge Centre Paediatric Programme PhD </w:t>
      </w:r>
      <w:r w:rsidRPr="007D59B1">
        <w:rPr>
          <w:rFonts w:cs="Arial"/>
          <w:color w:val="000000" w:themeColor="text1"/>
          <w:sz w:val="22"/>
          <w:szCs w:val="22"/>
        </w:rPr>
        <w:t xml:space="preserve">studentship. NP, LJ, OM, IGFA, LK, and SDT are supported by a European Union Horizon 2020 Marie </w:t>
      </w:r>
      <w:proofErr w:type="spellStart"/>
      <w:r w:rsidRPr="007D59B1">
        <w:rPr>
          <w:rFonts w:cs="Arial"/>
          <w:color w:val="000000" w:themeColor="text1"/>
          <w:sz w:val="22"/>
          <w:szCs w:val="22"/>
        </w:rPr>
        <w:t>Skłodowska</w:t>
      </w:r>
      <w:proofErr w:type="spellEnd"/>
      <w:r w:rsidRPr="007D59B1">
        <w:rPr>
          <w:rFonts w:cs="Arial"/>
          <w:color w:val="000000" w:themeColor="text1"/>
          <w:sz w:val="22"/>
          <w:szCs w:val="22"/>
        </w:rPr>
        <w:t xml:space="preserve">-Curie Innovative Training Networks (ITN-ETN) Grant, Grant No.: 675712. NAP was supported by ERASMUS+. We are grateful to AstraZeneca for providing us with AZD1208 and Inflection Biosciences for providing us with </w:t>
      </w:r>
      <w:proofErr w:type="spellStart"/>
      <w:r w:rsidRPr="007D59B1">
        <w:rPr>
          <w:rFonts w:cs="Arial"/>
          <w:color w:val="000000" w:themeColor="text1"/>
          <w:sz w:val="22"/>
          <w:szCs w:val="22"/>
        </w:rPr>
        <w:t>PIMi</w:t>
      </w:r>
      <w:proofErr w:type="spellEnd"/>
      <w:r w:rsidRPr="007D59B1">
        <w:rPr>
          <w:rFonts w:cs="Arial"/>
          <w:color w:val="000000" w:themeColor="text1"/>
          <w:sz w:val="22"/>
          <w:szCs w:val="22"/>
        </w:rPr>
        <w:t xml:space="preserve">. We thank </w:t>
      </w:r>
      <w:proofErr w:type="spellStart"/>
      <w:r w:rsidRPr="007D59B1">
        <w:rPr>
          <w:rFonts w:cs="Arial"/>
          <w:color w:val="000000" w:themeColor="text1"/>
          <w:sz w:val="22"/>
          <w:szCs w:val="22"/>
        </w:rPr>
        <w:t>Isaia</w:t>
      </w:r>
      <w:proofErr w:type="spellEnd"/>
      <w:r w:rsidRPr="007D59B1">
        <w:rPr>
          <w:rFonts w:cs="Arial"/>
          <w:color w:val="000000" w:themeColor="text1"/>
          <w:sz w:val="22"/>
          <w:szCs w:val="22"/>
        </w:rPr>
        <w:t xml:space="preserve"> Barbieri for critical suggestions on the manuscript, BBSCR NIHR Cell phenotyping hub for flow cytometry expertise, the Bauer Core Facility at Harvard University for sequencing, </w:t>
      </w:r>
      <w:r>
        <w:rPr>
          <w:rFonts w:cs="Arial"/>
          <w:color w:val="000000" w:themeColor="text1"/>
          <w:sz w:val="22"/>
          <w:szCs w:val="22"/>
        </w:rPr>
        <w:t xml:space="preserve">and </w:t>
      </w:r>
      <w:r w:rsidRPr="007D59B1">
        <w:rPr>
          <w:rFonts w:cs="Arial"/>
          <w:color w:val="000000" w:themeColor="text1"/>
          <w:sz w:val="22"/>
          <w:szCs w:val="22"/>
        </w:rPr>
        <w:t xml:space="preserve">Liew Jun Mun and Stephen P. </w:t>
      </w:r>
      <w:proofErr w:type="spellStart"/>
      <w:r w:rsidRPr="007D59B1">
        <w:rPr>
          <w:rFonts w:cs="Arial"/>
          <w:color w:val="000000" w:themeColor="text1"/>
          <w:sz w:val="22"/>
          <w:szCs w:val="22"/>
        </w:rPr>
        <w:t>Ducray</w:t>
      </w:r>
      <w:proofErr w:type="spellEnd"/>
      <w:r w:rsidRPr="007D59B1">
        <w:rPr>
          <w:rFonts w:cs="Arial"/>
          <w:color w:val="000000" w:themeColor="text1"/>
          <w:sz w:val="22"/>
          <w:szCs w:val="22"/>
        </w:rPr>
        <w:t xml:space="preserve"> for technical assistance. </w:t>
      </w:r>
      <w:r w:rsidRPr="002A3C22">
        <w:rPr>
          <w:rFonts w:eastAsia="Times New Roman" w:cs="Arial"/>
          <w:color w:val="000000"/>
          <w:sz w:val="22"/>
          <w:szCs w:val="22"/>
        </w:rPr>
        <w:t>Funding for the COG/ALSF Childhood Cancer Repository was provided by Alex’s Lemonade Stand Foundation.</w:t>
      </w:r>
    </w:p>
    <w:p w14:paraId="49D5ADBC" w14:textId="77777777" w:rsidR="008804DA" w:rsidRPr="007D59B1" w:rsidRDefault="008804DA" w:rsidP="008804DA">
      <w:pPr>
        <w:spacing w:line="360" w:lineRule="auto"/>
        <w:jc w:val="both"/>
        <w:rPr>
          <w:rFonts w:cs="Arial"/>
          <w:b/>
          <w:color w:val="000000" w:themeColor="text1"/>
          <w:sz w:val="22"/>
          <w:szCs w:val="22"/>
        </w:rPr>
      </w:pPr>
    </w:p>
    <w:p w14:paraId="2576DBEA" w14:textId="77777777" w:rsidR="008804DA" w:rsidRPr="007D59B1" w:rsidRDefault="008804DA" w:rsidP="008804DA">
      <w:pPr>
        <w:spacing w:line="360" w:lineRule="auto"/>
        <w:jc w:val="both"/>
        <w:rPr>
          <w:rFonts w:cs="Arial"/>
          <w:b/>
          <w:sz w:val="22"/>
          <w:szCs w:val="22"/>
        </w:rPr>
      </w:pPr>
      <w:r w:rsidRPr="007D59B1">
        <w:rPr>
          <w:rFonts w:cs="Arial"/>
          <w:b/>
          <w:sz w:val="22"/>
          <w:szCs w:val="22"/>
        </w:rPr>
        <w:t>Author contributions</w:t>
      </w:r>
    </w:p>
    <w:p w14:paraId="5BDF78F2" w14:textId="54BEAFF8" w:rsidR="008804DA" w:rsidRPr="007D59B1" w:rsidRDefault="008804DA" w:rsidP="008804DA">
      <w:pPr>
        <w:spacing w:line="360" w:lineRule="auto"/>
        <w:jc w:val="both"/>
        <w:rPr>
          <w:rFonts w:cs="Arial"/>
          <w:color w:val="000000" w:themeColor="text1"/>
          <w:sz w:val="22"/>
          <w:szCs w:val="22"/>
        </w:rPr>
      </w:pPr>
      <w:r w:rsidRPr="007D59B1">
        <w:rPr>
          <w:rFonts w:cs="Arial"/>
          <w:color w:val="000000" w:themeColor="text1"/>
          <w:sz w:val="22"/>
          <w:szCs w:val="22"/>
        </w:rPr>
        <w:t>SDT, JL, RMT, LCL and NP designed the research; RMT, LCL, NP, LJ, NAP, MH, HKL, ST, SH, IGFA</w:t>
      </w:r>
      <w:r w:rsidR="006E2821">
        <w:rPr>
          <w:rFonts w:cs="Arial"/>
          <w:color w:val="000000" w:themeColor="text1"/>
          <w:sz w:val="22"/>
          <w:szCs w:val="22"/>
        </w:rPr>
        <w:t>, EM and</w:t>
      </w:r>
      <w:r w:rsidRPr="007D59B1">
        <w:rPr>
          <w:rFonts w:cs="Arial"/>
          <w:color w:val="000000" w:themeColor="text1"/>
          <w:sz w:val="22"/>
          <w:szCs w:val="22"/>
        </w:rPr>
        <w:t xml:space="preserve"> PK performed the experiments; RMT, LCL, NP, JDM, </w:t>
      </w:r>
      <w:r w:rsidR="006E2821">
        <w:rPr>
          <w:rFonts w:cs="Arial"/>
          <w:color w:val="000000" w:themeColor="text1"/>
          <w:sz w:val="22"/>
          <w:szCs w:val="22"/>
        </w:rPr>
        <w:t xml:space="preserve">OM, </w:t>
      </w:r>
      <w:r w:rsidRPr="007D59B1">
        <w:rPr>
          <w:rFonts w:cs="Arial"/>
          <w:color w:val="000000" w:themeColor="text1"/>
          <w:sz w:val="22"/>
          <w:szCs w:val="22"/>
        </w:rPr>
        <w:t xml:space="preserve">LK and SDT </w:t>
      </w:r>
      <w:proofErr w:type="spellStart"/>
      <w:r w:rsidRPr="007D59B1">
        <w:rPr>
          <w:rFonts w:cs="Arial"/>
          <w:color w:val="000000" w:themeColor="text1"/>
          <w:sz w:val="22"/>
          <w:szCs w:val="22"/>
        </w:rPr>
        <w:t>analyzed</w:t>
      </w:r>
      <w:proofErr w:type="spellEnd"/>
      <w:r w:rsidRPr="007D59B1">
        <w:rPr>
          <w:rFonts w:cs="Arial"/>
          <w:color w:val="000000" w:themeColor="text1"/>
          <w:sz w:val="22"/>
          <w:szCs w:val="22"/>
        </w:rPr>
        <w:t xml:space="preserve"> data; RMT, LCL, NP and SDT wrote the paper; CPR</w:t>
      </w:r>
      <w:r w:rsidR="006E2821">
        <w:rPr>
          <w:rFonts w:cs="Arial"/>
          <w:color w:val="000000" w:themeColor="text1"/>
          <w:sz w:val="22"/>
          <w:szCs w:val="22"/>
        </w:rPr>
        <w:t>, SM, JP and CBA</w:t>
      </w:r>
      <w:r w:rsidRPr="007D59B1">
        <w:rPr>
          <w:rFonts w:cs="Arial"/>
          <w:color w:val="000000" w:themeColor="text1"/>
          <w:sz w:val="22"/>
          <w:szCs w:val="22"/>
        </w:rPr>
        <w:t xml:space="preserve"> provided essential reagents, namely patient-derived xenografts</w:t>
      </w:r>
      <w:r w:rsidR="006E2821">
        <w:rPr>
          <w:rFonts w:cs="Arial"/>
          <w:color w:val="000000" w:themeColor="text1"/>
          <w:sz w:val="22"/>
          <w:szCs w:val="22"/>
        </w:rPr>
        <w:t xml:space="preserve"> (CPR) or PIM1 inhibitors (SM, JP, CBA)</w:t>
      </w:r>
      <w:r w:rsidRPr="007D59B1">
        <w:rPr>
          <w:rFonts w:cs="Arial"/>
          <w:color w:val="000000" w:themeColor="text1"/>
          <w:sz w:val="22"/>
          <w:szCs w:val="22"/>
        </w:rPr>
        <w:t xml:space="preserve">. </w:t>
      </w:r>
      <w:r w:rsidR="006E2821">
        <w:rPr>
          <w:rFonts w:cs="Arial"/>
          <w:color w:val="000000" w:themeColor="text1"/>
          <w:sz w:val="22"/>
          <w:szCs w:val="22"/>
        </w:rPr>
        <w:t>RMT, LCL, NP, LJ, CPR, GAAB, NAP. MH, JDM, HKL, EM, SM, JP, CBA, OM, IG, PK, ST, SH, JL, LK and SDT</w:t>
      </w:r>
      <w:r w:rsidRPr="007D59B1">
        <w:rPr>
          <w:rFonts w:cs="Arial"/>
          <w:color w:val="000000" w:themeColor="text1"/>
          <w:sz w:val="22"/>
          <w:szCs w:val="22"/>
        </w:rPr>
        <w:t xml:space="preserve"> contributed intellectually to the editing of the manuscript and interpretation of data.</w:t>
      </w:r>
    </w:p>
    <w:p w14:paraId="272FCD0F" w14:textId="77777777" w:rsidR="008804DA" w:rsidRPr="007D59B1" w:rsidRDefault="008804DA" w:rsidP="008804DA">
      <w:pPr>
        <w:spacing w:line="360" w:lineRule="auto"/>
        <w:jc w:val="both"/>
        <w:rPr>
          <w:rFonts w:cs="Arial"/>
          <w:color w:val="000000" w:themeColor="text1"/>
          <w:sz w:val="22"/>
          <w:szCs w:val="22"/>
        </w:rPr>
      </w:pPr>
    </w:p>
    <w:p w14:paraId="6FDA7690" w14:textId="70D1F955" w:rsidR="008804DA" w:rsidRPr="007D59B1" w:rsidRDefault="008804DA" w:rsidP="008804DA">
      <w:pPr>
        <w:spacing w:line="360" w:lineRule="auto"/>
        <w:jc w:val="both"/>
        <w:rPr>
          <w:rFonts w:cs="Arial"/>
          <w:b/>
          <w:sz w:val="22"/>
          <w:szCs w:val="22"/>
        </w:rPr>
      </w:pPr>
      <w:r>
        <w:rPr>
          <w:rFonts w:cs="Arial"/>
          <w:b/>
          <w:sz w:val="22"/>
          <w:szCs w:val="22"/>
        </w:rPr>
        <w:t>Conflict</w:t>
      </w:r>
      <w:r w:rsidRPr="007D59B1">
        <w:rPr>
          <w:rFonts w:cs="Arial"/>
          <w:b/>
          <w:sz w:val="22"/>
          <w:szCs w:val="22"/>
        </w:rPr>
        <w:t xml:space="preserve"> of interests</w:t>
      </w:r>
    </w:p>
    <w:p w14:paraId="23697BAC" w14:textId="2B036268" w:rsidR="00D30528" w:rsidRPr="007D59B1" w:rsidRDefault="008804DA" w:rsidP="008804DA">
      <w:pPr>
        <w:spacing w:line="360" w:lineRule="auto"/>
        <w:jc w:val="both"/>
        <w:rPr>
          <w:rFonts w:cs="Arial"/>
          <w:color w:val="FF0000"/>
          <w:sz w:val="22"/>
          <w:szCs w:val="22"/>
        </w:rPr>
      </w:pPr>
      <w:r w:rsidRPr="007D59B1">
        <w:rPr>
          <w:rFonts w:cs="Arial"/>
          <w:sz w:val="22"/>
          <w:szCs w:val="22"/>
        </w:rPr>
        <w:t>The authors declare no competing interests.</w:t>
      </w:r>
      <w:r w:rsidR="005033EF" w:rsidRPr="007D59B1">
        <w:rPr>
          <w:rFonts w:cs="Arial"/>
          <w:sz w:val="22"/>
          <w:szCs w:val="22"/>
        </w:rPr>
        <w:br w:type="page"/>
      </w:r>
    </w:p>
    <w:p w14:paraId="329D9206" w14:textId="0425C546" w:rsidR="00772755" w:rsidRPr="007D59B1" w:rsidRDefault="00771E27">
      <w:pPr>
        <w:pStyle w:val="Style1"/>
      </w:pPr>
      <w:r>
        <w:lastRenderedPageBreak/>
        <w:t>Fig.</w:t>
      </w:r>
      <w:r w:rsidR="00772755" w:rsidRPr="007D59B1">
        <w:t xml:space="preserve"> legends</w:t>
      </w:r>
    </w:p>
    <w:p w14:paraId="3A1BA7BB" w14:textId="77777777" w:rsidR="000A48C2" w:rsidRPr="007D59B1" w:rsidRDefault="000A48C2" w:rsidP="00872AA4">
      <w:pPr>
        <w:pStyle w:val="Style1"/>
      </w:pPr>
    </w:p>
    <w:p w14:paraId="7F1F34C7" w14:textId="4FD1CAFF" w:rsidR="002A3C22" w:rsidRDefault="000A48C2" w:rsidP="00872AA4">
      <w:pPr>
        <w:spacing w:line="360" w:lineRule="auto"/>
        <w:jc w:val="both"/>
        <w:rPr>
          <w:rFonts w:cs="Arial"/>
          <w:sz w:val="22"/>
          <w:szCs w:val="22"/>
          <w:lang w:val="en-US"/>
        </w:rPr>
      </w:pPr>
      <w:r w:rsidRPr="007D59B1">
        <w:rPr>
          <w:rFonts w:cs="Arial"/>
          <w:b/>
          <w:sz w:val="22"/>
          <w:szCs w:val="22"/>
          <w:lang w:val="en-US"/>
        </w:rPr>
        <w:t>Fig</w:t>
      </w:r>
      <w:r w:rsidR="00504C46" w:rsidRPr="007D59B1">
        <w:rPr>
          <w:rFonts w:cs="Arial"/>
          <w:b/>
          <w:sz w:val="22"/>
          <w:szCs w:val="22"/>
          <w:lang w:val="en-US"/>
        </w:rPr>
        <w:t>. 1</w:t>
      </w:r>
      <w:r w:rsidRPr="007D59B1">
        <w:rPr>
          <w:rFonts w:cs="Arial"/>
          <w:b/>
          <w:sz w:val="22"/>
          <w:szCs w:val="22"/>
          <w:lang w:val="en-US"/>
        </w:rPr>
        <w:t xml:space="preserve"> </w:t>
      </w:r>
      <w:r w:rsidRPr="00845ECF">
        <w:rPr>
          <w:rFonts w:cs="Arial"/>
          <w:b/>
          <w:sz w:val="22"/>
          <w:szCs w:val="22"/>
          <w:lang w:val="en-US"/>
        </w:rPr>
        <w:t xml:space="preserve">A genome-wide </w:t>
      </w:r>
      <w:proofErr w:type="spellStart"/>
      <w:r w:rsidR="0066652D" w:rsidRPr="00845ECF">
        <w:rPr>
          <w:rFonts w:cs="Arial"/>
          <w:b/>
          <w:sz w:val="22"/>
          <w:szCs w:val="22"/>
          <w:lang w:val="en-US"/>
        </w:rPr>
        <w:t>CRISPR</w:t>
      </w:r>
      <w:r w:rsidR="00553276" w:rsidRPr="00845ECF">
        <w:rPr>
          <w:rFonts w:cs="Arial"/>
          <w:b/>
          <w:sz w:val="22"/>
          <w:szCs w:val="22"/>
          <w:lang w:val="en-US"/>
        </w:rPr>
        <w:t>a</w:t>
      </w:r>
      <w:proofErr w:type="spellEnd"/>
      <w:r w:rsidR="00553276" w:rsidRPr="00845ECF">
        <w:rPr>
          <w:rFonts w:cs="Arial"/>
          <w:b/>
          <w:sz w:val="22"/>
          <w:szCs w:val="22"/>
          <w:lang w:val="en-US"/>
        </w:rPr>
        <w:t xml:space="preserve"> </w:t>
      </w:r>
      <w:r w:rsidRPr="00845ECF">
        <w:rPr>
          <w:rFonts w:cs="Arial"/>
          <w:b/>
          <w:sz w:val="22"/>
          <w:szCs w:val="22"/>
          <w:lang w:val="en-US"/>
        </w:rPr>
        <w:t xml:space="preserve">screen identifies resistance genes in SH-SY5Y cells </w:t>
      </w:r>
    </w:p>
    <w:p w14:paraId="0B732924" w14:textId="783D7456" w:rsidR="000A48C2" w:rsidRPr="007D59B1" w:rsidRDefault="000A48C2" w:rsidP="00872AA4">
      <w:pPr>
        <w:spacing w:line="360" w:lineRule="auto"/>
        <w:jc w:val="both"/>
        <w:rPr>
          <w:rFonts w:cs="Arial"/>
          <w:b/>
          <w:sz w:val="22"/>
          <w:szCs w:val="22"/>
        </w:rPr>
      </w:pPr>
      <w:proofErr w:type="spellStart"/>
      <w:proofErr w:type="gramStart"/>
      <w:r w:rsidRPr="007D59B1">
        <w:rPr>
          <w:rFonts w:cs="Arial"/>
          <w:b/>
          <w:sz w:val="22"/>
          <w:szCs w:val="22"/>
          <w:lang w:val="en-US"/>
        </w:rPr>
        <w:t>a</w:t>
      </w:r>
      <w:proofErr w:type="spellEnd"/>
      <w:proofErr w:type="gramEnd"/>
      <w:r w:rsidRPr="007D59B1">
        <w:rPr>
          <w:rFonts w:cs="Arial"/>
          <w:sz w:val="22"/>
          <w:szCs w:val="22"/>
          <w:lang w:val="en-US"/>
        </w:rPr>
        <w:t xml:space="preserve"> Experimental schema for </w:t>
      </w:r>
      <w:r w:rsidR="0066652D">
        <w:rPr>
          <w:rFonts w:cs="Arial"/>
          <w:sz w:val="22"/>
          <w:szCs w:val="22"/>
          <w:lang w:val="en-US"/>
        </w:rPr>
        <w:t xml:space="preserve">genome-wide </w:t>
      </w:r>
      <w:proofErr w:type="spellStart"/>
      <w:r w:rsidRPr="007D59B1">
        <w:rPr>
          <w:rFonts w:cs="Arial"/>
          <w:sz w:val="22"/>
          <w:szCs w:val="22"/>
          <w:lang w:val="en-US"/>
        </w:rPr>
        <w:t>CRISPR</w:t>
      </w:r>
      <w:r w:rsidR="0066652D">
        <w:rPr>
          <w:rFonts w:cs="Arial"/>
          <w:sz w:val="22"/>
          <w:szCs w:val="22"/>
          <w:lang w:val="en-US"/>
        </w:rPr>
        <w:t>a</w:t>
      </w:r>
      <w:proofErr w:type="spellEnd"/>
      <w:r w:rsidRPr="007D59B1">
        <w:rPr>
          <w:rFonts w:cs="Arial"/>
          <w:sz w:val="22"/>
          <w:szCs w:val="22"/>
          <w:lang w:val="en-US"/>
        </w:rPr>
        <w:t xml:space="preserve"> screen</w:t>
      </w:r>
      <w:r w:rsidR="0066652D">
        <w:rPr>
          <w:rFonts w:cs="Arial"/>
          <w:sz w:val="22"/>
          <w:szCs w:val="22"/>
          <w:lang w:val="en-US"/>
        </w:rPr>
        <w:t>ing</w:t>
      </w:r>
      <w:r w:rsidRPr="007D59B1">
        <w:rPr>
          <w:rFonts w:cs="Arial"/>
          <w:sz w:val="22"/>
          <w:szCs w:val="22"/>
          <w:lang w:val="en-US"/>
        </w:rPr>
        <w:t xml:space="preserve"> in NB cells. Cell lines were transduced with lentiviral vectors to </w:t>
      </w:r>
      <w:r w:rsidR="00251211" w:rsidRPr="007D59B1">
        <w:rPr>
          <w:rFonts w:cs="Arial"/>
          <w:color w:val="000000" w:themeColor="text1"/>
          <w:sz w:val="22"/>
          <w:szCs w:val="22"/>
          <w:lang w:val="en-US"/>
        </w:rPr>
        <w:t>con</w:t>
      </w:r>
      <w:r w:rsidRPr="007D59B1">
        <w:rPr>
          <w:rFonts w:cs="Arial"/>
          <w:color w:val="000000" w:themeColor="text1"/>
          <w:sz w:val="22"/>
          <w:szCs w:val="22"/>
          <w:lang w:val="en-US"/>
        </w:rPr>
        <w:t>fer stable</w:t>
      </w:r>
      <w:r w:rsidRPr="007D59B1">
        <w:rPr>
          <w:rFonts w:cs="Arial"/>
          <w:sz w:val="22"/>
          <w:szCs w:val="22"/>
          <w:lang w:val="en-US"/>
        </w:rPr>
        <w:t xml:space="preserve"> expression of dCas9-VP64 and MS2-</w:t>
      </w:r>
      <w:r w:rsidR="0066652D">
        <w:rPr>
          <w:rFonts w:cs="Arial"/>
          <w:sz w:val="22"/>
          <w:szCs w:val="22"/>
          <w:lang w:val="en-US"/>
        </w:rPr>
        <w:t>p</w:t>
      </w:r>
      <w:r w:rsidRPr="007D59B1">
        <w:rPr>
          <w:rFonts w:cs="Arial"/>
          <w:sz w:val="22"/>
          <w:szCs w:val="22"/>
          <w:lang w:val="en-US"/>
        </w:rPr>
        <w:t xml:space="preserve">65-HSF1 before transduction with a lentiviral library of guide RNA (gRNA) sequences (3 gRNAs/coding isoform). Transduced cells were selected and then exposed to DMSO (vehicle) or ALK inhibitors for 14 days, after which genomic DNA was extracted and gRNA sequences were PCR-amplified and subjected to Illumina </w:t>
      </w:r>
      <w:proofErr w:type="spellStart"/>
      <w:r w:rsidRPr="007D59B1">
        <w:rPr>
          <w:rFonts w:cs="Arial"/>
          <w:sz w:val="22"/>
          <w:szCs w:val="22"/>
          <w:lang w:val="en-US"/>
        </w:rPr>
        <w:t>HiSeq</w:t>
      </w:r>
      <w:proofErr w:type="spellEnd"/>
      <w:r w:rsidRPr="007D59B1">
        <w:rPr>
          <w:rFonts w:cs="Arial"/>
          <w:sz w:val="22"/>
          <w:szCs w:val="22"/>
          <w:lang w:val="en-US"/>
        </w:rPr>
        <w:t xml:space="preserve"> sequencing.</w:t>
      </w:r>
      <w:r w:rsidRPr="007D59B1">
        <w:rPr>
          <w:rFonts w:cs="Arial"/>
          <w:b/>
          <w:sz w:val="22"/>
          <w:szCs w:val="22"/>
          <w:lang w:val="en-US"/>
        </w:rPr>
        <w:t xml:space="preserve"> b</w:t>
      </w:r>
      <w:r w:rsidRPr="007D59B1">
        <w:rPr>
          <w:rFonts w:cs="Arial"/>
          <w:sz w:val="22"/>
          <w:szCs w:val="22"/>
          <w:lang w:val="en-US"/>
        </w:rPr>
        <w:t xml:space="preserve"> Venn diagram of candidate genes from </w:t>
      </w:r>
      <w:proofErr w:type="spellStart"/>
      <w:r w:rsidRPr="007D59B1">
        <w:rPr>
          <w:rFonts w:cs="Arial"/>
          <w:sz w:val="22"/>
          <w:szCs w:val="22"/>
          <w:lang w:val="en-US"/>
        </w:rPr>
        <w:t>CRISPR</w:t>
      </w:r>
      <w:r w:rsidR="00553276">
        <w:rPr>
          <w:rFonts w:cs="Arial"/>
          <w:sz w:val="22"/>
          <w:szCs w:val="22"/>
          <w:lang w:val="en-US"/>
        </w:rPr>
        <w:t>a</w:t>
      </w:r>
      <w:proofErr w:type="spellEnd"/>
      <w:r w:rsidR="00553276">
        <w:rPr>
          <w:rFonts w:cs="Arial"/>
          <w:sz w:val="22"/>
          <w:szCs w:val="22"/>
          <w:lang w:val="en-US"/>
        </w:rPr>
        <w:t xml:space="preserve"> </w:t>
      </w:r>
      <w:r w:rsidRPr="007D59B1">
        <w:rPr>
          <w:rFonts w:cs="Arial"/>
          <w:sz w:val="22"/>
          <w:szCs w:val="22"/>
          <w:lang w:val="en-US"/>
        </w:rPr>
        <w:t xml:space="preserve">screen with </w:t>
      </w:r>
      <w:proofErr w:type="spellStart"/>
      <w:r w:rsidRPr="007D59B1">
        <w:rPr>
          <w:rFonts w:cs="Arial"/>
          <w:sz w:val="22"/>
          <w:szCs w:val="22"/>
        </w:rPr>
        <w:t>brigatinib</w:t>
      </w:r>
      <w:proofErr w:type="spellEnd"/>
      <w:r w:rsidRPr="007D59B1">
        <w:rPr>
          <w:rFonts w:cs="Arial"/>
          <w:sz w:val="22"/>
          <w:szCs w:val="22"/>
        </w:rPr>
        <w:t xml:space="preserve"> or </w:t>
      </w:r>
      <w:proofErr w:type="spellStart"/>
      <w:r w:rsidRPr="007D59B1">
        <w:rPr>
          <w:rFonts w:cs="Arial"/>
          <w:sz w:val="22"/>
          <w:szCs w:val="22"/>
        </w:rPr>
        <w:t>ceritinib</w:t>
      </w:r>
      <w:proofErr w:type="spellEnd"/>
      <w:r w:rsidRPr="007D59B1">
        <w:rPr>
          <w:rFonts w:cs="Arial"/>
          <w:sz w:val="22"/>
          <w:szCs w:val="22"/>
        </w:rPr>
        <w:t xml:space="preserve"> at ED</w:t>
      </w:r>
      <w:r w:rsidRPr="007D59B1">
        <w:rPr>
          <w:rFonts w:cs="Arial"/>
          <w:sz w:val="22"/>
          <w:szCs w:val="22"/>
          <w:vertAlign w:val="subscript"/>
        </w:rPr>
        <w:t>50</w:t>
      </w:r>
      <w:r w:rsidRPr="007D59B1">
        <w:rPr>
          <w:rFonts w:cs="Arial"/>
          <w:sz w:val="22"/>
          <w:szCs w:val="22"/>
        </w:rPr>
        <w:t xml:space="preserve"> and ED</w:t>
      </w:r>
      <w:r w:rsidRPr="007D59B1">
        <w:rPr>
          <w:rFonts w:cs="Arial"/>
          <w:sz w:val="22"/>
          <w:szCs w:val="22"/>
          <w:vertAlign w:val="subscript"/>
        </w:rPr>
        <w:t>75</w:t>
      </w:r>
      <w:r w:rsidRPr="007D59B1">
        <w:rPr>
          <w:rFonts w:cs="Arial"/>
          <w:sz w:val="22"/>
          <w:szCs w:val="22"/>
        </w:rPr>
        <w:t xml:space="preserve"> concentrations in SH-SY5Y cells.</w:t>
      </w:r>
      <w:r w:rsidRPr="007D59B1">
        <w:rPr>
          <w:rFonts w:cs="Arial"/>
          <w:b/>
          <w:sz w:val="22"/>
          <w:szCs w:val="22"/>
        </w:rPr>
        <w:t xml:space="preserve"> c</w:t>
      </w:r>
      <w:r w:rsidRPr="007D59B1">
        <w:rPr>
          <w:rFonts w:cs="Arial"/>
          <w:sz w:val="22"/>
          <w:szCs w:val="22"/>
        </w:rPr>
        <w:t xml:space="preserve"> Log-normalized read counts for each gRNA in untreated (DMSO) vs ALK TKI-treated SH-SY5Y cell populations. Dashed black lines represent linear regressions. </w:t>
      </w:r>
      <w:r w:rsidR="009126FB" w:rsidRPr="007D59B1">
        <w:rPr>
          <w:rFonts w:cs="Arial"/>
          <w:sz w:val="22"/>
          <w:szCs w:val="22"/>
        </w:rPr>
        <w:t>Data represent the average of two biological replicates</w:t>
      </w:r>
      <w:r w:rsidR="009126FB" w:rsidRPr="007D59B1">
        <w:rPr>
          <w:rFonts w:cs="Arial"/>
          <w:color w:val="000000" w:themeColor="text1"/>
          <w:sz w:val="22"/>
          <w:szCs w:val="22"/>
        </w:rPr>
        <w:t>.</w:t>
      </w:r>
      <w:r w:rsidR="009126FB">
        <w:rPr>
          <w:rFonts w:cs="Arial"/>
          <w:color w:val="000000" w:themeColor="text1"/>
          <w:sz w:val="22"/>
          <w:szCs w:val="22"/>
        </w:rPr>
        <w:t xml:space="preserve"> </w:t>
      </w:r>
      <w:r w:rsidR="00C560C5" w:rsidRPr="007D59B1">
        <w:rPr>
          <w:rFonts w:cs="Arial"/>
          <w:color w:val="000000" w:themeColor="text1"/>
          <w:sz w:val="22"/>
          <w:szCs w:val="22"/>
        </w:rPr>
        <w:t xml:space="preserve">Genes common to both </w:t>
      </w:r>
      <w:proofErr w:type="spellStart"/>
      <w:r w:rsidR="00C560C5" w:rsidRPr="007D59B1">
        <w:rPr>
          <w:rFonts w:cs="Arial"/>
          <w:color w:val="000000" w:themeColor="text1"/>
          <w:sz w:val="22"/>
          <w:szCs w:val="22"/>
        </w:rPr>
        <w:t>brigatinib</w:t>
      </w:r>
      <w:proofErr w:type="spellEnd"/>
      <w:r w:rsidR="00C560C5" w:rsidRPr="007D59B1">
        <w:rPr>
          <w:rFonts w:cs="Arial"/>
          <w:color w:val="000000" w:themeColor="text1"/>
          <w:sz w:val="22"/>
          <w:szCs w:val="22"/>
        </w:rPr>
        <w:t xml:space="preserve"> and </w:t>
      </w:r>
      <w:proofErr w:type="spellStart"/>
      <w:r w:rsidR="00C560C5" w:rsidRPr="007D59B1">
        <w:rPr>
          <w:rFonts w:cs="Arial"/>
          <w:color w:val="000000" w:themeColor="text1"/>
          <w:sz w:val="22"/>
          <w:szCs w:val="22"/>
        </w:rPr>
        <w:t>ceritinib</w:t>
      </w:r>
      <w:proofErr w:type="spellEnd"/>
      <w:r w:rsidR="00C560C5" w:rsidRPr="007D59B1">
        <w:rPr>
          <w:rFonts w:cs="Arial"/>
          <w:color w:val="000000" w:themeColor="text1"/>
          <w:sz w:val="22"/>
          <w:szCs w:val="22"/>
        </w:rPr>
        <w:t xml:space="preserve"> treatments are shown (</w:t>
      </w:r>
      <w:r w:rsidR="00C560C5" w:rsidRPr="007D59B1">
        <w:rPr>
          <w:rFonts w:cs="Arial"/>
          <w:i/>
          <w:color w:val="000000" w:themeColor="text1"/>
          <w:sz w:val="22"/>
          <w:szCs w:val="22"/>
        </w:rPr>
        <w:t>MET</w:t>
      </w:r>
      <w:r w:rsidR="00C560C5" w:rsidRPr="007D59B1">
        <w:rPr>
          <w:rFonts w:cs="Arial"/>
          <w:color w:val="000000" w:themeColor="text1"/>
          <w:sz w:val="22"/>
          <w:szCs w:val="22"/>
        </w:rPr>
        <w:t xml:space="preserve">, </w:t>
      </w:r>
      <w:r w:rsidR="00C560C5" w:rsidRPr="007D59B1">
        <w:rPr>
          <w:rFonts w:cs="Arial"/>
          <w:i/>
          <w:color w:val="000000" w:themeColor="text1"/>
          <w:sz w:val="22"/>
          <w:szCs w:val="22"/>
        </w:rPr>
        <w:t>PIM1</w:t>
      </w:r>
      <w:r w:rsidR="00C560C5" w:rsidRPr="007D59B1">
        <w:rPr>
          <w:rFonts w:cs="Arial"/>
          <w:color w:val="000000" w:themeColor="text1"/>
          <w:sz w:val="22"/>
          <w:szCs w:val="22"/>
        </w:rPr>
        <w:t>, SAGE1)</w:t>
      </w:r>
      <w:r w:rsidR="00553FB7" w:rsidRPr="007D59B1">
        <w:rPr>
          <w:rFonts w:cs="Arial"/>
          <w:color w:val="000000" w:themeColor="text1"/>
          <w:sz w:val="22"/>
          <w:szCs w:val="22"/>
        </w:rPr>
        <w:t>.</w:t>
      </w:r>
      <w:r w:rsidRPr="007D59B1">
        <w:rPr>
          <w:rFonts w:cs="Arial"/>
          <w:color w:val="000000" w:themeColor="text1"/>
          <w:sz w:val="22"/>
          <w:szCs w:val="22"/>
        </w:rPr>
        <w:t xml:space="preserve"> </w:t>
      </w:r>
      <w:r w:rsidRPr="007D59B1">
        <w:rPr>
          <w:rFonts w:cs="Arial"/>
          <w:b/>
          <w:color w:val="000000" w:themeColor="text1"/>
          <w:sz w:val="22"/>
          <w:szCs w:val="22"/>
        </w:rPr>
        <w:t>d</w:t>
      </w:r>
      <w:r w:rsidRPr="007D59B1">
        <w:rPr>
          <w:rFonts w:cs="Arial"/>
          <w:color w:val="000000" w:themeColor="text1"/>
          <w:sz w:val="22"/>
          <w:szCs w:val="22"/>
        </w:rPr>
        <w:t xml:space="preserve"> gRNAs </w:t>
      </w:r>
      <w:r w:rsidRPr="007D59B1">
        <w:rPr>
          <w:rFonts w:cs="Arial"/>
          <w:sz w:val="22"/>
          <w:szCs w:val="22"/>
        </w:rPr>
        <w:t xml:space="preserve">ranked by fold-change vs difference in log-normalized read counts between DMSO and ALK TKI-treated SH-SY5Y populations. Only </w:t>
      </w:r>
      <w:r w:rsidR="00AE44F3">
        <w:rPr>
          <w:rFonts w:cs="Arial"/>
          <w:sz w:val="22"/>
          <w:szCs w:val="22"/>
        </w:rPr>
        <w:t xml:space="preserve">gene hits </w:t>
      </w:r>
      <w:r w:rsidRPr="007D59B1">
        <w:rPr>
          <w:rFonts w:cs="Arial"/>
          <w:sz w:val="22"/>
          <w:szCs w:val="22"/>
        </w:rPr>
        <w:t xml:space="preserve">common to </w:t>
      </w:r>
      <w:proofErr w:type="spellStart"/>
      <w:r w:rsidRPr="007D59B1">
        <w:rPr>
          <w:rFonts w:cs="Arial"/>
          <w:sz w:val="22"/>
          <w:szCs w:val="22"/>
        </w:rPr>
        <w:t>brigatinib</w:t>
      </w:r>
      <w:proofErr w:type="spellEnd"/>
      <w:r w:rsidRPr="007D59B1">
        <w:rPr>
          <w:rFonts w:cs="Arial"/>
          <w:sz w:val="22"/>
          <w:szCs w:val="22"/>
        </w:rPr>
        <w:t xml:space="preserve"> and </w:t>
      </w:r>
      <w:proofErr w:type="spellStart"/>
      <w:r w:rsidRPr="007D59B1">
        <w:rPr>
          <w:rFonts w:cs="Arial"/>
          <w:sz w:val="22"/>
          <w:szCs w:val="22"/>
        </w:rPr>
        <w:t>ceritinib</w:t>
      </w:r>
      <w:proofErr w:type="spellEnd"/>
      <w:r w:rsidRPr="007D59B1">
        <w:rPr>
          <w:rFonts w:cs="Arial"/>
          <w:sz w:val="22"/>
          <w:szCs w:val="22"/>
        </w:rPr>
        <w:t xml:space="preserve"> treatments are shown (</w:t>
      </w:r>
      <w:r w:rsidRPr="007D59B1">
        <w:rPr>
          <w:rFonts w:cs="Arial"/>
          <w:i/>
          <w:sz w:val="22"/>
          <w:szCs w:val="22"/>
        </w:rPr>
        <w:t>MET</w:t>
      </w:r>
      <w:r w:rsidRPr="007D59B1">
        <w:rPr>
          <w:rFonts w:cs="Arial"/>
          <w:sz w:val="22"/>
          <w:szCs w:val="22"/>
        </w:rPr>
        <w:t xml:space="preserve">, </w:t>
      </w:r>
      <w:r w:rsidRPr="007D59B1">
        <w:rPr>
          <w:rFonts w:cs="Arial"/>
          <w:i/>
          <w:sz w:val="22"/>
          <w:szCs w:val="22"/>
        </w:rPr>
        <w:t>PIM1</w:t>
      </w:r>
      <w:r w:rsidRPr="007D59B1">
        <w:rPr>
          <w:rFonts w:cs="Arial"/>
          <w:sz w:val="22"/>
          <w:szCs w:val="22"/>
        </w:rPr>
        <w:t xml:space="preserve"> and </w:t>
      </w:r>
      <w:r w:rsidRPr="007D59B1">
        <w:rPr>
          <w:rFonts w:cs="Arial"/>
          <w:i/>
          <w:sz w:val="22"/>
          <w:szCs w:val="22"/>
        </w:rPr>
        <w:t>SAGE1</w:t>
      </w:r>
      <w:r w:rsidRPr="007D59B1">
        <w:rPr>
          <w:rFonts w:cs="Arial"/>
          <w:sz w:val="22"/>
          <w:szCs w:val="22"/>
        </w:rPr>
        <w:t xml:space="preserve">). </w:t>
      </w:r>
      <w:r w:rsidRPr="007D59B1">
        <w:rPr>
          <w:rFonts w:cs="Arial"/>
          <w:b/>
          <w:sz w:val="22"/>
          <w:szCs w:val="22"/>
        </w:rPr>
        <w:t>e</w:t>
      </w:r>
      <w:r w:rsidRPr="007D59B1">
        <w:rPr>
          <w:rFonts w:cs="Arial"/>
          <w:sz w:val="22"/>
          <w:szCs w:val="22"/>
        </w:rPr>
        <w:t xml:space="preserve"> Top five gene sets by gene set enrichment analysis</w:t>
      </w:r>
      <w:r w:rsidR="0066652D">
        <w:rPr>
          <w:rFonts w:cs="Arial"/>
          <w:sz w:val="22"/>
          <w:szCs w:val="22"/>
        </w:rPr>
        <w:t xml:space="preserve"> </w:t>
      </w:r>
      <w:r w:rsidRPr="007D59B1">
        <w:rPr>
          <w:rFonts w:cs="Arial"/>
          <w:sz w:val="22"/>
          <w:szCs w:val="22"/>
        </w:rPr>
        <w:t>including all validated genes (</w:t>
      </w:r>
      <w:r w:rsidRPr="007D59B1">
        <w:rPr>
          <w:rFonts w:cs="Arial"/>
          <w:i/>
          <w:sz w:val="22"/>
          <w:szCs w:val="22"/>
        </w:rPr>
        <w:t>n</w:t>
      </w:r>
      <w:r w:rsidRPr="007D59B1">
        <w:rPr>
          <w:rFonts w:cs="Arial"/>
          <w:sz w:val="22"/>
          <w:szCs w:val="22"/>
        </w:rPr>
        <w:t xml:space="preserve"> = 25) identified by the </w:t>
      </w:r>
      <w:proofErr w:type="spellStart"/>
      <w:r w:rsidRPr="007D59B1">
        <w:rPr>
          <w:rFonts w:cs="Arial"/>
          <w:sz w:val="22"/>
          <w:szCs w:val="22"/>
        </w:rPr>
        <w:t>CRISPR</w:t>
      </w:r>
      <w:r w:rsidR="00553276">
        <w:rPr>
          <w:rFonts w:cs="Arial"/>
          <w:sz w:val="22"/>
          <w:szCs w:val="22"/>
        </w:rPr>
        <w:t>a</w:t>
      </w:r>
      <w:proofErr w:type="spellEnd"/>
      <w:r w:rsidR="00553276">
        <w:rPr>
          <w:rFonts w:cs="Arial"/>
          <w:sz w:val="22"/>
          <w:szCs w:val="22"/>
        </w:rPr>
        <w:t xml:space="preserve"> </w:t>
      </w:r>
      <w:r w:rsidRPr="007D59B1">
        <w:rPr>
          <w:rFonts w:cs="Arial"/>
          <w:sz w:val="22"/>
          <w:szCs w:val="22"/>
        </w:rPr>
        <w:t xml:space="preserve">screen in SH-SY5Y cells treated with </w:t>
      </w:r>
      <w:proofErr w:type="spellStart"/>
      <w:r w:rsidRPr="007D59B1">
        <w:rPr>
          <w:rFonts w:cs="Arial"/>
          <w:sz w:val="22"/>
          <w:szCs w:val="22"/>
        </w:rPr>
        <w:t>brigatinib</w:t>
      </w:r>
      <w:proofErr w:type="spellEnd"/>
      <w:r w:rsidRPr="007D59B1">
        <w:rPr>
          <w:rFonts w:cs="Arial"/>
          <w:sz w:val="22"/>
          <w:szCs w:val="22"/>
        </w:rPr>
        <w:t xml:space="preserve"> or </w:t>
      </w:r>
      <w:proofErr w:type="spellStart"/>
      <w:r w:rsidRPr="007D59B1">
        <w:rPr>
          <w:rFonts w:cs="Arial"/>
          <w:sz w:val="22"/>
          <w:szCs w:val="22"/>
        </w:rPr>
        <w:t>ceritinib</w:t>
      </w:r>
      <w:proofErr w:type="spellEnd"/>
      <w:r w:rsidRPr="007D59B1">
        <w:rPr>
          <w:rFonts w:cs="Arial"/>
          <w:sz w:val="22"/>
          <w:szCs w:val="22"/>
        </w:rPr>
        <w:t xml:space="preserve">. Validated genes were compared with hallmark and GO gene sets in </w:t>
      </w:r>
      <w:proofErr w:type="spellStart"/>
      <w:r w:rsidRPr="007D59B1">
        <w:rPr>
          <w:rFonts w:cs="Arial"/>
          <w:sz w:val="22"/>
          <w:szCs w:val="22"/>
        </w:rPr>
        <w:t>MSigDB</w:t>
      </w:r>
      <w:proofErr w:type="spellEnd"/>
      <w:r w:rsidRPr="007D59B1">
        <w:rPr>
          <w:rFonts w:cs="Arial"/>
          <w:sz w:val="22"/>
          <w:szCs w:val="22"/>
        </w:rPr>
        <w:t xml:space="preserve"> (FDR &lt; 0.0001). Blue shading </w:t>
      </w:r>
      <w:r w:rsidR="00553FB7" w:rsidRPr="007D59B1">
        <w:rPr>
          <w:rFonts w:cs="Arial"/>
          <w:sz w:val="22"/>
          <w:szCs w:val="22"/>
        </w:rPr>
        <w:t>indicates an enriched gene set.</w:t>
      </w:r>
      <w:r w:rsidR="00053B80" w:rsidRPr="007D59B1">
        <w:rPr>
          <w:rFonts w:eastAsiaTheme="minorEastAsia" w:cs="Arial"/>
          <w:b/>
          <w:bCs/>
          <w:kern w:val="24"/>
          <w:sz w:val="22"/>
          <w:szCs w:val="22"/>
          <w:lang w:val="en-US"/>
        </w:rPr>
        <w:t xml:space="preserve"> </w:t>
      </w:r>
      <w:r w:rsidR="00053B80" w:rsidRPr="007D59B1">
        <w:rPr>
          <w:rFonts w:cs="Arial"/>
          <w:b/>
          <w:bCs/>
          <w:sz w:val="22"/>
          <w:szCs w:val="22"/>
          <w:lang w:val="en-US"/>
        </w:rPr>
        <w:t>f</w:t>
      </w:r>
      <w:r w:rsidR="00053B80" w:rsidRPr="007D59B1">
        <w:rPr>
          <w:rFonts w:cs="Arial"/>
          <w:sz w:val="22"/>
          <w:szCs w:val="22"/>
          <w:lang w:val="en-US"/>
        </w:rPr>
        <w:t xml:space="preserve"> Pie chart to show the overlap in candidate resistance genes detected </w:t>
      </w:r>
      <w:r w:rsidR="00ED7BF2">
        <w:rPr>
          <w:rFonts w:cs="Arial"/>
          <w:sz w:val="22"/>
          <w:szCs w:val="22"/>
          <w:lang w:val="en-US"/>
        </w:rPr>
        <w:t xml:space="preserve">by the </w:t>
      </w:r>
      <w:proofErr w:type="spellStart"/>
      <w:r w:rsidR="00ED7BF2">
        <w:rPr>
          <w:rFonts w:cs="Arial"/>
          <w:sz w:val="22"/>
          <w:szCs w:val="22"/>
          <w:lang w:val="en-US"/>
        </w:rPr>
        <w:t>CRISPR</w:t>
      </w:r>
      <w:r w:rsidR="00553276">
        <w:rPr>
          <w:rFonts w:cs="Arial"/>
          <w:sz w:val="22"/>
          <w:szCs w:val="22"/>
          <w:lang w:val="en-US"/>
        </w:rPr>
        <w:t>a</w:t>
      </w:r>
      <w:proofErr w:type="spellEnd"/>
      <w:r w:rsidR="00553276">
        <w:rPr>
          <w:rFonts w:cs="Arial"/>
          <w:sz w:val="22"/>
          <w:szCs w:val="22"/>
          <w:lang w:val="en-US"/>
        </w:rPr>
        <w:t xml:space="preserve"> </w:t>
      </w:r>
      <w:r w:rsidR="00ED7BF2">
        <w:rPr>
          <w:rFonts w:cs="Arial"/>
          <w:sz w:val="22"/>
          <w:szCs w:val="22"/>
          <w:lang w:val="en-US"/>
        </w:rPr>
        <w:t>screens in</w:t>
      </w:r>
      <w:r w:rsidR="00053B80" w:rsidRPr="007D59B1">
        <w:rPr>
          <w:rFonts w:cs="Arial"/>
          <w:sz w:val="22"/>
          <w:szCs w:val="22"/>
          <w:lang w:val="en-US"/>
        </w:rPr>
        <w:t xml:space="preserve"> both SH-SY5Y and CHLA-20 </w:t>
      </w:r>
      <w:r w:rsidR="00ED7BF2">
        <w:rPr>
          <w:rFonts w:cs="Arial"/>
          <w:sz w:val="22"/>
          <w:szCs w:val="22"/>
          <w:lang w:val="en-US"/>
        </w:rPr>
        <w:t>cell</w:t>
      </w:r>
      <w:r w:rsidR="00053B80" w:rsidRPr="007D59B1">
        <w:rPr>
          <w:rFonts w:cs="Arial"/>
          <w:sz w:val="22"/>
          <w:szCs w:val="22"/>
          <w:lang w:val="en-US"/>
        </w:rPr>
        <w:t>s.</w:t>
      </w:r>
    </w:p>
    <w:p w14:paraId="23F8520E" w14:textId="2EBF04F1" w:rsidR="00D30528" w:rsidRPr="007D59B1" w:rsidRDefault="00D30528" w:rsidP="00872AA4">
      <w:pPr>
        <w:spacing w:line="360" w:lineRule="auto"/>
        <w:ind w:left="1440" w:hanging="1440"/>
        <w:jc w:val="both"/>
        <w:rPr>
          <w:rFonts w:cs="Arial"/>
          <w:b/>
          <w:sz w:val="22"/>
          <w:szCs w:val="22"/>
        </w:rPr>
      </w:pPr>
    </w:p>
    <w:p w14:paraId="6AD413DE" w14:textId="1DBC3134" w:rsidR="002A3C22" w:rsidRDefault="00042D2A" w:rsidP="00872AA4">
      <w:pPr>
        <w:spacing w:line="360" w:lineRule="auto"/>
        <w:jc w:val="both"/>
        <w:rPr>
          <w:rFonts w:cs="Arial"/>
          <w:b/>
          <w:sz w:val="22"/>
          <w:szCs w:val="22"/>
        </w:rPr>
      </w:pPr>
      <w:r w:rsidRPr="007D59B1">
        <w:rPr>
          <w:rFonts w:cs="Arial"/>
          <w:b/>
          <w:sz w:val="22"/>
          <w:szCs w:val="22"/>
        </w:rPr>
        <w:t>Fig</w:t>
      </w:r>
      <w:r w:rsidR="00504C46" w:rsidRPr="007D59B1">
        <w:rPr>
          <w:rFonts w:cs="Arial"/>
          <w:b/>
          <w:sz w:val="22"/>
          <w:szCs w:val="22"/>
        </w:rPr>
        <w:t>. 2</w:t>
      </w:r>
      <w:r w:rsidRPr="007D59B1">
        <w:rPr>
          <w:rFonts w:cs="Arial"/>
          <w:b/>
          <w:sz w:val="22"/>
          <w:szCs w:val="22"/>
        </w:rPr>
        <w:t xml:space="preserve"> </w:t>
      </w:r>
      <w:r w:rsidRPr="00845ECF">
        <w:rPr>
          <w:rFonts w:cs="Arial"/>
          <w:b/>
          <w:i/>
          <w:sz w:val="22"/>
          <w:szCs w:val="22"/>
        </w:rPr>
        <w:t>PIM1</w:t>
      </w:r>
      <w:r w:rsidRPr="00845ECF">
        <w:rPr>
          <w:rFonts w:cs="Arial"/>
          <w:b/>
          <w:sz w:val="22"/>
          <w:szCs w:val="22"/>
        </w:rPr>
        <w:t xml:space="preserve"> inhibits apoptosis through phosphorylation of BAD</w:t>
      </w:r>
    </w:p>
    <w:p w14:paraId="53791F99" w14:textId="015336FB" w:rsidR="00042D2A" w:rsidRPr="007D59B1" w:rsidRDefault="00042D2A" w:rsidP="00872AA4">
      <w:pPr>
        <w:spacing w:line="360" w:lineRule="auto"/>
        <w:jc w:val="both"/>
        <w:rPr>
          <w:rFonts w:cs="Arial"/>
          <w:color w:val="000000" w:themeColor="text1"/>
          <w:sz w:val="22"/>
          <w:szCs w:val="22"/>
        </w:rPr>
      </w:pPr>
      <w:proofErr w:type="spellStart"/>
      <w:proofErr w:type="gramStart"/>
      <w:r w:rsidRPr="007D59B1">
        <w:rPr>
          <w:rFonts w:cs="Arial"/>
          <w:b/>
          <w:sz w:val="22"/>
          <w:szCs w:val="22"/>
        </w:rPr>
        <w:t>a</w:t>
      </w:r>
      <w:proofErr w:type="spellEnd"/>
      <w:proofErr w:type="gramEnd"/>
      <w:r w:rsidRPr="007D59B1">
        <w:rPr>
          <w:rFonts w:cs="Arial"/>
          <w:sz w:val="22"/>
          <w:szCs w:val="22"/>
        </w:rPr>
        <w:t xml:space="preserve"> Expression of </w:t>
      </w:r>
      <w:r w:rsidRPr="007D59B1">
        <w:rPr>
          <w:rFonts w:cs="Arial"/>
          <w:i/>
          <w:sz w:val="22"/>
          <w:szCs w:val="22"/>
        </w:rPr>
        <w:t>PIM1</w:t>
      </w:r>
      <w:r w:rsidRPr="007D59B1">
        <w:rPr>
          <w:rFonts w:cs="Arial"/>
          <w:sz w:val="22"/>
          <w:szCs w:val="22"/>
        </w:rPr>
        <w:t xml:space="preserve"> in SH-SY5Y or CHLA-20 cells transduced with non-targeting (NT) or </w:t>
      </w:r>
      <w:r w:rsidRPr="007D59B1">
        <w:rPr>
          <w:rFonts w:cs="Arial"/>
          <w:i/>
          <w:sz w:val="22"/>
          <w:szCs w:val="22"/>
        </w:rPr>
        <w:t>PIM1</w:t>
      </w:r>
      <w:r w:rsidRPr="007D59B1">
        <w:rPr>
          <w:rFonts w:cs="Arial"/>
          <w:sz w:val="22"/>
          <w:szCs w:val="22"/>
        </w:rPr>
        <w:t>-targeting gRNA molecules, by RT-qPCR and immunoblot. RT-qPCR data were normalized to cells treated with non-targeting gRNA</w:t>
      </w:r>
      <w:r w:rsidR="009126FB" w:rsidRPr="009126FB">
        <w:rPr>
          <w:rFonts w:cs="Arial"/>
          <w:sz w:val="22"/>
          <w:szCs w:val="22"/>
        </w:rPr>
        <w:t xml:space="preserve"> </w:t>
      </w:r>
      <w:r w:rsidR="009126FB" w:rsidRPr="007D59B1">
        <w:rPr>
          <w:rFonts w:cs="Arial"/>
          <w:sz w:val="22"/>
          <w:szCs w:val="22"/>
        </w:rPr>
        <w:t>and show means +</w:t>
      </w:r>
      <w:r w:rsidR="009126FB">
        <w:rPr>
          <w:rFonts w:cs="Arial"/>
          <w:sz w:val="22"/>
          <w:szCs w:val="22"/>
        </w:rPr>
        <w:t>/-</w:t>
      </w:r>
      <w:r w:rsidR="009126FB" w:rsidRPr="007D59B1">
        <w:rPr>
          <w:rFonts w:cs="Arial"/>
          <w:sz w:val="22"/>
          <w:szCs w:val="22"/>
        </w:rPr>
        <w:t xml:space="preserve"> </w:t>
      </w:r>
      <w:proofErr w:type="spellStart"/>
      <w:r w:rsidR="008804DA">
        <w:rPr>
          <w:rFonts w:cs="Arial"/>
          <w:sz w:val="22"/>
          <w:szCs w:val="22"/>
        </w:rPr>
        <w:t>s.d.</w:t>
      </w:r>
      <w:proofErr w:type="spellEnd"/>
      <w:r w:rsidR="009126FB" w:rsidRPr="007D59B1">
        <w:rPr>
          <w:rFonts w:cs="Arial"/>
          <w:sz w:val="22"/>
          <w:szCs w:val="22"/>
        </w:rPr>
        <w:t xml:space="preserve"> of triplicate experiments</w:t>
      </w:r>
      <w:r w:rsidRPr="007D59B1">
        <w:rPr>
          <w:rFonts w:cs="Arial"/>
          <w:sz w:val="22"/>
          <w:szCs w:val="22"/>
        </w:rPr>
        <w:t xml:space="preserve">. </w:t>
      </w:r>
      <w:r w:rsidRPr="007D59B1">
        <w:rPr>
          <w:rFonts w:cs="Arial"/>
          <w:b/>
          <w:sz w:val="22"/>
          <w:szCs w:val="22"/>
        </w:rPr>
        <w:t>b</w:t>
      </w:r>
      <w:r w:rsidRPr="007D59B1">
        <w:rPr>
          <w:rFonts w:cs="Arial"/>
          <w:sz w:val="22"/>
          <w:szCs w:val="22"/>
        </w:rPr>
        <w:t xml:space="preserve"> 72-hour dose-response assays of </w:t>
      </w:r>
      <w:proofErr w:type="spellStart"/>
      <w:r w:rsidRPr="007D59B1">
        <w:rPr>
          <w:rFonts w:cs="Arial"/>
          <w:sz w:val="22"/>
          <w:szCs w:val="22"/>
        </w:rPr>
        <w:t>brigatinib</w:t>
      </w:r>
      <w:proofErr w:type="spellEnd"/>
      <w:r w:rsidRPr="007D59B1">
        <w:rPr>
          <w:rFonts w:cs="Arial"/>
          <w:sz w:val="22"/>
          <w:szCs w:val="22"/>
        </w:rPr>
        <w:t xml:space="preserve"> or </w:t>
      </w:r>
      <w:proofErr w:type="spellStart"/>
      <w:r w:rsidRPr="007D59B1">
        <w:rPr>
          <w:rFonts w:cs="Arial"/>
          <w:sz w:val="22"/>
          <w:szCs w:val="22"/>
        </w:rPr>
        <w:t>ceritinib</w:t>
      </w:r>
      <w:proofErr w:type="spellEnd"/>
      <w:r w:rsidRPr="007D59B1">
        <w:rPr>
          <w:rFonts w:cs="Arial"/>
          <w:sz w:val="22"/>
          <w:szCs w:val="22"/>
        </w:rPr>
        <w:t xml:space="preserve">-exposed SH-SY5Y or CHLA-20 cells transduced with NT or </w:t>
      </w:r>
      <w:r w:rsidRPr="007D59B1">
        <w:rPr>
          <w:rFonts w:cs="Arial"/>
          <w:i/>
          <w:sz w:val="22"/>
          <w:szCs w:val="22"/>
        </w:rPr>
        <w:t>PIM1</w:t>
      </w:r>
      <w:r w:rsidRPr="007D59B1">
        <w:rPr>
          <w:rFonts w:cs="Arial"/>
          <w:sz w:val="22"/>
          <w:szCs w:val="22"/>
        </w:rPr>
        <w:t xml:space="preserve">-targeting gRNA. </w:t>
      </w:r>
      <w:r w:rsidR="009126FB" w:rsidRPr="007D59B1">
        <w:rPr>
          <w:rFonts w:cs="Arial"/>
          <w:sz w:val="22"/>
          <w:szCs w:val="22"/>
        </w:rPr>
        <w:t xml:space="preserve">Data points represent means </w:t>
      </w:r>
      <w:r w:rsidR="009126FB">
        <w:rPr>
          <w:rFonts w:cs="Arial"/>
          <w:sz w:val="22"/>
          <w:szCs w:val="22"/>
        </w:rPr>
        <w:t xml:space="preserve">+/- </w:t>
      </w:r>
      <w:proofErr w:type="spellStart"/>
      <w:r w:rsidR="008804DA">
        <w:rPr>
          <w:rFonts w:cs="Arial"/>
          <w:sz w:val="22"/>
          <w:szCs w:val="22"/>
        </w:rPr>
        <w:t>s.d.</w:t>
      </w:r>
      <w:proofErr w:type="spellEnd"/>
      <w:r w:rsidR="009126FB">
        <w:rPr>
          <w:rFonts w:cs="Arial"/>
          <w:sz w:val="22"/>
          <w:szCs w:val="22"/>
        </w:rPr>
        <w:t xml:space="preserve"> </w:t>
      </w:r>
      <w:r w:rsidR="009126FB" w:rsidRPr="007D59B1">
        <w:rPr>
          <w:rFonts w:cs="Arial"/>
          <w:sz w:val="22"/>
          <w:szCs w:val="22"/>
        </w:rPr>
        <w:t xml:space="preserve">of triplicate experiments. </w:t>
      </w:r>
      <w:r w:rsidRPr="007D59B1">
        <w:rPr>
          <w:rFonts w:cs="Arial"/>
          <w:sz w:val="22"/>
          <w:szCs w:val="22"/>
        </w:rPr>
        <w:t>ED</w:t>
      </w:r>
      <w:r w:rsidRPr="007D59B1">
        <w:rPr>
          <w:rFonts w:cs="Arial"/>
          <w:sz w:val="22"/>
          <w:szCs w:val="22"/>
          <w:vertAlign w:val="subscript"/>
        </w:rPr>
        <w:t>50</w:t>
      </w:r>
      <w:r w:rsidRPr="007D59B1">
        <w:rPr>
          <w:rFonts w:cs="Arial"/>
          <w:sz w:val="22"/>
          <w:szCs w:val="22"/>
        </w:rPr>
        <w:t xml:space="preserve"> values were compared by an unpaired Student’s </w:t>
      </w:r>
      <w:r w:rsidRPr="007D59B1">
        <w:rPr>
          <w:rFonts w:cs="Arial"/>
          <w:i/>
          <w:sz w:val="22"/>
          <w:szCs w:val="22"/>
        </w:rPr>
        <w:t>t</w:t>
      </w:r>
      <w:r w:rsidRPr="007D59B1">
        <w:rPr>
          <w:rFonts w:cs="Arial"/>
          <w:sz w:val="22"/>
          <w:szCs w:val="22"/>
        </w:rPr>
        <w:t xml:space="preserve">-test. </w:t>
      </w:r>
      <w:r w:rsidRPr="007D59B1">
        <w:rPr>
          <w:rFonts w:cs="Arial"/>
          <w:b/>
          <w:sz w:val="22"/>
          <w:szCs w:val="22"/>
        </w:rPr>
        <w:t>c</w:t>
      </w:r>
      <w:r w:rsidRPr="007D59B1">
        <w:rPr>
          <w:rFonts w:cs="Arial"/>
          <w:sz w:val="22"/>
          <w:szCs w:val="22"/>
        </w:rPr>
        <w:t xml:space="preserve"> Immunoblot of known PIM1 targets and apoptotic mediators in SH-SY5Y and CHLA-20 cells transduced with NT- or </w:t>
      </w:r>
      <w:r w:rsidRPr="007D59B1">
        <w:rPr>
          <w:rFonts w:cs="Arial"/>
          <w:i/>
          <w:sz w:val="22"/>
          <w:szCs w:val="22"/>
        </w:rPr>
        <w:t>PIM1</w:t>
      </w:r>
      <w:r w:rsidRPr="007D59B1">
        <w:rPr>
          <w:rFonts w:cs="Arial"/>
          <w:sz w:val="22"/>
          <w:szCs w:val="22"/>
        </w:rPr>
        <w:t xml:space="preserve">-targeting gRNA, the latter leading to </w:t>
      </w:r>
      <w:r w:rsidRPr="007D59B1">
        <w:rPr>
          <w:rFonts w:cs="Arial"/>
          <w:i/>
          <w:sz w:val="22"/>
          <w:szCs w:val="22"/>
        </w:rPr>
        <w:t>PIM1</w:t>
      </w:r>
      <w:r w:rsidRPr="007D59B1">
        <w:rPr>
          <w:rFonts w:cs="Arial"/>
          <w:sz w:val="22"/>
          <w:szCs w:val="22"/>
        </w:rPr>
        <w:t xml:space="preserve"> overexpression. </w:t>
      </w:r>
      <w:r w:rsidR="009126FB" w:rsidRPr="007D59B1">
        <w:rPr>
          <w:rFonts w:cs="Arial"/>
          <w:sz w:val="22"/>
          <w:szCs w:val="22"/>
        </w:rPr>
        <w:t xml:space="preserve">Data are representative of three independent </w:t>
      </w:r>
      <w:r w:rsidR="009126FB" w:rsidRPr="007D59B1">
        <w:rPr>
          <w:rFonts w:cs="Arial"/>
          <w:color w:val="000000" w:themeColor="text1"/>
          <w:sz w:val="22"/>
          <w:szCs w:val="22"/>
        </w:rPr>
        <w:t>experiments.</w:t>
      </w:r>
      <w:r w:rsidR="009126FB">
        <w:rPr>
          <w:rFonts w:cs="Arial"/>
          <w:color w:val="000000" w:themeColor="text1"/>
          <w:sz w:val="22"/>
          <w:szCs w:val="22"/>
        </w:rPr>
        <w:t xml:space="preserve"> </w:t>
      </w:r>
      <w:r w:rsidRPr="007D59B1">
        <w:rPr>
          <w:rFonts w:cs="Arial"/>
          <w:color w:val="000000" w:themeColor="text1"/>
          <w:sz w:val="22"/>
          <w:szCs w:val="22"/>
        </w:rPr>
        <w:t xml:space="preserve">Numbers below the blot represent the densitometric measurement of </w:t>
      </w:r>
      <w:proofErr w:type="spellStart"/>
      <w:r w:rsidRPr="007D59B1">
        <w:rPr>
          <w:rFonts w:cs="Arial"/>
          <w:color w:val="000000" w:themeColor="text1"/>
          <w:sz w:val="22"/>
          <w:szCs w:val="22"/>
        </w:rPr>
        <w:t>pBAD</w:t>
      </w:r>
      <w:proofErr w:type="spellEnd"/>
      <w:r w:rsidRPr="007D59B1">
        <w:rPr>
          <w:rFonts w:cs="Arial"/>
          <w:color w:val="000000" w:themeColor="text1"/>
          <w:sz w:val="22"/>
          <w:szCs w:val="22"/>
        </w:rPr>
        <w:t xml:space="preserve"> levels </w:t>
      </w:r>
      <w:r w:rsidRPr="007D59B1">
        <w:rPr>
          <w:rFonts w:cs="Arial"/>
          <w:bCs/>
          <w:color w:val="000000" w:themeColor="text1"/>
          <w:sz w:val="22"/>
          <w:szCs w:val="22"/>
        </w:rPr>
        <w:t>normali</w:t>
      </w:r>
      <w:r w:rsidR="00E6105D" w:rsidRPr="007D59B1">
        <w:rPr>
          <w:rFonts w:cs="Arial"/>
          <w:bCs/>
          <w:color w:val="000000" w:themeColor="text1"/>
          <w:sz w:val="22"/>
          <w:szCs w:val="22"/>
        </w:rPr>
        <w:t>z</w:t>
      </w:r>
      <w:r w:rsidRPr="007D59B1">
        <w:rPr>
          <w:rFonts w:cs="Arial"/>
          <w:bCs/>
          <w:color w:val="000000" w:themeColor="text1"/>
          <w:sz w:val="22"/>
          <w:szCs w:val="22"/>
        </w:rPr>
        <w:t xml:space="preserve">ed to BAD. </w:t>
      </w:r>
      <w:r w:rsidR="001967B6" w:rsidRPr="007D59B1">
        <w:rPr>
          <w:rFonts w:cs="Arial"/>
          <w:b/>
          <w:bCs/>
          <w:color w:val="000000" w:themeColor="text1"/>
          <w:sz w:val="22"/>
          <w:szCs w:val="22"/>
        </w:rPr>
        <w:t>d</w:t>
      </w:r>
      <w:r w:rsidR="001967B6" w:rsidRPr="007D59B1">
        <w:rPr>
          <w:rFonts w:cs="Arial"/>
          <w:b/>
          <w:color w:val="000000" w:themeColor="text1"/>
          <w:sz w:val="22"/>
          <w:szCs w:val="22"/>
        </w:rPr>
        <w:t xml:space="preserve"> </w:t>
      </w:r>
      <w:r w:rsidRPr="007D59B1">
        <w:rPr>
          <w:rFonts w:cs="Arial"/>
          <w:color w:val="000000" w:themeColor="text1"/>
          <w:sz w:val="22"/>
          <w:szCs w:val="22"/>
        </w:rPr>
        <w:t xml:space="preserve">Percentage of apoptotic (annexin V+/PI-) </w:t>
      </w:r>
      <w:r w:rsidRPr="007D59B1">
        <w:rPr>
          <w:rFonts w:cs="Arial"/>
          <w:i/>
          <w:color w:val="000000" w:themeColor="text1"/>
          <w:sz w:val="22"/>
          <w:szCs w:val="22"/>
        </w:rPr>
        <w:t>PIM1</w:t>
      </w:r>
      <w:r w:rsidRPr="007D59B1">
        <w:rPr>
          <w:rFonts w:cs="Arial"/>
          <w:color w:val="000000" w:themeColor="text1"/>
          <w:sz w:val="22"/>
          <w:szCs w:val="22"/>
        </w:rPr>
        <w:t xml:space="preserve">-overexpressing SH-SY5Y cells after 48-hours of treatment with 1 µM </w:t>
      </w:r>
      <w:proofErr w:type="spellStart"/>
      <w:r w:rsidRPr="007D59B1">
        <w:rPr>
          <w:rFonts w:cs="Arial"/>
          <w:color w:val="000000" w:themeColor="text1"/>
          <w:sz w:val="22"/>
          <w:szCs w:val="22"/>
        </w:rPr>
        <w:t>brigatinib</w:t>
      </w:r>
      <w:proofErr w:type="spellEnd"/>
      <w:r w:rsidRPr="007D59B1">
        <w:rPr>
          <w:rFonts w:cs="Arial"/>
          <w:color w:val="000000" w:themeColor="text1"/>
          <w:sz w:val="22"/>
          <w:szCs w:val="22"/>
        </w:rPr>
        <w:t xml:space="preserve"> or </w:t>
      </w:r>
      <w:proofErr w:type="spellStart"/>
      <w:r w:rsidRPr="007D59B1">
        <w:rPr>
          <w:rFonts w:cs="Arial"/>
          <w:color w:val="000000" w:themeColor="text1"/>
          <w:sz w:val="22"/>
          <w:szCs w:val="22"/>
        </w:rPr>
        <w:t>ceritinib</w:t>
      </w:r>
      <w:proofErr w:type="spellEnd"/>
      <w:r w:rsidRPr="007D59B1">
        <w:rPr>
          <w:rFonts w:cs="Arial"/>
          <w:color w:val="000000" w:themeColor="text1"/>
          <w:sz w:val="22"/>
          <w:szCs w:val="22"/>
        </w:rPr>
        <w:t xml:space="preserve">. </w:t>
      </w:r>
      <w:r w:rsidR="009126FB" w:rsidRPr="007D59B1">
        <w:rPr>
          <w:rFonts w:cs="Arial"/>
          <w:color w:val="000000" w:themeColor="text1"/>
          <w:sz w:val="22"/>
          <w:szCs w:val="22"/>
        </w:rPr>
        <w:t>Data points in the bar chart show means +</w:t>
      </w:r>
      <w:r w:rsidR="009126FB">
        <w:rPr>
          <w:rFonts w:cs="Arial"/>
          <w:color w:val="000000" w:themeColor="text1"/>
          <w:sz w:val="22"/>
          <w:szCs w:val="22"/>
        </w:rPr>
        <w:t>/-</w:t>
      </w:r>
      <w:r w:rsidR="009126FB" w:rsidRPr="007D59B1">
        <w:rPr>
          <w:rFonts w:cs="Arial"/>
          <w:color w:val="000000" w:themeColor="text1"/>
          <w:sz w:val="22"/>
          <w:szCs w:val="22"/>
        </w:rPr>
        <w:t xml:space="preserve"> </w:t>
      </w:r>
      <w:proofErr w:type="spellStart"/>
      <w:r w:rsidR="008804DA">
        <w:rPr>
          <w:rFonts w:cs="Arial"/>
          <w:color w:val="000000" w:themeColor="text1"/>
          <w:sz w:val="22"/>
          <w:szCs w:val="22"/>
        </w:rPr>
        <w:t>s.d.</w:t>
      </w:r>
      <w:proofErr w:type="spellEnd"/>
      <w:r w:rsidR="009126FB" w:rsidRPr="007D59B1">
        <w:rPr>
          <w:rFonts w:cs="Arial"/>
          <w:color w:val="000000" w:themeColor="text1"/>
          <w:sz w:val="22"/>
          <w:szCs w:val="22"/>
        </w:rPr>
        <w:t xml:space="preserve"> of triplicate experiments.</w:t>
      </w:r>
      <w:r w:rsidR="009126FB">
        <w:rPr>
          <w:rFonts w:cs="Arial"/>
          <w:color w:val="000000" w:themeColor="text1"/>
          <w:sz w:val="22"/>
          <w:szCs w:val="22"/>
        </w:rPr>
        <w:t xml:space="preserve"> </w:t>
      </w:r>
      <w:r w:rsidRPr="007D59B1">
        <w:rPr>
          <w:rFonts w:cs="Arial"/>
          <w:i/>
          <w:color w:val="000000" w:themeColor="text1"/>
          <w:sz w:val="22"/>
          <w:szCs w:val="22"/>
        </w:rPr>
        <w:lastRenderedPageBreak/>
        <w:t>p</w:t>
      </w:r>
      <w:r w:rsidRPr="007D59B1">
        <w:rPr>
          <w:rFonts w:cs="Arial"/>
          <w:color w:val="000000" w:themeColor="text1"/>
          <w:sz w:val="22"/>
          <w:szCs w:val="22"/>
        </w:rPr>
        <w:t xml:space="preserve">-values were calculated using an unpaired Student’s </w:t>
      </w:r>
      <w:r w:rsidRPr="007D59B1">
        <w:rPr>
          <w:rFonts w:cs="Arial"/>
          <w:i/>
          <w:color w:val="000000" w:themeColor="text1"/>
          <w:sz w:val="22"/>
          <w:szCs w:val="22"/>
        </w:rPr>
        <w:t>t</w:t>
      </w:r>
      <w:r w:rsidR="00553FB7" w:rsidRPr="007D59B1">
        <w:rPr>
          <w:rFonts w:cs="Arial"/>
          <w:color w:val="000000" w:themeColor="text1"/>
          <w:sz w:val="22"/>
          <w:szCs w:val="22"/>
        </w:rPr>
        <w:t>-test.</w:t>
      </w:r>
      <w:r w:rsidR="00E60587">
        <w:rPr>
          <w:rFonts w:cs="Arial"/>
          <w:color w:val="000000" w:themeColor="text1"/>
          <w:sz w:val="22"/>
          <w:szCs w:val="22"/>
        </w:rPr>
        <w:t xml:space="preserve"> </w:t>
      </w:r>
      <w:r w:rsidR="00E60587" w:rsidRPr="00E60587">
        <w:rPr>
          <w:rFonts w:cs="Arial"/>
          <w:color w:val="000000" w:themeColor="text1"/>
          <w:sz w:val="22"/>
          <w:szCs w:val="22"/>
        </w:rPr>
        <w:t xml:space="preserve">Source data </w:t>
      </w:r>
      <w:r w:rsidR="00E60587">
        <w:rPr>
          <w:rFonts w:cs="Arial"/>
          <w:color w:val="000000" w:themeColor="text1"/>
          <w:sz w:val="22"/>
          <w:szCs w:val="22"/>
        </w:rPr>
        <w:t xml:space="preserve">for this </w:t>
      </w:r>
      <w:r w:rsidR="005222C3">
        <w:rPr>
          <w:rFonts w:cs="Arial"/>
          <w:color w:val="000000" w:themeColor="text1"/>
          <w:sz w:val="22"/>
          <w:szCs w:val="22"/>
        </w:rPr>
        <w:t>f</w:t>
      </w:r>
      <w:r w:rsidR="00771E27">
        <w:rPr>
          <w:rFonts w:cs="Arial"/>
          <w:color w:val="000000" w:themeColor="text1"/>
          <w:sz w:val="22"/>
          <w:szCs w:val="22"/>
        </w:rPr>
        <w:t>ig</w:t>
      </w:r>
      <w:r w:rsidR="005222C3">
        <w:rPr>
          <w:rFonts w:cs="Arial"/>
          <w:color w:val="000000" w:themeColor="text1"/>
          <w:sz w:val="22"/>
          <w:szCs w:val="22"/>
        </w:rPr>
        <w:t>ure</w:t>
      </w:r>
      <w:r w:rsidR="00E60587">
        <w:rPr>
          <w:rFonts w:cs="Arial"/>
          <w:color w:val="000000" w:themeColor="text1"/>
          <w:sz w:val="22"/>
          <w:szCs w:val="22"/>
        </w:rPr>
        <w:t xml:space="preserve"> </w:t>
      </w:r>
      <w:r w:rsidR="00E60587" w:rsidRPr="00E60587">
        <w:rPr>
          <w:rFonts w:cs="Arial"/>
          <w:color w:val="000000" w:themeColor="text1"/>
          <w:sz w:val="22"/>
          <w:szCs w:val="22"/>
        </w:rPr>
        <w:t>are provided as a Source Data file</w:t>
      </w:r>
    </w:p>
    <w:p w14:paraId="4038ABB4" w14:textId="0500D28C" w:rsidR="00042D2A" w:rsidRPr="007D59B1" w:rsidRDefault="00042D2A" w:rsidP="00872AA4">
      <w:pPr>
        <w:spacing w:line="360" w:lineRule="auto"/>
        <w:jc w:val="both"/>
        <w:rPr>
          <w:rFonts w:cs="Arial"/>
          <w:sz w:val="22"/>
          <w:szCs w:val="22"/>
        </w:rPr>
      </w:pPr>
    </w:p>
    <w:p w14:paraId="2CB452A8" w14:textId="77B8FD43" w:rsidR="002A3C22" w:rsidRPr="00845ECF" w:rsidRDefault="00042D2A" w:rsidP="00872AA4">
      <w:pPr>
        <w:spacing w:line="360" w:lineRule="auto"/>
        <w:jc w:val="both"/>
        <w:rPr>
          <w:rFonts w:cs="Arial"/>
          <w:b/>
          <w:sz w:val="22"/>
          <w:szCs w:val="22"/>
        </w:rPr>
      </w:pPr>
      <w:r w:rsidRPr="007D59B1">
        <w:rPr>
          <w:rFonts w:cs="Arial"/>
          <w:b/>
          <w:sz w:val="22"/>
          <w:szCs w:val="22"/>
        </w:rPr>
        <w:t>Fig</w:t>
      </w:r>
      <w:r w:rsidR="005B5A4C" w:rsidRPr="007D59B1">
        <w:rPr>
          <w:rFonts w:cs="Arial"/>
          <w:b/>
          <w:sz w:val="22"/>
          <w:szCs w:val="22"/>
        </w:rPr>
        <w:t>. 3</w:t>
      </w:r>
      <w:r w:rsidRPr="007D59B1">
        <w:rPr>
          <w:rFonts w:cs="Arial"/>
          <w:b/>
          <w:sz w:val="22"/>
          <w:szCs w:val="22"/>
        </w:rPr>
        <w:t xml:space="preserve"> </w:t>
      </w:r>
      <w:r w:rsidRPr="00845ECF">
        <w:rPr>
          <w:rFonts w:cs="Arial"/>
          <w:b/>
          <w:sz w:val="22"/>
          <w:szCs w:val="22"/>
        </w:rPr>
        <w:t xml:space="preserve">PIM1 </w:t>
      </w:r>
      <w:r w:rsidR="002A3C22" w:rsidRPr="00845ECF">
        <w:rPr>
          <w:rFonts w:cs="Arial"/>
          <w:b/>
          <w:sz w:val="22"/>
          <w:szCs w:val="22"/>
        </w:rPr>
        <w:t xml:space="preserve">inhibition </w:t>
      </w:r>
      <w:r w:rsidRPr="00845ECF">
        <w:rPr>
          <w:rFonts w:cs="Arial"/>
          <w:b/>
          <w:sz w:val="22"/>
          <w:szCs w:val="22"/>
        </w:rPr>
        <w:t>lacks potency but enhances the efficacy of ALK inhibitors</w:t>
      </w:r>
      <w:r w:rsidR="005B5A4C" w:rsidRPr="00845ECF">
        <w:rPr>
          <w:rFonts w:cs="Arial"/>
          <w:b/>
          <w:sz w:val="22"/>
          <w:szCs w:val="22"/>
        </w:rPr>
        <w:t xml:space="preserve"> </w:t>
      </w:r>
    </w:p>
    <w:p w14:paraId="02A804DE" w14:textId="4531D57D" w:rsidR="00042D2A" w:rsidRPr="007D59B1" w:rsidRDefault="00042D2A" w:rsidP="00872AA4">
      <w:pPr>
        <w:spacing w:line="360" w:lineRule="auto"/>
        <w:jc w:val="both"/>
        <w:rPr>
          <w:rFonts w:cs="Arial"/>
          <w:sz w:val="22"/>
          <w:szCs w:val="22"/>
        </w:rPr>
      </w:pPr>
      <w:r w:rsidRPr="007D59B1">
        <w:rPr>
          <w:rFonts w:cs="Arial"/>
          <w:b/>
          <w:sz w:val="22"/>
          <w:szCs w:val="22"/>
        </w:rPr>
        <w:t>a</w:t>
      </w:r>
      <w:r w:rsidRPr="007D59B1">
        <w:rPr>
          <w:rFonts w:cs="Arial"/>
          <w:sz w:val="22"/>
          <w:szCs w:val="22"/>
        </w:rPr>
        <w:t xml:space="preserve"> RT-qPCR-based expression levels of </w:t>
      </w:r>
      <w:r w:rsidRPr="007D59B1">
        <w:rPr>
          <w:rFonts w:cs="Arial"/>
          <w:i/>
          <w:sz w:val="22"/>
          <w:szCs w:val="22"/>
        </w:rPr>
        <w:t>PIM1</w:t>
      </w:r>
      <w:r w:rsidRPr="007D59B1">
        <w:rPr>
          <w:rFonts w:cs="Arial"/>
          <w:sz w:val="22"/>
          <w:szCs w:val="22"/>
        </w:rPr>
        <w:t xml:space="preserve"> in 25 neuroblastoma cell lines, normalized to GIMEN cell line expression levels. </w:t>
      </w:r>
      <w:r w:rsidR="00BD3EAF" w:rsidRPr="007D59B1">
        <w:rPr>
          <w:rFonts w:cs="Arial"/>
          <w:sz w:val="22"/>
          <w:szCs w:val="22"/>
        </w:rPr>
        <w:t>Data represent mean</w:t>
      </w:r>
      <w:r w:rsidR="00BD3EAF">
        <w:rPr>
          <w:rFonts w:cs="Arial"/>
          <w:sz w:val="22"/>
          <w:szCs w:val="22"/>
        </w:rPr>
        <w:t>s</w:t>
      </w:r>
      <w:r w:rsidR="00BD3EAF" w:rsidRPr="007D59B1">
        <w:rPr>
          <w:rFonts w:cs="Arial"/>
          <w:sz w:val="22"/>
          <w:szCs w:val="22"/>
        </w:rPr>
        <w:t xml:space="preserve"> +</w:t>
      </w:r>
      <w:r w:rsidR="00BD3EAF">
        <w:rPr>
          <w:rFonts w:cs="Arial"/>
          <w:sz w:val="22"/>
          <w:szCs w:val="22"/>
        </w:rPr>
        <w:t>/-</w:t>
      </w:r>
      <w:r w:rsidR="00BD3EAF" w:rsidRPr="007D59B1">
        <w:rPr>
          <w:rFonts w:cs="Arial"/>
          <w:sz w:val="22"/>
          <w:szCs w:val="22"/>
        </w:rPr>
        <w:t xml:space="preserve"> </w:t>
      </w:r>
      <w:proofErr w:type="spellStart"/>
      <w:r w:rsidR="008804DA">
        <w:rPr>
          <w:rFonts w:cs="Arial"/>
          <w:sz w:val="22"/>
          <w:szCs w:val="22"/>
        </w:rPr>
        <w:t>s.d.</w:t>
      </w:r>
      <w:proofErr w:type="spellEnd"/>
      <w:r w:rsidR="00BD3EAF" w:rsidRPr="007D59B1">
        <w:rPr>
          <w:rFonts w:cs="Arial"/>
          <w:sz w:val="22"/>
          <w:szCs w:val="22"/>
        </w:rPr>
        <w:t xml:space="preserve"> of technical triplicates.</w:t>
      </w:r>
      <w:r w:rsidR="00BD3EAF">
        <w:rPr>
          <w:rFonts w:cs="Arial"/>
          <w:sz w:val="22"/>
          <w:szCs w:val="22"/>
        </w:rPr>
        <w:t xml:space="preserve"> </w:t>
      </w:r>
      <w:r w:rsidRPr="007D59B1">
        <w:rPr>
          <w:rFonts w:cs="Arial"/>
          <w:b/>
          <w:sz w:val="22"/>
          <w:szCs w:val="22"/>
        </w:rPr>
        <w:t>b</w:t>
      </w:r>
      <w:r w:rsidRPr="007D59B1">
        <w:rPr>
          <w:rFonts w:cs="Arial"/>
          <w:sz w:val="22"/>
          <w:szCs w:val="22"/>
        </w:rPr>
        <w:t xml:space="preserve"> 14-day colony formation assay of ALK-positive NB cell lines treated with the indicated doses of AZD1208.</w:t>
      </w:r>
      <w:r w:rsidRPr="007D59B1">
        <w:rPr>
          <w:rFonts w:cs="Arial"/>
          <w:b/>
          <w:sz w:val="22"/>
          <w:szCs w:val="22"/>
        </w:rPr>
        <w:t xml:space="preserve"> c </w:t>
      </w:r>
      <w:r w:rsidRPr="007D59B1">
        <w:rPr>
          <w:rFonts w:cs="Arial"/>
          <w:sz w:val="22"/>
          <w:szCs w:val="22"/>
        </w:rPr>
        <w:t xml:space="preserve">72-hour dose-response assays of ALK-positive NB cell lines treated with AZD1208 or </w:t>
      </w:r>
      <w:proofErr w:type="spellStart"/>
      <w:r w:rsidRPr="007D59B1">
        <w:rPr>
          <w:rFonts w:cs="Arial"/>
          <w:sz w:val="22"/>
          <w:szCs w:val="22"/>
        </w:rPr>
        <w:t>PIMi</w:t>
      </w:r>
      <w:proofErr w:type="spellEnd"/>
      <w:r w:rsidRPr="007D59B1">
        <w:rPr>
          <w:rFonts w:cs="Arial"/>
          <w:sz w:val="22"/>
          <w:szCs w:val="22"/>
        </w:rPr>
        <w:t xml:space="preserve">. </w:t>
      </w:r>
      <w:r w:rsidR="00BD3EAF" w:rsidRPr="007D59B1">
        <w:rPr>
          <w:rFonts w:cs="Arial"/>
          <w:sz w:val="22"/>
          <w:szCs w:val="22"/>
        </w:rPr>
        <w:t>Data represent mean</w:t>
      </w:r>
      <w:r w:rsidR="00BD3EAF">
        <w:rPr>
          <w:rFonts w:cs="Arial"/>
          <w:sz w:val="22"/>
          <w:szCs w:val="22"/>
        </w:rPr>
        <w:t xml:space="preserve">s +/- </w:t>
      </w:r>
      <w:proofErr w:type="spellStart"/>
      <w:r w:rsidR="008804DA">
        <w:rPr>
          <w:rFonts w:cs="Arial"/>
          <w:sz w:val="22"/>
          <w:szCs w:val="22"/>
        </w:rPr>
        <w:t>s.d.</w:t>
      </w:r>
      <w:proofErr w:type="spellEnd"/>
      <w:r w:rsidR="008804DA" w:rsidRPr="007D59B1">
        <w:rPr>
          <w:rFonts w:cs="Arial"/>
          <w:sz w:val="22"/>
          <w:szCs w:val="22"/>
        </w:rPr>
        <w:t xml:space="preserve"> </w:t>
      </w:r>
      <w:r w:rsidR="00BD3EAF" w:rsidRPr="007D59B1">
        <w:rPr>
          <w:rFonts w:cs="Arial"/>
          <w:sz w:val="22"/>
          <w:szCs w:val="22"/>
        </w:rPr>
        <w:t xml:space="preserve">of technical </w:t>
      </w:r>
      <w:r w:rsidR="00BD3EAF" w:rsidRPr="007D59B1">
        <w:rPr>
          <w:rFonts w:cs="Arial"/>
          <w:color w:val="000000" w:themeColor="text1"/>
          <w:sz w:val="22"/>
          <w:szCs w:val="22"/>
        </w:rPr>
        <w:t>triplicates.</w:t>
      </w:r>
      <w:r w:rsidR="00BD3EAF">
        <w:rPr>
          <w:rFonts w:cs="Arial"/>
          <w:color w:val="000000" w:themeColor="text1"/>
          <w:sz w:val="22"/>
          <w:szCs w:val="22"/>
        </w:rPr>
        <w:t xml:space="preserve"> </w:t>
      </w:r>
      <w:r w:rsidR="00553FB7" w:rsidRPr="007D59B1">
        <w:rPr>
          <w:rFonts w:cs="Arial"/>
          <w:b/>
          <w:color w:val="000000" w:themeColor="text1"/>
          <w:sz w:val="22"/>
          <w:szCs w:val="22"/>
        </w:rPr>
        <w:t>d,</w:t>
      </w:r>
      <w:r w:rsidR="003702EB" w:rsidRPr="007D59B1">
        <w:rPr>
          <w:rFonts w:cs="Arial"/>
          <w:b/>
          <w:color w:val="000000" w:themeColor="text1"/>
          <w:sz w:val="22"/>
          <w:szCs w:val="22"/>
        </w:rPr>
        <w:t xml:space="preserve"> </w:t>
      </w:r>
      <w:r w:rsidR="00A52AB7">
        <w:rPr>
          <w:rFonts w:cs="Arial"/>
          <w:b/>
          <w:color w:val="000000" w:themeColor="text1"/>
          <w:sz w:val="22"/>
          <w:szCs w:val="22"/>
        </w:rPr>
        <w:t>e</w:t>
      </w:r>
      <w:r w:rsidRPr="007D59B1">
        <w:rPr>
          <w:rFonts w:cs="Arial"/>
          <w:color w:val="000000" w:themeColor="text1"/>
          <w:sz w:val="22"/>
          <w:szCs w:val="22"/>
        </w:rPr>
        <w:t xml:space="preserve"> Analysis of</w:t>
      </w:r>
      <w:r w:rsidRPr="00A52AB7">
        <w:rPr>
          <w:rFonts w:cs="Arial"/>
          <w:i/>
          <w:iCs/>
          <w:color w:val="000000" w:themeColor="text1"/>
          <w:sz w:val="22"/>
          <w:szCs w:val="22"/>
        </w:rPr>
        <w:t xml:space="preserve"> PIM1</w:t>
      </w:r>
      <w:r w:rsidRPr="007D59B1">
        <w:rPr>
          <w:rFonts w:cs="Arial"/>
          <w:color w:val="000000" w:themeColor="text1"/>
          <w:sz w:val="22"/>
          <w:szCs w:val="22"/>
        </w:rPr>
        <w:t xml:space="preserve"> levels by RT-qPCR in </w:t>
      </w:r>
      <w:r w:rsidR="00553FB7" w:rsidRPr="007D59B1">
        <w:rPr>
          <w:rFonts w:cs="Arial"/>
          <w:color w:val="000000" w:themeColor="text1"/>
          <w:sz w:val="22"/>
          <w:szCs w:val="22"/>
        </w:rPr>
        <w:t>(</w:t>
      </w:r>
      <w:r w:rsidR="00553FB7" w:rsidRPr="007D59B1">
        <w:rPr>
          <w:rFonts w:cs="Arial"/>
          <w:b/>
          <w:color w:val="000000" w:themeColor="text1"/>
          <w:sz w:val="22"/>
          <w:szCs w:val="22"/>
        </w:rPr>
        <w:t>d</w:t>
      </w:r>
      <w:r w:rsidR="00553FB7" w:rsidRPr="007D59B1">
        <w:rPr>
          <w:rFonts w:cs="Arial"/>
          <w:color w:val="000000" w:themeColor="text1"/>
          <w:sz w:val="22"/>
          <w:szCs w:val="22"/>
        </w:rPr>
        <w:t xml:space="preserve">) </w:t>
      </w:r>
      <w:r w:rsidRPr="007D59B1">
        <w:rPr>
          <w:rFonts w:cs="Arial"/>
          <w:color w:val="000000" w:themeColor="text1"/>
          <w:sz w:val="22"/>
          <w:szCs w:val="22"/>
        </w:rPr>
        <w:t xml:space="preserve">CHLA-20 or </w:t>
      </w:r>
      <w:r w:rsidR="00553FB7" w:rsidRPr="007D59B1">
        <w:rPr>
          <w:rFonts w:cs="Arial"/>
          <w:color w:val="000000" w:themeColor="text1"/>
          <w:sz w:val="22"/>
          <w:szCs w:val="22"/>
        </w:rPr>
        <w:t>(</w:t>
      </w:r>
      <w:r w:rsidR="00A52AB7">
        <w:rPr>
          <w:rFonts w:cs="Arial"/>
          <w:b/>
          <w:color w:val="000000" w:themeColor="text1"/>
          <w:sz w:val="22"/>
          <w:szCs w:val="22"/>
        </w:rPr>
        <w:t>e</w:t>
      </w:r>
      <w:r w:rsidR="00553FB7" w:rsidRPr="007D59B1">
        <w:rPr>
          <w:rFonts w:cs="Arial"/>
          <w:color w:val="000000" w:themeColor="text1"/>
          <w:sz w:val="22"/>
          <w:szCs w:val="22"/>
        </w:rPr>
        <w:t xml:space="preserve">) </w:t>
      </w:r>
      <w:r w:rsidRPr="007D59B1">
        <w:rPr>
          <w:rFonts w:cs="Arial"/>
          <w:color w:val="000000" w:themeColor="text1"/>
          <w:sz w:val="22"/>
          <w:szCs w:val="22"/>
        </w:rPr>
        <w:t xml:space="preserve">KELLY cells with shRNA-mediated knockdown of </w:t>
      </w:r>
      <w:r w:rsidRPr="007D59B1">
        <w:rPr>
          <w:rFonts w:cs="Arial"/>
          <w:i/>
          <w:color w:val="000000" w:themeColor="text1"/>
          <w:sz w:val="22"/>
          <w:szCs w:val="22"/>
        </w:rPr>
        <w:t>PIM1</w:t>
      </w:r>
      <w:r w:rsidRPr="007D59B1">
        <w:rPr>
          <w:rFonts w:cs="Arial"/>
          <w:color w:val="000000" w:themeColor="text1"/>
          <w:sz w:val="22"/>
          <w:szCs w:val="22"/>
        </w:rPr>
        <w:t>. NT</w:t>
      </w:r>
      <w:r w:rsidR="001D7F4C">
        <w:rPr>
          <w:rFonts w:cs="Arial"/>
          <w:color w:val="000000" w:themeColor="text1"/>
          <w:sz w:val="22"/>
          <w:szCs w:val="22"/>
        </w:rPr>
        <w:t>,</w:t>
      </w:r>
      <w:r w:rsidRPr="007D59B1">
        <w:rPr>
          <w:rFonts w:cs="Arial"/>
          <w:color w:val="000000" w:themeColor="text1"/>
          <w:sz w:val="22"/>
          <w:szCs w:val="22"/>
        </w:rPr>
        <w:t xml:space="preserve"> non-targeting. </w:t>
      </w:r>
      <w:r w:rsidR="00BD3EAF" w:rsidRPr="007D59B1">
        <w:rPr>
          <w:rFonts w:cs="Arial"/>
          <w:bCs/>
          <w:color w:val="000000" w:themeColor="text1"/>
          <w:sz w:val="22"/>
          <w:szCs w:val="22"/>
        </w:rPr>
        <w:t>Data represent</w:t>
      </w:r>
      <w:r w:rsidR="00BD3EAF" w:rsidRPr="007D59B1">
        <w:rPr>
          <w:rFonts w:cs="Arial"/>
          <w:color w:val="000000" w:themeColor="text1"/>
          <w:sz w:val="22"/>
          <w:szCs w:val="22"/>
        </w:rPr>
        <w:t xml:space="preserve"> mean</w:t>
      </w:r>
      <w:r w:rsidR="00BD3EAF">
        <w:rPr>
          <w:rFonts w:cs="Arial"/>
          <w:color w:val="000000" w:themeColor="text1"/>
          <w:sz w:val="22"/>
          <w:szCs w:val="22"/>
        </w:rPr>
        <w:t>s</w:t>
      </w:r>
      <w:r w:rsidR="00BD3EAF" w:rsidRPr="007D59B1">
        <w:rPr>
          <w:rFonts w:cs="Arial"/>
          <w:color w:val="000000" w:themeColor="text1"/>
          <w:sz w:val="22"/>
          <w:szCs w:val="22"/>
        </w:rPr>
        <w:t xml:space="preserve"> +</w:t>
      </w:r>
      <w:r w:rsidR="00BD3EAF">
        <w:rPr>
          <w:rFonts w:cs="Arial"/>
          <w:color w:val="000000" w:themeColor="text1"/>
          <w:sz w:val="22"/>
          <w:szCs w:val="22"/>
        </w:rPr>
        <w:t>/-</w:t>
      </w:r>
      <w:r w:rsidR="00BD3EAF" w:rsidRPr="007D59B1">
        <w:rPr>
          <w:rFonts w:cs="Arial"/>
          <w:color w:val="000000" w:themeColor="text1"/>
          <w:sz w:val="22"/>
          <w:szCs w:val="22"/>
        </w:rPr>
        <w:t xml:space="preserve"> </w:t>
      </w:r>
      <w:proofErr w:type="spellStart"/>
      <w:r w:rsidR="008804DA">
        <w:rPr>
          <w:rFonts w:cs="Arial"/>
          <w:color w:val="000000" w:themeColor="text1"/>
          <w:sz w:val="22"/>
          <w:szCs w:val="22"/>
        </w:rPr>
        <w:t>s.d.</w:t>
      </w:r>
      <w:proofErr w:type="spellEnd"/>
      <w:r w:rsidR="00BD3EAF" w:rsidRPr="007D59B1">
        <w:rPr>
          <w:rFonts w:cs="Arial"/>
          <w:color w:val="000000" w:themeColor="text1"/>
          <w:sz w:val="22"/>
          <w:szCs w:val="22"/>
        </w:rPr>
        <w:t xml:space="preserve"> of triplicate experiments.</w:t>
      </w:r>
      <w:r w:rsidR="00BD3EAF">
        <w:rPr>
          <w:rFonts w:cs="Arial"/>
          <w:color w:val="000000" w:themeColor="text1"/>
          <w:sz w:val="22"/>
          <w:szCs w:val="22"/>
        </w:rPr>
        <w:t xml:space="preserve"> </w:t>
      </w:r>
      <w:r w:rsidR="00A52AB7">
        <w:rPr>
          <w:rFonts w:cs="Arial"/>
          <w:b/>
          <w:color w:val="000000" w:themeColor="text1"/>
          <w:sz w:val="22"/>
          <w:szCs w:val="22"/>
        </w:rPr>
        <w:t>f</w:t>
      </w:r>
      <w:r w:rsidRPr="007D59B1">
        <w:rPr>
          <w:rFonts w:cs="Arial"/>
          <w:b/>
          <w:color w:val="000000" w:themeColor="text1"/>
          <w:sz w:val="22"/>
          <w:szCs w:val="22"/>
        </w:rPr>
        <w:t xml:space="preserve">, </w:t>
      </w:r>
      <w:r w:rsidR="00553FB7" w:rsidRPr="007D59B1">
        <w:rPr>
          <w:rFonts w:cs="Arial"/>
          <w:b/>
          <w:color w:val="000000" w:themeColor="text1"/>
          <w:sz w:val="22"/>
          <w:szCs w:val="22"/>
        </w:rPr>
        <w:t>g</w:t>
      </w:r>
      <w:r w:rsidRPr="007D59B1">
        <w:rPr>
          <w:rFonts w:cs="Arial"/>
          <w:color w:val="000000" w:themeColor="text1"/>
          <w:sz w:val="22"/>
          <w:szCs w:val="22"/>
        </w:rPr>
        <w:t xml:space="preserve"> 72-hour dose-response assays following </w:t>
      </w:r>
      <w:proofErr w:type="spellStart"/>
      <w:r w:rsidRPr="007D59B1">
        <w:rPr>
          <w:rFonts w:cs="Arial"/>
          <w:color w:val="000000" w:themeColor="text1"/>
          <w:sz w:val="22"/>
          <w:szCs w:val="22"/>
        </w:rPr>
        <w:t>brigatinib</w:t>
      </w:r>
      <w:proofErr w:type="spellEnd"/>
      <w:r w:rsidRPr="007D59B1">
        <w:rPr>
          <w:rFonts w:cs="Arial"/>
          <w:color w:val="000000" w:themeColor="text1"/>
          <w:sz w:val="22"/>
          <w:szCs w:val="22"/>
        </w:rPr>
        <w:t xml:space="preserve"> or </w:t>
      </w:r>
      <w:proofErr w:type="spellStart"/>
      <w:r w:rsidRPr="007D59B1">
        <w:rPr>
          <w:rFonts w:cs="Arial"/>
          <w:color w:val="000000" w:themeColor="text1"/>
          <w:sz w:val="22"/>
          <w:szCs w:val="22"/>
        </w:rPr>
        <w:t>ceritinib</w:t>
      </w:r>
      <w:proofErr w:type="spellEnd"/>
      <w:r w:rsidRPr="007D59B1">
        <w:rPr>
          <w:rFonts w:cs="Arial"/>
          <w:color w:val="000000" w:themeColor="text1"/>
          <w:sz w:val="22"/>
          <w:szCs w:val="22"/>
        </w:rPr>
        <w:t xml:space="preserve"> exposure in (</w:t>
      </w:r>
      <w:r w:rsidR="00A52AB7">
        <w:rPr>
          <w:rFonts w:cs="Arial"/>
          <w:b/>
          <w:color w:val="000000" w:themeColor="text1"/>
          <w:sz w:val="22"/>
          <w:szCs w:val="22"/>
        </w:rPr>
        <w:t>f</w:t>
      </w:r>
      <w:r w:rsidRPr="007D59B1">
        <w:rPr>
          <w:rFonts w:cs="Arial"/>
          <w:color w:val="000000" w:themeColor="text1"/>
          <w:sz w:val="22"/>
          <w:szCs w:val="22"/>
        </w:rPr>
        <w:t>) CHLA-20 cells or (</w:t>
      </w:r>
      <w:r w:rsidR="00553FB7" w:rsidRPr="007D59B1">
        <w:rPr>
          <w:rFonts w:cs="Arial"/>
          <w:b/>
          <w:color w:val="000000" w:themeColor="text1"/>
          <w:sz w:val="22"/>
          <w:szCs w:val="22"/>
        </w:rPr>
        <w:t>g</w:t>
      </w:r>
      <w:r w:rsidRPr="007D59B1">
        <w:rPr>
          <w:rFonts w:cs="Arial"/>
          <w:color w:val="000000" w:themeColor="text1"/>
          <w:sz w:val="22"/>
          <w:szCs w:val="22"/>
        </w:rPr>
        <w:t xml:space="preserve">) KELLY cells treated with </w:t>
      </w:r>
      <w:r w:rsidRPr="007D59B1">
        <w:rPr>
          <w:rFonts w:cs="Arial"/>
          <w:i/>
          <w:color w:val="000000" w:themeColor="text1"/>
          <w:sz w:val="22"/>
          <w:szCs w:val="22"/>
        </w:rPr>
        <w:t>PIM1</w:t>
      </w:r>
      <w:r w:rsidRPr="007D59B1">
        <w:rPr>
          <w:rFonts w:cs="Arial"/>
          <w:color w:val="000000" w:themeColor="text1"/>
          <w:sz w:val="22"/>
          <w:szCs w:val="22"/>
        </w:rPr>
        <w:t xml:space="preserve">-targeting </w:t>
      </w:r>
      <w:r w:rsidR="00A52AB7">
        <w:rPr>
          <w:rFonts w:cs="Arial"/>
          <w:color w:val="000000" w:themeColor="text1"/>
          <w:sz w:val="22"/>
          <w:szCs w:val="22"/>
        </w:rPr>
        <w:t>or</w:t>
      </w:r>
      <w:r w:rsidRPr="007D59B1">
        <w:rPr>
          <w:rFonts w:cs="Arial"/>
          <w:color w:val="000000" w:themeColor="text1"/>
          <w:sz w:val="22"/>
          <w:szCs w:val="22"/>
        </w:rPr>
        <w:t xml:space="preserve"> </w:t>
      </w:r>
      <w:r w:rsidRPr="007D59B1">
        <w:rPr>
          <w:rFonts w:cs="Arial"/>
          <w:sz w:val="22"/>
          <w:szCs w:val="22"/>
        </w:rPr>
        <w:t xml:space="preserve">NT shRNA. </w:t>
      </w:r>
      <w:r w:rsidR="00BD3EAF" w:rsidRPr="007D59B1">
        <w:rPr>
          <w:rFonts w:cs="Arial"/>
          <w:sz w:val="22"/>
          <w:szCs w:val="22"/>
        </w:rPr>
        <w:t>Data points represent mean</w:t>
      </w:r>
      <w:r w:rsidR="00BD3EAF">
        <w:rPr>
          <w:rFonts w:cs="Arial"/>
          <w:sz w:val="22"/>
          <w:szCs w:val="22"/>
        </w:rPr>
        <w:t xml:space="preserve">s +/- </w:t>
      </w:r>
      <w:proofErr w:type="spellStart"/>
      <w:r w:rsidR="008804DA">
        <w:rPr>
          <w:rFonts w:cs="Arial"/>
          <w:sz w:val="22"/>
          <w:szCs w:val="22"/>
        </w:rPr>
        <w:t>s.d.</w:t>
      </w:r>
      <w:proofErr w:type="spellEnd"/>
      <w:r w:rsidR="00BD3EAF" w:rsidRPr="007D59B1">
        <w:rPr>
          <w:rFonts w:cs="Arial"/>
          <w:sz w:val="22"/>
          <w:szCs w:val="22"/>
        </w:rPr>
        <w:t xml:space="preserve"> of </w:t>
      </w:r>
      <w:r w:rsidR="005222C3">
        <w:rPr>
          <w:rFonts w:cs="Arial"/>
          <w:sz w:val="22"/>
          <w:szCs w:val="22"/>
        </w:rPr>
        <w:t>duplicate (</w:t>
      </w:r>
      <w:r w:rsidR="005222C3" w:rsidRPr="005222C3">
        <w:rPr>
          <w:rFonts w:cs="Arial"/>
          <w:b/>
          <w:bCs/>
          <w:sz w:val="22"/>
          <w:szCs w:val="22"/>
        </w:rPr>
        <w:t>f</w:t>
      </w:r>
      <w:r w:rsidR="005222C3">
        <w:rPr>
          <w:rFonts w:cs="Arial"/>
          <w:sz w:val="22"/>
          <w:szCs w:val="22"/>
        </w:rPr>
        <w:t xml:space="preserve">) or </w:t>
      </w:r>
      <w:r w:rsidR="00BD3EAF" w:rsidRPr="007D59B1">
        <w:rPr>
          <w:rFonts w:cs="Arial"/>
          <w:sz w:val="22"/>
          <w:szCs w:val="22"/>
        </w:rPr>
        <w:t xml:space="preserve">triplicate </w:t>
      </w:r>
      <w:r w:rsidR="005222C3">
        <w:rPr>
          <w:rFonts w:cs="Arial"/>
          <w:sz w:val="22"/>
          <w:szCs w:val="22"/>
        </w:rPr>
        <w:t>(</w:t>
      </w:r>
      <w:r w:rsidR="005222C3" w:rsidRPr="005222C3">
        <w:rPr>
          <w:rFonts w:cs="Arial"/>
          <w:b/>
          <w:bCs/>
          <w:sz w:val="22"/>
          <w:szCs w:val="22"/>
        </w:rPr>
        <w:t>g</w:t>
      </w:r>
      <w:r w:rsidR="005222C3">
        <w:rPr>
          <w:rFonts w:cs="Arial"/>
          <w:sz w:val="22"/>
          <w:szCs w:val="22"/>
        </w:rPr>
        <w:t xml:space="preserve">) </w:t>
      </w:r>
      <w:r w:rsidR="00BD3EAF" w:rsidRPr="007D59B1">
        <w:rPr>
          <w:rFonts w:cs="Arial"/>
          <w:sz w:val="22"/>
          <w:szCs w:val="22"/>
        </w:rPr>
        <w:t>experiments.</w:t>
      </w:r>
      <w:r w:rsidR="00BD3EAF">
        <w:rPr>
          <w:rFonts w:cs="Arial"/>
          <w:sz w:val="22"/>
          <w:szCs w:val="22"/>
        </w:rPr>
        <w:t xml:space="preserve"> </w:t>
      </w:r>
      <w:r w:rsidRPr="007D59B1">
        <w:rPr>
          <w:rFonts w:cs="Arial"/>
          <w:sz w:val="22"/>
          <w:szCs w:val="22"/>
        </w:rPr>
        <w:t>ED</w:t>
      </w:r>
      <w:r w:rsidRPr="007D59B1">
        <w:rPr>
          <w:rFonts w:cs="Arial"/>
          <w:sz w:val="22"/>
          <w:szCs w:val="22"/>
          <w:vertAlign w:val="subscript"/>
        </w:rPr>
        <w:t>50</w:t>
      </w:r>
      <w:r w:rsidRPr="007D59B1">
        <w:rPr>
          <w:rFonts w:cs="Arial"/>
          <w:sz w:val="22"/>
          <w:szCs w:val="22"/>
        </w:rPr>
        <w:t xml:space="preserve"> values were compared by an unpaired Student’s </w:t>
      </w:r>
      <w:r w:rsidRPr="007D59B1">
        <w:rPr>
          <w:rFonts w:cs="Arial"/>
          <w:i/>
          <w:sz w:val="22"/>
          <w:szCs w:val="22"/>
        </w:rPr>
        <w:t>t</w:t>
      </w:r>
      <w:r w:rsidRPr="007D59B1">
        <w:rPr>
          <w:rFonts w:cs="Arial"/>
          <w:sz w:val="22"/>
          <w:szCs w:val="22"/>
        </w:rPr>
        <w:t>-test.</w:t>
      </w:r>
      <w:r w:rsidR="00E60587">
        <w:rPr>
          <w:rFonts w:cs="Arial"/>
          <w:sz w:val="22"/>
          <w:szCs w:val="22"/>
        </w:rPr>
        <w:t xml:space="preserve"> </w:t>
      </w:r>
      <w:r w:rsidR="00E60587" w:rsidRPr="00E60587">
        <w:rPr>
          <w:rFonts w:cs="Arial"/>
          <w:sz w:val="22"/>
          <w:szCs w:val="22"/>
        </w:rPr>
        <w:t xml:space="preserve">Source data </w:t>
      </w:r>
      <w:r w:rsidR="00BA6C02">
        <w:rPr>
          <w:rFonts w:cs="Arial"/>
          <w:sz w:val="22"/>
          <w:szCs w:val="22"/>
        </w:rPr>
        <w:t xml:space="preserve">for 3a and 3d-g </w:t>
      </w:r>
      <w:r w:rsidR="00E60587" w:rsidRPr="00E60587">
        <w:rPr>
          <w:rFonts w:cs="Arial"/>
          <w:sz w:val="22"/>
          <w:szCs w:val="22"/>
        </w:rPr>
        <w:t>are provided as a Source Data file</w:t>
      </w:r>
    </w:p>
    <w:p w14:paraId="0B99E77B" w14:textId="77777777" w:rsidR="00042D2A" w:rsidRPr="007D59B1" w:rsidRDefault="00042D2A" w:rsidP="00872AA4">
      <w:pPr>
        <w:spacing w:line="360" w:lineRule="auto"/>
        <w:jc w:val="both"/>
        <w:rPr>
          <w:rFonts w:cs="Arial"/>
          <w:sz w:val="22"/>
          <w:szCs w:val="22"/>
        </w:rPr>
      </w:pPr>
    </w:p>
    <w:p w14:paraId="280102A6" w14:textId="41597DD7" w:rsidR="002A3C22" w:rsidRDefault="00042D2A" w:rsidP="00872AA4">
      <w:pPr>
        <w:spacing w:line="360" w:lineRule="auto"/>
        <w:jc w:val="both"/>
        <w:rPr>
          <w:rFonts w:cs="Arial"/>
          <w:sz w:val="22"/>
          <w:szCs w:val="22"/>
        </w:rPr>
      </w:pPr>
      <w:r w:rsidRPr="007D59B1">
        <w:rPr>
          <w:rFonts w:cs="Arial"/>
          <w:b/>
          <w:sz w:val="22"/>
          <w:szCs w:val="22"/>
        </w:rPr>
        <w:t>Fig</w:t>
      </w:r>
      <w:r w:rsidR="005B5A4C" w:rsidRPr="007D59B1">
        <w:rPr>
          <w:rFonts w:cs="Arial"/>
          <w:b/>
          <w:sz w:val="22"/>
          <w:szCs w:val="22"/>
        </w:rPr>
        <w:t>. 4</w:t>
      </w:r>
      <w:r w:rsidRPr="007D59B1">
        <w:rPr>
          <w:rFonts w:cs="Arial"/>
          <w:b/>
          <w:sz w:val="22"/>
          <w:szCs w:val="22"/>
        </w:rPr>
        <w:t xml:space="preserve"> </w:t>
      </w:r>
      <w:r w:rsidRPr="00845ECF">
        <w:rPr>
          <w:rFonts w:cs="Arial"/>
          <w:b/>
          <w:sz w:val="22"/>
          <w:szCs w:val="22"/>
        </w:rPr>
        <w:t xml:space="preserve">ALK </w:t>
      </w:r>
      <w:r w:rsidR="002A3C22" w:rsidRPr="00845ECF">
        <w:rPr>
          <w:rFonts w:cs="Arial"/>
          <w:b/>
          <w:sz w:val="22"/>
          <w:szCs w:val="22"/>
        </w:rPr>
        <w:t xml:space="preserve">and PIM </w:t>
      </w:r>
      <w:r w:rsidRPr="00845ECF">
        <w:rPr>
          <w:rFonts w:cs="Arial"/>
          <w:b/>
          <w:sz w:val="22"/>
          <w:szCs w:val="22"/>
        </w:rPr>
        <w:t>inhibitors exhibit mild synergism in ALK-positive NB cell lines.</w:t>
      </w:r>
      <w:r w:rsidR="005B5A4C" w:rsidRPr="007D59B1">
        <w:rPr>
          <w:rFonts w:cs="Arial"/>
          <w:sz w:val="22"/>
          <w:szCs w:val="22"/>
        </w:rPr>
        <w:t xml:space="preserve"> </w:t>
      </w:r>
    </w:p>
    <w:p w14:paraId="7A922CE4" w14:textId="12FF5ED3" w:rsidR="00042D2A" w:rsidRPr="007D59B1" w:rsidRDefault="00042D2A" w:rsidP="00872AA4">
      <w:pPr>
        <w:spacing w:line="360" w:lineRule="auto"/>
        <w:jc w:val="both"/>
        <w:rPr>
          <w:rFonts w:cs="Arial"/>
          <w:color w:val="000000" w:themeColor="text1"/>
          <w:sz w:val="22"/>
          <w:szCs w:val="22"/>
        </w:rPr>
      </w:pPr>
      <w:r w:rsidRPr="007D59B1">
        <w:rPr>
          <w:rFonts w:cs="Arial"/>
          <w:b/>
          <w:sz w:val="22"/>
          <w:szCs w:val="22"/>
        </w:rPr>
        <w:t>a</w:t>
      </w:r>
      <w:r w:rsidRPr="007D59B1">
        <w:rPr>
          <w:rFonts w:cs="Arial"/>
          <w:sz w:val="22"/>
          <w:szCs w:val="22"/>
        </w:rPr>
        <w:t xml:space="preserve"> </w:t>
      </w:r>
      <w:proofErr w:type="gramStart"/>
      <w:r w:rsidRPr="007D59B1">
        <w:rPr>
          <w:rFonts w:cs="Arial"/>
          <w:sz w:val="22"/>
          <w:szCs w:val="22"/>
        </w:rPr>
        <w:t>Dose-response matrices</w:t>
      </w:r>
      <w:proofErr w:type="gramEnd"/>
      <w:r w:rsidRPr="007D59B1">
        <w:rPr>
          <w:rFonts w:cs="Arial"/>
          <w:sz w:val="22"/>
          <w:szCs w:val="22"/>
        </w:rPr>
        <w:t xml:space="preserve"> of </w:t>
      </w:r>
      <w:proofErr w:type="spellStart"/>
      <w:r w:rsidRPr="007D59B1">
        <w:rPr>
          <w:rFonts w:cs="Arial"/>
          <w:sz w:val="22"/>
          <w:szCs w:val="22"/>
        </w:rPr>
        <w:t>brigatinib</w:t>
      </w:r>
      <w:proofErr w:type="spellEnd"/>
      <w:r w:rsidRPr="007D59B1">
        <w:rPr>
          <w:rFonts w:cs="Arial"/>
          <w:sz w:val="22"/>
          <w:szCs w:val="22"/>
        </w:rPr>
        <w:t xml:space="preserve"> vs. AZD1208 and </w:t>
      </w:r>
      <w:proofErr w:type="spellStart"/>
      <w:r w:rsidRPr="007D59B1">
        <w:rPr>
          <w:rFonts w:cs="Arial"/>
          <w:sz w:val="22"/>
          <w:szCs w:val="22"/>
        </w:rPr>
        <w:t>ceritinib</w:t>
      </w:r>
      <w:proofErr w:type="spellEnd"/>
      <w:r w:rsidRPr="007D59B1">
        <w:rPr>
          <w:rFonts w:cs="Arial"/>
          <w:sz w:val="22"/>
          <w:szCs w:val="22"/>
        </w:rPr>
        <w:t xml:space="preserve"> vs. AZD1208 in SH-SY5Y, CHLA-</w:t>
      </w:r>
      <w:r w:rsidRPr="007D59B1">
        <w:rPr>
          <w:rFonts w:cs="Arial"/>
          <w:color w:val="000000" w:themeColor="text1"/>
          <w:sz w:val="22"/>
          <w:szCs w:val="22"/>
        </w:rPr>
        <w:t xml:space="preserve">20 and KELLY cell lines. Heat maps visually represent inhibition of cell viability after 72 hours of treatment, and numbers indicate Bliss combination index (CI) values for each dose pair. Synergistic dose combinations (threshold ≤ 0.95) are shown in bold/italic. </w:t>
      </w:r>
      <w:r w:rsidR="00BD3EAF" w:rsidRPr="007D59B1">
        <w:rPr>
          <w:rFonts w:cs="Arial"/>
          <w:color w:val="000000" w:themeColor="text1"/>
          <w:sz w:val="22"/>
          <w:szCs w:val="22"/>
        </w:rPr>
        <w:t>Data points are representative of two independent experiments.</w:t>
      </w:r>
      <w:r w:rsidR="00BD3EAF">
        <w:rPr>
          <w:rFonts w:cs="Arial"/>
          <w:color w:val="000000" w:themeColor="text1"/>
          <w:sz w:val="22"/>
          <w:szCs w:val="22"/>
        </w:rPr>
        <w:t xml:space="preserve"> </w:t>
      </w:r>
      <w:r w:rsidRPr="007D59B1">
        <w:rPr>
          <w:rFonts w:cs="Arial"/>
          <w:b/>
          <w:color w:val="000000" w:themeColor="text1"/>
          <w:sz w:val="22"/>
          <w:szCs w:val="22"/>
        </w:rPr>
        <w:t>b</w:t>
      </w:r>
      <w:r w:rsidRPr="007D59B1">
        <w:rPr>
          <w:rFonts w:cs="Arial"/>
          <w:color w:val="000000" w:themeColor="text1"/>
          <w:sz w:val="22"/>
          <w:szCs w:val="22"/>
        </w:rPr>
        <w:t xml:space="preserve"> Assessment of the interaction between </w:t>
      </w:r>
      <w:proofErr w:type="spellStart"/>
      <w:r w:rsidRPr="007D59B1">
        <w:rPr>
          <w:rFonts w:cs="Arial"/>
          <w:color w:val="000000" w:themeColor="text1"/>
          <w:sz w:val="22"/>
          <w:szCs w:val="22"/>
        </w:rPr>
        <w:t>brigatinib</w:t>
      </w:r>
      <w:proofErr w:type="spellEnd"/>
      <w:r w:rsidRPr="007D59B1">
        <w:rPr>
          <w:rFonts w:cs="Arial"/>
          <w:color w:val="000000" w:themeColor="text1"/>
          <w:sz w:val="22"/>
          <w:szCs w:val="22"/>
        </w:rPr>
        <w:t xml:space="preserve"> and AZD1208 in a panel of ALK-positive NB cell lines using the Bliss Independence model. CI &lt; 1 indicates synergism, CI = 1 indicates additivity and CI &gt; 1 indicates antagonism. Data points represent mean</w:t>
      </w:r>
      <w:r w:rsidR="00A52AB7">
        <w:rPr>
          <w:rFonts w:cs="Arial"/>
          <w:color w:val="000000" w:themeColor="text1"/>
          <w:sz w:val="22"/>
          <w:szCs w:val="22"/>
        </w:rPr>
        <w:t>s</w:t>
      </w:r>
      <w:r w:rsidRPr="007D59B1">
        <w:rPr>
          <w:rFonts w:cs="Arial"/>
          <w:color w:val="000000" w:themeColor="text1"/>
          <w:sz w:val="22"/>
          <w:szCs w:val="22"/>
        </w:rPr>
        <w:t xml:space="preserve"> ± </w:t>
      </w:r>
      <w:proofErr w:type="spellStart"/>
      <w:r w:rsidR="008804DA">
        <w:rPr>
          <w:rFonts w:cs="Arial"/>
          <w:color w:val="000000" w:themeColor="text1"/>
          <w:sz w:val="22"/>
          <w:szCs w:val="22"/>
        </w:rPr>
        <w:t>s.d.</w:t>
      </w:r>
      <w:proofErr w:type="spellEnd"/>
      <w:r w:rsidRPr="007D59B1">
        <w:rPr>
          <w:rFonts w:cs="Arial"/>
          <w:color w:val="000000" w:themeColor="text1"/>
          <w:sz w:val="22"/>
          <w:szCs w:val="22"/>
        </w:rPr>
        <w:t xml:space="preserve"> of triplicate experiments. </w:t>
      </w:r>
      <w:proofErr w:type="spellStart"/>
      <w:r w:rsidRPr="007D59B1">
        <w:rPr>
          <w:rFonts w:cs="Arial"/>
          <w:color w:val="000000" w:themeColor="text1"/>
          <w:sz w:val="22"/>
          <w:szCs w:val="22"/>
        </w:rPr>
        <w:t>Brigatinib</w:t>
      </w:r>
      <w:proofErr w:type="spellEnd"/>
      <w:r w:rsidRPr="007D59B1">
        <w:rPr>
          <w:rFonts w:cs="Arial"/>
          <w:color w:val="000000" w:themeColor="text1"/>
          <w:sz w:val="22"/>
          <w:szCs w:val="22"/>
        </w:rPr>
        <w:t xml:space="preserve"> was used at the approximate ED</w:t>
      </w:r>
      <w:r w:rsidRPr="007D59B1">
        <w:rPr>
          <w:rFonts w:cs="Arial"/>
          <w:color w:val="000000" w:themeColor="text1"/>
          <w:sz w:val="22"/>
          <w:szCs w:val="22"/>
          <w:vertAlign w:val="subscript"/>
        </w:rPr>
        <w:t>10</w:t>
      </w:r>
      <w:r w:rsidRPr="007D59B1">
        <w:rPr>
          <w:rFonts w:cs="Arial"/>
          <w:color w:val="000000" w:themeColor="text1"/>
          <w:sz w:val="22"/>
          <w:szCs w:val="22"/>
        </w:rPr>
        <w:t xml:space="preserve"> concentration for each cell line ED</w:t>
      </w:r>
      <w:r w:rsidRPr="007D59B1">
        <w:rPr>
          <w:rFonts w:cs="Arial"/>
          <w:color w:val="000000" w:themeColor="text1"/>
          <w:sz w:val="22"/>
          <w:szCs w:val="22"/>
          <w:vertAlign w:val="subscript"/>
        </w:rPr>
        <w:t>10</w:t>
      </w:r>
      <w:r w:rsidRPr="007D59B1">
        <w:rPr>
          <w:rFonts w:cs="Arial"/>
          <w:color w:val="000000" w:themeColor="text1"/>
          <w:sz w:val="22"/>
          <w:szCs w:val="22"/>
        </w:rPr>
        <w:t xml:space="preserve"> (CHLA-20) = 30 </w:t>
      </w:r>
      <w:proofErr w:type="spellStart"/>
      <w:r w:rsidRPr="007D59B1">
        <w:rPr>
          <w:rFonts w:cs="Arial"/>
          <w:color w:val="000000" w:themeColor="text1"/>
          <w:sz w:val="22"/>
          <w:szCs w:val="22"/>
        </w:rPr>
        <w:t>nM</w:t>
      </w:r>
      <w:proofErr w:type="spellEnd"/>
      <w:r w:rsidRPr="007D59B1">
        <w:rPr>
          <w:rFonts w:cs="Arial"/>
          <w:color w:val="000000" w:themeColor="text1"/>
          <w:sz w:val="22"/>
          <w:szCs w:val="22"/>
        </w:rPr>
        <w:t>; ED</w:t>
      </w:r>
      <w:r w:rsidRPr="007D59B1">
        <w:rPr>
          <w:rFonts w:cs="Arial"/>
          <w:color w:val="000000" w:themeColor="text1"/>
          <w:sz w:val="22"/>
          <w:szCs w:val="22"/>
          <w:vertAlign w:val="subscript"/>
        </w:rPr>
        <w:t>10</w:t>
      </w:r>
      <w:r w:rsidRPr="007D59B1">
        <w:rPr>
          <w:rFonts w:cs="Arial"/>
          <w:color w:val="000000" w:themeColor="text1"/>
          <w:sz w:val="22"/>
          <w:szCs w:val="22"/>
        </w:rPr>
        <w:t xml:space="preserve"> (CHLA-90) = 30 </w:t>
      </w:r>
      <w:proofErr w:type="spellStart"/>
      <w:r w:rsidRPr="007D59B1">
        <w:rPr>
          <w:rFonts w:cs="Arial"/>
          <w:color w:val="000000" w:themeColor="text1"/>
          <w:sz w:val="22"/>
          <w:szCs w:val="22"/>
        </w:rPr>
        <w:t>nM</w:t>
      </w:r>
      <w:proofErr w:type="spellEnd"/>
      <w:r w:rsidRPr="007D59B1">
        <w:rPr>
          <w:rFonts w:cs="Arial"/>
          <w:color w:val="000000" w:themeColor="text1"/>
          <w:sz w:val="22"/>
          <w:szCs w:val="22"/>
        </w:rPr>
        <w:t>, ED</w:t>
      </w:r>
      <w:r w:rsidRPr="007D59B1">
        <w:rPr>
          <w:rFonts w:cs="Arial"/>
          <w:color w:val="000000" w:themeColor="text1"/>
          <w:sz w:val="22"/>
          <w:szCs w:val="22"/>
          <w:vertAlign w:val="subscript"/>
        </w:rPr>
        <w:t>10</w:t>
      </w:r>
      <w:r w:rsidRPr="007D59B1">
        <w:rPr>
          <w:rFonts w:cs="Arial"/>
          <w:color w:val="000000" w:themeColor="text1"/>
          <w:sz w:val="22"/>
          <w:szCs w:val="22"/>
        </w:rPr>
        <w:t xml:space="preserve"> (COG-N-426) = 30 </w:t>
      </w:r>
      <w:proofErr w:type="spellStart"/>
      <w:r w:rsidRPr="007D59B1">
        <w:rPr>
          <w:rFonts w:cs="Arial"/>
          <w:color w:val="000000" w:themeColor="text1"/>
          <w:sz w:val="22"/>
          <w:szCs w:val="22"/>
        </w:rPr>
        <w:t>nM</w:t>
      </w:r>
      <w:proofErr w:type="spellEnd"/>
      <w:r w:rsidRPr="007D59B1">
        <w:rPr>
          <w:rFonts w:cs="Arial"/>
          <w:color w:val="000000" w:themeColor="text1"/>
          <w:sz w:val="22"/>
          <w:szCs w:val="22"/>
        </w:rPr>
        <w:t>, ED</w:t>
      </w:r>
      <w:r w:rsidRPr="007D59B1">
        <w:rPr>
          <w:rFonts w:cs="Arial"/>
          <w:color w:val="000000" w:themeColor="text1"/>
          <w:sz w:val="22"/>
          <w:szCs w:val="22"/>
          <w:vertAlign w:val="subscript"/>
        </w:rPr>
        <w:t>10</w:t>
      </w:r>
      <w:r w:rsidRPr="007D59B1">
        <w:rPr>
          <w:rFonts w:cs="Arial"/>
          <w:color w:val="000000" w:themeColor="text1"/>
          <w:sz w:val="22"/>
          <w:szCs w:val="22"/>
        </w:rPr>
        <w:t xml:space="preserve"> (SH</w:t>
      </w:r>
      <w:r w:rsidR="00620D1C">
        <w:rPr>
          <w:rFonts w:cs="Arial"/>
          <w:color w:val="000000" w:themeColor="text1"/>
          <w:sz w:val="22"/>
          <w:szCs w:val="22"/>
        </w:rPr>
        <w:t>-</w:t>
      </w:r>
      <w:r w:rsidRPr="007D59B1">
        <w:rPr>
          <w:rFonts w:cs="Arial"/>
          <w:color w:val="000000" w:themeColor="text1"/>
          <w:sz w:val="22"/>
          <w:szCs w:val="22"/>
        </w:rPr>
        <w:t xml:space="preserve">SY5Y) = 30 </w:t>
      </w:r>
      <w:proofErr w:type="spellStart"/>
      <w:r w:rsidRPr="007D59B1">
        <w:rPr>
          <w:rFonts w:cs="Arial"/>
          <w:color w:val="000000" w:themeColor="text1"/>
          <w:sz w:val="22"/>
          <w:szCs w:val="22"/>
        </w:rPr>
        <w:t>nM</w:t>
      </w:r>
      <w:proofErr w:type="spellEnd"/>
      <w:r w:rsidRPr="007D59B1">
        <w:rPr>
          <w:rFonts w:cs="Arial"/>
          <w:color w:val="000000" w:themeColor="text1"/>
          <w:sz w:val="22"/>
          <w:szCs w:val="22"/>
        </w:rPr>
        <w:t>, ED</w:t>
      </w:r>
      <w:r w:rsidRPr="007D59B1">
        <w:rPr>
          <w:rFonts w:cs="Arial"/>
          <w:color w:val="000000" w:themeColor="text1"/>
          <w:sz w:val="22"/>
          <w:szCs w:val="22"/>
          <w:vertAlign w:val="subscript"/>
        </w:rPr>
        <w:t>10</w:t>
      </w:r>
      <w:r w:rsidRPr="007D59B1">
        <w:rPr>
          <w:rFonts w:cs="Arial"/>
          <w:color w:val="000000" w:themeColor="text1"/>
          <w:sz w:val="22"/>
          <w:szCs w:val="22"/>
        </w:rPr>
        <w:t xml:space="preserve"> (KELLY) = 30 </w:t>
      </w:r>
      <w:proofErr w:type="spellStart"/>
      <w:r w:rsidRPr="007D59B1">
        <w:rPr>
          <w:rFonts w:cs="Arial"/>
          <w:color w:val="000000" w:themeColor="text1"/>
          <w:sz w:val="22"/>
          <w:szCs w:val="22"/>
        </w:rPr>
        <w:t>nM</w:t>
      </w:r>
      <w:proofErr w:type="spellEnd"/>
      <w:r w:rsidRPr="007D59B1">
        <w:rPr>
          <w:rFonts w:cs="Arial"/>
          <w:color w:val="000000" w:themeColor="text1"/>
          <w:sz w:val="22"/>
          <w:szCs w:val="22"/>
        </w:rPr>
        <w:t>, ED</w:t>
      </w:r>
      <w:r w:rsidRPr="007D59B1">
        <w:rPr>
          <w:rFonts w:cs="Arial"/>
          <w:color w:val="000000" w:themeColor="text1"/>
          <w:sz w:val="22"/>
          <w:szCs w:val="22"/>
          <w:vertAlign w:val="subscript"/>
        </w:rPr>
        <w:t>10</w:t>
      </w:r>
      <w:r w:rsidRPr="007D59B1">
        <w:rPr>
          <w:rFonts w:cs="Arial"/>
          <w:color w:val="000000" w:themeColor="text1"/>
          <w:sz w:val="22"/>
          <w:szCs w:val="22"/>
        </w:rPr>
        <w:t xml:space="preserve"> (LAN</w:t>
      </w:r>
      <w:r w:rsidR="00620D1C">
        <w:rPr>
          <w:rFonts w:cs="Arial"/>
          <w:color w:val="000000" w:themeColor="text1"/>
          <w:sz w:val="22"/>
          <w:szCs w:val="22"/>
        </w:rPr>
        <w:t>-</w:t>
      </w:r>
      <w:r w:rsidRPr="007D59B1">
        <w:rPr>
          <w:rFonts w:cs="Arial"/>
          <w:color w:val="000000" w:themeColor="text1"/>
          <w:sz w:val="22"/>
          <w:szCs w:val="22"/>
        </w:rPr>
        <w:t xml:space="preserve">5) = 3 </w:t>
      </w:r>
      <w:proofErr w:type="spellStart"/>
      <w:r w:rsidRPr="007D59B1">
        <w:rPr>
          <w:rFonts w:cs="Arial"/>
          <w:color w:val="000000" w:themeColor="text1"/>
          <w:sz w:val="22"/>
          <w:szCs w:val="22"/>
        </w:rPr>
        <w:t>nM</w:t>
      </w:r>
      <w:proofErr w:type="spellEnd"/>
      <w:r w:rsidRPr="007D59B1">
        <w:rPr>
          <w:rFonts w:cs="Arial"/>
          <w:color w:val="000000" w:themeColor="text1"/>
          <w:sz w:val="22"/>
          <w:szCs w:val="22"/>
        </w:rPr>
        <w:t xml:space="preserve">). </w:t>
      </w:r>
      <w:r w:rsidRPr="007D59B1">
        <w:rPr>
          <w:rFonts w:cs="Arial"/>
          <w:b/>
          <w:color w:val="000000" w:themeColor="text1"/>
          <w:sz w:val="22"/>
          <w:szCs w:val="22"/>
        </w:rPr>
        <w:t>c</w:t>
      </w:r>
      <w:r w:rsidRPr="007D59B1">
        <w:rPr>
          <w:rFonts w:cs="Arial"/>
          <w:color w:val="000000" w:themeColor="text1"/>
          <w:sz w:val="22"/>
          <w:szCs w:val="22"/>
        </w:rPr>
        <w:t xml:space="preserve"> Apoptosis analysis of ALK-positive NB cell lines treated with DMSO, </w:t>
      </w:r>
      <w:proofErr w:type="spellStart"/>
      <w:r w:rsidRPr="007D59B1">
        <w:rPr>
          <w:rFonts w:cs="Arial"/>
          <w:color w:val="000000" w:themeColor="text1"/>
          <w:sz w:val="22"/>
          <w:szCs w:val="22"/>
        </w:rPr>
        <w:t>brigatinib</w:t>
      </w:r>
      <w:proofErr w:type="spellEnd"/>
      <w:r w:rsidRPr="007D59B1">
        <w:rPr>
          <w:rFonts w:cs="Arial"/>
          <w:color w:val="000000" w:themeColor="text1"/>
          <w:sz w:val="22"/>
          <w:szCs w:val="22"/>
        </w:rPr>
        <w:t xml:space="preserve"> (1 µM), AZD1208 (1 µM), or a combination of the two (combo) for 48 hours. Drug interaction was assessed using the Bliss Independence model as described above. </w:t>
      </w:r>
      <w:r w:rsidR="00BD3EAF" w:rsidRPr="007D59B1">
        <w:rPr>
          <w:rFonts w:cs="Arial"/>
          <w:color w:val="000000" w:themeColor="text1"/>
          <w:sz w:val="22"/>
          <w:szCs w:val="22"/>
        </w:rPr>
        <w:t>Data points represent</w:t>
      </w:r>
      <w:r w:rsidR="00BD3EAF">
        <w:rPr>
          <w:rFonts w:cs="Arial"/>
          <w:color w:val="000000" w:themeColor="text1"/>
          <w:sz w:val="22"/>
          <w:szCs w:val="22"/>
        </w:rPr>
        <w:t xml:space="preserve"> </w:t>
      </w:r>
      <w:r w:rsidR="00BD3EAF" w:rsidRPr="007D59B1">
        <w:rPr>
          <w:rFonts w:cs="Arial"/>
          <w:color w:val="000000" w:themeColor="text1"/>
          <w:sz w:val="22"/>
          <w:szCs w:val="22"/>
        </w:rPr>
        <w:t>mean</w:t>
      </w:r>
      <w:r w:rsidR="00BD3EAF">
        <w:rPr>
          <w:rFonts w:cs="Arial"/>
          <w:color w:val="000000" w:themeColor="text1"/>
          <w:sz w:val="22"/>
          <w:szCs w:val="22"/>
        </w:rPr>
        <w:t>s</w:t>
      </w:r>
      <w:r w:rsidR="00BD3EAF" w:rsidRPr="007D59B1">
        <w:rPr>
          <w:rFonts w:cs="Arial"/>
          <w:color w:val="000000" w:themeColor="text1"/>
          <w:sz w:val="22"/>
          <w:szCs w:val="22"/>
        </w:rPr>
        <w:t xml:space="preserve"> ± </w:t>
      </w:r>
      <w:proofErr w:type="spellStart"/>
      <w:r w:rsidR="008804DA">
        <w:rPr>
          <w:rFonts w:cs="Arial"/>
          <w:color w:val="000000" w:themeColor="text1"/>
          <w:sz w:val="22"/>
          <w:szCs w:val="22"/>
        </w:rPr>
        <w:t>s.d.</w:t>
      </w:r>
      <w:proofErr w:type="spellEnd"/>
      <w:r w:rsidR="00BD3EAF" w:rsidRPr="007D59B1">
        <w:rPr>
          <w:rFonts w:cs="Arial"/>
          <w:color w:val="000000" w:themeColor="text1"/>
          <w:sz w:val="22"/>
          <w:szCs w:val="22"/>
        </w:rPr>
        <w:t xml:space="preserve"> of triplicate experiments.</w:t>
      </w:r>
      <w:r w:rsidR="00E071D0">
        <w:rPr>
          <w:rFonts w:cs="Arial"/>
          <w:color w:val="000000" w:themeColor="text1"/>
          <w:sz w:val="22"/>
          <w:szCs w:val="22"/>
        </w:rPr>
        <w:t xml:space="preserve"> </w:t>
      </w:r>
      <w:r w:rsidR="00E071D0" w:rsidRPr="00E071D0">
        <w:rPr>
          <w:rFonts w:cs="Arial"/>
          <w:color w:val="000000" w:themeColor="text1"/>
          <w:sz w:val="22"/>
          <w:szCs w:val="22"/>
        </w:rPr>
        <w:t xml:space="preserve">Source data </w:t>
      </w:r>
      <w:r w:rsidR="00BA6C02">
        <w:rPr>
          <w:rFonts w:cs="Arial"/>
          <w:color w:val="000000" w:themeColor="text1"/>
          <w:sz w:val="22"/>
          <w:szCs w:val="22"/>
        </w:rPr>
        <w:t xml:space="preserve">for this </w:t>
      </w:r>
      <w:r w:rsidR="005222C3">
        <w:rPr>
          <w:rFonts w:cs="Arial"/>
          <w:color w:val="000000" w:themeColor="text1"/>
          <w:sz w:val="22"/>
          <w:szCs w:val="22"/>
        </w:rPr>
        <w:t>figure</w:t>
      </w:r>
      <w:r w:rsidR="00BA6C02">
        <w:rPr>
          <w:rFonts w:cs="Arial"/>
          <w:color w:val="000000" w:themeColor="text1"/>
          <w:sz w:val="22"/>
          <w:szCs w:val="22"/>
        </w:rPr>
        <w:t xml:space="preserve"> </w:t>
      </w:r>
      <w:r w:rsidR="00E071D0" w:rsidRPr="00E071D0">
        <w:rPr>
          <w:rFonts w:cs="Arial"/>
          <w:color w:val="000000" w:themeColor="text1"/>
          <w:sz w:val="22"/>
          <w:szCs w:val="22"/>
        </w:rPr>
        <w:t>are provided as a Source Data file</w:t>
      </w:r>
    </w:p>
    <w:p w14:paraId="55AABBAB" w14:textId="1E310C7B" w:rsidR="00042D2A" w:rsidRPr="007D59B1" w:rsidRDefault="00042D2A" w:rsidP="00872AA4">
      <w:pPr>
        <w:spacing w:line="360" w:lineRule="auto"/>
        <w:jc w:val="both"/>
        <w:rPr>
          <w:rFonts w:cs="Arial"/>
          <w:color w:val="000000" w:themeColor="text1"/>
          <w:sz w:val="22"/>
          <w:szCs w:val="22"/>
        </w:rPr>
      </w:pPr>
    </w:p>
    <w:p w14:paraId="25075DF5" w14:textId="21A9AF73" w:rsidR="002A3C22" w:rsidRPr="002A3C22" w:rsidRDefault="00042D2A" w:rsidP="00053B80">
      <w:pPr>
        <w:pStyle w:val="NormalWeb"/>
        <w:spacing w:beforeAutospacing="0" w:afterAutospacing="0" w:line="360" w:lineRule="auto"/>
        <w:jc w:val="both"/>
        <w:rPr>
          <w:rFonts w:ascii="Arial" w:hAnsi="Arial" w:cs="Arial"/>
          <w:b/>
          <w:sz w:val="22"/>
          <w:szCs w:val="22"/>
        </w:rPr>
      </w:pPr>
      <w:r w:rsidRPr="007D59B1">
        <w:rPr>
          <w:rFonts w:ascii="Arial" w:hAnsi="Arial" w:cs="Arial"/>
          <w:b/>
          <w:sz w:val="22"/>
          <w:szCs w:val="22"/>
        </w:rPr>
        <w:t>Fig</w:t>
      </w:r>
      <w:r w:rsidR="005B5A4C" w:rsidRPr="007D59B1">
        <w:rPr>
          <w:rFonts w:ascii="Arial" w:hAnsi="Arial" w:cs="Arial"/>
          <w:b/>
          <w:sz w:val="22"/>
          <w:szCs w:val="22"/>
        </w:rPr>
        <w:t>.</w:t>
      </w:r>
      <w:r w:rsidRPr="007D59B1">
        <w:rPr>
          <w:rFonts w:ascii="Arial" w:hAnsi="Arial" w:cs="Arial"/>
          <w:b/>
          <w:sz w:val="22"/>
          <w:szCs w:val="22"/>
        </w:rPr>
        <w:t xml:space="preserve"> 5 </w:t>
      </w:r>
      <w:r w:rsidR="002A3C22" w:rsidRPr="00845ECF">
        <w:rPr>
          <w:rFonts w:ascii="Arial" w:hAnsi="Arial" w:cs="Arial"/>
          <w:b/>
          <w:sz w:val="22"/>
          <w:szCs w:val="22"/>
        </w:rPr>
        <w:t>Efficacy o</w:t>
      </w:r>
      <w:r w:rsidRPr="00845ECF">
        <w:rPr>
          <w:rFonts w:ascii="Arial" w:hAnsi="Arial" w:cs="Arial"/>
          <w:b/>
          <w:sz w:val="22"/>
          <w:szCs w:val="22"/>
        </w:rPr>
        <w:t xml:space="preserve">f </w:t>
      </w:r>
      <w:proofErr w:type="spellStart"/>
      <w:r w:rsidRPr="00845ECF">
        <w:rPr>
          <w:rFonts w:ascii="Arial" w:hAnsi="Arial" w:cs="Arial"/>
          <w:b/>
          <w:sz w:val="22"/>
          <w:szCs w:val="22"/>
        </w:rPr>
        <w:t>ceritinib</w:t>
      </w:r>
      <w:proofErr w:type="spellEnd"/>
      <w:r w:rsidRPr="00845ECF">
        <w:rPr>
          <w:rFonts w:ascii="Arial" w:hAnsi="Arial" w:cs="Arial"/>
          <w:b/>
          <w:sz w:val="22"/>
          <w:szCs w:val="22"/>
        </w:rPr>
        <w:t xml:space="preserve"> and AZD1208 in driven patient-derived NB xenografts</w:t>
      </w:r>
      <w:r w:rsidRPr="002A3C22">
        <w:rPr>
          <w:rFonts w:ascii="Arial" w:hAnsi="Arial" w:cs="Arial"/>
          <w:b/>
          <w:sz w:val="22"/>
          <w:szCs w:val="22"/>
        </w:rPr>
        <w:t xml:space="preserve"> </w:t>
      </w:r>
    </w:p>
    <w:p w14:paraId="301064F7" w14:textId="4DD8B18C" w:rsidR="00A97C97" w:rsidRPr="00845ECF" w:rsidRDefault="00053B80" w:rsidP="00845ECF">
      <w:pPr>
        <w:pStyle w:val="NormalWeb"/>
        <w:spacing w:beforeAutospacing="0" w:afterAutospacing="0" w:line="360" w:lineRule="auto"/>
        <w:jc w:val="both"/>
        <w:rPr>
          <w:color w:val="FF0000"/>
        </w:rPr>
      </w:pPr>
      <w:r w:rsidRPr="00A52AB7">
        <w:rPr>
          <w:rFonts w:ascii="Arial" w:eastAsia="+mn-ea" w:hAnsi="Arial" w:cs="Arial"/>
          <w:b/>
          <w:color w:val="000000"/>
          <w:kern w:val="24"/>
          <w:sz w:val="22"/>
          <w:szCs w:val="22"/>
        </w:rPr>
        <w:t>a</w:t>
      </w:r>
      <w:r w:rsidRPr="007D59B1">
        <w:rPr>
          <w:rFonts w:ascii="Arial" w:eastAsia="+mn-ea" w:hAnsi="Arial" w:cs="Arial"/>
          <w:bCs/>
          <w:color w:val="000000"/>
          <w:kern w:val="24"/>
          <w:sz w:val="22"/>
          <w:szCs w:val="22"/>
        </w:rPr>
        <w:t xml:space="preserve"> </w:t>
      </w:r>
      <w:proofErr w:type="spellStart"/>
      <w:r w:rsidRPr="007D59B1">
        <w:rPr>
          <w:rFonts w:ascii="Arial" w:eastAsia="+mn-ea" w:hAnsi="Arial" w:cs="Arial"/>
          <w:bCs/>
          <w:color w:val="000000"/>
          <w:kern w:val="24"/>
          <w:sz w:val="22"/>
          <w:szCs w:val="22"/>
        </w:rPr>
        <w:t>Tumor</w:t>
      </w:r>
      <w:proofErr w:type="spellEnd"/>
      <w:r w:rsidRPr="007D59B1">
        <w:rPr>
          <w:rFonts w:ascii="Arial" w:eastAsia="+mn-ea" w:hAnsi="Arial" w:cs="Arial"/>
          <w:bCs/>
          <w:color w:val="000000"/>
          <w:kern w:val="24"/>
          <w:sz w:val="22"/>
          <w:szCs w:val="22"/>
        </w:rPr>
        <w:t xml:space="preserve"> volume over time </w:t>
      </w:r>
      <w:r w:rsidR="00A52AB7">
        <w:rPr>
          <w:rFonts w:ascii="Arial" w:eastAsia="+mn-ea" w:hAnsi="Arial" w:cs="Arial"/>
          <w:bCs/>
          <w:color w:val="000000"/>
          <w:kern w:val="24"/>
          <w:sz w:val="22"/>
          <w:szCs w:val="22"/>
        </w:rPr>
        <w:t>in</w:t>
      </w:r>
      <w:r w:rsidRPr="007D59B1">
        <w:rPr>
          <w:rFonts w:ascii="Arial" w:eastAsia="+mn-ea" w:hAnsi="Arial" w:cs="Arial"/>
          <w:bCs/>
          <w:color w:val="000000"/>
          <w:kern w:val="24"/>
          <w:sz w:val="22"/>
          <w:szCs w:val="22"/>
        </w:rPr>
        <w:t xml:space="preserve"> COG-N-426x PDX mice administered daily with vehicle (0.5% hydroxypropyl methylcellulose, 0.5% Tween-80), </w:t>
      </w:r>
      <w:proofErr w:type="spellStart"/>
      <w:r w:rsidRPr="007D59B1">
        <w:rPr>
          <w:rFonts w:ascii="Arial" w:eastAsia="+mn-ea" w:hAnsi="Arial" w:cs="Arial"/>
          <w:bCs/>
          <w:color w:val="000000"/>
          <w:kern w:val="24"/>
          <w:sz w:val="22"/>
          <w:szCs w:val="22"/>
        </w:rPr>
        <w:t>ceritinib</w:t>
      </w:r>
      <w:proofErr w:type="spellEnd"/>
      <w:r w:rsidRPr="007D59B1">
        <w:rPr>
          <w:rFonts w:ascii="Arial" w:eastAsia="+mn-ea" w:hAnsi="Arial" w:cs="Arial"/>
          <w:bCs/>
          <w:color w:val="000000"/>
          <w:kern w:val="24"/>
          <w:sz w:val="22"/>
          <w:szCs w:val="22"/>
        </w:rPr>
        <w:t xml:space="preserve"> (30 mg/kg), AZD1208 (15 mg/kg), or </w:t>
      </w:r>
      <w:proofErr w:type="spellStart"/>
      <w:r w:rsidRPr="007D59B1">
        <w:rPr>
          <w:rFonts w:ascii="Arial" w:eastAsia="+mn-ea" w:hAnsi="Arial" w:cs="Arial"/>
          <w:bCs/>
          <w:color w:val="000000"/>
          <w:kern w:val="24"/>
          <w:sz w:val="22"/>
          <w:szCs w:val="22"/>
        </w:rPr>
        <w:t>ceritinib</w:t>
      </w:r>
      <w:proofErr w:type="spellEnd"/>
      <w:r w:rsidRPr="007D59B1">
        <w:rPr>
          <w:rFonts w:ascii="Arial" w:eastAsia="+mn-ea" w:hAnsi="Arial" w:cs="Arial"/>
          <w:bCs/>
          <w:color w:val="000000"/>
          <w:kern w:val="24"/>
          <w:sz w:val="22"/>
          <w:szCs w:val="22"/>
        </w:rPr>
        <w:t xml:space="preserve"> and AZD1208 (combo). </w:t>
      </w:r>
      <w:r w:rsidR="00BD3EAF" w:rsidRPr="007D59B1">
        <w:rPr>
          <w:rFonts w:ascii="Arial" w:eastAsia="+mn-ea" w:hAnsi="Arial" w:cs="Arial"/>
          <w:bCs/>
          <w:color w:val="000000"/>
          <w:kern w:val="24"/>
          <w:sz w:val="22"/>
          <w:szCs w:val="22"/>
        </w:rPr>
        <w:t>Data points represent mean</w:t>
      </w:r>
      <w:r w:rsidR="00BD3EAF">
        <w:rPr>
          <w:rFonts w:ascii="Arial" w:eastAsia="+mn-ea" w:hAnsi="Arial" w:cs="Arial"/>
          <w:bCs/>
          <w:color w:val="000000"/>
          <w:kern w:val="24"/>
          <w:sz w:val="22"/>
          <w:szCs w:val="22"/>
        </w:rPr>
        <w:t>s</w:t>
      </w:r>
      <w:r w:rsidR="00BD3EAF" w:rsidRPr="007D59B1">
        <w:rPr>
          <w:rFonts w:ascii="Arial" w:eastAsia="+mn-ea" w:hAnsi="Arial" w:cs="Arial"/>
          <w:bCs/>
          <w:color w:val="000000"/>
          <w:kern w:val="24"/>
          <w:sz w:val="22"/>
          <w:szCs w:val="22"/>
        </w:rPr>
        <w:t xml:space="preserve"> (</w:t>
      </w:r>
      <w:r w:rsidR="00BD3EAF" w:rsidRPr="007D59B1">
        <w:rPr>
          <w:rFonts w:ascii="Arial" w:eastAsia="+mn-ea" w:hAnsi="Arial" w:cs="Arial"/>
          <w:bCs/>
          <w:i/>
          <w:iCs/>
          <w:color w:val="000000"/>
          <w:kern w:val="24"/>
          <w:sz w:val="22"/>
          <w:szCs w:val="22"/>
        </w:rPr>
        <w:t>n</w:t>
      </w:r>
      <w:r w:rsidR="00BD3EAF" w:rsidRPr="007D59B1">
        <w:rPr>
          <w:rFonts w:ascii="Arial" w:eastAsia="+mn-ea" w:hAnsi="Arial" w:cs="Arial"/>
          <w:bCs/>
          <w:color w:val="000000"/>
          <w:kern w:val="24"/>
          <w:sz w:val="22"/>
          <w:szCs w:val="22"/>
        </w:rPr>
        <w:t xml:space="preserve"> = 4) +</w:t>
      </w:r>
      <w:r w:rsidR="00BD3EAF">
        <w:rPr>
          <w:rFonts w:ascii="Arial" w:eastAsia="+mn-ea" w:hAnsi="Arial" w:cs="Arial"/>
          <w:bCs/>
          <w:color w:val="000000"/>
          <w:kern w:val="24"/>
          <w:sz w:val="22"/>
          <w:szCs w:val="22"/>
        </w:rPr>
        <w:t>/-</w:t>
      </w:r>
      <w:r w:rsidR="00BD3EAF" w:rsidRPr="007D59B1">
        <w:rPr>
          <w:rFonts w:ascii="Arial" w:eastAsia="+mn-ea" w:hAnsi="Arial" w:cs="Arial"/>
          <w:bCs/>
          <w:color w:val="000000"/>
          <w:kern w:val="24"/>
          <w:sz w:val="22"/>
          <w:szCs w:val="22"/>
        </w:rPr>
        <w:t xml:space="preserve"> </w:t>
      </w:r>
      <w:proofErr w:type="spellStart"/>
      <w:r w:rsidR="008804DA">
        <w:rPr>
          <w:rFonts w:ascii="Arial" w:eastAsia="+mn-ea" w:hAnsi="Arial" w:cs="Arial"/>
          <w:bCs/>
          <w:color w:val="000000"/>
          <w:kern w:val="24"/>
          <w:sz w:val="22"/>
          <w:szCs w:val="22"/>
        </w:rPr>
        <w:t>s.e.m.</w:t>
      </w:r>
      <w:proofErr w:type="spellEnd"/>
      <w:r w:rsidR="00BD3EAF" w:rsidRPr="007D59B1">
        <w:rPr>
          <w:rFonts w:ascii="Arial" w:eastAsia="+mn-ea" w:hAnsi="Arial" w:cs="Arial"/>
          <w:bCs/>
          <w:color w:val="000000"/>
          <w:kern w:val="24"/>
          <w:sz w:val="22"/>
          <w:szCs w:val="22"/>
        </w:rPr>
        <w:t xml:space="preserve"> and are </w:t>
      </w:r>
      <w:r w:rsidR="00BD3EAF" w:rsidRPr="007D59B1">
        <w:rPr>
          <w:rFonts w:ascii="Arial" w:eastAsia="+mn-ea" w:hAnsi="Arial" w:cs="Arial"/>
          <w:bCs/>
          <w:color w:val="000000"/>
          <w:kern w:val="24"/>
          <w:sz w:val="22"/>
          <w:szCs w:val="22"/>
        </w:rPr>
        <w:lastRenderedPageBreak/>
        <w:t>shown until death of the first animal within each treatment group.</w:t>
      </w:r>
      <w:r w:rsidR="00BD3EAF">
        <w:rPr>
          <w:rFonts w:ascii="Arial" w:eastAsia="+mn-ea" w:hAnsi="Arial" w:cs="Arial"/>
          <w:bCs/>
          <w:color w:val="000000"/>
          <w:kern w:val="24"/>
          <w:sz w:val="22"/>
          <w:szCs w:val="22"/>
        </w:rPr>
        <w:t xml:space="preserve"> </w:t>
      </w:r>
      <w:r w:rsidRPr="007D59B1">
        <w:rPr>
          <w:rFonts w:ascii="Arial" w:eastAsia="+mn-ea" w:hAnsi="Arial" w:cs="Arial"/>
          <w:bCs/>
          <w:color w:val="000000"/>
          <w:kern w:val="24"/>
          <w:sz w:val="22"/>
          <w:szCs w:val="22"/>
        </w:rPr>
        <w:t>*</w:t>
      </w:r>
      <w:r w:rsidRPr="007D59B1">
        <w:rPr>
          <w:rFonts w:ascii="Arial" w:eastAsia="+mn-ea" w:hAnsi="Arial" w:cs="Arial"/>
          <w:bCs/>
          <w:i/>
          <w:iCs/>
          <w:color w:val="000000"/>
          <w:kern w:val="24"/>
          <w:sz w:val="22"/>
          <w:szCs w:val="22"/>
        </w:rPr>
        <w:t>p</w:t>
      </w:r>
      <w:r w:rsidRPr="007D59B1">
        <w:rPr>
          <w:rFonts w:ascii="Arial" w:eastAsia="+mn-ea" w:hAnsi="Arial" w:cs="Arial"/>
          <w:bCs/>
          <w:color w:val="000000"/>
          <w:kern w:val="24"/>
          <w:sz w:val="22"/>
          <w:szCs w:val="22"/>
        </w:rPr>
        <w:t xml:space="preserve"> &lt; 0.05</w:t>
      </w:r>
      <w:r w:rsidR="003C57D0">
        <w:rPr>
          <w:rFonts w:ascii="Arial" w:eastAsia="+mn-ea" w:hAnsi="Arial" w:cs="Arial"/>
          <w:bCs/>
          <w:color w:val="000000"/>
          <w:kern w:val="24"/>
          <w:sz w:val="22"/>
          <w:szCs w:val="22"/>
        </w:rPr>
        <w:t xml:space="preserve">; </w:t>
      </w:r>
      <w:r w:rsidR="003C57D0" w:rsidRPr="003C57D0">
        <w:rPr>
          <w:rFonts w:ascii="Arial" w:eastAsia="+mn-ea" w:hAnsi="Arial" w:cs="Arial"/>
          <w:bCs/>
          <w:color w:val="000000"/>
          <w:kern w:val="24"/>
          <w:sz w:val="22"/>
          <w:szCs w:val="22"/>
        </w:rPr>
        <w:t>**</w:t>
      </w:r>
      <w:r w:rsidR="003C57D0" w:rsidRPr="003C57D0">
        <w:rPr>
          <w:rFonts w:ascii="Arial" w:eastAsia="+mn-ea" w:hAnsi="Arial" w:cs="Arial"/>
          <w:bCs/>
          <w:i/>
          <w:iCs/>
          <w:color w:val="000000"/>
          <w:kern w:val="24"/>
          <w:sz w:val="22"/>
          <w:szCs w:val="22"/>
        </w:rPr>
        <w:t>p</w:t>
      </w:r>
      <w:r w:rsidR="003C57D0" w:rsidRPr="003C57D0">
        <w:rPr>
          <w:rFonts w:ascii="Arial" w:eastAsia="+mn-ea" w:hAnsi="Arial" w:cs="Arial"/>
          <w:bCs/>
          <w:color w:val="000000"/>
          <w:kern w:val="24"/>
          <w:sz w:val="22"/>
          <w:szCs w:val="22"/>
        </w:rPr>
        <w:t xml:space="preserve"> &lt; 0.005 </w:t>
      </w:r>
      <w:r w:rsidRPr="007D59B1">
        <w:rPr>
          <w:rFonts w:ascii="Arial" w:eastAsia="+mn-ea" w:hAnsi="Arial" w:cs="Arial"/>
          <w:bCs/>
          <w:color w:val="000000"/>
          <w:kern w:val="24"/>
          <w:sz w:val="22"/>
          <w:szCs w:val="22"/>
        </w:rPr>
        <w:t xml:space="preserve">(Mann-Whitney test). </w:t>
      </w:r>
      <w:r w:rsidRPr="00A52AB7">
        <w:rPr>
          <w:rFonts w:ascii="Arial" w:eastAsia="+mn-ea" w:hAnsi="Arial" w:cs="Arial"/>
          <w:b/>
          <w:color w:val="000000"/>
          <w:kern w:val="24"/>
          <w:sz w:val="22"/>
          <w:szCs w:val="22"/>
        </w:rPr>
        <w:t>b</w:t>
      </w:r>
      <w:r w:rsidRPr="007D59B1">
        <w:rPr>
          <w:rFonts w:ascii="Arial" w:eastAsia="+mn-ea" w:hAnsi="Arial" w:cs="Arial"/>
          <w:bCs/>
          <w:color w:val="000000"/>
          <w:kern w:val="24"/>
          <w:sz w:val="22"/>
          <w:szCs w:val="22"/>
        </w:rPr>
        <w:t xml:space="preserve"> Kaplan-Meier event-free survival according to each treatment group for </w:t>
      </w:r>
      <w:proofErr w:type="spellStart"/>
      <w:r w:rsidRPr="007D59B1">
        <w:rPr>
          <w:rFonts w:ascii="Arial" w:eastAsia="+mn-ea" w:hAnsi="Arial" w:cs="Arial"/>
          <w:bCs/>
          <w:color w:val="000000"/>
          <w:kern w:val="24"/>
          <w:sz w:val="22"/>
          <w:szCs w:val="22"/>
        </w:rPr>
        <w:t>tumor</w:t>
      </w:r>
      <w:proofErr w:type="spellEnd"/>
      <w:r w:rsidR="00A52AB7">
        <w:rPr>
          <w:rFonts w:ascii="Arial" w:eastAsia="+mn-ea" w:hAnsi="Arial" w:cs="Arial"/>
          <w:bCs/>
          <w:color w:val="000000"/>
          <w:kern w:val="24"/>
          <w:sz w:val="22"/>
          <w:szCs w:val="22"/>
        </w:rPr>
        <w:t>-</w:t>
      </w:r>
      <w:r w:rsidRPr="007D59B1">
        <w:rPr>
          <w:rFonts w:ascii="Arial" w:eastAsia="+mn-ea" w:hAnsi="Arial" w:cs="Arial"/>
          <w:bCs/>
          <w:color w:val="000000"/>
          <w:kern w:val="24"/>
          <w:sz w:val="22"/>
          <w:szCs w:val="22"/>
        </w:rPr>
        <w:t xml:space="preserve">bearing COG-N-426x mice, where survival is defined as the time taken for </w:t>
      </w:r>
      <w:proofErr w:type="spellStart"/>
      <w:r w:rsidRPr="007D59B1">
        <w:rPr>
          <w:rFonts w:ascii="Arial" w:eastAsia="+mn-ea" w:hAnsi="Arial" w:cs="Arial"/>
          <w:bCs/>
          <w:color w:val="000000"/>
          <w:kern w:val="24"/>
          <w:sz w:val="22"/>
          <w:szCs w:val="22"/>
        </w:rPr>
        <w:t>tumors</w:t>
      </w:r>
      <w:proofErr w:type="spellEnd"/>
      <w:r w:rsidRPr="007D59B1">
        <w:rPr>
          <w:rFonts w:ascii="Arial" w:eastAsia="+mn-ea" w:hAnsi="Arial" w:cs="Arial"/>
          <w:bCs/>
          <w:color w:val="000000"/>
          <w:kern w:val="24"/>
          <w:sz w:val="22"/>
          <w:szCs w:val="22"/>
        </w:rPr>
        <w:t xml:space="preserve"> to </w:t>
      </w:r>
      <w:r w:rsidRPr="007D59B1">
        <w:rPr>
          <w:rFonts w:ascii="Arial" w:eastAsia="+mn-ea" w:hAnsi="Arial" w:cs="Arial"/>
          <w:bCs/>
          <w:kern w:val="24"/>
          <w:sz w:val="22"/>
          <w:szCs w:val="22"/>
        </w:rPr>
        <w:t>reach 15 mm diameter. *</w:t>
      </w:r>
      <w:r w:rsidRPr="007D59B1">
        <w:rPr>
          <w:rFonts w:ascii="Arial" w:eastAsia="+mn-ea" w:hAnsi="Arial" w:cs="Arial"/>
          <w:bCs/>
          <w:i/>
          <w:iCs/>
          <w:kern w:val="24"/>
          <w:sz w:val="22"/>
          <w:szCs w:val="22"/>
        </w:rPr>
        <w:t>p</w:t>
      </w:r>
      <w:r w:rsidRPr="007D59B1">
        <w:rPr>
          <w:rFonts w:ascii="Arial" w:eastAsia="+mn-ea" w:hAnsi="Arial" w:cs="Arial"/>
          <w:bCs/>
          <w:kern w:val="24"/>
          <w:sz w:val="22"/>
          <w:szCs w:val="22"/>
        </w:rPr>
        <w:t xml:space="preserve"> &lt; 0.01 (Log-rank test). </w:t>
      </w:r>
      <w:r w:rsidRPr="00A52AB7">
        <w:rPr>
          <w:rFonts w:ascii="Arial" w:eastAsia="+mn-ea" w:hAnsi="Arial" w:cs="Arial"/>
          <w:b/>
          <w:kern w:val="24"/>
          <w:sz w:val="22"/>
          <w:szCs w:val="22"/>
        </w:rPr>
        <w:t>c</w:t>
      </w:r>
      <w:r w:rsidRPr="007D59B1">
        <w:rPr>
          <w:rFonts w:ascii="Arial" w:eastAsia="+mn-ea" w:hAnsi="Arial" w:cs="Arial"/>
          <w:bCs/>
          <w:kern w:val="24"/>
          <w:sz w:val="22"/>
          <w:szCs w:val="22"/>
        </w:rPr>
        <w:t xml:space="preserve"> COG-N-426x mouse body weight at the experiment end-point relative to baseline per treatment group. </w:t>
      </w:r>
      <w:r w:rsidR="00BD3EAF" w:rsidRPr="007D59B1">
        <w:rPr>
          <w:rFonts w:ascii="Arial" w:eastAsia="+mn-ea" w:hAnsi="Arial" w:cs="Arial"/>
          <w:bCs/>
          <w:kern w:val="24"/>
          <w:sz w:val="22"/>
          <w:szCs w:val="22"/>
        </w:rPr>
        <w:t>Data points represent mean</w:t>
      </w:r>
      <w:r w:rsidR="00BD3EAF">
        <w:rPr>
          <w:rFonts w:ascii="Arial" w:eastAsia="+mn-ea" w:hAnsi="Arial" w:cs="Arial"/>
          <w:bCs/>
          <w:kern w:val="24"/>
          <w:sz w:val="22"/>
          <w:szCs w:val="22"/>
        </w:rPr>
        <w:t>s</w:t>
      </w:r>
      <w:r w:rsidR="00BD3EAF" w:rsidRPr="007D59B1">
        <w:rPr>
          <w:rFonts w:ascii="Arial" w:eastAsia="+mn-ea" w:hAnsi="Arial" w:cs="Arial"/>
          <w:bCs/>
          <w:kern w:val="24"/>
          <w:sz w:val="22"/>
          <w:szCs w:val="22"/>
        </w:rPr>
        <w:t xml:space="preserve"> (</w:t>
      </w:r>
      <w:r w:rsidR="00BD3EAF" w:rsidRPr="007D59B1">
        <w:rPr>
          <w:rFonts w:ascii="Arial" w:eastAsia="+mn-ea" w:hAnsi="Arial" w:cs="Arial"/>
          <w:bCs/>
          <w:i/>
          <w:iCs/>
          <w:kern w:val="24"/>
          <w:sz w:val="22"/>
          <w:szCs w:val="22"/>
        </w:rPr>
        <w:t>n</w:t>
      </w:r>
      <w:r w:rsidR="00BD3EAF" w:rsidRPr="007D59B1">
        <w:rPr>
          <w:rFonts w:ascii="Arial" w:eastAsia="+mn-ea" w:hAnsi="Arial" w:cs="Arial"/>
          <w:bCs/>
          <w:kern w:val="24"/>
          <w:sz w:val="22"/>
          <w:szCs w:val="22"/>
        </w:rPr>
        <w:t xml:space="preserve"> = 4) +</w:t>
      </w:r>
      <w:r w:rsidR="00BD3EAF">
        <w:rPr>
          <w:rFonts w:ascii="Arial" w:eastAsia="+mn-ea" w:hAnsi="Arial" w:cs="Arial"/>
          <w:bCs/>
          <w:kern w:val="24"/>
          <w:sz w:val="22"/>
          <w:szCs w:val="22"/>
        </w:rPr>
        <w:t>/-</w:t>
      </w:r>
      <w:r w:rsidR="00BD3EAF" w:rsidRPr="007D59B1">
        <w:rPr>
          <w:rFonts w:ascii="Arial" w:eastAsia="+mn-ea" w:hAnsi="Arial" w:cs="Arial"/>
          <w:bCs/>
          <w:kern w:val="24"/>
          <w:sz w:val="22"/>
          <w:szCs w:val="22"/>
        </w:rPr>
        <w:t xml:space="preserve"> </w:t>
      </w:r>
      <w:proofErr w:type="spellStart"/>
      <w:r w:rsidR="008804DA">
        <w:rPr>
          <w:rFonts w:ascii="Arial" w:eastAsia="+mn-ea" w:hAnsi="Arial" w:cs="Arial"/>
          <w:bCs/>
          <w:kern w:val="24"/>
          <w:sz w:val="22"/>
          <w:szCs w:val="22"/>
        </w:rPr>
        <w:t>s.d</w:t>
      </w:r>
      <w:r w:rsidR="00BD3EAF" w:rsidRPr="007D59B1">
        <w:rPr>
          <w:rFonts w:ascii="Arial" w:eastAsia="+mn-ea" w:hAnsi="Arial" w:cs="Arial"/>
          <w:bCs/>
          <w:kern w:val="24"/>
          <w:sz w:val="22"/>
          <w:szCs w:val="22"/>
        </w:rPr>
        <w:t>.</w:t>
      </w:r>
      <w:proofErr w:type="spellEnd"/>
      <w:r w:rsidR="00BD3EAF">
        <w:rPr>
          <w:rFonts w:ascii="Arial" w:eastAsia="+mn-ea" w:hAnsi="Arial" w:cs="Arial"/>
          <w:bCs/>
          <w:kern w:val="24"/>
          <w:sz w:val="22"/>
          <w:szCs w:val="22"/>
        </w:rPr>
        <w:t xml:space="preserve"> </w:t>
      </w:r>
      <w:r w:rsidRPr="007D59B1">
        <w:rPr>
          <w:rFonts w:ascii="Arial" w:eastAsia="+mn-ea" w:hAnsi="Arial" w:cs="Arial"/>
          <w:bCs/>
          <w:kern w:val="24"/>
          <w:sz w:val="22"/>
          <w:szCs w:val="22"/>
        </w:rPr>
        <w:t>*</w:t>
      </w:r>
      <w:r w:rsidRPr="007D59B1">
        <w:rPr>
          <w:rFonts w:ascii="Arial" w:eastAsia="+mn-ea" w:hAnsi="Arial" w:cs="Arial"/>
          <w:bCs/>
          <w:i/>
          <w:iCs/>
          <w:kern w:val="24"/>
          <w:sz w:val="22"/>
          <w:szCs w:val="22"/>
        </w:rPr>
        <w:t>p</w:t>
      </w:r>
      <w:r w:rsidRPr="007D59B1">
        <w:rPr>
          <w:rFonts w:ascii="Arial" w:eastAsia="+mn-ea" w:hAnsi="Arial" w:cs="Arial"/>
          <w:bCs/>
          <w:kern w:val="24"/>
          <w:sz w:val="22"/>
          <w:szCs w:val="22"/>
        </w:rPr>
        <w:t xml:space="preserve"> &gt; 0.05 (unpaired</w:t>
      </w:r>
      <w:r w:rsidR="006B65F4">
        <w:rPr>
          <w:rFonts w:ascii="Arial" w:eastAsia="+mn-ea" w:hAnsi="Arial" w:cs="Arial"/>
          <w:bCs/>
          <w:kern w:val="24"/>
          <w:sz w:val="22"/>
          <w:szCs w:val="22"/>
        </w:rPr>
        <w:t xml:space="preserve"> Student’s</w:t>
      </w:r>
      <w:r w:rsidRPr="007D59B1">
        <w:rPr>
          <w:rFonts w:ascii="Arial" w:eastAsia="+mn-ea" w:hAnsi="Arial" w:cs="Arial"/>
          <w:bCs/>
          <w:kern w:val="24"/>
          <w:sz w:val="22"/>
          <w:szCs w:val="22"/>
        </w:rPr>
        <w:t xml:space="preserve"> </w:t>
      </w:r>
      <w:r w:rsidRPr="007D59B1">
        <w:rPr>
          <w:rFonts w:ascii="Arial" w:eastAsia="+mn-ea" w:hAnsi="Arial" w:cs="Arial"/>
          <w:bCs/>
          <w:i/>
          <w:iCs/>
          <w:kern w:val="24"/>
          <w:sz w:val="22"/>
          <w:szCs w:val="22"/>
        </w:rPr>
        <w:t>t</w:t>
      </w:r>
      <w:r w:rsidRPr="007D59B1">
        <w:rPr>
          <w:rFonts w:ascii="Arial" w:eastAsia="+mn-ea" w:hAnsi="Arial" w:cs="Arial"/>
          <w:bCs/>
          <w:kern w:val="24"/>
          <w:sz w:val="22"/>
          <w:szCs w:val="22"/>
        </w:rPr>
        <w:t xml:space="preserve">-test). </w:t>
      </w:r>
      <w:r w:rsidRPr="006B65F4">
        <w:rPr>
          <w:rFonts w:ascii="Arial" w:eastAsia="+mn-ea" w:hAnsi="Arial" w:cs="Arial"/>
          <w:b/>
          <w:kern w:val="24"/>
          <w:sz w:val="22"/>
          <w:szCs w:val="22"/>
        </w:rPr>
        <w:t>d</w:t>
      </w:r>
      <w:r w:rsidRPr="007D59B1">
        <w:rPr>
          <w:rFonts w:ascii="Arial" w:eastAsia="+mn-ea" w:hAnsi="Arial" w:cs="Arial"/>
          <w:bCs/>
          <w:kern w:val="24"/>
          <w:sz w:val="22"/>
          <w:szCs w:val="22"/>
        </w:rPr>
        <w:t xml:space="preserve"> </w:t>
      </w:r>
      <w:proofErr w:type="spellStart"/>
      <w:r w:rsidRPr="007D59B1">
        <w:rPr>
          <w:rFonts w:ascii="Arial" w:eastAsia="+mn-ea" w:hAnsi="Arial" w:cs="Arial"/>
          <w:bCs/>
          <w:kern w:val="24"/>
          <w:sz w:val="22"/>
          <w:szCs w:val="22"/>
        </w:rPr>
        <w:t>Tumor</w:t>
      </w:r>
      <w:proofErr w:type="spellEnd"/>
      <w:r w:rsidRPr="007D59B1">
        <w:rPr>
          <w:rFonts w:ascii="Arial" w:eastAsia="+mn-ea" w:hAnsi="Arial" w:cs="Arial"/>
          <w:bCs/>
          <w:kern w:val="24"/>
          <w:sz w:val="22"/>
          <w:szCs w:val="22"/>
        </w:rPr>
        <w:t xml:space="preserve"> volume over time for COG-N-453x PDX mice administered daily with vehicle (0.5% hydroxypropyl methylcellulose, 0.5% Tween-80), </w:t>
      </w:r>
      <w:proofErr w:type="spellStart"/>
      <w:r w:rsidRPr="007D59B1">
        <w:rPr>
          <w:rFonts w:ascii="Arial" w:eastAsia="+mn-ea" w:hAnsi="Arial" w:cs="Arial"/>
          <w:bCs/>
          <w:kern w:val="24"/>
          <w:sz w:val="22"/>
          <w:szCs w:val="22"/>
        </w:rPr>
        <w:t>ceritinib</w:t>
      </w:r>
      <w:proofErr w:type="spellEnd"/>
      <w:r w:rsidRPr="007D59B1">
        <w:rPr>
          <w:rFonts w:ascii="Arial" w:eastAsia="+mn-ea" w:hAnsi="Arial" w:cs="Arial"/>
          <w:bCs/>
          <w:kern w:val="24"/>
          <w:sz w:val="22"/>
          <w:szCs w:val="22"/>
        </w:rPr>
        <w:t xml:space="preserve"> (30 mg/kg), AZD1208 (15 mg/kg), or </w:t>
      </w:r>
      <w:proofErr w:type="spellStart"/>
      <w:r w:rsidRPr="007D59B1">
        <w:rPr>
          <w:rFonts w:ascii="Arial" w:eastAsia="+mn-ea" w:hAnsi="Arial" w:cs="Arial"/>
          <w:bCs/>
          <w:kern w:val="24"/>
          <w:sz w:val="22"/>
          <w:szCs w:val="22"/>
        </w:rPr>
        <w:t>ceritinib</w:t>
      </w:r>
      <w:proofErr w:type="spellEnd"/>
      <w:r w:rsidRPr="007D59B1">
        <w:rPr>
          <w:rFonts w:ascii="Arial" w:eastAsia="+mn-ea" w:hAnsi="Arial" w:cs="Arial"/>
          <w:bCs/>
          <w:kern w:val="24"/>
          <w:sz w:val="22"/>
          <w:szCs w:val="22"/>
        </w:rPr>
        <w:t xml:space="preserve"> and AZD1208 (combo). </w:t>
      </w:r>
      <w:r w:rsidR="00BD3EAF" w:rsidRPr="007D59B1">
        <w:rPr>
          <w:rFonts w:ascii="Arial" w:eastAsia="+mn-ea" w:hAnsi="Arial" w:cs="Arial"/>
          <w:bCs/>
          <w:kern w:val="24"/>
          <w:sz w:val="22"/>
          <w:szCs w:val="22"/>
        </w:rPr>
        <w:t>Data points represent mean</w:t>
      </w:r>
      <w:r w:rsidR="00BD3EAF">
        <w:rPr>
          <w:rFonts w:ascii="Arial" w:eastAsia="+mn-ea" w:hAnsi="Arial" w:cs="Arial"/>
          <w:bCs/>
          <w:kern w:val="24"/>
          <w:sz w:val="22"/>
          <w:szCs w:val="22"/>
        </w:rPr>
        <w:t>s</w:t>
      </w:r>
      <w:r w:rsidR="00BD3EAF" w:rsidRPr="007D59B1">
        <w:rPr>
          <w:rFonts w:ascii="Arial" w:eastAsia="+mn-ea" w:hAnsi="Arial" w:cs="Arial"/>
          <w:bCs/>
          <w:kern w:val="24"/>
          <w:sz w:val="22"/>
          <w:szCs w:val="22"/>
        </w:rPr>
        <w:t xml:space="preserve"> (</w:t>
      </w:r>
      <w:r w:rsidR="00BD3EAF" w:rsidRPr="007D59B1">
        <w:rPr>
          <w:rFonts w:ascii="Arial" w:eastAsia="+mn-ea" w:hAnsi="Arial" w:cs="Arial"/>
          <w:bCs/>
          <w:i/>
          <w:iCs/>
          <w:kern w:val="24"/>
          <w:sz w:val="22"/>
          <w:szCs w:val="22"/>
        </w:rPr>
        <w:t>n</w:t>
      </w:r>
      <w:r w:rsidR="00BD3EAF" w:rsidRPr="007D59B1">
        <w:rPr>
          <w:rFonts w:ascii="Arial" w:eastAsia="+mn-ea" w:hAnsi="Arial" w:cs="Arial"/>
          <w:bCs/>
          <w:kern w:val="24"/>
          <w:sz w:val="22"/>
          <w:szCs w:val="22"/>
        </w:rPr>
        <w:t xml:space="preserve"> = 4) + </w:t>
      </w:r>
      <w:proofErr w:type="spellStart"/>
      <w:r w:rsidR="008804DA">
        <w:rPr>
          <w:rFonts w:ascii="Arial" w:eastAsia="+mn-ea" w:hAnsi="Arial" w:cs="Arial"/>
          <w:bCs/>
          <w:kern w:val="24"/>
          <w:sz w:val="22"/>
          <w:szCs w:val="22"/>
        </w:rPr>
        <w:t>s.e.m.</w:t>
      </w:r>
      <w:proofErr w:type="spellEnd"/>
      <w:r w:rsidR="008804DA" w:rsidRPr="007D59B1">
        <w:rPr>
          <w:rFonts w:ascii="Arial" w:eastAsia="+mn-ea" w:hAnsi="Arial" w:cs="Arial"/>
          <w:bCs/>
          <w:kern w:val="24"/>
          <w:sz w:val="22"/>
          <w:szCs w:val="22"/>
        </w:rPr>
        <w:t xml:space="preserve"> </w:t>
      </w:r>
      <w:r w:rsidR="00BD3EAF" w:rsidRPr="007D59B1">
        <w:rPr>
          <w:rFonts w:ascii="Arial" w:eastAsia="+mn-ea" w:hAnsi="Arial" w:cs="Arial"/>
          <w:bCs/>
          <w:kern w:val="24"/>
          <w:sz w:val="22"/>
          <w:szCs w:val="22"/>
        </w:rPr>
        <w:t>and are shown until death of the first animal within each treatment group.</w:t>
      </w:r>
      <w:r w:rsidR="00BD3EAF">
        <w:rPr>
          <w:rFonts w:ascii="Arial" w:eastAsia="+mn-ea" w:hAnsi="Arial" w:cs="Arial"/>
          <w:bCs/>
          <w:kern w:val="24"/>
          <w:sz w:val="22"/>
          <w:szCs w:val="22"/>
        </w:rPr>
        <w:t xml:space="preserve"> </w:t>
      </w:r>
      <w:r w:rsidRPr="007D59B1">
        <w:rPr>
          <w:rFonts w:ascii="Arial" w:eastAsia="+mn-ea" w:hAnsi="Arial" w:cs="Arial"/>
          <w:bCs/>
          <w:kern w:val="24"/>
          <w:sz w:val="22"/>
          <w:szCs w:val="22"/>
        </w:rPr>
        <w:t>*</w:t>
      </w:r>
      <w:r w:rsidR="003C57D0">
        <w:rPr>
          <w:rFonts w:ascii="Arial" w:eastAsia="+mn-ea" w:hAnsi="Arial" w:cs="Arial"/>
          <w:bCs/>
          <w:kern w:val="24"/>
          <w:sz w:val="22"/>
          <w:szCs w:val="22"/>
        </w:rPr>
        <w:t>*</w:t>
      </w:r>
      <w:r w:rsidRPr="007D59B1">
        <w:rPr>
          <w:rFonts w:ascii="Arial" w:eastAsia="+mn-ea" w:hAnsi="Arial" w:cs="Arial"/>
          <w:bCs/>
          <w:i/>
          <w:iCs/>
          <w:kern w:val="24"/>
          <w:sz w:val="22"/>
          <w:szCs w:val="22"/>
        </w:rPr>
        <w:t>p</w:t>
      </w:r>
      <w:r w:rsidRPr="007D59B1">
        <w:rPr>
          <w:rFonts w:ascii="Arial" w:eastAsia="+mn-ea" w:hAnsi="Arial" w:cs="Arial"/>
          <w:bCs/>
          <w:kern w:val="24"/>
          <w:sz w:val="22"/>
          <w:szCs w:val="22"/>
        </w:rPr>
        <w:t xml:space="preserve"> &lt; 0.0</w:t>
      </w:r>
      <w:r w:rsidR="003C57D0">
        <w:rPr>
          <w:rFonts w:ascii="Arial" w:eastAsia="+mn-ea" w:hAnsi="Arial" w:cs="Arial"/>
          <w:bCs/>
          <w:kern w:val="24"/>
          <w:sz w:val="22"/>
          <w:szCs w:val="22"/>
        </w:rPr>
        <w:t>0</w:t>
      </w:r>
      <w:r w:rsidRPr="007D59B1">
        <w:rPr>
          <w:rFonts w:ascii="Arial" w:eastAsia="+mn-ea" w:hAnsi="Arial" w:cs="Arial"/>
          <w:bCs/>
          <w:kern w:val="24"/>
          <w:sz w:val="22"/>
          <w:szCs w:val="22"/>
        </w:rPr>
        <w:t xml:space="preserve">5 (Mann-Whitney test). </w:t>
      </w:r>
      <w:r w:rsidRPr="006B65F4">
        <w:rPr>
          <w:rFonts w:ascii="Arial" w:eastAsia="+mn-ea" w:hAnsi="Arial" w:cs="Arial"/>
          <w:b/>
          <w:kern w:val="24"/>
          <w:sz w:val="22"/>
          <w:szCs w:val="22"/>
        </w:rPr>
        <w:t>e</w:t>
      </w:r>
      <w:r w:rsidRPr="007D59B1">
        <w:rPr>
          <w:rFonts w:ascii="Arial" w:eastAsia="+mn-ea" w:hAnsi="Arial" w:cs="Arial"/>
          <w:bCs/>
          <w:kern w:val="24"/>
          <w:sz w:val="22"/>
          <w:szCs w:val="22"/>
        </w:rPr>
        <w:t xml:space="preserve"> Kaplan-Meier survival curve per treatment group for </w:t>
      </w:r>
      <w:proofErr w:type="spellStart"/>
      <w:r w:rsidRPr="007D59B1">
        <w:rPr>
          <w:rFonts w:ascii="Arial" w:eastAsia="+mn-ea" w:hAnsi="Arial" w:cs="Arial"/>
          <w:bCs/>
          <w:kern w:val="24"/>
          <w:sz w:val="22"/>
          <w:szCs w:val="22"/>
        </w:rPr>
        <w:t>tumor</w:t>
      </w:r>
      <w:proofErr w:type="spellEnd"/>
      <w:r w:rsidRPr="007D59B1">
        <w:rPr>
          <w:rFonts w:ascii="Arial" w:eastAsia="+mn-ea" w:hAnsi="Arial" w:cs="Arial"/>
          <w:bCs/>
          <w:kern w:val="24"/>
          <w:sz w:val="22"/>
          <w:szCs w:val="22"/>
        </w:rPr>
        <w:t xml:space="preserve"> bearing COG-N-453x mice, where survival is defined as the time taken for </w:t>
      </w:r>
      <w:proofErr w:type="spellStart"/>
      <w:r w:rsidRPr="007D59B1">
        <w:rPr>
          <w:rFonts w:ascii="Arial" w:eastAsia="+mn-ea" w:hAnsi="Arial" w:cs="Arial"/>
          <w:bCs/>
          <w:kern w:val="24"/>
          <w:sz w:val="22"/>
          <w:szCs w:val="22"/>
        </w:rPr>
        <w:t>tumors</w:t>
      </w:r>
      <w:proofErr w:type="spellEnd"/>
      <w:r w:rsidRPr="007D59B1">
        <w:rPr>
          <w:rFonts w:ascii="Arial" w:eastAsia="+mn-ea" w:hAnsi="Arial" w:cs="Arial"/>
          <w:bCs/>
          <w:kern w:val="24"/>
          <w:sz w:val="22"/>
          <w:szCs w:val="22"/>
        </w:rPr>
        <w:t xml:space="preserve"> to reach 15 mm diameter. The study was terminated on day 37, thus censoring one mouse</w:t>
      </w:r>
      <w:r w:rsidR="00AE44F3">
        <w:rPr>
          <w:rFonts w:ascii="Arial" w:eastAsia="+mn-ea" w:hAnsi="Arial" w:cs="Arial"/>
          <w:bCs/>
          <w:kern w:val="24"/>
          <w:sz w:val="22"/>
          <w:szCs w:val="22"/>
        </w:rPr>
        <w:t xml:space="preserve"> (**)</w:t>
      </w:r>
      <w:r w:rsidRPr="007D59B1">
        <w:rPr>
          <w:rFonts w:ascii="Arial" w:eastAsia="+mn-ea" w:hAnsi="Arial" w:cs="Arial"/>
          <w:bCs/>
          <w:kern w:val="24"/>
          <w:sz w:val="22"/>
          <w:szCs w:val="22"/>
        </w:rPr>
        <w:t>. *</w:t>
      </w:r>
      <w:r w:rsidRPr="007D59B1">
        <w:rPr>
          <w:rFonts w:ascii="Arial" w:eastAsia="+mn-ea" w:hAnsi="Arial" w:cs="Arial"/>
          <w:bCs/>
          <w:i/>
          <w:iCs/>
          <w:kern w:val="24"/>
          <w:sz w:val="22"/>
          <w:szCs w:val="22"/>
        </w:rPr>
        <w:t>p</w:t>
      </w:r>
      <w:r w:rsidRPr="007D59B1">
        <w:rPr>
          <w:rFonts w:ascii="Arial" w:eastAsia="+mn-ea" w:hAnsi="Arial" w:cs="Arial"/>
          <w:bCs/>
          <w:kern w:val="24"/>
          <w:sz w:val="22"/>
          <w:szCs w:val="22"/>
        </w:rPr>
        <w:t xml:space="preserve"> &lt; 0.01 (Log-rank test). </w:t>
      </w:r>
      <w:r w:rsidRPr="006B65F4">
        <w:rPr>
          <w:rFonts w:ascii="Arial" w:eastAsia="+mn-ea" w:hAnsi="Arial" w:cs="Arial"/>
          <w:b/>
          <w:kern w:val="24"/>
          <w:sz w:val="22"/>
          <w:szCs w:val="22"/>
        </w:rPr>
        <w:t>f</w:t>
      </w:r>
      <w:r w:rsidRPr="007D59B1">
        <w:rPr>
          <w:rFonts w:ascii="Arial" w:eastAsia="+mn-ea" w:hAnsi="Arial" w:cs="Arial"/>
          <w:bCs/>
          <w:kern w:val="24"/>
          <w:sz w:val="22"/>
          <w:szCs w:val="22"/>
        </w:rPr>
        <w:t xml:space="preserve"> </w:t>
      </w:r>
      <w:r w:rsidRPr="007D59B1">
        <w:rPr>
          <w:rFonts w:ascii="Arial" w:eastAsia="+mn-ea" w:hAnsi="Arial" w:cs="Arial"/>
          <w:bCs/>
          <w:i/>
          <w:iCs/>
          <w:kern w:val="24"/>
          <w:sz w:val="22"/>
          <w:szCs w:val="22"/>
        </w:rPr>
        <w:t>PIM1</w:t>
      </w:r>
      <w:r w:rsidRPr="007D59B1">
        <w:rPr>
          <w:rFonts w:ascii="Arial" w:eastAsia="+mn-ea" w:hAnsi="Arial" w:cs="Arial"/>
          <w:bCs/>
          <w:kern w:val="24"/>
          <w:sz w:val="22"/>
          <w:szCs w:val="22"/>
        </w:rPr>
        <w:t xml:space="preserve"> mRNA levels at the experiment end-point for COG-N-426x </w:t>
      </w:r>
      <w:proofErr w:type="spellStart"/>
      <w:r w:rsidRPr="007D59B1">
        <w:rPr>
          <w:rFonts w:ascii="Arial" w:eastAsia="+mn-ea" w:hAnsi="Arial" w:cs="Arial"/>
          <w:bCs/>
          <w:kern w:val="24"/>
          <w:sz w:val="22"/>
          <w:szCs w:val="22"/>
        </w:rPr>
        <w:t>tumor</w:t>
      </w:r>
      <w:proofErr w:type="spellEnd"/>
      <w:r w:rsidRPr="007D59B1">
        <w:rPr>
          <w:rFonts w:ascii="Arial" w:eastAsia="+mn-ea" w:hAnsi="Arial" w:cs="Arial"/>
          <w:bCs/>
          <w:kern w:val="24"/>
          <w:sz w:val="22"/>
          <w:szCs w:val="22"/>
        </w:rPr>
        <w:t xml:space="preserve">-bearing mice per treatment group. </w:t>
      </w:r>
      <w:r w:rsidR="00BD3EAF" w:rsidRPr="007D59B1">
        <w:rPr>
          <w:rFonts w:ascii="Arial" w:eastAsia="+mn-ea" w:hAnsi="Arial" w:cs="Arial"/>
          <w:bCs/>
          <w:kern w:val="24"/>
          <w:sz w:val="22"/>
          <w:szCs w:val="22"/>
        </w:rPr>
        <w:t>Data points represent mean</w:t>
      </w:r>
      <w:r w:rsidR="00BD3EAF">
        <w:rPr>
          <w:rFonts w:ascii="Arial" w:eastAsia="+mn-ea" w:hAnsi="Arial" w:cs="Arial"/>
          <w:bCs/>
          <w:kern w:val="24"/>
          <w:sz w:val="22"/>
          <w:szCs w:val="22"/>
        </w:rPr>
        <w:t>s</w:t>
      </w:r>
      <w:r w:rsidR="00BD3EAF" w:rsidRPr="007D59B1">
        <w:rPr>
          <w:rFonts w:ascii="Arial" w:eastAsia="+mn-ea" w:hAnsi="Arial" w:cs="Arial"/>
          <w:bCs/>
          <w:kern w:val="24"/>
          <w:sz w:val="22"/>
          <w:szCs w:val="22"/>
        </w:rPr>
        <w:t xml:space="preserve"> (</w:t>
      </w:r>
      <w:r w:rsidR="00BD3EAF" w:rsidRPr="00E801E2">
        <w:rPr>
          <w:rFonts w:ascii="Arial" w:eastAsia="+mn-ea" w:hAnsi="Arial" w:cs="Arial"/>
          <w:bCs/>
          <w:i/>
          <w:iCs/>
          <w:kern w:val="24"/>
          <w:sz w:val="22"/>
          <w:szCs w:val="22"/>
        </w:rPr>
        <w:t>n</w:t>
      </w:r>
      <w:r w:rsidR="00BD3EAF" w:rsidRPr="007D59B1">
        <w:rPr>
          <w:rFonts w:ascii="Arial" w:eastAsia="+mn-ea" w:hAnsi="Arial" w:cs="Arial"/>
          <w:bCs/>
          <w:kern w:val="24"/>
          <w:sz w:val="22"/>
          <w:szCs w:val="22"/>
        </w:rPr>
        <w:t xml:space="preserve"> = 4) +</w:t>
      </w:r>
      <w:r w:rsidR="00BD3EAF">
        <w:rPr>
          <w:rFonts w:ascii="Arial" w:eastAsia="+mn-ea" w:hAnsi="Arial" w:cs="Arial"/>
          <w:bCs/>
          <w:kern w:val="24"/>
          <w:sz w:val="22"/>
          <w:szCs w:val="22"/>
        </w:rPr>
        <w:t xml:space="preserve">/- </w:t>
      </w:r>
      <w:proofErr w:type="spellStart"/>
      <w:r w:rsidR="008804DA">
        <w:rPr>
          <w:rFonts w:ascii="Arial" w:eastAsia="+mn-ea" w:hAnsi="Arial" w:cs="Arial"/>
          <w:bCs/>
          <w:kern w:val="24"/>
          <w:sz w:val="22"/>
          <w:szCs w:val="22"/>
        </w:rPr>
        <w:t>s.d</w:t>
      </w:r>
      <w:r w:rsidR="00BD3EAF" w:rsidRPr="007D59B1">
        <w:rPr>
          <w:rFonts w:ascii="Arial" w:eastAsia="+mn-ea" w:hAnsi="Arial" w:cs="Arial"/>
          <w:bCs/>
          <w:kern w:val="24"/>
          <w:sz w:val="22"/>
          <w:szCs w:val="22"/>
        </w:rPr>
        <w:t>.</w:t>
      </w:r>
      <w:proofErr w:type="spellEnd"/>
      <w:r w:rsidR="00BD3EAF">
        <w:rPr>
          <w:rFonts w:ascii="Arial" w:eastAsia="+mn-ea" w:hAnsi="Arial" w:cs="Arial"/>
          <w:bCs/>
          <w:kern w:val="24"/>
          <w:sz w:val="22"/>
          <w:szCs w:val="22"/>
        </w:rPr>
        <w:t xml:space="preserve"> </w:t>
      </w:r>
      <w:r w:rsidR="00671A4F">
        <w:rPr>
          <w:rFonts w:ascii="Arial" w:eastAsia="+mn-ea" w:hAnsi="Arial" w:cs="Arial"/>
          <w:bCs/>
          <w:kern w:val="24"/>
          <w:sz w:val="22"/>
          <w:szCs w:val="22"/>
        </w:rPr>
        <w:t xml:space="preserve">of triplicate experiments, </w:t>
      </w:r>
      <w:r w:rsidRPr="007D59B1">
        <w:rPr>
          <w:rFonts w:ascii="Arial" w:eastAsia="+mn-ea" w:hAnsi="Arial" w:cs="Arial"/>
          <w:bCs/>
          <w:kern w:val="24"/>
          <w:sz w:val="22"/>
          <w:szCs w:val="22"/>
        </w:rPr>
        <w:t>*</w:t>
      </w:r>
      <w:r w:rsidRPr="005222C3">
        <w:rPr>
          <w:rFonts w:ascii="Arial" w:eastAsia="+mn-ea" w:hAnsi="Arial" w:cs="Arial"/>
          <w:bCs/>
          <w:i/>
          <w:iCs/>
          <w:kern w:val="24"/>
          <w:sz w:val="22"/>
          <w:szCs w:val="22"/>
        </w:rPr>
        <w:t>p</w:t>
      </w:r>
      <w:r w:rsidRPr="007D59B1">
        <w:rPr>
          <w:rFonts w:ascii="Arial" w:eastAsia="+mn-ea" w:hAnsi="Arial" w:cs="Arial"/>
          <w:bCs/>
          <w:kern w:val="24"/>
          <w:sz w:val="22"/>
          <w:szCs w:val="22"/>
        </w:rPr>
        <w:t xml:space="preserve"> &lt; 0.05; **</w:t>
      </w:r>
      <w:r w:rsidRPr="005222C3">
        <w:rPr>
          <w:rFonts w:ascii="Arial" w:eastAsia="+mn-ea" w:hAnsi="Arial" w:cs="Arial"/>
          <w:bCs/>
          <w:i/>
          <w:iCs/>
          <w:kern w:val="24"/>
          <w:sz w:val="22"/>
          <w:szCs w:val="22"/>
        </w:rPr>
        <w:t>p</w:t>
      </w:r>
      <w:r w:rsidRPr="007D59B1">
        <w:rPr>
          <w:rFonts w:ascii="Arial" w:eastAsia="+mn-ea" w:hAnsi="Arial" w:cs="Arial"/>
          <w:bCs/>
          <w:kern w:val="24"/>
          <w:sz w:val="22"/>
          <w:szCs w:val="22"/>
        </w:rPr>
        <w:t xml:space="preserve"> &lt; 0.01 (unpaired</w:t>
      </w:r>
      <w:r w:rsidR="006B65F4">
        <w:rPr>
          <w:rFonts w:ascii="Arial" w:eastAsia="+mn-ea" w:hAnsi="Arial" w:cs="Arial"/>
          <w:bCs/>
          <w:kern w:val="24"/>
          <w:sz w:val="22"/>
          <w:szCs w:val="22"/>
        </w:rPr>
        <w:t xml:space="preserve"> Student’s</w:t>
      </w:r>
      <w:r w:rsidRPr="007D59B1">
        <w:rPr>
          <w:rFonts w:ascii="Arial" w:eastAsia="+mn-ea" w:hAnsi="Arial" w:cs="Arial"/>
          <w:bCs/>
          <w:kern w:val="24"/>
          <w:sz w:val="22"/>
          <w:szCs w:val="22"/>
        </w:rPr>
        <w:t xml:space="preserve"> </w:t>
      </w:r>
      <w:r w:rsidRPr="007D59B1">
        <w:rPr>
          <w:rFonts w:ascii="Arial" w:eastAsia="+mn-ea" w:hAnsi="Arial" w:cs="Arial"/>
          <w:bCs/>
          <w:i/>
          <w:iCs/>
          <w:kern w:val="24"/>
          <w:sz w:val="22"/>
          <w:szCs w:val="22"/>
        </w:rPr>
        <w:t>t</w:t>
      </w:r>
      <w:r w:rsidRPr="007D59B1">
        <w:rPr>
          <w:rFonts w:ascii="Arial" w:eastAsia="+mn-ea" w:hAnsi="Arial" w:cs="Arial"/>
          <w:bCs/>
          <w:kern w:val="24"/>
          <w:sz w:val="22"/>
          <w:szCs w:val="22"/>
        </w:rPr>
        <w:t xml:space="preserve">-test). </w:t>
      </w:r>
      <w:r w:rsidR="00E071D0" w:rsidRPr="00E071D0">
        <w:rPr>
          <w:rFonts w:ascii="Arial" w:eastAsia="+mn-ea" w:hAnsi="Arial" w:cs="Arial"/>
          <w:bCs/>
          <w:kern w:val="24"/>
          <w:sz w:val="22"/>
          <w:szCs w:val="22"/>
        </w:rPr>
        <w:t xml:space="preserve">Source data </w:t>
      </w:r>
      <w:r w:rsidR="00BA6C02">
        <w:rPr>
          <w:rFonts w:ascii="Arial" w:eastAsia="+mn-ea" w:hAnsi="Arial" w:cs="Arial"/>
          <w:bCs/>
          <w:kern w:val="24"/>
          <w:sz w:val="22"/>
          <w:szCs w:val="22"/>
        </w:rPr>
        <w:t xml:space="preserve">for this </w:t>
      </w:r>
      <w:r w:rsidR="005222C3">
        <w:rPr>
          <w:rFonts w:ascii="Arial" w:eastAsia="+mn-ea" w:hAnsi="Arial" w:cs="Arial"/>
          <w:bCs/>
          <w:kern w:val="24"/>
          <w:sz w:val="22"/>
          <w:szCs w:val="22"/>
        </w:rPr>
        <w:t>figure</w:t>
      </w:r>
      <w:r w:rsidR="00BA6C02">
        <w:rPr>
          <w:rFonts w:ascii="Arial" w:eastAsia="+mn-ea" w:hAnsi="Arial" w:cs="Arial"/>
          <w:bCs/>
          <w:kern w:val="24"/>
          <w:sz w:val="22"/>
          <w:szCs w:val="22"/>
        </w:rPr>
        <w:t xml:space="preserve"> </w:t>
      </w:r>
      <w:r w:rsidR="00E071D0" w:rsidRPr="00E071D0">
        <w:rPr>
          <w:rFonts w:ascii="Arial" w:eastAsia="+mn-ea" w:hAnsi="Arial" w:cs="Arial"/>
          <w:bCs/>
          <w:kern w:val="24"/>
          <w:sz w:val="22"/>
          <w:szCs w:val="22"/>
        </w:rPr>
        <w:t>are provided as a Source Data file</w:t>
      </w:r>
      <w:r w:rsidR="008804DA">
        <w:rPr>
          <w:rFonts w:ascii="Arial" w:hAnsi="Arial" w:cs="Arial"/>
          <w:sz w:val="22"/>
          <w:szCs w:val="22"/>
        </w:rPr>
        <w:t>.</w:t>
      </w:r>
    </w:p>
    <w:sectPr w:rsidR="00A97C97" w:rsidRPr="00845ECF">
      <w:footerReference w:type="default" r:id="rId10"/>
      <w:pgSz w:w="11906" w:h="16838"/>
      <w:pgMar w:top="1440" w:right="1440" w:bottom="1440" w:left="1440" w:header="0" w:footer="708" w:gutter="0"/>
      <w:lnNumType w:countBy="1" w:restart="continuous"/>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9BBE32" w14:textId="77777777" w:rsidR="00B1031B" w:rsidRDefault="00B1031B">
      <w:r>
        <w:separator/>
      </w:r>
    </w:p>
  </w:endnote>
  <w:endnote w:type="continuationSeparator" w:id="0">
    <w:p w14:paraId="235A88B7" w14:textId="77777777" w:rsidR="00B1031B" w:rsidRDefault="00B1031B">
      <w:r>
        <w:continuationSeparator/>
      </w:r>
    </w:p>
  </w:endnote>
  <w:endnote w:type="continuationNotice" w:id="1">
    <w:p w14:paraId="005F76B6" w14:textId="77777777" w:rsidR="00B1031B" w:rsidRDefault="00B103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 w:name="Helvetica">
    <w:panose1 w:val="00000000000000000000"/>
    <w:charset w:val="00"/>
    <w:family w:val="auto"/>
    <w:pitch w:val="variable"/>
    <w:sig w:usb0="E00002FF" w:usb1="5000785B" w:usb2="00000000" w:usb3="00000000" w:csb0="0000019F" w:csb1="00000000"/>
  </w:font>
  <w:font w:name="Liberation Sans">
    <w:altName w:val="Arial"/>
    <w:panose1 w:val="020B0604020202020204"/>
    <w:charset w:val="00"/>
    <w:family w:val="swiss"/>
    <w:pitch w:val="variable"/>
    <w:sig w:usb0="E0000AFF" w:usb1="500078FF" w:usb2="00000021" w:usb3="00000000" w:csb0="000001BF" w:csb1="00000000"/>
  </w:font>
  <w:font w:name="Noto Sans CJK SC Regular">
    <w:panose1 w:val="020B0604020202020204"/>
    <w:charset w:val="00"/>
    <w:family w:val="roman"/>
    <w:notTrueType/>
    <w:pitch w:val="default"/>
  </w:font>
  <w:font w:name="Lohit Devanagari">
    <w:altName w:val="Times New Roman"/>
    <w:panose1 w:val="020B0604020202020204"/>
    <w:charset w:val="00"/>
    <w:family w:val="roman"/>
    <w:notTrueType/>
    <w:pitch w:val="default"/>
  </w:font>
  <w:font w:name="Palatino Linotype">
    <w:panose1 w:val="02040502050505030304"/>
    <w:charset w:val="00"/>
    <w:family w:val="roman"/>
    <w:pitch w:val="variable"/>
    <w:sig w:usb0="E0000287" w:usb1="40000013" w:usb2="00000000" w:usb3="00000000" w:csb0="0000019F" w:csb1="00000000"/>
  </w:font>
  <w:font w:name="+mn-e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5243506"/>
      <w:docPartObj>
        <w:docPartGallery w:val="Page Numbers (Bottom of Page)"/>
        <w:docPartUnique/>
      </w:docPartObj>
    </w:sdtPr>
    <w:sdtContent>
      <w:p w14:paraId="3AAFB7AD" w14:textId="00AAFBF9" w:rsidR="00BC69A8" w:rsidRDefault="00BC69A8">
        <w:pPr>
          <w:pStyle w:val="Footer"/>
          <w:jc w:val="center"/>
        </w:pPr>
        <w:r w:rsidRPr="00ED41A4">
          <w:fldChar w:fldCharType="begin"/>
        </w:r>
        <w:r>
          <w:rPr>
            <w:rFonts w:cs="Arial"/>
          </w:rPr>
          <w:instrText>PAGE</w:instrText>
        </w:r>
        <w:r w:rsidRPr="00ED41A4">
          <w:fldChar w:fldCharType="separate"/>
        </w:r>
        <w:r>
          <w:rPr>
            <w:rFonts w:cs="Arial"/>
            <w:noProof/>
          </w:rPr>
          <w:t>6</w:t>
        </w:r>
        <w:r w:rsidRPr="00ED41A4">
          <w:fldChar w:fldCharType="end"/>
        </w:r>
      </w:p>
    </w:sdtContent>
  </w:sdt>
  <w:p w14:paraId="022642F7" w14:textId="77777777" w:rsidR="00BC69A8" w:rsidRPr="00ED41A4" w:rsidRDefault="00BC69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C3B91C" w14:textId="77777777" w:rsidR="00B1031B" w:rsidRDefault="00B1031B">
      <w:r>
        <w:separator/>
      </w:r>
    </w:p>
  </w:footnote>
  <w:footnote w:type="continuationSeparator" w:id="0">
    <w:p w14:paraId="10DFFAE5" w14:textId="77777777" w:rsidR="00B1031B" w:rsidRDefault="00B1031B">
      <w:r>
        <w:continuationSeparator/>
      </w:r>
    </w:p>
  </w:footnote>
  <w:footnote w:type="continuationNotice" w:id="1">
    <w:p w14:paraId="16E433EF" w14:textId="77777777" w:rsidR="00B1031B" w:rsidRDefault="00B1031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FC68F4"/>
    <w:multiLevelType w:val="multilevel"/>
    <w:tmpl w:val="51E8ABE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42EE688E"/>
    <w:multiLevelType w:val="hybridMultilevel"/>
    <w:tmpl w:val="81E00770"/>
    <w:lvl w:ilvl="0" w:tplc="9A6A6F34">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9B25DF4"/>
    <w:multiLevelType w:val="multilevel"/>
    <w:tmpl w:val="59F0BA8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69553D6C"/>
    <w:multiLevelType w:val="hybridMultilevel"/>
    <w:tmpl w:val="C0A6181E"/>
    <w:lvl w:ilvl="0" w:tplc="9BB8661C">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8"/>
  <w:proofState w:spelling="clean" w:grammar="clean"/>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Nature&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005dtzr0xwpeceexzlxfrzg22p9v5vwfs9a&quot;&gt;My EndNote Library&lt;record-ids&gt;&lt;item&gt;2505&lt;/item&gt;&lt;/record-ids&gt;&lt;/item&gt;&lt;/Libraries&gt;"/>
  </w:docVars>
  <w:rsids>
    <w:rsidRoot w:val="00D30528"/>
    <w:rsid w:val="00023C3E"/>
    <w:rsid w:val="00027940"/>
    <w:rsid w:val="000316FC"/>
    <w:rsid w:val="00042D2A"/>
    <w:rsid w:val="000433DA"/>
    <w:rsid w:val="00043EF7"/>
    <w:rsid w:val="000459AF"/>
    <w:rsid w:val="00053B80"/>
    <w:rsid w:val="00055E0B"/>
    <w:rsid w:val="0006559B"/>
    <w:rsid w:val="00070B85"/>
    <w:rsid w:val="00074E3E"/>
    <w:rsid w:val="00075125"/>
    <w:rsid w:val="00085C9E"/>
    <w:rsid w:val="00085FDC"/>
    <w:rsid w:val="000864D8"/>
    <w:rsid w:val="00095629"/>
    <w:rsid w:val="000A1696"/>
    <w:rsid w:val="000A48C2"/>
    <w:rsid w:val="000B0457"/>
    <w:rsid w:val="000B131B"/>
    <w:rsid w:val="000B50B1"/>
    <w:rsid w:val="000C7837"/>
    <w:rsid w:val="000D0CC4"/>
    <w:rsid w:val="000D1EC1"/>
    <w:rsid w:val="000D2EBF"/>
    <w:rsid w:val="000D3A13"/>
    <w:rsid w:val="000E03FD"/>
    <w:rsid w:val="000E6DA4"/>
    <w:rsid w:val="000F169B"/>
    <w:rsid w:val="000F6138"/>
    <w:rsid w:val="000F69DF"/>
    <w:rsid w:val="001012AF"/>
    <w:rsid w:val="0011772D"/>
    <w:rsid w:val="0012027C"/>
    <w:rsid w:val="00120E76"/>
    <w:rsid w:val="0012437C"/>
    <w:rsid w:val="001365AD"/>
    <w:rsid w:val="0013763A"/>
    <w:rsid w:val="00144F8D"/>
    <w:rsid w:val="00154A9D"/>
    <w:rsid w:val="0017608D"/>
    <w:rsid w:val="00181E51"/>
    <w:rsid w:val="00191831"/>
    <w:rsid w:val="00195C72"/>
    <w:rsid w:val="001967B6"/>
    <w:rsid w:val="001B009E"/>
    <w:rsid w:val="001B3190"/>
    <w:rsid w:val="001C2A22"/>
    <w:rsid w:val="001C38D7"/>
    <w:rsid w:val="001C393A"/>
    <w:rsid w:val="001C49B9"/>
    <w:rsid w:val="001D0747"/>
    <w:rsid w:val="001D10BC"/>
    <w:rsid w:val="001D1FAD"/>
    <w:rsid w:val="001D6664"/>
    <w:rsid w:val="001D77E3"/>
    <w:rsid w:val="001D7F4C"/>
    <w:rsid w:val="001E2AB3"/>
    <w:rsid w:val="001F7F39"/>
    <w:rsid w:val="00200731"/>
    <w:rsid w:val="00202A3C"/>
    <w:rsid w:val="00203BC2"/>
    <w:rsid w:val="00212691"/>
    <w:rsid w:val="00213112"/>
    <w:rsid w:val="00217F66"/>
    <w:rsid w:val="00234005"/>
    <w:rsid w:val="002357BA"/>
    <w:rsid w:val="00242BA8"/>
    <w:rsid w:val="00251211"/>
    <w:rsid w:val="00252DF0"/>
    <w:rsid w:val="00261AAB"/>
    <w:rsid w:val="00262196"/>
    <w:rsid w:val="0027236E"/>
    <w:rsid w:val="00283E06"/>
    <w:rsid w:val="002841AF"/>
    <w:rsid w:val="002A24F1"/>
    <w:rsid w:val="002A2CDF"/>
    <w:rsid w:val="002A3C22"/>
    <w:rsid w:val="002A49D4"/>
    <w:rsid w:val="002B04BA"/>
    <w:rsid w:val="002B05A8"/>
    <w:rsid w:val="002B5A58"/>
    <w:rsid w:val="002B7702"/>
    <w:rsid w:val="002C529B"/>
    <w:rsid w:val="002C7383"/>
    <w:rsid w:val="002D35E2"/>
    <w:rsid w:val="002D638C"/>
    <w:rsid w:val="002E6D68"/>
    <w:rsid w:val="002F35AC"/>
    <w:rsid w:val="002F6DF8"/>
    <w:rsid w:val="00304336"/>
    <w:rsid w:val="00305F9E"/>
    <w:rsid w:val="0030702D"/>
    <w:rsid w:val="0031339A"/>
    <w:rsid w:val="003202A8"/>
    <w:rsid w:val="00324596"/>
    <w:rsid w:val="003270E1"/>
    <w:rsid w:val="00327B2C"/>
    <w:rsid w:val="00330ED6"/>
    <w:rsid w:val="003460BA"/>
    <w:rsid w:val="00355985"/>
    <w:rsid w:val="00360337"/>
    <w:rsid w:val="00360AA7"/>
    <w:rsid w:val="00366D01"/>
    <w:rsid w:val="0036795F"/>
    <w:rsid w:val="003702EB"/>
    <w:rsid w:val="003741D4"/>
    <w:rsid w:val="003757B4"/>
    <w:rsid w:val="00384B53"/>
    <w:rsid w:val="003861EB"/>
    <w:rsid w:val="003912CB"/>
    <w:rsid w:val="00394C69"/>
    <w:rsid w:val="003A1428"/>
    <w:rsid w:val="003A41B4"/>
    <w:rsid w:val="003B023B"/>
    <w:rsid w:val="003B0E63"/>
    <w:rsid w:val="003C2E2D"/>
    <w:rsid w:val="003C3217"/>
    <w:rsid w:val="003C57D0"/>
    <w:rsid w:val="003D0E8E"/>
    <w:rsid w:val="003D6463"/>
    <w:rsid w:val="003E4BCE"/>
    <w:rsid w:val="003E59F2"/>
    <w:rsid w:val="004042BA"/>
    <w:rsid w:val="0040749F"/>
    <w:rsid w:val="00412925"/>
    <w:rsid w:val="0042177E"/>
    <w:rsid w:val="00422A0B"/>
    <w:rsid w:val="0042428A"/>
    <w:rsid w:val="00430527"/>
    <w:rsid w:val="00430E35"/>
    <w:rsid w:val="00435828"/>
    <w:rsid w:val="004503D2"/>
    <w:rsid w:val="004550F5"/>
    <w:rsid w:val="00455964"/>
    <w:rsid w:val="0046706D"/>
    <w:rsid w:val="00475017"/>
    <w:rsid w:val="0048779E"/>
    <w:rsid w:val="00487F33"/>
    <w:rsid w:val="0049281E"/>
    <w:rsid w:val="0049575D"/>
    <w:rsid w:val="00496304"/>
    <w:rsid w:val="004A0BA4"/>
    <w:rsid w:val="004A1C28"/>
    <w:rsid w:val="004A6467"/>
    <w:rsid w:val="004B1128"/>
    <w:rsid w:val="004B1E20"/>
    <w:rsid w:val="004D194B"/>
    <w:rsid w:val="004D47D8"/>
    <w:rsid w:val="004E3D88"/>
    <w:rsid w:val="004F24F9"/>
    <w:rsid w:val="004F3680"/>
    <w:rsid w:val="005033EF"/>
    <w:rsid w:val="00504C46"/>
    <w:rsid w:val="00506298"/>
    <w:rsid w:val="005178FE"/>
    <w:rsid w:val="00517FFC"/>
    <w:rsid w:val="005222C3"/>
    <w:rsid w:val="005235DF"/>
    <w:rsid w:val="005271C7"/>
    <w:rsid w:val="00533601"/>
    <w:rsid w:val="0053783F"/>
    <w:rsid w:val="00542124"/>
    <w:rsid w:val="00542FB8"/>
    <w:rsid w:val="005446A3"/>
    <w:rsid w:val="00545CD3"/>
    <w:rsid w:val="00550168"/>
    <w:rsid w:val="00553276"/>
    <w:rsid w:val="00553FB7"/>
    <w:rsid w:val="00561410"/>
    <w:rsid w:val="0056758D"/>
    <w:rsid w:val="00574B83"/>
    <w:rsid w:val="00577588"/>
    <w:rsid w:val="00580757"/>
    <w:rsid w:val="00581631"/>
    <w:rsid w:val="005861DA"/>
    <w:rsid w:val="005B00F7"/>
    <w:rsid w:val="005B5A4C"/>
    <w:rsid w:val="005B7A75"/>
    <w:rsid w:val="005C0DC8"/>
    <w:rsid w:val="005C5B37"/>
    <w:rsid w:val="005D083E"/>
    <w:rsid w:val="005E4645"/>
    <w:rsid w:val="005F2843"/>
    <w:rsid w:val="005F7A04"/>
    <w:rsid w:val="00612BFC"/>
    <w:rsid w:val="00614D3B"/>
    <w:rsid w:val="00620D1C"/>
    <w:rsid w:val="006213FF"/>
    <w:rsid w:val="00623035"/>
    <w:rsid w:val="00630A58"/>
    <w:rsid w:val="00644786"/>
    <w:rsid w:val="006509E7"/>
    <w:rsid w:val="006548B2"/>
    <w:rsid w:val="00656EAF"/>
    <w:rsid w:val="006615CD"/>
    <w:rsid w:val="0066652D"/>
    <w:rsid w:val="006671B8"/>
    <w:rsid w:val="00670B1F"/>
    <w:rsid w:val="00671A4F"/>
    <w:rsid w:val="00687BD5"/>
    <w:rsid w:val="00687C70"/>
    <w:rsid w:val="00692135"/>
    <w:rsid w:val="0069739A"/>
    <w:rsid w:val="006A24F8"/>
    <w:rsid w:val="006A5B60"/>
    <w:rsid w:val="006A777F"/>
    <w:rsid w:val="006B0453"/>
    <w:rsid w:val="006B65F4"/>
    <w:rsid w:val="006C6CFD"/>
    <w:rsid w:val="006E1AFE"/>
    <w:rsid w:val="006E280E"/>
    <w:rsid w:val="006E2821"/>
    <w:rsid w:val="006E7ED1"/>
    <w:rsid w:val="006F2F76"/>
    <w:rsid w:val="00700814"/>
    <w:rsid w:val="0071122E"/>
    <w:rsid w:val="0071559F"/>
    <w:rsid w:val="007263D4"/>
    <w:rsid w:val="00730F72"/>
    <w:rsid w:val="00737EC2"/>
    <w:rsid w:val="007511ED"/>
    <w:rsid w:val="00751EA1"/>
    <w:rsid w:val="00760BAA"/>
    <w:rsid w:val="007621DA"/>
    <w:rsid w:val="00770194"/>
    <w:rsid w:val="00771E27"/>
    <w:rsid w:val="007720FE"/>
    <w:rsid w:val="00772755"/>
    <w:rsid w:val="00793BE2"/>
    <w:rsid w:val="00793F59"/>
    <w:rsid w:val="007A3884"/>
    <w:rsid w:val="007B1F1A"/>
    <w:rsid w:val="007B255C"/>
    <w:rsid w:val="007B51A0"/>
    <w:rsid w:val="007B77F5"/>
    <w:rsid w:val="007C18EB"/>
    <w:rsid w:val="007C3159"/>
    <w:rsid w:val="007C5EE1"/>
    <w:rsid w:val="007D59B1"/>
    <w:rsid w:val="007D6397"/>
    <w:rsid w:val="007E4C43"/>
    <w:rsid w:val="007E5AA8"/>
    <w:rsid w:val="007E7F38"/>
    <w:rsid w:val="007F1970"/>
    <w:rsid w:val="008046A5"/>
    <w:rsid w:val="0080614F"/>
    <w:rsid w:val="008072DE"/>
    <w:rsid w:val="00811ECA"/>
    <w:rsid w:val="00815979"/>
    <w:rsid w:val="00831933"/>
    <w:rsid w:val="0083794F"/>
    <w:rsid w:val="00837AEE"/>
    <w:rsid w:val="00837CA4"/>
    <w:rsid w:val="0084260C"/>
    <w:rsid w:val="00845ECF"/>
    <w:rsid w:val="008512D9"/>
    <w:rsid w:val="00851A5F"/>
    <w:rsid w:val="00870957"/>
    <w:rsid w:val="00872AA4"/>
    <w:rsid w:val="0087544C"/>
    <w:rsid w:val="008804DA"/>
    <w:rsid w:val="00885740"/>
    <w:rsid w:val="008A6089"/>
    <w:rsid w:val="008B07AC"/>
    <w:rsid w:val="008D3A9E"/>
    <w:rsid w:val="008E4E01"/>
    <w:rsid w:val="009029BA"/>
    <w:rsid w:val="009126FB"/>
    <w:rsid w:val="00914E7B"/>
    <w:rsid w:val="0091652E"/>
    <w:rsid w:val="00917B58"/>
    <w:rsid w:val="00937CD9"/>
    <w:rsid w:val="009477D7"/>
    <w:rsid w:val="0095283D"/>
    <w:rsid w:val="0096239D"/>
    <w:rsid w:val="00973540"/>
    <w:rsid w:val="00987DFA"/>
    <w:rsid w:val="009A1767"/>
    <w:rsid w:val="009A2B6B"/>
    <w:rsid w:val="009A5297"/>
    <w:rsid w:val="009C3EC2"/>
    <w:rsid w:val="009C41BF"/>
    <w:rsid w:val="009C627A"/>
    <w:rsid w:val="009C6B6B"/>
    <w:rsid w:val="009C6BC1"/>
    <w:rsid w:val="009D1639"/>
    <w:rsid w:val="009D44D9"/>
    <w:rsid w:val="009D52E2"/>
    <w:rsid w:val="009E6090"/>
    <w:rsid w:val="009F54B0"/>
    <w:rsid w:val="009F5798"/>
    <w:rsid w:val="009F5F7E"/>
    <w:rsid w:val="00A04435"/>
    <w:rsid w:val="00A13DC3"/>
    <w:rsid w:val="00A3095E"/>
    <w:rsid w:val="00A36628"/>
    <w:rsid w:val="00A461AD"/>
    <w:rsid w:val="00A52AB7"/>
    <w:rsid w:val="00A6148E"/>
    <w:rsid w:val="00A6516A"/>
    <w:rsid w:val="00A65211"/>
    <w:rsid w:val="00A6611F"/>
    <w:rsid w:val="00A73854"/>
    <w:rsid w:val="00A8478B"/>
    <w:rsid w:val="00A84A5F"/>
    <w:rsid w:val="00A851DE"/>
    <w:rsid w:val="00A86ED8"/>
    <w:rsid w:val="00A92894"/>
    <w:rsid w:val="00A97C97"/>
    <w:rsid w:val="00AA3C8A"/>
    <w:rsid w:val="00AA7D0F"/>
    <w:rsid w:val="00AA7FEA"/>
    <w:rsid w:val="00AB0B02"/>
    <w:rsid w:val="00AB1194"/>
    <w:rsid w:val="00AB4458"/>
    <w:rsid w:val="00AB4659"/>
    <w:rsid w:val="00AD0C9D"/>
    <w:rsid w:val="00AD6B8F"/>
    <w:rsid w:val="00AE44F3"/>
    <w:rsid w:val="00AF0F0F"/>
    <w:rsid w:val="00AF363F"/>
    <w:rsid w:val="00AF6D22"/>
    <w:rsid w:val="00B05F4F"/>
    <w:rsid w:val="00B1031B"/>
    <w:rsid w:val="00B13C66"/>
    <w:rsid w:val="00B327CE"/>
    <w:rsid w:val="00B37C9B"/>
    <w:rsid w:val="00B43D51"/>
    <w:rsid w:val="00B502EE"/>
    <w:rsid w:val="00B5052A"/>
    <w:rsid w:val="00B540BA"/>
    <w:rsid w:val="00B57CF1"/>
    <w:rsid w:val="00B603BC"/>
    <w:rsid w:val="00B64716"/>
    <w:rsid w:val="00B67245"/>
    <w:rsid w:val="00B709FC"/>
    <w:rsid w:val="00B7622E"/>
    <w:rsid w:val="00B83D58"/>
    <w:rsid w:val="00B8416B"/>
    <w:rsid w:val="00B8427C"/>
    <w:rsid w:val="00B870B8"/>
    <w:rsid w:val="00BA6C02"/>
    <w:rsid w:val="00BB4D34"/>
    <w:rsid w:val="00BB4E53"/>
    <w:rsid w:val="00BC5F8F"/>
    <w:rsid w:val="00BC69A8"/>
    <w:rsid w:val="00BD0299"/>
    <w:rsid w:val="00BD21EC"/>
    <w:rsid w:val="00BD3EAF"/>
    <w:rsid w:val="00BE1469"/>
    <w:rsid w:val="00BE498C"/>
    <w:rsid w:val="00BE717F"/>
    <w:rsid w:val="00BF0531"/>
    <w:rsid w:val="00BF1064"/>
    <w:rsid w:val="00BF150F"/>
    <w:rsid w:val="00BF46B8"/>
    <w:rsid w:val="00BF52FE"/>
    <w:rsid w:val="00BF65EE"/>
    <w:rsid w:val="00C04C8D"/>
    <w:rsid w:val="00C560C5"/>
    <w:rsid w:val="00C5646E"/>
    <w:rsid w:val="00C75973"/>
    <w:rsid w:val="00C821DA"/>
    <w:rsid w:val="00C830A4"/>
    <w:rsid w:val="00C90A5A"/>
    <w:rsid w:val="00CA40C4"/>
    <w:rsid w:val="00CA52B1"/>
    <w:rsid w:val="00CD141A"/>
    <w:rsid w:val="00CD1DCB"/>
    <w:rsid w:val="00CD38B3"/>
    <w:rsid w:val="00CD43B1"/>
    <w:rsid w:val="00CD5A24"/>
    <w:rsid w:val="00CE3458"/>
    <w:rsid w:val="00CE4FD1"/>
    <w:rsid w:val="00CE70BF"/>
    <w:rsid w:val="00D1217A"/>
    <w:rsid w:val="00D15FB5"/>
    <w:rsid w:val="00D20AE9"/>
    <w:rsid w:val="00D27F8A"/>
    <w:rsid w:val="00D30528"/>
    <w:rsid w:val="00D30894"/>
    <w:rsid w:val="00D35391"/>
    <w:rsid w:val="00D442CC"/>
    <w:rsid w:val="00D532CC"/>
    <w:rsid w:val="00D5568C"/>
    <w:rsid w:val="00D7143D"/>
    <w:rsid w:val="00D73743"/>
    <w:rsid w:val="00D7764C"/>
    <w:rsid w:val="00D86904"/>
    <w:rsid w:val="00D94248"/>
    <w:rsid w:val="00D94505"/>
    <w:rsid w:val="00DA1C85"/>
    <w:rsid w:val="00DE6C3A"/>
    <w:rsid w:val="00DF5EB2"/>
    <w:rsid w:val="00E071D0"/>
    <w:rsid w:val="00E11427"/>
    <w:rsid w:val="00E12CBE"/>
    <w:rsid w:val="00E13DC4"/>
    <w:rsid w:val="00E167E5"/>
    <w:rsid w:val="00E2277D"/>
    <w:rsid w:val="00E34498"/>
    <w:rsid w:val="00E51FA4"/>
    <w:rsid w:val="00E520A4"/>
    <w:rsid w:val="00E56CE7"/>
    <w:rsid w:val="00E60587"/>
    <w:rsid w:val="00E6105D"/>
    <w:rsid w:val="00E70A4D"/>
    <w:rsid w:val="00E72779"/>
    <w:rsid w:val="00E774D2"/>
    <w:rsid w:val="00E801E2"/>
    <w:rsid w:val="00E83B36"/>
    <w:rsid w:val="00E93B2F"/>
    <w:rsid w:val="00E94CA9"/>
    <w:rsid w:val="00EA359A"/>
    <w:rsid w:val="00EB12E0"/>
    <w:rsid w:val="00EB41C9"/>
    <w:rsid w:val="00EB52BE"/>
    <w:rsid w:val="00EB7BF0"/>
    <w:rsid w:val="00EC6881"/>
    <w:rsid w:val="00ED37CE"/>
    <w:rsid w:val="00ED41A4"/>
    <w:rsid w:val="00ED49F1"/>
    <w:rsid w:val="00ED6C48"/>
    <w:rsid w:val="00ED7BF2"/>
    <w:rsid w:val="00EE1913"/>
    <w:rsid w:val="00EE2249"/>
    <w:rsid w:val="00EE4A48"/>
    <w:rsid w:val="00EF47B3"/>
    <w:rsid w:val="00F0674C"/>
    <w:rsid w:val="00F06B96"/>
    <w:rsid w:val="00F07A85"/>
    <w:rsid w:val="00F101E4"/>
    <w:rsid w:val="00F145C9"/>
    <w:rsid w:val="00F148B5"/>
    <w:rsid w:val="00F17165"/>
    <w:rsid w:val="00F1748A"/>
    <w:rsid w:val="00F24DBF"/>
    <w:rsid w:val="00F26A52"/>
    <w:rsid w:val="00F33141"/>
    <w:rsid w:val="00F5280C"/>
    <w:rsid w:val="00F5482A"/>
    <w:rsid w:val="00F54908"/>
    <w:rsid w:val="00F60A66"/>
    <w:rsid w:val="00F65BE1"/>
    <w:rsid w:val="00F70B8F"/>
    <w:rsid w:val="00F84F48"/>
    <w:rsid w:val="00F86152"/>
    <w:rsid w:val="00F902C1"/>
    <w:rsid w:val="00FA1ACE"/>
    <w:rsid w:val="00FC01DC"/>
    <w:rsid w:val="00FC4336"/>
    <w:rsid w:val="00FE6C1F"/>
    <w:rsid w:val="00FE7137"/>
    <w:rsid w:val="00FF02A4"/>
    <w:rsid w:val="00FF3978"/>
    <w:rsid w:val="00FF6EF4"/>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1E84F4"/>
  <w15:docId w15:val="{9048AB05-13CF-4FFC-8615-855B11857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qFormat="1"/>
    <w:lsdException w:name="Table Grid" w:uiPriority="39"/>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41A4"/>
  </w:style>
  <w:style w:type="paragraph" w:styleId="Heading1">
    <w:name w:val="heading 1"/>
    <w:basedOn w:val="Normal"/>
    <w:next w:val="Normal"/>
    <w:link w:val="Heading1Char"/>
    <w:uiPriority w:val="9"/>
    <w:qFormat/>
    <w:rsid w:val="00F95D1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95D1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E53B1B"/>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unhideWhenUsed/>
    <w:rsid w:val="00A44F0C"/>
    <w:rPr>
      <w:color w:val="0563C1" w:themeColor="hyperlink"/>
      <w:u w:val="single"/>
    </w:rPr>
  </w:style>
  <w:style w:type="character" w:customStyle="1" w:styleId="CommentTextChar">
    <w:name w:val="Comment Text Char"/>
    <w:basedOn w:val="DefaultParagraphFont"/>
    <w:link w:val="CommentText"/>
    <w:uiPriority w:val="99"/>
    <w:qFormat/>
    <w:rsid w:val="00A44F0C"/>
    <w:rPr>
      <w:rFonts w:ascii="Times New Roman" w:eastAsiaTheme="minorEastAsia" w:hAnsi="Times New Roman"/>
      <w:lang w:val="en-US"/>
    </w:rPr>
  </w:style>
  <w:style w:type="character" w:customStyle="1" w:styleId="CommentTextChar1">
    <w:name w:val="Comment Text Char1"/>
    <w:basedOn w:val="DefaultParagraphFont"/>
    <w:uiPriority w:val="99"/>
    <w:semiHidden/>
    <w:qFormat/>
    <w:rsid w:val="00A44F0C"/>
    <w:rPr>
      <w:sz w:val="20"/>
      <w:szCs w:val="20"/>
    </w:rPr>
  </w:style>
  <w:style w:type="character" w:styleId="CommentReference">
    <w:name w:val="annotation reference"/>
    <w:basedOn w:val="DefaultParagraphFont"/>
    <w:uiPriority w:val="99"/>
    <w:semiHidden/>
    <w:unhideWhenUsed/>
    <w:qFormat/>
    <w:rsid w:val="00A44F0C"/>
    <w:rPr>
      <w:sz w:val="16"/>
      <w:szCs w:val="16"/>
    </w:rPr>
  </w:style>
  <w:style w:type="character" w:customStyle="1" w:styleId="BalloonTextChar">
    <w:name w:val="Balloon Text Char"/>
    <w:basedOn w:val="DefaultParagraphFont"/>
    <w:link w:val="BalloonText"/>
    <w:uiPriority w:val="99"/>
    <w:semiHidden/>
    <w:qFormat/>
    <w:rsid w:val="00A44F0C"/>
    <w:rPr>
      <w:rFonts w:ascii="Segoe UI" w:hAnsi="Segoe UI" w:cs="Segoe UI"/>
      <w:sz w:val="18"/>
      <w:szCs w:val="18"/>
    </w:rPr>
  </w:style>
  <w:style w:type="character" w:styleId="PlaceholderText">
    <w:name w:val="Placeholder Text"/>
    <w:basedOn w:val="DefaultParagraphFont"/>
    <w:uiPriority w:val="99"/>
    <w:semiHidden/>
    <w:qFormat/>
    <w:rsid w:val="00C22633"/>
    <w:rPr>
      <w:color w:val="808080"/>
    </w:rPr>
  </w:style>
  <w:style w:type="character" w:customStyle="1" w:styleId="Heading1Char">
    <w:name w:val="Heading 1 Char"/>
    <w:basedOn w:val="DefaultParagraphFont"/>
    <w:link w:val="Heading1"/>
    <w:uiPriority w:val="9"/>
    <w:qFormat/>
    <w:rsid w:val="00F95D1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qFormat/>
    <w:rsid w:val="00F95D12"/>
    <w:rPr>
      <w:rFonts w:asciiTheme="majorHAnsi" w:eastAsiaTheme="majorEastAsia" w:hAnsiTheme="majorHAnsi" w:cstheme="majorBidi"/>
      <w:color w:val="2F5496" w:themeColor="accent1" w:themeShade="BF"/>
      <w:sz w:val="26"/>
      <w:szCs w:val="26"/>
    </w:rPr>
  </w:style>
  <w:style w:type="character" w:customStyle="1" w:styleId="Style1Char">
    <w:name w:val="Style1 Char"/>
    <w:basedOn w:val="DefaultParagraphFont"/>
    <w:link w:val="Style1"/>
    <w:qFormat/>
    <w:rsid w:val="00F95D12"/>
    <w:rPr>
      <w:rFonts w:cs="Arial"/>
      <w:b/>
      <w:sz w:val="22"/>
      <w:szCs w:val="22"/>
    </w:rPr>
  </w:style>
  <w:style w:type="character" w:customStyle="1" w:styleId="Style2Char">
    <w:name w:val="Style2 Char"/>
    <w:basedOn w:val="Heading2Char"/>
    <w:link w:val="Style2"/>
    <w:qFormat/>
    <w:rsid w:val="00F95D12"/>
    <w:rPr>
      <w:rFonts w:ascii="Arial" w:eastAsiaTheme="majorEastAsia" w:hAnsi="Arial" w:cs="Arial"/>
      <w:color w:val="2F5496" w:themeColor="accent1" w:themeShade="BF"/>
      <w:sz w:val="26"/>
      <w:szCs w:val="26"/>
    </w:rPr>
  </w:style>
  <w:style w:type="character" w:customStyle="1" w:styleId="Heading3Char">
    <w:name w:val="Heading 3 Char"/>
    <w:basedOn w:val="DefaultParagraphFont"/>
    <w:link w:val="Heading3"/>
    <w:uiPriority w:val="9"/>
    <w:semiHidden/>
    <w:qFormat/>
    <w:rsid w:val="00E53B1B"/>
    <w:rPr>
      <w:rFonts w:asciiTheme="majorHAnsi" w:eastAsiaTheme="majorEastAsia" w:hAnsiTheme="majorHAnsi" w:cstheme="majorBidi"/>
      <w:color w:val="1F3763" w:themeColor="accent1" w:themeShade="7F"/>
      <w:sz w:val="24"/>
      <w:szCs w:val="24"/>
    </w:rPr>
  </w:style>
  <w:style w:type="character" w:customStyle="1" w:styleId="Style3Char">
    <w:name w:val="Style3 Char"/>
    <w:basedOn w:val="Heading2Char"/>
    <w:link w:val="Style3"/>
    <w:qFormat/>
    <w:rsid w:val="00F95D12"/>
    <w:rPr>
      <w:rFonts w:ascii="Arial" w:eastAsiaTheme="majorEastAsia" w:hAnsi="Arial" w:cstheme="majorBidi"/>
      <w:b/>
      <w:color w:val="2F5496" w:themeColor="accent1" w:themeShade="BF"/>
      <w:sz w:val="26"/>
      <w:szCs w:val="26"/>
    </w:rPr>
  </w:style>
  <w:style w:type="character" w:customStyle="1" w:styleId="EndNoteBibliographyTitleChar">
    <w:name w:val="EndNote Bibliography Title Char"/>
    <w:basedOn w:val="DefaultParagraphFont"/>
    <w:link w:val="EndNoteBibliographyTitle"/>
    <w:qFormat/>
    <w:rsid w:val="005E5C9F"/>
    <w:rPr>
      <w:rFonts w:ascii="Calibri" w:hAnsi="Calibri" w:cs="Calibri"/>
      <w:sz w:val="24"/>
      <w:szCs w:val="24"/>
      <w:lang w:val="en-US"/>
    </w:rPr>
  </w:style>
  <w:style w:type="character" w:customStyle="1" w:styleId="UnresolvedMention1">
    <w:name w:val="Unresolved Mention1"/>
    <w:basedOn w:val="DefaultParagraphFont"/>
    <w:uiPriority w:val="99"/>
    <w:semiHidden/>
    <w:unhideWhenUsed/>
    <w:qFormat/>
    <w:rsid w:val="006F1C0B"/>
    <w:rPr>
      <w:color w:val="808080"/>
      <w:shd w:val="clear" w:color="auto" w:fill="E6E6E6"/>
    </w:rPr>
  </w:style>
  <w:style w:type="character" w:customStyle="1" w:styleId="CommentSubjectChar">
    <w:name w:val="Comment Subject Char"/>
    <w:basedOn w:val="CommentTextChar"/>
    <w:link w:val="CommentSubject"/>
    <w:uiPriority w:val="99"/>
    <w:semiHidden/>
    <w:qFormat/>
    <w:rsid w:val="00EE74CE"/>
    <w:rPr>
      <w:rFonts w:ascii="Times New Roman" w:eastAsiaTheme="minorEastAsia" w:hAnsi="Times New Roman"/>
      <w:b/>
      <w:bCs/>
      <w:sz w:val="20"/>
      <w:szCs w:val="20"/>
      <w:lang w:val="en-US"/>
    </w:rPr>
  </w:style>
  <w:style w:type="character" w:styleId="LineNumber">
    <w:name w:val="line number"/>
    <w:basedOn w:val="DefaultParagraphFont"/>
    <w:uiPriority w:val="99"/>
    <w:semiHidden/>
    <w:unhideWhenUsed/>
    <w:qFormat/>
    <w:rsid w:val="002F06E7"/>
  </w:style>
  <w:style w:type="character" w:customStyle="1" w:styleId="HeaderChar">
    <w:name w:val="Header Char"/>
    <w:basedOn w:val="DefaultParagraphFont"/>
    <w:link w:val="Header"/>
    <w:uiPriority w:val="99"/>
    <w:qFormat/>
    <w:rsid w:val="002F06E7"/>
    <w:rPr>
      <w:sz w:val="24"/>
      <w:szCs w:val="24"/>
    </w:rPr>
  </w:style>
  <w:style w:type="character" w:customStyle="1" w:styleId="FooterChar">
    <w:name w:val="Footer Char"/>
    <w:basedOn w:val="DefaultParagraphFont"/>
    <w:link w:val="Footer"/>
    <w:uiPriority w:val="99"/>
    <w:qFormat/>
    <w:rsid w:val="002F06E7"/>
    <w:rPr>
      <w:sz w:val="24"/>
      <w:szCs w:val="24"/>
    </w:rPr>
  </w:style>
  <w:style w:type="character" w:customStyle="1" w:styleId="ListLabel1">
    <w:name w:val="ListLabel 1"/>
    <w:qFormat/>
    <w:rPr>
      <w:rFonts w:eastAsia="Calibri" w:cs="Arial"/>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eastAsia="Calibri" w:cs="Arial"/>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ascii="Helvetica" w:hAnsi="Helvetica"/>
      <w:sz w:val="20"/>
    </w:rPr>
  </w:style>
  <w:style w:type="character" w:customStyle="1" w:styleId="ListLabel13">
    <w:name w:val="ListLabel 13"/>
    <w:qFormat/>
    <w:rPr>
      <w:sz w:val="20"/>
    </w:rPr>
  </w:style>
  <w:style w:type="character" w:customStyle="1" w:styleId="ListLabel14">
    <w:name w:val="ListLabel 14"/>
    <w:qFormat/>
    <w:rPr>
      <w:sz w:val="20"/>
    </w:rPr>
  </w:style>
  <w:style w:type="character" w:customStyle="1" w:styleId="ListLabel15">
    <w:name w:val="ListLabel 15"/>
    <w:qFormat/>
    <w:rPr>
      <w:sz w:val="20"/>
    </w:rPr>
  </w:style>
  <w:style w:type="character" w:customStyle="1" w:styleId="ListLabel16">
    <w:name w:val="ListLabel 16"/>
    <w:qFormat/>
    <w:rPr>
      <w:sz w:val="20"/>
    </w:rPr>
  </w:style>
  <w:style w:type="character" w:customStyle="1" w:styleId="ListLabel17">
    <w:name w:val="ListLabel 17"/>
    <w:qFormat/>
    <w:rPr>
      <w:sz w:val="20"/>
    </w:rPr>
  </w:style>
  <w:style w:type="character" w:customStyle="1" w:styleId="ListLabel18">
    <w:name w:val="ListLabel 18"/>
    <w:qFormat/>
    <w:rPr>
      <w:sz w:val="20"/>
    </w:rPr>
  </w:style>
  <w:style w:type="character" w:customStyle="1" w:styleId="ListLabel19">
    <w:name w:val="ListLabel 19"/>
    <w:qFormat/>
    <w:rPr>
      <w:sz w:val="20"/>
    </w:rPr>
  </w:style>
  <w:style w:type="character" w:customStyle="1" w:styleId="ListLabel20">
    <w:name w:val="ListLabel 20"/>
    <w:qFormat/>
    <w:rPr>
      <w:sz w:val="20"/>
    </w:rPr>
  </w:style>
  <w:style w:type="character" w:customStyle="1" w:styleId="ListLabel21">
    <w:name w:val="ListLabel 21"/>
    <w:qFormat/>
    <w:rPr>
      <w:color w:val="auto"/>
    </w:rPr>
  </w:style>
  <w:style w:type="character" w:customStyle="1" w:styleId="LineNumbering">
    <w:name w:val="Line Numbering"/>
  </w:style>
  <w:style w:type="paragraph" w:customStyle="1" w:styleId="Heading">
    <w:name w:val="Heading"/>
    <w:basedOn w:val="Normal"/>
    <w:next w:val="BodyText"/>
    <w:qFormat/>
    <w:pPr>
      <w:keepNext/>
      <w:spacing w:before="240" w:after="120"/>
    </w:pPr>
    <w:rPr>
      <w:rFonts w:ascii="Liberation Sans" w:eastAsia="Noto Sans CJK SC Regular" w:hAnsi="Liberation Sans"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rPr>
  </w:style>
  <w:style w:type="paragraph" w:customStyle="1" w:styleId="Index">
    <w:name w:val="Index"/>
    <w:basedOn w:val="Normal"/>
    <w:qFormat/>
    <w:pPr>
      <w:suppressLineNumbers/>
    </w:pPr>
    <w:rPr>
      <w:rFonts w:cs="Lohit Devanagari"/>
    </w:rPr>
  </w:style>
  <w:style w:type="paragraph" w:styleId="CommentText">
    <w:name w:val="annotation text"/>
    <w:basedOn w:val="Normal"/>
    <w:link w:val="CommentTextChar"/>
    <w:uiPriority w:val="99"/>
    <w:unhideWhenUsed/>
    <w:qFormat/>
    <w:rsid w:val="00A44F0C"/>
    <w:rPr>
      <w:rFonts w:ascii="Times New Roman" w:eastAsiaTheme="minorEastAsia" w:hAnsi="Times New Roman"/>
      <w:sz w:val="22"/>
      <w:szCs w:val="22"/>
      <w:lang w:val="en-US"/>
    </w:rPr>
  </w:style>
  <w:style w:type="paragraph" w:styleId="BalloonText">
    <w:name w:val="Balloon Text"/>
    <w:basedOn w:val="Normal"/>
    <w:link w:val="BalloonTextChar"/>
    <w:uiPriority w:val="99"/>
    <w:semiHidden/>
    <w:unhideWhenUsed/>
    <w:qFormat/>
    <w:rsid w:val="00A44F0C"/>
    <w:rPr>
      <w:rFonts w:ascii="Segoe UI" w:hAnsi="Segoe UI" w:cs="Segoe UI"/>
      <w:sz w:val="18"/>
      <w:szCs w:val="18"/>
    </w:rPr>
  </w:style>
  <w:style w:type="paragraph" w:styleId="ListParagraph">
    <w:name w:val="List Paragraph"/>
    <w:basedOn w:val="Normal"/>
    <w:uiPriority w:val="34"/>
    <w:qFormat/>
    <w:rsid w:val="007F6143"/>
    <w:pPr>
      <w:ind w:left="720"/>
      <w:contextualSpacing/>
    </w:pPr>
  </w:style>
  <w:style w:type="paragraph" w:customStyle="1" w:styleId="EndNoteBibliography">
    <w:name w:val="EndNote Bibliography"/>
    <w:basedOn w:val="Normal"/>
    <w:qFormat/>
    <w:rsid w:val="00336905"/>
    <w:pPr>
      <w:jc w:val="center"/>
    </w:pPr>
    <w:rPr>
      <w:rFonts w:ascii="Calibri" w:hAnsi="Calibri" w:cs="Calibri"/>
      <w:lang w:val="en-US"/>
    </w:rPr>
  </w:style>
  <w:style w:type="paragraph" w:customStyle="1" w:styleId="MDPI42tablebody">
    <w:name w:val="MDPI_4.2_table_body"/>
    <w:qFormat/>
    <w:rsid w:val="00ED41A4"/>
    <w:pPr>
      <w:snapToGrid w:val="0"/>
    </w:pPr>
    <w:rPr>
      <w:rFonts w:ascii="Palatino Linotype" w:eastAsia="Times New Roman" w:hAnsi="Palatino Linotype"/>
      <w:color w:val="000000"/>
      <w:lang w:val="en-US" w:eastAsia="de-DE" w:bidi="en-US"/>
    </w:rPr>
  </w:style>
  <w:style w:type="paragraph" w:styleId="NoSpacing">
    <w:name w:val="No Spacing"/>
    <w:uiPriority w:val="1"/>
    <w:qFormat/>
    <w:rsid w:val="00F95D12"/>
    <w:rPr>
      <w:sz w:val="24"/>
      <w:szCs w:val="24"/>
    </w:rPr>
  </w:style>
  <w:style w:type="paragraph" w:customStyle="1" w:styleId="Style1">
    <w:name w:val="Style1"/>
    <w:basedOn w:val="Normal"/>
    <w:link w:val="Style1Char"/>
    <w:qFormat/>
    <w:rsid w:val="00ED41A4"/>
    <w:pPr>
      <w:spacing w:line="360" w:lineRule="auto"/>
      <w:jc w:val="both"/>
      <w:outlineLvl w:val="0"/>
    </w:pPr>
    <w:rPr>
      <w:rFonts w:cs="Arial"/>
      <w:b/>
      <w:sz w:val="22"/>
      <w:szCs w:val="22"/>
    </w:rPr>
  </w:style>
  <w:style w:type="paragraph" w:customStyle="1" w:styleId="Style2">
    <w:name w:val="Style2"/>
    <w:basedOn w:val="Style1"/>
    <w:link w:val="Style2Char"/>
    <w:qFormat/>
    <w:rsid w:val="00F95D12"/>
    <w:rPr>
      <w:b w:val="0"/>
    </w:rPr>
  </w:style>
  <w:style w:type="paragraph" w:customStyle="1" w:styleId="Style3">
    <w:name w:val="Style3"/>
    <w:basedOn w:val="Heading2"/>
    <w:next w:val="Normal"/>
    <w:link w:val="Style3Char"/>
    <w:qFormat/>
    <w:rsid w:val="00F95D12"/>
    <w:pPr>
      <w:spacing w:before="120" w:after="120"/>
    </w:pPr>
    <w:rPr>
      <w:rFonts w:ascii="Arial" w:hAnsi="Arial"/>
      <w:b/>
      <w:color w:val="auto"/>
      <w:sz w:val="22"/>
    </w:rPr>
  </w:style>
  <w:style w:type="paragraph" w:customStyle="1" w:styleId="EndNoteBibliographyTitle">
    <w:name w:val="EndNote Bibliography Title"/>
    <w:basedOn w:val="Normal"/>
    <w:link w:val="EndNoteBibliographyTitleChar"/>
    <w:qFormat/>
    <w:rsid w:val="005E5C9F"/>
    <w:pPr>
      <w:jc w:val="center"/>
    </w:pPr>
    <w:rPr>
      <w:rFonts w:ascii="Calibri" w:hAnsi="Calibri" w:cs="Calibri"/>
      <w:lang w:val="en-US"/>
    </w:rPr>
  </w:style>
  <w:style w:type="paragraph" w:styleId="NormalWeb">
    <w:name w:val="Normal (Web)"/>
    <w:basedOn w:val="Normal"/>
    <w:uiPriority w:val="99"/>
    <w:unhideWhenUsed/>
    <w:qFormat/>
    <w:rsid w:val="00CB4A63"/>
    <w:pPr>
      <w:spacing w:beforeAutospacing="1" w:afterAutospacing="1"/>
    </w:pPr>
    <w:rPr>
      <w:rFonts w:ascii="Times New Roman" w:eastAsia="Times New Roman" w:hAnsi="Times New Roman" w:cs="Times New Roman"/>
      <w:lang w:eastAsia="en-GB"/>
    </w:rPr>
  </w:style>
  <w:style w:type="paragraph" w:styleId="CommentSubject">
    <w:name w:val="annotation subject"/>
    <w:basedOn w:val="CommentText"/>
    <w:next w:val="CommentText"/>
    <w:link w:val="CommentSubjectChar"/>
    <w:uiPriority w:val="99"/>
    <w:semiHidden/>
    <w:unhideWhenUsed/>
    <w:qFormat/>
    <w:rsid w:val="00EE74CE"/>
    <w:rPr>
      <w:rFonts w:asciiTheme="minorHAnsi" w:eastAsiaTheme="minorHAnsi" w:hAnsiTheme="minorHAnsi"/>
      <w:b/>
      <w:bCs/>
      <w:sz w:val="20"/>
      <w:szCs w:val="20"/>
      <w:lang w:val="en-GB"/>
    </w:rPr>
  </w:style>
  <w:style w:type="paragraph" w:styleId="Header">
    <w:name w:val="header"/>
    <w:basedOn w:val="Normal"/>
    <w:link w:val="HeaderChar"/>
    <w:uiPriority w:val="99"/>
    <w:unhideWhenUsed/>
    <w:rsid w:val="002F06E7"/>
    <w:pPr>
      <w:suppressLineNumbers/>
      <w:tabs>
        <w:tab w:val="center" w:pos="4513"/>
        <w:tab w:val="right" w:pos="9026"/>
      </w:tabs>
    </w:pPr>
  </w:style>
  <w:style w:type="paragraph" w:styleId="Footer">
    <w:name w:val="footer"/>
    <w:basedOn w:val="Normal"/>
    <w:link w:val="FooterChar"/>
    <w:uiPriority w:val="99"/>
    <w:unhideWhenUsed/>
    <w:rsid w:val="002F06E7"/>
    <w:pPr>
      <w:suppressLineNumbers/>
      <w:tabs>
        <w:tab w:val="center" w:pos="4513"/>
        <w:tab w:val="right" w:pos="9026"/>
      </w:tabs>
    </w:pPr>
  </w:style>
  <w:style w:type="table" w:styleId="TableGrid">
    <w:name w:val="Table Grid"/>
    <w:basedOn w:val="TableNormal"/>
    <w:uiPriority w:val="39"/>
    <w:rsid w:val="00DB73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deck5tablebodythreelines">
    <w:name w:val="M_deck_5_table_body_three_lines"/>
    <w:basedOn w:val="TableNormal"/>
    <w:uiPriority w:val="99"/>
    <w:rsid w:val="00182135"/>
    <w:pPr>
      <w:snapToGrid w:val="0"/>
      <w:spacing w:line="300" w:lineRule="exact"/>
      <w:jc w:val="center"/>
    </w:pPr>
    <w:rPr>
      <w:rFonts w:eastAsiaTheme="minorEastAsia"/>
      <w:lang w:val="de-DE" w:eastAsia="de-DE"/>
    </w:rPr>
    <w:tblPr>
      <w:tblBorders>
        <w:bottom w:val="single" w:sz="8" w:space="0" w:color="auto"/>
      </w:tblBorders>
    </w:tblPr>
    <w:tcPr>
      <w:vAlign w:val="center"/>
    </w:tcPr>
    <w:tblStylePr w:type="firstRow">
      <w:pPr>
        <w:wordWrap/>
        <w:snapToGrid w:val="0"/>
        <w:spacing w:beforeLines="0" w:afterLines="0" w:line="300" w:lineRule="exact"/>
        <w:ind w:rightChars="0" w:right="0"/>
        <w:jc w:val="center"/>
      </w:pPr>
      <w:rPr>
        <w:b w:val="0"/>
        <w:i w:val="0"/>
        <w:sz w:val="22"/>
      </w:rPr>
      <w:tblPr/>
      <w:tcPr>
        <w:tcBorders>
          <w:top w:val="single" w:sz="8" w:space="0" w:color="auto"/>
          <w:left w:val="nil"/>
          <w:bottom w:val="single" w:sz="4" w:space="0" w:color="auto"/>
          <w:right w:val="nil"/>
          <w:insideH w:val="nil"/>
          <w:insideV w:val="nil"/>
          <w:tl2br w:val="nil"/>
          <w:tr2bl w:val="nil"/>
        </w:tcBorders>
      </w:tcPr>
    </w:tblStylePr>
  </w:style>
  <w:style w:type="character" w:styleId="Hyperlink">
    <w:name w:val="Hyperlink"/>
    <w:basedOn w:val="DefaultParagraphFont"/>
    <w:uiPriority w:val="99"/>
    <w:unhideWhenUsed/>
    <w:rsid w:val="002B5A58"/>
    <w:rPr>
      <w:color w:val="0000FF"/>
      <w:u w:val="single"/>
    </w:rPr>
  </w:style>
  <w:style w:type="character" w:customStyle="1" w:styleId="UnresolvedMention2">
    <w:name w:val="Unresolved Mention2"/>
    <w:basedOn w:val="DefaultParagraphFont"/>
    <w:uiPriority w:val="99"/>
    <w:semiHidden/>
    <w:unhideWhenUsed/>
    <w:rsid w:val="00200731"/>
    <w:rPr>
      <w:color w:val="605E5C"/>
      <w:shd w:val="clear" w:color="auto" w:fill="E1DFDD"/>
    </w:rPr>
  </w:style>
  <w:style w:type="character" w:styleId="UnresolvedMention">
    <w:name w:val="Unresolved Mention"/>
    <w:basedOn w:val="DefaultParagraphFont"/>
    <w:uiPriority w:val="99"/>
    <w:semiHidden/>
    <w:unhideWhenUsed/>
    <w:rsid w:val="008A60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450175">
      <w:bodyDiv w:val="1"/>
      <w:marLeft w:val="0"/>
      <w:marRight w:val="0"/>
      <w:marTop w:val="0"/>
      <w:marBottom w:val="0"/>
      <w:divBdr>
        <w:top w:val="none" w:sz="0" w:space="0" w:color="auto"/>
        <w:left w:val="none" w:sz="0" w:space="0" w:color="auto"/>
        <w:bottom w:val="none" w:sz="0" w:space="0" w:color="auto"/>
        <w:right w:val="none" w:sz="0" w:space="0" w:color="auto"/>
      </w:divBdr>
    </w:div>
    <w:div w:id="111749726">
      <w:bodyDiv w:val="1"/>
      <w:marLeft w:val="0"/>
      <w:marRight w:val="0"/>
      <w:marTop w:val="0"/>
      <w:marBottom w:val="0"/>
      <w:divBdr>
        <w:top w:val="none" w:sz="0" w:space="0" w:color="auto"/>
        <w:left w:val="none" w:sz="0" w:space="0" w:color="auto"/>
        <w:bottom w:val="none" w:sz="0" w:space="0" w:color="auto"/>
        <w:right w:val="none" w:sz="0" w:space="0" w:color="auto"/>
      </w:divBdr>
    </w:div>
    <w:div w:id="128864299">
      <w:bodyDiv w:val="1"/>
      <w:marLeft w:val="0"/>
      <w:marRight w:val="0"/>
      <w:marTop w:val="0"/>
      <w:marBottom w:val="0"/>
      <w:divBdr>
        <w:top w:val="none" w:sz="0" w:space="0" w:color="auto"/>
        <w:left w:val="none" w:sz="0" w:space="0" w:color="auto"/>
        <w:bottom w:val="none" w:sz="0" w:space="0" w:color="auto"/>
        <w:right w:val="none" w:sz="0" w:space="0" w:color="auto"/>
      </w:divBdr>
    </w:div>
    <w:div w:id="136579734">
      <w:bodyDiv w:val="1"/>
      <w:marLeft w:val="0"/>
      <w:marRight w:val="0"/>
      <w:marTop w:val="0"/>
      <w:marBottom w:val="0"/>
      <w:divBdr>
        <w:top w:val="none" w:sz="0" w:space="0" w:color="auto"/>
        <w:left w:val="none" w:sz="0" w:space="0" w:color="auto"/>
        <w:bottom w:val="none" w:sz="0" w:space="0" w:color="auto"/>
        <w:right w:val="none" w:sz="0" w:space="0" w:color="auto"/>
      </w:divBdr>
    </w:div>
    <w:div w:id="204101624">
      <w:bodyDiv w:val="1"/>
      <w:marLeft w:val="0"/>
      <w:marRight w:val="0"/>
      <w:marTop w:val="0"/>
      <w:marBottom w:val="0"/>
      <w:divBdr>
        <w:top w:val="none" w:sz="0" w:space="0" w:color="auto"/>
        <w:left w:val="none" w:sz="0" w:space="0" w:color="auto"/>
        <w:bottom w:val="none" w:sz="0" w:space="0" w:color="auto"/>
        <w:right w:val="none" w:sz="0" w:space="0" w:color="auto"/>
      </w:divBdr>
    </w:div>
    <w:div w:id="282813975">
      <w:bodyDiv w:val="1"/>
      <w:marLeft w:val="0"/>
      <w:marRight w:val="0"/>
      <w:marTop w:val="0"/>
      <w:marBottom w:val="0"/>
      <w:divBdr>
        <w:top w:val="none" w:sz="0" w:space="0" w:color="auto"/>
        <w:left w:val="none" w:sz="0" w:space="0" w:color="auto"/>
        <w:bottom w:val="none" w:sz="0" w:space="0" w:color="auto"/>
        <w:right w:val="none" w:sz="0" w:space="0" w:color="auto"/>
      </w:divBdr>
    </w:div>
    <w:div w:id="290406936">
      <w:bodyDiv w:val="1"/>
      <w:marLeft w:val="0"/>
      <w:marRight w:val="0"/>
      <w:marTop w:val="0"/>
      <w:marBottom w:val="0"/>
      <w:divBdr>
        <w:top w:val="none" w:sz="0" w:space="0" w:color="auto"/>
        <w:left w:val="none" w:sz="0" w:space="0" w:color="auto"/>
        <w:bottom w:val="none" w:sz="0" w:space="0" w:color="auto"/>
        <w:right w:val="none" w:sz="0" w:space="0" w:color="auto"/>
      </w:divBdr>
    </w:div>
    <w:div w:id="329257075">
      <w:bodyDiv w:val="1"/>
      <w:marLeft w:val="0"/>
      <w:marRight w:val="0"/>
      <w:marTop w:val="0"/>
      <w:marBottom w:val="0"/>
      <w:divBdr>
        <w:top w:val="none" w:sz="0" w:space="0" w:color="auto"/>
        <w:left w:val="none" w:sz="0" w:space="0" w:color="auto"/>
        <w:bottom w:val="none" w:sz="0" w:space="0" w:color="auto"/>
        <w:right w:val="none" w:sz="0" w:space="0" w:color="auto"/>
      </w:divBdr>
    </w:div>
    <w:div w:id="405419223">
      <w:bodyDiv w:val="1"/>
      <w:marLeft w:val="0"/>
      <w:marRight w:val="0"/>
      <w:marTop w:val="0"/>
      <w:marBottom w:val="0"/>
      <w:divBdr>
        <w:top w:val="none" w:sz="0" w:space="0" w:color="auto"/>
        <w:left w:val="none" w:sz="0" w:space="0" w:color="auto"/>
        <w:bottom w:val="none" w:sz="0" w:space="0" w:color="auto"/>
        <w:right w:val="none" w:sz="0" w:space="0" w:color="auto"/>
      </w:divBdr>
    </w:div>
    <w:div w:id="495726597">
      <w:bodyDiv w:val="1"/>
      <w:marLeft w:val="0"/>
      <w:marRight w:val="0"/>
      <w:marTop w:val="0"/>
      <w:marBottom w:val="0"/>
      <w:divBdr>
        <w:top w:val="none" w:sz="0" w:space="0" w:color="auto"/>
        <w:left w:val="none" w:sz="0" w:space="0" w:color="auto"/>
        <w:bottom w:val="none" w:sz="0" w:space="0" w:color="auto"/>
        <w:right w:val="none" w:sz="0" w:space="0" w:color="auto"/>
      </w:divBdr>
    </w:div>
    <w:div w:id="531966824">
      <w:bodyDiv w:val="1"/>
      <w:marLeft w:val="0"/>
      <w:marRight w:val="0"/>
      <w:marTop w:val="0"/>
      <w:marBottom w:val="0"/>
      <w:divBdr>
        <w:top w:val="none" w:sz="0" w:space="0" w:color="auto"/>
        <w:left w:val="none" w:sz="0" w:space="0" w:color="auto"/>
        <w:bottom w:val="none" w:sz="0" w:space="0" w:color="auto"/>
        <w:right w:val="none" w:sz="0" w:space="0" w:color="auto"/>
      </w:divBdr>
    </w:div>
    <w:div w:id="620957473">
      <w:bodyDiv w:val="1"/>
      <w:marLeft w:val="0"/>
      <w:marRight w:val="0"/>
      <w:marTop w:val="0"/>
      <w:marBottom w:val="0"/>
      <w:divBdr>
        <w:top w:val="none" w:sz="0" w:space="0" w:color="auto"/>
        <w:left w:val="none" w:sz="0" w:space="0" w:color="auto"/>
        <w:bottom w:val="none" w:sz="0" w:space="0" w:color="auto"/>
        <w:right w:val="none" w:sz="0" w:space="0" w:color="auto"/>
      </w:divBdr>
    </w:div>
    <w:div w:id="701246061">
      <w:bodyDiv w:val="1"/>
      <w:marLeft w:val="0"/>
      <w:marRight w:val="0"/>
      <w:marTop w:val="0"/>
      <w:marBottom w:val="0"/>
      <w:divBdr>
        <w:top w:val="none" w:sz="0" w:space="0" w:color="auto"/>
        <w:left w:val="none" w:sz="0" w:space="0" w:color="auto"/>
        <w:bottom w:val="none" w:sz="0" w:space="0" w:color="auto"/>
        <w:right w:val="none" w:sz="0" w:space="0" w:color="auto"/>
      </w:divBdr>
    </w:div>
    <w:div w:id="732388017">
      <w:bodyDiv w:val="1"/>
      <w:marLeft w:val="0"/>
      <w:marRight w:val="0"/>
      <w:marTop w:val="0"/>
      <w:marBottom w:val="0"/>
      <w:divBdr>
        <w:top w:val="none" w:sz="0" w:space="0" w:color="auto"/>
        <w:left w:val="none" w:sz="0" w:space="0" w:color="auto"/>
        <w:bottom w:val="none" w:sz="0" w:space="0" w:color="auto"/>
        <w:right w:val="none" w:sz="0" w:space="0" w:color="auto"/>
      </w:divBdr>
    </w:div>
    <w:div w:id="733626787">
      <w:bodyDiv w:val="1"/>
      <w:marLeft w:val="0"/>
      <w:marRight w:val="0"/>
      <w:marTop w:val="0"/>
      <w:marBottom w:val="0"/>
      <w:divBdr>
        <w:top w:val="none" w:sz="0" w:space="0" w:color="auto"/>
        <w:left w:val="none" w:sz="0" w:space="0" w:color="auto"/>
        <w:bottom w:val="none" w:sz="0" w:space="0" w:color="auto"/>
        <w:right w:val="none" w:sz="0" w:space="0" w:color="auto"/>
      </w:divBdr>
    </w:div>
    <w:div w:id="774131077">
      <w:bodyDiv w:val="1"/>
      <w:marLeft w:val="0"/>
      <w:marRight w:val="0"/>
      <w:marTop w:val="0"/>
      <w:marBottom w:val="0"/>
      <w:divBdr>
        <w:top w:val="none" w:sz="0" w:space="0" w:color="auto"/>
        <w:left w:val="none" w:sz="0" w:space="0" w:color="auto"/>
        <w:bottom w:val="none" w:sz="0" w:space="0" w:color="auto"/>
        <w:right w:val="none" w:sz="0" w:space="0" w:color="auto"/>
      </w:divBdr>
    </w:div>
    <w:div w:id="1095637241">
      <w:bodyDiv w:val="1"/>
      <w:marLeft w:val="0"/>
      <w:marRight w:val="0"/>
      <w:marTop w:val="0"/>
      <w:marBottom w:val="0"/>
      <w:divBdr>
        <w:top w:val="none" w:sz="0" w:space="0" w:color="auto"/>
        <w:left w:val="none" w:sz="0" w:space="0" w:color="auto"/>
        <w:bottom w:val="none" w:sz="0" w:space="0" w:color="auto"/>
        <w:right w:val="none" w:sz="0" w:space="0" w:color="auto"/>
      </w:divBdr>
    </w:div>
    <w:div w:id="1245804252">
      <w:bodyDiv w:val="1"/>
      <w:marLeft w:val="0"/>
      <w:marRight w:val="0"/>
      <w:marTop w:val="0"/>
      <w:marBottom w:val="0"/>
      <w:divBdr>
        <w:top w:val="none" w:sz="0" w:space="0" w:color="auto"/>
        <w:left w:val="none" w:sz="0" w:space="0" w:color="auto"/>
        <w:bottom w:val="none" w:sz="0" w:space="0" w:color="auto"/>
        <w:right w:val="none" w:sz="0" w:space="0" w:color="auto"/>
      </w:divBdr>
    </w:div>
    <w:div w:id="1264453563">
      <w:bodyDiv w:val="1"/>
      <w:marLeft w:val="0"/>
      <w:marRight w:val="0"/>
      <w:marTop w:val="0"/>
      <w:marBottom w:val="0"/>
      <w:divBdr>
        <w:top w:val="none" w:sz="0" w:space="0" w:color="auto"/>
        <w:left w:val="none" w:sz="0" w:space="0" w:color="auto"/>
        <w:bottom w:val="none" w:sz="0" w:space="0" w:color="auto"/>
        <w:right w:val="none" w:sz="0" w:space="0" w:color="auto"/>
      </w:divBdr>
    </w:div>
    <w:div w:id="1275675949">
      <w:bodyDiv w:val="1"/>
      <w:marLeft w:val="0"/>
      <w:marRight w:val="0"/>
      <w:marTop w:val="0"/>
      <w:marBottom w:val="0"/>
      <w:divBdr>
        <w:top w:val="none" w:sz="0" w:space="0" w:color="auto"/>
        <w:left w:val="none" w:sz="0" w:space="0" w:color="auto"/>
        <w:bottom w:val="none" w:sz="0" w:space="0" w:color="auto"/>
        <w:right w:val="none" w:sz="0" w:space="0" w:color="auto"/>
      </w:divBdr>
    </w:div>
    <w:div w:id="1278830774">
      <w:bodyDiv w:val="1"/>
      <w:marLeft w:val="0"/>
      <w:marRight w:val="0"/>
      <w:marTop w:val="0"/>
      <w:marBottom w:val="0"/>
      <w:divBdr>
        <w:top w:val="none" w:sz="0" w:space="0" w:color="auto"/>
        <w:left w:val="none" w:sz="0" w:space="0" w:color="auto"/>
        <w:bottom w:val="none" w:sz="0" w:space="0" w:color="auto"/>
        <w:right w:val="none" w:sz="0" w:space="0" w:color="auto"/>
      </w:divBdr>
    </w:div>
    <w:div w:id="1291589741">
      <w:bodyDiv w:val="1"/>
      <w:marLeft w:val="0"/>
      <w:marRight w:val="0"/>
      <w:marTop w:val="0"/>
      <w:marBottom w:val="0"/>
      <w:divBdr>
        <w:top w:val="none" w:sz="0" w:space="0" w:color="auto"/>
        <w:left w:val="none" w:sz="0" w:space="0" w:color="auto"/>
        <w:bottom w:val="none" w:sz="0" w:space="0" w:color="auto"/>
        <w:right w:val="none" w:sz="0" w:space="0" w:color="auto"/>
      </w:divBdr>
    </w:div>
    <w:div w:id="1331134061">
      <w:bodyDiv w:val="1"/>
      <w:marLeft w:val="0"/>
      <w:marRight w:val="0"/>
      <w:marTop w:val="0"/>
      <w:marBottom w:val="0"/>
      <w:divBdr>
        <w:top w:val="none" w:sz="0" w:space="0" w:color="auto"/>
        <w:left w:val="none" w:sz="0" w:space="0" w:color="auto"/>
        <w:bottom w:val="none" w:sz="0" w:space="0" w:color="auto"/>
        <w:right w:val="none" w:sz="0" w:space="0" w:color="auto"/>
      </w:divBdr>
    </w:div>
    <w:div w:id="1341928853">
      <w:bodyDiv w:val="1"/>
      <w:marLeft w:val="0"/>
      <w:marRight w:val="0"/>
      <w:marTop w:val="0"/>
      <w:marBottom w:val="0"/>
      <w:divBdr>
        <w:top w:val="none" w:sz="0" w:space="0" w:color="auto"/>
        <w:left w:val="none" w:sz="0" w:space="0" w:color="auto"/>
        <w:bottom w:val="none" w:sz="0" w:space="0" w:color="auto"/>
        <w:right w:val="none" w:sz="0" w:space="0" w:color="auto"/>
      </w:divBdr>
    </w:div>
    <w:div w:id="1378360750">
      <w:bodyDiv w:val="1"/>
      <w:marLeft w:val="0"/>
      <w:marRight w:val="0"/>
      <w:marTop w:val="0"/>
      <w:marBottom w:val="0"/>
      <w:divBdr>
        <w:top w:val="none" w:sz="0" w:space="0" w:color="auto"/>
        <w:left w:val="none" w:sz="0" w:space="0" w:color="auto"/>
        <w:bottom w:val="none" w:sz="0" w:space="0" w:color="auto"/>
        <w:right w:val="none" w:sz="0" w:space="0" w:color="auto"/>
      </w:divBdr>
    </w:div>
    <w:div w:id="1472213899">
      <w:bodyDiv w:val="1"/>
      <w:marLeft w:val="0"/>
      <w:marRight w:val="0"/>
      <w:marTop w:val="0"/>
      <w:marBottom w:val="0"/>
      <w:divBdr>
        <w:top w:val="none" w:sz="0" w:space="0" w:color="auto"/>
        <w:left w:val="none" w:sz="0" w:space="0" w:color="auto"/>
        <w:bottom w:val="none" w:sz="0" w:space="0" w:color="auto"/>
        <w:right w:val="none" w:sz="0" w:space="0" w:color="auto"/>
      </w:divBdr>
    </w:div>
    <w:div w:id="1488281603">
      <w:bodyDiv w:val="1"/>
      <w:marLeft w:val="0"/>
      <w:marRight w:val="0"/>
      <w:marTop w:val="0"/>
      <w:marBottom w:val="0"/>
      <w:divBdr>
        <w:top w:val="none" w:sz="0" w:space="0" w:color="auto"/>
        <w:left w:val="none" w:sz="0" w:space="0" w:color="auto"/>
        <w:bottom w:val="none" w:sz="0" w:space="0" w:color="auto"/>
        <w:right w:val="none" w:sz="0" w:space="0" w:color="auto"/>
      </w:divBdr>
    </w:div>
    <w:div w:id="1538466427">
      <w:bodyDiv w:val="1"/>
      <w:marLeft w:val="0"/>
      <w:marRight w:val="0"/>
      <w:marTop w:val="0"/>
      <w:marBottom w:val="0"/>
      <w:divBdr>
        <w:top w:val="none" w:sz="0" w:space="0" w:color="auto"/>
        <w:left w:val="none" w:sz="0" w:space="0" w:color="auto"/>
        <w:bottom w:val="none" w:sz="0" w:space="0" w:color="auto"/>
        <w:right w:val="none" w:sz="0" w:space="0" w:color="auto"/>
      </w:divBdr>
    </w:div>
    <w:div w:id="1570577119">
      <w:bodyDiv w:val="1"/>
      <w:marLeft w:val="0"/>
      <w:marRight w:val="0"/>
      <w:marTop w:val="0"/>
      <w:marBottom w:val="0"/>
      <w:divBdr>
        <w:top w:val="none" w:sz="0" w:space="0" w:color="auto"/>
        <w:left w:val="none" w:sz="0" w:space="0" w:color="auto"/>
        <w:bottom w:val="none" w:sz="0" w:space="0" w:color="auto"/>
        <w:right w:val="none" w:sz="0" w:space="0" w:color="auto"/>
      </w:divBdr>
    </w:div>
    <w:div w:id="1590115069">
      <w:bodyDiv w:val="1"/>
      <w:marLeft w:val="0"/>
      <w:marRight w:val="0"/>
      <w:marTop w:val="0"/>
      <w:marBottom w:val="0"/>
      <w:divBdr>
        <w:top w:val="none" w:sz="0" w:space="0" w:color="auto"/>
        <w:left w:val="none" w:sz="0" w:space="0" w:color="auto"/>
        <w:bottom w:val="none" w:sz="0" w:space="0" w:color="auto"/>
        <w:right w:val="none" w:sz="0" w:space="0" w:color="auto"/>
      </w:divBdr>
    </w:div>
    <w:div w:id="1630431398">
      <w:bodyDiv w:val="1"/>
      <w:marLeft w:val="0"/>
      <w:marRight w:val="0"/>
      <w:marTop w:val="0"/>
      <w:marBottom w:val="0"/>
      <w:divBdr>
        <w:top w:val="none" w:sz="0" w:space="0" w:color="auto"/>
        <w:left w:val="none" w:sz="0" w:space="0" w:color="auto"/>
        <w:bottom w:val="none" w:sz="0" w:space="0" w:color="auto"/>
        <w:right w:val="none" w:sz="0" w:space="0" w:color="auto"/>
      </w:divBdr>
    </w:div>
    <w:div w:id="1706514629">
      <w:bodyDiv w:val="1"/>
      <w:marLeft w:val="0"/>
      <w:marRight w:val="0"/>
      <w:marTop w:val="0"/>
      <w:marBottom w:val="0"/>
      <w:divBdr>
        <w:top w:val="none" w:sz="0" w:space="0" w:color="auto"/>
        <w:left w:val="none" w:sz="0" w:space="0" w:color="auto"/>
        <w:bottom w:val="none" w:sz="0" w:space="0" w:color="auto"/>
        <w:right w:val="none" w:sz="0" w:space="0" w:color="auto"/>
      </w:divBdr>
    </w:div>
    <w:div w:id="1760834481">
      <w:bodyDiv w:val="1"/>
      <w:marLeft w:val="0"/>
      <w:marRight w:val="0"/>
      <w:marTop w:val="0"/>
      <w:marBottom w:val="0"/>
      <w:divBdr>
        <w:top w:val="none" w:sz="0" w:space="0" w:color="auto"/>
        <w:left w:val="none" w:sz="0" w:space="0" w:color="auto"/>
        <w:bottom w:val="none" w:sz="0" w:space="0" w:color="auto"/>
        <w:right w:val="none" w:sz="0" w:space="0" w:color="auto"/>
      </w:divBdr>
    </w:div>
    <w:div w:id="1906644971">
      <w:bodyDiv w:val="1"/>
      <w:marLeft w:val="0"/>
      <w:marRight w:val="0"/>
      <w:marTop w:val="0"/>
      <w:marBottom w:val="0"/>
      <w:divBdr>
        <w:top w:val="none" w:sz="0" w:space="0" w:color="auto"/>
        <w:left w:val="none" w:sz="0" w:space="0" w:color="auto"/>
        <w:bottom w:val="none" w:sz="0" w:space="0" w:color="auto"/>
        <w:right w:val="none" w:sz="0" w:space="0" w:color="auto"/>
      </w:divBdr>
    </w:div>
    <w:div w:id="1999381425">
      <w:bodyDiv w:val="1"/>
      <w:marLeft w:val="0"/>
      <w:marRight w:val="0"/>
      <w:marTop w:val="0"/>
      <w:marBottom w:val="0"/>
      <w:divBdr>
        <w:top w:val="none" w:sz="0" w:space="0" w:color="auto"/>
        <w:left w:val="none" w:sz="0" w:space="0" w:color="auto"/>
        <w:bottom w:val="none" w:sz="0" w:space="0" w:color="auto"/>
        <w:right w:val="none" w:sz="0" w:space="0" w:color="auto"/>
      </w:divBdr>
    </w:div>
    <w:div w:id="20269768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geo/query/acc.cgi?acc=GSE4554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ncbi.nlm.nih.gov/geo/query/acc.cg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094FD3-1F48-F745-BFFF-AF8C86E25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25</Pages>
  <Words>80152</Words>
  <Characters>456872</Characters>
  <Application>Microsoft Office Word</Application>
  <DocSecurity>0</DocSecurity>
  <Lines>3807</Lines>
  <Paragraphs>1071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535953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Ricky Trigg</dc:creator>
  <cp:keywords/>
  <dc:description/>
  <cp:lastModifiedBy>Suzanne Turner</cp:lastModifiedBy>
  <cp:revision>11</cp:revision>
  <cp:lastPrinted>2019-07-15T13:35:00Z</cp:lastPrinted>
  <dcterms:created xsi:type="dcterms:W3CDTF">2019-10-10T13:06:00Z</dcterms:created>
  <dcterms:modified xsi:type="dcterms:W3CDTF">2019-10-26T11:44:00Z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Mendeley Recent Style Id 0_1">
    <vt:lpwstr>http://www.zotero.org/styles/american-medical-association</vt:lpwstr>
  </property>
  <property fmtid="{D5CDD505-2E9C-101B-9397-08002B2CF9AE}" pid="7" name="Mendeley Recent Style Id 1_1">
    <vt:lpwstr>http://www.zotero.org/styles/american-political-science-association</vt:lpwstr>
  </property>
  <property fmtid="{D5CDD505-2E9C-101B-9397-08002B2CF9AE}" pid="8" name="Mendeley Recent Style Id 2_1">
    <vt:lpwstr>http://www.zotero.org/styles/apa</vt:lpwstr>
  </property>
  <property fmtid="{D5CDD505-2E9C-101B-9397-08002B2CF9AE}" pid="9" name="Mendeley Recent Style Id 3_1">
    <vt:lpwstr>http://www.zotero.org/styles/american-sociological-association</vt:lpwstr>
  </property>
  <property fmtid="{D5CDD505-2E9C-101B-9397-08002B2CF9AE}" pid="10" name="Mendeley Recent Style Id 4_1">
    <vt:lpwstr>http://www.zotero.org/styles/chicago-author-date</vt:lpwstr>
  </property>
  <property fmtid="{D5CDD505-2E9C-101B-9397-08002B2CF9AE}" pid="11" name="Mendeley Recent Style Id 5_1">
    <vt:lpwstr>http://www.zotero.org/styles/harvard-cite-them-right</vt:lpwstr>
  </property>
  <property fmtid="{D5CDD505-2E9C-101B-9397-08002B2CF9AE}" pid="12" name="Mendeley Recent Style Id 6_1">
    <vt:lpwstr>http://www.zotero.org/styles/ieee</vt:lpwstr>
  </property>
  <property fmtid="{D5CDD505-2E9C-101B-9397-08002B2CF9AE}" pid="13" name="Mendeley Recent Style Id 7_1">
    <vt:lpwstr>http://www.zotero.org/styles/modern-humanities-research-association</vt:lpwstr>
  </property>
  <property fmtid="{D5CDD505-2E9C-101B-9397-08002B2CF9AE}" pid="14" name="Mendeley Recent Style Id 8_1">
    <vt:lpwstr>http://www.zotero.org/styles/modern-language-association</vt:lpwstr>
  </property>
  <property fmtid="{D5CDD505-2E9C-101B-9397-08002B2CF9AE}" pid="15" name="Mendeley Recent Style Id 9_1">
    <vt:lpwstr>http://www.zotero.org/styles/nature</vt:lpwstr>
  </property>
  <property fmtid="{D5CDD505-2E9C-101B-9397-08002B2CF9AE}" pid="16" name="Mendeley Recent Style Name 0_1">
    <vt:lpwstr>American Medical Association</vt:lpwstr>
  </property>
  <property fmtid="{D5CDD505-2E9C-101B-9397-08002B2CF9AE}" pid="17" name="Mendeley Recent Style Name 1_1">
    <vt:lpwstr>American Political Science Association</vt:lpwstr>
  </property>
  <property fmtid="{D5CDD505-2E9C-101B-9397-08002B2CF9AE}" pid="18" name="Mendeley Recent Style Name 2_1">
    <vt:lpwstr>American Psychological Association 6th edition</vt:lpwstr>
  </property>
  <property fmtid="{D5CDD505-2E9C-101B-9397-08002B2CF9AE}" pid="19" name="Mendeley Recent Style Name 3_1">
    <vt:lpwstr>American Sociological Association</vt:lpwstr>
  </property>
  <property fmtid="{D5CDD505-2E9C-101B-9397-08002B2CF9AE}" pid="20" name="Mendeley Recent Style Name 4_1">
    <vt:lpwstr>Chicago Manual of Style 17th edition (author-date)</vt:lpwstr>
  </property>
  <property fmtid="{D5CDD505-2E9C-101B-9397-08002B2CF9AE}" pid="21" name="Mendeley Recent Style Name 5_1">
    <vt:lpwstr>Cite Them Right 10th edition - Harvard</vt:lpwstr>
  </property>
  <property fmtid="{D5CDD505-2E9C-101B-9397-08002B2CF9AE}" pid="22" name="Mendeley Recent Style Name 6_1">
    <vt:lpwstr>IEEE</vt:lpwstr>
  </property>
  <property fmtid="{D5CDD505-2E9C-101B-9397-08002B2CF9AE}" pid="23" name="Mendeley Recent Style Name 7_1">
    <vt:lpwstr>Modern Humanities Research Association 3rd edition (note with bibliography)</vt:lpwstr>
  </property>
  <property fmtid="{D5CDD505-2E9C-101B-9397-08002B2CF9AE}" pid="24" name="Mendeley Recent Style Name 8_1">
    <vt:lpwstr>Modern Language Association 8th edition</vt:lpwstr>
  </property>
  <property fmtid="{D5CDD505-2E9C-101B-9397-08002B2CF9AE}" pid="25" name="Mendeley Recent Style Name 9_1">
    <vt:lpwstr>Nature</vt:lpwstr>
  </property>
  <property fmtid="{D5CDD505-2E9C-101B-9397-08002B2CF9AE}" pid="26" name="ScaleCrop">
    <vt:bool>false</vt:bool>
  </property>
  <property fmtid="{D5CDD505-2E9C-101B-9397-08002B2CF9AE}" pid="27" name="ShareDoc">
    <vt:bool>false</vt:bool>
  </property>
  <property fmtid="{D5CDD505-2E9C-101B-9397-08002B2CF9AE}" pid="28" name="Mendeley Document_1">
    <vt:lpwstr>True</vt:lpwstr>
  </property>
  <property fmtid="{D5CDD505-2E9C-101B-9397-08002B2CF9AE}" pid="29" name="Mendeley Unique User Id_1">
    <vt:lpwstr>beffff05-d31e-3faf-9e7a-bc5410c5691e</vt:lpwstr>
  </property>
  <property fmtid="{D5CDD505-2E9C-101B-9397-08002B2CF9AE}" pid="30" name="Mendeley Citation Style_1">
    <vt:lpwstr>http://www.zotero.org/styles/nature</vt:lpwstr>
  </property>
</Properties>
</file>