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tiff" ContentType="image/tiff"/>
  <Default Extension="tif" ContentType="image/tif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36AC" w:rsidRPr="006808C8" w:rsidRDefault="000936AC" w:rsidP="000936AC">
      <w:pPr>
        <w:spacing w:before="0" w:after="0" w:line="480" w:lineRule="auto"/>
        <w:jc w:val="both"/>
        <w:rPr>
          <w:rFonts w:ascii="Arial" w:hAnsi="Arial" w:cs="Arial"/>
        </w:rPr>
      </w:pPr>
      <w:r w:rsidRPr="006808C8">
        <w:rPr>
          <w:rFonts w:ascii="Arial" w:hAnsi="Arial" w:cs="Arial"/>
        </w:rPr>
        <w:t xml:space="preserve">Development and validation of an LC-MS/MS method for detection and quantification of </w:t>
      </w:r>
      <w:r w:rsidRPr="006808C8">
        <w:rPr>
          <w:rFonts w:ascii="Arial" w:hAnsi="Arial" w:cs="Arial"/>
          <w:i/>
        </w:rPr>
        <w:t xml:space="preserve">in vivo </w:t>
      </w:r>
      <w:r w:rsidRPr="006808C8">
        <w:rPr>
          <w:rFonts w:ascii="Arial" w:hAnsi="Arial" w:cs="Arial"/>
        </w:rPr>
        <w:t>derived</w:t>
      </w:r>
      <w:r w:rsidRPr="006808C8">
        <w:rPr>
          <w:rFonts w:ascii="Arial" w:hAnsi="Arial" w:cs="Arial"/>
          <w:i/>
        </w:rPr>
        <w:t xml:space="preserve"> </w:t>
      </w:r>
      <w:r w:rsidRPr="006808C8">
        <w:rPr>
          <w:rFonts w:ascii="Arial" w:hAnsi="Arial" w:cs="Arial"/>
        </w:rPr>
        <w:t xml:space="preserve">metabolites of </w:t>
      </w:r>
      <w:r w:rsidRPr="006808C8">
        <w:rPr>
          <w:rStyle w:val="Emphasis"/>
          <w:rFonts w:ascii="Arial" w:hAnsi="Arial" w:cs="Arial"/>
        </w:rPr>
        <w:t>[Pyr</w:t>
      </w:r>
      <w:r w:rsidRPr="006808C8">
        <w:rPr>
          <w:rStyle w:val="Emphasis"/>
          <w:rFonts w:ascii="Arial" w:hAnsi="Arial" w:cs="Arial"/>
          <w:vertAlign w:val="superscript"/>
        </w:rPr>
        <w:t>1</w:t>
      </w:r>
      <w:proofErr w:type="gramStart"/>
      <w:r w:rsidRPr="006808C8">
        <w:rPr>
          <w:rStyle w:val="Emphasis"/>
          <w:rFonts w:ascii="Arial" w:hAnsi="Arial" w:cs="Arial"/>
        </w:rPr>
        <w:t>]apelin</w:t>
      </w:r>
      <w:proofErr w:type="gramEnd"/>
      <w:r w:rsidRPr="006808C8">
        <w:rPr>
          <w:rStyle w:val="Emphasis"/>
          <w:rFonts w:ascii="Arial" w:hAnsi="Arial" w:cs="Arial"/>
        </w:rPr>
        <w:t>-13 in humans</w:t>
      </w:r>
    </w:p>
    <w:p w:rsidR="000936AC" w:rsidRPr="006808C8" w:rsidRDefault="000936AC" w:rsidP="000936AC">
      <w:pPr>
        <w:spacing w:line="480" w:lineRule="auto"/>
        <w:jc w:val="both"/>
        <w:rPr>
          <w:rFonts w:ascii="Arial" w:hAnsi="Arial" w:cs="Arial"/>
          <w:i/>
        </w:rPr>
      </w:pPr>
      <w:r w:rsidRPr="006808C8">
        <w:rPr>
          <w:rFonts w:ascii="Arial" w:hAnsi="Arial" w:cs="Arial"/>
        </w:rPr>
        <w:t xml:space="preserve">Running title: </w:t>
      </w:r>
      <w:r w:rsidRPr="006808C8">
        <w:rPr>
          <w:rStyle w:val="Emphasis"/>
          <w:rFonts w:ascii="Arial" w:hAnsi="Arial" w:cs="Arial"/>
        </w:rPr>
        <w:t>Identification of [Pyr</w:t>
      </w:r>
      <w:r w:rsidRPr="006808C8">
        <w:rPr>
          <w:rStyle w:val="Emphasis"/>
          <w:rFonts w:ascii="Arial" w:hAnsi="Arial" w:cs="Arial"/>
          <w:vertAlign w:val="superscript"/>
        </w:rPr>
        <w:t>1</w:t>
      </w:r>
      <w:proofErr w:type="gramStart"/>
      <w:r w:rsidRPr="006808C8">
        <w:rPr>
          <w:rStyle w:val="Emphasis"/>
          <w:rFonts w:ascii="Arial" w:hAnsi="Arial" w:cs="Arial"/>
        </w:rPr>
        <w:t>]apelin</w:t>
      </w:r>
      <w:proofErr w:type="gramEnd"/>
      <w:r w:rsidRPr="006808C8">
        <w:rPr>
          <w:rStyle w:val="Emphasis"/>
          <w:rFonts w:ascii="Arial" w:hAnsi="Arial" w:cs="Arial"/>
        </w:rPr>
        <w:t>-12 by LC-MS/MS as the principal in vivo metabolite of [Pyr1]apelin-13 in human plasma</w:t>
      </w:r>
    </w:p>
    <w:p w:rsidR="000936AC" w:rsidRPr="006808C8" w:rsidRDefault="000936AC" w:rsidP="000936AC">
      <w:pPr>
        <w:spacing w:before="0" w:after="0" w:line="480" w:lineRule="auto"/>
        <w:jc w:val="both"/>
        <w:rPr>
          <w:rFonts w:ascii="Arial" w:hAnsi="Arial" w:cs="Arial"/>
        </w:rPr>
      </w:pPr>
      <w:r w:rsidRPr="006808C8">
        <w:rPr>
          <w:rFonts w:ascii="Arial" w:hAnsi="Arial" w:cs="Arial"/>
        </w:rPr>
        <w:t>Duuamene Nyimanu</w:t>
      </w:r>
      <w:r w:rsidRPr="006808C8">
        <w:rPr>
          <w:rFonts w:ascii="Arial" w:hAnsi="Arial" w:cs="Arial"/>
          <w:vertAlign w:val="superscript"/>
        </w:rPr>
        <w:t>1</w:t>
      </w:r>
      <w:r w:rsidRPr="006808C8">
        <w:rPr>
          <w:rFonts w:ascii="Arial" w:hAnsi="Arial" w:cs="Arial"/>
        </w:rPr>
        <w:t>, Richard G. Kay</w:t>
      </w:r>
      <w:r w:rsidRPr="006808C8">
        <w:rPr>
          <w:rFonts w:ascii="Arial" w:hAnsi="Arial" w:cs="Arial"/>
          <w:vertAlign w:val="superscript"/>
        </w:rPr>
        <w:t>4</w:t>
      </w:r>
      <w:r w:rsidRPr="006808C8">
        <w:rPr>
          <w:rFonts w:ascii="Arial" w:hAnsi="Arial" w:cs="Arial"/>
        </w:rPr>
        <w:t>, Petra Sulentic</w:t>
      </w:r>
      <w:r w:rsidRPr="006808C8">
        <w:rPr>
          <w:rFonts w:ascii="Arial" w:hAnsi="Arial" w:cs="Arial"/>
          <w:vertAlign w:val="superscript"/>
        </w:rPr>
        <w:t>1</w:t>
      </w:r>
      <w:r w:rsidRPr="006808C8">
        <w:rPr>
          <w:rFonts w:ascii="Arial" w:hAnsi="Arial" w:cs="Arial"/>
        </w:rPr>
        <w:t>, Rhoda E. Kuc</w:t>
      </w:r>
      <w:r w:rsidRPr="006808C8">
        <w:rPr>
          <w:rFonts w:ascii="Arial" w:hAnsi="Arial" w:cs="Arial"/>
          <w:vertAlign w:val="superscript"/>
        </w:rPr>
        <w:t>1</w:t>
      </w:r>
      <w:r w:rsidRPr="006808C8">
        <w:rPr>
          <w:rFonts w:ascii="Arial" w:hAnsi="Arial" w:cs="Arial"/>
        </w:rPr>
        <w:t>, Philip Ambery</w:t>
      </w:r>
      <w:r w:rsidRPr="006808C8">
        <w:rPr>
          <w:rFonts w:ascii="Arial" w:hAnsi="Arial" w:cs="Arial"/>
          <w:vertAlign w:val="superscript"/>
        </w:rPr>
        <w:t>2</w:t>
      </w:r>
      <w:r w:rsidRPr="006808C8">
        <w:rPr>
          <w:rFonts w:ascii="Arial" w:hAnsi="Arial" w:cs="Arial"/>
        </w:rPr>
        <w:t>, Lutz Jermutus</w:t>
      </w:r>
      <w:r w:rsidRPr="006808C8">
        <w:rPr>
          <w:rFonts w:ascii="Arial" w:hAnsi="Arial" w:cs="Arial"/>
          <w:vertAlign w:val="superscript"/>
        </w:rPr>
        <w:t>3</w:t>
      </w:r>
      <w:r w:rsidRPr="006808C8">
        <w:rPr>
          <w:rFonts w:ascii="Arial" w:hAnsi="Arial" w:cs="Arial"/>
        </w:rPr>
        <w:t>, Frank Reimann</w:t>
      </w:r>
      <w:r w:rsidRPr="006808C8">
        <w:rPr>
          <w:rFonts w:ascii="Arial" w:hAnsi="Arial" w:cs="Arial"/>
          <w:vertAlign w:val="superscript"/>
        </w:rPr>
        <w:t>4</w:t>
      </w:r>
      <w:r w:rsidRPr="006808C8">
        <w:rPr>
          <w:rFonts w:ascii="Arial" w:hAnsi="Arial" w:cs="Arial"/>
        </w:rPr>
        <w:t>, Fiona M. Gribble</w:t>
      </w:r>
      <w:r w:rsidRPr="006808C8">
        <w:rPr>
          <w:rFonts w:ascii="Arial" w:hAnsi="Arial" w:cs="Arial"/>
          <w:vertAlign w:val="superscript"/>
        </w:rPr>
        <w:t>4</w:t>
      </w:r>
      <w:r w:rsidRPr="006808C8">
        <w:rPr>
          <w:rFonts w:ascii="Arial" w:hAnsi="Arial" w:cs="Arial"/>
        </w:rPr>
        <w:t>, Joseph Cheriyan</w:t>
      </w:r>
      <w:r w:rsidRPr="006808C8">
        <w:rPr>
          <w:rFonts w:ascii="Arial" w:hAnsi="Arial" w:cs="Arial"/>
          <w:vertAlign w:val="superscript"/>
        </w:rPr>
        <w:t>1</w:t>
      </w:r>
      <w:r w:rsidRPr="006808C8">
        <w:rPr>
          <w:rFonts w:ascii="Arial" w:hAnsi="Arial" w:cs="Arial"/>
        </w:rPr>
        <w:t>, Janet J. Maguire</w:t>
      </w:r>
      <w:r w:rsidRPr="006808C8">
        <w:rPr>
          <w:rFonts w:ascii="Arial" w:hAnsi="Arial" w:cs="Arial"/>
          <w:vertAlign w:val="superscript"/>
        </w:rPr>
        <w:t>1</w:t>
      </w:r>
      <w:r w:rsidRPr="006808C8">
        <w:rPr>
          <w:rFonts w:ascii="Arial" w:hAnsi="Arial" w:cs="Arial"/>
        </w:rPr>
        <w:t>, Anthony P. Davenport</w:t>
      </w:r>
      <w:r w:rsidRPr="006808C8">
        <w:rPr>
          <w:rFonts w:ascii="Arial" w:hAnsi="Arial" w:cs="Arial"/>
          <w:vertAlign w:val="superscript"/>
        </w:rPr>
        <w:t>1</w:t>
      </w:r>
      <w:r w:rsidRPr="006808C8">
        <w:rPr>
          <w:rFonts w:ascii="Arial" w:hAnsi="Arial" w:cs="Arial"/>
        </w:rPr>
        <w:t xml:space="preserve"> </w:t>
      </w:r>
    </w:p>
    <w:p w:rsidR="000936AC" w:rsidRPr="006808C8" w:rsidRDefault="000936AC" w:rsidP="000936AC">
      <w:pPr>
        <w:spacing w:before="0" w:after="0" w:line="480" w:lineRule="auto"/>
        <w:jc w:val="both"/>
        <w:rPr>
          <w:rFonts w:ascii="Arial" w:hAnsi="Arial" w:cs="Arial"/>
        </w:rPr>
      </w:pPr>
    </w:p>
    <w:p w:rsidR="000936AC" w:rsidRPr="006808C8" w:rsidRDefault="000936AC" w:rsidP="000936AC">
      <w:pPr>
        <w:spacing w:before="0" w:after="0" w:line="480" w:lineRule="auto"/>
        <w:jc w:val="both"/>
        <w:rPr>
          <w:rFonts w:ascii="Arial" w:hAnsi="Arial" w:cs="Arial"/>
        </w:rPr>
      </w:pPr>
      <w:r w:rsidRPr="006808C8">
        <w:rPr>
          <w:rFonts w:ascii="Arial" w:hAnsi="Arial" w:cs="Arial"/>
          <w:vertAlign w:val="superscript"/>
        </w:rPr>
        <w:t>1</w:t>
      </w:r>
      <w:r w:rsidRPr="006808C8">
        <w:rPr>
          <w:rFonts w:ascii="Arial" w:hAnsi="Arial" w:cs="Arial"/>
        </w:rPr>
        <w:t xml:space="preserve">Experimental Medicine and </w:t>
      </w:r>
      <w:proofErr w:type="spellStart"/>
      <w:r w:rsidRPr="006808C8">
        <w:rPr>
          <w:rFonts w:ascii="Arial" w:hAnsi="Arial" w:cs="Arial"/>
        </w:rPr>
        <w:t>Immunotherapeutics</w:t>
      </w:r>
      <w:proofErr w:type="spellEnd"/>
      <w:r w:rsidRPr="006808C8">
        <w:rPr>
          <w:rFonts w:ascii="Arial" w:hAnsi="Arial" w:cs="Arial"/>
        </w:rPr>
        <w:t xml:space="preserve">, University of Cambridge, Level 6, Centre for Clinical Investigation, Box 110, </w:t>
      </w:r>
      <w:proofErr w:type="spellStart"/>
      <w:r w:rsidRPr="006808C8">
        <w:rPr>
          <w:rFonts w:ascii="Arial" w:hAnsi="Arial" w:cs="Arial"/>
        </w:rPr>
        <w:t>Addenbrooke’s</w:t>
      </w:r>
      <w:proofErr w:type="spellEnd"/>
      <w:r w:rsidRPr="006808C8">
        <w:rPr>
          <w:rFonts w:ascii="Arial" w:hAnsi="Arial" w:cs="Arial"/>
        </w:rPr>
        <w:t xml:space="preserve"> Hospital, Cambridge, CB2 0QQ, UK</w:t>
      </w:r>
    </w:p>
    <w:p w:rsidR="000936AC" w:rsidRPr="006808C8" w:rsidRDefault="000936AC" w:rsidP="000936AC">
      <w:pPr>
        <w:spacing w:before="0" w:after="0" w:line="480" w:lineRule="auto"/>
        <w:jc w:val="both"/>
        <w:rPr>
          <w:rFonts w:ascii="Arial" w:hAnsi="Arial" w:cs="Arial"/>
        </w:rPr>
      </w:pPr>
      <w:r w:rsidRPr="006808C8">
        <w:rPr>
          <w:rFonts w:ascii="Arial" w:hAnsi="Arial" w:cs="Arial"/>
          <w:vertAlign w:val="superscript"/>
        </w:rPr>
        <w:t>2</w:t>
      </w:r>
      <w:r w:rsidRPr="006808C8">
        <w:rPr>
          <w:rFonts w:ascii="Arial" w:hAnsi="Arial" w:cs="Arial"/>
        </w:rPr>
        <w:t xml:space="preserve">Late-stage Development, Cardiovascular, Renal and Metabolism (CVRM), </w:t>
      </w:r>
      <w:proofErr w:type="spellStart"/>
      <w:r w:rsidRPr="006808C8">
        <w:rPr>
          <w:rFonts w:ascii="Arial" w:hAnsi="Arial" w:cs="Arial"/>
        </w:rPr>
        <w:t>BioPharmaceuticals</w:t>
      </w:r>
      <w:proofErr w:type="spellEnd"/>
      <w:r w:rsidRPr="006808C8">
        <w:rPr>
          <w:rFonts w:ascii="Arial" w:hAnsi="Arial" w:cs="Arial"/>
        </w:rPr>
        <w:t xml:space="preserve"> R&amp;D, AstraZeneca, Gothenburg, Sweden</w:t>
      </w:r>
    </w:p>
    <w:p w:rsidR="000936AC" w:rsidRPr="006808C8" w:rsidRDefault="000936AC" w:rsidP="000936AC">
      <w:pPr>
        <w:spacing w:before="0" w:after="0" w:line="480" w:lineRule="auto"/>
        <w:jc w:val="both"/>
        <w:rPr>
          <w:rFonts w:ascii="Arial" w:hAnsi="Arial" w:cs="Arial"/>
        </w:rPr>
      </w:pPr>
      <w:r w:rsidRPr="006808C8">
        <w:rPr>
          <w:rFonts w:ascii="Arial" w:hAnsi="Arial" w:cs="Arial"/>
          <w:vertAlign w:val="superscript"/>
        </w:rPr>
        <w:t>3</w:t>
      </w:r>
      <w:r w:rsidRPr="006808C8">
        <w:rPr>
          <w:rFonts w:ascii="Arial" w:hAnsi="Arial" w:cs="Arial"/>
        </w:rPr>
        <w:t xml:space="preserve">Research and Early Development, Cardiovascular, Renal and Metabolism (CVRM), </w:t>
      </w:r>
      <w:proofErr w:type="spellStart"/>
      <w:r w:rsidRPr="006808C8">
        <w:rPr>
          <w:rFonts w:ascii="Arial" w:hAnsi="Arial" w:cs="Arial"/>
        </w:rPr>
        <w:t>BioPharmaceuticals</w:t>
      </w:r>
      <w:proofErr w:type="spellEnd"/>
      <w:r w:rsidRPr="006808C8">
        <w:rPr>
          <w:rFonts w:ascii="Arial" w:hAnsi="Arial" w:cs="Arial"/>
        </w:rPr>
        <w:t xml:space="preserve"> R&amp;D, AstraZeneca, Cambridge, UK</w:t>
      </w:r>
    </w:p>
    <w:p w:rsidR="000936AC" w:rsidRPr="006808C8" w:rsidRDefault="000936AC" w:rsidP="000936AC">
      <w:pPr>
        <w:spacing w:before="0" w:after="0" w:line="480" w:lineRule="auto"/>
        <w:jc w:val="both"/>
        <w:rPr>
          <w:rFonts w:ascii="Arial" w:hAnsi="Arial" w:cs="Arial"/>
        </w:rPr>
      </w:pPr>
      <w:r w:rsidRPr="006808C8">
        <w:rPr>
          <w:rFonts w:ascii="Arial" w:hAnsi="Arial" w:cs="Arial"/>
          <w:vertAlign w:val="superscript"/>
        </w:rPr>
        <w:t>4</w:t>
      </w:r>
      <w:r w:rsidRPr="006808C8">
        <w:rPr>
          <w:rFonts w:ascii="Arial" w:hAnsi="Arial" w:cs="Arial"/>
        </w:rPr>
        <w:t xml:space="preserve">Metabolic Research Laboratories, Institute of Metabolic Sciences, University of Cambridge, </w:t>
      </w:r>
      <w:proofErr w:type="spellStart"/>
      <w:r w:rsidRPr="006808C8">
        <w:rPr>
          <w:rFonts w:ascii="Arial" w:hAnsi="Arial" w:cs="Arial"/>
        </w:rPr>
        <w:t>Addenbrooke’s</w:t>
      </w:r>
      <w:proofErr w:type="spellEnd"/>
      <w:r w:rsidRPr="006808C8">
        <w:rPr>
          <w:rFonts w:ascii="Arial" w:hAnsi="Arial" w:cs="Arial"/>
        </w:rPr>
        <w:t xml:space="preserve"> Hospital, Cambridge, CB2 0QQ, UK</w:t>
      </w:r>
    </w:p>
    <w:p w:rsidR="000936AC" w:rsidRPr="006808C8" w:rsidRDefault="000936AC" w:rsidP="000936AC">
      <w:pPr>
        <w:spacing w:before="0" w:after="0" w:line="480" w:lineRule="auto"/>
        <w:jc w:val="both"/>
        <w:rPr>
          <w:rFonts w:ascii="Arial" w:hAnsi="Arial" w:cs="Arial"/>
        </w:rPr>
      </w:pPr>
      <w:r w:rsidRPr="006808C8">
        <w:rPr>
          <w:rFonts w:ascii="Arial" w:hAnsi="Arial" w:cs="Arial"/>
        </w:rPr>
        <w:t>Corresponding Author</w:t>
      </w:r>
      <w:r w:rsidRPr="006808C8">
        <w:rPr>
          <w:rFonts w:ascii="Arial" w:hAnsi="Arial" w:cs="Arial"/>
        </w:rPr>
        <w:tab/>
        <w:t>Professor Anthony Davenport</w:t>
      </w:r>
    </w:p>
    <w:p w:rsidR="000936AC" w:rsidRPr="006808C8" w:rsidRDefault="000936AC" w:rsidP="000936AC">
      <w:pPr>
        <w:spacing w:before="0" w:after="0" w:line="480" w:lineRule="auto"/>
        <w:jc w:val="both"/>
        <w:rPr>
          <w:rFonts w:ascii="Arial" w:hAnsi="Arial" w:cs="Arial"/>
        </w:rPr>
      </w:pPr>
      <w:r w:rsidRPr="006808C8">
        <w:rPr>
          <w:rFonts w:ascii="Arial" w:hAnsi="Arial" w:cs="Arial"/>
        </w:rPr>
        <w:tab/>
      </w:r>
      <w:r w:rsidRPr="006808C8">
        <w:rPr>
          <w:rFonts w:ascii="Arial" w:hAnsi="Arial" w:cs="Arial"/>
        </w:rPr>
        <w:tab/>
      </w:r>
      <w:r w:rsidRPr="006808C8">
        <w:rPr>
          <w:rFonts w:ascii="Arial" w:hAnsi="Arial" w:cs="Arial"/>
        </w:rPr>
        <w:tab/>
      </w:r>
      <w:r w:rsidRPr="006808C8">
        <w:rPr>
          <w:rFonts w:ascii="Arial" w:hAnsi="Arial" w:cs="Arial"/>
        </w:rPr>
        <w:tab/>
        <w:t xml:space="preserve">Experimental Medicine and </w:t>
      </w:r>
      <w:proofErr w:type="spellStart"/>
      <w:r w:rsidRPr="006808C8">
        <w:rPr>
          <w:rFonts w:ascii="Arial" w:hAnsi="Arial" w:cs="Arial"/>
        </w:rPr>
        <w:t>Immunotherapeutics</w:t>
      </w:r>
      <w:proofErr w:type="spellEnd"/>
      <w:r w:rsidRPr="006808C8">
        <w:rPr>
          <w:rFonts w:ascii="Arial" w:hAnsi="Arial" w:cs="Arial"/>
        </w:rPr>
        <w:t xml:space="preserve"> (EMIT)</w:t>
      </w:r>
    </w:p>
    <w:p w:rsidR="000936AC" w:rsidRPr="006808C8" w:rsidRDefault="000936AC" w:rsidP="000936AC">
      <w:pPr>
        <w:spacing w:before="0" w:after="0" w:line="480" w:lineRule="auto"/>
        <w:jc w:val="both"/>
        <w:rPr>
          <w:rFonts w:ascii="Arial" w:hAnsi="Arial" w:cs="Arial"/>
        </w:rPr>
      </w:pPr>
      <w:r w:rsidRPr="006808C8">
        <w:rPr>
          <w:rFonts w:ascii="Arial" w:hAnsi="Arial" w:cs="Arial"/>
        </w:rPr>
        <w:tab/>
      </w:r>
      <w:r w:rsidRPr="006808C8">
        <w:rPr>
          <w:rFonts w:ascii="Arial" w:hAnsi="Arial" w:cs="Arial"/>
        </w:rPr>
        <w:tab/>
      </w:r>
      <w:r w:rsidRPr="006808C8">
        <w:rPr>
          <w:rFonts w:ascii="Arial" w:hAnsi="Arial" w:cs="Arial"/>
        </w:rPr>
        <w:tab/>
      </w:r>
      <w:r w:rsidRPr="006808C8">
        <w:rPr>
          <w:rFonts w:ascii="Arial" w:hAnsi="Arial" w:cs="Arial"/>
        </w:rPr>
        <w:tab/>
        <w:t>University of Cambridge, Level 6, ACCI, Box 110,</w:t>
      </w:r>
    </w:p>
    <w:p w:rsidR="000936AC" w:rsidRPr="006808C8" w:rsidRDefault="000936AC" w:rsidP="000936AC">
      <w:pPr>
        <w:spacing w:before="0" w:after="0" w:line="480" w:lineRule="auto"/>
        <w:jc w:val="both"/>
        <w:rPr>
          <w:rFonts w:ascii="Arial" w:hAnsi="Arial" w:cs="Arial"/>
        </w:rPr>
      </w:pPr>
      <w:r w:rsidRPr="006808C8">
        <w:rPr>
          <w:rFonts w:ascii="Arial" w:hAnsi="Arial" w:cs="Arial"/>
        </w:rPr>
        <w:tab/>
      </w:r>
      <w:r w:rsidRPr="006808C8">
        <w:rPr>
          <w:rFonts w:ascii="Arial" w:hAnsi="Arial" w:cs="Arial"/>
        </w:rPr>
        <w:tab/>
      </w:r>
      <w:r w:rsidRPr="006808C8">
        <w:rPr>
          <w:rFonts w:ascii="Arial" w:hAnsi="Arial" w:cs="Arial"/>
        </w:rPr>
        <w:tab/>
      </w:r>
      <w:r w:rsidRPr="006808C8">
        <w:rPr>
          <w:rFonts w:ascii="Arial" w:hAnsi="Arial" w:cs="Arial"/>
        </w:rPr>
        <w:tab/>
      </w:r>
      <w:proofErr w:type="spellStart"/>
      <w:r w:rsidRPr="006808C8">
        <w:rPr>
          <w:rFonts w:ascii="Arial" w:hAnsi="Arial" w:cs="Arial"/>
        </w:rPr>
        <w:t>Addenbrooke’s</w:t>
      </w:r>
      <w:proofErr w:type="spellEnd"/>
      <w:r w:rsidRPr="006808C8">
        <w:rPr>
          <w:rFonts w:ascii="Arial" w:hAnsi="Arial" w:cs="Arial"/>
        </w:rPr>
        <w:t xml:space="preserve"> Hospital, Cambridge, CB2 0QQ, UK</w:t>
      </w:r>
    </w:p>
    <w:p w:rsidR="000936AC" w:rsidRPr="006808C8" w:rsidRDefault="000936AC" w:rsidP="000936AC">
      <w:pPr>
        <w:spacing w:before="0" w:after="0" w:line="480" w:lineRule="auto"/>
        <w:jc w:val="both"/>
        <w:rPr>
          <w:rFonts w:ascii="Arial" w:hAnsi="Arial" w:cs="Arial"/>
        </w:rPr>
      </w:pPr>
      <w:r w:rsidRPr="006808C8">
        <w:rPr>
          <w:rFonts w:ascii="Arial" w:hAnsi="Arial" w:cs="Arial"/>
        </w:rPr>
        <w:tab/>
      </w:r>
      <w:r w:rsidRPr="006808C8">
        <w:rPr>
          <w:rFonts w:ascii="Arial" w:hAnsi="Arial" w:cs="Arial"/>
        </w:rPr>
        <w:tab/>
      </w:r>
      <w:r w:rsidRPr="006808C8">
        <w:rPr>
          <w:rFonts w:ascii="Arial" w:hAnsi="Arial" w:cs="Arial"/>
        </w:rPr>
        <w:tab/>
      </w:r>
      <w:r w:rsidRPr="006808C8">
        <w:rPr>
          <w:rFonts w:ascii="Arial" w:hAnsi="Arial" w:cs="Arial"/>
        </w:rPr>
        <w:tab/>
        <w:t>Tel +44(0)1223 336899</w:t>
      </w:r>
    </w:p>
    <w:p w:rsidR="000936AC" w:rsidRPr="006808C8" w:rsidRDefault="000936AC" w:rsidP="000936AC">
      <w:pPr>
        <w:spacing w:before="0" w:after="0" w:line="480" w:lineRule="auto"/>
        <w:jc w:val="both"/>
        <w:rPr>
          <w:rFonts w:ascii="Arial" w:hAnsi="Arial" w:cs="Arial"/>
        </w:rPr>
      </w:pPr>
      <w:r w:rsidRPr="006808C8">
        <w:rPr>
          <w:rFonts w:ascii="Arial" w:hAnsi="Arial" w:cs="Arial"/>
        </w:rPr>
        <w:tab/>
      </w:r>
      <w:r w:rsidRPr="006808C8">
        <w:rPr>
          <w:rFonts w:ascii="Arial" w:hAnsi="Arial" w:cs="Arial"/>
        </w:rPr>
        <w:tab/>
      </w:r>
      <w:r w:rsidRPr="006808C8">
        <w:rPr>
          <w:rFonts w:ascii="Arial" w:hAnsi="Arial" w:cs="Arial"/>
        </w:rPr>
        <w:tab/>
      </w:r>
      <w:r w:rsidRPr="006808C8">
        <w:rPr>
          <w:rFonts w:ascii="Arial" w:hAnsi="Arial" w:cs="Arial"/>
        </w:rPr>
        <w:tab/>
        <w:t>Fax +44(0)1223 762564</w:t>
      </w:r>
    </w:p>
    <w:p w:rsidR="000936AC" w:rsidRDefault="000936AC" w:rsidP="000936AC">
      <w:pPr>
        <w:spacing w:before="0" w:after="0" w:line="480" w:lineRule="auto"/>
        <w:jc w:val="both"/>
        <w:rPr>
          <w:rFonts w:ascii="Arial" w:hAnsi="Arial" w:cs="Arial"/>
          <w:b/>
        </w:rPr>
      </w:pPr>
      <w:r w:rsidRPr="006808C8">
        <w:rPr>
          <w:rFonts w:ascii="Arial" w:hAnsi="Arial" w:cs="Arial"/>
        </w:rPr>
        <w:tab/>
      </w:r>
      <w:r w:rsidRPr="006808C8">
        <w:rPr>
          <w:rFonts w:ascii="Arial" w:hAnsi="Arial" w:cs="Arial"/>
        </w:rPr>
        <w:tab/>
      </w:r>
      <w:r w:rsidRPr="006808C8">
        <w:rPr>
          <w:rFonts w:ascii="Arial" w:hAnsi="Arial" w:cs="Arial"/>
        </w:rPr>
        <w:tab/>
      </w:r>
      <w:r w:rsidRPr="006808C8">
        <w:rPr>
          <w:rFonts w:ascii="Arial" w:hAnsi="Arial" w:cs="Arial"/>
        </w:rPr>
        <w:tab/>
        <w:t>Email:apd10@medschl.cam.ac.uk</w:t>
      </w:r>
    </w:p>
    <w:p w:rsidR="000936AC" w:rsidRDefault="000936AC" w:rsidP="000936AC">
      <w:pPr>
        <w:spacing w:before="0" w:after="0" w:line="480" w:lineRule="auto"/>
        <w:jc w:val="both"/>
        <w:rPr>
          <w:rFonts w:ascii="Arial" w:hAnsi="Arial" w:cs="Arial"/>
          <w:b/>
        </w:rPr>
      </w:pPr>
    </w:p>
    <w:p w:rsidR="000936AC" w:rsidRPr="006808C8" w:rsidRDefault="000936AC" w:rsidP="000936AC">
      <w:pPr>
        <w:spacing w:before="0" w:after="0" w:line="480" w:lineRule="auto"/>
        <w:jc w:val="both"/>
        <w:rPr>
          <w:rFonts w:ascii="Arial" w:hAnsi="Arial" w:cs="Arial"/>
          <w:b/>
        </w:rPr>
      </w:pPr>
      <w:r w:rsidRPr="006808C8">
        <w:rPr>
          <w:rFonts w:ascii="Arial" w:hAnsi="Arial" w:cs="Arial"/>
          <w:b/>
        </w:rPr>
        <w:lastRenderedPageBreak/>
        <w:t>Supplementary information</w:t>
      </w:r>
    </w:p>
    <w:p w:rsidR="000936AC" w:rsidRPr="006841C2" w:rsidRDefault="000936AC" w:rsidP="000936AC">
      <w:pPr>
        <w:keepNext/>
        <w:shd w:val="clear" w:color="auto" w:fill="FFFFFF"/>
        <w:spacing w:before="100" w:beforeAutospacing="1" w:after="100" w:afterAutospacing="1" w:line="480" w:lineRule="auto"/>
        <w:jc w:val="both"/>
        <w:textAlignment w:val="baseline"/>
        <w:rPr>
          <w:rFonts w:ascii="Arial" w:hAnsi="Arial" w:cs="Arial"/>
          <w:b/>
          <w:bCs/>
        </w:rPr>
      </w:pPr>
      <w:r w:rsidRPr="006841C2">
        <w:rPr>
          <w:rFonts w:ascii="Arial" w:hAnsi="Arial" w:cs="Arial"/>
          <w:b/>
          <w:bCs/>
        </w:rPr>
        <w:t>Methods</w:t>
      </w:r>
    </w:p>
    <w:p w:rsidR="000936AC" w:rsidRPr="006808C8" w:rsidRDefault="000936AC" w:rsidP="000936AC">
      <w:pPr>
        <w:keepNext/>
        <w:shd w:val="clear" w:color="auto" w:fill="FFFFFF"/>
        <w:spacing w:before="100" w:beforeAutospacing="1" w:after="100" w:afterAutospacing="1" w:line="480" w:lineRule="auto"/>
        <w:jc w:val="both"/>
        <w:textAlignment w:val="baseline"/>
        <w:rPr>
          <w:rFonts w:ascii="Arial" w:hAnsi="Arial" w:cs="Arial"/>
          <w:bCs/>
          <w:i/>
        </w:rPr>
      </w:pPr>
      <w:r w:rsidRPr="006808C8">
        <w:rPr>
          <w:rFonts w:ascii="Arial" w:hAnsi="Arial" w:cs="Arial"/>
          <w:bCs/>
          <w:i/>
        </w:rPr>
        <w:t>Validation of biological activity of [Pyr</w:t>
      </w:r>
      <w:r w:rsidRPr="006808C8">
        <w:rPr>
          <w:rFonts w:ascii="Arial" w:hAnsi="Arial" w:cs="Arial"/>
          <w:bCs/>
          <w:i/>
          <w:vertAlign w:val="superscript"/>
        </w:rPr>
        <w:t>1</w:t>
      </w:r>
      <w:proofErr w:type="gramStart"/>
      <w:r w:rsidRPr="006808C8">
        <w:rPr>
          <w:rFonts w:ascii="Arial" w:hAnsi="Arial" w:cs="Arial"/>
          <w:bCs/>
          <w:i/>
        </w:rPr>
        <w:t>]apelin</w:t>
      </w:r>
      <w:proofErr w:type="gramEnd"/>
      <w:r w:rsidRPr="006808C8">
        <w:rPr>
          <w:rFonts w:ascii="Arial" w:hAnsi="Arial" w:cs="Arial"/>
          <w:bCs/>
          <w:i/>
        </w:rPr>
        <w:t>-13 peptide used in the volunteer clinical study</w:t>
      </w:r>
    </w:p>
    <w:p w:rsidR="000936AC" w:rsidRPr="006808C8" w:rsidRDefault="000936AC" w:rsidP="000936AC">
      <w:pPr>
        <w:keepNext/>
        <w:shd w:val="clear" w:color="auto" w:fill="FFFFFF"/>
        <w:spacing w:before="100" w:beforeAutospacing="1" w:after="100" w:afterAutospacing="1" w:line="480" w:lineRule="auto"/>
        <w:jc w:val="both"/>
        <w:textAlignment w:val="baseline"/>
        <w:rPr>
          <w:rFonts w:ascii="Arial" w:hAnsi="Arial" w:cs="Arial"/>
          <w:bCs/>
        </w:rPr>
      </w:pPr>
      <w:r w:rsidRPr="006808C8">
        <w:rPr>
          <w:rFonts w:ascii="Arial" w:hAnsi="Arial" w:cs="Arial"/>
          <w:bCs/>
        </w:rPr>
        <w:t>To confirm the biological activity of the custom synthesised [Pyr</w:t>
      </w:r>
      <w:r w:rsidRPr="006808C8">
        <w:rPr>
          <w:rFonts w:ascii="Arial" w:hAnsi="Arial" w:cs="Arial"/>
          <w:bCs/>
          <w:vertAlign w:val="superscript"/>
        </w:rPr>
        <w:t>1</w:t>
      </w:r>
      <w:r w:rsidRPr="006808C8">
        <w:rPr>
          <w:rFonts w:ascii="Arial" w:hAnsi="Arial" w:cs="Arial"/>
          <w:bCs/>
        </w:rPr>
        <w:t xml:space="preserve">]apelin-13 prior to infusion into the healthy volunteers,  </w:t>
      </w:r>
      <w:proofErr w:type="spellStart"/>
      <w:r w:rsidRPr="006808C8">
        <w:rPr>
          <w:rFonts w:ascii="Arial" w:hAnsi="Arial" w:cs="Arial"/>
          <w:bCs/>
        </w:rPr>
        <w:t>forskolin</w:t>
      </w:r>
      <w:proofErr w:type="spellEnd"/>
      <w:r w:rsidRPr="006808C8">
        <w:rPr>
          <w:rFonts w:ascii="Arial" w:hAnsi="Arial" w:cs="Arial"/>
          <w:bCs/>
        </w:rPr>
        <w:t xml:space="preserve"> stimulated </w:t>
      </w:r>
      <w:proofErr w:type="spellStart"/>
      <w:r w:rsidRPr="006808C8">
        <w:rPr>
          <w:rFonts w:ascii="Arial" w:hAnsi="Arial" w:cs="Arial"/>
          <w:bCs/>
        </w:rPr>
        <w:t>cAMP</w:t>
      </w:r>
      <w:proofErr w:type="spellEnd"/>
      <w:r w:rsidRPr="006808C8">
        <w:rPr>
          <w:rFonts w:ascii="Arial" w:hAnsi="Arial" w:cs="Arial"/>
          <w:bCs/>
        </w:rPr>
        <w:t xml:space="preserve"> and </w:t>
      </w:r>
      <w:r w:rsidRPr="006808C8">
        <w:rPr>
          <w:rFonts w:ascii="Arial" w:hAnsi="Arial" w:cs="Arial"/>
          <w:bCs/>
        </w:rPr>
        <w:sym w:font="Symbol" w:char="F062"/>
      </w:r>
      <w:r w:rsidRPr="006808C8">
        <w:rPr>
          <w:rFonts w:ascii="Arial" w:hAnsi="Arial" w:cs="Arial"/>
          <w:bCs/>
        </w:rPr>
        <w:t>-</w:t>
      </w:r>
      <w:proofErr w:type="spellStart"/>
      <w:r w:rsidRPr="006808C8">
        <w:rPr>
          <w:rFonts w:ascii="Arial" w:hAnsi="Arial" w:cs="Arial"/>
          <w:bCs/>
        </w:rPr>
        <w:t>arrestin</w:t>
      </w:r>
      <w:proofErr w:type="spellEnd"/>
      <w:r w:rsidRPr="006808C8">
        <w:rPr>
          <w:rFonts w:ascii="Arial" w:hAnsi="Arial" w:cs="Arial"/>
          <w:bCs/>
        </w:rPr>
        <w:t xml:space="preserve"> recruitment assays were performed in CHO-K1 cells expressing the human apelin receptor as previously described</w:t>
      </w:r>
      <w:r w:rsidRPr="006808C8">
        <w:rPr>
          <w:rFonts w:ascii="Arial" w:hAnsi="Arial" w:cs="Arial"/>
          <w:bCs/>
        </w:rPr>
        <w:fldChar w:fldCharType="begin" w:fldLock="1"/>
      </w:r>
      <w:r w:rsidR="00FF276D">
        <w:rPr>
          <w:rFonts w:ascii="Arial" w:hAnsi="Arial" w:cs="Arial"/>
          <w:bCs/>
        </w:rPr>
        <w:instrText>ADDIN CSL_CITATION {"citationItems":[{"id":"ITEM-1","itemData":{"DOI":"10.1016/j.bcp.2016.07.018","ISSN":"00062952","author":[{"dropping-particle":"","family":"Read","given":"Cai","non-dropping-particle":"","parse-names":false,"suffix":""},{"dropping-particle":"","family":"Fitzpatrick","given":"Christopher M.","non-dropping-particle":"","parse-names":false,"suffix":""},{"dropping-particle":"","family":"Yang","given":"Peiran","non-dropping-particle":"","parse-names":false,"suffix":""},{"dropping-particle":"","family":"Kuc","given":"Rhoda E.","non-dropping-particle":"","parse-names":false,"suffix":""},{"dropping-particle":"","family":"Maguire","given":"Janet J.","non-dropping-particle":"","parse-names":false,"suffix":""},{"dropping-particle":"","family":"Glen","given":"Robert C.","non-dropping-particle":"","parse-names":false,"suffix":""},{"dropping-particle":"","family":"Foster","given":"Richard E.","non-dropping-particle":"","parse-names":false,"suffix":""},{"dropping-particle":"","family":"Davenport","given":"Anthony P.","non-dropping-particle":"","parse-names":false,"suffix":""}],"container-title":"Biochemical Pharmacology","id":"ITEM-1","issued":{"date-parts":[["2016","9"]]},"page":"63-72","title":"Cardiac action of the first G protein biased small molecule apelin agonist","type":"article-journal","volume":"116"},"uris":["http://www.mendeley.com/documents/?uuid=e2929cb8-e0a0-3a83-8b67-a19cfd33a4e2"]},{"id":"ITEM-2","itemData":{"DOI":"10.1161/CIRCULATIONAHA.116.023218","ISSN":"1524-4539","PMID":"28137936","abstract":"BACKGROUND Elabela/toddler (ELA) is a critical cardiac developmental peptide that acts through the G-protein-coupled apelin receptor, despite lack of sequence similarity to the established ligand apelin. Our aim was to investigate the receptor pharmacology, expression pattern, and in vivo function of ELA peptides in the adult cardiovascular system, to seek evidence for alteration in pulmonary arterial hypertension (PAH) in which apelin signaling is downregulated, and to demonstrate attenuation of PAH severity with exogenous administration of ELA in a rat model. METHODS In silico docking analysis, competition binding experiments, and downstream assays were used to characterize ELA receptor binding in human heart and signaling in cells expressing the apelin receptor. ELA expression in human cardiovascular tissues and plasma was determined using real-time quantitative polymerase chain reaction, dual-labeling immunofluorescent staining, and immunoassays. Acute cardiac effects of ELA-32 and [Pyr(1)]apelin-13 were assessed by MRI and cardiac catheterization in anesthetized rats. Cardiopulmonary human and rat tissues from PAH patients and monocrotaline- and Sugen/hypoxia-exposed rats were used to show changes in ELA expression in PAH. The effect of ELA treatment on cardiopulmonary remodeling in PAH was investigated in the monocrotaline rat model. RESULTS ELA competed for binding of apelin in human heart with overlap for the 2 peptides indicated by in silico modeling. ELA activated G-protein- and β-arrestin-dependent pathways. We detected ELA expression in human vascular endothelium and plasma. Comparable to apelin, ELA increased cardiac contractility, ejection fraction, and cardiac output and elicited vasodilatation in rat in vivo. ELA expression was reduced in cardiopulmonary tissues from PAH patients and PAH rat models, respectively. ELA treatment significantly attenuated elevation of right ventricular systolic pressure and right ventricular hypertrophy and pulmonary vascular remodeling in monocrotaline-exposed rats. CONCLUSIONS These results show that ELA is an endogenous agonist of the human apelin receptor, exhibits a cardiovascular profile comparable to apelin, and is downregulated in human disease and rodent PAH models, and exogenous peptide can reduce the severity of cardiopulmonary remodeling and function in PAH in rats. This study provides additional proof of principle that an apelin receptor agonist may be of therapeutic use in PAH in humans.","author":[{"dropping-particle":"","family":"Yang","given":"Peiran","non-dropping-particle":"","parse-names":false,"suffix":""},{"dropping-particle":"","family":"Read","given":"Cai","non-dropping-particle":"","parse-names":false,"suffix":""},{"dropping-particle":"","family":"Kuc","given":"Rhoda E","non-dropping-particle":"","parse-names":false,"suffix":""},{"dropping-particle":"","family":"Buonincontri","given":"Guido","non-dropping-particle":"","parse-names":false,"suffix":""},{"dropping-particle":"","family":"Southwood","given":"Mark","non-dropping-particle":"","parse-names":false,"suffix":""},{"dropping-particle":"","family":"Torella","given":"Rubben","non-dropping-particle":"","parse-names":false,"suffix":""},{"dropping-particle":"","family":"Upton","given":"Paul D","non-dropping-particle":"","parse-names":false,"suffix":""},{"dropping-particle":"","family":"Crosby","given":"Alexi","non-dropping-particle":"","parse-names":false,"suffix":""},{"dropping-particle":"","family":"Sawiak","given":"Stephen J","non-dropping-particle":"","parse-names":false,"suffix":""},{"dropping-particle":"","family":"Carpenter","given":"T Adrian","non-dropping-particle":"","parse-names":false,"suffix":""},{"dropping-particle":"","family":"Glen","given":"Robert C","non-dropping-particle":"","parse-names":false,"suffix":""},{"dropping-particle":"","family":"Morrell","given":"Nicholas W","non-dropping-particle":"","parse-names":false,"suffix":""},{"dropping-particle":"","family":"Maguire","given":"Janet J","non-dropping-particle":"","parse-names":false,"suffix":""},{"dropping-particle":"","family":"Davenport","given":"Anthony P","non-dropping-particle":"","parse-names":false,"suffix":""}],"container-title":"Circulation","id":"ITEM-2","issue":"12","issued":{"date-parts":[["2017","3","21"]]},"page":"1160-1173","publisher":"Wolters Kluwer Health","title":"Elabela/Toddler Is an Endogenous Agonist of the Apelin APJ Receptor in the Adult Cardiovascular System, and Exogenous Administration of the Peptide Compensates for the Downregulation of Its Expression in Pulmonary Arterial Hypertension.","type":"article-journal","volume":"135"},"uris":["http://www.mendeley.com/documents/?uuid=435047bf-0f1f-3b6f-b69f-e4fe9d27e90a"]}],"mendeley":{"formattedCitation":"&lt;sup&gt;1,2&lt;/sup&gt;","plainTextFormattedCitation":"1,2","previouslyFormattedCitation":"(Read &lt;i&gt;et al.&lt;/i&gt;, 2016; Yang &lt;i&gt;et al.&lt;/i&gt;, 2017)"},"properties":{"noteIndex":0},"schema":"https://github.com/citation-style-language/schema/raw/master/csl-citation.json"}</w:instrText>
      </w:r>
      <w:r w:rsidRPr="006808C8">
        <w:rPr>
          <w:rFonts w:ascii="Arial" w:hAnsi="Arial" w:cs="Arial"/>
          <w:bCs/>
        </w:rPr>
        <w:fldChar w:fldCharType="separate"/>
      </w:r>
      <w:r w:rsidR="00FF276D" w:rsidRPr="00FF276D">
        <w:rPr>
          <w:rFonts w:ascii="Arial" w:hAnsi="Arial" w:cs="Arial"/>
          <w:bCs/>
          <w:noProof/>
          <w:vertAlign w:val="superscript"/>
        </w:rPr>
        <w:t>1,2</w:t>
      </w:r>
      <w:r w:rsidRPr="006808C8">
        <w:rPr>
          <w:rFonts w:ascii="Arial" w:hAnsi="Arial" w:cs="Arial"/>
          <w:bCs/>
        </w:rPr>
        <w:fldChar w:fldCharType="end"/>
      </w:r>
      <w:r w:rsidRPr="006808C8">
        <w:rPr>
          <w:rFonts w:ascii="Arial" w:hAnsi="Arial" w:cs="Arial"/>
          <w:bCs/>
        </w:rPr>
        <w:t>. Data were analysed to provide values of potency (EC</w:t>
      </w:r>
      <w:r w:rsidRPr="006808C8">
        <w:rPr>
          <w:rFonts w:ascii="Arial" w:hAnsi="Arial" w:cs="Arial"/>
          <w:bCs/>
          <w:vertAlign w:val="subscript"/>
        </w:rPr>
        <w:t>50</w:t>
      </w:r>
      <w:r w:rsidRPr="006808C8">
        <w:rPr>
          <w:rFonts w:ascii="Arial" w:hAnsi="Arial" w:cs="Arial"/>
          <w:bCs/>
        </w:rPr>
        <w:t>, the concentration of agonist producing 50% of the maximum response to that agonist; pD</w:t>
      </w:r>
      <w:r w:rsidRPr="006808C8">
        <w:rPr>
          <w:rFonts w:ascii="Arial" w:hAnsi="Arial" w:cs="Arial"/>
          <w:bCs/>
          <w:vertAlign w:val="subscript"/>
        </w:rPr>
        <w:t>2</w:t>
      </w:r>
      <w:r w:rsidRPr="006808C8">
        <w:rPr>
          <w:rFonts w:ascii="Arial" w:hAnsi="Arial" w:cs="Arial"/>
          <w:bCs/>
        </w:rPr>
        <w:t xml:space="preserve"> is the negative log</w:t>
      </w:r>
      <w:r w:rsidRPr="006808C8">
        <w:rPr>
          <w:rFonts w:ascii="Arial" w:hAnsi="Arial" w:cs="Arial"/>
          <w:bCs/>
          <w:vertAlign w:val="subscript"/>
        </w:rPr>
        <w:t>10</w:t>
      </w:r>
      <w:r w:rsidRPr="006808C8">
        <w:rPr>
          <w:rFonts w:ascii="Arial" w:hAnsi="Arial" w:cs="Arial"/>
          <w:bCs/>
        </w:rPr>
        <w:t xml:space="preserve"> EC</w:t>
      </w:r>
      <w:r w:rsidRPr="006808C8">
        <w:rPr>
          <w:rFonts w:ascii="Arial" w:hAnsi="Arial" w:cs="Arial"/>
          <w:bCs/>
          <w:vertAlign w:val="subscript"/>
        </w:rPr>
        <w:t>50</w:t>
      </w:r>
      <w:r w:rsidRPr="006808C8">
        <w:rPr>
          <w:rFonts w:ascii="Arial" w:hAnsi="Arial" w:cs="Arial"/>
          <w:bCs/>
        </w:rPr>
        <w:t xml:space="preserve">).  The </w:t>
      </w:r>
      <w:r w:rsidRPr="006808C8">
        <w:rPr>
          <w:rFonts w:ascii="Arial" w:hAnsi="Arial" w:cs="Arial"/>
          <w:bCs/>
          <w:i/>
        </w:rPr>
        <w:t>in vivo</w:t>
      </w:r>
      <w:r w:rsidRPr="006808C8">
        <w:rPr>
          <w:rFonts w:ascii="Arial" w:hAnsi="Arial" w:cs="Arial"/>
          <w:bCs/>
        </w:rPr>
        <w:t xml:space="preserve"> activity of the [Pyr</w:t>
      </w:r>
      <w:r w:rsidRPr="006808C8">
        <w:rPr>
          <w:rFonts w:ascii="Arial" w:hAnsi="Arial" w:cs="Arial"/>
          <w:bCs/>
          <w:vertAlign w:val="superscript"/>
        </w:rPr>
        <w:t>1</w:t>
      </w:r>
      <w:r w:rsidRPr="006808C8">
        <w:rPr>
          <w:rFonts w:ascii="Arial" w:hAnsi="Arial" w:cs="Arial"/>
          <w:bCs/>
        </w:rPr>
        <w:t>]apelin-13 was determined by intravenous bolus administration in anaesthetised rat as previously described</w:t>
      </w:r>
      <w:r w:rsidRPr="006808C8">
        <w:rPr>
          <w:rFonts w:ascii="Arial" w:hAnsi="Arial" w:cs="Arial"/>
          <w:bCs/>
        </w:rPr>
        <w:fldChar w:fldCharType="begin" w:fldLock="1"/>
      </w:r>
      <w:r w:rsidR="00FF276D">
        <w:rPr>
          <w:rFonts w:ascii="Arial" w:hAnsi="Arial" w:cs="Arial"/>
          <w:bCs/>
        </w:rPr>
        <w:instrText>ADDIN CSL_CITATION {"citationItems":[{"id":"ITEM-1","itemData":{"DOI":"10.1016/j.bcp.2016.07.018","ISSN":"00062952","author":[{"dropping-particle":"","family":"Read","given":"Cai","non-dropping-particle":"","parse-names":false,"suffix":""},{"dropping-particle":"","family":"Fitzpatrick","given":"Christopher M.","non-dropping-particle":"","parse-names":false,"suffix":""},{"dropping-particle":"","family":"Yang","given":"Peiran","non-dropping-particle":"","parse-names":false,"suffix":""},{"dropping-particle":"","family":"Kuc","given":"Rhoda E.","non-dropping-particle":"","parse-names":false,"suffix":""},{"dropping-particle":"","family":"Maguire","given":"Janet J.","non-dropping-particle":"","parse-names":false,"suffix":""},{"dropping-particle":"","family":"Glen","given":"Robert C.","non-dropping-particle":"","parse-names":false,"suffix":""},{"dropping-particle":"","family":"Foster","given":"Richard E.","non-dropping-particle":"","parse-names":false,"suffix":""},{"dropping-particle":"","family":"Davenport","given":"Anthony P.","non-dropping-particle":"","parse-names":false,"suffix":""}],"container-title":"Biochemical Pharmacology","id":"ITEM-1","issued":{"date-parts":[["2016","9"]]},"page":"63-72","title":"Cardiac action of the first G protein biased small molecule apelin agonist","type":"article-journal","volume":"116"},"uris":["http://www.mendeley.com/documents/?uuid=e2929cb8-e0a0-3a83-8b67-a19cfd33a4e2"]},{"id":"ITEM-2","itemData":{"DOI":"10.1161/CIRCULATIONAHA.116.023218","ISSN":"1524-4539","PMID":"28137936","abstract":"BACKGROUND Elabela/toddler (ELA) is a critical cardiac developmental peptide that acts through the G-protein-coupled apelin receptor, despite lack of sequence similarity to the established ligand apelin. Our aim was to investigate the receptor pharmacology, expression pattern, and in vivo function of ELA peptides in the adult cardiovascular system, to seek evidence for alteration in pulmonary arterial hypertension (PAH) in which apelin signaling is downregulated, and to demonstrate attenuation of PAH severity with exogenous administration of ELA in a rat model. METHODS In silico docking analysis, competition binding experiments, and downstream assays were used to characterize ELA receptor binding in human heart and signaling in cells expressing the apelin receptor. ELA expression in human cardiovascular tissues and plasma was determined using real-time quantitative polymerase chain reaction, dual-labeling immunofluorescent staining, and immunoassays. Acute cardiac effects of ELA-32 and [Pyr(1)]apelin-13 were assessed by MRI and cardiac catheterization in anesthetized rats. Cardiopulmonary human and rat tissues from PAH patients and monocrotaline- and Sugen/hypoxia-exposed rats were used to show changes in ELA expression in PAH. The effect of ELA treatment on cardiopulmonary remodeling in PAH was investigated in the monocrotaline rat model. RESULTS ELA competed for binding of apelin in human heart with overlap for the 2 peptides indicated by in silico modeling. ELA activated G-protein- and β-arrestin-dependent pathways. We detected ELA expression in human vascular endothelium and plasma. Comparable to apelin, ELA increased cardiac contractility, ejection fraction, and cardiac output and elicited vasodilatation in rat in vivo. ELA expression was reduced in cardiopulmonary tissues from PAH patients and PAH rat models, respectively. ELA treatment significantly attenuated elevation of right ventricular systolic pressure and right ventricular hypertrophy and pulmonary vascular remodeling in monocrotaline-exposed rats. CONCLUSIONS These results show that ELA is an endogenous agonist of the human apelin receptor, exhibits a cardiovascular profile comparable to apelin, and is downregulated in human disease and rodent PAH models, and exogenous peptide can reduce the severity of cardiopulmonary remodeling and function in PAH in rats. This study provides additional proof of principle that an apelin receptor agonist may be of therapeutic use in PAH in humans.","author":[{"dropping-particle":"","family":"Yang","given":"Peiran","non-dropping-particle":"","parse-names":false,"suffix":""},{"dropping-particle":"","family":"Read","given":"Cai","non-dropping-particle":"","parse-names":false,"suffix":""},{"dropping-particle":"","family":"Kuc","given":"Rhoda E","non-dropping-particle":"","parse-names":false,"suffix":""},{"dropping-particle":"","family":"Buonincontri","given":"Guido","non-dropping-particle":"","parse-names":false,"suffix":""},{"dropping-particle":"","family":"Southwood","given":"Mark","non-dropping-particle":"","parse-names":false,"suffix":""},{"dropping-particle":"","family":"Torella","given":"Rubben","non-dropping-particle":"","parse-names":false,"suffix":""},{"dropping-particle":"","family":"Upton","given":"Paul D","non-dropping-particle":"","parse-names":false,"suffix":""},{"dropping-particle":"","family":"Crosby","given":"Alexi","non-dropping-particle":"","parse-names":false,"suffix":""},{"dropping-particle":"","family":"Sawiak","given":"Stephen J","non-dropping-particle":"","parse-names":false,"suffix":""},{"dropping-particle":"","family":"Carpenter","given":"T Adrian","non-dropping-particle":"","parse-names":false,"suffix":""},{"dropping-particle":"","family":"Glen","given":"Robert C","non-dropping-particle":"","parse-names":false,"suffix":""},{"dropping-particle":"","family":"Morrell","given":"Nicholas W","non-dropping-particle":"","parse-names":false,"suffix":""},{"dropping-particle":"","family":"Maguire","given":"Janet J","non-dropping-particle":"","parse-names":false,"suffix":""},{"dropping-particle":"","family":"Davenport","given":"Anthony P","non-dropping-particle":"","parse-names":false,"suffix":""}],"container-title":"Circulation","id":"ITEM-2","issue":"12","issued":{"date-parts":[["2017","3","21"]]},"page":"1160-1173","publisher":"Wolters Kluwer Health","title":"Elabela/Toddler Is an Endogenous Agonist of the Apelin APJ Receptor in the Adult Cardiovascular System, and Exogenous Administration of the Peptide Compensates for the Downregulation of Its Expression in Pulmonary Arterial Hypertension.","type":"article-journal","volume":"135"},"uris":["http://www.mendeley.com/documents/?uuid=435047bf-0f1f-3b6f-b69f-e4fe9d27e90a"]},{"id":"ITEM-3","itemData":{"DOI":"10.1111/bph.14603","ISSN":"14765381","abstract":"Background and Purpose: Apelin is an endogenous vasodilatory and inotropic peptide that is down-regulated in human pulmonary arterial hypertension, although the density of the apelin receptor is not significantly attenuated. We hypothesised that a G protein-biased apelin analogue MM07, which is more stable than the endogenous apelin peptide, may be beneficial in this condition with the advantage of reduced β-arrestin-mediated receptor internalisation with chronic use. Experimental Approach: Male Sprague–Dawley rats received either monocrotaline to induce pulmonary arterial hypertension or saline and then daily i.p. injections of either MM07 or saline for 21 days. The extent of disease was assessed by right ventricular catheterisation, cardiac MRI, and histological analysis of the pulmonary vasculature. The effect of MM07 on signalling, proliferation, and apoptosis of human pulmonary artery endothelial cells was investigated. Key Results: MM07 significantly reduced the elevation of right ventricular systolic pressure and hypertrophy induced by monocrotaline. Monocrotaline-induced changes in cardiac structure and function, including right ventricular end-systolic and end-diastolic volumes, ejection fraction, and left ventricular end-diastolic volume, were attenuated by MM07. MM07 also significantly reduced monocrotaline-induced muscularisation of small pulmonary blood vessels. MM07 stimulated endothelial NOS phosphorylation and expression, promoted proliferation, and attenuated apoptosis of human pulmonary arterial endothelial cells in vitro. Conclusion and Implications: Our findings suggest that chronic treatment with MM07 is beneficial in this animal model of pulmonary arterial hypertension by addressing disease aetiology. These data support the development of G protein-biased apelin receptor agonists with improved pharmacokinetic profiles for use in human disease.","author":[{"dropping-particle":"","family":"Yang","given":"Peiran","non-dropping-particle":"","parse-names":false,"suffix":""},{"dropping-particle":"","family":"Read","given":"Cai","non-dropping-particle":"","parse-names":false,"suffix":""},{"dropping-particle":"","family":"Kuc","given":"Rhoda E.","non-dropping-particle":"","parse-names":false,"suffix":""},{"dropping-particle":"","family":"Nyimanu","given":"Duuamene","non-dropping-particle":"","parse-names":false,"suffix":""},{"dropping-particle":"","family":"Williams","given":"Thomas L.","non-dropping-particle":"","parse-names":false,"suffix":""},{"dropping-particle":"","family":"Crosby","given":"Alexi","non-dropping-particle":"","parse-names":false,"suffix":""},{"dropping-particle":"","family":"Buonincontri","given":"Guido","non-dropping-particle":"","parse-names":false,"suffix":""},{"dropping-particle":"","family":"Southwood","given":"Mark","non-dropping-particle":"","parse-names":false,"suffix":""},{"dropping-particle":"","family":"Sawiak","given":"Stephen J.","non-dropping-particle":"","parse-names":false,"suffix":""},{"dropping-particle":"","family":"Glen","given":"Robert C.","non-dropping-particle":"","parse-names":false,"suffix":""},{"dropping-particle":"","family":"Morrell","given":"Nicholas W.","non-dropping-particle":"","parse-names":false,"suffix":""},{"dropping-particle":"","family":"Davenport","given":"Anthony P.","non-dropping-particle":"","parse-names":false,"suffix":""},{"dropping-particle":"","family":"Maguire","given":"Janet J.","non-dropping-particle":"","parse-names":false,"suffix":""}],"container-title":"British Journal of Pharmacology","id":"ITEM-3","issue":"9","issued":{"date-parts":[["2019"]]},"page":"1206-1221","title":"A novel cyclic biased agonist of the apelin receptor, MM07, is disease modifying in the rat monocrotaline model of pulmonary arterial hypertension","type":"article-journal","volume":"176"},"uris":["http://www.mendeley.com/documents/?uuid=2ac2e5ae-ec73-3b99-aafb-2ea5b6bb329a"]}],"mendeley":{"formattedCitation":"&lt;sup&gt;1–3&lt;/sup&gt;","plainTextFormattedCitation":"1–3","previouslyFormattedCitation":"(Read &lt;i&gt;et al.&lt;/i&gt;, 2016; Yang &lt;i&gt;et al.&lt;/i&gt;, 2017, 2019)"},"properties":{"noteIndex":0},"schema":"https://github.com/citation-style-language/schema/raw/master/csl-citation.json"}</w:instrText>
      </w:r>
      <w:r w:rsidRPr="006808C8">
        <w:rPr>
          <w:rFonts w:ascii="Arial" w:hAnsi="Arial" w:cs="Arial"/>
          <w:bCs/>
        </w:rPr>
        <w:fldChar w:fldCharType="separate"/>
      </w:r>
      <w:r w:rsidR="00FF276D" w:rsidRPr="00FF276D">
        <w:rPr>
          <w:rFonts w:ascii="Arial" w:hAnsi="Arial" w:cs="Arial"/>
          <w:bCs/>
          <w:noProof/>
          <w:vertAlign w:val="superscript"/>
        </w:rPr>
        <w:t>1–3</w:t>
      </w:r>
      <w:r w:rsidRPr="006808C8">
        <w:rPr>
          <w:rFonts w:ascii="Arial" w:hAnsi="Arial" w:cs="Arial"/>
          <w:bCs/>
        </w:rPr>
        <w:fldChar w:fldCharType="end"/>
      </w:r>
      <w:r w:rsidRPr="006808C8">
        <w:rPr>
          <w:rFonts w:ascii="Arial" w:hAnsi="Arial" w:cs="Arial"/>
          <w:bCs/>
        </w:rPr>
        <w:t>.</w:t>
      </w:r>
    </w:p>
    <w:p w:rsidR="000936AC" w:rsidRPr="006808C8" w:rsidRDefault="000936AC" w:rsidP="000936AC">
      <w:pPr>
        <w:keepNext/>
        <w:shd w:val="clear" w:color="auto" w:fill="FFFFFF"/>
        <w:spacing w:before="100" w:beforeAutospacing="1" w:after="100" w:afterAutospacing="1" w:line="480" w:lineRule="auto"/>
        <w:jc w:val="both"/>
        <w:textAlignment w:val="baseline"/>
        <w:rPr>
          <w:rFonts w:ascii="Arial" w:hAnsi="Arial" w:cs="Arial"/>
          <w:bCs/>
          <w:i/>
        </w:rPr>
      </w:pPr>
      <w:r w:rsidRPr="006808C8">
        <w:rPr>
          <w:rFonts w:ascii="Arial" w:hAnsi="Arial" w:cs="Arial"/>
          <w:bCs/>
          <w:i/>
        </w:rPr>
        <w:t>Optimisation of extraction methods for plasma [Pyr</w:t>
      </w:r>
      <w:r w:rsidRPr="006808C8">
        <w:rPr>
          <w:rFonts w:ascii="Arial" w:hAnsi="Arial" w:cs="Arial"/>
          <w:bCs/>
          <w:i/>
          <w:vertAlign w:val="superscript"/>
        </w:rPr>
        <w:t>1</w:t>
      </w:r>
      <w:proofErr w:type="gramStart"/>
      <w:r w:rsidRPr="006808C8">
        <w:rPr>
          <w:rFonts w:ascii="Arial" w:hAnsi="Arial" w:cs="Arial"/>
          <w:bCs/>
          <w:i/>
        </w:rPr>
        <w:t>]apelin</w:t>
      </w:r>
      <w:proofErr w:type="gramEnd"/>
      <w:r w:rsidRPr="006808C8">
        <w:rPr>
          <w:rFonts w:ascii="Arial" w:hAnsi="Arial" w:cs="Arial"/>
          <w:bCs/>
          <w:i/>
        </w:rPr>
        <w:t>-13</w:t>
      </w:r>
    </w:p>
    <w:p w:rsidR="000936AC" w:rsidRPr="006808C8" w:rsidRDefault="000936AC" w:rsidP="000936AC">
      <w:pPr>
        <w:keepNext/>
        <w:shd w:val="clear" w:color="auto" w:fill="FFFFFF"/>
        <w:spacing w:before="100" w:beforeAutospacing="1" w:after="100" w:afterAutospacing="1" w:line="480" w:lineRule="auto"/>
        <w:jc w:val="both"/>
        <w:textAlignment w:val="baseline"/>
        <w:rPr>
          <w:rFonts w:ascii="Arial" w:hAnsi="Arial" w:cs="Arial"/>
          <w:bCs/>
        </w:rPr>
      </w:pPr>
      <w:r w:rsidRPr="006808C8">
        <w:rPr>
          <w:rFonts w:ascii="Arial" w:hAnsi="Arial" w:cs="Arial"/>
          <w:bCs/>
        </w:rPr>
        <w:t xml:space="preserve">Four different conditions were used to determine the best method for extracting apelin peptides from human plasma. All sample preparation steps were done on ice to reduce </w:t>
      </w:r>
      <w:r w:rsidRPr="006808C8">
        <w:rPr>
          <w:rFonts w:ascii="Arial" w:hAnsi="Arial" w:cs="Arial"/>
          <w:bCs/>
          <w:i/>
        </w:rPr>
        <w:t>in vitro</w:t>
      </w:r>
      <w:r w:rsidRPr="006808C8">
        <w:rPr>
          <w:rFonts w:ascii="Arial" w:hAnsi="Arial" w:cs="Arial"/>
          <w:bCs/>
        </w:rPr>
        <w:t xml:space="preserve"> peptide degradation. Human plasma was spiked with 100 ng/ml [Pyr</w:t>
      </w:r>
      <w:r w:rsidRPr="006808C8">
        <w:rPr>
          <w:rFonts w:ascii="Arial" w:hAnsi="Arial" w:cs="Arial"/>
          <w:bCs/>
          <w:vertAlign w:val="superscript"/>
        </w:rPr>
        <w:t>1</w:t>
      </w:r>
      <w:r w:rsidRPr="006808C8">
        <w:rPr>
          <w:rFonts w:ascii="Arial" w:hAnsi="Arial" w:cs="Arial"/>
          <w:bCs/>
        </w:rPr>
        <w:t xml:space="preserve">]apelin-13 and transferred (50 µl) to Eppendorf tubes before proteins were precipitated using 300 </w:t>
      </w:r>
      <w:proofErr w:type="spellStart"/>
      <w:r w:rsidRPr="006808C8">
        <w:rPr>
          <w:rFonts w:ascii="Arial" w:hAnsi="Arial" w:cs="Arial"/>
          <w:bCs/>
        </w:rPr>
        <w:t>μl</w:t>
      </w:r>
      <w:proofErr w:type="spellEnd"/>
      <w:r w:rsidRPr="006808C8">
        <w:rPr>
          <w:rFonts w:ascii="Arial" w:hAnsi="Arial" w:cs="Arial"/>
          <w:bCs/>
        </w:rPr>
        <w:t xml:space="preserve"> of 75%, 80%, 85% or 90% ACN in water (v/v) (condition 1) or the same ACN solution with  0.1% FA (v/v) (condition 2). In condition 3, 25  µl guanidine hydrochloride (</w:t>
      </w:r>
      <w:proofErr w:type="spellStart"/>
      <w:r w:rsidRPr="006808C8">
        <w:rPr>
          <w:rFonts w:ascii="Arial" w:hAnsi="Arial" w:cs="Arial"/>
          <w:bCs/>
        </w:rPr>
        <w:t>GuHCl</w:t>
      </w:r>
      <w:proofErr w:type="spellEnd"/>
      <w:r w:rsidRPr="006808C8">
        <w:rPr>
          <w:rFonts w:ascii="Arial" w:hAnsi="Arial" w:cs="Arial"/>
          <w:bCs/>
        </w:rPr>
        <w:t xml:space="preserve">) was added to 50 µl plasma and mixed thoroughly before plasma proteins were precipitated with 300 µl 80% ACN in water with or without 0.1% FA (v/v). In condition 4, 450 µl water or 50 </w:t>
      </w:r>
      <w:proofErr w:type="spellStart"/>
      <w:r w:rsidRPr="006808C8">
        <w:rPr>
          <w:rFonts w:ascii="Arial" w:hAnsi="Arial" w:cs="Arial"/>
          <w:bCs/>
        </w:rPr>
        <w:t>mM</w:t>
      </w:r>
      <w:proofErr w:type="spellEnd"/>
      <w:r w:rsidRPr="006808C8">
        <w:rPr>
          <w:rFonts w:ascii="Arial" w:hAnsi="Arial" w:cs="Arial"/>
          <w:bCs/>
        </w:rPr>
        <w:t xml:space="preserve"> ammonium bicarbonate (pH 8) or 1% FA (v/v) was added to 50 µl plasma and transferred onto Oasis HLB Prime µ-Elution 96-well plates </w:t>
      </w:r>
      <w:r w:rsidRPr="006808C8">
        <w:rPr>
          <w:rFonts w:ascii="Arial" w:hAnsi="Arial" w:cs="Arial"/>
          <w:bCs/>
        </w:rPr>
        <w:lastRenderedPageBreak/>
        <w:t xml:space="preserve">for SPE. The samples from conditions 1-3 were vortexed and centrifuged at 12000 </w:t>
      </w:r>
      <w:proofErr w:type="spellStart"/>
      <w:r w:rsidRPr="006808C8">
        <w:rPr>
          <w:rFonts w:ascii="Arial" w:hAnsi="Arial" w:cs="Arial"/>
          <w:bCs/>
        </w:rPr>
        <w:t>xg</w:t>
      </w:r>
      <w:proofErr w:type="spellEnd"/>
      <w:r w:rsidRPr="006808C8">
        <w:rPr>
          <w:rFonts w:ascii="Arial" w:hAnsi="Arial" w:cs="Arial"/>
          <w:bCs/>
        </w:rPr>
        <w:t xml:space="preserve"> for 5 minutes and the supernatant transferred to a 1 ml protein </w:t>
      </w:r>
      <w:proofErr w:type="spellStart"/>
      <w:r w:rsidRPr="006808C8">
        <w:rPr>
          <w:rFonts w:ascii="Arial" w:hAnsi="Arial" w:cs="Arial"/>
          <w:bCs/>
        </w:rPr>
        <w:t>LoBind</w:t>
      </w:r>
      <w:proofErr w:type="spellEnd"/>
      <w:r w:rsidRPr="006808C8">
        <w:rPr>
          <w:rFonts w:ascii="Arial" w:hAnsi="Arial" w:cs="Arial"/>
          <w:bCs/>
        </w:rPr>
        <w:t xml:space="preserve"> plate. Samples in condition 3 separated into two liquid layers both of which were collected. The supernatant was evaporated under a stream of oxygen-free nitrogen heated to 40 </w:t>
      </w:r>
      <w:r w:rsidRPr="006808C8">
        <w:rPr>
          <w:rFonts w:ascii="Cambria Math" w:hAnsi="Cambria Math" w:cs="Cambria Math"/>
          <w:bCs/>
        </w:rPr>
        <w:t>⁰</w:t>
      </w:r>
      <w:r w:rsidRPr="006808C8">
        <w:rPr>
          <w:rFonts w:ascii="Arial" w:hAnsi="Arial" w:cs="Arial"/>
          <w:bCs/>
        </w:rPr>
        <w:t xml:space="preserve">C using a </w:t>
      </w:r>
      <w:proofErr w:type="spellStart"/>
      <w:r w:rsidRPr="006808C8">
        <w:rPr>
          <w:rFonts w:ascii="Arial" w:hAnsi="Arial" w:cs="Arial"/>
          <w:bCs/>
        </w:rPr>
        <w:t>Biotage</w:t>
      </w:r>
      <w:proofErr w:type="spellEnd"/>
      <w:r w:rsidRPr="006808C8">
        <w:rPr>
          <w:rFonts w:ascii="Arial" w:hAnsi="Arial" w:cs="Arial"/>
          <w:bCs/>
        </w:rPr>
        <w:t xml:space="preserve"> SPE dry (</w:t>
      </w:r>
      <w:proofErr w:type="spellStart"/>
      <w:r w:rsidRPr="006808C8">
        <w:rPr>
          <w:rFonts w:ascii="Arial" w:hAnsi="Arial" w:cs="Arial"/>
          <w:bCs/>
        </w:rPr>
        <w:t>Upsala</w:t>
      </w:r>
      <w:proofErr w:type="spellEnd"/>
      <w:r w:rsidRPr="006808C8">
        <w:rPr>
          <w:rFonts w:ascii="Arial" w:hAnsi="Arial" w:cs="Arial"/>
          <w:bCs/>
        </w:rPr>
        <w:t xml:space="preserve">, Sweden) evaporation system. Dried samples from conditions 2-3 were reconstituted in 200 </w:t>
      </w:r>
      <w:proofErr w:type="spellStart"/>
      <w:r w:rsidRPr="006808C8">
        <w:rPr>
          <w:rFonts w:ascii="Arial" w:hAnsi="Arial" w:cs="Arial"/>
          <w:bCs/>
        </w:rPr>
        <w:t>μl</w:t>
      </w:r>
      <w:proofErr w:type="spellEnd"/>
      <w:r w:rsidRPr="006808C8">
        <w:rPr>
          <w:rFonts w:ascii="Arial" w:hAnsi="Arial" w:cs="Arial"/>
          <w:bCs/>
        </w:rPr>
        <w:t xml:space="preserve"> 0.1% FA (v/v) and loaded unto an Oasis HLB Prime µ-elution 96-well plate (Waters, Wilmslow, UK) together with samples from condition 4 and slowly extracted on a positive pressure manifold (Waters). The columns were washed with 200 µl of 5% methanol in water with 1% acetic acid (v/v) and eluted from the cartridge using 2x 50 µl of 60% methanol in water with 10% acetic acid. The eluate was evaporated to dryness and reconstituted in 150 µl 0.1% FA in water and a volume of 15 µl was injected onto a LC-MS/MS system.</w:t>
      </w:r>
    </w:p>
    <w:p w:rsidR="000936AC" w:rsidRPr="006808C8" w:rsidRDefault="000936AC" w:rsidP="000936AC">
      <w:pPr>
        <w:keepNext/>
        <w:shd w:val="clear" w:color="auto" w:fill="FFFFFF"/>
        <w:spacing w:before="100" w:beforeAutospacing="1" w:after="100" w:afterAutospacing="1" w:line="480" w:lineRule="auto"/>
        <w:jc w:val="both"/>
        <w:textAlignment w:val="baseline"/>
        <w:rPr>
          <w:rFonts w:ascii="Arial" w:hAnsi="Arial" w:cs="Arial"/>
          <w:bCs/>
        </w:rPr>
      </w:pPr>
      <w:r w:rsidRPr="006808C8">
        <w:rPr>
          <w:rFonts w:ascii="Arial" w:hAnsi="Arial" w:cs="Arial"/>
          <w:bCs/>
        </w:rPr>
        <w:t>Statistical Analysis</w:t>
      </w:r>
    </w:p>
    <w:p w:rsidR="000936AC" w:rsidRPr="006808C8" w:rsidRDefault="000936AC" w:rsidP="000936AC">
      <w:pPr>
        <w:keepNext/>
        <w:shd w:val="clear" w:color="auto" w:fill="FFFFFF"/>
        <w:spacing w:before="100" w:beforeAutospacing="1" w:after="100" w:afterAutospacing="1" w:line="480" w:lineRule="auto"/>
        <w:jc w:val="both"/>
        <w:textAlignment w:val="baseline"/>
        <w:rPr>
          <w:rFonts w:ascii="Arial" w:hAnsi="Arial" w:cs="Arial"/>
          <w:bCs/>
          <w:i/>
        </w:rPr>
      </w:pPr>
      <w:r w:rsidRPr="006808C8">
        <w:rPr>
          <w:rFonts w:ascii="Arial" w:hAnsi="Arial" w:cs="Arial"/>
          <w:bCs/>
        </w:rPr>
        <w:t xml:space="preserve">All data were presented as </w:t>
      </w:r>
      <w:proofErr w:type="spellStart"/>
      <w:r w:rsidRPr="006808C8">
        <w:rPr>
          <w:rFonts w:ascii="Arial" w:hAnsi="Arial" w:cs="Arial"/>
          <w:bCs/>
        </w:rPr>
        <w:t>mean±SEM</w:t>
      </w:r>
      <w:proofErr w:type="spellEnd"/>
      <w:r w:rsidRPr="006808C8">
        <w:rPr>
          <w:rFonts w:ascii="Arial" w:hAnsi="Arial" w:cs="Arial"/>
          <w:bCs/>
        </w:rPr>
        <w:t xml:space="preserve">. All cell based assay data were performed in triplicates. For the </w:t>
      </w:r>
      <w:r w:rsidRPr="006808C8">
        <w:rPr>
          <w:rFonts w:ascii="Arial" w:hAnsi="Arial" w:cs="Arial"/>
          <w:bCs/>
          <w:i/>
        </w:rPr>
        <w:t xml:space="preserve">in vivo </w:t>
      </w:r>
      <w:r w:rsidRPr="006808C8">
        <w:rPr>
          <w:rFonts w:ascii="Arial" w:hAnsi="Arial" w:cs="Arial"/>
          <w:bCs/>
        </w:rPr>
        <w:t xml:space="preserve">rat study, data obtained from </w:t>
      </w:r>
      <w:r w:rsidRPr="006808C8">
        <w:rPr>
          <w:rFonts w:ascii="Arial" w:hAnsi="Arial" w:cs="Arial"/>
        </w:rPr>
        <w:t>[Pyr</w:t>
      </w:r>
      <w:r w:rsidRPr="006808C8">
        <w:rPr>
          <w:rFonts w:ascii="Arial" w:hAnsi="Arial" w:cs="Arial"/>
          <w:vertAlign w:val="superscript"/>
        </w:rPr>
        <w:t>1</w:t>
      </w:r>
      <w:proofErr w:type="gramStart"/>
      <w:r w:rsidRPr="006808C8">
        <w:rPr>
          <w:rFonts w:ascii="Arial" w:hAnsi="Arial" w:cs="Arial"/>
        </w:rPr>
        <w:t>]apelin</w:t>
      </w:r>
      <w:proofErr w:type="gramEnd"/>
      <w:r w:rsidRPr="006808C8">
        <w:rPr>
          <w:rFonts w:ascii="Arial" w:hAnsi="Arial" w:cs="Arial"/>
        </w:rPr>
        <w:t xml:space="preserve">-13 and saline controls were compared using two-tailed student’s </w:t>
      </w:r>
      <w:r w:rsidRPr="006808C8">
        <w:rPr>
          <w:rFonts w:ascii="Arial" w:hAnsi="Arial" w:cs="Arial"/>
          <w:i/>
        </w:rPr>
        <w:t>t</w:t>
      </w:r>
      <w:r w:rsidRPr="006808C8">
        <w:rPr>
          <w:rFonts w:ascii="Arial" w:hAnsi="Arial" w:cs="Arial"/>
        </w:rPr>
        <w:t>-test (</w:t>
      </w:r>
      <w:proofErr w:type="spellStart"/>
      <w:r w:rsidRPr="006808C8">
        <w:rPr>
          <w:rFonts w:ascii="Arial" w:hAnsi="Arial" w:cs="Arial"/>
        </w:rPr>
        <w:t>Graphpad</w:t>
      </w:r>
      <w:proofErr w:type="spellEnd"/>
      <w:r w:rsidRPr="006808C8">
        <w:rPr>
          <w:rFonts w:ascii="Arial" w:hAnsi="Arial" w:cs="Arial"/>
        </w:rPr>
        <w:t xml:space="preserve"> Prism 6) and statistical significance taken at </w:t>
      </w:r>
      <w:r w:rsidRPr="006808C8">
        <w:rPr>
          <w:rFonts w:ascii="Arial" w:hAnsi="Arial" w:cs="Arial"/>
          <w:i/>
        </w:rPr>
        <w:t>p˂0.05.</w:t>
      </w:r>
    </w:p>
    <w:p w:rsidR="000936AC" w:rsidRPr="006808C8" w:rsidRDefault="000936AC" w:rsidP="000936AC">
      <w:pPr>
        <w:keepNext/>
        <w:shd w:val="clear" w:color="auto" w:fill="FFFFFF"/>
        <w:spacing w:before="100" w:beforeAutospacing="1" w:after="100" w:afterAutospacing="1" w:line="480" w:lineRule="auto"/>
        <w:jc w:val="both"/>
        <w:textAlignment w:val="baseline"/>
        <w:rPr>
          <w:rFonts w:ascii="Arial" w:hAnsi="Arial" w:cs="Arial"/>
          <w:b/>
          <w:bCs/>
        </w:rPr>
      </w:pPr>
      <w:r w:rsidRPr="006808C8">
        <w:rPr>
          <w:rFonts w:ascii="Arial" w:hAnsi="Arial" w:cs="Arial"/>
          <w:b/>
          <w:bCs/>
        </w:rPr>
        <w:t xml:space="preserve"> Results</w:t>
      </w:r>
    </w:p>
    <w:p w:rsidR="000936AC" w:rsidRPr="006808C8" w:rsidRDefault="000936AC" w:rsidP="000936AC">
      <w:pPr>
        <w:keepNext/>
        <w:shd w:val="clear" w:color="auto" w:fill="FFFFFF"/>
        <w:spacing w:before="100" w:beforeAutospacing="1" w:after="100" w:afterAutospacing="1" w:line="480" w:lineRule="auto"/>
        <w:jc w:val="both"/>
        <w:textAlignment w:val="baseline"/>
        <w:rPr>
          <w:rFonts w:ascii="Arial" w:hAnsi="Arial" w:cs="Arial"/>
          <w:bCs/>
          <w:i/>
        </w:rPr>
      </w:pPr>
      <w:r w:rsidRPr="006808C8">
        <w:rPr>
          <w:rFonts w:ascii="Arial" w:hAnsi="Arial" w:cs="Arial"/>
          <w:bCs/>
          <w:i/>
        </w:rPr>
        <w:t>Biological activity of [Pyr</w:t>
      </w:r>
      <w:r w:rsidRPr="006808C8">
        <w:rPr>
          <w:rFonts w:ascii="Arial" w:hAnsi="Arial" w:cs="Arial"/>
          <w:bCs/>
          <w:i/>
          <w:vertAlign w:val="superscript"/>
        </w:rPr>
        <w:t>1</w:t>
      </w:r>
      <w:proofErr w:type="gramStart"/>
      <w:r w:rsidRPr="006808C8">
        <w:rPr>
          <w:rFonts w:ascii="Arial" w:hAnsi="Arial" w:cs="Arial"/>
          <w:bCs/>
          <w:i/>
        </w:rPr>
        <w:t>]apelin</w:t>
      </w:r>
      <w:proofErr w:type="gramEnd"/>
      <w:r w:rsidRPr="006808C8">
        <w:rPr>
          <w:rFonts w:ascii="Arial" w:hAnsi="Arial" w:cs="Arial"/>
          <w:bCs/>
          <w:i/>
        </w:rPr>
        <w:t>-13 peptide</w:t>
      </w:r>
    </w:p>
    <w:p w:rsidR="000936AC" w:rsidRPr="006808C8" w:rsidRDefault="000936AC" w:rsidP="000936AC">
      <w:pPr>
        <w:spacing w:before="0" w:after="0" w:line="480" w:lineRule="auto"/>
        <w:jc w:val="both"/>
        <w:rPr>
          <w:rFonts w:ascii="Arial" w:hAnsi="Arial" w:cs="Arial"/>
          <w:i/>
        </w:rPr>
      </w:pPr>
      <w:r w:rsidRPr="006808C8">
        <w:rPr>
          <w:rFonts w:ascii="Arial" w:hAnsi="Arial" w:cs="Arial"/>
        </w:rPr>
        <w:t>[Pyr</w:t>
      </w:r>
      <w:r w:rsidRPr="006808C8">
        <w:rPr>
          <w:rFonts w:ascii="Arial" w:hAnsi="Arial" w:cs="Arial"/>
          <w:vertAlign w:val="superscript"/>
        </w:rPr>
        <w:t>1</w:t>
      </w:r>
      <w:proofErr w:type="gramStart"/>
      <w:r w:rsidRPr="006808C8">
        <w:rPr>
          <w:rFonts w:ascii="Arial" w:hAnsi="Arial" w:cs="Arial"/>
        </w:rPr>
        <w:t>]apelin</w:t>
      </w:r>
      <w:proofErr w:type="gramEnd"/>
      <w:r w:rsidRPr="006808C8">
        <w:rPr>
          <w:rFonts w:ascii="Arial" w:hAnsi="Arial" w:cs="Arial"/>
        </w:rPr>
        <w:t>-13 showed the expected potency at recruiting β-</w:t>
      </w:r>
      <w:proofErr w:type="spellStart"/>
      <w:r w:rsidRPr="006808C8">
        <w:rPr>
          <w:rFonts w:ascii="Arial" w:hAnsi="Arial" w:cs="Arial"/>
        </w:rPr>
        <w:t>arrestin</w:t>
      </w:r>
      <w:proofErr w:type="spellEnd"/>
      <w:r w:rsidRPr="006808C8">
        <w:rPr>
          <w:rFonts w:ascii="Arial" w:hAnsi="Arial" w:cs="Arial"/>
        </w:rPr>
        <w:t xml:space="preserve"> in CHO-K1 cells stably expressing the human apelin receptor following binding with an EC</w:t>
      </w:r>
      <w:r w:rsidRPr="006808C8">
        <w:rPr>
          <w:rFonts w:ascii="Arial" w:hAnsi="Arial" w:cs="Arial"/>
          <w:vertAlign w:val="subscript"/>
        </w:rPr>
        <w:t>50</w:t>
      </w:r>
      <w:r w:rsidRPr="006808C8">
        <w:rPr>
          <w:rFonts w:ascii="Arial" w:hAnsi="Arial" w:cs="Arial"/>
        </w:rPr>
        <w:t xml:space="preserve"> of 1.2 </w:t>
      </w:r>
      <w:proofErr w:type="spellStart"/>
      <w:r w:rsidRPr="006808C8">
        <w:rPr>
          <w:rFonts w:ascii="Arial" w:hAnsi="Arial" w:cs="Arial"/>
        </w:rPr>
        <w:t>nM</w:t>
      </w:r>
      <w:proofErr w:type="spellEnd"/>
      <w:r w:rsidRPr="006808C8">
        <w:rPr>
          <w:rFonts w:ascii="Arial" w:hAnsi="Arial" w:cs="Arial"/>
        </w:rPr>
        <w:t xml:space="preserve"> (supplementary figure 2A). In </w:t>
      </w:r>
      <w:proofErr w:type="spellStart"/>
      <w:r w:rsidRPr="006808C8">
        <w:rPr>
          <w:rFonts w:ascii="Arial" w:hAnsi="Arial" w:cs="Arial"/>
        </w:rPr>
        <w:t>cAMP</w:t>
      </w:r>
      <w:proofErr w:type="spellEnd"/>
      <w:r w:rsidRPr="006808C8">
        <w:rPr>
          <w:rFonts w:ascii="Arial" w:hAnsi="Arial" w:cs="Arial"/>
        </w:rPr>
        <w:t xml:space="preserve"> assay used to measure the G protein activity of the apelin pathway, [Pyr</w:t>
      </w:r>
      <w:r w:rsidRPr="006808C8">
        <w:rPr>
          <w:rFonts w:ascii="Arial" w:hAnsi="Arial" w:cs="Arial"/>
          <w:vertAlign w:val="superscript"/>
        </w:rPr>
        <w:t>1</w:t>
      </w:r>
      <w:proofErr w:type="gramStart"/>
      <w:r w:rsidRPr="006808C8">
        <w:rPr>
          <w:rFonts w:ascii="Arial" w:hAnsi="Arial" w:cs="Arial"/>
        </w:rPr>
        <w:t>]apelin</w:t>
      </w:r>
      <w:proofErr w:type="gramEnd"/>
      <w:r w:rsidRPr="006808C8">
        <w:rPr>
          <w:rFonts w:ascii="Arial" w:hAnsi="Arial" w:cs="Arial"/>
        </w:rPr>
        <w:t xml:space="preserve">-13 potently inhibited </w:t>
      </w:r>
      <w:proofErr w:type="spellStart"/>
      <w:r w:rsidRPr="006808C8">
        <w:rPr>
          <w:rFonts w:ascii="Arial" w:hAnsi="Arial" w:cs="Arial"/>
        </w:rPr>
        <w:t>forskolin</w:t>
      </w:r>
      <w:proofErr w:type="spellEnd"/>
      <w:r w:rsidRPr="006808C8">
        <w:rPr>
          <w:rFonts w:ascii="Arial" w:hAnsi="Arial" w:cs="Arial"/>
        </w:rPr>
        <w:t xml:space="preserve">-induced </w:t>
      </w:r>
      <w:proofErr w:type="spellStart"/>
      <w:r w:rsidRPr="006808C8">
        <w:rPr>
          <w:rFonts w:ascii="Arial" w:hAnsi="Arial" w:cs="Arial"/>
        </w:rPr>
        <w:t>cAMP</w:t>
      </w:r>
      <w:proofErr w:type="spellEnd"/>
      <w:r w:rsidRPr="006808C8">
        <w:rPr>
          <w:rFonts w:ascii="Arial" w:hAnsi="Arial" w:cs="Arial"/>
        </w:rPr>
        <w:t xml:space="preserve"> release </w:t>
      </w:r>
      <w:r w:rsidRPr="006808C8">
        <w:rPr>
          <w:rFonts w:ascii="Arial" w:hAnsi="Arial" w:cs="Arial"/>
        </w:rPr>
        <w:lastRenderedPageBreak/>
        <w:t>with an EC</w:t>
      </w:r>
      <w:r w:rsidRPr="006808C8">
        <w:rPr>
          <w:rFonts w:ascii="Arial" w:hAnsi="Arial" w:cs="Arial"/>
          <w:vertAlign w:val="subscript"/>
        </w:rPr>
        <w:t>50</w:t>
      </w:r>
      <w:r w:rsidRPr="006808C8">
        <w:rPr>
          <w:rFonts w:ascii="Arial" w:hAnsi="Arial" w:cs="Arial"/>
        </w:rPr>
        <w:t xml:space="preserve"> of 3.3 </w:t>
      </w:r>
      <w:proofErr w:type="spellStart"/>
      <w:r w:rsidRPr="006808C8">
        <w:rPr>
          <w:rFonts w:ascii="Arial" w:hAnsi="Arial" w:cs="Arial"/>
        </w:rPr>
        <w:t>nM</w:t>
      </w:r>
      <w:proofErr w:type="spellEnd"/>
      <w:r w:rsidRPr="006808C8">
        <w:rPr>
          <w:rFonts w:ascii="Arial" w:hAnsi="Arial" w:cs="Arial"/>
        </w:rPr>
        <w:t xml:space="preserve"> (supplementary figure 2B). We went on to test the activity of our custom synthesised [Pyr</w:t>
      </w:r>
      <w:r w:rsidRPr="006808C8">
        <w:rPr>
          <w:rFonts w:ascii="Arial" w:hAnsi="Arial" w:cs="Arial"/>
          <w:vertAlign w:val="superscript"/>
        </w:rPr>
        <w:t>1</w:t>
      </w:r>
      <w:r w:rsidRPr="006808C8">
        <w:rPr>
          <w:rFonts w:ascii="Arial" w:hAnsi="Arial" w:cs="Arial"/>
        </w:rPr>
        <w:t xml:space="preserve">]apelin-13 </w:t>
      </w:r>
      <w:r w:rsidRPr="006808C8">
        <w:rPr>
          <w:rFonts w:ascii="Arial" w:hAnsi="Arial" w:cs="Arial"/>
          <w:i/>
        </w:rPr>
        <w:t xml:space="preserve">in vivo </w:t>
      </w:r>
      <w:r w:rsidRPr="006808C8">
        <w:rPr>
          <w:rFonts w:ascii="Arial" w:hAnsi="Arial" w:cs="Arial"/>
        </w:rPr>
        <w:t>in anaesthetised rats, where we observed that [Pyr</w:t>
      </w:r>
      <w:r w:rsidRPr="006808C8">
        <w:rPr>
          <w:rFonts w:ascii="Arial" w:hAnsi="Arial" w:cs="Arial"/>
          <w:vertAlign w:val="superscript"/>
        </w:rPr>
        <w:t>1</w:t>
      </w:r>
      <w:r w:rsidRPr="006808C8">
        <w:rPr>
          <w:rFonts w:ascii="Arial" w:hAnsi="Arial" w:cs="Arial"/>
        </w:rPr>
        <w:t xml:space="preserve">]apelin-13 significantly decreased systolic pressure (supplementary figure 3A, </w:t>
      </w:r>
      <w:r w:rsidRPr="006808C8">
        <w:rPr>
          <w:rFonts w:ascii="Arial" w:hAnsi="Arial" w:cs="Arial"/>
          <w:i/>
        </w:rPr>
        <w:t>p&lt;0.001</w:t>
      </w:r>
      <w:r w:rsidRPr="006808C8">
        <w:rPr>
          <w:rFonts w:ascii="Arial" w:hAnsi="Arial" w:cs="Arial"/>
        </w:rPr>
        <w:t>). [Pyr</w:t>
      </w:r>
      <w:r w:rsidRPr="006808C8">
        <w:rPr>
          <w:rFonts w:ascii="Arial" w:hAnsi="Arial" w:cs="Arial"/>
          <w:vertAlign w:val="superscript"/>
        </w:rPr>
        <w:t>1</w:t>
      </w:r>
      <w:r w:rsidRPr="006808C8">
        <w:rPr>
          <w:rFonts w:ascii="Arial" w:hAnsi="Arial" w:cs="Arial"/>
        </w:rPr>
        <w:t xml:space="preserve">]apelin-13 also significantly increase cardiac output (CO) and heart rate (HR) when compared to saline controls (supplementary figure 3B,C, </w:t>
      </w:r>
      <w:r w:rsidRPr="006808C8">
        <w:rPr>
          <w:rFonts w:ascii="Arial" w:hAnsi="Arial" w:cs="Arial"/>
          <w:i/>
        </w:rPr>
        <w:t>p&lt;0.005 CO, p&lt;0.05 HR</w:t>
      </w:r>
      <w:r w:rsidRPr="006808C8">
        <w:rPr>
          <w:rFonts w:ascii="Arial" w:hAnsi="Arial" w:cs="Arial"/>
        </w:rPr>
        <w:t xml:space="preserve">). </w:t>
      </w:r>
      <w:r w:rsidRPr="006808C8">
        <w:rPr>
          <w:rFonts w:ascii="Arial" w:hAnsi="Arial" w:cs="Arial"/>
          <w:i/>
        </w:rPr>
        <w:t xml:space="preserve"> </w:t>
      </w:r>
    </w:p>
    <w:p w:rsidR="000936AC" w:rsidRPr="006808C8" w:rsidRDefault="000936AC" w:rsidP="000936AC">
      <w:pPr>
        <w:spacing w:before="0" w:after="0" w:line="480" w:lineRule="auto"/>
        <w:jc w:val="both"/>
        <w:rPr>
          <w:rFonts w:ascii="Arial" w:hAnsi="Arial" w:cs="Arial"/>
          <w:b/>
        </w:rPr>
      </w:pPr>
      <w:r w:rsidRPr="006808C8">
        <w:rPr>
          <w:rFonts w:ascii="Arial" w:hAnsi="Arial" w:cs="Arial"/>
          <w:bCs/>
          <w:noProof/>
        </w:rPr>
        <w:drawing>
          <wp:inline distT="0" distB="0" distL="0" distR="0" wp14:anchorId="7BCFF3B3" wp14:editId="73C5041F">
            <wp:extent cx="5731510" cy="2129790"/>
            <wp:effectExtent l="0" t="0" r="0" b="0"/>
            <wp:docPr id="8" name="Picture 8" descr="V:\Davenport\Duuamene\Apelin in vivo Metabolism Manuscript\Testing\Figure 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V:\Davenport\Duuamene\Apelin in vivo Metabolism Manuscript\Testing\Figure 1.ti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31510" cy="2129790"/>
                    </a:xfrm>
                    <a:prstGeom prst="rect">
                      <a:avLst/>
                    </a:prstGeom>
                    <a:noFill/>
                    <a:ln>
                      <a:noFill/>
                    </a:ln>
                  </pic:spPr>
                </pic:pic>
              </a:graphicData>
            </a:graphic>
          </wp:inline>
        </w:drawing>
      </w:r>
    </w:p>
    <w:p w:rsidR="000936AC" w:rsidRPr="006808C8" w:rsidRDefault="000936AC" w:rsidP="000936AC">
      <w:pPr>
        <w:pStyle w:val="Default"/>
        <w:widowControl w:val="0"/>
        <w:spacing w:line="480" w:lineRule="auto"/>
        <w:jc w:val="both"/>
        <w:rPr>
          <w:color w:val="auto"/>
        </w:rPr>
      </w:pPr>
      <w:r w:rsidRPr="006808C8">
        <w:rPr>
          <w:bCs/>
          <w:color w:val="auto"/>
        </w:rPr>
        <w:t xml:space="preserve">Supplementary Figure 2. The </w:t>
      </w:r>
      <w:r w:rsidRPr="006808C8">
        <w:rPr>
          <w:bCs/>
          <w:i/>
          <w:color w:val="auto"/>
        </w:rPr>
        <w:t>in vitro</w:t>
      </w:r>
      <w:r w:rsidRPr="006808C8">
        <w:rPr>
          <w:bCs/>
          <w:color w:val="auto"/>
        </w:rPr>
        <w:t xml:space="preserve"> pharmacology of </w:t>
      </w:r>
      <w:r w:rsidRPr="006808C8">
        <w:rPr>
          <w:color w:val="auto"/>
        </w:rPr>
        <w:t>[Pyr</w:t>
      </w:r>
      <w:r w:rsidRPr="006808C8">
        <w:rPr>
          <w:color w:val="auto"/>
          <w:vertAlign w:val="superscript"/>
        </w:rPr>
        <w:t>1</w:t>
      </w:r>
      <w:proofErr w:type="gramStart"/>
      <w:r w:rsidRPr="006808C8">
        <w:rPr>
          <w:color w:val="auto"/>
        </w:rPr>
        <w:t>]apelin</w:t>
      </w:r>
      <w:proofErr w:type="gramEnd"/>
      <w:r w:rsidRPr="006808C8">
        <w:rPr>
          <w:color w:val="auto"/>
        </w:rPr>
        <w:t>-13 in cell based β-</w:t>
      </w:r>
      <w:proofErr w:type="spellStart"/>
      <w:r w:rsidRPr="006808C8">
        <w:rPr>
          <w:color w:val="auto"/>
        </w:rPr>
        <w:t>arrestin</w:t>
      </w:r>
      <w:proofErr w:type="spellEnd"/>
      <w:r w:rsidRPr="006808C8">
        <w:rPr>
          <w:color w:val="auto"/>
        </w:rPr>
        <w:t xml:space="preserve"> and </w:t>
      </w:r>
      <w:proofErr w:type="spellStart"/>
      <w:r w:rsidRPr="006808C8">
        <w:rPr>
          <w:color w:val="auto"/>
        </w:rPr>
        <w:t>cAMP</w:t>
      </w:r>
      <w:proofErr w:type="spellEnd"/>
      <w:r w:rsidRPr="006808C8">
        <w:rPr>
          <w:color w:val="auto"/>
        </w:rPr>
        <w:t xml:space="preserve"> assays.</w:t>
      </w:r>
      <w:r w:rsidRPr="006808C8">
        <w:rPr>
          <w:bCs/>
          <w:color w:val="auto"/>
        </w:rPr>
        <w:t xml:space="preserve"> EC</w:t>
      </w:r>
      <w:r w:rsidRPr="006808C8">
        <w:rPr>
          <w:bCs/>
          <w:color w:val="auto"/>
          <w:vertAlign w:val="subscript"/>
        </w:rPr>
        <w:t>50</w:t>
      </w:r>
      <w:r w:rsidRPr="006808C8">
        <w:rPr>
          <w:bCs/>
          <w:color w:val="auto"/>
        </w:rPr>
        <w:t>= the concentration of agonist producing 50% of the maximum response to that agonist; pD</w:t>
      </w:r>
      <w:r w:rsidRPr="006808C8">
        <w:rPr>
          <w:bCs/>
          <w:color w:val="auto"/>
          <w:vertAlign w:val="subscript"/>
        </w:rPr>
        <w:t>2</w:t>
      </w:r>
      <w:r w:rsidRPr="006808C8">
        <w:rPr>
          <w:bCs/>
          <w:color w:val="auto"/>
        </w:rPr>
        <w:t xml:space="preserve"> is the negative </w:t>
      </w:r>
      <w:proofErr w:type="gramStart"/>
      <w:r w:rsidRPr="006808C8">
        <w:rPr>
          <w:bCs/>
          <w:color w:val="auto"/>
        </w:rPr>
        <w:t>log</w:t>
      </w:r>
      <w:r w:rsidRPr="006808C8">
        <w:rPr>
          <w:bCs/>
          <w:color w:val="auto"/>
          <w:vertAlign w:val="subscript"/>
        </w:rPr>
        <w:t>10</w:t>
      </w:r>
      <w:r w:rsidRPr="006808C8">
        <w:rPr>
          <w:bCs/>
          <w:color w:val="auto"/>
        </w:rPr>
        <w:t xml:space="preserve">  of</w:t>
      </w:r>
      <w:proofErr w:type="gramEnd"/>
      <w:r w:rsidRPr="006808C8">
        <w:rPr>
          <w:bCs/>
          <w:color w:val="auto"/>
        </w:rPr>
        <w:t xml:space="preserve"> EC</w:t>
      </w:r>
      <w:r w:rsidRPr="006808C8">
        <w:rPr>
          <w:bCs/>
          <w:color w:val="auto"/>
          <w:vertAlign w:val="subscript"/>
        </w:rPr>
        <w:t>50</w:t>
      </w:r>
      <w:r w:rsidRPr="006808C8">
        <w:rPr>
          <w:bCs/>
          <w:color w:val="auto"/>
        </w:rPr>
        <w:t>.</w:t>
      </w:r>
    </w:p>
    <w:p w:rsidR="000936AC" w:rsidRPr="006808C8" w:rsidRDefault="000936AC" w:rsidP="000936AC">
      <w:pPr>
        <w:keepNext/>
        <w:spacing w:before="100" w:beforeAutospacing="1" w:after="100" w:afterAutospacing="1" w:line="480" w:lineRule="auto"/>
        <w:jc w:val="both"/>
        <w:rPr>
          <w:rFonts w:ascii="Arial" w:hAnsi="Arial" w:cs="Arial"/>
          <w:i/>
        </w:rPr>
      </w:pPr>
      <w:r w:rsidRPr="006808C8">
        <w:rPr>
          <w:rFonts w:ascii="Arial" w:hAnsi="Arial" w:cs="Arial"/>
          <w:bCs/>
          <w:noProof/>
        </w:rPr>
        <w:drawing>
          <wp:inline distT="0" distB="0" distL="0" distR="0" wp14:anchorId="683C2141" wp14:editId="65D4AE86">
            <wp:extent cx="5731510" cy="1660997"/>
            <wp:effectExtent l="0" t="0" r="0" b="0"/>
            <wp:docPr id="9" name="Picture 9" descr="V:\Davenport\Duuamene\Apelin in vivo Metabolism Manuscript\Testing\Figure 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V:\Davenport\Duuamene\Apelin in vivo Metabolism Manuscript\Testing\Figure 2.ti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31510" cy="1660997"/>
                    </a:xfrm>
                    <a:prstGeom prst="rect">
                      <a:avLst/>
                    </a:prstGeom>
                    <a:noFill/>
                    <a:ln>
                      <a:noFill/>
                    </a:ln>
                  </pic:spPr>
                </pic:pic>
              </a:graphicData>
            </a:graphic>
          </wp:inline>
        </w:drawing>
      </w:r>
    </w:p>
    <w:p w:rsidR="000936AC" w:rsidRPr="006808C8" w:rsidRDefault="000936AC" w:rsidP="000936AC">
      <w:pPr>
        <w:pStyle w:val="Default"/>
        <w:spacing w:line="480" w:lineRule="auto"/>
        <w:jc w:val="both"/>
        <w:rPr>
          <w:color w:val="auto"/>
        </w:rPr>
      </w:pPr>
      <w:r w:rsidRPr="006808C8">
        <w:rPr>
          <w:bCs/>
          <w:color w:val="auto"/>
        </w:rPr>
        <w:t xml:space="preserve">Supplementary Figure 3. The </w:t>
      </w:r>
      <w:r w:rsidRPr="006808C8">
        <w:rPr>
          <w:bCs/>
          <w:i/>
          <w:color w:val="auto"/>
        </w:rPr>
        <w:t>in vivo</w:t>
      </w:r>
      <w:r w:rsidRPr="006808C8">
        <w:rPr>
          <w:bCs/>
          <w:color w:val="auto"/>
        </w:rPr>
        <w:t xml:space="preserve"> pharmacology of </w:t>
      </w:r>
      <w:r w:rsidRPr="006808C8">
        <w:rPr>
          <w:color w:val="auto"/>
        </w:rPr>
        <w:t>[Pyr</w:t>
      </w:r>
      <w:r w:rsidRPr="006808C8">
        <w:rPr>
          <w:color w:val="auto"/>
          <w:vertAlign w:val="superscript"/>
        </w:rPr>
        <w:t>1</w:t>
      </w:r>
      <w:proofErr w:type="gramStart"/>
      <w:r w:rsidRPr="006808C8">
        <w:rPr>
          <w:color w:val="auto"/>
        </w:rPr>
        <w:t>]apelin</w:t>
      </w:r>
      <w:proofErr w:type="gramEnd"/>
      <w:r w:rsidRPr="006808C8">
        <w:rPr>
          <w:color w:val="auto"/>
        </w:rPr>
        <w:t>-13 in anaesthetised rats. A, effect on systolic pressure; B, effect on cardiac output (CO); C, effect on heart rate (HR). Saline treated n = 8; [Pyr</w:t>
      </w:r>
      <w:r w:rsidRPr="006808C8">
        <w:rPr>
          <w:color w:val="auto"/>
          <w:vertAlign w:val="superscript"/>
        </w:rPr>
        <w:t>1</w:t>
      </w:r>
      <w:proofErr w:type="gramStart"/>
      <w:r w:rsidRPr="006808C8">
        <w:rPr>
          <w:color w:val="auto"/>
        </w:rPr>
        <w:t>]apelin</w:t>
      </w:r>
      <w:proofErr w:type="gramEnd"/>
      <w:r w:rsidRPr="006808C8">
        <w:rPr>
          <w:color w:val="auto"/>
        </w:rPr>
        <w:t>-13 treated n = 21, bpm = beats per minute.</w:t>
      </w:r>
    </w:p>
    <w:p w:rsidR="000936AC" w:rsidRPr="006808C8" w:rsidRDefault="000936AC" w:rsidP="000936AC">
      <w:pPr>
        <w:keepNext/>
        <w:spacing w:before="100" w:beforeAutospacing="1" w:after="100" w:afterAutospacing="1" w:line="480" w:lineRule="auto"/>
        <w:jc w:val="both"/>
        <w:rPr>
          <w:rFonts w:ascii="Arial" w:hAnsi="Arial" w:cs="Arial"/>
          <w:i/>
        </w:rPr>
      </w:pPr>
      <w:r w:rsidRPr="006808C8">
        <w:rPr>
          <w:rFonts w:ascii="Arial" w:hAnsi="Arial" w:cs="Arial"/>
          <w:i/>
        </w:rPr>
        <w:lastRenderedPageBreak/>
        <w:t>Extraction method validation</w:t>
      </w:r>
    </w:p>
    <w:p w:rsidR="000936AC" w:rsidRPr="006808C8" w:rsidRDefault="00FF276D" w:rsidP="00FF276D">
      <w:pPr>
        <w:keepNext/>
        <w:spacing w:before="100" w:beforeAutospacing="1" w:after="100" w:afterAutospacing="1" w:line="480" w:lineRule="auto"/>
        <w:jc w:val="both"/>
        <w:rPr>
          <w:rFonts w:ascii="Arial" w:hAnsi="Arial" w:cs="Arial"/>
        </w:rPr>
      </w:pPr>
      <w:r>
        <w:rPr>
          <w:rFonts w:ascii="Arial" w:hAnsi="Arial" w:cs="Arial"/>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6.2pt;margin-top:336.7pt;width:373.8pt;height:221.25pt;z-index:251658240">
            <v:imagedata r:id="rId7" o:title=""/>
          </v:shape>
          <o:OLEObject Type="Embed" ProgID="Prism6.Document" ShapeID="_x0000_s1026" DrawAspect="Content" ObjectID="_1634370465" r:id="rId8"/>
        </w:object>
      </w:r>
      <w:r w:rsidR="000936AC" w:rsidRPr="006808C8">
        <w:rPr>
          <w:rFonts w:ascii="Arial" w:hAnsi="Arial" w:cs="Arial"/>
        </w:rPr>
        <w:t>The method for extracting apelin peptides from plasma was carefully evaluated by spiking [Pyr</w:t>
      </w:r>
      <w:r w:rsidR="000936AC" w:rsidRPr="006808C8">
        <w:rPr>
          <w:rFonts w:ascii="Arial" w:hAnsi="Arial" w:cs="Arial"/>
          <w:vertAlign w:val="superscript"/>
        </w:rPr>
        <w:t>1</w:t>
      </w:r>
      <w:proofErr w:type="gramStart"/>
      <w:r w:rsidR="000936AC" w:rsidRPr="006808C8">
        <w:rPr>
          <w:rFonts w:ascii="Arial" w:hAnsi="Arial" w:cs="Arial"/>
        </w:rPr>
        <w:t>]apelin</w:t>
      </w:r>
      <w:proofErr w:type="gramEnd"/>
      <w:r w:rsidR="000936AC" w:rsidRPr="006808C8">
        <w:rPr>
          <w:rFonts w:ascii="Arial" w:hAnsi="Arial" w:cs="Arial"/>
        </w:rPr>
        <w:t xml:space="preserve">-13 into plasma and monitoring its recovery using different extraction methods. We found that 80% ACN in water (% v/v), 75% ACN in 0.1% FA (% v/v), 75% ACN in 0.1% FA (% v/v) followed by SPE, 80% ACN in water or in 0.1% FA (v/v) plus </w:t>
      </w:r>
      <w:proofErr w:type="spellStart"/>
      <w:r w:rsidR="000936AC" w:rsidRPr="006808C8">
        <w:rPr>
          <w:rFonts w:ascii="Arial" w:hAnsi="Arial" w:cs="Arial"/>
        </w:rPr>
        <w:t>GuHCl</w:t>
      </w:r>
      <w:proofErr w:type="spellEnd"/>
      <w:r w:rsidR="000936AC" w:rsidRPr="006808C8">
        <w:rPr>
          <w:rFonts w:ascii="Arial" w:hAnsi="Arial" w:cs="Arial"/>
        </w:rPr>
        <w:t xml:space="preserve"> gave 82.0%, 99.5%, 97.7%, 95.0% and 82.0% recovery respectively (supplementary figure 4). The 80% ACN in water plus </w:t>
      </w:r>
      <w:proofErr w:type="spellStart"/>
      <w:r w:rsidR="000936AC" w:rsidRPr="006808C8">
        <w:rPr>
          <w:rFonts w:ascii="Arial" w:hAnsi="Arial" w:cs="Arial"/>
        </w:rPr>
        <w:t>GuHCl</w:t>
      </w:r>
      <w:proofErr w:type="spellEnd"/>
      <w:r w:rsidR="000936AC" w:rsidRPr="006808C8">
        <w:rPr>
          <w:rFonts w:ascii="Arial" w:hAnsi="Arial" w:cs="Arial"/>
        </w:rPr>
        <w:t xml:space="preserve"> followed by SPE resulted in slight lower recovery than the 75% ACN with 0.1% FA, however this condition was chosen for further work for two reasons. The addition of an SPE step results in cleaner extracts prior to LC-MS/MS analysis, and the addition of the </w:t>
      </w:r>
      <w:proofErr w:type="spellStart"/>
      <w:r w:rsidR="000936AC" w:rsidRPr="006808C8">
        <w:rPr>
          <w:rFonts w:ascii="Arial" w:hAnsi="Arial" w:cs="Arial"/>
        </w:rPr>
        <w:t>GuHCl</w:t>
      </w:r>
      <w:proofErr w:type="spellEnd"/>
      <w:r w:rsidR="000936AC" w:rsidRPr="006808C8">
        <w:rPr>
          <w:rFonts w:ascii="Arial" w:hAnsi="Arial" w:cs="Arial"/>
        </w:rPr>
        <w:t xml:space="preserve"> (a potent </w:t>
      </w:r>
      <w:proofErr w:type="spellStart"/>
      <w:r w:rsidR="000936AC" w:rsidRPr="006808C8">
        <w:rPr>
          <w:rFonts w:ascii="Arial" w:hAnsi="Arial" w:cs="Arial"/>
        </w:rPr>
        <w:t>chaotrope</w:t>
      </w:r>
      <w:proofErr w:type="spellEnd"/>
      <w:r w:rsidR="000936AC" w:rsidRPr="006808C8">
        <w:rPr>
          <w:rFonts w:ascii="Arial" w:hAnsi="Arial" w:cs="Arial"/>
        </w:rPr>
        <w:t>) will disrupt peptides and potential metabolites from binding to albumin and other proteins in plasma, increasing their recovery during the precipitation phase.</w:t>
      </w:r>
    </w:p>
    <w:p w:rsidR="000936AC" w:rsidRPr="006808C8" w:rsidRDefault="000936AC" w:rsidP="000936AC">
      <w:pPr>
        <w:widowControl w:val="0"/>
        <w:spacing w:before="100" w:beforeAutospacing="1" w:after="100" w:afterAutospacing="1" w:line="480" w:lineRule="auto"/>
        <w:jc w:val="both"/>
        <w:rPr>
          <w:rFonts w:ascii="Arial" w:hAnsi="Arial" w:cs="Arial"/>
        </w:rPr>
      </w:pPr>
    </w:p>
    <w:p w:rsidR="000936AC" w:rsidRPr="006808C8" w:rsidRDefault="000936AC" w:rsidP="000936AC">
      <w:pPr>
        <w:widowControl w:val="0"/>
        <w:spacing w:before="100" w:beforeAutospacing="1" w:after="100" w:afterAutospacing="1" w:line="480" w:lineRule="auto"/>
        <w:jc w:val="both"/>
        <w:rPr>
          <w:rFonts w:ascii="Arial" w:hAnsi="Arial" w:cs="Arial"/>
        </w:rPr>
      </w:pPr>
    </w:p>
    <w:p w:rsidR="000936AC" w:rsidRPr="006808C8" w:rsidRDefault="000936AC" w:rsidP="000936AC">
      <w:pPr>
        <w:keepNext/>
        <w:spacing w:before="100" w:beforeAutospacing="1" w:after="100" w:afterAutospacing="1" w:line="480" w:lineRule="auto"/>
        <w:jc w:val="both"/>
        <w:rPr>
          <w:rFonts w:ascii="Arial" w:hAnsi="Arial" w:cs="Arial"/>
        </w:rPr>
      </w:pPr>
    </w:p>
    <w:p w:rsidR="006841C2" w:rsidRDefault="006841C2" w:rsidP="000936AC">
      <w:pPr>
        <w:spacing w:before="100" w:beforeAutospacing="1" w:after="100" w:afterAutospacing="1" w:line="480" w:lineRule="auto"/>
        <w:jc w:val="both"/>
        <w:rPr>
          <w:rFonts w:ascii="Arial" w:hAnsi="Arial" w:cs="Arial"/>
        </w:rPr>
      </w:pPr>
    </w:p>
    <w:p w:rsidR="006841C2" w:rsidRDefault="006841C2" w:rsidP="000936AC">
      <w:pPr>
        <w:spacing w:before="100" w:beforeAutospacing="1" w:after="100" w:afterAutospacing="1" w:line="480" w:lineRule="auto"/>
        <w:jc w:val="both"/>
        <w:rPr>
          <w:rFonts w:ascii="Arial" w:hAnsi="Arial" w:cs="Arial"/>
        </w:rPr>
      </w:pPr>
    </w:p>
    <w:p w:rsidR="000936AC" w:rsidRPr="006808C8" w:rsidRDefault="000936AC" w:rsidP="000936AC">
      <w:pPr>
        <w:spacing w:before="100" w:beforeAutospacing="1" w:after="100" w:afterAutospacing="1" w:line="480" w:lineRule="auto"/>
        <w:jc w:val="both"/>
        <w:rPr>
          <w:rFonts w:ascii="Arial" w:eastAsiaTheme="minorHAnsi" w:hAnsi="Arial" w:cs="Arial"/>
          <w:lang w:eastAsia="en-US"/>
        </w:rPr>
        <w:sectPr w:rsidR="000936AC" w:rsidRPr="006808C8" w:rsidSect="001A75C1">
          <w:pgSz w:w="11906" w:h="16838"/>
          <w:pgMar w:top="1440" w:right="1440" w:bottom="1440" w:left="1440" w:header="709" w:footer="709" w:gutter="0"/>
          <w:cols w:space="708"/>
          <w:titlePg/>
          <w:docGrid w:linePitch="360"/>
        </w:sectPr>
      </w:pPr>
      <w:bookmarkStart w:id="0" w:name="_GoBack"/>
      <w:bookmarkEnd w:id="0"/>
      <w:r w:rsidRPr="006808C8">
        <w:rPr>
          <w:rFonts w:ascii="Arial" w:hAnsi="Arial" w:cs="Arial"/>
        </w:rPr>
        <w:t>Supplementary Figure 4: Recovery of [Pyr</w:t>
      </w:r>
      <w:r w:rsidRPr="006808C8">
        <w:rPr>
          <w:rFonts w:ascii="Arial" w:hAnsi="Arial" w:cs="Arial"/>
          <w:vertAlign w:val="superscript"/>
        </w:rPr>
        <w:t>1</w:t>
      </w:r>
      <w:proofErr w:type="gramStart"/>
      <w:r w:rsidRPr="006808C8">
        <w:rPr>
          <w:rFonts w:ascii="Arial" w:hAnsi="Arial" w:cs="Arial"/>
        </w:rPr>
        <w:t>]apelin</w:t>
      </w:r>
      <w:proofErr w:type="gramEnd"/>
      <w:r w:rsidRPr="006808C8">
        <w:rPr>
          <w:rFonts w:ascii="Arial" w:hAnsi="Arial" w:cs="Arial"/>
        </w:rPr>
        <w:t xml:space="preserve">-13 from plasma using different extraction methods. Protein precipitation with 80% ACN in water in the presence of half-volume </w:t>
      </w:r>
      <w:proofErr w:type="spellStart"/>
      <w:r w:rsidRPr="006808C8">
        <w:rPr>
          <w:rFonts w:ascii="Arial" w:hAnsi="Arial" w:cs="Arial"/>
        </w:rPr>
        <w:t>GuHCl</w:t>
      </w:r>
      <w:proofErr w:type="spellEnd"/>
      <w:r w:rsidRPr="006808C8">
        <w:rPr>
          <w:rFonts w:ascii="Arial" w:hAnsi="Arial" w:cs="Arial"/>
        </w:rPr>
        <w:t xml:space="preserve"> (6M) followed by solid phase extraction was used for subsequent experiments.</w:t>
      </w:r>
      <w:r w:rsidRPr="006808C8">
        <w:br w:type="page"/>
      </w:r>
    </w:p>
    <w:p w:rsidR="000936AC" w:rsidRPr="006808C8" w:rsidRDefault="000936AC" w:rsidP="000936AC">
      <w:pPr>
        <w:pStyle w:val="Default"/>
        <w:spacing w:line="480" w:lineRule="auto"/>
        <w:jc w:val="both"/>
        <w:rPr>
          <w:bCs/>
          <w:color w:val="auto"/>
        </w:rPr>
      </w:pPr>
      <w:r w:rsidRPr="006808C8">
        <w:rPr>
          <w:noProof/>
          <w:color w:val="auto"/>
          <w:lang w:eastAsia="en-GB"/>
        </w:rPr>
        <w:lastRenderedPageBreak/>
        <w:drawing>
          <wp:anchor distT="0" distB="0" distL="114300" distR="114300" simplePos="0" relativeHeight="251660288" behindDoc="0" locked="0" layoutInCell="1" allowOverlap="1" wp14:anchorId="2B384ACF" wp14:editId="299AB1E8">
            <wp:simplePos x="0" y="0"/>
            <wp:positionH relativeFrom="margin">
              <wp:align>center</wp:align>
            </wp:positionH>
            <wp:positionV relativeFrom="paragraph">
              <wp:posOffset>0</wp:posOffset>
            </wp:positionV>
            <wp:extent cx="9334500" cy="4634230"/>
            <wp:effectExtent l="0" t="0" r="0" b="0"/>
            <wp:wrapTopAndBottom/>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Supplementary Figure 4.tif"/>
                    <pic:cNvPicPr/>
                  </pic:nvPicPr>
                  <pic:blipFill>
                    <a:blip r:embed="rId9">
                      <a:extLst>
                        <a:ext uri="{28A0092B-C50C-407E-A947-70E740481C1C}">
                          <a14:useLocalDpi xmlns:a14="http://schemas.microsoft.com/office/drawing/2010/main" val="0"/>
                        </a:ext>
                      </a:extLst>
                    </a:blip>
                    <a:stretch>
                      <a:fillRect/>
                    </a:stretch>
                  </pic:blipFill>
                  <pic:spPr>
                    <a:xfrm>
                      <a:off x="0" y="0"/>
                      <a:ext cx="9334500" cy="4634230"/>
                    </a:xfrm>
                    <a:prstGeom prst="rect">
                      <a:avLst/>
                    </a:prstGeom>
                  </pic:spPr>
                </pic:pic>
              </a:graphicData>
            </a:graphic>
          </wp:anchor>
        </w:drawing>
      </w:r>
    </w:p>
    <w:p w:rsidR="000936AC" w:rsidRPr="006808C8" w:rsidRDefault="000936AC" w:rsidP="000936AC">
      <w:pPr>
        <w:spacing w:line="480" w:lineRule="auto"/>
        <w:jc w:val="both"/>
        <w:rPr>
          <w:rFonts w:ascii="Arial" w:hAnsi="Arial" w:cs="Arial"/>
        </w:rPr>
      </w:pPr>
      <w:r w:rsidRPr="006808C8">
        <w:rPr>
          <w:rFonts w:ascii="Arial" w:hAnsi="Arial" w:cs="Arial"/>
        </w:rPr>
        <w:t>Supplementary Figure 1. Representative chromatograph obtained from the six donor controls that were not infused with [Pyr</w:t>
      </w:r>
      <w:r w:rsidRPr="006808C8">
        <w:rPr>
          <w:rFonts w:ascii="Arial" w:hAnsi="Arial" w:cs="Arial"/>
          <w:vertAlign w:val="superscript"/>
        </w:rPr>
        <w:t>1</w:t>
      </w:r>
      <w:proofErr w:type="gramStart"/>
      <w:r w:rsidRPr="006808C8">
        <w:rPr>
          <w:rFonts w:ascii="Arial" w:hAnsi="Arial" w:cs="Arial"/>
        </w:rPr>
        <w:t>]apelin</w:t>
      </w:r>
      <w:proofErr w:type="gramEnd"/>
      <w:r w:rsidRPr="006808C8">
        <w:rPr>
          <w:rFonts w:ascii="Arial" w:hAnsi="Arial" w:cs="Arial"/>
        </w:rPr>
        <w:t>-13. STD1, standard 1 (1ng/ml [Pyr</w:t>
      </w:r>
      <w:r w:rsidRPr="006808C8">
        <w:rPr>
          <w:rFonts w:ascii="Arial" w:hAnsi="Arial" w:cs="Arial"/>
          <w:vertAlign w:val="superscript"/>
        </w:rPr>
        <w:t>1</w:t>
      </w:r>
      <w:proofErr w:type="gramStart"/>
      <w:r w:rsidRPr="006808C8">
        <w:rPr>
          <w:rFonts w:ascii="Arial" w:hAnsi="Arial" w:cs="Arial"/>
        </w:rPr>
        <w:t>]apelin</w:t>
      </w:r>
      <w:proofErr w:type="gramEnd"/>
      <w:r w:rsidRPr="006808C8">
        <w:rPr>
          <w:rFonts w:ascii="Arial" w:hAnsi="Arial" w:cs="Arial"/>
        </w:rPr>
        <w:t>-13); D1-6, donors 1-6.</w:t>
      </w:r>
      <w:r w:rsidRPr="006808C8">
        <w:rPr>
          <w:rFonts w:ascii="Arial" w:hAnsi="Arial" w:cs="Arial"/>
        </w:rPr>
        <w:br w:type="page"/>
      </w:r>
    </w:p>
    <w:p w:rsidR="000936AC" w:rsidRPr="006808C8" w:rsidRDefault="000936AC" w:rsidP="000936AC">
      <w:pPr>
        <w:spacing w:before="0" w:after="160" w:line="259" w:lineRule="auto"/>
        <w:rPr>
          <w:rFonts w:ascii="Arial" w:hAnsi="Arial" w:cs="Arial"/>
        </w:rPr>
        <w:sectPr w:rsidR="000936AC" w:rsidRPr="006808C8" w:rsidSect="00F92813">
          <w:pgSz w:w="16838" w:h="11906" w:orient="landscape"/>
          <w:pgMar w:top="1440" w:right="1440" w:bottom="1440" w:left="1440" w:header="709" w:footer="709" w:gutter="0"/>
          <w:cols w:space="708"/>
          <w:titlePg/>
          <w:docGrid w:linePitch="360"/>
        </w:sectPr>
      </w:pPr>
    </w:p>
    <w:p w:rsidR="000936AC" w:rsidRPr="006808C8" w:rsidRDefault="000936AC" w:rsidP="000936AC">
      <w:pPr>
        <w:spacing w:line="480" w:lineRule="auto"/>
        <w:jc w:val="both"/>
        <w:rPr>
          <w:rFonts w:ascii="Arial" w:hAnsi="Arial" w:cs="Arial"/>
          <w:bCs/>
        </w:rPr>
      </w:pPr>
      <w:r w:rsidRPr="006808C8">
        <w:rPr>
          <w:rFonts w:ascii="Arial" w:hAnsi="Arial" w:cs="Arial"/>
        </w:rPr>
        <w:lastRenderedPageBreak/>
        <w:t>Supplementary table 1. List of theoretical m/z values of Apelin 13 metabolites with charge states up to 4+.</w:t>
      </w:r>
    </w:p>
    <w:p w:rsidR="000936AC" w:rsidRPr="006808C8" w:rsidRDefault="000936AC" w:rsidP="000936AC">
      <w:pPr>
        <w:spacing w:after="0" w:line="480" w:lineRule="auto"/>
        <w:jc w:val="both"/>
        <w:rPr>
          <w:rFonts w:ascii="Arial" w:hAnsi="Arial" w:cs="Arial"/>
        </w:rPr>
      </w:pPr>
      <w:r w:rsidRPr="006808C8">
        <w:rPr>
          <w:noProof/>
        </w:rPr>
        <w:drawing>
          <wp:inline distT="0" distB="0" distL="0" distR="0" wp14:anchorId="2EA7C86E" wp14:editId="75C0F1CF">
            <wp:extent cx="5731510" cy="1771985"/>
            <wp:effectExtent l="0" t="0" r="254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31510" cy="1771985"/>
                    </a:xfrm>
                    <a:prstGeom prst="rect">
                      <a:avLst/>
                    </a:prstGeom>
                    <a:noFill/>
                    <a:ln>
                      <a:noFill/>
                    </a:ln>
                  </pic:spPr>
                </pic:pic>
              </a:graphicData>
            </a:graphic>
          </wp:inline>
        </w:drawing>
      </w:r>
    </w:p>
    <w:p w:rsidR="000936AC" w:rsidRPr="006808C8" w:rsidRDefault="000936AC" w:rsidP="000936AC">
      <w:pPr>
        <w:spacing w:after="0" w:line="480" w:lineRule="auto"/>
        <w:jc w:val="both"/>
        <w:rPr>
          <w:rFonts w:ascii="Arial" w:hAnsi="Arial" w:cs="Arial"/>
        </w:rPr>
      </w:pPr>
      <w:r w:rsidRPr="006808C8">
        <w:rPr>
          <w:rFonts w:ascii="Arial" w:hAnsi="Arial" w:cs="Arial"/>
        </w:rPr>
        <w:t>Where more than one precursor ion was identified, the abundance of the two ions were assessed and compared. Retention times of identified peptides were included.</w:t>
      </w:r>
    </w:p>
    <w:p w:rsidR="000936AC" w:rsidRPr="006808C8" w:rsidRDefault="000936AC" w:rsidP="000936AC">
      <w:pPr>
        <w:pStyle w:val="Default"/>
        <w:spacing w:line="480" w:lineRule="auto"/>
        <w:jc w:val="both"/>
        <w:rPr>
          <w:bCs/>
          <w:color w:val="auto"/>
        </w:rPr>
      </w:pPr>
    </w:p>
    <w:p w:rsidR="00E16F7C" w:rsidRDefault="006841C2">
      <w:pPr>
        <w:rPr>
          <w:rFonts w:ascii="Arial" w:hAnsi="Arial" w:cs="Arial"/>
        </w:rPr>
      </w:pPr>
      <w:r>
        <w:rPr>
          <w:rFonts w:ascii="Arial" w:hAnsi="Arial" w:cs="Arial"/>
          <w:b/>
        </w:rPr>
        <w:t>References</w:t>
      </w:r>
    </w:p>
    <w:p w:rsidR="00FF276D" w:rsidRPr="00FF276D" w:rsidRDefault="006841C2" w:rsidP="00FF276D">
      <w:pPr>
        <w:widowControl w:val="0"/>
        <w:autoSpaceDE w:val="0"/>
        <w:autoSpaceDN w:val="0"/>
        <w:adjustRightInd w:val="0"/>
        <w:ind w:left="640" w:hanging="640"/>
        <w:rPr>
          <w:rFonts w:ascii="Calibri" w:hAnsi="Calibri"/>
          <w:noProof/>
        </w:rPr>
      </w:pPr>
      <w:r>
        <w:fldChar w:fldCharType="begin" w:fldLock="1"/>
      </w:r>
      <w:r>
        <w:instrText xml:space="preserve">ADDIN Mendeley Bibliography CSL_BIBLIOGRAPHY </w:instrText>
      </w:r>
      <w:r>
        <w:fldChar w:fldCharType="separate"/>
      </w:r>
      <w:r w:rsidR="00FF276D" w:rsidRPr="00FF276D">
        <w:rPr>
          <w:rFonts w:ascii="Calibri" w:hAnsi="Calibri"/>
          <w:noProof/>
        </w:rPr>
        <w:t>1.</w:t>
      </w:r>
      <w:r w:rsidR="00FF276D" w:rsidRPr="00FF276D">
        <w:rPr>
          <w:rFonts w:ascii="Calibri" w:hAnsi="Calibri"/>
          <w:noProof/>
        </w:rPr>
        <w:tab/>
        <w:t xml:space="preserve">Read, C. </w:t>
      </w:r>
      <w:r w:rsidR="00FF276D" w:rsidRPr="00FF276D">
        <w:rPr>
          <w:rFonts w:ascii="Calibri" w:hAnsi="Calibri"/>
          <w:i/>
          <w:iCs/>
          <w:noProof/>
        </w:rPr>
        <w:t>et al.</w:t>
      </w:r>
      <w:r w:rsidR="00FF276D" w:rsidRPr="00FF276D">
        <w:rPr>
          <w:rFonts w:ascii="Calibri" w:hAnsi="Calibri"/>
          <w:noProof/>
        </w:rPr>
        <w:t xml:space="preserve"> Cardiac action of the first G protein biased small molecule apelin agonist. </w:t>
      </w:r>
      <w:r w:rsidR="00FF276D" w:rsidRPr="00FF276D">
        <w:rPr>
          <w:rFonts w:ascii="Calibri" w:hAnsi="Calibri"/>
          <w:i/>
          <w:iCs/>
          <w:noProof/>
        </w:rPr>
        <w:t>Biochem. Pharmacol.</w:t>
      </w:r>
      <w:r w:rsidR="00FF276D" w:rsidRPr="00FF276D">
        <w:rPr>
          <w:rFonts w:ascii="Calibri" w:hAnsi="Calibri"/>
          <w:noProof/>
        </w:rPr>
        <w:t xml:space="preserve"> </w:t>
      </w:r>
      <w:r w:rsidR="00FF276D" w:rsidRPr="00FF276D">
        <w:rPr>
          <w:rFonts w:ascii="Calibri" w:hAnsi="Calibri"/>
          <w:b/>
          <w:bCs/>
          <w:noProof/>
        </w:rPr>
        <w:t>116</w:t>
      </w:r>
      <w:r w:rsidR="00FF276D" w:rsidRPr="00FF276D">
        <w:rPr>
          <w:rFonts w:ascii="Calibri" w:hAnsi="Calibri"/>
          <w:noProof/>
        </w:rPr>
        <w:t>, 63–72 (2016).</w:t>
      </w:r>
    </w:p>
    <w:p w:rsidR="00FF276D" w:rsidRPr="00FF276D" w:rsidRDefault="00FF276D" w:rsidP="00FF276D">
      <w:pPr>
        <w:widowControl w:val="0"/>
        <w:autoSpaceDE w:val="0"/>
        <w:autoSpaceDN w:val="0"/>
        <w:adjustRightInd w:val="0"/>
        <w:ind w:left="640" w:hanging="640"/>
        <w:rPr>
          <w:rFonts w:ascii="Calibri" w:hAnsi="Calibri"/>
          <w:noProof/>
        </w:rPr>
      </w:pPr>
      <w:r w:rsidRPr="00FF276D">
        <w:rPr>
          <w:rFonts w:ascii="Calibri" w:hAnsi="Calibri"/>
          <w:noProof/>
        </w:rPr>
        <w:t>2.</w:t>
      </w:r>
      <w:r w:rsidRPr="00FF276D">
        <w:rPr>
          <w:rFonts w:ascii="Calibri" w:hAnsi="Calibri"/>
          <w:noProof/>
        </w:rPr>
        <w:tab/>
        <w:t xml:space="preserve">Yang, P. </w:t>
      </w:r>
      <w:r w:rsidRPr="00FF276D">
        <w:rPr>
          <w:rFonts w:ascii="Calibri" w:hAnsi="Calibri"/>
          <w:i/>
          <w:iCs/>
          <w:noProof/>
        </w:rPr>
        <w:t>et al.</w:t>
      </w:r>
      <w:r w:rsidRPr="00FF276D">
        <w:rPr>
          <w:rFonts w:ascii="Calibri" w:hAnsi="Calibri"/>
          <w:noProof/>
        </w:rPr>
        <w:t xml:space="preserve"> Elabela/Toddler Is an Endogenous Agonist of the Apelin APJ Receptor in the Adult Cardiovascular System, and Exogenous Administration of the Peptide Compensates for the Downregulation of Its Expression in Pulmonary Arterial Hypertension. </w:t>
      </w:r>
      <w:r w:rsidRPr="00FF276D">
        <w:rPr>
          <w:rFonts w:ascii="Calibri" w:hAnsi="Calibri"/>
          <w:i/>
          <w:iCs/>
          <w:noProof/>
        </w:rPr>
        <w:t>Circulation</w:t>
      </w:r>
      <w:r w:rsidRPr="00FF276D">
        <w:rPr>
          <w:rFonts w:ascii="Calibri" w:hAnsi="Calibri"/>
          <w:noProof/>
        </w:rPr>
        <w:t xml:space="preserve"> </w:t>
      </w:r>
      <w:r w:rsidRPr="00FF276D">
        <w:rPr>
          <w:rFonts w:ascii="Calibri" w:hAnsi="Calibri"/>
          <w:b/>
          <w:bCs/>
          <w:noProof/>
        </w:rPr>
        <w:t>135</w:t>
      </w:r>
      <w:r w:rsidRPr="00FF276D">
        <w:rPr>
          <w:rFonts w:ascii="Calibri" w:hAnsi="Calibri"/>
          <w:noProof/>
        </w:rPr>
        <w:t>, 1160–1173 (2017).</w:t>
      </w:r>
    </w:p>
    <w:p w:rsidR="00FF276D" w:rsidRPr="00FF276D" w:rsidRDefault="00FF276D" w:rsidP="00FF276D">
      <w:pPr>
        <w:widowControl w:val="0"/>
        <w:autoSpaceDE w:val="0"/>
        <w:autoSpaceDN w:val="0"/>
        <w:adjustRightInd w:val="0"/>
        <w:ind w:left="640" w:hanging="640"/>
        <w:rPr>
          <w:rFonts w:ascii="Calibri" w:hAnsi="Calibri"/>
          <w:noProof/>
        </w:rPr>
      </w:pPr>
      <w:r w:rsidRPr="00FF276D">
        <w:rPr>
          <w:rFonts w:ascii="Calibri" w:hAnsi="Calibri"/>
          <w:noProof/>
        </w:rPr>
        <w:t>3.</w:t>
      </w:r>
      <w:r w:rsidRPr="00FF276D">
        <w:rPr>
          <w:rFonts w:ascii="Calibri" w:hAnsi="Calibri"/>
          <w:noProof/>
        </w:rPr>
        <w:tab/>
        <w:t xml:space="preserve">Yang, P. </w:t>
      </w:r>
      <w:r w:rsidRPr="00FF276D">
        <w:rPr>
          <w:rFonts w:ascii="Calibri" w:hAnsi="Calibri"/>
          <w:i/>
          <w:iCs/>
          <w:noProof/>
        </w:rPr>
        <w:t>et al.</w:t>
      </w:r>
      <w:r w:rsidRPr="00FF276D">
        <w:rPr>
          <w:rFonts w:ascii="Calibri" w:hAnsi="Calibri"/>
          <w:noProof/>
        </w:rPr>
        <w:t xml:space="preserve"> A novel cyclic biased agonist of the apelin receptor, MM07, is disease modifying in the rat monocrotaline model of pulmonary arterial hypertension. </w:t>
      </w:r>
      <w:r w:rsidRPr="00FF276D">
        <w:rPr>
          <w:rFonts w:ascii="Calibri" w:hAnsi="Calibri"/>
          <w:i/>
          <w:iCs/>
          <w:noProof/>
        </w:rPr>
        <w:t>Br. J. Pharmacol.</w:t>
      </w:r>
      <w:r w:rsidRPr="00FF276D">
        <w:rPr>
          <w:rFonts w:ascii="Calibri" w:hAnsi="Calibri"/>
          <w:noProof/>
        </w:rPr>
        <w:t xml:space="preserve"> </w:t>
      </w:r>
      <w:r w:rsidRPr="00FF276D">
        <w:rPr>
          <w:rFonts w:ascii="Calibri" w:hAnsi="Calibri"/>
          <w:b/>
          <w:bCs/>
          <w:noProof/>
        </w:rPr>
        <w:t>176</w:t>
      </w:r>
      <w:r w:rsidRPr="00FF276D">
        <w:rPr>
          <w:rFonts w:ascii="Calibri" w:hAnsi="Calibri"/>
          <w:noProof/>
        </w:rPr>
        <w:t>, 1206–1221 (2019).</w:t>
      </w:r>
    </w:p>
    <w:p w:rsidR="006841C2" w:rsidRPr="006841C2" w:rsidRDefault="006841C2">
      <w:r>
        <w:fldChar w:fldCharType="end"/>
      </w:r>
    </w:p>
    <w:sectPr w:rsidR="006841C2" w:rsidRPr="006841C2" w:rsidSect="00F92813">
      <w:pgSz w:w="11906" w:h="16838"/>
      <w:pgMar w:top="1440" w:right="1440" w:bottom="1440" w:left="1440"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6AC"/>
    <w:rsid w:val="000936AC"/>
    <w:rsid w:val="006841C2"/>
    <w:rsid w:val="007B0326"/>
    <w:rsid w:val="008B5E45"/>
    <w:rsid w:val="00FF27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47CD115"/>
  <w15:chartTrackingRefBased/>
  <w15:docId w15:val="{5575C57A-7F0B-4D94-97C1-57FBFBBAB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36AC"/>
    <w:pPr>
      <w:spacing w:before="120" w:after="120" w:line="360" w:lineRule="auto"/>
    </w:pPr>
    <w:rPr>
      <w:rFonts w:eastAsia="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936AC"/>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0936A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tiff"/><Relationship Id="rId11" Type="http://schemas.openxmlformats.org/officeDocument/2006/relationships/fontTable" Target="fontTable.xml"/><Relationship Id="rId5" Type="http://schemas.openxmlformats.org/officeDocument/2006/relationships/image" Target="media/image1.tiff"/><Relationship Id="rId10"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image" Target="media/image4.t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CDB8F-F4E1-442D-9FE0-56380D90E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3740</Words>
  <Characters>21322</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Clinical School Computing Service</Company>
  <LinksUpToDate>false</LinksUpToDate>
  <CharactersWithSpaces>25012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Duuamene Nyimanu</dc:creator>
  <cp:keywords/>
  <dc:description/>
  <cp:lastModifiedBy>Duuamene Nyimanu</cp:lastModifiedBy>
  <cp:revision>3</cp:revision>
  <dcterms:created xsi:type="dcterms:W3CDTF">2019-11-01T13:55:00Z</dcterms:created>
  <dcterms:modified xsi:type="dcterms:W3CDTF">2019-11-04T11:01:00Z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5a4db867-9a1c-36c0-994e-d1fe23aa6940</vt:lpwstr>
  </property>
  <property fmtid="{D5CDD505-2E9C-101B-9397-08002B2CF9AE}" pid="4" name="Mendeley Citation Style_1">
    <vt:lpwstr>http://www.zotero.org/styles/nature</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6th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17th edition (author-date)</vt:lpwstr>
  </property>
  <property fmtid="{D5CDD505-2E9C-101B-9397-08002B2CF9AE}" pid="15" name="Mendeley Recent Style Id 5_1">
    <vt:lpwstr>https://csl.mendeley.com/styles/25926981/harvard-cite-them-right</vt:lpwstr>
  </property>
  <property fmtid="{D5CDD505-2E9C-101B-9397-08002B2CF9AE}" pid="16" name="Mendeley Recent Style Name 5_1">
    <vt:lpwstr>Cite Them Right 10th edition - Harvard - Duuamene Nyimanu</vt:lpwstr>
  </property>
  <property fmtid="{D5CDD505-2E9C-101B-9397-08002B2CF9AE}" pid="17" name="Mendeley Recent Style Id 6_1">
    <vt:lpwstr>https://csl.mendeley.com/styles/25926981/harvard-cite-them-right-DN-2</vt:lpwstr>
  </property>
  <property fmtid="{D5CDD505-2E9C-101B-9397-08002B2CF9AE}" pid="18" name="Mendeley Recent Style Name 6_1">
    <vt:lpwstr>Cite Them Right 10th edition - Harvard - Duuamene Nyimanu</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8th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