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853A3E" w14:textId="60613CED" w:rsidR="00B92F25" w:rsidRDefault="00B92F25" w:rsidP="00CB102D">
      <w:pPr>
        <w:spacing w:after="0" w:line="480" w:lineRule="auto"/>
        <w:rPr>
          <w:rFonts w:cs="Arial"/>
          <w:b/>
          <w:sz w:val="24"/>
          <w:szCs w:val="24"/>
        </w:rPr>
      </w:pPr>
      <w:bookmarkStart w:id="0" w:name="_Toc456551542"/>
      <w:bookmarkStart w:id="1" w:name="_Toc456552028"/>
      <w:bookmarkStart w:id="2" w:name="_Toc456638623"/>
      <w:bookmarkStart w:id="3" w:name="_Toc457239801"/>
      <w:bookmarkStart w:id="4" w:name="_Toc457323771"/>
      <w:r w:rsidRPr="000B40BC">
        <w:rPr>
          <w:rFonts w:cs="Arial"/>
          <w:b/>
          <w:noProof/>
          <w:sz w:val="24"/>
          <w:szCs w:val="24"/>
        </w:rPr>
        <mc:AlternateContent>
          <mc:Choice Requires="wps">
            <w:drawing>
              <wp:anchor distT="45720" distB="45720" distL="114300" distR="114300" simplePos="0" relativeHeight="251659264" behindDoc="0" locked="0" layoutInCell="1" allowOverlap="1" wp14:anchorId="65536CBA" wp14:editId="18E9B381">
                <wp:simplePos x="0" y="0"/>
                <wp:positionH relativeFrom="margin">
                  <wp:posOffset>-85725</wp:posOffset>
                </wp:positionH>
                <wp:positionV relativeFrom="paragraph">
                  <wp:posOffset>0</wp:posOffset>
                </wp:positionV>
                <wp:extent cx="5953125" cy="2200275"/>
                <wp:effectExtent l="0" t="0" r="28575"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3125" cy="2200275"/>
                        </a:xfrm>
                        <a:prstGeom prst="rect">
                          <a:avLst/>
                        </a:prstGeom>
                        <a:solidFill>
                          <a:srgbClr val="FFFFFF"/>
                        </a:solidFill>
                        <a:ln w="9525">
                          <a:solidFill>
                            <a:srgbClr val="000000"/>
                          </a:solidFill>
                          <a:miter lim="800000"/>
                          <a:headEnd/>
                          <a:tailEnd/>
                        </a:ln>
                      </wps:spPr>
                      <wps:txbx>
                        <w:txbxContent>
                          <w:p w14:paraId="3884E5C2" w14:textId="52642D7E" w:rsidR="000B40BC" w:rsidRPr="00B92F25" w:rsidRDefault="000B40BC" w:rsidP="000B40BC">
                            <w:pPr>
                              <w:spacing w:after="0" w:line="240" w:lineRule="auto"/>
                              <w:rPr>
                                <w:rFonts w:eastAsia="Times New Roman" w:cstheme="minorHAnsi"/>
                                <w:szCs w:val="26"/>
                                <w:lang w:eastAsia="en-GB"/>
                              </w:rPr>
                            </w:pPr>
                            <w:r w:rsidRPr="00B92F25">
                              <w:rPr>
                                <w:rFonts w:eastAsia="Times New Roman" w:cstheme="minorHAnsi"/>
                                <w:szCs w:val="26"/>
                                <w:lang w:eastAsia="en-GB"/>
                              </w:rPr>
                              <w:t xml:space="preserve">This is the final author version of this manuscript. It reflects all changes </w:t>
                            </w:r>
                            <w:r w:rsidR="00B92F25">
                              <w:rPr>
                                <w:rFonts w:eastAsia="Times New Roman" w:cstheme="minorHAnsi"/>
                                <w:szCs w:val="26"/>
                                <w:lang w:eastAsia="en-GB"/>
                              </w:rPr>
                              <w:t>m</w:t>
                            </w:r>
                            <w:r w:rsidRPr="00B92F25">
                              <w:rPr>
                                <w:rFonts w:eastAsia="Times New Roman" w:cstheme="minorHAnsi"/>
                                <w:szCs w:val="26"/>
                                <w:lang w:eastAsia="en-GB"/>
                              </w:rPr>
                              <w:t>ade during the peer review process, but does not incorporate any modifications made at the proof stage and is not the final published ve</w:t>
                            </w:r>
                            <w:r w:rsidR="00B92F25" w:rsidRPr="00B92F25">
                              <w:rPr>
                                <w:rFonts w:eastAsia="Times New Roman" w:cstheme="minorHAnsi"/>
                                <w:szCs w:val="26"/>
                                <w:lang w:eastAsia="en-GB"/>
                              </w:rPr>
                              <w:t>r</w:t>
                            </w:r>
                            <w:r w:rsidRPr="00B92F25">
                              <w:rPr>
                                <w:rFonts w:eastAsia="Times New Roman" w:cstheme="minorHAnsi"/>
                                <w:szCs w:val="26"/>
                                <w:lang w:eastAsia="en-GB"/>
                              </w:rPr>
                              <w:t>sion.</w:t>
                            </w:r>
                          </w:p>
                          <w:p w14:paraId="12A607B0" w14:textId="77777777" w:rsidR="000B40BC" w:rsidRPr="00B92F25" w:rsidRDefault="000B40BC" w:rsidP="000B40BC">
                            <w:pPr>
                              <w:spacing w:after="0" w:line="240" w:lineRule="auto"/>
                              <w:rPr>
                                <w:rFonts w:eastAsia="Times New Roman" w:cstheme="minorHAnsi"/>
                                <w:szCs w:val="26"/>
                                <w:lang w:eastAsia="en-GB"/>
                              </w:rPr>
                            </w:pPr>
                          </w:p>
                          <w:p w14:paraId="0AA1FFA7" w14:textId="68321A15" w:rsidR="000B40BC" w:rsidRDefault="000B40BC" w:rsidP="000B40BC">
                            <w:pPr>
                              <w:spacing w:after="0" w:line="240" w:lineRule="auto"/>
                              <w:rPr>
                                <w:rFonts w:eastAsia="Times New Roman" w:cstheme="minorHAnsi"/>
                                <w:szCs w:val="26"/>
                                <w:lang w:eastAsia="en-GB"/>
                              </w:rPr>
                            </w:pPr>
                            <w:r w:rsidRPr="00B92F25">
                              <w:rPr>
                                <w:rFonts w:eastAsia="Times New Roman" w:cstheme="minorHAnsi"/>
                                <w:szCs w:val="26"/>
                                <w:lang w:eastAsia="en-GB"/>
                              </w:rPr>
                              <w:t xml:space="preserve">The publish ahead of print version of this article is available </w:t>
                            </w:r>
                            <w:r w:rsidR="00B92F25" w:rsidRPr="00B92F25">
                              <w:rPr>
                                <w:rFonts w:eastAsia="Times New Roman" w:cstheme="minorHAnsi"/>
                                <w:szCs w:val="26"/>
                                <w:lang w:eastAsia="en-GB"/>
                              </w:rPr>
                              <w:t>at:</w:t>
                            </w:r>
                          </w:p>
                          <w:p w14:paraId="651F7344" w14:textId="77777777" w:rsidR="00B92F25" w:rsidRPr="00B92F25" w:rsidRDefault="00B92F25" w:rsidP="000B40BC">
                            <w:pPr>
                              <w:spacing w:after="0" w:line="240" w:lineRule="auto"/>
                              <w:rPr>
                                <w:rFonts w:eastAsia="Times New Roman" w:cstheme="minorHAnsi"/>
                                <w:szCs w:val="26"/>
                                <w:lang w:eastAsia="en-GB"/>
                              </w:rPr>
                            </w:pPr>
                          </w:p>
                          <w:p w14:paraId="2E5DFE14" w14:textId="58982465" w:rsidR="000B40BC" w:rsidRDefault="000B40BC">
                            <w:pPr>
                              <w:rPr>
                                <w:rFonts w:eastAsia="Times New Roman" w:cstheme="minorHAnsi"/>
                                <w:szCs w:val="26"/>
                                <w:lang w:eastAsia="en-GB"/>
                              </w:rPr>
                            </w:pPr>
                            <w:r w:rsidRPr="00B92F25">
                              <w:rPr>
                                <w:rFonts w:eastAsia="Times New Roman" w:cstheme="minorHAnsi"/>
                                <w:szCs w:val="26"/>
                                <w:lang w:eastAsia="en-GB"/>
                              </w:rPr>
                              <w:t xml:space="preserve">Li, Bernadette; Cairns, John A; Johnson, Rachel J; Watson, Christopher JE; Roderick, Paul; Oniscu, Gabriel C; Metcalfe, Wendy; Bradley, J Andrew; Tomson, Charles R; Draper, Heather; Forsythe, John L; Dudley, Christopher; Ravanan, Rommel; (2019) Equity-efficiency trade-offs associated with alternative approaches to deceased donor kidney allocation: a patient-level simulation. Transplantation. ISSN 0041-1337 DOI: </w:t>
                            </w:r>
                            <w:hyperlink r:id="rId8" w:history="1">
                              <w:r w:rsidR="00B92F25" w:rsidRPr="00CE762B">
                                <w:rPr>
                                  <w:rStyle w:val="Hyperlink"/>
                                  <w:rFonts w:eastAsia="Times New Roman" w:cstheme="minorHAnsi"/>
                                  <w:szCs w:val="26"/>
                                  <w:lang w:eastAsia="en-GB"/>
                                </w:rPr>
                                <w:t>https://doi.org/10.1097/tp.0000000000002910</w:t>
                              </w:r>
                            </w:hyperlink>
                          </w:p>
                          <w:p w14:paraId="1BFE9277" w14:textId="77777777" w:rsidR="00B92F25" w:rsidRPr="00B92F25" w:rsidRDefault="00B92F25">
                            <w:pPr>
                              <w:rPr>
                                <w:rFonts w:eastAsia="Times New Roman" w:cstheme="minorHAnsi"/>
                                <w:szCs w:val="26"/>
                                <w:lang w:eastAsia="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536CBA" id="_x0000_t202" coordsize="21600,21600" o:spt="202" path="m,l,21600r21600,l21600,xe">
                <v:stroke joinstyle="miter"/>
                <v:path gradientshapeok="t" o:connecttype="rect"/>
              </v:shapetype>
              <v:shape id="Text Box 2" o:spid="_x0000_s1026" type="#_x0000_t202" style="position:absolute;margin-left:-6.75pt;margin-top:0;width:468.75pt;height:173.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">
                <v:textbox>
                  <w:txbxContent>
                    <w:p w14:paraId="3884E5C2" w14:textId="52642D7E" w:rsidR="000B40BC" w:rsidRPr="00B92F25" w:rsidRDefault="000B40BC" w:rsidP="000B40BC">
                      <w:pPr>
                        <w:spacing w:after="0" w:line="240" w:lineRule="auto"/>
                        <w:rPr>
                          <w:rFonts w:eastAsia="Times New Roman" w:cstheme="minorHAnsi"/>
                          <w:szCs w:val="26"/>
                          <w:lang w:eastAsia="en-GB"/>
                        </w:rPr>
                      </w:pPr>
                      <w:r w:rsidRPr="00B92F25">
                        <w:rPr>
                          <w:rFonts w:eastAsia="Times New Roman" w:cstheme="minorHAnsi"/>
                          <w:szCs w:val="26"/>
                          <w:lang w:eastAsia="en-GB"/>
                        </w:rPr>
                        <w:t xml:space="preserve">This is the final author version of this manuscript. It reflects all changes </w:t>
                      </w:r>
                      <w:r w:rsidR="00B92F25">
                        <w:rPr>
                          <w:rFonts w:eastAsia="Times New Roman" w:cstheme="minorHAnsi"/>
                          <w:szCs w:val="26"/>
                          <w:lang w:eastAsia="en-GB"/>
                        </w:rPr>
                        <w:t>m</w:t>
                      </w:r>
                      <w:r w:rsidRPr="00B92F25">
                        <w:rPr>
                          <w:rFonts w:eastAsia="Times New Roman" w:cstheme="minorHAnsi"/>
                          <w:szCs w:val="26"/>
                          <w:lang w:eastAsia="en-GB"/>
                        </w:rPr>
                        <w:t>ade during the peer review process, but does not incorporate any modifications made at the proof stage and is not the final published ve</w:t>
                      </w:r>
                      <w:r w:rsidR="00B92F25" w:rsidRPr="00B92F25">
                        <w:rPr>
                          <w:rFonts w:eastAsia="Times New Roman" w:cstheme="minorHAnsi"/>
                          <w:szCs w:val="26"/>
                          <w:lang w:eastAsia="en-GB"/>
                        </w:rPr>
                        <w:t>r</w:t>
                      </w:r>
                      <w:r w:rsidRPr="00B92F25">
                        <w:rPr>
                          <w:rFonts w:eastAsia="Times New Roman" w:cstheme="minorHAnsi"/>
                          <w:szCs w:val="26"/>
                          <w:lang w:eastAsia="en-GB"/>
                        </w:rPr>
                        <w:t>sion.</w:t>
                      </w:r>
                    </w:p>
                    <w:p w14:paraId="12A607B0" w14:textId="77777777" w:rsidR="000B40BC" w:rsidRPr="00B92F25" w:rsidRDefault="000B40BC" w:rsidP="000B40BC">
                      <w:pPr>
                        <w:spacing w:after="0" w:line="240" w:lineRule="auto"/>
                        <w:rPr>
                          <w:rFonts w:eastAsia="Times New Roman" w:cstheme="minorHAnsi"/>
                          <w:szCs w:val="26"/>
                          <w:lang w:eastAsia="en-GB"/>
                        </w:rPr>
                      </w:pPr>
                    </w:p>
                    <w:p w14:paraId="0AA1FFA7" w14:textId="68321A15" w:rsidR="000B40BC" w:rsidRDefault="000B40BC" w:rsidP="000B40BC">
                      <w:pPr>
                        <w:spacing w:after="0" w:line="240" w:lineRule="auto"/>
                        <w:rPr>
                          <w:rFonts w:eastAsia="Times New Roman" w:cstheme="minorHAnsi"/>
                          <w:szCs w:val="26"/>
                          <w:lang w:eastAsia="en-GB"/>
                        </w:rPr>
                      </w:pPr>
                      <w:r w:rsidRPr="00B92F25">
                        <w:rPr>
                          <w:rFonts w:eastAsia="Times New Roman" w:cstheme="minorHAnsi"/>
                          <w:szCs w:val="26"/>
                          <w:lang w:eastAsia="en-GB"/>
                        </w:rPr>
                        <w:t xml:space="preserve">The publish ahead of print version of this article is available </w:t>
                      </w:r>
                      <w:r w:rsidR="00B92F25" w:rsidRPr="00B92F25">
                        <w:rPr>
                          <w:rFonts w:eastAsia="Times New Roman" w:cstheme="minorHAnsi"/>
                          <w:szCs w:val="26"/>
                          <w:lang w:eastAsia="en-GB"/>
                        </w:rPr>
                        <w:t>at:</w:t>
                      </w:r>
                    </w:p>
                    <w:p w14:paraId="651F7344" w14:textId="77777777" w:rsidR="00B92F25" w:rsidRPr="00B92F25" w:rsidRDefault="00B92F25" w:rsidP="000B40BC">
                      <w:pPr>
                        <w:spacing w:after="0" w:line="240" w:lineRule="auto"/>
                        <w:rPr>
                          <w:rFonts w:eastAsia="Times New Roman" w:cstheme="minorHAnsi"/>
                          <w:szCs w:val="26"/>
                          <w:lang w:eastAsia="en-GB"/>
                        </w:rPr>
                      </w:pPr>
                    </w:p>
                    <w:p w14:paraId="2E5DFE14" w14:textId="58982465" w:rsidR="000B40BC" w:rsidRDefault="000B40BC">
                      <w:pPr>
                        <w:rPr>
                          <w:rFonts w:eastAsia="Times New Roman" w:cstheme="minorHAnsi"/>
                          <w:szCs w:val="26"/>
                          <w:lang w:eastAsia="en-GB"/>
                        </w:rPr>
                      </w:pPr>
                      <w:r w:rsidRPr="00B92F25">
                        <w:rPr>
                          <w:rFonts w:eastAsia="Times New Roman" w:cstheme="minorHAnsi"/>
                          <w:szCs w:val="26"/>
                          <w:lang w:eastAsia="en-GB"/>
                        </w:rPr>
                        <w:t xml:space="preserve">Li, Bernadette; Cairns, John A; Johnson, Rachel J; Watson, Christopher JE; Roderick, Paul; Oniscu, Gabriel C; Metcalfe, Wendy; Bradley, J Andrew; Tomson, Charles R; Draper, Heather; Forsythe, John L; Dudley, Christopher; Ravanan, Rommel; (2019) Equity-efficiency trade-offs associated with alternative approaches to deceased donor kidney allocation: a patient-level simulation. Transplantation. ISSN 0041-1337 DOI: </w:t>
                      </w:r>
                      <w:hyperlink r:id="rId9" w:history="1">
                        <w:r w:rsidR="00B92F25" w:rsidRPr="00CE762B">
                          <w:rPr>
                            <w:rStyle w:val="Hyperlink"/>
                            <w:rFonts w:eastAsia="Times New Roman" w:cstheme="minorHAnsi"/>
                            <w:szCs w:val="26"/>
                            <w:lang w:eastAsia="en-GB"/>
                          </w:rPr>
                          <w:t>https://doi.org/10.1097/tp.0000000000002910</w:t>
                        </w:r>
                      </w:hyperlink>
                    </w:p>
                    <w:p w14:paraId="1BFE9277" w14:textId="77777777" w:rsidR="00B92F25" w:rsidRPr="00B92F25" w:rsidRDefault="00B92F25">
                      <w:pPr>
                        <w:rPr>
                          <w:rFonts w:eastAsia="Times New Roman" w:cstheme="minorHAnsi"/>
                          <w:szCs w:val="26"/>
                          <w:lang w:eastAsia="en-GB"/>
                        </w:rPr>
                      </w:pPr>
                    </w:p>
                  </w:txbxContent>
                </v:textbox>
                <w10:wrap type="topAndBottom" anchorx="margin"/>
              </v:shape>
            </w:pict>
          </mc:Fallback>
        </mc:AlternateContent>
      </w:r>
    </w:p>
    <w:p w14:paraId="0EDD9B37" w14:textId="290282D0" w:rsidR="00CB102D" w:rsidRPr="00CB102D" w:rsidRDefault="00CB102D" w:rsidP="00CB102D">
      <w:pPr>
        <w:spacing w:after="0" w:line="480" w:lineRule="auto"/>
        <w:rPr>
          <w:rFonts w:cs="Arial"/>
          <w:b/>
          <w:sz w:val="24"/>
          <w:szCs w:val="24"/>
        </w:rPr>
      </w:pPr>
      <w:r w:rsidRPr="00CB102D">
        <w:rPr>
          <w:rFonts w:cs="Arial"/>
          <w:b/>
          <w:sz w:val="24"/>
          <w:szCs w:val="24"/>
        </w:rPr>
        <w:t xml:space="preserve">Equity-efficiency trade-offs associated with alternative approaches to deceased donor kidney allocation: a </w:t>
      </w:r>
      <w:r w:rsidR="00D92D48">
        <w:rPr>
          <w:rFonts w:cs="Arial"/>
          <w:b/>
          <w:sz w:val="24"/>
          <w:szCs w:val="24"/>
        </w:rPr>
        <w:t>patient-level</w:t>
      </w:r>
      <w:r w:rsidRPr="00CB102D">
        <w:rPr>
          <w:rFonts w:cs="Arial"/>
          <w:b/>
          <w:sz w:val="24"/>
          <w:szCs w:val="24"/>
        </w:rPr>
        <w:t xml:space="preserve"> simulation </w:t>
      </w:r>
    </w:p>
    <w:p w14:paraId="66984F37" w14:textId="77777777" w:rsidR="00CB102D" w:rsidRPr="00CB102D" w:rsidRDefault="00CB102D" w:rsidP="00CB102D">
      <w:pPr>
        <w:spacing w:after="0" w:line="288" w:lineRule="auto"/>
        <w:rPr>
          <w:rFonts w:cs="Arial"/>
          <w:b/>
          <w:sz w:val="24"/>
          <w:szCs w:val="24"/>
        </w:rPr>
      </w:pPr>
    </w:p>
    <w:p w14:paraId="7C23E0B2" w14:textId="77777777" w:rsidR="00CB102D" w:rsidRPr="00CB102D" w:rsidRDefault="00CB102D" w:rsidP="00CB102D">
      <w:pPr>
        <w:spacing w:after="0" w:line="288" w:lineRule="auto"/>
        <w:rPr>
          <w:rFonts w:cs="Arial"/>
          <w:sz w:val="24"/>
          <w:szCs w:val="24"/>
        </w:rPr>
      </w:pPr>
      <w:r w:rsidRPr="00CB102D">
        <w:rPr>
          <w:rFonts w:cs="Arial"/>
          <w:sz w:val="24"/>
          <w:szCs w:val="24"/>
        </w:rPr>
        <w:t>Bernadette Li, PhD</w:t>
      </w:r>
    </w:p>
    <w:p w14:paraId="07700634" w14:textId="77777777" w:rsidR="00CB102D" w:rsidRPr="00CB102D" w:rsidRDefault="00CB102D" w:rsidP="00CB102D">
      <w:pPr>
        <w:spacing w:after="0" w:line="288" w:lineRule="auto"/>
        <w:rPr>
          <w:rFonts w:cs="Arial"/>
          <w:sz w:val="24"/>
          <w:szCs w:val="24"/>
        </w:rPr>
      </w:pPr>
      <w:r w:rsidRPr="00CB102D">
        <w:rPr>
          <w:rFonts w:cs="Arial"/>
          <w:sz w:val="24"/>
          <w:szCs w:val="24"/>
        </w:rPr>
        <w:t>Department of Health Services Research and Policy</w:t>
      </w:r>
    </w:p>
    <w:p w14:paraId="6FAA9DFA" w14:textId="77777777" w:rsidR="00CB102D" w:rsidRPr="00CB102D" w:rsidRDefault="00CB102D" w:rsidP="00CB102D">
      <w:pPr>
        <w:spacing w:after="0" w:line="288" w:lineRule="auto"/>
        <w:rPr>
          <w:rFonts w:cs="Arial"/>
          <w:sz w:val="24"/>
          <w:szCs w:val="24"/>
        </w:rPr>
      </w:pPr>
      <w:r w:rsidRPr="00CB102D">
        <w:rPr>
          <w:rFonts w:cs="Arial"/>
          <w:sz w:val="24"/>
          <w:szCs w:val="24"/>
        </w:rPr>
        <w:t>London School of Hygiene and Tropical Medicine</w:t>
      </w:r>
    </w:p>
    <w:p w14:paraId="7F7B7CA6" w14:textId="77777777" w:rsidR="00CB102D" w:rsidRPr="00CB102D" w:rsidRDefault="00CB102D" w:rsidP="00CB102D">
      <w:pPr>
        <w:spacing w:after="0" w:line="288" w:lineRule="auto"/>
        <w:rPr>
          <w:rFonts w:cs="Arial"/>
          <w:sz w:val="24"/>
          <w:szCs w:val="24"/>
        </w:rPr>
      </w:pPr>
      <w:r w:rsidRPr="00CB102D">
        <w:rPr>
          <w:rFonts w:cs="Arial"/>
          <w:sz w:val="24"/>
          <w:szCs w:val="24"/>
        </w:rPr>
        <w:t>London, UK</w:t>
      </w:r>
    </w:p>
    <w:p w14:paraId="3F69DDD2" w14:textId="77777777" w:rsidR="00CB102D" w:rsidRPr="00CB102D" w:rsidRDefault="00CB102D" w:rsidP="00CB102D">
      <w:pPr>
        <w:spacing w:after="0" w:line="288" w:lineRule="auto"/>
        <w:rPr>
          <w:rFonts w:cs="Arial"/>
          <w:sz w:val="24"/>
          <w:szCs w:val="24"/>
        </w:rPr>
      </w:pPr>
    </w:p>
    <w:p w14:paraId="5B6FA252" w14:textId="77777777" w:rsidR="00CB102D" w:rsidRPr="00CB102D" w:rsidRDefault="00CB102D" w:rsidP="00CB102D">
      <w:pPr>
        <w:spacing w:after="0" w:line="288" w:lineRule="auto"/>
        <w:rPr>
          <w:rFonts w:cs="Arial"/>
          <w:sz w:val="24"/>
          <w:szCs w:val="24"/>
        </w:rPr>
      </w:pPr>
      <w:r w:rsidRPr="00CB102D">
        <w:rPr>
          <w:rFonts w:cs="Arial"/>
          <w:sz w:val="24"/>
          <w:szCs w:val="24"/>
        </w:rPr>
        <w:t>John A. Cairns, MPhil</w:t>
      </w:r>
    </w:p>
    <w:p w14:paraId="64B3063E" w14:textId="77777777" w:rsidR="00CB102D" w:rsidRPr="00CB102D" w:rsidRDefault="00CB102D" w:rsidP="00CB102D">
      <w:pPr>
        <w:spacing w:after="0" w:line="288" w:lineRule="auto"/>
        <w:rPr>
          <w:rFonts w:cs="Arial"/>
          <w:sz w:val="24"/>
          <w:szCs w:val="24"/>
        </w:rPr>
      </w:pPr>
      <w:r w:rsidRPr="00CB102D">
        <w:rPr>
          <w:rFonts w:cs="Arial"/>
          <w:sz w:val="24"/>
          <w:szCs w:val="24"/>
        </w:rPr>
        <w:t>Department of Health Services Research and Policy</w:t>
      </w:r>
    </w:p>
    <w:p w14:paraId="43036C4A" w14:textId="77777777" w:rsidR="00CB102D" w:rsidRPr="00CB102D" w:rsidRDefault="00CB102D" w:rsidP="00CB102D">
      <w:pPr>
        <w:spacing w:after="0" w:line="288" w:lineRule="auto"/>
        <w:rPr>
          <w:rFonts w:cs="Arial"/>
          <w:sz w:val="24"/>
          <w:szCs w:val="24"/>
        </w:rPr>
      </w:pPr>
      <w:r w:rsidRPr="00CB102D">
        <w:rPr>
          <w:rFonts w:cs="Arial"/>
          <w:sz w:val="24"/>
          <w:szCs w:val="24"/>
        </w:rPr>
        <w:t>London School of Hygiene and Tropical Medicine</w:t>
      </w:r>
    </w:p>
    <w:p w14:paraId="755E1EB5" w14:textId="77777777" w:rsidR="00CB102D" w:rsidRPr="00CB102D" w:rsidRDefault="00CB102D" w:rsidP="00CB102D">
      <w:pPr>
        <w:spacing w:after="0" w:line="288" w:lineRule="auto"/>
        <w:rPr>
          <w:rFonts w:cs="Arial"/>
          <w:sz w:val="24"/>
          <w:szCs w:val="24"/>
        </w:rPr>
      </w:pPr>
      <w:r w:rsidRPr="00CB102D">
        <w:rPr>
          <w:rFonts w:cs="Arial"/>
          <w:sz w:val="24"/>
          <w:szCs w:val="24"/>
        </w:rPr>
        <w:t>London, UK</w:t>
      </w:r>
    </w:p>
    <w:p w14:paraId="36CCFF10" w14:textId="77777777" w:rsidR="00CB102D" w:rsidRPr="00CB102D" w:rsidRDefault="00CB102D" w:rsidP="00CB102D">
      <w:pPr>
        <w:spacing w:after="0" w:line="288" w:lineRule="auto"/>
        <w:rPr>
          <w:rFonts w:cs="Arial"/>
          <w:sz w:val="24"/>
          <w:szCs w:val="24"/>
        </w:rPr>
      </w:pPr>
    </w:p>
    <w:p w14:paraId="7161E5A5" w14:textId="77777777" w:rsidR="00CB102D" w:rsidRPr="00CB102D" w:rsidRDefault="00CB102D" w:rsidP="00CB102D">
      <w:pPr>
        <w:spacing w:after="0" w:line="288" w:lineRule="auto"/>
        <w:rPr>
          <w:rFonts w:cs="Arial"/>
          <w:sz w:val="24"/>
          <w:szCs w:val="24"/>
        </w:rPr>
      </w:pPr>
      <w:r w:rsidRPr="00CB102D">
        <w:rPr>
          <w:rFonts w:cs="Arial"/>
          <w:sz w:val="24"/>
          <w:szCs w:val="24"/>
        </w:rPr>
        <w:t>Rachel J. Johnson, MSc</w:t>
      </w:r>
    </w:p>
    <w:p w14:paraId="53B3ED2A"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NHS Blood and Transplant</w:t>
      </w:r>
    </w:p>
    <w:p w14:paraId="389E58C6"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Bristol, UK</w:t>
      </w:r>
    </w:p>
    <w:p w14:paraId="2DC068B7" w14:textId="77777777" w:rsidR="00CB102D" w:rsidRPr="00CB102D" w:rsidRDefault="00CB102D" w:rsidP="00CB102D">
      <w:pPr>
        <w:spacing w:after="0" w:line="288" w:lineRule="auto"/>
        <w:rPr>
          <w:rFonts w:cs="Arial"/>
          <w:sz w:val="24"/>
          <w:szCs w:val="24"/>
        </w:rPr>
      </w:pPr>
    </w:p>
    <w:p w14:paraId="497E0494" w14:textId="77777777" w:rsidR="00CB102D" w:rsidRPr="00CB102D" w:rsidRDefault="00CB102D" w:rsidP="00CB102D">
      <w:pPr>
        <w:spacing w:after="0" w:line="288" w:lineRule="auto"/>
        <w:rPr>
          <w:rFonts w:cs="Arial"/>
          <w:sz w:val="24"/>
          <w:szCs w:val="24"/>
        </w:rPr>
      </w:pPr>
      <w:r w:rsidRPr="00CB102D">
        <w:rPr>
          <w:rFonts w:cs="Arial"/>
          <w:sz w:val="24"/>
          <w:szCs w:val="24"/>
        </w:rPr>
        <w:t>Christopher J. E. Watson, MD</w:t>
      </w:r>
    </w:p>
    <w:p w14:paraId="02828247"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Department of Surgery</w:t>
      </w:r>
    </w:p>
    <w:p w14:paraId="63CC8F78"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University of Cambridge and the NIHR Cambridge Biomedical Research Centre</w:t>
      </w:r>
    </w:p>
    <w:p w14:paraId="39A8D8D8"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Cambridge, UK</w:t>
      </w:r>
    </w:p>
    <w:p w14:paraId="1D93B6AE" w14:textId="77777777" w:rsidR="00CB102D" w:rsidRPr="00CB102D" w:rsidRDefault="00CB102D" w:rsidP="00CB102D">
      <w:pPr>
        <w:spacing w:after="0" w:line="288" w:lineRule="auto"/>
        <w:rPr>
          <w:rFonts w:cs="Arial"/>
          <w:sz w:val="24"/>
          <w:szCs w:val="24"/>
        </w:rPr>
      </w:pPr>
    </w:p>
    <w:p w14:paraId="46D3ED61" w14:textId="77777777" w:rsidR="00CB102D" w:rsidRPr="00CB102D" w:rsidRDefault="00CB102D" w:rsidP="00CB102D">
      <w:pPr>
        <w:spacing w:after="0" w:line="288" w:lineRule="auto"/>
        <w:rPr>
          <w:rFonts w:cs="Arial"/>
          <w:sz w:val="24"/>
          <w:szCs w:val="24"/>
        </w:rPr>
      </w:pPr>
      <w:r w:rsidRPr="00CB102D">
        <w:rPr>
          <w:rFonts w:cs="Arial"/>
          <w:sz w:val="24"/>
          <w:szCs w:val="24"/>
        </w:rPr>
        <w:t>Paul Roderick, MD</w:t>
      </w:r>
    </w:p>
    <w:p w14:paraId="4B46769B" w14:textId="77777777" w:rsidR="00CB102D" w:rsidRPr="00CB102D" w:rsidRDefault="00CB102D" w:rsidP="00CB102D">
      <w:pPr>
        <w:spacing w:after="0" w:line="288" w:lineRule="auto"/>
        <w:rPr>
          <w:rFonts w:cs="Arial"/>
          <w:sz w:val="24"/>
          <w:szCs w:val="24"/>
        </w:rPr>
      </w:pPr>
      <w:r w:rsidRPr="00CB102D">
        <w:rPr>
          <w:rFonts w:cs="Arial"/>
          <w:sz w:val="24"/>
          <w:szCs w:val="24"/>
        </w:rPr>
        <w:t>Primary Care and Population Sciences</w:t>
      </w:r>
    </w:p>
    <w:p w14:paraId="69410660" w14:textId="77777777" w:rsidR="00CB102D" w:rsidRPr="00CB102D" w:rsidRDefault="00CB102D" w:rsidP="00CB102D">
      <w:pPr>
        <w:spacing w:after="0" w:line="288" w:lineRule="auto"/>
        <w:rPr>
          <w:rFonts w:cs="Arial"/>
          <w:sz w:val="24"/>
          <w:szCs w:val="24"/>
        </w:rPr>
      </w:pPr>
      <w:r w:rsidRPr="00CB102D">
        <w:rPr>
          <w:rFonts w:cs="Arial"/>
          <w:sz w:val="24"/>
          <w:szCs w:val="24"/>
        </w:rPr>
        <w:t>Faculty of Medicine</w:t>
      </w:r>
    </w:p>
    <w:p w14:paraId="7E9E8A8E" w14:textId="77777777" w:rsidR="00CB102D" w:rsidRPr="00CB102D" w:rsidRDefault="00CB102D" w:rsidP="00CB102D">
      <w:pPr>
        <w:spacing w:after="0" w:line="288" w:lineRule="auto"/>
        <w:rPr>
          <w:rFonts w:cs="Arial"/>
          <w:sz w:val="24"/>
          <w:szCs w:val="24"/>
        </w:rPr>
      </w:pPr>
      <w:r w:rsidRPr="00CB102D">
        <w:rPr>
          <w:rFonts w:cs="Arial"/>
          <w:sz w:val="24"/>
          <w:szCs w:val="24"/>
        </w:rPr>
        <w:t>University of Southampton</w:t>
      </w:r>
    </w:p>
    <w:p w14:paraId="23366931" w14:textId="77777777" w:rsidR="00CB102D" w:rsidRPr="00CB102D" w:rsidRDefault="00CB102D" w:rsidP="00CB102D">
      <w:pPr>
        <w:spacing w:after="0" w:line="288" w:lineRule="auto"/>
        <w:rPr>
          <w:rFonts w:cs="Arial"/>
          <w:sz w:val="24"/>
          <w:szCs w:val="24"/>
        </w:rPr>
      </w:pPr>
      <w:r w:rsidRPr="00CB102D">
        <w:rPr>
          <w:rFonts w:cs="Arial"/>
          <w:sz w:val="24"/>
          <w:szCs w:val="24"/>
        </w:rPr>
        <w:lastRenderedPageBreak/>
        <w:t>Southampton, UK</w:t>
      </w:r>
    </w:p>
    <w:p w14:paraId="796E3D29" w14:textId="77777777" w:rsidR="00CB102D" w:rsidRPr="00CB102D" w:rsidRDefault="00CB102D" w:rsidP="00CB102D">
      <w:pPr>
        <w:spacing w:after="0" w:line="288" w:lineRule="auto"/>
        <w:rPr>
          <w:rFonts w:cs="Arial"/>
          <w:sz w:val="24"/>
          <w:szCs w:val="24"/>
          <w:vertAlign w:val="superscript"/>
        </w:rPr>
      </w:pPr>
    </w:p>
    <w:p w14:paraId="152D4F39" w14:textId="77777777" w:rsidR="00CB102D" w:rsidRPr="00CB102D" w:rsidRDefault="00CB102D" w:rsidP="00CB102D">
      <w:pPr>
        <w:spacing w:after="0" w:line="288" w:lineRule="auto"/>
        <w:rPr>
          <w:rFonts w:cs="Arial"/>
          <w:sz w:val="24"/>
          <w:szCs w:val="24"/>
        </w:rPr>
      </w:pPr>
      <w:r w:rsidRPr="00CB102D">
        <w:rPr>
          <w:rFonts w:cs="Arial"/>
          <w:sz w:val="24"/>
          <w:szCs w:val="24"/>
        </w:rPr>
        <w:t>Gabriel C. Oniscu, MD</w:t>
      </w:r>
    </w:p>
    <w:p w14:paraId="064504F8" w14:textId="77777777" w:rsidR="00CB102D" w:rsidRPr="00CB102D" w:rsidRDefault="00CB102D" w:rsidP="00CB102D">
      <w:pPr>
        <w:spacing w:after="0" w:line="288" w:lineRule="auto"/>
        <w:rPr>
          <w:rFonts w:cs="Arial"/>
          <w:sz w:val="24"/>
          <w:szCs w:val="24"/>
        </w:rPr>
      </w:pPr>
      <w:r w:rsidRPr="00CB102D">
        <w:rPr>
          <w:rFonts w:cs="Arial"/>
          <w:sz w:val="24"/>
          <w:szCs w:val="24"/>
        </w:rPr>
        <w:t>Transplant Unit</w:t>
      </w:r>
    </w:p>
    <w:p w14:paraId="20DC479B" w14:textId="77777777" w:rsidR="00CB102D" w:rsidRPr="00CB102D" w:rsidRDefault="00CB102D" w:rsidP="00CB102D">
      <w:pPr>
        <w:spacing w:after="0" w:line="288" w:lineRule="auto"/>
        <w:rPr>
          <w:rFonts w:cs="Arial"/>
          <w:sz w:val="24"/>
          <w:szCs w:val="24"/>
        </w:rPr>
      </w:pPr>
      <w:r w:rsidRPr="00CB102D">
        <w:rPr>
          <w:rFonts w:cs="Arial"/>
          <w:sz w:val="24"/>
          <w:szCs w:val="24"/>
        </w:rPr>
        <w:t xml:space="preserve">Royal Infirmary of Edinburgh </w:t>
      </w:r>
    </w:p>
    <w:p w14:paraId="3DB3D0E9" w14:textId="77777777" w:rsidR="00CB102D" w:rsidRPr="00CB102D" w:rsidRDefault="00CB102D" w:rsidP="00CB102D">
      <w:pPr>
        <w:spacing w:after="0" w:line="288" w:lineRule="auto"/>
        <w:rPr>
          <w:rFonts w:cs="Arial"/>
          <w:sz w:val="24"/>
          <w:szCs w:val="24"/>
        </w:rPr>
      </w:pPr>
      <w:r w:rsidRPr="00CB102D">
        <w:rPr>
          <w:rFonts w:cs="Arial"/>
          <w:sz w:val="24"/>
          <w:szCs w:val="24"/>
        </w:rPr>
        <w:t>Edinburgh, UK</w:t>
      </w:r>
    </w:p>
    <w:p w14:paraId="36625F0D" w14:textId="77777777" w:rsidR="00CB102D" w:rsidRPr="00CB102D" w:rsidRDefault="00CB102D" w:rsidP="00CB102D">
      <w:pPr>
        <w:spacing w:after="0" w:line="288" w:lineRule="auto"/>
        <w:rPr>
          <w:rFonts w:cs="Arial"/>
          <w:sz w:val="24"/>
          <w:szCs w:val="24"/>
        </w:rPr>
      </w:pPr>
    </w:p>
    <w:p w14:paraId="76E5387B" w14:textId="77777777" w:rsidR="00CB102D" w:rsidRPr="00CB102D" w:rsidRDefault="00CB102D" w:rsidP="00CB102D">
      <w:pPr>
        <w:spacing w:after="0" w:line="288" w:lineRule="auto"/>
        <w:rPr>
          <w:rFonts w:cs="Arial"/>
          <w:sz w:val="24"/>
          <w:szCs w:val="24"/>
        </w:rPr>
      </w:pPr>
      <w:r w:rsidRPr="00CB102D">
        <w:rPr>
          <w:rFonts w:cs="Arial"/>
          <w:sz w:val="24"/>
          <w:szCs w:val="24"/>
        </w:rPr>
        <w:t>Wendy Metcalfe, MD</w:t>
      </w:r>
    </w:p>
    <w:p w14:paraId="52B4C0D1"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Scottish Renal Registry</w:t>
      </w:r>
    </w:p>
    <w:p w14:paraId="7B55EEC2"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Glasgow, UK</w:t>
      </w:r>
    </w:p>
    <w:p w14:paraId="200FAB76" w14:textId="77777777" w:rsidR="00CB102D" w:rsidRPr="00CB102D" w:rsidRDefault="00CB102D" w:rsidP="00CB102D">
      <w:pPr>
        <w:spacing w:after="0" w:line="288" w:lineRule="auto"/>
        <w:rPr>
          <w:rFonts w:cs="Arial"/>
          <w:sz w:val="24"/>
          <w:szCs w:val="24"/>
        </w:rPr>
      </w:pPr>
    </w:p>
    <w:p w14:paraId="1196E98B" w14:textId="77777777" w:rsidR="00CB102D" w:rsidRPr="00CB102D" w:rsidRDefault="00CB102D" w:rsidP="00CB102D">
      <w:pPr>
        <w:spacing w:after="0" w:line="288" w:lineRule="auto"/>
        <w:rPr>
          <w:rFonts w:cs="Arial"/>
          <w:sz w:val="24"/>
          <w:szCs w:val="24"/>
          <w:vertAlign w:val="superscript"/>
        </w:rPr>
      </w:pPr>
      <w:r w:rsidRPr="00CB102D">
        <w:rPr>
          <w:rFonts w:cs="Arial"/>
          <w:sz w:val="24"/>
          <w:szCs w:val="24"/>
        </w:rPr>
        <w:t>J. Andrew Bradley, PhD</w:t>
      </w:r>
    </w:p>
    <w:p w14:paraId="658A3E47"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Department of Surgery</w:t>
      </w:r>
    </w:p>
    <w:p w14:paraId="03842042"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University of Cambridge and the NIHR Cambridge Biomedical Research Centre</w:t>
      </w:r>
    </w:p>
    <w:p w14:paraId="7ED63E1E"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Cambridge, UK</w:t>
      </w:r>
    </w:p>
    <w:p w14:paraId="7C1A034D" w14:textId="77777777" w:rsidR="00CB102D" w:rsidRPr="00CB102D" w:rsidRDefault="00CB102D" w:rsidP="00CB102D">
      <w:pPr>
        <w:spacing w:after="0" w:line="288" w:lineRule="auto"/>
        <w:rPr>
          <w:rFonts w:cs="Arial"/>
          <w:sz w:val="24"/>
          <w:szCs w:val="24"/>
        </w:rPr>
      </w:pPr>
    </w:p>
    <w:p w14:paraId="0CFD8B4D" w14:textId="77777777" w:rsidR="00CB102D" w:rsidRPr="00CB102D" w:rsidRDefault="00CB102D" w:rsidP="00CB102D">
      <w:pPr>
        <w:spacing w:after="0" w:line="288" w:lineRule="auto"/>
        <w:rPr>
          <w:rFonts w:cs="Arial"/>
          <w:sz w:val="24"/>
          <w:szCs w:val="24"/>
        </w:rPr>
      </w:pPr>
      <w:r w:rsidRPr="00CB102D">
        <w:rPr>
          <w:rFonts w:cs="Arial"/>
          <w:sz w:val="24"/>
          <w:szCs w:val="24"/>
        </w:rPr>
        <w:t>Charles R. Tomson, DM</w:t>
      </w:r>
    </w:p>
    <w:p w14:paraId="75D5B2DB"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Department of Renal Medicine</w:t>
      </w:r>
    </w:p>
    <w:p w14:paraId="223B6A01"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Freeman Hospital</w:t>
      </w:r>
    </w:p>
    <w:p w14:paraId="5C5E784F"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 xml:space="preserve">Newcastle upon Tyne, UK </w:t>
      </w:r>
    </w:p>
    <w:p w14:paraId="2F3A67A3" w14:textId="77777777" w:rsidR="00CB102D" w:rsidRPr="00CB102D" w:rsidRDefault="00CB102D" w:rsidP="00CB102D">
      <w:pPr>
        <w:spacing w:after="0" w:line="288" w:lineRule="auto"/>
        <w:rPr>
          <w:rFonts w:cs="Arial"/>
          <w:sz w:val="24"/>
          <w:szCs w:val="24"/>
          <w:vertAlign w:val="superscript"/>
        </w:rPr>
      </w:pPr>
    </w:p>
    <w:p w14:paraId="6EA69222" w14:textId="77777777" w:rsidR="00CB102D" w:rsidRPr="00CB102D" w:rsidRDefault="00CB102D" w:rsidP="00CB102D">
      <w:pPr>
        <w:spacing w:after="0" w:line="288" w:lineRule="auto"/>
        <w:rPr>
          <w:rFonts w:cs="Arial"/>
          <w:sz w:val="24"/>
          <w:szCs w:val="24"/>
          <w:vertAlign w:val="superscript"/>
        </w:rPr>
      </w:pPr>
      <w:r w:rsidRPr="00CB102D">
        <w:rPr>
          <w:rFonts w:cs="Arial"/>
          <w:sz w:val="24"/>
          <w:szCs w:val="24"/>
        </w:rPr>
        <w:t>Heather Draper, PhD</w:t>
      </w:r>
    </w:p>
    <w:p w14:paraId="07410BDB"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Division of Health Sciences</w:t>
      </w:r>
    </w:p>
    <w:p w14:paraId="65707A71"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Warwick Medical School</w:t>
      </w:r>
    </w:p>
    <w:p w14:paraId="27162F7F"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University of Warwick</w:t>
      </w:r>
    </w:p>
    <w:p w14:paraId="1928EAF0"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Coventry, UK</w:t>
      </w:r>
    </w:p>
    <w:p w14:paraId="51C9BDD2" w14:textId="77777777" w:rsidR="00CB102D" w:rsidRPr="00CB102D" w:rsidRDefault="00CB102D" w:rsidP="00CB102D">
      <w:pPr>
        <w:pStyle w:val="NoSpacing"/>
        <w:spacing w:line="288" w:lineRule="auto"/>
        <w:ind w:left="142" w:hanging="142"/>
        <w:rPr>
          <w:rFonts w:cs="Arial"/>
          <w:sz w:val="24"/>
          <w:szCs w:val="24"/>
        </w:rPr>
      </w:pPr>
    </w:p>
    <w:p w14:paraId="438409D0"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John L. Forsythe, MD</w:t>
      </w:r>
    </w:p>
    <w:p w14:paraId="3B795950"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Transplant Unit</w:t>
      </w:r>
    </w:p>
    <w:p w14:paraId="3964295B"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Royal Infirmary of Edinburgh</w:t>
      </w:r>
    </w:p>
    <w:p w14:paraId="529352FC"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 xml:space="preserve">Edinburgh, UK </w:t>
      </w:r>
    </w:p>
    <w:p w14:paraId="78E37FF6" w14:textId="77777777" w:rsidR="00CB102D" w:rsidRPr="00CB102D" w:rsidRDefault="00CB102D" w:rsidP="00CB102D">
      <w:pPr>
        <w:pStyle w:val="NoSpacing"/>
        <w:spacing w:line="288" w:lineRule="auto"/>
        <w:ind w:left="142" w:hanging="142"/>
        <w:rPr>
          <w:rFonts w:cs="Arial"/>
          <w:sz w:val="24"/>
          <w:szCs w:val="24"/>
        </w:rPr>
      </w:pPr>
    </w:p>
    <w:p w14:paraId="4AB0E838" w14:textId="77777777" w:rsidR="00CB102D" w:rsidRPr="00CB102D" w:rsidRDefault="00CB102D" w:rsidP="00CB102D">
      <w:pPr>
        <w:pStyle w:val="NoSpacing"/>
        <w:spacing w:line="288" w:lineRule="auto"/>
        <w:ind w:left="142" w:hanging="142"/>
        <w:rPr>
          <w:rFonts w:cs="Arial"/>
          <w:sz w:val="24"/>
          <w:szCs w:val="24"/>
        </w:rPr>
      </w:pPr>
      <w:r w:rsidRPr="00CB102D">
        <w:rPr>
          <w:rFonts w:cs="Arial"/>
          <w:sz w:val="24"/>
          <w:szCs w:val="24"/>
        </w:rPr>
        <w:t>Christopher Dudley, MD</w:t>
      </w:r>
    </w:p>
    <w:p w14:paraId="7FC97CE3" w14:textId="77777777" w:rsidR="00CB102D" w:rsidRPr="00CB102D" w:rsidRDefault="00CB102D" w:rsidP="00CB102D">
      <w:pPr>
        <w:spacing w:after="0" w:line="288" w:lineRule="auto"/>
        <w:rPr>
          <w:rFonts w:cs="Arial"/>
          <w:sz w:val="24"/>
          <w:szCs w:val="24"/>
        </w:rPr>
      </w:pPr>
      <w:r w:rsidRPr="00CB102D">
        <w:rPr>
          <w:rFonts w:cs="Arial"/>
          <w:sz w:val="24"/>
          <w:szCs w:val="24"/>
        </w:rPr>
        <w:t>Richard Bright Renal Unit</w:t>
      </w:r>
    </w:p>
    <w:p w14:paraId="6FC91AC8" w14:textId="77777777" w:rsidR="00CB102D" w:rsidRPr="00CB102D" w:rsidRDefault="00CB102D" w:rsidP="00CB102D">
      <w:pPr>
        <w:spacing w:after="0" w:line="288" w:lineRule="auto"/>
        <w:rPr>
          <w:rFonts w:cs="Arial"/>
          <w:sz w:val="24"/>
          <w:szCs w:val="24"/>
        </w:rPr>
      </w:pPr>
      <w:r w:rsidRPr="00CB102D">
        <w:rPr>
          <w:rFonts w:cs="Arial"/>
          <w:sz w:val="24"/>
          <w:szCs w:val="24"/>
        </w:rPr>
        <w:t>Southmead Hospital</w:t>
      </w:r>
    </w:p>
    <w:p w14:paraId="1115507D" w14:textId="77777777" w:rsidR="00CB102D" w:rsidRPr="00CB102D" w:rsidRDefault="00CB102D" w:rsidP="00CB102D">
      <w:pPr>
        <w:spacing w:after="0" w:line="288" w:lineRule="auto"/>
        <w:rPr>
          <w:rFonts w:cs="Arial"/>
          <w:sz w:val="24"/>
          <w:szCs w:val="24"/>
        </w:rPr>
      </w:pPr>
      <w:r w:rsidRPr="00CB102D">
        <w:rPr>
          <w:rFonts w:cs="Arial"/>
          <w:sz w:val="24"/>
          <w:szCs w:val="24"/>
        </w:rPr>
        <w:t>Bristol, UK</w:t>
      </w:r>
    </w:p>
    <w:p w14:paraId="79BD7930" w14:textId="77777777" w:rsidR="00CB102D" w:rsidRPr="00CB102D" w:rsidRDefault="00CB102D" w:rsidP="00CB102D">
      <w:pPr>
        <w:spacing w:after="0" w:line="288" w:lineRule="auto"/>
        <w:rPr>
          <w:rFonts w:cs="Arial"/>
          <w:sz w:val="24"/>
          <w:szCs w:val="24"/>
        </w:rPr>
      </w:pPr>
    </w:p>
    <w:p w14:paraId="74DF25F6" w14:textId="77777777" w:rsidR="00CB102D" w:rsidRPr="00CB102D" w:rsidRDefault="00CB102D" w:rsidP="00CB102D">
      <w:pPr>
        <w:spacing w:after="0" w:line="288" w:lineRule="auto"/>
        <w:rPr>
          <w:rFonts w:cs="Arial"/>
          <w:sz w:val="24"/>
          <w:szCs w:val="24"/>
          <w:vertAlign w:val="superscript"/>
        </w:rPr>
      </w:pPr>
      <w:r w:rsidRPr="00CB102D">
        <w:rPr>
          <w:rFonts w:cs="Arial"/>
          <w:sz w:val="24"/>
          <w:szCs w:val="24"/>
        </w:rPr>
        <w:t>Rommel Ravanan, MD</w:t>
      </w:r>
    </w:p>
    <w:p w14:paraId="2FC05491" w14:textId="77777777" w:rsidR="00CB102D" w:rsidRPr="00CB102D" w:rsidRDefault="00CB102D" w:rsidP="00CB102D">
      <w:pPr>
        <w:spacing w:after="0" w:line="288" w:lineRule="auto"/>
        <w:rPr>
          <w:rFonts w:cs="Arial"/>
          <w:sz w:val="24"/>
          <w:szCs w:val="24"/>
        </w:rPr>
      </w:pPr>
      <w:r w:rsidRPr="00CB102D">
        <w:rPr>
          <w:rFonts w:cs="Arial"/>
          <w:sz w:val="24"/>
          <w:szCs w:val="24"/>
        </w:rPr>
        <w:t>Richard Bright Renal Unit</w:t>
      </w:r>
    </w:p>
    <w:p w14:paraId="0078FE72" w14:textId="77777777" w:rsidR="00CB102D" w:rsidRPr="00CB102D" w:rsidRDefault="00CB102D" w:rsidP="00CB102D">
      <w:pPr>
        <w:spacing w:after="0" w:line="288" w:lineRule="auto"/>
        <w:rPr>
          <w:rFonts w:cs="Arial"/>
          <w:sz w:val="24"/>
          <w:szCs w:val="24"/>
        </w:rPr>
      </w:pPr>
      <w:r w:rsidRPr="00CB102D">
        <w:rPr>
          <w:rFonts w:cs="Arial"/>
          <w:sz w:val="24"/>
          <w:szCs w:val="24"/>
        </w:rPr>
        <w:lastRenderedPageBreak/>
        <w:t>Southmead Hospital</w:t>
      </w:r>
    </w:p>
    <w:p w14:paraId="3CC5FEA2" w14:textId="77777777" w:rsidR="00CB102D" w:rsidRPr="00CB102D" w:rsidRDefault="00CB102D" w:rsidP="00CB102D">
      <w:pPr>
        <w:spacing w:after="0" w:line="288" w:lineRule="auto"/>
        <w:rPr>
          <w:rFonts w:cs="Arial"/>
          <w:sz w:val="24"/>
          <w:szCs w:val="24"/>
        </w:rPr>
      </w:pPr>
      <w:r w:rsidRPr="00CB102D">
        <w:rPr>
          <w:rFonts w:cs="Arial"/>
          <w:sz w:val="24"/>
          <w:szCs w:val="24"/>
        </w:rPr>
        <w:t>Bristol, UK</w:t>
      </w:r>
    </w:p>
    <w:p w14:paraId="12C64E91" w14:textId="77777777" w:rsidR="00CB102D" w:rsidRPr="00CB102D" w:rsidRDefault="00CB102D" w:rsidP="00CB102D">
      <w:pPr>
        <w:spacing w:line="288" w:lineRule="auto"/>
        <w:rPr>
          <w:rFonts w:cs="Arial"/>
          <w:sz w:val="24"/>
          <w:szCs w:val="24"/>
        </w:rPr>
      </w:pPr>
    </w:p>
    <w:p w14:paraId="5CC0DB14" w14:textId="00C66090" w:rsidR="00CB102D" w:rsidRPr="00CB102D" w:rsidRDefault="00CB102D" w:rsidP="00CB102D">
      <w:pPr>
        <w:pStyle w:val="NoSpacing"/>
        <w:spacing w:line="288" w:lineRule="auto"/>
        <w:rPr>
          <w:rFonts w:cs="Arial"/>
          <w:b/>
          <w:sz w:val="24"/>
          <w:szCs w:val="24"/>
        </w:rPr>
      </w:pPr>
      <w:r>
        <w:rPr>
          <w:rFonts w:cs="Arial"/>
          <w:b/>
          <w:sz w:val="24"/>
          <w:szCs w:val="24"/>
        </w:rPr>
        <w:t>CORRESPONDENCE TO</w:t>
      </w:r>
      <w:r w:rsidRPr="00CB102D">
        <w:rPr>
          <w:rFonts w:cs="Arial"/>
          <w:b/>
          <w:sz w:val="24"/>
          <w:szCs w:val="24"/>
        </w:rPr>
        <w:t>:</w:t>
      </w:r>
    </w:p>
    <w:p w14:paraId="6DA17643" w14:textId="77777777" w:rsidR="00CB102D" w:rsidRPr="00CB102D" w:rsidRDefault="00CB102D" w:rsidP="00CB102D">
      <w:pPr>
        <w:pStyle w:val="NoSpacing"/>
        <w:spacing w:line="288" w:lineRule="auto"/>
        <w:rPr>
          <w:rFonts w:cs="Arial"/>
          <w:sz w:val="24"/>
          <w:szCs w:val="24"/>
        </w:rPr>
      </w:pPr>
      <w:bookmarkStart w:id="5" w:name="_Hlk534582255"/>
      <w:r w:rsidRPr="00CB102D">
        <w:rPr>
          <w:rFonts w:cs="Arial"/>
          <w:sz w:val="24"/>
          <w:szCs w:val="24"/>
        </w:rPr>
        <w:t>Bernadette Li</w:t>
      </w:r>
    </w:p>
    <w:p w14:paraId="6642ED09" w14:textId="77777777" w:rsidR="00CB102D" w:rsidRPr="00CB102D" w:rsidRDefault="00CB102D" w:rsidP="00CB102D">
      <w:pPr>
        <w:pStyle w:val="NoSpacing"/>
        <w:spacing w:line="288" w:lineRule="auto"/>
        <w:rPr>
          <w:rFonts w:cs="Arial"/>
          <w:sz w:val="24"/>
          <w:szCs w:val="24"/>
        </w:rPr>
      </w:pPr>
      <w:r w:rsidRPr="00CB102D">
        <w:rPr>
          <w:rFonts w:cs="Arial"/>
          <w:sz w:val="24"/>
          <w:szCs w:val="24"/>
        </w:rPr>
        <w:t>Department of Health Services Research and Policy</w:t>
      </w:r>
    </w:p>
    <w:p w14:paraId="308C667C" w14:textId="77777777" w:rsidR="00CB102D" w:rsidRPr="00CB102D" w:rsidRDefault="00CB102D" w:rsidP="00CB102D">
      <w:pPr>
        <w:pStyle w:val="NoSpacing"/>
        <w:spacing w:line="288" w:lineRule="auto"/>
        <w:rPr>
          <w:rFonts w:cs="Arial"/>
          <w:sz w:val="24"/>
          <w:szCs w:val="24"/>
        </w:rPr>
      </w:pPr>
      <w:r w:rsidRPr="00CB102D">
        <w:rPr>
          <w:rFonts w:cs="Arial"/>
          <w:sz w:val="24"/>
          <w:szCs w:val="24"/>
        </w:rPr>
        <w:t>London School of Hygiene and Tropical Medicine</w:t>
      </w:r>
    </w:p>
    <w:p w14:paraId="15447253" w14:textId="77777777" w:rsidR="00CB102D" w:rsidRPr="00CB102D" w:rsidRDefault="00CB102D" w:rsidP="00CB102D">
      <w:pPr>
        <w:pStyle w:val="NoSpacing"/>
        <w:spacing w:line="288" w:lineRule="auto"/>
        <w:rPr>
          <w:rFonts w:cs="Arial"/>
          <w:sz w:val="24"/>
          <w:szCs w:val="24"/>
        </w:rPr>
      </w:pPr>
      <w:r w:rsidRPr="00CB102D">
        <w:rPr>
          <w:rFonts w:cs="Arial"/>
          <w:sz w:val="24"/>
          <w:szCs w:val="24"/>
        </w:rPr>
        <w:t>15-17 Tavistock Place, London WC1H 9SH, UK</w:t>
      </w:r>
    </w:p>
    <w:p w14:paraId="44542548" w14:textId="701D82A1" w:rsidR="00CB102D" w:rsidRPr="00CB102D" w:rsidRDefault="00CB102D" w:rsidP="00CB102D">
      <w:pPr>
        <w:pStyle w:val="NoSpacing"/>
        <w:spacing w:line="288" w:lineRule="auto"/>
        <w:rPr>
          <w:rFonts w:cs="Arial"/>
          <w:sz w:val="24"/>
          <w:szCs w:val="24"/>
        </w:rPr>
      </w:pPr>
      <w:r w:rsidRPr="00CB102D">
        <w:rPr>
          <w:rFonts w:cs="Arial"/>
          <w:sz w:val="24"/>
          <w:szCs w:val="24"/>
        </w:rPr>
        <w:t>E-mail: bernadette.li@lshtm.ac.uk</w:t>
      </w:r>
    </w:p>
    <w:p w14:paraId="6B27076E" w14:textId="77777777" w:rsidR="00CB102D" w:rsidRPr="00CB102D" w:rsidRDefault="00CB102D" w:rsidP="00CB102D">
      <w:pPr>
        <w:pStyle w:val="NoSpacing"/>
        <w:spacing w:line="288" w:lineRule="auto"/>
        <w:rPr>
          <w:sz w:val="24"/>
          <w:szCs w:val="24"/>
        </w:rPr>
      </w:pPr>
    </w:p>
    <w:bookmarkEnd w:id="5"/>
    <w:p w14:paraId="5A38C909" w14:textId="77777777" w:rsidR="00CB102D" w:rsidRPr="00CB102D" w:rsidRDefault="00CB102D">
      <w:pPr>
        <w:spacing w:after="160" w:line="259" w:lineRule="auto"/>
        <w:rPr>
          <w:rFonts w:cs="Times New Roman"/>
          <w:b/>
          <w:sz w:val="24"/>
          <w:szCs w:val="24"/>
        </w:rPr>
      </w:pPr>
      <w:r w:rsidRPr="00CB102D">
        <w:rPr>
          <w:rFonts w:cs="Times New Roman"/>
          <w:b/>
          <w:sz w:val="24"/>
          <w:szCs w:val="24"/>
        </w:rPr>
        <w:br w:type="page"/>
      </w:r>
    </w:p>
    <w:p w14:paraId="535503B7" w14:textId="2507D000" w:rsidR="00CB102D" w:rsidRPr="00CB102D" w:rsidRDefault="00CB102D" w:rsidP="00CB102D">
      <w:pPr>
        <w:autoSpaceDE w:val="0"/>
        <w:autoSpaceDN w:val="0"/>
        <w:adjustRightInd w:val="0"/>
        <w:spacing w:after="240" w:line="360" w:lineRule="auto"/>
        <w:rPr>
          <w:rFonts w:cs="Times New Roman"/>
          <w:b/>
          <w:sz w:val="24"/>
          <w:szCs w:val="24"/>
        </w:rPr>
      </w:pPr>
      <w:r>
        <w:rPr>
          <w:rFonts w:cs="Times New Roman"/>
          <w:b/>
          <w:sz w:val="24"/>
          <w:szCs w:val="24"/>
        </w:rPr>
        <w:lastRenderedPageBreak/>
        <w:t>AUTHORSHIP</w:t>
      </w:r>
    </w:p>
    <w:p w14:paraId="7F7C6DF3" w14:textId="2C4B3ACB" w:rsidR="00CB102D" w:rsidRPr="00CB102D" w:rsidRDefault="00CB102D" w:rsidP="00CB102D">
      <w:pPr>
        <w:autoSpaceDE w:val="0"/>
        <w:autoSpaceDN w:val="0"/>
        <w:adjustRightInd w:val="0"/>
        <w:spacing w:after="240" w:line="360" w:lineRule="auto"/>
        <w:rPr>
          <w:rFonts w:cs="Times New Roman"/>
          <w:b/>
          <w:sz w:val="24"/>
          <w:szCs w:val="24"/>
        </w:rPr>
      </w:pPr>
      <w:r w:rsidRPr="00CB102D">
        <w:rPr>
          <w:sz w:val="24"/>
          <w:szCs w:val="24"/>
          <w:lang w:eastAsia="en-GB"/>
        </w:rPr>
        <w:t>BL and J</w:t>
      </w:r>
      <w:r w:rsidR="00F542AA">
        <w:rPr>
          <w:sz w:val="24"/>
          <w:szCs w:val="24"/>
          <w:lang w:eastAsia="en-GB"/>
        </w:rPr>
        <w:t>A</w:t>
      </w:r>
      <w:r w:rsidRPr="00CB102D">
        <w:rPr>
          <w:sz w:val="24"/>
          <w:szCs w:val="24"/>
          <w:lang w:eastAsia="en-GB"/>
        </w:rPr>
        <w:t>C participated in the dev</w:t>
      </w:r>
      <w:r w:rsidR="00846350">
        <w:rPr>
          <w:sz w:val="24"/>
          <w:szCs w:val="24"/>
          <w:lang w:eastAsia="en-GB"/>
        </w:rPr>
        <w:t>elopment of the simulation model and</w:t>
      </w:r>
      <w:r w:rsidRPr="00CB102D">
        <w:rPr>
          <w:sz w:val="24"/>
          <w:szCs w:val="24"/>
          <w:lang w:eastAsia="en-GB"/>
        </w:rPr>
        <w:t xml:space="preserve"> analyses of data inputs. RJJ facilitated acquisition and interpretation of data from the UK Transplant Registry. All authors participated in the research design, performance of the research and writing of the article. </w:t>
      </w:r>
    </w:p>
    <w:p w14:paraId="639307C0" w14:textId="77777777" w:rsidR="00CB102D" w:rsidRPr="00CB102D" w:rsidRDefault="00CB102D" w:rsidP="00CB102D">
      <w:pPr>
        <w:autoSpaceDE w:val="0"/>
        <w:autoSpaceDN w:val="0"/>
        <w:adjustRightInd w:val="0"/>
        <w:spacing w:after="240" w:line="360" w:lineRule="auto"/>
        <w:rPr>
          <w:rFonts w:cs="Times New Roman"/>
          <w:sz w:val="24"/>
          <w:szCs w:val="24"/>
        </w:rPr>
      </w:pPr>
      <w:r w:rsidRPr="00CB102D">
        <w:rPr>
          <w:rFonts w:cs="Times New Roman"/>
          <w:b/>
          <w:sz w:val="24"/>
          <w:szCs w:val="24"/>
        </w:rPr>
        <w:t xml:space="preserve">Disclosure: </w:t>
      </w:r>
      <w:r w:rsidRPr="00CB102D">
        <w:rPr>
          <w:rFonts w:cs="Times New Roman"/>
          <w:sz w:val="24"/>
          <w:szCs w:val="24"/>
        </w:rPr>
        <w:t>The authors declare no conflicts of interests.</w:t>
      </w:r>
    </w:p>
    <w:p w14:paraId="1A9D2FFD" w14:textId="77777777" w:rsidR="00CB102D" w:rsidRPr="00CB102D" w:rsidRDefault="00CB102D" w:rsidP="00CB102D">
      <w:pPr>
        <w:autoSpaceDE w:val="0"/>
        <w:autoSpaceDN w:val="0"/>
        <w:adjustRightInd w:val="0"/>
        <w:spacing w:after="240" w:line="360" w:lineRule="auto"/>
        <w:rPr>
          <w:rFonts w:cs="Times New Roman"/>
          <w:sz w:val="24"/>
          <w:szCs w:val="24"/>
        </w:rPr>
      </w:pPr>
      <w:r w:rsidRPr="00CB102D">
        <w:rPr>
          <w:rFonts w:cs="Times New Roman"/>
          <w:b/>
          <w:sz w:val="24"/>
          <w:szCs w:val="24"/>
        </w:rPr>
        <w:t xml:space="preserve">Funding:  </w:t>
      </w:r>
      <w:r w:rsidRPr="00CB102D">
        <w:rPr>
          <w:rFonts w:cs="Times New Roman"/>
          <w:sz w:val="24"/>
          <w:szCs w:val="24"/>
        </w:rPr>
        <w:t xml:space="preserve">This work was funded by a National Institute for Health Research (NIHR) Programme Grant for Applied Research </w:t>
      </w:r>
      <w:r w:rsidRPr="00CB102D">
        <w:rPr>
          <w:rFonts w:eastAsiaTheme="minorEastAsia" w:cs="Times New Roman"/>
          <w:sz w:val="24"/>
          <w:szCs w:val="24"/>
          <w:lang w:eastAsia="en-GB"/>
        </w:rPr>
        <w:t>(RP-PG-0109-10116).</w:t>
      </w:r>
    </w:p>
    <w:p w14:paraId="741E6D1A" w14:textId="77777777" w:rsidR="00CB102D" w:rsidRDefault="00CB102D">
      <w:pPr>
        <w:spacing w:after="160" w:line="259" w:lineRule="auto"/>
        <w:rPr>
          <w:rFonts w:eastAsiaTheme="majorEastAsia" w:cs="Arial"/>
          <w:b/>
          <w:bCs/>
          <w:sz w:val="24"/>
          <w:szCs w:val="24"/>
          <w:lang w:eastAsia="en-GB"/>
        </w:rPr>
      </w:pPr>
      <w:r>
        <w:rPr>
          <w:rFonts w:eastAsiaTheme="majorEastAsia" w:cs="Arial"/>
          <w:b/>
          <w:bCs/>
          <w:sz w:val="24"/>
          <w:szCs w:val="24"/>
          <w:lang w:eastAsia="en-GB"/>
        </w:rPr>
        <w:br w:type="page"/>
      </w:r>
    </w:p>
    <w:p w14:paraId="4E0B54ED" w14:textId="30A63A7C" w:rsidR="001F1213" w:rsidRPr="003F67A5" w:rsidRDefault="001F1213" w:rsidP="003F67A5">
      <w:pPr>
        <w:pStyle w:val="Heading1"/>
      </w:pPr>
      <w:r w:rsidRPr="003F67A5">
        <w:lastRenderedPageBreak/>
        <w:t>ABSTRACT</w:t>
      </w:r>
      <w:bookmarkEnd w:id="0"/>
      <w:bookmarkEnd w:id="1"/>
      <w:bookmarkEnd w:id="2"/>
      <w:bookmarkEnd w:id="3"/>
      <w:bookmarkEnd w:id="4"/>
      <w:r w:rsidRPr="003F67A5">
        <w:t xml:space="preserve"> </w:t>
      </w:r>
    </w:p>
    <w:p w14:paraId="23C5D460" w14:textId="38EF01B1" w:rsidR="001F1213" w:rsidRPr="00713BAB" w:rsidRDefault="00CA6A5E" w:rsidP="002C07AA">
      <w:pPr>
        <w:spacing w:after="240" w:line="480" w:lineRule="auto"/>
        <w:jc w:val="both"/>
        <w:rPr>
          <w:rFonts w:eastAsiaTheme="minorEastAsia" w:cs="Arial"/>
          <w:sz w:val="24"/>
          <w:szCs w:val="24"/>
          <w:lang w:eastAsia="en-GB"/>
        </w:rPr>
      </w:pPr>
      <w:r w:rsidRPr="00713BAB">
        <w:rPr>
          <w:rFonts w:eastAsiaTheme="minorEastAsia" w:cs="Arial"/>
          <w:b/>
          <w:sz w:val="24"/>
          <w:szCs w:val="24"/>
          <w:lang w:eastAsia="en-GB"/>
        </w:rPr>
        <w:t>Background</w:t>
      </w:r>
      <w:r w:rsidR="001F1213" w:rsidRPr="00713BAB">
        <w:rPr>
          <w:rFonts w:eastAsiaTheme="minorEastAsia" w:cs="Arial"/>
          <w:b/>
          <w:sz w:val="24"/>
          <w:szCs w:val="24"/>
          <w:lang w:eastAsia="en-GB"/>
        </w:rPr>
        <w:t>:</w:t>
      </w:r>
      <w:r w:rsidR="001F1213" w:rsidRPr="00713BAB">
        <w:rPr>
          <w:rFonts w:eastAsiaTheme="minorEastAsia" w:cs="Arial"/>
          <w:sz w:val="24"/>
          <w:szCs w:val="24"/>
          <w:lang w:eastAsia="en-GB"/>
        </w:rPr>
        <w:t xml:space="preserve"> </w:t>
      </w:r>
      <w:r w:rsidR="00ED5C00" w:rsidRPr="00713BAB">
        <w:rPr>
          <w:rFonts w:eastAsiaTheme="minorEastAsia" w:cs="Arial"/>
          <w:sz w:val="24"/>
          <w:szCs w:val="24"/>
          <w:lang w:eastAsia="en-GB"/>
        </w:rPr>
        <w:t>The</w:t>
      </w:r>
      <w:r w:rsidR="001F1213" w:rsidRPr="00713BAB">
        <w:rPr>
          <w:rFonts w:eastAsiaTheme="minorEastAsia" w:cs="Arial"/>
          <w:sz w:val="24"/>
          <w:szCs w:val="24"/>
          <w:lang w:eastAsia="en-GB"/>
        </w:rPr>
        <w:t xml:space="preserve"> number of patients waiting to receive a kidney transplant outstrips the supply of donor organs. </w:t>
      </w:r>
      <w:r w:rsidR="00E309B3" w:rsidRPr="00713BAB">
        <w:rPr>
          <w:rFonts w:cs="Arial"/>
          <w:sz w:val="24"/>
          <w:szCs w:val="24"/>
        </w:rPr>
        <w:t xml:space="preserve">We sought to quantify </w:t>
      </w:r>
      <w:r w:rsidR="002C6378" w:rsidRPr="00713BAB">
        <w:rPr>
          <w:rFonts w:cs="Arial"/>
          <w:sz w:val="24"/>
          <w:szCs w:val="24"/>
        </w:rPr>
        <w:t>trade-offs</w:t>
      </w:r>
      <w:r w:rsidR="00E309B3" w:rsidRPr="00713BAB">
        <w:rPr>
          <w:rFonts w:cs="Arial"/>
          <w:sz w:val="24"/>
          <w:szCs w:val="24"/>
        </w:rPr>
        <w:t xml:space="preserve"> </w:t>
      </w:r>
      <w:r w:rsidR="00A21B80" w:rsidRPr="00713BAB">
        <w:rPr>
          <w:rFonts w:cs="Arial"/>
          <w:sz w:val="24"/>
          <w:szCs w:val="24"/>
        </w:rPr>
        <w:t xml:space="preserve">associated with different approaches to deceased donor kidney allocation in </w:t>
      </w:r>
      <w:r w:rsidR="00E309B3" w:rsidRPr="00713BAB">
        <w:rPr>
          <w:rFonts w:cs="Arial"/>
          <w:sz w:val="24"/>
          <w:szCs w:val="24"/>
        </w:rPr>
        <w:t>terms of quality-adjusted life years</w:t>
      </w:r>
      <w:r w:rsidR="002C6378" w:rsidRPr="00713BAB">
        <w:rPr>
          <w:rFonts w:cs="Arial"/>
          <w:sz w:val="24"/>
          <w:szCs w:val="24"/>
        </w:rPr>
        <w:t xml:space="preserve"> (QALYs)</w:t>
      </w:r>
      <w:r w:rsidR="008D5154" w:rsidRPr="00713BAB">
        <w:rPr>
          <w:rFonts w:cs="Arial"/>
          <w:sz w:val="24"/>
          <w:szCs w:val="24"/>
        </w:rPr>
        <w:t>, costs and</w:t>
      </w:r>
      <w:r w:rsidR="00E309B3" w:rsidRPr="00713BAB">
        <w:rPr>
          <w:rFonts w:cs="Arial"/>
          <w:sz w:val="24"/>
          <w:szCs w:val="24"/>
        </w:rPr>
        <w:t xml:space="preserve"> access to transplantation</w:t>
      </w:r>
      <w:r w:rsidR="00E309B3" w:rsidRPr="00713BAB">
        <w:rPr>
          <w:rFonts w:eastAsiaTheme="minorEastAsia" w:cs="Arial"/>
          <w:sz w:val="24"/>
          <w:szCs w:val="24"/>
          <w:lang w:eastAsia="en-GB"/>
        </w:rPr>
        <w:t xml:space="preserve">. </w:t>
      </w:r>
    </w:p>
    <w:p w14:paraId="77713D44" w14:textId="46F7A433" w:rsidR="001F1213" w:rsidRPr="00713BAB" w:rsidRDefault="001F1213" w:rsidP="002C07AA">
      <w:pPr>
        <w:spacing w:after="240" w:line="480" w:lineRule="auto"/>
        <w:jc w:val="both"/>
        <w:rPr>
          <w:rFonts w:eastAsiaTheme="minorEastAsia" w:cs="Arial"/>
          <w:sz w:val="24"/>
          <w:szCs w:val="24"/>
          <w:lang w:eastAsia="en-GB"/>
        </w:rPr>
      </w:pPr>
      <w:r w:rsidRPr="00713BAB">
        <w:rPr>
          <w:rFonts w:eastAsiaTheme="minorEastAsia" w:cs="Arial"/>
          <w:b/>
          <w:sz w:val="24"/>
          <w:szCs w:val="24"/>
          <w:lang w:eastAsia="en-GB"/>
        </w:rPr>
        <w:t>Methods:</w:t>
      </w:r>
      <w:r w:rsidRPr="00713BAB">
        <w:rPr>
          <w:rFonts w:eastAsiaTheme="minorEastAsia" w:cs="Arial"/>
          <w:sz w:val="24"/>
          <w:szCs w:val="24"/>
          <w:lang w:eastAsia="en-GB"/>
        </w:rPr>
        <w:t xml:space="preserve"> An individual patient simulation</w:t>
      </w:r>
      <w:r w:rsidR="002E5E5E" w:rsidRPr="00713BAB">
        <w:rPr>
          <w:rFonts w:eastAsiaTheme="minorEastAsia" w:cs="Arial"/>
          <w:sz w:val="24"/>
          <w:szCs w:val="24"/>
          <w:lang w:eastAsia="en-GB"/>
        </w:rPr>
        <w:t xml:space="preserve"> model</w:t>
      </w:r>
      <w:r w:rsidRPr="00713BAB">
        <w:rPr>
          <w:rFonts w:eastAsiaTheme="minorEastAsia" w:cs="Arial"/>
          <w:sz w:val="24"/>
          <w:szCs w:val="24"/>
          <w:lang w:eastAsia="en-GB"/>
        </w:rPr>
        <w:t xml:space="preserve"> was developed to compare </w:t>
      </w:r>
      <w:r w:rsidR="002C6378" w:rsidRPr="00713BAB">
        <w:rPr>
          <w:rFonts w:eastAsiaTheme="minorEastAsia" w:cs="Arial"/>
          <w:sz w:val="24"/>
          <w:szCs w:val="24"/>
          <w:lang w:eastAsia="en-GB"/>
        </w:rPr>
        <w:t xml:space="preserve">five </w:t>
      </w:r>
      <w:r w:rsidR="00CF4808" w:rsidRPr="00713BAB">
        <w:rPr>
          <w:rFonts w:eastAsiaTheme="minorEastAsia" w:cs="Arial"/>
          <w:sz w:val="24"/>
          <w:szCs w:val="24"/>
          <w:lang w:eastAsia="en-GB"/>
        </w:rPr>
        <w:t>different approaches to kidney allocation</w:t>
      </w:r>
      <w:r w:rsidR="002C6378" w:rsidRPr="00713BAB">
        <w:rPr>
          <w:rFonts w:eastAsiaTheme="minorEastAsia" w:cs="Arial"/>
          <w:sz w:val="24"/>
          <w:szCs w:val="24"/>
          <w:lang w:eastAsia="en-GB"/>
        </w:rPr>
        <w:t xml:space="preserve">, including the 2006 UK National Kidney Allocation Scheme (NKAS) and </w:t>
      </w:r>
      <w:r w:rsidRPr="00713BAB">
        <w:rPr>
          <w:rFonts w:eastAsiaTheme="minorEastAsia" w:cs="Arial"/>
          <w:sz w:val="24"/>
          <w:szCs w:val="24"/>
          <w:lang w:eastAsia="en-GB"/>
        </w:rPr>
        <w:t xml:space="preserve">a </w:t>
      </w:r>
      <w:r w:rsidR="00154F9A" w:rsidRPr="00713BAB">
        <w:rPr>
          <w:rFonts w:eastAsiaTheme="minorEastAsia" w:cs="Arial"/>
          <w:sz w:val="24"/>
          <w:szCs w:val="24"/>
          <w:lang w:eastAsia="en-GB"/>
        </w:rPr>
        <w:t>QALY</w:t>
      </w:r>
      <w:r w:rsidRPr="00713BAB">
        <w:rPr>
          <w:rFonts w:eastAsiaTheme="minorEastAsia" w:cs="Arial"/>
          <w:sz w:val="24"/>
          <w:szCs w:val="24"/>
          <w:lang w:eastAsia="en-GB"/>
        </w:rPr>
        <w:t>-</w:t>
      </w:r>
      <w:r w:rsidR="00814083" w:rsidRPr="00713BAB">
        <w:rPr>
          <w:rFonts w:eastAsiaTheme="minorEastAsia" w:cs="Arial"/>
          <w:sz w:val="24"/>
          <w:szCs w:val="24"/>
          <w:lang w:eastAsia="en-GB"/>
        </w:rPr>
        <w:t>maximisation</w:t>
      </w:r>
      <w:r w:rsidRPr="00713BAB">
        <w:rPr>
          <w:rFonts w:eastAsiaTheme="minorEastAsia" w:cs="Arial"/>
          <w:sz w:val="24"/>
          <w:szCs w:val="24"/>
          <w:lang w:eastAsia="en-GB"/>
        </w:rPr>
        <w:t xml:space="preserve"> approach</w:t>
      </w:r>
      <w:r w:rsidR="00CF4808" w:rsidRPr="00713BAB">
        <w:rPr>
          <w:rFonts w:eastAsiaTheme="minorEastAsia" w:cs="Arial"/>
          <w:sz w:val="24"/>
          <w:szCs w:val="24"/>
          <w:lang w:eastAsia="en-GB"/>
        </w:rPr>
        <w:t xml:space="preserve"> designed to maximise health gains from a limited supply of donor organs</w:t>
      </w:r>
      <w:r w:rsidRPr="00713BAB">
        <w:rPr>
          <w:rFonts w:eastAsiaTheme="minorEastAsia" w:cs="Arial"/>
          <w:sz w:val="24"/>
          <w:szCs w:val="24"/>
          <w:lang w:eastAsia="en-GB"/>
        </w:rPr>
        <w:t>. We used various sources of patient-level data to develop multivariable regression models to predict survival, health</w:t>
      </w:r>
      <w:r w:rsidR="00CF4808" w:rsidRPr="00713BAB">
        <w:rPr>
          <w:rFonts w:eastAsiaTheme="minorEastAsia" w:cs="Arial"/>
          <w:sz w:val="24"/>
          <w:szCs w:val="24"/>
          <w:lang w:eastAsia="en-GB"/>
        </w:rPr>
        <w:t>-</w:t>
      </w:r>
      <w:r w:rsidRPr="00713BAB">
        <w:rPr>
          <w:rFonts w:eastAsiaTheme="minorEastAsia" w:cs="Arial"/>
          <w:sz w:val="24"/>
          <w:szCs w:val="24"/>
          <w:lang w:eastAsia="en-GB"/>
        </w:rPr>
        <w:t xml:space="preserve">state utilities and costs. We simulated the allocation of kidneys from 2200 </w:t>
      </w:r>
      <w:r w:rsidR="00154F9A" w:rsidRPr="00713BAB">
        <w:rPr>
          <w:rFonts w:eastAsiaTheme="minorEastAsia" w:cs="Arial"/>
          <w:sz w:val="24"/>
          <w:szCs w:val="24"/>
          <w:lang w:eastAsia="en-GB"/>
        </w:rPr>
        <w:t xml:space="preserve">deceased </w:t>
      </w:r>
      <w:r w:rsidRPr="00713BAB">
        <w:rPr>
          <w:rFonts w:eastAsiaTheme="minorEastAsia" w:cs="Arial"/>
          <w:sz w:val="24"/>
          <w:szCs w:val="24"/>
          <w:lang w:eastAsia="en-GB"/>
        </w:rPr>
        <w:t xml:space="preserve">donors to a waiting list of 5500 patients and produced estimates of total lifetime costs and </w:t>
      </w:r>
      <w:r w:rsidR="00154F9A" w:rsidRPr="00713BAB">
        <w:rPr>
          <w:rFonts w:eastAsiaTheme="minorEastAsia" w:cs="Arial"/>
          <w:sz w:val="24"/>
          <w:szCs w:val="24"/>
          <w:lang w:eastAsia="en-GB"/>
        </w:rPr>
        <w:t>QALYs</w:t>
      </w:r>
      <w:r w:rsidRPr="00713BAB">
        <w:rPr>
          <w:rFonts w:eastAsiaTheme="minorEastAsia" w:cs="Arial"/>
          <w:sz w:val="24"/>
          <w:szCs w:val="24"/>
          <w:lang w:eastAsia="en-GB"/>
        </w:rPr>
        <w:t xml:space="preserve"> for each allocation scheme. </w:t>
      </w:r>
    </w:p>
    <w:p w14:paraId="4E48441A" w14:textId="262CCD9D" w:rsidR="001F1213" w:rsidRPr="00713BAB" w:rsidRDefault="001F1213" w:rsidP="002C07AA">
      <w:pPr>
        <w:spacing w:after="240" w:line="480" w:lineRule="auto"/>
        <w:jc w:val="both"/>
        <w:rPr>
          <w:rFonts w:eastAsiaTheme="minorEastAsia" w:cs="Arial"/>
          <w:sz w:val="24"/>
          <w:szCs w:val="24"/>
          <w:lang w:eastAsia="en-GB"/>
        </w:rPr>
      </w:pPr>
      <w:r w:rsidRPr="00713BAB">
        <w:rPr>
          <w:rFonts w:eastAsiaTheme="minorEastAsia" w:cs="Arial"/>
          <w:b/>
          <w:sz w:val="24"/>
          <w:szCs w:val="24"/>
          <w:lang w:eastAsia="en-GB"/>
        </w:rPr>
        <w:t xml:space="preserve">Results: </w:t>
      </w:r>
      <w:r w:rsidRPr="00713BAB">
        <w:rPr>
          <w:rFonts w:eastAsiaTheme="minorEastAsia" w:cs="Arial"/>
          <w:sz w:val="24"/>
          <w:szCs w:val="24"/>
          <w:lang w:eastAsia="en-GB"/>
        </w:rPr>
        <w:t xml:space="preserve">Among patients who received a transplant, the </w:t>
      </w:r>
      <w:r w:rsidR="00154F9A" w:rsidRPr="00713BAB">
        <w:rPr>
          <w:rFonts w:eastAsiaTheme="minorEastAsia" w:cs="Arial"/>
          <w:sz w:val="24"/>
          <w:szCs w:val="24"/>
          <w:lang w:eastAsia="en-GB"/>
        </w:rPr>
        <w:t>QALY</w:t>
      </w:r>
      <w:r w:rsidRPr="00713BAB">
        <w:rPr>
          <w:rFonts w:eastAsiaTheme="minorEastAsia" w:cs="Arial"/>
          <w:sz w:val="24"/>
          <w:szCs w:val="24"/>
          <w:lang w:eastAsia="en-GB"/>
        </w:rPr>
        <w:t>-</w:t>
      </w:r>
      <w:r w:rsidR="00814083" w:rsidRPr="00713BAB">
        <w:rPr>
          <w:rFonts w:eastAsiaTheme="minorEastAsia" w:cs="Arial"/>
          <w:sz w:val="24"/>
          <w:szCs w:val="24"/>
          <w:lang w:eastAsia="en-GB"/>
        </w:rPr>
        <w:t>maximisation</w:t>
      </w:r>
      <w:r w:rsidRPr="00713BAB">
        <w:rPr>
          <w:rFonts w:eastAsiaTheme="minorEastAsia" w:cs="Arial"/>
          <w:sz w:val="24"/>
          <w:szCs w:val="24"/>
          <w:lang w:eastAsia="en-GB"/>
        </w:rPr>
        <w:t xml:space="preserve"> approach </w:t>
      </w:r>
      <w:r w:rsidR="000E08A0" w:rsidRPr="00713BAB">
        <w:rPr>
          <w:rFonts w:eastAsiaTheme="minorEastAsia" w:cs="Arial"/>
          <w:sz w:val="24"/>
          <w:szCs w:val="24"/>
          <w:lang w:eastAsia="en-GB"/>
        </w:rPr>
        <w:t>generated</w:t>
      </w:r>
      <w:r w:rsidR="00A11CA3" w:rsidRPr="00713BAB">
        <w:rPr>
          <w:rFonts w:eastAsiaTheme="minorEastAsia" w:cs="Arial"/>
          <w:sz w:val="24"/>
          <w:szCs w:val="24"/>
          <w:lang w:eastAsia="en-GB"/>
        </w:rPr>
        <w:t xml:space="preserve"> </w:t>
      </w:r>
      <w:r w:rsidR="001778E4" w:rsidRPr="00713BAB">
        <w:rPr>
          <w:rFonts w:eastAsiaTheme="minorEastAsia" w:cs="Arial"/>
          <w:sz w:val="24"/>
          <w:szCs w:val="24"/>
          <w:lang w:eastAsia="en-GB"/>
        </w:rPr>
        <w:t>48,04</w:t>
      </w:r>
      <w:r w:rsidR="004D7D89" w:rsidRPr="00713BAB">
        <w:rPr>
          <w:rFonts w:eastAsiaTheme="minorEastAsia" w:cs="Arial"/>
          <w:sz w:val="24"/>
          <w:szCs w:val="24"/>
          <w:lang w:eastAsia="en-GB"/>
        </w:rPr>
        <w:t>5</w:t>
      </w:r>
      <w:r w:rsidR="00A11CA3" w:rsidRPr="00713BAB">
        <w:rPr>
          <w:rFonts w:eastAsiaTheme="minorEastAsia" w:cs="Arial"/>
          <w:sz w:val="24"/>
          <w:szCs w:val="24"/>
          <w:lang w:eastAsia="en-GB"/>
        </w:rPr>
        <w:t xml:space="preserve"> QALYs </w:t>
      </w:r>
      <w:r w:rsidR="000E08A0" w:rsidRPr="00713BAB">
        <w:rPr>
          <w:rFonts w:eastAsiaTheme="minorEastAsia" w:cs="Arial"/>
          <w:sz w:val="24"/>
          <w:szCs w:val="24"/>
          <w:lang w:eastAsia="en-GB"/>
        </w:rPr>
        <w:t>and cost</w:t>
      </w:r>
      <w:r w:rsidR="005C4309" w:rsidRPr="00713BAB">
        <w:rPr>
          <w:rFonts w:eastAsiaTheme="minorEastAsia" w:cs="Arial"/>
          <w:sz w:val="24"/>
          <w:szCs w:val="24"/>
          <w:lang w:eastAsia="en-GB"/>
        </w:rPr>
        <w:t xml:space="preserve"> </w:t>
      </w:r>
      <w:r w:rsidRPr="00713BAB">
        <w:rPr>
          <w:rFonts w:eastAsiaTheme="minorEastAsia" w:cs="Arial"/>
          <w:sz w:val="24"/>
          <w:szCs w:val="24"/>
          <w:lang w:eastAsia="en-GB"/>
        </w:rPr>
        <w:t>£</w:t>
      </w:r>
      <w:r w:rsidR="007351AD" w:rsidRPr="00713BAB">
        <w:rPr>
          <w:rFonts w:eastAsiaTheme="minorEastAsia" w:cs="Arial"/>
          <w:sz w:val="24"/>
          <w:szCs w:val="24"/>
          <w:lang w:eastAsia="en-GB"/>
        </w:rPr>
        <w:t>6</w:t>
      </w:r>
      <w:r w:rsidR="004D7D89" w:rsidRPr="00713BAB">
        <w:rPr>
          <w:rFonts w:eastAsiaTheme="minorEastAsia" w:cs="Arial"/>
          <w:sz w:val="24"/>
          <w:szCs w:val="24"/>
          <w:lang w:eastAsia="en-GB"/>
        </w:rPr>
        <w:t>81</w:t>
      </w:r>
      <w:r w:rsidRPr="00713BAB">
        <w:rPr>
          <w:rFonts w:eastAsiaTheme="minorEastAsia" w:cs="Arial"/>
          <w:sz w:val="24"/>
          <w:szCs w:val="24"/>
          <w:lang w:eastAsia="en-GB"/>
        </w:rPr>
        <w:t xml:space="preserve"> </w:t>
      </w:r>
      <w:r w:rsidR="000E08A0" w:rsidRPr="00713BAB">
        <w:rPr>
          <w:rFonts w:eastAsiaTheme="minorEastAsia" w:cs="Arial"/>
          <w:sz w:val="24"/>
          <w:szCs w:val="24"/>
          <w:lang w:eastAsia="en-GB"/>
        </w:rPr>
        <w:t>million</w:t>
      </w:r>
      <w:r w:rsidRPr="00713BAB">
        <w:rPr>
          <w:rFonts w:eastAsiaTheme="minorEastAsia" w:cs="Arial"/>
          <w:sz w:val="24"/>
          <w:szCs w:val="24"/>
          <w:lang w:eastAsia="en-GB"/>
        </w:rPr>
        <w:t xml:space="preserve"> while </w:t>
      </w:r>
      <w:r w:rsidR="00A11CA3" w:rsidRPr="00713BAB">
        <w:rPr>
          <w:rFonts w:eastAsiaTheme="minorEastAsia" w:cs="Arial"/>
          <w:sz w:val="24"/>
          <w:szCs w:val="24"/>
          <w:lang w:eastAsia="en-GB"/>
        </w:rPr>
        <w:t xml:space="preserve">the 2006 NKAS </w:t>
      </w:r>
      <w:r w:rsidR="000E08A0" w:rsidRPr="00713BAB">
        <w:rPr>
          <w:rFonts w:eastAsiaTheme="minorEastAsia" w:cs="Arial"/>
          <w:sz w:val="24"/>
          <w:szCs w:val="24"/>
          <w:lang w:eastAsia="en-GB"/>
        </w:rPr>
        <w:t>generated 44,</w:t>
      </w:r>
      <w:r w:rsidR="004D7D89" w:rsidRPr="00713BAB">
        <w:rPr>
          <w:rFonts w:eastAsiaTheme="minorEastAsia" w:cs="Arial"/>
          <w:sz w:val="24"/>
          <w:szCs w:val="24"/>
          <w:lang w:eastAsia="en-GB"/>
        </w:rPr>
        <w:t>040</w:t>
      </w:r>
      <w:r w:rsidR="000E08A0" w:rsidRPr="00713BAB">
        <w:rPr>
          <w:rFonts w:eastAsiaTheme="minorEastAsia" w:cs="Arial"/>
          <w:sz w:val="24"/>
          <w:szCs w:val="24"/>
          <w:lang w:eastAsia="en-GB"/>
        </w:rPr>
        <w:t xml:space="preserve"> QALYs </w:t>
      </w:r>
      <w:r w:rsidR="00283231" w:rsidRPr="00713BAB">
        <w:rPr>
          <w:rFonts w:eastAsiaTheme="minorEastAsia" w:cs="Arial"/>
          <w:sz w:val="24"/>
          <w:szCs w:val="24"/>
          <w:lang w:eastAsia="en-GB"/>
        </w:rPr>
        <w:t>and cost £625 million</w:t>
      </w:r>
      <w:r w:rsidRPr="00713BAB">
        <w:rPr>
          <w:rFonts w:eastAsiaTheme="minorEastAsia" w:cs="Arial"/>
          <w:sz w:val="24"/>
          <w:szCs w:val="24"/>
          <w:lang w:eastAsia="en-GB"/>
        </w:rPr>
        <w:t xml:space="preserve">. </w:t>
      </w:r>
      <w:r w:rsidR="00374EE2" w:rsidRPr="00713BAB">
        <w:rPr>
          <w:rFonts w:eastAsiaTheme="minorEastAsia" w:cs="Arial"/>
          <w:sz w:val="24"/>
          <w:szCs w:val="24"/>
          <w:lang w:eastAsia="en-GB"/>
        </w:rPr>
        <w:t>When</w:t>
      </w:r>
      <w:r w:rsidRPr="00713BAB">
        <w:rPr>
          <w:rFonts w:eastAsiaTheme="minorEastAsia" w:cs="Arial"/>
          <w:sz w:val="24"/>
          <w:szCs w:val="24"/>
          <w:lang w:eastAsia="en-GB"/>
        </w:rPr>
        <w:t xml:space="preserve"> </w:t>
      </w:r>
      <w:r w:rsidR="007351AD" w:rsidRPr="00713BAB">
        <w:rPr>
          <w:rFonts w:eastAsiaTheme="minorEastAsia" w:cs="Arial"/>
          <w:sz w:val="24"/>
          <w:szCs w:val="24"/>
          <w:lang w:eastAsia="en-GB"/>
        </w:rPr>
        <w:t xml:space="preserve">also </w:t>
      </w:r>
      <w:r w:rsidRPr="00713BAB">
        <w:rPr>
          <w:rFonts w:eastAsiaTheme="minorEastAsia" w:cs="Arial"/>
          <w:sz w:val="24"/>
          <w:szCs w:val="24"/>
          <w:lang w:eastAsia="en-GB"/>
        </w:rPr>
        <w:t xml:space="preserve">taking into consideration outcomes for patients who </w:t>
      </w:r>
      <w:r w:rsidR="007351AD" w:rsidRPr="00713BAB">
        <w:rPr>
          <w:rFonts w:eastAsiaTheme="minorEastAsia" w:cs="Arial"/>
          <w:sz w:val="24"/>
          <w:szCs w:val="24"/>
          <w:lang w:eastAsia="en-GB"/>
        </w:rPr>
        <w:t>were not prioritised to receive a</w:t>
      </w:r>
      <w:r w:rsidRPr="00713BAB">
        <w:rPr>
          <w:rFonts w:eastAsiaTheme="minorEastAsia" w:cs="Arial"/>
          <w:sz w:val="24"/>
          <w:szCs w:val="24"/>
          <w:lang w:eastAsia="en-GB"/>
        </w:rPr>
        <w:t xml:space="preserve"> tra</w:t>
      </w:r>
      <w:r w:rsidR="00CC252D" w:rsidRPr="00713BAB">
        <w:rPr>
          <w:rFonts w:eastAsiaTheme="minorEastAsia" w:cs="Arial"/>
          <w:sz w:val="24"/>
          <w:szCs w:val="24"/>
          <w:lang w:eastAsia="en-GB"/>
        </w:rPr>
        <w:t xml:space="preserve">nsplant, the </w:t>
      </w:r>
      <w:r w:rsidR="00C57356" w:rsidRPr="00713BAB">
        <w:rPr>
          <w:rFonts w:eastAsiaTheme="minorEastAsia" w:cs="Arial"/>
          <w:sz w:val="24"/>
          <w:szCs w:val="24"/>
          <w:lang w:eastAsia="en-GB"/>
        </w:rPr>
        <w:t xml:space="preserve">2006 </w:t>
      </w:r>
      <w:r w:rsidR="00A11CA3" w:rsidRPr="00713BAB">
        <w:rPr>
          <w:rFonts w:eastAsiaTheme="minorEastAsia" w:cs="Arial"/>
          <w:sz w:val="24"/>
          <w:szCs w:val="24"/>
          <w:lang w:eastAsia="en-GB"/>
        </w:rPr>
        <w:t>NKAS</w:t>
      </w:r>
      <w:r w:rsidR="00154F9A" w:rsidRPr="00713BAB">
        <w:rPr>
          <w:rFonts w:eastAsiaTheme="minorEastAsia" w:cs="Arial"/>
          <w:sz w:val="24"/>
          <w:szCs w:val="24"/>
          <w:lang w:eastAsia="en-GB"/>
        </w:rPr>
        <w:t xml:space="preserve"> </w:t>
      </w:r>
      <w:r w:rsidRPr="00713BAB">
        <w:rPr>
          <w:rFonts w:eastAsiaTheme="minorEastAsia" w:cs="Arial"/>
          <w:sz w:val="24"/>
          <w:szCs w:val="24"/>
          <w:lang w:eastAsia="en-GB"/>
        </w:rPr>
        <w:t xml:space="preserve">produced </w:t>
      </w:r>
      <w:r w:rsidR="00374EE2" w:rsidRPr="00713BAB">
        <w:rPr>
          <w:rFonts w:eastAsiaTheme="minorEastAsia" w:cs="Arial"/>
          <w:sz w:val="24"/>
          <w:szCs w:val="24"/>
          <w:lang w:eastAsia="en-GB"/>
        </w:rPr>
        <w:t>higher total</w:t>
      </w:r>
      <w:r w:rsidRPr="00713BAB">
        <w:rPr>
          <w:rFonts w:eastAsiaTheme="minorEastAsia" w:cs="Arial"/>
          <w:sz w:val="24"/>
          <w:szCs w:val="24"/>
          <w:lang w:eastAsia="en-GB"/>
        </w:rPr>
        <w:t xml:space="preserve"> QALYs</w:t>
      </w:r>
      <w:r w:rsidR="00154F9A" w:rsidRPr="00713BAB">
        <w:rPr>
          <w:rFonts w:eastAsiaTheme="minorEastAsia" w:cs="Arial"/>
          <w:sz w:val="24"/>
          <w:szCs w:val="24"/>
          <w:lang w:eastAsia="en-GB"/>
        </w:rPr>
        <w:t xml:space="preserve"> and costs</w:t>
      </w:r>
      <w:r w:rsidRPr="00713BAB">
        <w:rPr>
          <w:rFonts w:eastAsiaTheme="minorEastAsia" w:cs="Arial"/>
          <w:sz w:val="24"/>
          <w:szCs w:val="24"/>
          <w:lang w:eastAsia="en-GB"/>
        </w:rPr>
        <w:t xml:space="preserve"> </w:t>
      </w:r>
      <w:r w:rsidR="00ED5C00" w:rsidRPr="00713BAB">
        <w:rPr>
          <w:rFonts w:eastAsiaTheme="minorEastAsia" w:cs="Arial"/>
          <w:sz w:val="24"/>
          <w:szCs w:val="24"/>
          <w:lang w:eastAsia="en-GB"/>
        </w:rPr>
        <w:t>and an incremental cost-effectiveness ratio of £</w:t>
      </w:r>
      <w:r w:rsidR="004D7D89" w:rsidRPr="00713BAB">
        <w:rPr>
          <w:rFonts w:eastAsiaTheme="minorEastAsia" w:cs="Arial"/>
          <w:sz w:val="24"/>
          <w:szCs w:val="24"/>
          <w:lang w:eastAsia="en-GB"/>
        </w:rPr>
        <w:t>110,741</w:t>
      </w:r>
      <w:r w:rsidR="00ED5C00" w:rsidRPr="00713BAB">
        <w:rPr>
          <w:rFonts w:eastAsiaTheme="minorEastAsia" w:cs="Arial"/>
          <w:sz w:val="24"/>
          <w:szCs w:val="24"/>
          <w:lang w:eastAsia="en-GB"/>
        </w:rPr>
        <w:t>/QALY compared to the QALY-maximis</w:t>
      </w:r>
      <w:r w:rsidR="007351AD" w:rsidRPr="00713BAB">
        <w:rPr>
          <w:rFonts w:eastAsiaTheme="minorEastAsia" w:cs="Arial"/>
          <w:sz w:val="24"/>
          <w:szCs w:val="24"/>
          <w:lang w:eastAsia="en-GB"/>
        </w:rPr>
        <w:t>ation a</w:t>
      </w:r>
      <w:r w:rsidR="00ED5C00" w:rsidRPr="00713BAB">
        <w:rPr>
          <w:rFonts w:eastAsiaTheme="minorEastAsia" w:cs="Arial"/>
          <w:sz w:val="24"/>
          <w:szCs w:val="24"/>
          <w:lang w:eastAsia="en-GB"/>
        </w:rPr>
        <w:t xml:space="preserve">pproach. </w:t>
      </w:r>
    </w:p>
    <w:p w14:paraId="5D73A168" w14:textId="754ACF9B" w:rsidR="00BB3E70" w:rsidRPr="00713BAB" w:rsidRDefault="007351AD" w:rsidP="00713BAB">
      <w:pPr>
        <w:spacing w:after="240" w:line="480" w:lineRule="auto"/>
        <w:jc w:val="both"/>
        <w:rPr>
          <w:rFonts w:cs="Arial"/>
          <w:sz w:val="24"/>
          <w:szCs w:val="24"/>
        </w:rPr>
      </w:pPr>
      <w:bookmarkStart w:id="6" w:name="_Hlk12486218"/>
      <w:r w:rsidRPr="00713BAB">
        <w:rPr>
          <w:rFonts w:eastAsiaTheme="minorEastAsia" w:cs="Arial"/>
          <w:b/>
          <w:sz w:val="24"/>
          <w:szCs w:val="24"/>
          <w:lang w:eastAsia="en-GB"/>
        </w:rPr>
        <w:t>Conclusions</w:t>
      </w:r>
      <w:r w:rsidR="001F1213" w:rsidRPr="00713BAB">
        <w:rPr>
          <w:rFonts w:eastAsiaTheme="minorEastAsia" w:cs="Arial"/>
          <w:b/>
          <w:sz w:val="24"/>
          <w:szCs w:val="24"/>
          <w:lang w:eastAsia="en-GB"/>
        </w:rPr>
        <w:t>:</w:t>
      </w:r>
      <w:r w:rsidR="001F1213" w:rsidRPr="00713BAB">
        <w:rPr>
          <w:rFonts w:eastAsiaTheme="minorEastAsia" w:cs="Arial"/>
          <w:sz w:val="24"/>
          <w:szCs w:val="24"/>
          <w:lang w:eastAsia="en-GB"/>
        </w:rPr>
        <w:t xml:space="preserve"> </w:t>
      </w:r>
      <w:bookmarkStart w:id="7" w:name="_Toc456551543"/>
      <w:bookmarkStart w:id="8" w:name="_Toc456552029"/>
      <w:bookmarkStart w:id="9" w:name="_Toc456638624"/>
      <w:bookmarkStart w:id="10" w:name="_Toc457239802"/>
      <w:bookmarkStart w:id="11" w:name="_Toc457323772"/>
      <w:r w:rsidRPr="00713BAB">
        <w:rPr>
          <w:rFonts w:cs="Arial"/>
          <w:sz w:val="24"/>
          <w:szCs w:val="24"/>
        </w:rPr>
        <w:t xml:space="preserve">Compared to the </w:t>
      </w:r>
      <w:r w:rsidR="00F57608" w:rsidRPr="00713BAB">
        <w:rPr>
          <w:rFonts w:cs="Arial"/>
          <w:sz w:val="24"/>
          <w:szCs w:val="24"/>
        </w:rPr>
        <w:t>2006</w:t>
      </w:r>
      <w:r w:rsidR="00374EE2" w:rsidRPr="00713BAB">
        <w:rPr>
          <w:rFonts w:cs="Arial"/>
          <w:sz w:val="24"/>
          <w:szCs w:val="24"/>
        </w:rPr>
        <w:t xml:space="preserve"> NKAS</w:t>
      </w:r>
      <w:r w:rsidRPr="00713BAB">
        <w:rPr>
          <w:rFonts w:cs="Arial"/>
          <w:sz w:val="24"/>
          <w:szCs w:val="24"/>
        </w:rPr>
        <w:t xml:space="preserve">, a QALY-maximisation approach makes more efficient use of </w:t>
      </w:r>
      <w:r w:rsidR="00CE2111">
        <w:rPr>
          <w:rFonts w:cs="Arial"/>
          <w:sz w:val="24"/>
          <w:szCs w:val="24"/>
        </w:rPr>
        <w:t xml:space="preserve">deceased donor </w:t>
      </w:r>
      <w:r w:rsidRPr="00713BAB">
        <w:rPr>
          <w:rFonts w:cs="Arial"/>
          <w:sz w:val="24"/>
          <w:szCs w:val="24"/>
        </w:rPr>
        <w:t>kidneys</w:t>
      </w:r>
      <w:r w:rsidR="00374EE2" w:rsidRPr="00713BAB">
        <w:rPr>
          <w:rFonts w:cs="Arial"/>
          <w:sz w:val="24"/>
          <w:szCs w:val="24"/>
        </w:rPr>
        <w:t xml:space="preserve"> </w:t>
      </w:r>
      <w:r w:rsidRPr="00713BAB">
        <w:rPr>
          <w:rFonts w:cs="Arial"/>
          <w:sz w:val="24"/>
          <w:szCs w:val="24"/>
        </w:rPr>
        <w:t>but reduces access to transplantation for older patients and results in greater inequity in the distribution of health gains</w:t>
      </w:r>
      <w:r w:rsidR="00374EE2" w:rsidRPr="00713BAB">
        <w:rPr>
          <w:rFonts w:cs="Arial"/>
          <w:sz w:val="24"/>
          <w:szCs w:val="24"/>
        </w:rPr>
        <w:t xml:space="preserve"> between patients who receive a transplant and patients who remain on the waiting list</w:t>
      </w:r>
      <w:r w:rsidRPr="00713BAB">
        <w:rPr>
          <w:rFonts w:cs="Arial"/>
          <w:sz w:val="24"/>
          <w:szCs w:val="24"/>
        </w:rPr>
        <w:t>.</w:t>
      </w:r>
      <w:r w:rsidR="00BB3E70" w:rsidRPr="00713BAB">
        <w:rPr>
          <w:rFonts w:eastAsiaTheme="minorEastAsia" w:cs="Arial"/>
          <w:b/>
          <w:sz w:val="24"/>
          <w:szCs w:val="24"/>
          <w:lang w:eastAsia="en-GB"/>
        </w:rPr>
        <w:br w:type="page"/>
      </w:r>
    </w:p>
    <w:bookmarkEnd w:id="6"/>
    <w:p w14:paraId="067D7A36" w14:textId="5931FAAF" w:rsidR="009E0A22" w:rsidRPr="00713BAB" w:rsidRDefault="00BB3E70" w:rsidP="003F67A5">
      <w:pPr>
        <w:pStyle w:val="Heading1"/>
      </w:pPr>
      <w:r w:rsidRPr="00713BAB">
        <w:lastRenderedPageBreak/>
        <w:t>ABBREVIATIONS</w:t>
      </w:r>
    </w:p>
    <w:p w14:paraId="2933B35D" w14:textId="366A7A2D" w:rsidR="00BB3E70" w:rsidRPr="00713BAB" w:rsidRDefault="00BB3E70"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EPTS</w:t>
      </w:r>
      <w:r w:rsidR="00CA6A5E" w:rsidRPr="00713BAB">
        <w:rPr>
          <w:rFonts w:eastAsiaTheme="minorEastAsia" w:cs="Arial"/>
          <w:sz w:val="24"/>
          <w:szCs w:val="24"/>
          <w:lang w:eastAsia="en-GB"/>
        </w:rPr>
        <w:t>, e</w:t>
      </w:r>
      <w:r w:rsidR="00867C6A" w:rsidRPr="00713BAB">
        <w:rPr>
          <w:rFonts w:eastAsiaTheme="minorEastAsia" w:cs="Arial"/>
          <w:sz w:val="24"/>
          <w:szCs w:val="24"/>
          <w:lang w:eastAsia="en-GB"/>
        </w:rPr>
        <w:t xml:space="preserve">xpected post-transplant survival </w:t>
      </w:r>
    </w:p>
    <w:p w14:paraId="76390BB0" w14:textId="7639554F" w:rsidR="00BB3E70" w:rsidRPr="00713BAB" w:rsidRDefault="00BB3E70"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HLA</w:t>
      </w:r>
      <w:r w:rsidR="00CA6A5E" w:rsidRPr="00713BAB">
        <w:rPr>
          <w:rFonts w:eastAsiaTheme="minorEastAsia" w:cs="Arial"/>
          <w:sz w:val="24"/>
          <w:szCs w:val="24"/>
          <w:lang w:eastAsia="en-GB"/>
        </w:rPr>
        <w:t>, human leukocyte antigen</w:t>
      </w:r>
    </w:p>
    <w:p w14:paraId="6F110242" w14:textId="06C05C8C" w:rsidR="00867C6A" w:rsidRPr="00713BAB" w:rsidRDefault="00867C6A"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ICER</w:t>
      </w:r>
      <w:r w:rsidR="00CA6A5E" w:rsidRPr="00713BAB">
        <w:rPr>
          <w:rFonts w:eastAsiaTheme="minorEastAsia" w:cs="Arial"/>
          <w:sz w:val="24"/>
          <w:szCs w:val="24"/>
          <w:lang w:eastAsia="en-GB"/>
        </w:rPr>
        <w:t>, incremental cost-effectiveness ratio</w:t>
      </w:r>
    </w:p>
    <w:p w14:paraId="03B18503" w14:textId="17F8F091" w:rsidR="00867C6A" w:rsidRPr="00713BAB" w:rsidRDefault="00867C6A" w:rsidP="00867C6A">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LYFT</w:t>
      </w:r>
      <w:r w:rsidR="00CA6A5E" w:rsidRPr="00713BAB">
        <w:rPr>
          <w:rFonts w:eastAsiaTheme="minorEastAsia" w:cs="Arial"/>
          <w:sz w:val="24"/>
          <w:szCs w:val="24"/>
          <w:lang w:eastAsia="en-GB"/>
        </w:rPr>
        <w:t>, life years from transplant</w:t>
      </w:r>
    </w:p>
    <w:p w14:paraId="39C5F947" w14:textId="5E9E3363" w:rsidR="00BB3E70" w:rsidRPr="00713BAB" w:rsidRDefault="00BB3E70"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NKAS</w:t>
      </w:r>
      <w:r w:rsidR="00CA6A5E" w:rsidRPr="00713BAB">
        <w:rPr>
          <w:rFonts w:eastAsiaTheme="minorEastAsia" w:cs="Arial"/>
          <w:sz w:val="24"/>
          <w:szCs w:val="24"/>
          <w:lang w:eastAsia="en-GB"/>
        </w:rPr>
        <w:t>, national kidney allocation scheme</w:t>
      </w:r>
    </w:p>
    <w:p w14:paraId="6D6AE51C" w14:textId="4B622425" w:rsidR="00BB3E70" w:rsidRPr="00713BAB" w:rsidRDefault="00BB3E70"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QALY</w:t>
      </w:r>
      <w:r w:rsidR="00CA6A5E" w:rsidRPr="00713BAB">
        <w:rPr>
          <w:rFonts w:eastAsiaTheme="minorEastAsia" w:cs="Arial"/>
          <w:sz w:val="24"/>
          <w:szCs w:val="24"/>
          <w:lang w:eastAsia="en-GB"/>
        </w:rPr>
        <w:t>, quality-adjusted life year</w:t>
      </w:r>
    </w:p>
    <w:p w14:paraId="41A1E285" w14:textId="7EBCEC52" w:rsidR="00BB3E70" w:rsidRPr="00713BAB" w:rsidRDefault="00BB3E70" w:rsidP="009E0A22">
      <w:pPr>
        <w:spacing w:before="240" w:after="240" w:line="480" w:lineRule="auto"/>
        <w:jc w:val="both"/>
        <w:rPr>
          <w:rFonts w:eastAsiaTheme="minorEastAsia" w:cs="Arial"/>
          <w:sz w:val="24"/>
          <w:szCs w:val="24"/>
          <w:lang w:eastAsia="en-GB"/>
        </w:rPr>
      </w:pPr>
      <w:r w:rsidRPr="00713BAB">
        <w:rPr>
          <w:rFonts w:eastAsiaTheme="minorEastAsia" w:cs="Arial"/>
          <w:sz w:val="24"/>
          <w:szCs w:val="24"/>
          <w:lang w:eastAsia="en-GB"/>
        </w:rPr>
        <w:t>UKKDRI</w:t>
      </w:r>
      <w:r w:rsidR="00CA6A5E" w:rsidRPr="00713BAB">
        <w:rPr>
          <w:rFonts w:eastAsiaTheme="minorEastAsia" w:cs="Arial"/>
          <w:sz w:val="24"/>
          <w:szCs w:val="24"/>
          <w:lang w:eastAsia="en-GB"/>
        </w:rPr>
        <w:t>, UK kidney donor risk index</w:t>
      </w:r>
    </w:p>
    <w:p w14:paraId="05B6A945" w14:textId="77777777" w:rsidR="00BB3E70" w:rsidRPr="00713BAB" w:rsidRDefault="00BB3E70" w:rsidP="009E0A22">
      <w:pPr>
        <w:spacing w:before="240" w:after="240" w:line="480" w:lineRule="auto"/>
        <w:jc w:val="both"/>
        <w:rPr>
          <w:rFonts w:eastAsiaTheme="minorEastAsia" w:cs="Arial"/>
          <w:b/>
          <w:sz w:val="24"/>
          <w:szCs w:val="24"/>
          <w:lang w:eastAsia="en-GB"/>
        </w:rPr>
      </w:pPr>
    </w:p>
    <w:p w14:paraId="0176D6A4" w14:textId="77777777" w:rsidR="009E0A22" w:rsidRPr="00713BAB" w:rsidRDefault="009E0A22" w:rsidP="007351AD">
      <w:pPr>
        <w:spacing w:before="240" w:after="240" w:line="480" w:lineRule="auto"/>
        <w:jc w:val="both"/>
        <w:rPr>
          <w:rFonts w:eastAsiaTheme="minorEastAsia" w:cs="Arial"/>
          <w:sz w:val="24"/>
          <w:szCs w:val="24"/>
          <w:lang w:eastAsia="en-GB"/>
        </w:rPr>
      </w:pPr>
    </w:p>
    <w:p w14:paraId="7A5C6A78" w14:textId="77777777" w:rsidR="009E0A22" w:rsidRPr="00713BAB" w:rsidRDefault="009E0A22">
      <w:pPr>
        <w:spacing w:after="160" w:line="259" w:lineRule="auto"/>
        <w:rPr>
          <w:rFonts w:eastAsiaTheme="majorEastAsia" w:cs="Arial"/>
          <w:b/>
          <w:bCs/>
          <w:sz w:val="24"/>
          <w:szCs w:val="24"/>
          <w:lang w:eastAsia="en-GB"/>
        </w:rPr>
      </w:pPr>
      <w:r w:rsidRPr="00713BAB">
        <w:rPr>
          <w:rFonts w:eastAsiaTheme="majorEastAsia" w:cs="Arial"/>
          <w:b/>
          <w:bCs/>
          <w:sz w:val="24"/>
          <w:szCs w:val="24"/>
          <w:lang w:eastAsia="en-GB"/>
        </w:rPr>
        <w:br w:type="page"/>
      </w:r>
    </w:p>
    <w:p w14:paraId="1E4D1221" w14:textId="02CC8023" w:rsidR="001F1213" w:rsidRPr="00713BAB" w:rsidRDefault="001F1213" w:rsidP="003F67A5">
      <w:pPr>
        <w:pStyle w:val="Heading1"/>
      </w:pPr>
      <w:r w:rsidRPr="00713BAB">
        <w:lastRenderedPageBreak/>
        <w:t>INTRODUCTION</w:t>
      </w:r>
      <w:bookmarkEnd w:id="7"/>
      <w:bookmarkEnd w:id="8"/>
      <w:bookmarkEnd w:id="9"/>
      <w:bookmarkEnd w:id="10"/>
      <w:bookmarkEnd w:id="11"/>
    </w:p>
    <w:p w14:paraId="0DBD3CCE" w14:textId="139A70A8" w:rsidR="001F1213" w:rsidRPr="00713BAB" w:rsidRDefault="00753B2B"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In 201</w:t>
      </w:r>
      <w:r w:rsidR="008457CD" w:rsidRPr="00713BAB">
        <w:rPr>
          <w:rFonts w:eastAsiaTheme="minorEastAsia" w:cs="Arial"/>
          <w:sz w:val="24"/>
          <w:szCs w:val="24"/>
          <w:lang w:eastAsia="en-GB"/>
        </w:rPr>
        <w:t>7</w:t>
      </w:r>
      <w:r w:rsidR="001F1213" w:rsidRPr="00713BAB">
        <w:rPr>
          <w:rFonts w:eastAsiaTheme="minorEastAsia" w:cs="Arial"/>
          <w:sz w:val="24"/>
          <w:szCs w:val="24"/>
          <w:lang w:eastAsia="en-GB"/>
        </w:rPr>
        <w:t>, there were approximately 5</w:t>
      </w:r>
      <w:r w:rsidR="008457CD" w:rsidRPr="00713BAB">
        <w:rPr>
          <w:rFonts w:eastAsiaTheme="minorEastAsia" w:cs="Arial"/>
          <w:sz w:val="24"/>
          <w:szCs w:val="24"/>
          <w:lang w:eastAsia="en-GB"/>
        </w:rPr>
        <w:t>2</w:t>
      </w:r>
      <w:r w:rsidRPr="00713BAB">
        <w:rPr>
          <w:rFonts w:eastAsiaTheme="minorEastAsia" w:cs="Arial"/>
          <w:sz w:val="24"/>
          <w:szCs w:val="24"/>
          <w:lang w:eastAsia="en-GB"/>
        </w:rPr>
        <w:t>00</w:t>
      </w:r>
      <w:r w:rsidR="001F1213" w:rsidRPr="00713BAB">
        <w:rPr>
          <w:rFonts w:eastAsiaTheme="minorEastAsia" w:cs="Arial"/>
          <w:sz w:val="24"/>
          <w:szCs w:val="24"/>
          <w:lang w:eastAsia="en-GB"/>
        </w:rPr>
        <w:t xml:space="preserve"> patients waiting to receive a kidney transplant in the </w:t>
      </w:r>
      <w:r w:rsidRPr="00713BAB">
        <w:rPr>
          <w:rFonts w:eastAsiaTheme="minorEastAsia" w:cs="Arial"/>
          <w:sz w:val="24"/>
          <w:szCs w:val="24"/>
          <w:lang w:eastAsia="en-GB"/>
        </w:rPr>
        <w:t>UK</w:t>
      </w:r>
      <w:r w:rsidR="001F1213"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1</w:t>
      </w:r>
      <w:r w:rsidR="001F1213" w:rsidRPr="00713BAB">
        <w:rPr>
          <w:rFonts w:eastAsiaTheme="minorEastAsia" w:cs="Arial"/>
          <w:sz w:val="24"/>
          <w:szCs w:val="24"/>
          <w:lang w:eastAsia="en-GB"/>
        </w:rPr>
        <w:t xml:space="preserve"> Because the number of patients waiting to receive a transplant far outstrips the supply of organs from deceased donors,</w:t>
      </w:r>
      <w:r w:rsidR="00022FE9">
        <w:rPr>
          <w:rFonts w:eastAsiaTheme="minorEastAsia" w:cs="Arial"/>
          <w:sz w:val="24"/>
          <w:szCs w:val="24"/>
          <w:lang w:eastAsia="en-GB"/>
        </w:rPr>
        <w:t xml:space="preserve"> many countries have put in place allocation systems that make the criteria for prioritising potential recipients transparent and explicit.</w:t>
      </w:r>
      <w:r w:rsidR="001F1213" w:rsidRPr="00713BAB">
        <w:rPr>
          <w:rFonts w:eastAsiaTheme="minorEastAsia" w:cs="Arial"/>
          <w:sz w:val="24"/>
          <w:szCs w:val="24"/>
          <w:lang w:eastAsia="en-GB"/>
        </w:rPr>
        <w:t xml:space="preserve"> In the UK, </w:t>
      </w:r>
      <w:r w:rsidR="00CC252D" w:rsidRPr="00713BAB">
        <w:rPr>
          <w:rFonts w:eastAsiaTheme="minorEastAsia" w:cs="Arial"/>
          <w:sz w:val="24"/>
          <w:szCs w:val="24"/>
          <w:lang w:eastAsia="en-GB"/>
        </w:rPr>
        <w:t>a</w:t>
      </w:r>
      <w:r w:rsidR="001F1213" w:rsidRPr="00713BAB">
        <w:rPr>
          <w:rFonts w:eastAsiaTheme="minorEastAsia" w:cs="Arial"/>
          <w:sz w:val="24"/>
          <w:szCs w:val="24"/>
          <w:lang w:eastAsia="en-GB"/>
        </w:rPr>
        <w:t xml:space="preserve"> matching system between recipients and </w:t>
      </w:r>
      <w:r w:rsidR="007A17DD" w:rsidRPr="00713BAB">
        <w:rPr>
          <w:rFonts w:eastAsiaTheme="minorEastAsia" w:cs="Arial"/>
          <w:sz w:val="24"/>
          <w:szCs w:val="24"/>
          <w:lang w:eastAsia="en-GB"/>
        </w:rPr>
        <w:t xml:space="preserve">deceased </w:t>
      </w:r>
      <w:r w:rsidR="001F1213" w:rsidRPr="00713BAB">
        <w:rPr>
          <w:rFonts w:eastAsiaTheme="minorEastAsia" w:cs="Arial"/>
          <w:sz w:val="24"/>
          <w:szCs w:val="24"/>
          <w:lang w:eastAsia="en-GB"/>
        </w:rPr>
        <w:t xml:space="preserve">donors has been in place since </w:t>
      </w:r>
      <w:r w:rsidR="00A74C31" w:rsidRPr="00713BAB">
        <w:rPr>
          <w:rFonts w:eastAsiaTheme="minorEastAsia" w:cs="Arial"/>
          <w:sz w:val="24"/>
          <w:szCs w:val="24"/>
          <w:lang w:eastAsia="en-GB"/>
        </w:rPr>
        <w:t>1972</w:t>
      </w:r>
      <w:r w:rsidR="001F1213"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2</w:t>
      </w:r>
      <w:r w:rsidR="001F1213" w:rsidRPr="00713BAB">
        <w:rPr>
          <w:rFonts w:eastAsiaTheme="minorEastAsia" w:cs="Arial"/>
          <w:sz w:val="24"/>
          <w:szCs w:val="24"/>
          <w:lang w:eastAsia="en-GB"/>
        </w:rPr>
        <w:t xml:space="preserve"> The approach to kidney allocation in </w:t>
      </w:r>
      <w:r w:rsidR="00283231" w:rsidRPr="00713BAB">
        <w:rPr>
          <w:rFonts w:eastAsiaTheme="minorEastAsia" w:cs="Arial"/>
          <w:sz w:val="24"/>
          <w:szCs w:val="24"/>
          <w:lang w:eastAsia="en-GB"/>
        </w:rPr>
        <w:t>the UK</w:t>
      </w:r>
      <w:r w:rsidR="001F1213" w:rsidRPr="00713BAB">
        <w:rPr>
          <w:rFonts w:eastAsiaTheme="minorEastAsia" w:cs="Arial"/>
          <w:sz w:val="24"/>
          <w:szCs w:val="24"/>
          <w:lang w:eastAsia="en-GB"/>
        </w:rPr>
        <w:t xml:space="preserve"> is subject to continuous audit and review and over the de</w:t>
      </w:r>
      <w:bookmarkStart w:id="12" w:name="_GoBack"/>
      <w:bookmarkEnd w:id="12"/>
      <w:r w:rsidR="001F1213" w:rsidRPr="00713BAB">
        <w:rPr>
          <w:rFonts w:eastAsiaTheme="minorEastAsia" w:cs="Arial"/>
          <w:sz w:val="24"/>
          <w:szCs w:val="24"/>
          <w:lang w:eastAsia="en-GB"/>
        </w:rPr>
        <w:t xml:space="preserve">cades, the national scheme has </w:t>
      </w:r>
      <w:r w:rsidR="002E5E5E" w:rsidRPr="00713BAB">
        <w:rPr>
          <w:rFonts w:eastAsiaTheme="minorEastAsia" w:cs="Arial"/>
          <w:sz w:val="24"/>
          <w:szCs w:val="24"/>
          <w:lang w:eastAsia="en-GB"/>
        </w:rPr>
        <w:t xml:space="preserve">undergone </w:t>
      </w:r>
      <w:r w:rsidR="00A74C31" w:rsidRPr="00713BAB">
        <w:rPr>
          <w:rFonts w:eastAsiaTheme="minorEastAsia" w:cs="Arial"/>
          <w:sz w:val="24"/>
          <w:szCs w:val="24"/>
          <w:lang w:eastAsia="en-GB"/>
        </w:rPr>
        <w:t xml:space="preserve">a number of revisions </w:t>
      </w:r>
      <w:r w:rsidR="001F1213" w:rsidRPr="00713BAB">
        <w:rPr>
          <w:rFonts w:eastAsiaTheme="minorEastAsia" w:cs="Arial"/>
          <w:sz w:val="24"/>
          <w:szCs w:val="24"/>
          <w:lang w:eastAsia="en-GB"/>
        </w:rPr>
        <w:t>to address and balance considerations of both improving transplant outcomes and promoting</w:t>
      </w:r>
      <w:r w:rsidR="001218F1">
        <w:rPr>
          <w:rFonts w:eastAsiaTheme="minorEastAsia" w:cs="Arial"/>
          <w:sz w:val="24"/>
          <w:szCs w:val="24"/>
          <w:lang w:eastAsia="en-GB"/>
        </w:rPr>
        <w:t xml:space="preserve"> equity in access to transplant</w:t>
      </w:r>
      <w:r w:rsidR="00D75F1E">
        <w:rPr>
          <w:rFonts w:eastAsiaTheme="minorEastAsia" w:cs="Arial"/>
          <w:sz w:val="24"/>
          <w:szCs w:val="24"/>
          <w:lang w:eastAsia="en-GB"/>
        </w:rPr>
        <w:t>ation</w:t>
      </w:r>
      <w:r w:rsidR="001F1213"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3-4</w:t>
      </w:r>
      <w:r w:rsidR="001F1213" w:rsidRPr="00713BAB">
        <w:rPr>
          <w:rFonts w:eastAsiaTheme="minorEastAsia" w:cs="Arial"/>
          <w:sz w:val="24"/>
          <w:szCs w:val="24"/>
          <w:lang w:eastAsia="en-GB"/>
        </w:rPr>
        <w:t xml:space="preserve"> </w:t>
      </w:r>
    </w:p>
    <w:p w14:paraId="2FD262E2" w14:textId="539A2147" w:rsidR="001F1213" w:rsidRPr="00713BAB" w:rsidRDefault="001F1213"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Simulation modelling is a practical tool that can be used to evaluate or prospectively test the impact of potential chang</w:t>
      </w:r>
      <w:r w:rsidR="001218F1">
        <w:rPr>
          <w:rFonts w:eastAsiaTheme="minorEastAsia" w:cs="Arial"/>
          <w:sz w:val="24"/>
          <w:szCs w:val="24"/>
          <w:lang w:eastAsia="en-GB"/>
        </w:rPr>
        <w:t>es to kidney allocation schemes</w:t>
      </w:r>
      <w:r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5-7</w:t>
      </w:r>
      <w:r w:rsidRPr="00713BAB">
        <w:rPr>
          <w:rFonts w:eastAsiaTheme="minorEastAsia" w:cs="Arial"/>
          <w:sz w:val="24"/>
          <w:szCs w:val="24"/>
          <w:lang w:eastAsia="en-GB"/>
        </w:rPr>
        <w:t xml:space="preserve"> As part of the Access to Transplantation and Transplant Outcomes Measure (ATTOM) study, we conducted a simulation exercise to explore and compare alternative approaches to allocating kidneys</w:t>
      </w:r>
      <w:r w:rsidR="007A17DD" w:rsidRPr="00713BAB">
        <w:rPr>
          <w:rFonts w:eastAsiaTheme="minorEastAsia" w:cs="Arial"/>
          <w:sz w:val="24"/>
          <w:szCs w:val="24"/>
          <w:lang w:eastAsia="en-GB"/>
        </w:rPr>
        <w:t xml:space="preserve"> from deceased donors</w:t>
      </w:r>
      <w:r w:rsidRPr="00713BAB">
        <w:rPr>
          <w:rFonts w:eastAsiaTheme="minorEastAsia" w:cs="Arial"/>
          <w:sz w:val="24"/>
          <w:szCs w:val="24"/>
          <w:lang w:eastAsia="en-GB"/>
        </w:rPr>
        <w:t xml:space="preserve"> in the UK context. We approached the development of the simulation model with three key objectives in mind:</w:t>
      </w:r>
    </w:p>
    <w:p w14:paraId="35284CD9" w14:textId="70176C0D" w:rsidR="001F1213" w:rsidRPr="00713BAB" w:rsidRDefault="001F1213" w:rsidP="00D3727D">
      <w:pPr>
        <w:numPr>
          <w:ilvl w:val="0"/>
          <w:numId w:val="3"/>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 xml:space="preserve">To simulate different approaches to kidney allocation that reflect varying degrees of emphasis on the competing objectives of </w:t>
      </w:r>
      <w:r w:rsidR="00817A33" w:rsidRPr="00713BAB">
        <w:rPr>
          <w:rFonts w:eastAsiaTheme="minorEastAsia" w:cs="Arial"/>
          <w:sz w:val="24"/>
          <w:szCs w:val="24"/>
          <w:lang w:eastAsia="en-GB"/>
        </w:rPr>
        <w:t xml:space="preserve">efficiency </w:t>
      </w:r>
      <w:r w:rsidRPr="00713BAB">
        <w:rPr>
          <w:rFonts w:eastAsiaTheme="minorEastAsia" w:cs="Arial"/>
          <w:sz w:val="24"/>
          <w:szCs w:val="24"/>
          <w:lang w:eastAsia="en-GB"/>
        </w:rPr>
        <w:t>and equity</w:t>
      </w:r>
      <w:r w:rsidR="00817A33" w:rsidRPr="00713BAB">
        <w:rPr>
          <w:rFonts w:eastAsiaTheme="minorEastAsia" w:cs="Arial"/>
          <w:sz w:val="24"/>
          <w:szCs w:val="24"/>
          <w:lang w:eastAsia="en-GB"/>
        </w:rPr>
        <w:t>.</w:t>
      </w:r>
    </w:p>
    <w:p w14:paraId="6618E504" w14:textId="1BA82801" w:rsidR="001F1213" w:rsidRPr="00713BAB" w:rsidRDefault="001F1213" w:rsidP="00D3727D">
      <w:pPr>
        <w:numPr>
          <w:ilvl w:val="0"/>
          <w:numId w:val="3"/>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To report outcomes for each kidney allocation scheme in terms of both quality-adjusted life years (QALYs) and costs</w:t>
      </w:r>
      <w:r w:rsidR="00817A33" w:rsidRPr="00713BAB">
        <w:rPr>
          <w:rFonts w:eastAsiaTheme="minorEastAsia" w:cs="Arial"/>
          <w:sz w:val="24"/>
          <w:szCs w:val="24"/>
          <w:lang w:eastAsia="en-GB"/>
        </w:rPr>
        <w:t>.</w:t>
      </w:r>
    </w:p>
    <w:p w14:paraId="6416AF88" w14:textId="77777777" w:rsidR="001F1213" w:rsidRPr="00713BAB" w:rsidRDefault="001F1213" w:rsidP="00D3727D">
      <w:pPr>
        <w:numPr>
          <w:ilvl w:val="0"/>
          <w:numId w:val="3"/>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To maximise use of information on individual patient and donor characteristics to inform the allocation process and to account for between-patient variability in the estimation of outcomes.</w:t>
      </w:r>
    </w:p>
    <w:p w14:paraId="5558CF85" w14:textId="77777777" w:rsidR="001F1213" w:rsidRPr="00713BAB" w:rsidRDefault="001F1213" w:rsidP="00EA7148">
      <w:pPr>
        <w:pStyle w:val="Heading2"/>
      </w:pPr>
      <w:bookmarkStart w:id="13" w:name="_Toc456551544"/>
      <w:bookmarkStart w:id="14" w:name="_Toc456552030"/>
      <w:bookmarkStart w:id="15" w:name="_Toc456638625"/>
      <w:bookmarkStart w:id="16" w:name="_Toc457239803"/>
      <w:bookmarkStart w:id="17" w:name="_Toc457323773"/>
      <w:r w:rsidRPr="00713BAB">
        <w:lastRenderedPageBreak/>
        <w:t>Kidney allocation concepts of interest</w:t>
      </w:r>
      <w:bookmarkEnd w:id="13"/>
      <w:bookmarkEnd w:id="14"/>
      <w:bookmarkEnd w:id="15"/>
      <w:bookmarkEnd w:id="16"/>
      <w:bookmarkEnd w:id="17"/>
    </w:p>
    <w:p w14:paraId="4B1DF65C" w14:textId="7D9AE002" w:rsidR="001F1213" w:rsidRPr="00713BAB" w:rsidRDefault="001F1213"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 xml:space="preserve">The </w:t>
      </w:r>
      <w:r w:rsidR="007A17DD" w:rsidRPr="00713BAB">
        <w:rPr>
          <w:rFonts w:eastAsiaTheme="minorEastAsia" w:cs="Arial"/>
          <w:sz w:val="24"/>
          <w:szCs w:val="24"/>
          <w:lang w:eastAsia="en-GB"/>
        </w:rPr>
        <w:t>last major revision to the</w:t>
      </w:r>
      <w:r w:rsidRPr="00713BAB">
        <w:rPr>
          <w:rFonts w:eastAsiaTheme="minorEastAsia" w:cs="Arial"/>
          <w:sz w:val="24"/>
          <w:szCs w:val="24"/>
          <w:lang w:eastAsia="en-GB"/>
        </w:rPr>
        <w:t xml:space="preserve"> UK kidney allocation scheme </w:t>
      </w:r>
      <w:r w:rsidR="007A17DD" w:rsidRPr="00713BAB">
        <w:rPr>
          <w:rFonts w:eastAsiaTheme="minorEastAsia" w:cs="Arial"/>
          <w:sz w:val="24"/>
          <w:szCs w:val="24"/>
          <w:lang w:eastAsia="en-GB"/>
        </w:rPr>
        <w:t>took place in</w:t>
      </w:r>
      <w:r w:rsidR="001218F1">
        <w:rPr>
          <w:rFonts w:eastAsiaTheme="minorEastAsia" w:cs="Arial"/>
          <w:sz w:val="24"/>
          <w:szCs w:val="24"/>
          <w:lang w:eastAsia="en-GB"/>
        </w:rPr>
        <w:t xml:space="preserve"> 2006</w:t>
      </w:r>
      <w:r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4</w:t>
      </w:r>
      <w:r w:rsidRPr="00713BAB">
        <w:rPr>
          <w:rFonts w:eastAsiaTheme="minorEastAsia" w:cs="Arial"/>
          <w:sz w:val="24"/>
          <w:szCs w:val="24"/>
          <w:lang w:eastAsia="en-GB"/>
        </w:rPr>
        <w:t xml:space="preserve"> In this simulation exercise, we compared the 2006 national kidney allocation scheme (NKAS) to several alternative approaches, with a particular interest in exploring the feasibility of designing an allocation scheme that </w:t>
      </w:r>
      <w:r w:rsidR="007A17DD" w:rsidRPr="00713BAB">
        <w:rPr>
          <w:rFonts w:eastAsiaTheme="minorEastAsia" w:cs="Arial"/>
          <w:sz w:val="24"/>
          <w:szCs w:val="24"/>
          <w:lang w:eastAsia="en-GB"/>
        </w:rPr>
        <w:t>maximises</w:t>
      </w:r>
      <w:r w:rsidRPr="00713BAB">
        <w:rPr>
          <w:rFonts w:eastAsiaTheme="minorEastAsia" w:cs="Arial"/>
          <w:sz w:val="24"/>
          <w:szCs w:val="24"/>
          <w:lang w:eastAsia="en-GB"/>
        </w:rPr>
        <w:t xml:space="preserve"> health gains</w:t>
      </w:r>
      <w:r w:rsidR="007A17DD" w:rsidRPr="00713BAB">
        <w:rPr>
          <w:rFonts w:eastAsiaTheme="minorEastAsia" w:cs="Arial"/>
          <w:sz w:val="24"/>
          <w:szCs w:val="24"/>
          <w:lang w:eastAsia="en-GB"/>
        </w:rPr>
        <w:t>, expressed in terms of QALYs,</w:t>
      </w:r>
      <w:r w:rsidRPr="00713BAB">
        <w:rPr>
          <w:rFonts w:eastAsiaTheme="minorEastAsia" w:cs="Arial"/>
          <w:sz w:val="24"/>
          <w:szCs w:val="24"/>
          <w:lang w:eastAsia="en-GB"/>
        </w:rPr>
        <w:t xml:space="preserve"> among transplant recipients from a fixed supply of donor kidneys. The design of a </w:t>
      </w:r>
      <w:r w:rsidR="007A17DD" w:rsidRPr="00713BAB">
        <w:rPr>
          <w:rFonts w:eastAsiaTheme="minorEastAsia" w:cs="Arial"/>
          <w:sz w:val="24"/>
          <w:szCs w:val="24"/>
          <w:lang w:eastAsia="en-GB"/>
        </w:rPr>
        <w:t>QALY</w:t>
      </w:r>
      <w:r w:rsidRPr="00713BAB">
        <w:rPr>
          <w:rFonts w:eastAsiaTheme="minorEastAsia" w:cs="Arial"/>
          <w:sz w:val="24"/>
          <w:szCs w:val="24"/>
          <w:lang w:eastAsia="en-GB"/>
        </w:rPr>
        <w:t>-maximis</w:t>
      </w:r>
      <w:r w:rsidR="00E90675" w:rsidRPr="00713BAB">
        <w:rPr>
          <w:rFonts w:eastAsiaTheme="minorEastAsia" w:cs="Arial"/>
          <w:sz w:val="24"/>
          <w:szCs w:val="24"/>
          <w:lang w:eastAsia="en-GB"/>
        </w:rPr>
        <w:t>ation</w:t>
      </w:r>
      <w:r w:rsidRPr="00713BAB">
        <w:rPr>
          <w:rFonts w:eastAsiaTheme="minorEastAsia" w:cs="Arial"/>
          <w:sz w:val="24"/>
          <w:szCs w:val="24"/>
          <w:lang w:eastAsia="en-GB"/>
        </w:rPr>
        <w:t xml:space="preserve"> allocation scheme was predicated on the following assumptions:</w:t>
      </w:r>
    </w:p>
    <w:p w14:paraId="5781077B" w14:textId="3250C5A0" w:rsidR="001F1213" w:rsidRPr="00713BAB" w:rsidRDefault="001F1213" w:rsidP="00D3727D">
      <w:pPr>
        <w:numPr>
          <w:ilvl w:val="0"/>
          <w:numId w:val="4"/>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For patients awaiting a transplant, there is a treatment alternative, namely dialysis</w:t>
      </w:r>
      <w:r w:rsidR="00E90675" w:rsidRPr="00713BAB">
        <w:rPr>
          <w:rFonts w:eastAsiaTheme="minorEastAsia" w:cs="Arial"/>
          <w:sz w:val="24"/>
          <w:szCs w:val="24"/>
          <w:lang w:eastAsia="en-GB"/>
        </w:rPr>
        <w:t>.</w:t>
      </w:r>
      <w:r w:rsidRPr="00713BAB">
        <w:rPr>
          <w:rFonts w:eastAsiaTheme="minorEastAsia" w:cs="Arial"/>
          <w:sz w:val="24"/>
          <w:szCs w:val="24"/>
          <w:lang w:eastAsia="en-GB"/>
        </w:rPr>
        <w:t xml:space="preserve"> </w:t>
      </w:r>
    </w:p>
    <w:p w14:paraId="0C08CE48" w14:textId="5FBA5B26" w:rsidR="001F1213" w:rsidRPr="00713BAB" w:rsidRDefault="001F1213" w:rsidP="00D3727D">
      <w:pPr>
        <w:numPr>
          <w:ilvl w:val="0"/>
          <w:numId w:val="4"/>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Not all donor kidneys will result in equally good survival outcomes</w:t>
      </w:r>
      <w:r w:rsidR="00E90675" w:rsidRPr="00713BAB">
        <w:rPr>
          <w:rFonts w:eastAsiaTheme="minorEastAsia" w:cs="Arial"/>
          <w:sz w:val="24"/>
          <w:szCs w:val="24"/>
          <w:lang w:eastAsia="en-GB"/>
        </w:rPr>
        <w:t>.</w:t>
      </w:r>
    </w:p>
    <w:p w14:paraId="48DE5667" w14:textId="77777777" w:rsidR="001F1213" w:rsidRPr="00713BAB" w:rsidRDefault="001F1213" w:rsidP="00D3727D">
      <w:pPr>
        <w:numPr>
          <w:ilvl w:val="0"/>
          <w:numId w:val="4"/>
        </w:numPr>
        <w:spacing w:after="0" w:line="480" w:lineRule="auto"/>
        <w:contextualSpacing/>
        <w:rPr>
          <w:rFonts w:eastAsiaTheme="minorEastAsia" w:cs="Arial"/>
          <w:sz w:val="24"/>
          <w:szCs w:val="24"/>
          <w:lang w:eastAsia="en-GB"/>
        </w:rPr>
      </w:pPr>
      <w:r w:rsidRPr="00713BAB">
        <w:rPr>
          <w:rFonts w:eastAsiaTheme="minorEastAsia" w:cs="Arial"/>
          <w:sz w:val="24"/>
          <w:szCs w:val="24"/>
          <w:lang w:eastAsia="en-GB"/>
        </w:rPr>
        <w:t>Not all potential recipients will derive the same survival benefit from a given donor kidney.</w:t>
      </w:r>
    </w:p>
    <w:p w14:paraId="14A59ABE" w14:textId="78AA2BA2" w:rsidR="001F1213" w:rsidRPr="00713BAB" w:rsidRDefault="001F1213"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 xml:space="preserve">In the </w:t>
      </w:r>
      <w:r w:rsidR="007A17DD" w:rsidRPr="00713BAB">
        <w:rPr>
          <w:rFonts w:eastAsiaTheme="minorEastAsia" w:cs="Arial"/>
          <w:sz w:val="24"/>
          <w:szCs w:val="24"/>
          <w:lang w:eastAsia="en-GB"/>
        </w:rPr>
        <w:t>QALY</w:t>
      </w:r>
      <w:r w:rsidRPr="00713BAB">
        <w:rPr>
          <w:rFonts w:eastAsiaTheme="minorEastAsia" w:cs="Arial"/>
          <w:sz w:val="24"/>
          <w:szCs w:val="24"/>
          <w:lang w:eastAsia="en-GB"/>
        </w:rPr>
        <w:t>-maximis</w:t>
      </w:r>
      <w:r w:rsidR="00E90675" w:rsidRPr="00713BAB">
        <w:rPr>
          <w:rFonts w:eastAsiaTheme="minorEastAsia" w:cs="Arial"/>
          <w:sz w:val="24"/>
          <w:szCs w:val="24"/>
          <w:lang w:eastAsia="en-GB"/>
        </w:rPr>
        <w:t>ation</w:t>
      </w:r>
      <w:r w:rsidRPr="00713BAB">
        <w:rPr>
          <w:rFonts w:eastAsiaTheme="minorEastAsia" w:cs="Arial"/>
          <w:sz w:val="24"/>
          <w:szCs w:val="24"/>
          <w:lang w:eastAsia="en-GB"/>
        </w:rPr>
        <w:t xml:space="preserve"> scheme, for each donor kidney that becomes available, the simulation model estimates expected QALYs following transplant for each patient on the waiting list given the characteristics of both </w:t>
      </w:r>
      <w:r w:rsidR="00D748E6" w:rsidRPr="00713BAB">
        <w:rPr>
          <w:rFonts w:eastAsiaTheme="minorEastAsia" w:cs="Arial"/>
          <w:sz w:val="24"/>
          <w:szCs w:val="24"/>
          <w:lang w:eastAsia="en-GB"/>
        </w:rPr>
        <w:t>the</w:t>
      </w:r>
      <w:r w:rsidRPr="00713BAB">
        <w:rPr>
          <w:rFonts w:eastAsiaTheme="minorEastAsia" w:cs="Arial"/>
          <w:sz w:val="24"/>
          <w:szCs w:val="24"/>
          <w:lang w:eastAsia="en-GB"/>
        </w:rPr>
        <w:t xml:space="preserve"> patient and the donor kidney to be allocated. Next, the simulation model estimates expected QALYs for each patient on the waiting list if </w:t>
      </w:r>
      <w:r w:rsidR="00D748E6" w:rsidRPr="00713BAB">
        <w:rPr>
          <w:rFonts w:eastAsiaTheme="minorEastAsia" w:cs="Arial"/>
          <w:sz w:val="24"/>
          <w:szCs w:val="24"/>
          <w:lang w:eastAsia="en-GB"/>
        </w:rPr>
        <w:t>the</w:t>
      </w:r>
      <w:r w:rsidRPr="00713BAB">
        <w:rPr>
          <w:rFonts w:eastAsiaTheme="minorEastAsia" w:cs="Arial"/>
          <w:sz w:val="24"/>
          <w:szCs w:val="24"/>
          <w:lang w:eastAsia="en-GB"/>
        </w:rPr>
        <w:t xml:space="preserve"> patie</w:t>
      </w:r>
      <w:r w:rsidR="00D748E6" w:rsidRPr="00713BAB">
        <w:rPr>
          <w:rFonts w:eastAsiaTheme="minorEastAsia" w:cs="Arial"/>
          <w:sz w:val="24"/>
          <w:szCs w:val="24"/>
          <w:lang w:eastAsia="en-GB"/>
        </w:rPr>
        <w:t>nt were to remain on dialysis. After calculating</w:t>
      </w:r>
      <w:r w:rsidRPr="00713BAB">
        <w:rPr>
          <w:rFonts w:eastAsiaTheme="minorEastAsia" w:cs="Arial"/>
          <w:sz w:val="24"/>
          <w:szCs w:val="24"/>
          <w:lang w:eastAsia="en-GB"/>
        </w:rPr>
        <w:t xml:space="preserve"> the difference between expected QALYs following transplant and expected QALYs on dialysis, each kidney is allocated to the patient </w:t>
      </w:r>
      <w:r w:rsidR="00D748E6" w:rsidRPr="00713BAB">
        <w:rPr>
          <w:rFonts w:eastAsiaTheme="minorEastAsia" w:cs="Arial"/>
          <w:sz w:val="24"/>
          <w:szCs w:val="24"/>
          <w:lang w:eastAsia="en-GB"/>
        </w:rPr>
        <w:t>who is expected to gain the most</w:t>
      </w:r>
      <w:r w:rsidRPr="00713BAB">
        <w:rPr>
          <w:rFonts w:eastAsiaTheme="minorEastAsia" w:cs="Arial"/>
          <w:sz w:val="24"/>
          <w:szCs w:val="24"/>
          <w:lang w:eastAsia="en-GB"/>
        </w:rPr>
        <w:t xml:space="preserve"> as a result of receiving the transplant. Over the population of transplant recipients, this approach to allocation should yield the maximum total QALY gains for a fixed number of donor kidneys. This </w:t>
      </w:r>
      <w:r w:rsidR="008B5628" w:rsidRPr="00713BAB">
        <w:rPr>
          <w:rFonts w:eastAsiaTheme="minorEastAsia" w:cs="Arial"/>
          <w:sz w:val="24"/>
          <w:szCs w:val="24"/>
          <w:lang w:eastAsia="en-GB"/>
        </w:rPr>
        <w:t>QALY</w:t>
      </w:r>
      <w:r w:rsidRPr="00713BAB">
        <w:rPr>
          <w:rFonts w:eastAsiaTheme="minorEastAsia" w:cs="Arial"/>
          <w:sz w:val="24"/>
          <w:szCs w:val="24"/>
          <w:lang w:eastAsia="en-GB"/>
        </w:rPr>
        <w:t>-maximis</w:t>
      </w:r>
      <w:r w:rsidR="00E90675" w:rsidRPr="00713BAB">
        <w:rPr>
          <w:rFonts w:eastAsiaTheme="minorEastAsia" w:cs="Arial"/>
          <w:sz w:val="24"/>
          <w:szCs w:val="24"/>
          <w:lang w:eastAsia="en-GB"/>
        </w:rPr>
        <w:t>ation</w:t>
      </w:r>
      <w:r w:rsidRPr="00713BAB">
        <w:rPr>
          <w:rFonts w:eastAsiaTheme="minorEastAsia" w:cs="Arial"/>
          <w:sz w:val="24"/>
          <w:szCs w:val="24"/>
          <w:lang w:eastAsia="en-GB"/>
        </w:rPr>
        <w:t xml:space="preserve"> scheme is conceptually similar to the Life Years from Transplant (LYFT) calculation</w:t>
      </w:r>
      <w:r w:rsidR="00282D66" w:rsidRPr="00713BAB">
        <w:rPr>
          <w:rFonts w:eastAsiaTheme="minorEastAsia" w:cs="Arial"/>
          <w:sz w:val="24"/>
          <w:szCs w:val="24"/>
          <w:lang w:eastAsia="en-GB"/>
        </w:rPr>
        <w:t xml:space="preserve"> previously</w:t>
      </w:r>
      <w:r w:rsidRPr="00713BAB">
        <w:rPr>
          <w:rFonts w:eastAsiaTheme="minorEastAsia" w:cs="Arial"/>
          <w:sz w:val="24"/>
          <w:szCs w:val="24"/>
          <w:lang w:eastAsia="en-GB"/>
        </w:rPr>
        <w:t xml:space="preserve"> </w:t>
      </w:r>
      <w:r w:rsidR="00D748E6" w:rsidRPr="00713BAB">
        <w:rPr>
          <w:rFonts w:eastAsiaTheme="minorEastAsia" w:cs="Arial"/>
          <w:sz w:val="24"/>
          <w:szCs w:val="24"/>
          <w:lang w:eastAsia="en-GB"/>
        </w:rPr>
        <w:t>described by Wolfe et al.</w:t>
      </w:r>
      <w:r w:rsidR="00282D66" w:rsidRPr="00713BAB">
        <w:rPr>
          <w:rFonts w:eastAsiaTheme="minorEastAsia" w:cs="Arial"/>
          <w:sz w:val="24"/>
          <w:szCs w:val="24"/>
          <w:lang w:eastAsia="en-GB"/>
        </w:rPr>
        <w:t>,</w:t>
      </w:r>
      <w:r w:rsidR="00B27203" w:rsidRPr="00713BAB">
        <w:rPr>
          <w:rFonts w:eastAsiaTheme="minorEastAsia" w:cs="Arial"/>
          <w:sz w:val="24"/>
          <w:szCs w:val="24"/>
          <w:lang w:eastAsia="en-GB"/>
        </w:rPr>
        <w:t xml:space="preserve"> but</w:t>
      </w:r>
      <w:r w:rsidRPr="00713BAB">
        <w:rPr>
          <w:rFonts w:eastAsiaTheme="minorEastAsia" w:cs="Arial"/>
          <w:sz w:val="24"/>
          <w:szCs w:val="24"/>
          <w:lang w:eastAsia="en-GB"/>
        </w:rPr>
        <w:t xml:space="preserve"> in the curre</w:t>
      </w:r>
      <w:r w:rsidR="00B46815" w:rsidRPr="00713BAB">
        <w:rPr>
          <w:rFonts w:eastAsiaTheme="minorEastAsia" w:cs="Arial"/>
          <w:sz w:val="24"/>
          <w:szCs w:val="24"/>
          <w:lang w:eastAsia="en-GB"/>
        </w:rPr>
        <w:t>nt simulation exercise</w:t>
      </w:r>
      <w:r w:rsidR="00CC252D" w:rsidRPr="00713BAB">
        <w:rPr>
          <w:rFonts w:eastAsiaTheme="minorEastAsia" w:cs="Arial"/>
          <w:sz w:val="24"/>
          <w:szCs w:val="24"/>
          <w:lang w:eastAsia="en-GB"/>
        </w:rPr>
        <w:t xml:space="preserve"> we </w:t>
      </w:r>
      <w:r w:rsidR="00CC252D" w:rsidRPr="00713BAB">
        <w:rPr>
          <w:rFonts w:eastAsiaTheme="minorEastAsia" w:cs="Arial"/>
          <w:sz w:val="24"/>
          <w:szCs w:val="24"/>
          <w:lang w:eastAsia="en-GB"/>
        </w:rPr>
        <w:lastRenderedPageBreak/>
        <w:t>used UK data sources</w:t>
      </w:r>
      <w:r w:rsidR="005F561A" w:rsidRPr="00713BAB">
        <w:rPr>
          <w:rFonts w:eastAsiaTheme="minorEastAsia" w:cs="Arial"/>
          <w:sz w:val="24"/>
          <w:szCs w:val="24"/>
          <w:lang w:eastAsia="en-GB"/>
        </w:rPr>
        <w:t xml:space="preserve"> and </w:t>
      </w:r>
      <w:r w:rsidR="00282D66" w:rsidRPr="00713BAB">
        <w:rPr>
          <w:rFonts w:eastAsiaTheme="minorEastAsia" w:cs="Arial"/>
          <w:sz w:val="24"/>
          <w:szCs w:val="24"/>
          <w:lang w:eastAsia="en-GB"/>
        </w:rPr>
        <w:t>adopted</w:t>
      </w:r>
      <w:r w:rsidR="005F561A" w:rsidRPr="00713BAB">
        <w:rPr>
          <w:rFonts w:eastAsiaTheme="minorEastAsia" w:cs="Arial"/>
          <w:sz w:val="24"/>
          <w:szCs w:val="24"/>
          <w:lang w:eastAsia="en-GB"/>
        </w:rPr>
        <w:t xml:space="preserve"> </w:t>
      </w:r>
      <w:r w:rsidR="00282D66" w:rsidRPr="00713BAB">
        <w:rPr>
          <w:rFonts w:eastAsiaTheme="minorEastAsia" w:cs="Arial"/>
          <w:sz w:val="24"/>
          <w:szCs w:val="24"/>
          <w:lang w:eastAsia="en-GB"/>
        </w:rPr>
        <w:t xml:space="preserve">a different method </w:t>
      </w:r>
      <w:r w:rsidR="005F561A" w:rsidRPr="00713BAB">
        <w:rPr>
          <w:rFonts w:eastAsiaTheme="minorEastAsia" w:cs="Arial"/>
          <w:sz w:val="24"/>
          <w:szCs w:val="24"/>
          <w:lang w:eastAsia="en-GB"/>
        </w:rPr>
        <w:t>to extrapolate survival</w:t>
      </w:r>
      <w:r w:rsidR="00D748E6" w:rsidRPr="00713BAB">
        <w:rPr>
          <w:rFonts w:eastAsiaTheme="minorEastAsia" w:cs="Arial"/>
          <w:sz w:val="24"/>
          <w:szCs w:val="24"/>
          <w:lang w:eastAsia="en-GB"/>
        </w:rPr>
        <w:t xml:space="preserve"> </w:t>
      </w:r>
      <w:r w:rsidR="00F57608" w:rsidRPr="00713BAB">
        <w:rPr>
          <w:rFonts w:eastAsiaTheme="minorEastAsia" w:cs="Arial"/>
          <w:sz w:val="24"/>
          <w:szCs w:val="24"/>
          <w:lang w:eastAsia="en-GB"/>
        </w:rPr>
        <w:t xml:space="preserve">using flexible parametric survival analysis </w:t>
      </w:r>
      <w:r w:rsidR="001218F1">
        <w:rPr>
          <w:rFonts w:eastAsiaTheme="minorEastAsia" w:cs="Arial"/>
          <w:sz w:val="24"/>
          <w:szCs w:val="24"/>
          <w:lang w:eastAsia="en-GB"/>
        </w:rPr>
        <w:t>in order to calculate QALYs</w:t>
      </w:r>
      <w:r w:rsidRPr="00713BAB">
        <w:rPr>
          <w:rFonts w:eastAsiaTheme="minorEastAsia" w:cs="Arial"/>
          <w:noProof/>
          <w:sz w:val="24"/>
          <w:szCs w:val="24"/>
          <w:lang w:eastAsia="en-GB"/>
        </w:rPr>
        <w:t>.</w:t>
      </w:r>
      <w:r w:rsidR="001218F1" w:rsidRPr="001218F1">
        <w:rPr>
          <w:rFonts w:eastAsiaTheme="minorEastAsia" w:cs="Arial"/>
          <w:noProof/>
          <w:sz w:val="24"/>
          <w:szCs w:val="24"/>
          <w:vertAlign w:val="superscript"/>
          <w:lang w:eastAsia="en-GB"/>
        </w:rPr>
        <w:t>8</w:t>
      </w:r>
      <w:r w:rsidRPr="00713BAB">
        <w:rPr>
          <w:rFonts w:eastAsiaTheme="minorEastAsia" w:cs="Arial"/>
          <w:sz w:val="24"/>
          <w:szCs w:val="24"/>
          <w:lang w:eastAsia="en-GB"/>
        </w:rPr>
        <w:t xml:space="preserve"> </w:t>
      </w:r>
    </w:p>
    <w:p w14:paraId="302E1F06" w14:textId="201E43AB" w:rsidR="001F1213" w:rsidRPr="00713BAB" w:rsidRDefault="00CC252D" w:rsidP="000C75D8">
      <w:pPr>
        <w:spacing w:after="0" w:line="480" w:lineRule="auto"/>
        <w:rPr>
          <w:rFonts w:eastAsiaTheme="minorEastAsia" w:cs="Arial"/>
          <w:color w:val="000000"/>
          <w:sz w:val="24"/>
          <w:szCs w:val="24"/>
          <w:shd w:val="clear" w:color="auto" w:fill="FFFFFF"/>
          <w:lang w:eastAsia="en-GB"/>
        </w:rPr>
      </w:pPr>
      <w:r w:rsidRPr="00713BAB">
        <w:rPr>
          <w:rFonts w:eastAsiaTheme="minorEastAsia" w:cs="Arial"/>
          <w:sz w:val="24"/>
          <w:szCs w:val="24"/>
          <w:lang w:eastAsia="en-GB"/>
        </w:rPr>
        <w:t>A</w:t>
      </w:r>
      <w:r w:rsidR="00826FF5" w:rsidRPr="00713BAB">
        <w:rPr>
          <w:rFonts w:eastAsiaTheme="minorEastAsia" w:cs="Arial"/>
          <w:sz w:val="24"/>
          <w:szCs w:val="24"/>
          <w:lang w:eastAsia="en-GB"/>
        </w:rPr>
        <w:t xml:space="preserve"> new kidney allocation scheme based on the concept of longevity matching was introduced in the US in 2014. </w:t>
      </w:r>
      <w:r w:rsidR="001F1213" w:rsidRPr="00713BAB">
        <w:rPr>
          <w:rFonts w:eastAsiaTheme="minorEastAsia" w:cs="Arial"/>
          <w:sz w:val="24"/>
          <w:szCs w:val="24"/>
          <w:lang w:eastAsia="en-GB"/>
        </w:rPr>
        <w:t>Under this concept, donor kidneys are risk-stratified using a scoring system in order to identify which kidneys are associated with</w:t>
      </w:r>
      <w:r w:rsidR="001F1213" w:rsidRPr="00713BAB">
        <w:rPr>
          <w:rFonts w:eastAsiaTheme="minorEastAsia" w:cs="Arial"/>
          <w:color w:val="000000"/>
          <w:sz w:val="24"/>
          <w:szCs w:val="24"/>
          <w:shd w:val="clear" w:color="auto" w:fill="FFFFFF"/>
          <w:lang w:eastAsia="en-GB"/>
        </w:rPr>
        <w:t xml:space="preserve"> better post-transplant survival. Similarly, potential recipients on the waiting list are risk-stratified based on estimates of their expected post-transplant survival (EPTS) score. The allocation policy then prioritises candidates in the top 20</w:t>
      </w:r>
      <w:r w:rsidR="001F1213" w:rsidRPr="00713BAB">
        <w:rPr>
          <w:rFonts w:eastAsiaTheme="minorEastAsia" w:cs="Arial"/>
          <w:color w:val="000000"/>
          <w:sz w:val="24"/>
          <w:szCs w:val="24"/>
          <w:shd w:val="clear" w:color="auto" w:fill="FFFFFF"/>
          <w:vertAlign w:val="superscript"/>
          <w:lang w:eastAsia="en-GB"/>
        </w:rPr>
        <w:t>th</w:t>
      </w:r>
      <w:r w:rsidR="001F1213" w:rsidRPr="00713BAB">
        <w:rPr>
          <w:rFonts w:eastAsiaTheme="minorEastAsia" w:cs="Arial"/>
          <w:color w:val="000000"/>
          <w:sz w:val="24"/>
          <w:szCs w:val="24"/>
          <w:shd w:val="clear" w:color="auto" w:fill="FFFFFF"/>
          <w:lang w:eastAsia="en-GB"/>
        </w:rPr>
        <w:t xml:space="preserve"> percentile of EPTS scores to receive kidneys fr</w:t>
      </w:r>
      <w:r w:rsidR="001218F1">
        <w:rPr>
          <w:rFonts w:eastAsiaTheme="minorEastAsia" w:cs="Arial"/>
          <w:color w:val="000000"/>
          <w:sz w:val="24"/>
          <w:szCs w:val="24"/>
          <w:shd w:val="clear" w:color="auto" w:fill="FFFFFF"/>
          <w:lang w:eastAsia="en-GB"/>
        </w:rPr>
        <w:t>om the top 20% of donor kidneys</w:t>
      </w:r>
      <w:r w:rsidR="001F1213" w:rsidRPr="00713BAB">
        <w:rPr>
          <w:rFonts w:eastAsiaTheme="minorEastAsia" w:cs="Arial"/>
          <w:noProof/>
          <w:color w:val="000000"/>
          <w:sz w:val="24"/>
          <w:szCs w:val="24"/>
          <w:shd w:val="clear" w:color="auto" w:fill="FFFFFF"/>
          <w:lang w:eastAsia="en-GB"/>
        </w:rPr>
        <w:t>.</w:t>
      </w:r>
      <w:r w:rsidR="001218F1">
        <w:rPr>
          <w:rFonts w:eastAsiaTheme="minorEastAsia" w:cs="Arial"/>
          <w:noProof/>
          <w:color w:val="000000"/>
          <w:sz w:val="24"/>
          <w:szCs w:val="24"/>
          <w:shd w:val="clear" w:color="auto" w:fill="FFFFFF"/>
          <w:vertAlign w:val="superscript"/>
          <w:lang w:eastAsia="en-GB"/>
        </w:rPr>
        <w:t>9</w:t>
      </w:r>
      <w:r w:rsidR="001F1213" w:rsidRPr="00713BAB">
        <w:rPr>
          <w:rFonts w:eastAsiaTheme="minorEastAsia" w:cs="Arial"/>
          <w:color w:val="000000"/>
          <w:sz w:val="24"/>
          <w:szCs w:val="24"/>
          <w:shd w:val="clear" w:color="auto" w:fill="FFFFFF"/>
          <w:lang w:eastAsia="en-GB"/>
        </w:rPr>
        <w:t xml:space="preserve"> </w:t>
      </w:r>
      <w:r w:rsidR="00C77F10">
        <w:rPr>
          <w:rFonts w:eastAsiaTheme="minorEastAsia" w:cs="Arial"/>
          <w:color w:val="000000"/>
          <w:sz w:val="24"/>
          <w:szCs w:val="24"/>
          <w:shd w:val="clear" w:color="auto" w:fill="FFFFFF"/>
          <w:lang w:eastAsia="en-GB"/>
        </w:rPr>
        <w:t>The cost implications of this new allocation policy in the US have been estimated.</w:t>
      </w:r>
      <w:r w:rsidR="00C77F10" w:rsidRPr="00C77F10">
        <w:rPr>
          <w:rFonts w:eastAsiaTheme="minorEastAsia" w:cs="Arial"/>
          <w:color w:val="000000"/>
          <w:sz w:val="24"/>
          <w:szCs w:val="24"/>
          <w:shd w:val="clear" w:color="auto" w:fill="FFFFFF"/>
          <w:vertAlign w:val="superscript"/>
          <w:lang w:eastAsia="en-GB"/>
        </w:rPr>
        <w:t xml:space="preserve">10 </w:t>
      </w:r>
      <w:r w:rsidR="001F1213" w:rsidRPr="00713BAB">
        <w:rPr>
          <w:rFonts w:eastAsiaTheme="minorEastAsia" w:cs="Arial"/>
          <w:color w:val="000000"/>
          <w:sz w:val="24"/>
          <w:szCs w:val="24"/>
          <w:shd w:val="clear" w:color="auto" w:fill="FFFFFF"/>
          <w:lang w:eastAsia="en-GB"/>
        </w:rPr>
        <w:t>To test the concept of longevity matching in the UK context, we used a UK-specific k</w:t>
      </w:r>
      <w:r w:rsidR="001218F1">
        <w:rPr>
          <w:rFonts w:eastAsiaTheme="minorEastAsia" w:cs="Arial"/>
          <w:color w:val="000000"/>
          <w:sz w:val="24"/>
          <w:szCs w:val="24"/>
          <w:shd w:val="clear" w:color="auto" w:fill="FFFFFF"/>
          <w:lang w:eastAsia="en-GB"/>
        </w:rPr>
        <w:t>idney donor risk index (UKKDRI)</w:t>
      </w:r>
      <w:r w:rsidR="00C77F10">
        <w:rPr>
          <w:rFonts w:eastAsiaTheme="minorEastAsia" w:cs="Arial"/>
          <w:color w:val="000000"/>
          <w:sz w:val="24"/>
          <w:szCs w:val="24"/>
          <w:shd w:val="clear" w:color="auto" w:fill="FFFFFF"/>
          <w:vertAlign w:val="superscript"/>
          <w:lang w:eastAsia="en-GB"/>
        </w:rPr>
        <w:t>11</w:t>
      </w:r>
      <w:r w:rsidR="00C77F10">
        <w:rPr>
          <w:rFonts w:eastAsiaTheme="minorEastAsia" w:cs="Arial"/>
          <w:color w:val="000000"/>
          <w:sz w:val="24"/>
          <w:szCs w:val="24"/>
          <w:shd w:val="clear" w:color="auto" w:fill="FFFFFF"/>
          <w:lang w:eastAsia="en-GB"/>
        </w:rPr>
        <w:t xml:space="preserve"> </w:t>
      </w:r>
      <w:r w:rsidR="001F1213" w:rsidRPr="00713BAB">
        <w:rPr>
          <w:rFonts w:eastAsiaTheme="minorEastAsia" w:cs="Arial"/>
          <w:color w:val="000000"/>
          <w:sz w:val="24"/>
          <w:szCs w:val="24"/>
          <w:shd w:val="clear" w:color="auto" w:fill="FFFFFF"/>
          <w:lang w:eastAsia="en-GB"/>
        </w:rPr>
        <w:t>and developed a multivariable parametric model to estimate mean post-transplant survival for potential recipients based on an analysis of histori</w:t>
      </w:r>
      <w:r w:rsidR="001218F1">
        <w:rPr>
          <w:rFonts w:eastAsiaTheme="minorEastAsia" w:cs="Arial"/>
          <w:color w:val="000000"/>
          <w:sz w:val="24"/>
          <w:szCs w:val="24"/>
          <w:shd w:val="clear" w:color="auto" w:fill="FFFFFF"/>
          <w:lang w:eastAsia="en-GB"/>
        </w:rPr>
        <w:t>cal UK Transplant Registry data</w:t>
      </w:r>
      <w:r w:rsidR="001F1213" w:rsidRPr="00713BAB">
        <w:rPr>
          <w:rFonts w:eastAsiaTheme="minorEastAsia" w:cs="Arial"/>
          <w:noProof/>
          <w:color w:val="000000"/>
          <w:sz w:val="24"/>
          <w:szCs w:val="24"/>
          <w:shd w:val="clear" w:color="auto" w:fill="FFFFFF"/>
          <w:lang w:eastAsia="en-GB"/>
        </w:rPr>
        <w:t>.</w:t>
      </w:r>
      <w:r w:rsidR="00C77F10" w:rsidRPr="001218F1">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2</w:t>
      </w:r>
      <w:r w:rsidR="00C77F10" w:rsidRPr="00713BAB">
        <w:rPr>
          <w:rFonts w:eastAsiaTheme="minorEastAsia" w:cs="Arial"/>
          <w:color w:val="000000"/>
          <w:sz w:val="24"/>
          <w:szCs w:val="24"/>
          <w:shd w:val="clear" w:color="auto" w:fill="FFFFFF"/>
          <w:lang w:eastAsia="en-GB"/>
        </w:rPr>
        <w:t xml:space="preserve"> </w:t>
      </w:r>
      <w:r w:rsidR="001F1213" w:rsidRPr="00713BAB">
        <w:rPr>
          <w:rFonts w:eastAsiaTheme="minorEastAsia" w:cs="Arial"/>
          <w:color w:val="000000"/>
          <w:sz w:val="24"/>
          <w:szCs w:val="24"/>
          <w:shd w:val="clear" w:color="auto" w:fill="FFFFFF"/>
          <w:lang w:eastAsia="en-GB"/>
        </w:rPr>
        <w:t xml:space="preserve">A key difference between our approach to estimating recipient post-transplant survival and the EPTS score used in the US kidney allocation scheme is that our survival predictions also take into account </w:t>
      </w:r>
      <w:r w:rsidR="0097414A" w:rsidRPr="00713BAB">
        <w:rPr>
          <w:rFonts w:eastAsiaTheme="minorEastAsia" w:cs="Arial"/>
          <w:color w:val="000000"/>
          <w:sz w:val="24"/>
          <w:szCs w:val="24"/>
          <w:shd w:val="clear" w:color="auto" w:fill="FFFFFF"/>
          <w:lang w:eastAsia="en-GB"/>
        </w:rPr>
        <w:t xml:space="preserve">two donor characteristics: </w:t>
      </w:r>
      <w:r w:rsidR="001F1213" w:rsidRPr="00713BAB">
        <w:rPr>
          <w:rFonts w:eastAsiaTheme="minorEastAsia" w:cs="Arial"/>
          <w:color w:val="000000"/>
          <w:sz w:val="24"/>
          <w:szCs w:val="24"/>
          <w:shd w:val="clear" w:color="auto" w:fill="FFFFFF"/>
          <w:lang w:eastAsia="en-GB"/>
        </w:rPr>
        <w:t xml:space="preserve">age and history of hypertension. Thus, in our simulation exercise, recipient post-transplant survival estimates for both the </w:t>
      </w:r>
      <w:r w:rsidR="0097414A" w:rsidRPr="00713BAB">
        <w:rPr>
          <w:rFonts w:eastAsiaTheme="minorEastAsia" w:cs="Arial"/>
          <w:color w:val="000000"/>
          <w:sz w:val="24"/>
          <w:szCs w:val="24"/>
          <w:shd w:val="clear" w:color="auto" w:fill="FFFFFF"/>
          <w:lang w:eastAsia="en-GB"/>
        </w:rPr>
        <w:t>QALY</w:t>
      </w:r>
      <w:r w:rsidR="001F1213" w:rsidRPr="00713BAB">
        <w:rPr>
          <w:rFonts w:eastAsiaTheme="minorEastAsia" w:cs="Arial"/>
          <w:color w:val="000000"/>
          <w:sz w:val="24"/>
          <w:szCs w:val="24"/>
          <w:shd w:val="clear" w:color="auto" w:fill="FFFFFF"/>
          <w:lang w:eastAsia="en-GB"/>
        </w:rPr>
        <w:t>-maximis</w:t>
      </w:r>
      <w:r w:rsidR="00265BB5" w:rsidRPr="00713BAB">
        <w:rPr>
          <w:rFonts w:eastAsiaTheme="minorEastAsia" w:cs="Arial"/>
          <w:color w:val="000000"/>
          <w:sz w:val="24"/>
          <w:szCs w:val="24"/>
          <w:shd w:val="clear" w:color="auto" w:fill="FFFFFF"/>
          <w:lang w:eastAsia="en-GB"/>
        </w:rPr>
        <w:t>ation</w:t>
      </w:r>
      <w:r w:rsidR="001F1213" w:rsidRPr="00713BAB">
        <w:rPr>
          <w:rFonts w:eastAsiaTheme="minorEastAsia" w:cs="Arial"/>
          <w:color w:val="000000"/>
          <w:sz w:val="24"/>
          <w:szCs w:val="24"/>
          <w:shd w:val="clear" w:color="auto" w:fill="FFFFFF"/>
          <w:lang w:eastAsia="en-GB"/>
        </w:rPr>
        <w:t xml:space="preserve"> and longevity matching allocation schemes are recalculated for each potential donor-recipient combination.</w:t>
      </w:r>
    </w:p>
    <w:p w14:paraId="74690544" w14:textId="54265A7A" w:rsidR="001F1213" w:rsidRPr="00713BAB" w:rsidRDefault="001F1213" w:rsidP="000C75D8">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In addition to exploring the concepts of </w:t>
      </w:r>
      <w:r w:rsidR="0097414A" w:rsidRPr="00713BAB">
        <w:rPr>
          <w:rFonts w:eastAsiaTheme="minorEastAsia" w:cs="Arial"/>
          <w:color w:val="000000"/>
          <w:sz w:val="24"/>
          <w:szCs w:val="24"/>
          <w:shd w:val="clear" w:color="auto" w:fill="FFFFFF"/>
          <w:lang w:eastAsia="en-GB"/>
        </w:rPr>
        <w:t>QALY</w:t>
      </w:r>
      <w:r w:rsidRPr="00713BAB">
        <w:rPr>
          <w:rFonts w:eastAsiaTheme="minorEastAsia" w:cs="Arial"/>
          <w:color w:val="000000"/>
          <w:sz w:val="24"/>
          <w:szCs w:val="24"/>
          <w:shd w:val="clear" w:color="auto" w:fill="FFFFFF"/>
          <w:lang w:eastAsia="en-GB"/>
        </w:rPr>
        <w:t xml:space="preserve">-maximisation and longevity matching, we included two other allocation concepts in our simulation exercise that were intended to reflect greater emphasis on </w:t>
      </w:r>
      <w:r w:rsidR="00007576" w:rsidRPr="00713BAB">
        <w:rPr>
          <w:rFonts w:eastAsiaTheme="minorEastAsia" w:cs="Arial"/>
          <w:color w:val="000000"/>
          <w:sz w:val="24"/>
          <w:szCs w:val="24"/>
          <w:shd w:val="clear" w:color="auto" w:fill="FFFFFF"/>
          <w:lang w:eastAsia="en-GB"/>
        </w:rPr>
        <w:t xml:space="preserve">the principle of </w:t>
      </w:r>
      <w:r w:rsidRPr="00713BAB">
        <w:rPr>
          <w:rFonts w:eastAsiaTheme="minorEastAsia" w:cs="Arial"/>
          <w:color w:val="000000"/>
          <w:sz w:val="24"/>
          <w:szCs w:val="24"/>
          <w:shd w:val="clear" w:color="auto" w:fill="FFFFFF"/>
          <w:lang w:eastAsia="en-GB"/>
        </w:rPr>
        <w:t>equity</w:t>
      </w:r>
      <w:r w:rsidR="0097414A" w:rsidRPr="00713BAB">
        <w:rPr>
          <w:rFonts w:eastAsiaTheme="minorEastAsia" w:cs="Arial"/>
          <w:color w:val="000000"/>
          <w:sz w:val="24"/>
          <w:szCs w:val="24"/>
          <w:shd w:val="clear" w:color="auto" w:fill="FFFFFF"/>
          <w:lang w:eastAsia="en-GB"/>
        </w:rPr>
        <w:t xml:space="preserve"> in access to transplant</w:t>
      </w:r>
      <w:r w:rsidRPr="00713BAB">
        <w:rPr>
          <w:rFonts w:eastAsiaTheme="minorEastAsia" w:cs="Arial"/>
          <w:color w:val="000000"/>
          <w:sz w:val="24"/>
          <w:szCs w:val="24"/>
          <w:shd w:val="clear" w:color="auto" w:fill="FFFFFF"/>
          <w:lang w:eastAsia="en-GB"/>
        </w:rPr>
        <w:t xml:space="preserve">: random allocation and allocation based on waiting time. Table 1 provides an overview of all five allocation concepts explored in our simulation exercise. </w:t>
      </w:r>
    </w:p>
    <w:p w14:paraId="60FF259A" w14:textId="77777777" w:rsidR="001F1213" w:rsidRPr="00713BAB" w:rsidRDefault="001F1213" w:rsidP="003F67A5">
      <w:pPr>
        <w:pStyle w:val="Heading1"/>
      </w:pPr>
      <w:bookmarkStart w:id="18" w:name="_Toc456551545"/>
      <w:bookmarkStart w:id="19" w:name="_Toc456552031"/>
      <w:bookmarkStart w:id="20" w:name="_Toc456638626"/>
      <w:bookmarkStart w:id="21" w:name="_Toc457239804"/>
      <w:bookmarkStart w:id="22" w:name="_Toc457323774"/>
      <w:r w:rsidRPr="00713BAB">
        <w:lastRenderedPageBreak/>
        <w:t>METHODS</w:t>
      </w:r>
      <w:bookmarkEnd w:id="18"/>
      <w:bookmarkEnd w:id="19"/>
      <w:bookmarkEnd w:id="20"/>
      <w:bookmarkEnd w:id="21"/>
      <w:bookmarkEnd w:id="22"/>
    </w:p>
    <w:p w14:paraId="37526E38" w14:textId="77777777" w:rsidR="001F1213" w:rsidRPr="00713BAB" w:rsidRDefault="001F1213" w:rsidP="00EA7148">
      <w:pPr>
        <w:pStyle w:val="Heading2"/>
      </w:pPr>
      <w:bookmarkStart w:id="23" w:name="_Toc456551546"/>
      <w:bookmarkStart w:id="24" w:name="_Toc456552032"/>
      <w:bookmarkStart w:id="25" w:name="_Toc456638627"/>
      <w:bookmarkStart w:id="26" w:name="_Toc457239805"/>
      <w:bookmarkStart w:id="27" w:name="_Toc457323775"/>
      <w:r w:rsidRPr="00713BAB">
        <w:t>Characteristics of waiting list patients and donor kidneys</w:t>
      </w:r>
      <w:bookmarkEnd w:id="23"/>
      <w:bookmarkEnd w:id="24"/>
      <w:bookmarkEnd w:id="25"/>
      <w:bookmarkEnd w:id="26"/>
      <w:bookmarkEnd w:id="27"/>
    </w:p>
    <w:p w14:paraId="705B3C0C" w14:textId="776BD927" w:rsidR="001F1213" w:rsidRPr="00713BAB" w:rsidRDefault="001F1213"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To simulate the composition of the transplant waiting list, we obtained data on 1948 prevalent listed patients who were recruited into the ATTOM study between N</w:t>
      </w:r>
      <w:r w:rsidR="001218F1">
        <w:rPr>
          <w:rFonts w:eastAsiaTheme="minorEastAsia" w:cs="Arial"/>
          <w:sz w:val="24"/>
          <w:szCs w:val="24"/>
          <w:lang w:eastAsia="en-GB"/>
        </w:rPr>
        <w:t>ovember 2011 and September 2013</w:t>
      </w:r>
      <w:r w:rsidRPr="00713BAB">
        <w:rPr>
          <w:rFonts w:eastAsiaTheme="minorEastAsia" w:cs="Arial"/>
          <w:noProof/>
          <w:sz w:val="24"/>
          <w:szCs w:val="24"/>
          <w:lang w:eastAsia="en-GB"/>
        </w:rPr>
        <w:t>.</w:t>
      </w:r>
      <w:r w:rsidR="00C77F10" w:rsidRPr="001218F1">
        <w:rPr>
          <w:rFonts w:eastAsiaTheme="minorEastAsia" w:cs="Arial"/>
          <w:noProof/>
          <w:sz w:val="24"/>
          <w:szCs w:val="24"/>
          <w:vertAlign w:val="superscript"/>
          <w:lang w:eastAsia="en-GB"/>
        </w:rPr>
        <w:t>1</w:t>
      </w:r>
      <w:r w:rsidR="00C77F10">
        <w:rPr>
          <w:rFonts w:eastAsiaTheme="minorEastAsia" w:cs="Arial"/>
          <w:noProof/>
          <w:sz w:val="24"/>
          <w:szCs w:val="24"/>
          <w:vertAlign w:val="superscript"/>
          <w:lang w:eastAsia="en-GB"/>
        </w:rPr>
        <w:t>4</w:t>
      </w:r>
      <w:r w:rsidR="00C77F10" w:rsidRPr="00713BAB">
        <w:rPr>
          <w:rFonts w:eastAsiaTheme="minorEastAsia" w:cs="Arial"/>
          <w:sz w:val="24"/>
          <w:szCs w:val="24"/>
          <w:lang w:eastAsia="en-GB"/>
        </w:rPr>
        <w:t xml:space="preserve"> </w:t>
      </w:r>
      <w:r w:rsidRPr="00713BAB">
        <w:rPr>
          <w:rFonts w:eastAsiaTheme="minorEastAsia" w:cs="Arial"/>
          <w:sz w:val="24"/>
          <w:szCs w:val="24"/>
          <w:lang w:eastAsia="en-GB"/>
        </w:rPr>
        <w:t>Of these patients, 513 had received a previous transplant. In the absence of predictive survival models that would allow us to account for prior transplants, we excluded these patients from the simulation exercise leaving a sample of 1435 patients, whose characteristics were replicated to make up a total waiting list of 5500 patients</w:t>
      </w:r>
      <w:r w:rsidR="00B27203" w:rsidRPr="00713BAB">
        <w:rPr>
          <w:rFonts w:eastAsiaTheme="minorEastAsia" w:cs="Arial"/>
          <w:sz w:val="24"/>
          <w:szCs w:val="24"/>
          <w:lang w:eastAsia="en-GB"/>
        </w:rPr>
        <w:t>, which reflected the size of the waiting list at the time the simulation model was designed</w:t>
      </w:r>
      <w:r w:rsidR="009F3AEC">
        <w:rPr>
          <w:rFonts w:eastAsiaTheme="minorEastAsia" w:cs="Arial"/>
          <w:sz w:val="24"/>
          <w:szCs w:val="24"/>
          <w:lang w:eastAsia="en-GB"/>
        </w:rPr>
        <w:t xml:space="preserve"> (Table 2)</w:t>
      </w:r>
      <w:r w:rsidRPr="00713BAB">
        <w:rPr>
          <w:rFonts w:eastAsiaTheme="minorEastAsia" w:cs="Arial"/>
          <w:sz w:val="24"/>
          <w:szCs w:val="24"/>
          <w:lang w:eastAsia="en-GB"/>
        </w:rPr>
        <w:t xml:space="preserve">. During the simulation exercise, each time a patient received a transplant, a replacement was added to the waiting list to keep it constant at 5500 patients. For the donor dataset, we obtained characteristics of 2200 donors (4400 kidneys) </w:t>
      </w:r>
      <w:r w:rsidR="009F3AEC" w:rsidRPr="00713BAB">
        <w:rPr>
          <w:rFonts w:eastAsiaTheme="minorEastAsia" w:cs="Arial"/>
          <w:sz w:val="24"/>
          <w:szCs w:val="24"/>
          <w:lang w:eastAsia="en-GB"/>
        </w:rPr>
        <w:t>from NHS Blood and Transplant</w:t>
      </w:r>
      <w:r w:rsidR="009F3AEC">
        <w:rPr>
          <w:rFonts w:eastAsiaTheme="minorEastAsia" w:cs="Arial"/>
          <w:sz w:val="24"/>
          <w:szCs w:val="24"/>
          <w:lang w:eastAsia="en-GB"/>
        </w:rPr>
        <w:t xml:space="preserve"> </w:t>
      </w:r>
      <w:r w:rsidRPr="00713BAB">
        <w:rPr>
          <w:rFonts w:eastAsiaTheme="minorEastAsia" w:cs="Arial"/>
          <w:sz w:val="24"/>
          <w:szCs w:val="24"/>
          <w:lang w:eastAsia="en-GB"/>
        </w:rPr>
        <w:t>based on a representative historical cohort</w:t>
      </w:r>
      <w:r w:rsidR="009F3AEC">
        <w:rPr>
          <w:rFonts w:eastAsiaTheme="minorEastAsia" w:cs="Arial"/>
          <w:sz w:val="24"/>
          <w:szCs w:val="24"/>
          <w:lang w:eastAsia="en-GB"/>
        </w:rPr>
        <w:t xml:space="preserve"> reflecting the time period</w:t>
      </w:r>
      <w:r w:rsidR="007A7547">
        <w:rPr>
          <w:rFonts w:eastAsiaTheme="minorEastAsia" w:cs="Arial"/>
          <w:sz w:val="24"/>
          <w:szCs w:val="24"/>
          <w:lang w:eastAsia="en-GB"/>
        </w:rPr>
        <w:t xml:space="preserve"> </w:t>
      </w:r>
      <w:r w:rsidR="007A7547" w:rsidRPr="00417662">
        <w:rPr>
          <w:rFonts w:ascii="Calibri" w:hAnsi="Calibri" w:cs="Calibri"/>
          <w:sz w:val="24"/>
          <w:szCs w:val="24"/>
        </w:rPr>
        <w:t xml:space="preserve">between January 2010 and December 2011 </w:t>
      </w:r>
      <w:r w:rsidR="009F3AEC">
        <w:rPr>
          <w:rFonts w:eastAsiaTheme="minorEastAsia" w:cs="Arial"/>
          <w:sz w:val="24"/>
          <w:szCs w:val="24"/>
          <w:lang w:eastAsia="en-GB"/>
        </w:rPr>
        <w:t>(Table 3)</w:t>
      </w:r>
      <w:r w:rsidRPr="00713BAB">
        <w:rPr>
          <w:rFonts w:eastAsiaTheme="minorEastAsia" w:cs="Arial"/>
          <w:sz w:val="24"/>
          <w:szCs w:val="24"/>
          <w:lang w:eastAsia="en-GB"/>
        </w:rPr>
        <w:t>.</w:t>
      </w:r>
      <w:r w:rsidR="007A7547">
        <w:rPr>
          <w:rFonts w:eastAsiaTheme="minorEastAsia" w:cs="Arial"/>
          <w:sz w:val="24"/>
          <w:szCs w:val="24"/>
          <w:lang w:eastAsia="en-GB"/>
        </w:rPr>
        <w:t xml:space="preserve"> </w:t>
      </w:r>
    </w:p>
    <w:p w14:paraId="65F5F5E8" w14:textId="34ADCEC0" w:rsidR="00713BAB" w:rsidRPr="00713BAB" w:rsidRDefault="001F1213" w:rsidP="000C75D8">
      <w:pPr>
        <w:spacing w:after="0" w:line="480" w:lineRule="auto"/>
        <w:rPr>
          <w:rFonts w:eastAsiaTheme="minorEastAsia" w:cs="Arial"/>
          <w:sz w:val="24"/>
          <w:szCs w:val="24"/>
          <w:lang w:eastAsia="en-GB"/>
        </w:rPr>
      </w:pPr>
      <w:r w:rsidRPr="00713BAB">
        <w:rPr>
          <w:rFonts w:eastAsiaTheme="minorEastAsia" w:cs="Arial"/>
          <w:sz w:val="24"/>
          <w:szCs w:val="24"/>
          <w:lang w:eastAsia="en-GB"/>
        </w:rPr>
        <w:t>Characteristics of individual patients and donors were assigned at the point of entry into the model so that these characteristics could be used throughout the simulation to inform the allocation process as well as to esti</w:t>
      </w:r>
      <w:r w:rsidR="008457CD" w:rsidRPr="00713BAB">
        <w:rPr>
          <w:rFonts w:eastAsiaTheme="minorEastAsia" w:cs="Arial"/>
          <w:sz w:val="24"/>
          <w:szCs w:val="24"/>
          <w:lang w:eastAsia="en-GB"/>
        </w:rPr>
        <w:t>mate survival, costs and health-</w:t>
      </w:r>
      <w:r w:rsidRPr="00713BAB">
        <w:rPr>
          <w:rFonts w:eastAsiaTheme="minorEastAsia" w:cs="Arial"/>
          <w:sz w:val="24"/>
          <w:szCs w:val="24"/>
          <w:lang w:eastAsia="en-GB"/>
        </w:rPr>
        <w:t>state utilities. Most patient characteristics, including comorbidities, were kept constant throughout the simulation, however three characteristics were updated as simulation time progressed; waiting time and time on dialysis were incremented on a daily basis, while patient age was incremented annually.</w:t>
      </w:r>
    </w:p>
    <w:p w14:paraId="77E9A75E" w14:textId="77777777" w:rsidR="001F1213" w:rsidRPr="00713BAB" w:rsidRDefault="001F1213" w:rsidP="00EA7148">
      <w:pPr>
        <w:pStyle w:val="Heading2"/>
      </w:pPr>
      <w:r w:rsidRPr="00713BAB">
        <w:t>Model structure and assumptions</w:t>
      </w:r>
    </w:p>
    <w:p w14:paraId="59C6BDC1" w14:textId="06D4A80A" w:rsidR="001F1213" w:rsidRPr="00713BAB" w:rsidRDefault="001F1213" w:rsidP="002B68CC">
      <w:pPr>
        <w:spacing w:after="0" w:line="480" w:lineRule="auto"/>
        <w:rPr>
          <w:rFonts w:eastAsiaTheme="minorEastAsia" w:cs="Arial"/>
          <w:color w:val="000000"/>
          <w:sz w:val="24"/>
          <w:szCs w:val="24"/>
          <w:shd w:val="clear" w:color="auto" w:fill="FFFFFF"/>
          <w:lang w:eastAsia="en-GB"/>
        </w:rPr>
      </w:pPr>
      <w:r w:rsidRPr="00713BAB">
        <w:rPr>
          <w:rFonts w:eastAsiaTheme="minorEastAsia" w:cs="Arial"/>
          <w:sz w:val="24"/>
          <w:szCs w:val="24"/>
          <w:lang w:eastAsia="en-GB"/>
        </w:rPr>
        <w:lastRenderedPageBreak/>
        <w:t xml:space="preserve">The simulation model was constructed using the software package SIMUL8 2015 Professional version </w:t>
      </w:r>
      <w:r w:rsidRPr="00713BAB">
        <w:rPr>
          <w:rFonts w:eastAsiaTheme="minorEastAsia" w:cs="Arial"/>
          <w:color w:val="000000"/>
          <w:sz w:val="24"/>
          <w:szCs w:val="24"/>
          <w:shd w:val="clear" w:color="auto" w:fill="FFFFFF"/>
          <w:lang w:eastAsia="en-GB"/>
        </w:rPr>
        <w:t xml:space="preserve">(SIMUL8 Corporation, Boston, MA, USA). At the start of the simulation, prevalent waiting list patients are loaded and held in a queue while donor kidneys are assumed to arrive at a fixed rate equivalent to 1200 deceased donors per year (Figure 1). The allocation process is triggered by the arrival of each donor kidney. Using Visual Logic, SIMUL8’s internal programming language, we are able to loop through patients on the waiting list to evaluate blood group and tissue compatibility for each potential donor-recipient combination and perform the necessary calculations and scoring algorithms relevant to each allocation scheme of interest. In the model, we allowed for the possibility that no appropriate match </w:t>
      </w:r>
      <w:r w:rsidR="00A25747" w:rsidRPr="00713BAB">
        <w:rPr>
          <w:rFonts w:eastAsiaTheme="minorEastAsia" w:cs="Arial"/>
          <w:color w:val="000000"/>
          <w:sz w:val="24"/>
          <w:szCs w:val="24"/>
          <w:shd w:val="clear" w:color="auto" w:fill="FFFFFF"/>
          <w:lang w:eastAsia="en-GB"/>
        </w:rPr>
        <w:t xml:space="preserve">is identified for a </w:t>
      </w:r>
      <w:r w:rsidR="00943014" w:rsidRPr="00713BAB">
        <w:rPr>
          <w:rFonts w:eastAsiaTheme="minorEastAsia" w:cs="Arial"/>
          <w:color w:val="000000"/>
          <w:sz w:val="24"/>
          <w:szCs w:val="24"/>
          <w:shd w:val="clear" w:color="auto" w:fill="FFFFFF"/>
          <w:lang w:eastAsia="en-GB"/>
        </w:rPr>
        <w:t>kidney from</w:t>
      </w:r>
      <w:r w:rsidR="00A25747" w:rsidRPr="00713BAB">
        <w:rPr>
          <w:rFonts w:eastAsiaTheme="minorEastAsia" w:cs="Arial"/>
          <w:color w:val="000000"/>
          <w:sz w:val="24"/>
          <w:szCs w:val="24"/>
          <w:shd w:val="clear" w:color="auto" w:fill="FFFFFF"/>
          <w:lang w:eastAsia="en-GB"/>
        </w:rPr>
        <w:t xml:space="preserve"> a donor with a rare blood or tissue type</w:t>
      </w:r>
      <w:r w:rsidRPr="00713BAB">
        <w:rPr>
          <w:rFonts w:eastAsiaTheme="minorEastAsia" w:cs="Arial"/>
          <w:color w:val="000000"/>
          <w:sz w:val="24"/>
          <w:szCs w:val="24"/>
          <w:shd w:val="clear" w:color="auto" w:fill="FFFFFF"/>
          <w:lang w:eastAsia="en-GB"/>
        </w:rPr>
        <w:t>. This is</w:t>
      </w:r>
      <w:r w:rsidR="0020402C" w:rsidRPr="00713BAB">
        <w:rPr>
          <w:rFonts w:eastAsiaTheme="minorEastAsia" w:cs="Arial"/>
          <w:color w:val="000000"/>
          <w:sz w:val="24"/>
          <w:szCs w:val="24"/>
          <w:shd w:val="clear" w:color="auto" w:fill="FFFFFF"/>
          <w:lang w:eastAsia="en-GB"/>
        </w:rPr>
        <w:t xml:space="preserve"> unlikely to happen in practice</w:t>
      </w:r>
      <w:r w:rsidR="00A25747" w:rsidRPr="00713BAB">
        <w:rPr>
          <w:rFonts w:eastAsiaTheme="minorEastAsia" w:cs="Arial"/>
          <w:color w:val="000000"/>
          <w:sz w:val="24"/>
          <w:szCs w:val="24"/>
          <w:shd w:val="clear" w:color="auto" w:fill="FFFFFF"/>
          <w:lang w:eastAsia="en-GB"/>
        </w:rPr>
        <w:t xml:space="preserve"> but</w:t>
      </w:r>
      <w:r w:rsidR="0020402C" w:rsidRPr="00713BAB">
        <w:rPr>
          <w:rFonts w:eastAsiaTheme="minorEastAsia" w:cs="Arial"/>
          <w:color w:val="000000"/>
          <w:sz w:val="24"/>
          <w:szCs w:val="24"/>
          <w:shd w:val="clear" w:color="auto" w:fill="FFFFFF"/>
          <w:lang w:eastAsia="en-GB"/>
        </w:rPr>
        <w:t xml:space="preserve"> </w:t>
      </w:r>
      <w:r w:rsidR="00A25747" w:rsidRPr="00713BAB">
        <w:rPr>
          <w:rFonts w:eastAsiaTheme="minorEastAsia" w:cs="Arial"/>
          <w:color w:val="000000"/>
          <w:sz w:val="24"/>
          <w:szCs w:val="24"/>
          <w:shd w:val="clear" w:color="auto" w:fill="FFFFFF"/>
          <w:lang w:eastAsia="en-GB"/>
        </w:rPr>
        <w:t>could</w:t>
      </w:r>
      <w:r w:rsidRPr="00713BAB">
        <w:rPr>
          <w:rFonts w:eastAsiaTheme="minorEastAsia" w:cs="Arial"/>
          <w:color w:val="000000"/>
          <w:sz w:val="24"/>
          <w:szCs w:val="24"/>
          <w:shd w:val="clear" w:color="auto" w:fill="FFFFFF"/>
          <w:lang w:eastAsia="en-GB"/>
        </w:rPr>
        <w:t xml:space="preserve"> occur in a small </w:t>
      </w:r>
      <w:r w:rsidR="00943014" w:rsidRPr="00713BAB">
        <w:rPr>
          <w:rFonts w:eastAsiaTheme="minorEastAsia" w:cs="Arial"/>
          <w:color w:val="000000"/>
          <w:sz w:val="24"/>
          <w:szCs w:val="24"/>
          <w:shd w:val="clear" w:color="auto" w:fill="FFFFFF"/>
          <w:lang w:eastAsia="en-GB"/>
        </w:rPr>
        <w:t>proportion</w:t>
      </w:r>
      <w:r w:rsidRPr="00713BAB">
        <w:rPr>
          <w:rFonts w:eastAsiaTheme="minorEastAsia" w:cs="Arial"/>
          <w:color w:val="000000"/>
          <w:sz w:val="24"/>
          <w:szCs w:val="24"/>
          <w:shd w:val="clear" w:color="auto" w:fill="FFFFFF"/>
          <w:lang w:eastAsia="en-GB"/>
        </w:rPr>
        <w:t xml:space="preserve"> of cases</w:t>
      </w:r>
      <w:r w:rsidR="00A25747" w:rsidRPr="00713BAB">
        <w:rPr>
          <w:rFonts w:eastAsiaTheme="minorEastAsia" w:cs="Arial"/>
          <w:color w:val="000000"/>
          <w:sz w:val="24"/>
          <w:szCs w:val="24"/>
          <w:shd w:val="clear" w:color="auto" w:fill="FFFFFF"/>
          <w:lang w:eastAsia="en-GB"/>
        </w:rPr>
        <w:t xml:space="preserve"> in </w:t>
      </w:r>
      <w:r w:rsidR="00943014" w:rsidRPr="00713BAB">
        <w:rPr>
          <w:rFonts w:eastAsiaTheme="minorEastAsia" w:cs="Arial"/>
          <w:color w:val="000000"/>
          <w:sz w:val="24"/>
          <w:szCs w:val="24"/>
          <w:shd w:val="clear" w:color="auto" w:fill="FFFFFF"/>
          <w:lang w:eastAsia="en-GB"/>
        </w:rPr>
        <w:t>our</w:t>
      </w:r>
      <w:r w:rsidR="00A25747" w:rsidRPr="00713BAB">
        <w:rPr>
          <w:rFonts w:eastAsiaTheme="minorEastAsia" w:cs="Arial"/>
          <w:color w:val="000000"/>
          <w:sz w:val="24"/>
          <w:szCs w:val="24"/>
          <w:shd w:val="clear" w:color="auto" w:fill="FFFFFF"/>
          <w:lang w:eastAsia="en-GB"/>
        </w:rPr>
        <w:t xml:space="preserve"> simulation </w:t>
      </w:r>
      <w:r w:rsidR="00943014" w:rsidRPr="00713BAB">
        <w:rPr>
          <w:rFonts w:eastAsiaTheme="minorEastAsia" w:cs="Arial"/>
          <w:color w:val="000000"/>
          <w:sz w:val="24"/>
          <w:szCs w:val="24"/>
          <w:shd w:val="clear" w:color="auto" w:fill="FFFFFF"/>
          <w:lang w:eastAsia="en-GB"/>
        </w:rPr>
        <w:t>because</w:t>
      </w:r>
      <w:r w:rsidR="00A25747" w:rsidRPr="00713BAB">
        <w:rPr>
          <w:rFonts w:eastAsiaTheme="minorEastAsia" w:cs="Arial"/>
          <w:color w:val="000000"/>
          <w:sz w:val="24"/>
          <w:szCs w:val="24"/>
          <w:shd w:val="clear" w:color="auto" w:fill="FFFFFF"/>
          <w:lang w:eastAsia="en-GB"/>
        </w:rPr>
        <w:t xml:space="preserve"> the composition of the waiting list was based on a </w:t>
      </w:r>
      <w:r w:rsidR="00943014" w:rsidRPr="00713BAB">
        <w:rPr>
          <w:rFonts w:eastAsiaTheme="minorEastAsia" w:cs="Arial"/>
          <w:color w:val="000000"/>
          <w:sz w:val="24"/>
          <w:szCs w:val="24"/>
          <w:shd w:val="clear" w:color="auto" w:fill="FFFFFF"/>
          <w:lang w:eastAsia="en-GB"/>
        </w:rPr>
        <w:t>limited sample of patients who were recruited into the ATTOM study</w:t>
      </w:r>
      <w:r w:rsidRPr="00713BAB">
        <w:rPr>
          <w:rFonts w:eastAsiaTheme="minorEastAsia" w:cs="Arial"/>
          <w:color w:val="000000"/>
          <w:sz w:val="24"/>
          <w:szCs w:val="24"/>
          <w:shd w:val="clear" w:color="auto" w:fill="FFFFFF"/>
          <w:lang w:eastAsia="en-GB"/>
        </w:rPr>
        <w:t>. In the current UK allocation scheme, tissue matching between the donor and recipient is determined on the basis of human leukocyte antigens (HLA); patients are separated into one of four possible HLA mismatch levels from level 1 (000-mismatched) to level 4 (poorly matched). In current practice, patients with a level 4 HLA mismatch are not eligible to receive the donor kidney through</w:t>
      </w:r>
      <w:r w:rsidR="001218F1">
        <w:rPr>
          <w:rFonts w:eastAsiaTheme="minorEastAsia" w:cs="Arial"/>
          <w:color w:val="000000"/>
          <w:sz w:val="24"/>
          <w:szCs w:val="24"/>
          <w:shd w:val="clear" w:color="auto" w:fill="FFFFFF"/>
          <w:lang w:eastAsia="en-GB"/>
        </w:rPr>
        <w:t xml:space="preserve"> the national allocation scheme</w:t>
      </w:r>
      <w:r w:rsidRPr="00713BAB">
        <w:rPr>
          <w:rFonts w:eastAsiaTheme="minorEastAsia" w:cs="Arial"/>
          <w:noProof/>
          <w:color w:val="000000"/>
          <w:sz w:val="24"/>
          <w:szCs w:val="24"/>
          <w:shd w:val="clear" w:color="auto" w:fill="FFFFFF"/>
          <w:lang w:eastAsia="en-GB"/>
        </w:rPr>
        <w:t>.</w:t>
      </w:r>
      <w:r w:rsidR="00C77F10" w:rsidRPr="001218F1">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3</w:t>
      </w:r>
      <w:r w:rsidR="00C77F10" w:rsidRPr="00713BAB">
        <w:rPr>
          <w:rFonts w:eastAsiaTheme="minorEastAsia" w:cs="Arial"/>
          <w:color w:val="000000"/>
          <w:sz w:val="24"/>
          <w:szCs w:val="24"/>
          <w:shd w:val="clear" w:color="auto" w:fill="FFFFFF"/>
          <w:lang w:eastAsia="en-GB"/>
        </w:rPr>
        <w:t xml:space="preserve"> </w:t>
      </w:r>
      <w:r w:rsidRPr="00713BAB">
        <w:rPr>
          <w:rFonts w:eastAsiaTheme="minorEastAsia" w:cs="Arial"/>
          <w:color w:val="000000"/>
          <w:sz w:val="24"/>
          <w:szCs w:val="24"/>
          <w:shd w:val="clear" w:color="auto" w:fill="FFFFFF"/>
          <w:lang w:eastAsia="en-GB"/>
        </w:rPr>
        <w:t xml:space="preserve">In order to maintain comparability between allocation schemes, we applied </w:t>
      </w:r>
      <w:r w:rsidR="006C4082" w:rsidRPr="00713BAB">
        <w:rPr>
          <w:rFonts w:eastAsiaTheme="minorEastAsia" w:cs="Arial"/>
          <w:color w:val="000000"/>
          <w:sz w:val="24"/>
          <w:szCs w:val="24"/>
          <w:shd w:val="clear" w:color="auto" w:fill="FFFFFF"/>
          <w:lang w:eastAsia="en-GB"/>
        </w:rPr>
        <w:t>the same minimum criteria for blood group and HLA matching</w:t>
      </w:r>
      <w:r w:rsidRPr="00713BAB">
        <w:rPr>
          <w:rFonts w:eastAsiaTheme="minorEastAsia" w:cs="Arial"/>
          <w:color w:val="000000"/>
          <w:sz w:val="24"/>
          <w:szCs w:val="24"/>
          <w:shd w:val="clear" w:color="auto" w:fill="FFFFFF"/>
          <w:lang w:eastAsia="en-GB"/>
        </w:rPr>
        <w:t xml:space="preserve"> to all allocation schemes in </w:t>
      </w:r>
      <w:r w:rsidR="006C4082" w:rsidRPr="00713BAB">
        <w:rPr>
          <w:rFonts w:eastAsiaTheme="minorEastAsia" w:cs="Arial"/>
          <w:color w:val="000000"/>
          <w:sz w:val="24"/>
          <w:szCs w:val="24"/>
          <w:shd w:val="clear" w:color="auto" w:fill="FFFFFF"/>
          <w:lang w:eastAsia="en-GB"/>
        </w:rPr>
        <w:t>the</w:t>
      </w:r>
      <w:r w:rsidRPr="00713BAB">
        <w:rPr>
          <w:rFonts w:eastAsiaTheme="minorEastAsia" w:cs="Arial"/>
          <w:color w:val="000000"/>
          <w:sz w:val="24"/>
          <w:szCs w:val="24"/>
          <w:shd w:val="clear" w:color="auto" w:fill="FFFFFF"/>
          <w:lang w:eastAsia="en-GB"/>
        </w:rPr>
        <w:t xml:space="preserve"> simulation exercise. </w:t>
      </w:r>
    </w:p>
    <w:p w14:paraId="386A71A7" w14:textId="3EBD3F00" w:rsidR="00A415A9" w:rsidRPr="00713BAB" w:rsidRDefault="001F1213" w:rsidP="000C75D8">
      <w:pPr>
        <w:spacing w:after="0" w:line="480" w:lineRule="auto"/>
        <w:rPr>
          <w:rFonts w:eastAsiaTheme="minorEastAsia" w:cs="Arial"/>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Once a match has been identified, the recipient and donor kidney are assembled into a single entity to simulate the transplantation event and moved to the next step in the simulation process to determine post-transplant survival and to estimate lifetime QALYs and costs. The model assumes only two events are possible following transplantation: graft </w:t>
      </w:r>
      <w:r w:rsidRPr="00713BAB">
        <w:rPr>
          <w:rFonts w:eastAsiaTheme="minorEastAsia" w:cs="Arial"/>
          <w:color w:val="000000"/>
          <w:sz w:val="24"/>
          <w:szCs w:val="24"/>
          <w:shd w:val="clear" w:color="auto" w:fill="FFFFFF"/>
          <w:lang w:eastAsia="en-GB"/>
        </w:rPr>
        <w:lastRenderedPageBreak/>
        <w:t>failure, in which the transplanted kidney stops working, or patient death. These events are modelled as competing risks in which we randomly sample from the survival curve for each event and move the patient to the event</w:t>
      </w:r>
      <w:r w:rsidR="001218F1">
        <w:rPr>
          <w:rFonts w:eastAsiaTheme="minorEastAsia" w:cs="Arial"/>
          <w:color w:val="000000"/>
          <w:sz w:val="24"/>
          <w:szCs w:val="24"/>
          <w:shd w:val="clear" w:color="auto" w:fill="FFFFFF"/>
          <w:lang w:eastAsia="en-GB"/>
        </w:rPr>
        <w:t xml:space="preserve"> with the earliest sampled time</w:t>
      </w:r>
      <w:r w:rsidRPr="00713BAB">
        <w:rPr>
          <w:rFonts w:eastAsiaTheme="minorEastAsia" w:cs="Arial"/>
          <w:noProof/>
          <w:color w:val="000000"/>
          <w:sz w:val="24"/>
          <w:szCs w:val="24"/>
          <w:shd w:val="clear" w:color="auto" w:fill="FFFFFF"/>
          <w:lang w:eastAsia="en-GB"/>
        </w:rPr>
        <w:t>.</w:t>
      </w:r>
      <w:r w:rsidR="00C77F10" w:rsidRPr="001218F1">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5</w:t>
      </w:r>
      <w:r w:rsidR="00C77F10" w:rsidRPr="00713BAB">
        <w:rPr>
          <w:rFonts w:eastAsiaTheme="minorEastAsia" w:cs="Arial"/>
          <w:color w:val="000000"/>
          <w:sz w:val="24"/>
          <w:szCs w:val="24"/>
          <w:shd w:val="clear" w:color="auto" w:fill="FFFFFF"/>
          <w:lang w:eastAsia="en-GB"/>
        </w:rPr>
        <w:t xml:space="preserve"> </w:t>
      </w:r>
      <w:r w:rsidRPr="00713BAB">
        <w:rPr>
          <w:rFonts w:eastAsiaTheme="minorEastAsia" w:cs="Arial"/>
          <w:color w:val="000000"/>
          <w:sz w:val="24"/>
          <w:szCs w:val="24"/>
          <w:shd w:val="clear" w:color="auto" w:fill="FFFFFF"/>
          <w:lang w:eastAsia="en-GB"/>
        </w:rPr>
        <w:t xml:space="preserve">If a patient experiences graft failure, we have assumed the patient returns to dialysis and faces the same mortality risk as a patient who has been on the waiting list and receiving dialysis for &gt;3 </w:t>
      </w:r>
      <w:r w:rsidRPr="00713BAB">
        <w:rPr>
          <w:rFonts w:eastAsiaTheme="minorEastAsia" w:cs="Arial"/>
          <w:sz w:val="24"/>
          <w:szCs w:val="24"/>
          <w:shd w:val="clear" w:color="auto" w:fill="FFFFFF"/>
          <w:lang w:eastAsia="en-GB"/>
        </w:rPr>
        <w:t xml:space="preserve">years. However, if the sampled value for time to death following graft failure is longer than the time the patient would have survived based on the previously sampled value to determine initial post-transplant outcomes, we replaced it with the lower value. We </w:t>
      </w:r>
      <w:r w:rsidR="006C4082" w:rsidRPr="00713BAB">
        <w:rPr>
          <w:rFonts w:eastAsiaTheme="minorEastAsia" w:cs="Arial"/>
          <w:sz w:val="24"/>
          <w:szCs w:val="24"/>
          <w:shd w:val="clear" w:color="auto" w:fill="FFFFFF"/>
          <w:lang w:eastAsia="en-GB"/>
        </w:rPr>
        <w:t>did not attempt to model repeat transplants in the simulation</w:t>
      </w:r>
      <w:r w:rsidRPr="00713BAB">
        <w:rPr>
          <w:rFonts w:eastAsiaTheme="minorEastAsia" w:cs="Arial"/>
          <w:sz w:val="24"/>
          <w:szCs w:val="24"/>
          <w:shd w:val="clear" w:color="auto" w:fill="FFFFFF"/>
          <w:lang w:eastAsia="en-GB"/>
        </w:rPr>
        <w:t>.</w:t>
      </w:r>
    </w:p>
    <w:p w14:paraId="6696D3A8" w14:textId="77777777" w:rsidR="001B3070" w:rsidRPr="00713BAB" w:rsidRDefault="001B3070" w:rsidP="000C75D8">
      <w:pPr>
        <w:spacing w:after="0" w:line="480" w:lineRule="auto"/>
        <w:rPr>
          <w:rFonts w:eastAsiaTheme="minorEastAsia" w:cs="Arial"/>
          <w:color w:val="000000"/>
          <w:sz w:val="24"/>
          <w:szCs w:val="24"/>
          <w:shd w:val="clear" w:color="auto" w:fill="FFFFFF"/>
          <w:lang w:eastAsia="en-GB"/>
        </w:rPr>
      </w:pPr>
      <w:r w:rsidRPr="00713BAB">
        <w:rPr>
          <w:rFonts w:eastAsiaTheme="minorEastAsia" w:cs="Arial"/>
          <w:sz w:val="24"/>
          <w:szCs w:val="24"/>
          <w:shd w:val="clear" w:color="auto" w:fill="FFFFFF"/>
          <w:lang w:eastAsia="en-GB"/>
        </w:rPr>
        <w:t>The model was built by developing separate s</w:t>
      </w:r>
      <w:r w:rsidRPr="00713BAB">
        <w:rPr>
          <w:rFonts w:eastAsiaTheme="minorEastAsia" w:cs="Arial"/>
          <w:color w:val="000000"/>
          <w:sz w:val="24"/>
          <w:szCs w:val="24"/>
          <w:shd w:val="clear" w:color="auto" w:fill="FFFFFF"/>
          <w:lang w:eastAsia="en-GB"/>
        </w:rPr>
        <w:t xml:space="preserve">ections of Visual Logic code for each step in the allocation process so that, for example, the same procedure to evaluate blood group compatibility could be called at any point in the simulation for any of the five allocation schemes. Internal spreadsheets were used extensively to perform interim calculations at the patient level, which also facilitated model checks and step-by-step verification of the simulation process. </w:t>
      </w:r>
    </w:p>
    <w:p w14:paraId="5D634E8B" w14:textId="77777777" w:rsidR="001F1213" w:rsidRPr="00713BAB" w:rsidRDefault="001F1213" w:rsidP="00EA7148">
      <w:pPr>
        <w:pStyle w:val="Heading2"/>
        <w:rPr>
          <w:color w:val="000000"/>
          <w:shd w:val="clear" w:color="auto" w:fill="FFFFFF"/>
        </w:rPr>
      </w:pPr>
      <w:r w:rsidRPr="00713BAB">
        <w:rPr>
          <w:shd w:val="clear" w:color="auto" w:fill="FFFFFF"/>
        </w:rPr>
        <w:t>Estimating life years, QALYs and costs</w:t>
      </w:r>
    </w:p>
    <w:p w14:paraId="45C90CCD" w14:textId="77777777" w:rsidR="001F1213" w:rsidRPr="00713BAB" w:rsidRDefault="001F1213" w:rsidP="00713BAB">
      <w:pPr>
        <w:spacing w:before="120" w:after="120" w:line="480" w:lineRule="auto"/>
        <w:rPr>
          <w:rFonts w:eastAsiaTheme="minorEastAsia" w:cs="Arial"/>
          <w:b/>
          <w:i/>
          <w:color w:val="000000"/>
          <w:sz w:val="24"/>
          <w:szCs w:val="24"/>
          <w:shd w:val="clear" w:color="auto" w:fill="FFFFFF"/>
          <w:lang w:eastAsia="en-GB"/>
        </w:rPr>
      </w:pPr>
      <w:r w:rsidRPr="00713BAB">
        <w:rPr>
          <w:rFonts w:eastAsiaTheme="minorEastAsia" w:cs="Arial"/>
          <w:b/>
          <w:i/>
          <w:color w:val="000000"/>
          <w:sz w:val="24"/>
          <w:szCs w:val="24"/>
          <w:shd w:val="clear" w:color="auto" w:fill="FFFFFF"/>
          <w:lang w:eastAsia="en-GB"/>
        </w:rPr>
        <w:t>Survival models</w:t>
      </w:r>
    </w:p>
    <w:p w14:paraId="4CFCFA4D" w14:textId="7D26C022" w:rsidR="001F1213" w:rsidRPr="00713BAB" w:rsidRDefault="001F1213" w:rsidP="002B68CC">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There are three survival models underpinning time-to-event calculations to estimate post-transplant patient survival, post-transplant graft failure and waiting list survival at various points in the simulation. Each of these models was developed based on analysis of historical UK Transplant Registry data. Data on dialysis start dates were additionally obtained through </w:t>
      </w:r>
      <w:r w:rsidRPr="00713BAB">
        <w:rPr>
          <w:rFonts w:eastAsiaTheme="minorEastAsia" w:cs="Arial"/>
          <w:color w:val="000000"/>
          <w:sz w:val="24"/>
          <w:szCs w:val="24"/>
          <w:shd w:val="clear" w:color="auto" w:fill="FFFFFF"/>
          <w:lang w:eastAsia="en-GB"/>
        </w:rPr>
        <w:lastRenderedPageBreak/>
        <w:t xml:space="preserve">linkage to the UK Renal Registry to inform the waiting list survival model. Models were fitted using flexible parametric survival </w:t>
      </w:r>
      <w:r w:rsidR="001218F1">
        <w:rPr>
          <w:rFonts w:eastAsiaTheme="minorEastAsia" w:cs="Arial"/>
          <w:color w:val="000000"/>
          <w:sz w:val="24"/>
          <w:szCs w:val="24"/>
          <w:shd w:val="clear" w:color="auto" w:fill="FFFFFF"/>
          <w:lang w:eastAsia="en-GB"/>
        </w:rPr>
        <w:t>analysis in order to facilitate</w:t>
      </w:r>
      <w:r w:rsidRPr="00713BAB">
        <w:rPr>
          <w:rFonts w:eastAsiaTheme="minorEastAsia" w:cs="Arial"/>
          <w:color w:val="000000"/>
          <w:sz w:val="24"/>
          <w:szCs w:val="24"/>
          <w:shd w:val="clear" w:color="auto" w:fill="FFFFFF"/>
          <w:lang w:eastAsia="en-GB"/>
        </w:rPr>
        <w:t>:</w:t>
      </w:r>
      <w:r w:rsidR="00C77F10" w:rsidRPr="001218F1">
        <w:rPr>
          <w:rFonts w:eastAsiaTheme="minorEastAsia" w:cs="Arial"/>
          <w:color w:val="000000"/>
          <w:sz w:val="24"/>
          <w:szCs w:val="24"/>
          <w:shd w:val="clear" w:color="auto" w:fill="FFFFFF"/>
          <w:vertAlign w:val="superscript"/>
          <w:lang w:eastAsia="en-GB"/>
        </w:rPr>
        <w:t>1</w:t>
      </w:r>
      <w:r w:rsidR="00C77F10">
        <w:rPr>
          <w:rFonts w:eastAsiaTheme="minorEastAsia" w:cs="Arial"/>
          <w:color w:val="000000"/>
          <w:sz w:val="24"/>
          <w:szCs w:val="24"/>
          <w:shd w:val="clear" w:color="auto" w:fill="FFFFFF"/>
          <w:vertAlign w:val="superscript"/>
          <w:lang w:eastAsia="en-GB"/>
        </w:rPr>
        <w:t>6</w:t>
      </w:r>
    </w:p>
    <w:p w14:paraId="201B300B" w14:textId="7DF50FB6" w:rsidR="001F1213" w:rsidRPr="00713BAB" w:rsidRDefault="001F1213" w:rsidP="00D3727D">
      <w:pPr>
        <w:numPr>
          <w:ilvl w:val="0"/>
          <w:numId w:val="5"/>
        </w:numPr>
        <w:spacing w:after="0" w:line="480" w:lineRule="auto"/>
        <w:contextualSpacing/>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Extrapolation of survival curves to allow calculation of mean survival in years</w:t>
      </w:r>
      <w:r w:rsidR="00E90675" w:rsidRPr="00713BAB">
        <w:rPr>
          <w:rFonts w:eastAsiaTheme="minorEastAsia" w:cs="Arial"/>
          <w:color w:val="000000"/>
          <w:sz w:val="24"/>
          <w:szCs w:val="24"/>
          <w:shd w:val="clear" w:color="auto" w:fill="FFFFFF"/>
          <w:lang w:eastAsia="en-GB"/>
        </w:rPr>
        <w:t>.</w:t>
      </w:r>
    </w:p>
    <w:p w14:paraId="4E0EE831" w14:textId="77777777" w:rsidR="001F1213" w:rsidRPr="00713BAB" w:rsidRDefault="001F1213" w:rsidP="00D3727D">
      <w:pPr>
        <w:numPr>
          <w:ilvl w:val="0"/>
          <w:numId w:val="5"/>
        </w:numPr>
        <w:spacing w:after="0" w:line="480" w:lineRule="auto"/>
        <w:contextualSpacing/>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Inclusion of relevant patient and donor characteristics as covariates to capture variability in our predictions of survival and by extension in our estimates of costs and QALYs.</w:t>
      </w:r>
    </w:p>
    <w:p w14:paraId="5A3E0818" w14:textId="3E2CC006" w:rsidR="002B68CC" w:rsidRPr="00713BAB" w:rsidRDefault="001F1213" w:rsidP="002B68CC">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A more detailed description of the method used to fit the post-transplant patient surviv</w:t>
      </w:r>
      <w:r w:rsidR="002D2CD0">
        <w:rPr>
          <w:rFonts w:eastAsiaTheme="minorEastAsia" w:cs="Arial"/>
          <w:color w:val="000000"/>
          <w:sz w:val="24"/>
          <w:szCs w:val="24"/>
          <w:shd w:val="clear" w:color="auto" w:fill="FFFFFF"/>
          <w:lang w:eastAsia="en-GB"/>
        </w:rPr>
        <w:t>al model is described elsewhere</w:t>
      </w:r>
      <w:r w:rsidRPr="00713BAB">
        <w:rPr>
          <w:rFonts w:eastAsiaTheme="minorEastAsia" w:cs="Arial"/>
          <w:noProof/>
          <w:color w:val="000000"/>
          <w:sz w:val="24"/>
          <w:szCs w:val="24"/>
          <w:shd w:val="clear" w:color="auto" w:fill="FFFFFF"/>
          <w:lang w:eastAsia="en-GB"/>
        </w:rPr>
        <w:t>.</w:t>
      </w:r>
      <w:r w:rsidR="00C77F10" w:rsidRPr="002D2CD0">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2</w:t>
      </w:r>
      <w:r w:rsidR="00C77F10" w:rsidRPr="00713BAB">
        <w:rPr>
          <w:rFonts w:eastAsiaTheme="minorEastAsia" w:cs="Arial"/>
          <w:color w:val="000000"/>
          <w:sz w:val="24"/>
          <w:szCs w:val="24"/>
          <w:shd w:val="clear" w:color="auto" w:fill="FFFFFF"/>
          <w:lang w:eastAsia="en-GB"/>
        </w:rPr>
        <w:t xml:space="preserve"> </w:t>
      </w:r>
      <w:r w:rsidR="004838DA" w:rsidRPr="00713BAB">
        <w:rPr>
          <w:rFonts w:eastAsiaTheme="minorEastAsia" w:cs="Arial"/>
          <w:color w:val="000000"/>
          <w:sz w:val="24"/>
          <w:szCs w:val="24"/>
          <w:shd w:val="clear" w:color="auto" w:fill="FFFFFF"/>
          <w:lang w:eastAsia="en-GB"/>
        </w:rPr>
        <w:t>A summary of</w:t>
      </w:r>
      <w:r w:rsidRPr="00713BAB">
        <w:rPr>
          <w:rFonts w:eastAsiaTheme="minorEastAsia" w:cs="Arial"/>
          <w:color w:val="000000"/>
          <w:sz w:val="24"/>
          <w:szCs w:val="24"/>
          <w:shd w:val="clear" w:color="auto" w:fill="FFFFFF"/>
          <w:lang w:eastAsia="en-GB"/>
        </w:rPr>
        <w:t xml:space="preserve"> the patient and donor characteristics that were included as covariates in each of the</w:t>
      </w:r>
      <w:r w:rsidR="00DF6FFE" w:rsidRPr="00713BAB">
        <w:rPr>
          <w:rFonts w:eastAsiaTheme="minorEastAsia" w:cs="Arial"/>
          <w:color w:val="000000"/>
          <w:sz w:val="24"/>
          <w:szCs w:val="24"/>
          <w:shd w:val="clear" w:color="auto" w:fill="FFFFFF"/>
          <w:lang w:eastAsia="en-GB"/>
        </w:rPr>
        <w:t xml:space="preserve"> final</w:t>
      </w:r>
      <w:r w:rsidRPr="00713BAB">
        <w:rPr>
          <w:rFonts w:eastAsiaTheme="minorEastAsia" w:cs="Arial"/>
          <w:color w:val="000000"/>
          <w:sz w:val="24"/>
          <w:szCs w:val="24"/>
          <w:shd w:val="clear" w:color="auto" w:fill="FFFFFF"/>
          <w:lang w:eastAsia="en-GB"/>
        </w:rPr>
        <w:t xml:space="preserve"> models</w:t>
      </w:r>
      <w:r w:rsidR="004838DA" w:rsidRPr="00713BAB">
        <w:rPr>
          <w:rFonts w:eastAsiaTheme="minorEastAsia" w:cs="Arial"/>
          <w:color w:val="000000"/>
          <w:sz w:val="24"/>
          <w:szCs w:val="24"/>
          <w:shd w:val="clear" w:color="auto" w:fill="FFFFFF"/>
          <w:lang w:eastAsia="en-GB"/>
        </w:rPr>
        <w:t xml:space="preserve"> is provided </w:t>
      </w:r>
      <w:r w:rsidR="00CB102D">
        <w:rPr>
          <w:rFonts w:eastAsiaTheme="minorEastAsia" w:cs="Arial"/>
          <w:color w:val="000000"/>
          <w:sz w:val="24"/>
          <w:szCs w:val="24"/>
          <w:shd w:val="clear" w:color="auto" w:fill="FFFFFF"/>
          <w:lang w:eastAsia="en-GB"/>
        </w:rPr>
        <w:t>in Table S1</w:t>
      </w:r>
      <w:r w:rsidRPr="00713BAB">
        <w:rPr>
          <w:rFonts w:eastAsiaTheme="minorEastAsia" w:cs="Arial"/>
          <w:color w:val="000000"/>
          <w:sz w:val="24"/>
          <w:szCs w:val="24"/>
          <w:shd w:val="clear" w:color="auto" w:fill="FFFFFF"/>
          <w:lang w:eastAsia="en-GB"/>
        </w:rPr>
        <w:t xml:space="preserve">. When the survival models were used as part of the allocation process to match recipients and donor kidneys (longevity matching and </w:t>
      </w:r>
      <w:r w:rsidR="006C4082" w:rsidRPr="00713BAB">
        <w:rPr>
          <w:rFonts w:eastAsiaTheme="minorEastAsia" w:cs="Arial"/>
          <w:color w:val="000000"/>
          <w:sz w:val="24"/>
          <w:szCs w:val="24"/>
          <w:shd w:val="clear" w:color="auto" w:fill="FFFFFF"/>
          <w:lang w:eastAsia="en-GB"/>
        </w:rPr>
        <w:t>QALY</w:t>
      </w:r>
      <w:r w:rsidRPr="00713BAB">
        <w:rPr>
          <w:rFonts w:eastAsiaTheme="minorEastAsia" w:cs="Arial"/>
          <w:color w:val="000000"/>
          <w:sz w:val="24"/>
          <w:szCs w:val="24"/>
          <w:shd w:val="clear" w:color="auto" w:fill="FFFFFF"/>
          <w:lang w:eastAsia="en-GB"/>
        </w:rPr>
        <w:t xml:space="preserve">-maximisation), they were applied deterministically to produce mean survival estimates. When the survival models were used to inform competing risks following transplantation in order to estimate lifetime QALYs and costs, we allowed for stochastic variation. </w:t>
      </w:r>
    </w:p>
    <w:p w14:paraId="78080DD7" w14:textId="77777777" w:rsidR="001F1213" w:rsidRPr="00713BAB" w:rsidRDefault="001F1213" w:rsidP="00713BAB">
      <w:pPr>
        <w:spacing w:before="120" w:after="120" w:line="480" w:lineRule="auto"/>
        <w:rPr>
          <w:rFonts w:eastAsiaTheme="minorEastAsia" w:cs="Arial"/>
          <w:b/>
          <w:i/>
          <w:color w:val="000000"/>
          <w:sz w:val="24"/>
          <w:szCs w:val="24"/>
          <w:shd w:val="clear" w:color="auto" w:fill="FFFFFF"/>
          <w:lang w:eastAsia="en-GB"/>
        </w:rPr>
      </w:pPr>
      <w:r w:rsidRPr="00713BAB">
        <w:rPr>
          <w:rFonts w:eastAsiaTheme="minorEastAsia" w:cs="Arial"/>
          <w:b/>
          <w:i/>
          <w:color w:val="000000"/>
          <w:sz w:val="24"/>
          <w:szCs w:val="24"/>
          <w:shd w:val="clear" w:color="auto" w:fill="FFFFFF"/>
          <w:lang w:eastAsia="en-GB"/>
        </w:rPr>
        <w:t>Health-state utility estimates</w:t>
      </w:r>
    </w:p>
    <w:p w14:paraId="18736AAF" w14:textId="1180D33F" w:rsidR="002B68CC" w:rsidRPr="00713BAB" w:rsidRDefault="001F1213" w:rsidP="002B68CC">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Health-state utility estimates for transplant recipient and patients on the waiting list were captured in the ATTOM study using the EQ-5D-5L questionnaire. We developed multivariable regression models to identify patient characteristics that led to variations in utility scores to inform quality-adjustment of survival est</w:t>
      </w:r>
      <w:r w:rsidR="00431AAA" w:rsidRPr="00713BAB">
        <w:rPr>
          <w:rFonts w:eastAsiaTheme="minorEastAsia" w:cs="Arial"/>
          <w:color w:val="000000"/>
          <w:sz w:val="24"/>
          <w:szCs w:val="24"/>
          <w:shd w:val="clear" w:color="auto" w:fill="FFFFFF"/>
          <w:lang w:eastAsia="en-GB"/>
        </w:rPr>
        <w:t xml:space="preserve">imates in the simulation model </w:t>
      </w:r>
      <w:r w:rsidR="004838DA" w:rsidRPr="00713BAB">
        <w:rPr>
          <w:rFonts w:eastAsiaTheme="minorEastAsia" w:cs="Arial"/>
          <w:color w:val="000000"/>
          <w:sz w:val="24"/>
          <w:szCs w:val="24"/>
          <w:shd w:val="clear" w:color="auto" w:fill="FFFFFF"/>
          <w:lang w:eastAsia="en-GB"/>
        </w:rPr>
        <w:t xml:space="preserve">(see </w:t>
      </w:r>
      <w:r w:rsidR="00CB102D">
        <w:rPr>
          <w:rFonts w:eastAsiaTheme="minorEastAsia" w:cs="Arial"/>
          <w:color w:val="000000"/>
          <w:sz w:val="24"/>
          <w:szCs w:val="24"/>
          <w:shd w:val="clear" w:color="auto" w:fill="FFFFFF"/>
          <w:lang w:eastAsia="en-GB"/>
        </w:rPr>
        <w:t>Table S2 for</w:t>
      </w:r>
      <w:r w:rsidR="00DF6FFE" w:rsidRPr="00713BAB">
        <w:rPr>
          <w:rFonts w:eastAsiaTheme="minorEastAsia" w:cs="Arial"/>
          <w:color w:val="000000"/>
          <w:sz w:val="24"/>
          <w:szCs w:val="24"/>
          <w:shd w:val="clear" w:color="auto" w:fill="FFFFFF"/>
          <w:lang w:eastAsia="en-GB"/>
        </w:rPr>
        <w:t xml:space="preserve"> a list of characteristics included in the final models</w:t>
      </w:r>
      <w:r w:rsidR="002D2CD0">
        <w:rPr>
          <w:rFonts w:eastAsiaTheme="minorEastAsia" w:cs="Arial"/>
          <w:color w:val="000000"/>
          <w:sz w:val="24"/>
          <w:szCs w:val="24"/>
          <w:shd w:val="clear" w:color="auto" w:fill="FFFFFF"/>
          <w:lang w:eastAsia="en-GB"/>
        </w:rPr>
        <w:t>)</w:t>
      </w:r>
      <w:r w:rsidRPr="00713BAB">
        <w:rPr>
          <w:rFonts w:eastAsiaTheme="minorEastAsia" w:cs="Arial"/>
          <w:color w:val="000000"/>
          <w:sz w:val="24"/>
          <w:szCs w:val="24"/>
          <w:shd w:val="clear" w:color="auto" w:fill="FFFFFF"/>
          <w:lang w:eastAsia="en-GB"/>
        </w:rPr>
        <w:t>.</w:t>
      </w:r>
      <w:r w:rsidR="00C77F10" w:rsidRPr="002D2CD0">
        <w:rPr>
          <w:rFonts w:eastAsiaTheme="minorEastAsia" w:cs="Arial"/>
          <w:color w:val="000000"/>
          <w:sz w:val="24"/>
          <w:szCs w:val="24"/>
          <w:shd w:val="clear" w:color="auto" w:fill="FFFFFF"/>
          <w:vertAlign w:val="superscript"/>
          <w:lang w:eastAsia="en-GB"/>
        </w:rPr>
        <w:t>1</w:t>
      </w:r>
      <w:r w:rsidR="00C77F10">
        <w:rPr>
          <w:rFonts w:eastAsiaTheme="minorEastAsia" w:cs="Arial"/>
          <w:color w:val="000000"/>
          <w:sz w:val="24"/>
          <w:szCs w:val="24"/>
          <w:shd w:val="clear" w:color="auto" w:fill="FFFFFF"/>
          <w:vertAlign w:val="superscript"/>
          <w:lang w:eastAsia="en-GB"/>
        </w:rPr>
        <w:t>7</w:t>
      </w:r>
      <w:r w:rsidR="00C77F10" w:rsidRPr="00713BAB">
        <w:rPr>
          <w:rFonts w:eastAsiaTheme="minorEastAsia" w:cs="Arial"/>
          <w:color w:val="000000"/>
          <w:sz w:val="24"/>
          <w:szCs w:val="24"/>
          <w:shd w:val="clear" w:color="auto" w:fill="FFFFFF"/>
          <w:lang w:eastAsia="en-GB"/>
        </w:rPr>
        <w:t xml:space="preserve"> </w:t>
      </w:r>
    </w:p>
    <w:p w14:paraId="492EEDF5" w14:textId="77777777" w:rsidR="001F1213" w:rsidRPr="00713BAB" w:rsidRDefault="001F1213" w:rsidP="00713BAB">
      <w:pPr>
        <w:tabs>
          <w:tab w:val="left" w:pos="4984"/>
        </w:tabs>
        <w:spacing w:before="120" w:after="120" w:line="480" w:lineRule="auto"/>
        <w:rPr>
          <w:rFonts w:eastAsiaTheme="minorEastAsia" w:cs="Arial"/>
          <w:b/>
          <w:i/>
          <w:color w:val="000000"/>
          <w:sz w:val="24"/>
          <w:szCs w:val="24"/>
          <w:shd w:val="clear" w:color="auto" w:fill="FFFFFF"/>
          <w:lang w:eastAsia="en-GB"/>
        </w:rPr>
      </w:pPr>
      <w:r w:rsidRPr="00713BAB">
        <w:rPr>
          <w:rFonts w:eastAsiaTheme="minorEastAsia" w:cs="Arial"/>
          <w:b/>
          <w:i/>
          <w:color w:val="000000"/>
          <w:sz w:val="24"/>
          <w:szCs w:val="24"/>
          <w:shd w:val="clear" w:color="auto" w:fill="FFFFFF"/>
          <w:lang w:eastAsia="en-GB"/>
        </w:rPr>
        <w:t>Costs</w:t>
      </w:r>
    </w:p>
    <w:p w14:paraId="286BAF2A" w14:textId="278BC76D" w:rsidR="001F1213" w:rsidRPr="00713BAB" w:rsidRDefault="001F1213" w:rsidP="002B68CC">
      <w:pPr>
        <w:tabs>
          <w:tab w:val="left" w:pos="4984"/>
        </w:tabs>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The costs of maintenance dialysis and transplant surgery were estimated in the simulation by </w:t>
      </w:r>
      <w:r w:rsidR="002D2CD0">
        <w:rPr>
          <w:rFonts w:eastAsiaTheme="minorEastAsia" w:cs="Arial"/>
          <w:color w:val="000000"/>
          <w:sz w:val="24"/>
          <w:szCs w:val="24"/>
          <w:shd w:val="clear" w:color="auto" w:fill="FFFFFF"/>
          <w:lang w:eastAsia="en-GB"/>
        </w:rPr>
        <w:t>applying fixed national tariffs</w:t>
      </w:r>
      <w:r w:rsidRPr="00713BAB">
        <w:rPr>
          <w:rFonts w:eastAsiaTheme="minorEastAsia" w:cs="Arial"/>
          <w:noProof/>
          <w:color w:val="000000"/>
          <w:sz w:val="24"/>
          <w:szCs w:val="24"/>
          <w:shd w:val="clear" w:color="auto" w:fill="FFFFFF"/>
          <w:lang w:eastAsia="en-GB"/>
        </w:rPr>
        <w:t>.</w:t>
      </w:r>
      <w:r w:rsidR="00C77F10" w:rsidRPr="002D2CD0">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8</w:t>
      </w:r>
      <w:r w:rsidR="00C77F10" w:rsidRPr="00713BAB">
        <w:rPr>
          <w:rFonts w:eastAsiaTheme="minorEastAsia" w:cs="Arial"/>
          <w:color w:val="000000"/>
          <w:sz w:val="24"/>
          <w:szCs w:val="24"/>
          <w:shd w:val="clear" w:color="auto" w:fill="FFFFFF"/>
          <w:lang w:eastAsia="en-GB"/>
        </w:rPr>
        <w:t xml:space="preserve"> </w:t>
      </w:r>
      <w:r w:rsidRPr="00713BAB">
        <w:rPr>
          <w:rFonts w:eastAsiaTheme="minorEastAsia" w:cs="Arial"/>
          <w:color w:val="000000"/>
          <w:sz w:val="24"/>
          <w:szCs w:val="24"/>
          <w:shd w:val="clear" w:color="auto" w:fill="FFFFFF"/>
          <w:lang w:eastAsia="en-GB"/>
        </w:rPr>
        <w:t xml:space="preserve">We estimated annual hospital costs using two-part regression models that were developed by analysing patient-level data from linkage of the </w:t>
      </w:r>
      <w:r w:rsidRPr="00713BAB">
        <w:rPr>
          <w:rFonts w:eastAsiaTheme="minorEastAsia" w:cs="Arial"/>
          <w:color w:val="000000"/>
          <w:sz w:val="24"/>
          <w:szCs w:val="24"/>
          <w:shd w:val="clear" w:color="auto" w:fill="FFFFFF"/>
          <w:lang w:eastAsia="en-GB"/>
        </w:rPr>
        <w:lastRenderedPageBreak/>
        <w:t>Hospital Episode Statistics da</w:t>
      </w:r>
      <w:r w:rsidR="002D2CD0">
        <w:rPr>
          <w:rFonts w:eastAsiaTheme="minorEastAsia" w:cs="Arial"/>
          <w:color w:val="000000"/>
          <w:sz w:val="24"/>
          <w:szCs w:val="24"/>
          <w:shd w:val="clear" w:color="auto" w:fill="FFFFFF"/>
          <w:lang w:eastAsia="en-GB"/>
        </w:rPr>
        <w:t>taset to UK Renal Registry data</w:t>
      </w:r>
      <w:r w:rsidRPr="00713BAB">
        <w:rPr>
          <w:rFonts w:eastAsiaTheme="minorEastAsia" w:cs="Arial"/>
          <w:noProof/>
          <w:color w:val="000000"/>
          <w:sz w:val="24"/>
          <w:szCs w:val="24"/>
          <w:shd w:val="clear" w:color="auto" w:fill="FFFFFF"/>
          <w:lang w:eastAsia="en-GB"/>
        </w:rPr>
        <w:t>.</w:t>
      </w:r>
      <w:r w:rsidR="00C77F10" w:rsidRPr="002D2CD0">
        <w:rPr>
          <w:rFonts w:eastAsiaTheme="minorEastAsia" w:cs="Arial"/>
          <w:noProof/>
          <w:color w:val="000000"/>
          <w:sz w:val="24"/>
          <w:szCs w:val="24"/>
          <w:shd w:val="clear" w:color="auto" w:fill="FFFFFF"/>
          <w:vertAlign w:val="superscript"/>
          <w:lang w:eastAsia="en-GB"/>
        </w:rPr>
        <w:t>1</w:t>
      </w:r>
      <w:r w:rsidR="00C77F10">
        <w:rPr>
          <w:rFonts w:eastAsiaTheme="minorEastAsia" w:cs="Arial"/>
          <w:noProof/>
          <w:color w:val="000000"/>
          <w:sz w:val="24"/>
          <w:szCs w:val="24"/>
          <w:shd w:val="clear" w:color="auto" w:fill="FFFFFF"/>
          <w:vertAlign w:val="superscript"/>
          <w:lang w:eastAsia="en-GB"/>
        </w:rPr>
        <w:t>9</w:t>
      </w:r>
      <w:r w:rsidR="00C77F10" w:rsidRPr="00713BAB">
        <w:rPr>
          <w:rFonts w:eastAsiaTheme="minorEastAsia" w:cs="Arial"/>
          <w:color w:val="000000"/>
          <w:sz w:val="24"/>
          <w:szCs w:val="24"/>
          <w:shd w:val="clear" w:color="auto" w:fill="FFFFFF"/>
          <w:lang w:eastAsia="en-GB"/>
        </w:rPr>
        <w:t xml:space="preserve"> </w:t>
      </w:r>
      <w:r w:rsidRPr="00713BAB">
        <w:rPr>
          <w:rFonts w:eastAsiaTheme="minorEastAsia" w:cs="Arial"/>
          <w:color w:val="000000"/>
          <w:sz w:val="24"/>
          <w:szCs w:val="24"/>
          <w:shd w:val="clear" w:color="auto" w:fill="FFFFFF"/>
          <w:lang w:eastAsia="en-GB"/>
        </w:rPr>
        <w:t>Hospital costs were captured by treatment modality (dialysis vs. transplantation) and by hospital setting (inpatient vs. outpatient) and regression models included a number of patient characteristics as covariates</w:t>
      </w:r>
      <w:r w:rsidR="004838DA" w:rsidRPr="00713BAB">
        <w:rPr>
          <w:rFonts w:eastAsiaTheme="minorEastAsia" w:cs="Arial"/>
          <w:color w:val="000000"/>
          <w:sz w:val="24"/>
          <w:szCs w:val="24"/>
          <w:shd w:val="clear" w:color="auto" w:fill="FFFFFF"/>
          <w:lang w:eastAsia="en-GB"/>
        </w:rPr>
        <w:t xml:space="preserve"> (</w:t>
      </w:r>
      <w:r w:rsidR="00CB102D">
        <w:rPr>
          <w:rFonts w:eastAsiaTheme="minorEastAsia" w:cs="Arial"/>
          <w:color w:val="000000"/>
          <w:sz w:val="24"/>
          <w:szCs w:val="24"/>
          <w:shd w:val="clear" w:color="auto" w:fill="FFFFFF"/>
          <w:lang w:eastAsia="en-GB"/>
        </w:rPr>
        <w:t>Table S3a and Table S3b</w:t>
      </w:r>
      <w:r w:rsidR="004838DA" w:rsidRPr="00713BAB">
        <w:rPr>
          <w:rFonts w:eastAsiaTheme="minorEastAsia" w:cs="Arial"/>
          <w:color w:val="000000"/>
          <w:sz w:val="24"/>
          <w:szCs w:val="24"/>
          <w:shd w:val="clear" w:color="auto" w:fill="FFFFFF"/>
          <w:lang w:eastAsia="en-GB"/>
        </w:rPr>
        <w:t>)</w:t>
      </w:r>
      <w:r w:rsidRPr="00713BAB">
        <w:rPr>
          <w:rFonts w:eastAsiaTheme="minorEastAsia" w:cs="Arial"/>
          <w:color w:val="000000"/>
          <w:sz w:val="24"/>
          <w:szCs w:val="24"/>
          <w:shd w:val="clear" w:color="auto" w:fill="FFFFFF"/>
          <w:lang w:eastAsia="en-GB"/>
        </w:rPr>
        <w:t xml:space="preserve">. For transplant recipients, the annual cost of maintenance immunosuppression assumed that patients received a combination of corticosteroids, a calcineurin inhibitor (ciclosporin </w:t>
      </w:r>
      <w:r w:rsidR="007E4FB5" w:rsidRPr="00713BAB">
        <w:rPr>
          <w:rFonts w:eastAsiaTheme="minorEastAsia" w:cs="Arial"/>
          <w:color w:val="000000"/>
          <w:sz w:val="24"/>
          <w:szCs w:val="24"/>
          <w:shd w:val="clear" w:color="auto" w:fill="FFFFFF"/>
          <w:lang w:eastAsia="en-GB"/>
        </w:rPr>
        <w:t>or</w:t>
      </w:r>
      <w:r w:rsidRPr="00713BAB">
        <w:rPr>
          <w:rFonts w:eastAsiaTheme="minorEastAsia" w:cs="Arial"/>
          <w:color w:val="000000"/>
          <w:sz w:val="24"/>
          <w:szCs w:val="24"/>
          <w:shd w:val="clear" w:color="auto" w:fill="FFFFFF"/>
          <w:lang w:eastAsia="en-GB"/>
        </w:rPr>
        <w:t xml:space="preserve"> tacrolimus) and an antiproliferative agent (mycophenolate mofetil </w:t>
      </w:r>
      <w:r w:rsidR="007E4FB5" w:rsidRPr="00713BAB">
        <w:rPr>
          <w:rFonts w:eastAsiaTheme="minorEastAsia" w:cs="Arial"/>
          <w:color w:val="000000"/>
          <w:sz w:val="24"/>
          <w:szCs w:val="24"/>
          <w:shd w:val="clear" w:color="auto" w:fill="FFFFFF"/>
          <w:lang w:eastAsia="en-GB"/>
        </w:rPr>
        <w:t xml:space="preserve">or </w:t>
      </w:r>
      <w:r w:rsidR="002D2CD0">
        <w:rPr>
          <w:rFonts w:eastAsiaTheme="minorEastAsia" w:cs="Arial"/>
          <w:color w:val="000000"/>
          <w:sz w:val="24"/>
          <w:szCs w:val="24"/>
          <w:shd w:val="clear" w:color="auto" w:fill="FFFFFF"/>
          <w:lang w:eastAsia="en-GB"/>
        </w:rPr>
        <w:t>azathioprine)</w:t>
      </w:r>
      <w:r w:rsidRPr="00713BAB">
        <w:rPr>
          <w:rFonts w:eastAsiaTheme="minorEastAsia" w:cs="Arial"/>
          <w:noProof/>
          <w:color w:val="000000"/>
          <w:sz w:val="24"/>
          <w:szCs w:val="24"/>
          <w:shd w:val="clear" w:color="auto" w:fill="FFFFFF"/>
          <w:lang w:eastAsia="en-GB"/>
        </w:rPr>
        <w:t>.</w:t>
      </w:r>
      <w:r w:rsidR="00C77F10">
        <w:rPr>
          <w:rFonts w:eastAsiaTheme="minorEastAsia" w:cs="Arial"/>
          <w:noProof/>
          <w:color w:val="000000"/>
          <w:sz w:val="24"/>
          <w:szCs w:val="24"/>
          <w:shd w:val="clear" w:color="auto" w:fill="FFFFFF"/>
          <w:vertAlign w:val="superscript"/>
          <w:lang w:eastAsia="en-GB"/>
        </w:rPr>
        <w:t>20</w:t>
      </w:r>
    </w:p>
    <w:p w14:paraId="003FF11D" w14:textId="77777777" w:rsidR="001F1213" w:rsidRPr="00713BAB" w:rsidRDefault="001F1213" w:rsidP="00EA7148">
      <w:pPr>
        <w:pStyle w:val="Heading2"/>
        <w:rPr>
          <w:shd w:val="clear" w:color="auto" w:fill="FFFFFF"/>
        </w:rPr>
      </w:pPr>
      <w:r w:rsidRPr="00713BAB">
        <w:rPr>
          <w:shd w:val="clear" w:color="auto" w:fill="FFFFFF"/>
        </w:rPr>
        <w:t>Running the simulation</w:t>
      </w:r>
    </w:p>
    <w:p w14:paraId="7EAB3FF2" w14:textId="77777777" w:rsidR="00FE15A4" w:rsidRPr="00713BAB" w:rsidRDefault="001F1213" w:rsidP="00FE15A4">
      <w:pPr>
        <w:spacing w:after="0" w:line="480" w:lineRule="auto"/>
        <w:rPr>
          <w:rFonts w:eastAsia="Times New Roman" w:cs="Arial"/>
          <w:color w:val="FF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For each allocation scheme, we performed three runs using a separate random number stream for each run. A single run ends </w:t>
      </w:r>
      <w:r w:rsidRPr="00713BAB">
        <w:rPr>
          <w:rFonts w:eastAsiaTheme="minorEastAsia" w:cs="Arial"/>
          <w:sz w:val="24"/>
          <w:szCs w:val="24"/>
          <w:shd w:val="clear" w:color="auto" w:fill="FFFFFF"/>
          <w:lang w:eastAsia="en-GB"/>
        </w:rPr>
        <w:t xml:space="preserve">when all 4400 donor kidneys have been allocated or removed from further consideration if no match has been identified. </w:t>
      </w:r>
      <w:r w:rsidR="00FE15A4" w:rsidRPr="00713BAB">
        <w:rPr>
          <w:rFonts w:eastAsia="Times New Roman" w:cs="Arial"/>
          <w:sz w:val="24"/>
          <w:szCs w:val="24"/>
          <w:shd w:val="clear" w:color="auto" w:fill="FFFFFF"/>
          <w:lang w:eastAsia="en-GB"/>
        </w:rPr>
        <w:t xml:space="preserve">The proportion of donor kidneys for which no match was identified was approximately 1% across all simulation runs and therefore the number of patients who received a transplant was similar across allocation schemes. </w:t>
      </w:r>
    </w:p>
    <w:p w14:paraId="5CF475C6" w14:textId="386E642F" w:rsidR="00C837BD" w:rsidRPr="00713BAB" w:rsidRDefault="001F1213" w:rsidP="002B68CC">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Although we are primarily interested in comparing total costs and QALYs across all transplant recipients resulting from the different allocation schemes, it is also important to consider the outcomes of those patients who did not receive a transplant within the time frame of the simulation. For these patients, we made a simplifying assumption that they face a mortality risk equivalent to remaining on the waiting list until death and used this as the basis for projecting their lifetime costs and QALYs at the end of the simulation. </w:t>
      </w:r>
      <w:r w:rsidR="00C837BD" w:rsidRPr="00713BAB">
        <w:rPr>
          <w:rFonts w:eastAsiaTheme="minorEastAsia" w:cs="Arial"/>
          <w:color w:val="000000"/>
          <w:sz w:val="24"/>
          <w:szCs w:val="24"/>
          <w:shd w:val="clear" w:color="auto" w:fill="FFFFFF"/>
          <w:lang w:eastAsia="en-GB"/>
        </w:rPr>
        <w:t>QALYs and costs were</w:t>
      </w:r>
      <w:r w:rsidR="00DF6FFE" w:rsidRPr="00713BAB">
        <w:rPr>
          <w:rFonts w:eastAsiaTheme="minorEastAsia" w:cs="Arial"/>
          <w:color w:val="000000"/>
          <w:sz w:val="24"/>
          <w:szCs w:val="24"/>
          <w:shd w:val="clear" w:color="auto" w:fill="FFFFFF"/>
          <w:lang w:eastAsia="en-GB"/>
        </w:rPr>
        <w:t xml:space="preserve"> both</w:t>
      </w:r>
      <w:r w:rsidR="00C837BD" w:rsidRPr="00713BAB">
        <w:rPr>
          <w:rFonts w:eastAsiaTheme="minorEastAsia" w:cs="Arial"/>
          <w:color w:val="000000"/>
          <w:sz w:val="24"/>
          <w:szCs w:val="24"/>
          <w:shd w:val="clear" w:color="auto" w:fill="FFFFFF"/>
          <w:lang w:eastAsia="en-GB"/>
        </w:rPr>
        <w:t xml:space="preserve"> discounted at a</w:t>
      </w:r>
      <w:r w:rsidR="00DF6FFE" w:rsidRPr="00713BAB">
        <w:rPr>
          <w:rFonts w:eastAsiaTheme="minorEastAsia" w:cs="Arial"/>
          <w:color w:val="000000"/>
          <w:sz w:val="24"/>
          <w:szCs w:val="24"/>
          <w:shd w:val="clear" w:color="auto" w:fill="FFFFFF"/>
          <w:lang w:eastAsia="en-GB"/>
        </w:rPr>
        <w:t xml:space="preserve">n annual </w:t>
      </w:r>
      <w:r w:rsidR="00C837BD" w:rsidRPr="00713BAB">
        <w:rPr>
          <w:rFonts w:eastAsiaTheme="minorEastAsia" w:cs="Arial"/>
          <w:color w:val="000000"/>
          <w:sz w:val="24"/>
          <w:szCs w:val="24"/>
          <w:shd w:val="clear" w:color="auto" w:fill="FFFFFF"/>
          <w:lang w:eastAsia="en-GB"/>
        </w:rPr>
        <w:t>rate of 3.5</w:t>
      </w:r>
      <w:r w:rsidR="00DF6FFE" w:rsidRPr="00713BAB">
        <w:rPr>
          <w:rFonts w:eastAsiaTheme="minorEastAsia" w:cs="Arial"/>
          <w:color w:val="000000"/>
          <w:sz w:val="24"/>
          <w:szCs w:val="24"/>
          <w:shd w:val="clear" w:color="auto" w:fill="FFFFFF"/>
          <w:lang w:eastAsia="en-GB"/>
        </w:rPr>
        <w:t>%.</w:t>
      </w:r>
      <w:r w:rsidR="002D2CD0" w:rsidRPr="002D2CD0">
        <w:rPr>
          <w:rFonts w:eastAsiaTheme="minorEastAsia" w:cs="Arial"/>
          <w:color w:val="000000"/>
          <w:sz w:val="24"/>
          <w:szCs w:val="24"/>
          <w:shd w:val="clear" w:color="auto" w:fill="FFFFFF"/>
          <w:vertAlign w:val="superscript"/>
          <w:lang w:eastAsia="en-GB"/>
        </w:rPr>
        <w:t>2</w:t>
      </w:r>
      <w:r w:rsidR="00C77F10">
        <w:rPr>
          <w:rFonts w:eastAsiaTheme="minorEastAsia" w:cs="Arial"/>
          <w:color w:val="000000"/>
          <w:sz w:val="24"/>
          <w:szCs w:val="24"/>
          <w:shd w:val="clear" w:color="auto" w:fill="FFFFFF"/>
          <w:vertAlign w:val="superscript"/>
          <w:lang w:eastAsia="en-GB"/>
        </w:rPr>
        <w:t>1</w:t>
      </w:r>
    </w:p>
    <w:p w14:paraId="632AB653" w14:textId="300CF26A" w:rsidR="00BC177B" w:rsidRDefault="005513C7" w:rsidP="00BC177B">
      <w:pPr>
        <w:spacing w:after="0" w:line="480" w:lineRule="auto"/>
        <w:rPr>
          <w:rFonts w:eastAsiaTheme="minorEastAsia" w:cs="Arial"/>
          <w:color w:val="000000"/>
          <w:sz w:val="24"/>
          <w:szCs w:val="24"/>
          <w:shd w:val="clear" w:color="auto" w:fill="FFFFFF"/>
          <w:lang w:eastAsia="en-GB"/>
        </w:rPr>
      </w:pPr>
      <w:r w:rsidRPr="00713BAB">
        <w:rPr>
          <w:rFonts w:eastAsiaTheme="minorEastAsia" w:cs="Arial"/>
          <w:color w:val="000000"/>
          <w:sz w:val="24"/>
          <w:szCs w:val="24"/>
          <w:shd w:val="clear" w:color="auto" w:fill="FFFFFF"/>
          <w:lang w:eastAsia="en-GB"/>
        </w:rPr>
        <w:t xml:space="preserve">For each allocation scheme, we report </w:t>
      </w:r>
      <w:r w:rsidR="00CA0B56">
        <w:rPr>
          <w:rFonts w:eastAsiaTheme="minorEastAsia" w:cs="Arial"/>
          <w:color w:val="000000"/>
          <w:sz w:val="24"/>
          <w:szCs w:val="24"/>
          <w:shd w:val="clear" w:color="auto" w:fill="FFFFFF"/>
          <w:lang w:eastAsia="en-GB"/>
        </w:rPr>
        <w:t xml:space="preserve">the characteristics of patients who received a transplant, the distribution of life years and QALYs for transplant recipients by age group </w:t>
      </w:r>
      <w:r w:rsidR="00CA0B56">
        <w:rPr>
          <w:rFonts w:eastAsiaTheme="minorEastAsia" w:cs="Arial"/>
          <w:color w:val="000000"/>
          <w:sz w:val="24"/>
          <w:szCs w:val="24"/>
          <w:shd w:val="clear" w:color="auto" w:fill="FFFFFF"/>
          <w:lang w:eastAsia="en-GB"/>
        </w:rPr>
        <w:lastRenderedPageBreak/>
        <w:t xml:space="preserve">and the </w:t>
      </w:r>
      <w:r w:rsidR="00DF6FFE" w:rsidRPr="00713BAB">
        <w:rPr>
          <w:rFonts w:eastAsiaTheme="minorEastAsia" w:cs="Arial"/>
          <w:color w:val="000000"/>
          <w:sz w:val="24"/>
          <w:szCs w:val="24"/>
          <w:shd w:val="clear" w:color="auto" w:fill="FFFFFF"/>
          <w:lang w:eastAsia="en-GB"/>
        </w:rPr>
        <w:t xml:space="preserve">total </w:t>
      </w:r>
      <w:r w:rsidRPr="00713BAB">
        <w:rPr>
          <w:rFonts w:eastAsiaTheme="minorEastAsia" w:cs="Arial"/>
          <w:color w:val="000000"/>
          <w:sz w:val="24"/>
          <w:szCs w:val="24"/>
          <w:shd w:val="clear" w:color="auto" w:fill="FFFFFF"/>
          <w:lang w:eastAsia="en-GB"/>
        </w:rPr>
        <w:t xml:space="preserve">discounted costs and QALYs for patients who received a transplant, for patients who remained on the waiting list and for the overall cohort. </w:t>
      </w:r>
      <w:bookmarkStart w:id="28" w:name="_Toc456551547"/>
      <w:bookmarkStart w:id="29" w:name="_Toc456552033"/>
      <w:bookmarkStart w:id="30" w:name="_Toc456638628"/>
      <w:bookmarkStart w:id="31" w:name="_Toc457239806"/>
      <w:bookmarkStart w:id="32" w:name="_Toc457323776"/>
    </w:p>
    <w:p w14:paraId="6469DE12" w14:textId="77777777" w:rsidR="00BC177B" w:rsidRDefault="00BC177B" w:rsidP="00BC177B">
      <w:pPr>
        <w:spacing w:after="0" w:line="480" w:lineRule="auto"/>
        <w:rPr>
          <w:rFonts w:eastAsiaTheme="minorEastAsia" w:cs="Arial"/>
          <w:color w:val="000000"/>
          <w:sz w:val="24"/>
          <w:szCs w:val="24"/>
          <w:shd w:val="clear" w:color="auto" w:fill="FFFFFF"/>
          <w:lang w:eastAsia="en-GB"/>
        </w:rPr>
      </w:pPr>
    </w:p>
    <w:p w14:paraId="64379ABF" w14:textId="1B5FDF0C" w:rsidR="00BC177B" w:rsidRPr="003F67A5" w:rsidRDefault="001F1213" w:rsidP="003F67A5">
      <w:pPr>
        <w:pStyle w:val="Heading1"/>
        <w:rPr>
          <w:shd w:val="clear" w:color="auto" w:fill="FFFFFF"/>
        </w:rPr>
      </w:pPr>
      <w:r w:rsidRPr="00713BAB">
        <w:rPr>
          <w:shd w:val="clear" w:color="auto" w:fill="FFFFFF"/>
        </w:rPr>
        <w:t>RESULTS</w:t>
      </w:r>
      <w:bookmarkEnd w:id="28"/>
      <w:bookmarkEnd w:id="29"/>
      <w:bookmarkEnd w:id="30"/>
      <w:bookmarkEnd w:id="31"/>
      <w:bookmarkEnd w:id="32"/>
      <w:r w:rsidRPr="00713BAB">
        <w:rPr>
          <w:shd w:val="clear" w:color="auto" w:fill="FFFFFF"/>
        </w:rPr>
        <w:t xml:space="preserve"> </w:t>
      </w:r>
    </w:p>
    <w:p w14:paraId="598BE8FC" w14:textId="77777777" w:rsidR="000A11BE" w:rsidRPr="00713BAB" w:rsidRDefault="000A11BE" w:rsidP="00EA7148">
      <w:pPr>
        <w:pStyle w:val="Heading2"/>
        <w:rPr>
          <w:shd w:val="clear" w:color="auto" w:fill="FFFFFF"/>
        </w:rPr>
      </w:pPr>
      <w:bookmarkStart w:id="33" w:name="_Toc456551548"/>
      <w:bookmarkStart w:id="34" w:name="_Toc456552034"/>
      <w:bookmarkStart w:id="35" w:name="_Toc456638629"/>
      <w:bookmarkStart w:id="36" w:name="_Toc457239807"/>
      <w:bookmarkStart w:id="37" w:name="_Toc457323777"/>
      <w:r w:rsidRPr="00713BAB">
        <w:rPr>
          <w:shd w:val="clear" w:color="auto" w:fill="FFFFFF"/>
        </w:rPr>
        <w:t>Access to transplantation</w:t>
      </w:r>
    </w:p>
    <w:p w14:paraId="6775E48F" w14:textId="57EB3B95" w:rsidR="000A11BE" w:rsidRDefault="000A11BE" w:rsidP="00680605">
      <w:pPr>
        <w:tabs>
          <w:tab w:val="left" w:pos="5812"/>
        </w:tabs>
        <w:spacing w:before="240" w:after="240" w:line="480" w:lineRule="auto"/>
        <w:rPr>
          <w:rFonts w:cs="Arial"/>
          <w:sz w:val="24"/>
          <w:szCs w:val="24"/>
        </w:rPr>
      </w:pPr>
      <w:r w:rsidRPr="00713BAB">
        <w:rPr>
          <w:rFonts w:cs="Arial"/>
          <w:sz w:val="24"/>
          <w:szCs w:val="24"/>
        </w:rPr>
        <w:t xml:space="preserve">To understand the impact of the different allocation schemes on access to transplantation, Table </w:t>
      </w:r>
      <w:r w:rsidR="003F67A5">
        <w:rPr>
          <w:rFonts w:cs="Arial"/>
          <w:sz w:val="24"/>
          <w:szCs w:val="24"/>
        </w:rPr>
        <w:t>4</w:t>
      </w:r>
      <w:r w:rsidR="003F67A5" w:rsidRPr="00713BAB">
        <w:rPr>
          <w:rFonts w:cs="Arial"/>
          <w:sz w:val="24"/>
          <w:szCs w:val="24"/>
        </w:rPr>
        <w:t xml:space="preserve"> </w:t>
      </w:r>
      <w:r w:rsidRPr="00713BAB">
        <w:rPr>
          <w:rFonts w:cs="Arial"/>
          <w:sz w:val="24"/>
          <w:szCs w:val="24"/>
        </w:rPr>
        <w:t xml:space="preserve">reports the age, sex and diabetes status of patients who received a transplant. </w:t>
      </w:r>
      <w:bookmarkStart w:id="38" w:name="_Hlk12486521"/>
      <w:r w:rsidRPr="00713BAB">
        <w:rPr>
          <w:rFonts w:cs="Arial"/>
          <w:sz w:val="24"/>
          <w:szCs w:val="24"/>
        </w:rPr>
        <w:t>Moving along the equity-efficiency spectrum from random allocation towards allocation based on QALY-maximisation, there is a notable decrease in the average age of transplant recipients. Under</w:t>
      </w:r>
      <w:r w:rsidR="00DF6FFE" w:rsidRPr="00713BAB">
        <w:rPr>
          <w:rFonts w:cs="Arial"/>
          <w:sz w:val="24"/>
          <w:szCs w:val="24"/>
        </w:rPr>
        <w:t xml:space="preserve"> random allocation, which preserves the composition of the </w:t>
      </w:r>
      <w:r w:rsidR="008E71CF" w:rsidRPr="00713BAB">
        <w:rPr>
          <w:rFonts w:cs="Arial"/>
          <w:sz w:val="24"/>
          <w:szCs w:val="24"/>
        </w:rPr>
        <w:t xml:space="preserve">original </w:t>
      </w:r>
      <w:r w:rsidR="00DF6FFE" w:rsidRPr="00713BAB">
        <w:rPr>
          <w:rFonts w:cs="Arial"/>
          <w:sz w:val="24"/>
          <w:szCs w:val="24"/>
        </w:rPr>
        <w:t xml:space="preserve">waiting list at the start of the simulation, </w:t>
      </w:r>
      <w:r w:rsidR="008E71CF" w:rsidRPr="00713BAB">
        <w:rPr>
          <w:rFonts w:cs="Arial"/>
          <w:sz w:val="24"/>
          <w:szCs w:val="24"/>
        </w:rPr>
        <w:t>31</w:t>
      </w:r>
      <w:r w:rsidR="00DF6FFE" w:rsidRPr="00713BAB">
        <w:rPr>
          <w:rFonts w:cs="Arial"/>
          <w:sz w:val="24"/>
          <w:szCs w:val="24"/>
        </w:rPr>
        <w:t xml:space="preserve">% of transplant recipients were aged </w:t>
      </w:r>
      <w:r w:rsidR="00930BDB">
        <w:rPr>
          <w:rFonts w:cstheme="minorHAnsi"/>
          <w:sz w:val="24"/>
          <w:szCs w:val="24"/>
        </w:rPr>
        <w:t>≥</w:t>
      </w:r>
      <w:r w:rsidR="00DF6FFE" w:rsidRPr="00713BAB">
        <w:rPr>
          <w:rFonts w:cs="Arial"/>
          <w:sz w:val="24"/>
          <w:szCs w:val="24"/>
        </w:rPr>
        <w:t>60 years; under</w:t>
      </w:r>
      <w:r w:rsidRPr="00713BAB">
        <w:rPr>
          <w:rFonts w:cs="Arial"/>
          <w:sz w:val="24"/>
          <w:szCs w:val="24"/>
        </w:rPr>
        <w:t xml:space="preserve"> the QALY-maximisation approach, </w:t>
      </w:r>
      <w:r w:rsidR="00DF6FFE" w:rsidRPr="00713BAB">
        <w:rPr>
          <w:rFonts w:cs="Arial"/>
          <w:sz w:val="24"/>
          <w:szCs w:val="24"/>
        </w:rPr>
        <w:t>this proportion fell to</w:t>
      </w:r>
      <w:r w:rsidR="008E71CF" w:rsidRPr="00713BAB">
        <w:rPr>
          <w:rFonts w:cs="Arial"/>
          <w:sz w:val="24"/>
          <w:szCs w:val="24"/>
        </w:rPr>
        <w:t xml:space="preserve"> just</w:t>
      </w:r>
      <w:r w:rsidR="00DF6FFE" w:rsidRPr="00713BAB">
        <w:rPr>
          <w:rFonts w:cs="Arial"/>
          <w:sz w:val="24"/>
          <w:szCs w:val="24"/>
        </w:rPr>
        <w:t xml:space="preserve"> 4%</w:t>
      </w:r>
      <w:r w:rsidRPr="00713BAB">
        <w:rPr>
          <w:rFonts w:cs="Arial"/>
          <w:sz w:val="24"/>
          <w:szCs w:val="24"/>
        </w:rPr>
        <w:t xml:space="preserve">. </w:t>
      </w:r>
      <w:bookmarkEnd w:id="38"/>
      <w:r w:rsidR="008E71CF" w:rsidRPr="00713BAB">
        <w:rPr>
          <w:rFonts w:cs="Arial"/>
          <w:sz w:val="24"/>
          <w:szCs w:val="24"/>
        </w:rPr>
        <w:t xml:space="preserve">Allocation schemes that emphasised </w:t>
      </w:r>
      <w:r w:rsidRPr="00713BAB">
        <w:rPr>
          <w:rFonts w:cs="Arial"/>
          <w:sz w:val="24"/>
          <w:szCs w:val="24"/>
        </w:rPr>
        <w:t>greater efficiency also result</w:t>
      </w:r>
      <w:r w:rsidR="008E71CF" w:rsidRPr="00713BAB">
        <w:rPr>
          <w:rFonts w:cs="Arial"/>
          <w:sz w:val="24"/>
          <w:szCs w:val="24"/>
        </w:rPr>
        <w:t>ed</w:t>
      </w:r>
      <w:r w:rsidRPr="00713BAB">
        <w:rPr>
          <w:rFonts w:cs="Arial"/>
          <w:sz w:val="24"/>
          <w:szCs w:val="24"/>
        </w:rPr>
        <w:t xml:space="preserve"> in a higher proportion of female transplant recipients and a lower proportion of transplant recipients with diabetes.</w:t>
      </w:r>
    </w:p>
    <w:p w14:paraId="4128ADAD" w14:textId="76E065D4" w:rsidR="003F67A5" w:rsidRPr="00EA7148" w:rsidRDefault="003F67A5" w:rsidP="00EA7148">
      <w:pPr>
        <w:pStyle w:val="Heading2"/>
      </w:pPr>
      <w:r w:rsidRPr="00EA7148">
        <w:t>Distribution of life years and QALYs</w:t>
      </w:r>
    </w:p>
    <w:p w14:paraId="109EE4E0" w14:textId="7FE98B5B" w:rsidR="00FB35F3" w:rsidRDefault="003F67A5" w:rsidP="00680605">
      <w:pPr>
        <w:tabs>
          <w:tab w:val="left" w:pos="5812"/>
        </w:tabs>
        <w:spacing w:before="240" w:after="240" w:line="480" w:lineRule="auto"/>
        <w:rPr>
          <w:rFonts w:cs="Arial"/>
          <w:sz w:val="24"/>
          <w:szCs w:val="24"/>
        </w:rPr>
      </w:pPr>
      <w:r>
        <w:rPr>
          <w:rFonts w:cs="Arial"/>
          <w:sz w:val="24"/>
          <w:szCs w:val="24"/>
        </w:rPr>
        <w:t xml:space="preserve">Table 5 shows mean survival (life years) and mean QALYs for each allocation scheme. </w:t>
      </w:r>
      <w:bookmarkStart w:id="39" w:name="_Hlk12486553"/>
      <w:r w:rsidR="0014101E">
        <w:rPr>
          <w:rFonts w:cs="Arial"/>
          <w:sz w:val="24"/>
          <w:szCs w:val="24"/>
        </w:rPr>
        <w:t>The QALY-maximisation scheme result</w:t>
      </w:r>
      <w:r w:rsidR="00EA7148">
        <w:rPr>
          <w:rFonts w:cs="Arial"/>
          <w:sz w:val="24"/>
          <w:szCs w:val="24"/>
        </w:rPr>
        <w:t>ed</w:t>
      </w:r>
      <w:r w:rsidR="0014101E">
        <w:rPr>
          <w:rFonts w:cs="Arial"/>
          <w:sz w:val="24"/>
          <w:szCs w:val="24"/>
        </w:rPr>
        <w:t xml:space="preserve"> in the highest mean life years and QALYs </w:t>
      </w:r>
      <w:r w:rsidR="00FB35F3">
        <w:rPr>
          <w:rFonts w:cs="Arial"/>
          <w:sz w:val="24"/>
          <w:szCs w:val="24"/>
        </w:rPr>
        <w:t>for each</w:t>
      </w:r>
      <w:r w:rsidR="0014101E">
        <w:rPr>
          <w:rFonts w:cs="Arial"/>
          <w:sz w:val="24"/>
          <w:szCs w:val="24"/>
        </w:rPr>
        <w:t xml:space="preserve"> transplant recipient (23.6 life years, 19.3 QALYs) but correspondingly the lowest mean life years and QALYs for patients who </w:t>
      </w:r>
      <w:r w:rsidR="00EA7148">
        <w:rPr>
          <w:rFonts w:cs="Arial"/>
          <w:sz w:val="24"/>
          <w:szCs w:val="24"/>
        </w:rPr>
        <w:t>were</w:t>
      </w:r>
      <w:r w:rsidR="0014101E">
        <w:rPr>
          <w:rFonts w:cs="Arial"/>
          <w:sz w:val="24"/>
          <w:szCs w:val="24"/>
        </w:rPr>
        <w:t xml:space="preserve"> not prioritised to receive a transplant (6.5 life years, 5.1 QALYs).</w:t>
      </w:r>
      <w:r w:rsidR="00FB35F3">
        <w:rPr>
          <w:rFonts w:cs="Arial"/>
          <w:sz w:val="24"/>
          <w:szCs w:val="24"/>
        </w:rPr>
        <w:t xml:space="preserve"> </w:t>
      </w:r>
      <w:bookmarkEnd w:id="39"/>
      <w:r w:rsidR="00FB35F3">
        <w:rPr>
          <w:rFonts w:cs="Arial"/>
          <w:sz w:val="24"/>
          <w:szCs w:val="24"/>
        </w:rPr>
        <w:t>The waiting time allocation scheme result</w:t>
      </w:r>
      <w:r w:rsidR="00EA7148">
        <w:rPr>
          <w:rFonts w:cs="Arial"/>
          <w:sz w:val="24"/>
          <w:szCs w:val="24"/>
        </w:rPr>
        <w:t>ed</w:t>
      </w:r>
      <w:r w:rsidR="00FB35F3">
        <w:rPr>
          <w:rFonts w:cs="Arial"/>
          <w:sz w:val="24"/>
          <w:szCs w:val="24"/>
        </w:rPr>
        <w:t xml:space="preserve"> in the lowest mean life years and QALYs for each transplant recipient </w:t>
      </w:r>
      <w:r w:rsidR="00EA7148">
        <w:rPr>
          <w:rFonts w:cs="Arial"/>
          <w:sz w:val="24"/>
          <w:szCs w:val="24"/>
        </w:rPr>
        <w:t xml:space="preserve">(17.1 life years, 13.9 QALYs) and also resulted in the </w:t>
      </w:r>
      <w:r w:rsidR="00EA7148">
        <w:rPr>
          <w:rFonts w:cs="Arial"/>
          <w:sz w:val="24"/>
          <w:szCs w:val="24"/>
        </w:rPr>
        <w:lastRenderedPageBreak/>
        <w:t>smallest</w:t>
      </w:r>
      <w:r w:rsidR="00F93592">
        <w:rPr>
          <w:rFonts w:cs="Arial"/>
          <w:sz w:val="24"/>
          <w:szCs w:val="24"/>
        </w:rPr>
        <w:t xml:space="preserve"> difference in survival for those who receive</w:t>
      </w:r>
      <w:r w:rsidR="00E746C4">
        <w:rPr>
          <w:rFonts w:cs="Arial"/>
          <w:sz w:val="24"/>
          <w:szCs w:val="24"/>
        </w:rPr>
        <w:t>d</w:t>
      </w:r>
      <w:r w:rsidR="00F93592">
        <w:rPr>
          <w:rFonts w:cs="Arial"/>
          <w:sz w:val="24"/>
          <w:szCs w:val="24"/>
        </w:rPr>
        <w:t xml:space="preserve"> a transplant </w:t>
      </w:r>
      <w:r w:rsidR="00E746C4">
        <w:rPr>
          <w:rFonts w:cs="Arial"/>
          <w:sz w:val="24"/>
          <w:szCs w:val="24"/>
        </w:rPr>
        <w:t>compared to</w:t>
      </w:r>
      <w:r w:rsidR="00F93592">
        <w:rPr>
          <w:rFonts w:cs="Arial"/>
          <w:sz w:val="24"/>
          <w:szCs w:val="24"/>
        </w:rPr>
        <w:t xml:space="preserve"> those who d</w:t>
      </w:r>
      <w:r w:rsidR="00E746C4">
        <w:rPr>
          <w:rFonts w:cs="Arial"/>
          <w:sz w:val="24"/>
          <w:szCs w:val="24"/>
        </w:rPr>
        <w:t>id</w:t>
      </w:r>
      <w:r w:rsidR="00F93592">
        <w:rPr>
          <w:rFonts w:cs="Arial"/>
          <w:sz w:val="24"/>
          <w:szCs w:val="24"/>
        </w:rPr>
        <w:t xml:space="preserve"> not. </w:t>
      </w:r>
    </w:p>
    <w:p w14:paraId="5DACA79D" w14:textId="77777777" w:rsidR="00417662" w:rsidRPr="00417662" w:rsidRDefault="00F93592" w:rsidP="00417662">
      <w:pPr>
        <w:pStyle w:val="NoSpacing"/>
        <w:spacing w:before="240" w:after="240" w:line="480" w:lineRule="auto"/>
        <w:rPr>
          <w:sz w:val="24"/>
        </w:rPr>
      </w:pPr>
      <w:r w:rsidRPr="00417662">
        <w:rPr>
          <w:sz w:val="24"/>
        </w:rPr>
        <w:t>Although the QALY-maximisation scheme result</w:t>
      </w:r>
      <w:r w:rsidR="00E746C4" w:rsidRPr="00417662">
        <w:rPr>
          <w:sz w:val="24"/>
        </w:rPr>
        <w:t>ed</w:t>
      </w:r>
      <w:r w:rsidRPr="00417662">
        <w:rPr>
          <w:sz w:val="24"/>
        </w:rPr>
        <w:t xml:space="preserve"> in the lowest proportion of patients aged </w:t>
      </w:r>
      <w:r w:rsidRPr="00417662">
        <w:rPr>
          <w:rFonts w:cstheme="minorHAnsi"/>
          <w:sz w:val="24"/>
        </w:rPr>
        <w:t>≥</w:t>
      </w:r>
      <w:r w:rsidRPr="00417662">
        <w:rPr>
          <w:sz w:val="24"/>
        </w:rPr>
        <w:t>60 years receiving a transplant</w:t>
      </w:r>
      <w:r w:rsidR="00EA7148" w:rsidRPr="00417662">
        <w:rPr>
          <w:sz w:val="24"/>
        </w:rPr>
        <w:t xml:space="preserve"> (4%)</w:t>
      </w:r>
      <w:r w:rsidRPr="00417662">
        <w:rPr>
          <w:sz w:val="24"/>
        </w:rPr>
        <w:t>, those who d</w:t>
      </w:r>
      <w:r w:rsidR="00E746C4" w:rsidRPr="00417662">
        <w:rPr>
          <w:sz w:val="24"/>
        </w:rPr>
        <w:t>id</w:t>
      </w:r>
      <w:r w:rsidRPr="00417662">
        <w:rPr>
          <w:sz w:val="24"/>
        </w:rPr>
        <w:t xml:space="preserve"> receive a transplant </w:t>
      </w:r>
      <w:r w:rsidR="00E746C4" w:rsidRPr="00417662">
        <w:rPr>
          <w:sz w:val="24"/>
        </w:rPr>
        <w:t xml:space="preserve">survived longer on average </w:t>
      </w:r>
      <w:r w:rsidRPr="00417662">
        <w:rPr>
          <w:sz w:val="24"/>
        </w:rPr>
        <w:t xml:space="preserve">than patients aged </w:t>
      </w:r>
      <w:r w:rsidRPr="00417662">
        <w:rPr>
          <w:rFonts w:cstheme="minorHAnsi"/>
          <w:sz w:val="24"/>
        </w:rPr>
        <w:t>≥</w:t>
      </w:r>
      <w:r w:rsidRPr="00417662">
        <w:rPr>
          <w:sz w:val="24"/>
        </w:rPr>
        <w:t>60 years under any of the other allocation schemes. This is because the QALY-maximisation scheme is selecting patients who are expected to live long enough to derive the biggest survival benefit from each donor kidney</w:t>
      </w:r>
      <w:r w:rsidR="00EA7148" w:rsidRPr="00417662">
        <w:rPr>
          <w:sz w:val="24"/>
        </w:rPr>
        <w:t xml:space="preserve"> compared to remaining on dialysis</w:t>
      </w:r>
      <w:r w:rsidRPr="00417662">
        <w:rPr>
          <w:sz w:val="24"/>
        </w:rPr>
        <w:t xml:space="preserve">. </w:t>
      </w:r>
    </w:p>
    <w:p w14:paraId="1B4C3351" w14:textId="1FB77FC0" w:rsidR="003F67A5" w:rsidRPr="00713BAB" w:rsidRDefault="003F67A5" w:rsidP="00EA7148">
      <w:pPr>
        <w:pStyle w:val="Heading2"/>
        <w:rPr>
          <w:shd w:val="clear" w:color="auto" w:fill="FFFFFF"/>
        </w:rPr>
      </w:pPr>
      <w:r w:rsidRPr="00713BAB">
        <w:rPr>
          <w:shd w:val="clear" w:color="auto" w:fill="FFFFFF"/>
        </w:rPr>
        <w:t>Cost-effectiveness results</w:t>
      </w:r>
    </w:p>
    <w:p w14:paraId="55595DAD" w14:textId="1EFE2970" w:rsidR="003F67A5" w:rsidRPr="00713BAB" w:rsidRDefault="003F67A5" w:rsidP="003F67A5">
      <w:pPr>
        <w:tabs>
          <w:tab w:val="left" w:pos="4984"/>
        </w:tabs>
        <w:spacing w:after="0" w:line="480" w:lineRule="auto"/>
        <w:rPr>
          <w:rFonts w:eastAsiaTheme="minorEastAsia" w:cs="Arial"/>
          <w:color w:val="000000"/>
          <w:sz w:val="24"/>
          <w:szCs w:val="24"/>
          <w:shd w:val="clear" w:color="auto" w:fill="FFFFFF"/>
          <w:lang w:eastAsia="en-GB"/>
        </w:rPr>
      </w:pPr>
      <w:r w:rsidRPr="00713BAB">
        <w:rPr>
          <w:rFonts w:eastAsiaTheme="minorEastAsia" w:cs="Arial"/>
          <w:sz w:val="24"/>
          <w:szCs w:val="24"/>
          <w:shd w:val="clear" w:color="auto" w:fill="FFFFFF"/>
          <w:lang w:eastAsia="en-GB"/>
        </w:rPr>
        <w:t xml:space="preserve">The motivation behind the QALY-maximisation approach is to make the most efficient use of a scarce supply of kidneys. Table </w:t>
      </w:r>
      <w:r w:rsidR="00E746C4">
        <w:rPr>
          <w:rFonts w:eastAsiaTheme="minorEastAsia" w:cs="Arial"/>
          <w:sz w:val="24"/>
          <w:szCs w:val="24"/>
          <w:shd w:val="clear" w:color="auto" w:fill="FFFFFF"/>
          <w:lang w:eastAsia="en-GB"/>
        </w:rPr>
        <w:t>6</w:t>
      </w:r>
      <w:r w:rsidRPr="00713BAB">
        <w:rPr>
          <w:rFonts w:eastAsiaTheme="minorEastAsia" w:cs="Arial"/>
          <w:sz w:val="24"/>
          <w:szCs w:val="24"/>
          <w:shd w:val="clear" w:color="auto" w:fill="FFFFFF"/>
          <w:lang w:eastAsia="en-GB"/>
        </w:rPr>
        <w:t xml:space="preserve"> shows </w:t>
      </w:r>
      <w:r w:rsidR="00E746C4">
        <w:rPr>
          <w:rFonts w:eastAsiaTheme="minorEastAsia" w:cs="Arial"/>
          <w:sz w:val="24"/>
          <w:szCs w:val="24"/>
          <w:shd w:val="clear" w:color="auto" w:fill="FFFFFF"/>
          <w:lang w:eastAsia="en-GB"/>
        </w:rPr>
        <w:t xml:space="preserve">total QALYs and costs for the entire cohort of patients in the simulation. For </w:t>
      </w:r>
      <w:r w:rsidRPr="00713BAB">
        <w:rPr>
          <w:rFonts w:eastAsiaTheme="minorEastAsia" w:cs="Arial"/>
          <w:sz w:val="24"/>
          <w:szCs w:val="24"/>
          <w:shd w:val="clear" w:color="auto" w:fill="FFFFFF"/>
          <w:lang w:eastAsia="en-GB"/>
        </w:rPr>
        <w:t>patients who received a transplant, th</w:t>
      </w:r>
      <w:r w:rsidR="00E746C4">
        <w:rPr>
          <w:rFonts w:eastAsiaTheme="minorEastAsia" w:cs="Arial"/>
          <w:sz w:val="24"/>
          <w:szCs w:val="24"/>
          <w:shd w:val="clear" w:color="auto" w:fill="FFFFFF"/>
          <w:lang w:eastAsia="en-GB"/>
        </w:rPr>
        <w:t xml:space="preserve">e QALY-maximisation </w:t>
      </w:r>
      <w:r w:rsidRPr="00713BAB">
        <w:rPr>
          <w:rFonts w:eastAsiaTheme="minorEastAsia" w:cs="Arial"/>
          <w:sz w:val="24"/>
          <w:szCs w:val="24"/>
          <w:shd w:val="clear" w:color="auto" w:fill="FFFFFF"/>
          <w:lang w:eastAsia="en-GB"/>
        </w:rPr>
        <w:t xml:space="preserve"> approach generated the </w:t>
      </w:r>
      <w:r w:rsidR="00E746C4">
        <w:rPr>
          <w:rFonts w:eastAsiaTheme="minorEastAsia" w:cs="Arial"/>
          <w:sz w:val="24"/>
          <w:szCs w:val="24"/>
          <w:shd w:val="clear" w:color="auto" w:fill="FFFFFF"/>
          <w:lang w:eastAsia="en-GB"/>
        </w:rPr>
        <w:t>highest total</w:t>
      </w:r>
      <w:r w:rsidRPr="00713BAB">
        <w:rPr>
          <w:rFonts w:eastAsiaTheme="minorEastAsia" w:cs="Arial"/>
          <w:sz w:val="24"/>
          <w:szCs w:val="24"/>
          <w:shd w:val="clear" w:color="auto" w:fill="FFFFFF"/>
          <w:lang w:eastAsia="en-GB"/>
        </w:rPr>
        <w:t xml:space="preserve"> QALYs (48,045) </w:t>
      </w:r>
      <w:r w:rsidRPr="00713BAB">
        <w:rPr>
          <w:rFonts w:eastAsiaTheme="minorEastAsia" w:cs="Arial"/>
          <w:color w:val="000000"/>
          <w:sz w:val="24"/>
          <w:szCs w:val="24"/>
          <w:shd w:val="clear" w:color="auto" w:fill="FFFFFF"/>
          <w:lang w:eastAsia="en-GB"/>
        </w:rPr>
        <w:t xml:space="preserve">and also led to the highest costs (£681 million). However, Table </w:t>
      </w:r>
      <w:r w:rsidR="00E746C4">
        <w:rPr>
          <w:rFonts w:eastAsiaTheme="minorEastAsia" w:cs="Arial"/>
          <w:color w:val="000000"/>
          <w:sz w:val="24"/>
          <w:szCs w:val="24"/>
          <w:shd w:val="clear" w:color="auto" w:fill="FFFFFF"/>
          <w:lang w:eastAsia="en-GB"/>
        </w:rPr>
        <w:t>6</w:t>
      </w:r>
      <w:r w:rsidRPr="00713BAB">
        <w:rPr>
          <w:rFonts w:eastAsiaTheme="minorEastAsia" w:cs="Arial"/>
          <w:color w:val="000000"/>
          <w:sz w:val="24"/>
          <w:szCs w:val="24"/>
          <w:shd w:val="clear" w:color="auto" w:fill="FFFFFF"/>
          <w:lang w:eastAsia="en-GB"/>
        </w:rPr>
        <w:t xml:space="preserve"> also shows that patients who were not prioritised to receive a transplant and who remained on the waiting list had worse health outcomes and generated fewer total QALYs (20,504) compared to other allocation schemes.  </w:t>
      </w:r>
    </w:p>
    <w:p w14:paraId="5B87773A" w14:textId="77777777" w:rsidR="00417662" w:rsidRDefault="003F67A5" w:rsidP="00417662">
      <w:pPr>
        <w:tabs>
          <w:tab w:val="left" w:pos="4984"/>
        </w:tabs>
        <w:spacing w:after="0" w:line="480" w:lineRule="auto"/>
        <w:rPr>
          <w:rFonts w:cs="Arial"/>
          <w:sz w:val="24"/>
          <w:szCs w:val="24"/>
        </w:rPr>
      </w:pPr>
      <w:r w:rsidRPr="00713BAB">
        <w:rPr>
          <w:rFonts w:eastAsiaTheme="minorEastAsia" w:cs="Arial"/>
          <w:color w:val="000000"/>
          <w:sz w:val="24"/>
          <w:szCs w:val="24"/>
          <w:shd w:val="clear" w:color="auto" w:fill="FFFFFF"/>
          <w:lang w:eastAsia="en-GB"/>
        </w:rPr>
        <w:t>Taking into account total costs and QALYs for both transplant recipients and patients who remained on the waiting list, longevity matching produced the fewest QALYs (</w:t>
      </w:r>
      <w:r w:rsidRPr="00713BAB">
        <w:rPr>
          <w:rFonts w:cs="Arial"/>
          <w:color w:val="000000"/>
          <w:sz w:val="24"/>
          <w:szCs w:val="24"/>
        </w:rPr>
        <w:t>65,665</w:t>
      </w:r>
      <w:r w:rsidRPr="00713BAB">
        <w:rPr>
          <w:rFonts w:eastAsiaTheme="minorEastAsia" w:cs="Arial"/>
          <w:color w:val="000000"/>
          <w:sz w:val="24"/>
          <w:szCs w:val="24"/>
          <w:shd w:val="clear" w:color="auto" w:fill="FFFFFF"/>
          <w:lang w:eastAsia="en-GB"/>
        </w:rPr>
        <w:t xml:space="preserve">) and the lowest costs (£1,473 million), while the 2006 NKAS produced the most QALYs (70,569) and the highest costs (£1,722 million). While the longevity matching and QALY-maximisation schemes both generated more QALYs for transplant recipients than the 2006 NKAS, they generated far fewer QALYs for those patients who were assumed to remain on the waiting </w:t>
      </w:r>
      <w:r w:rsidRPr="00713BAB">
        <w:rPr>
          <w:rFonts w:eastAsiaTheme="minorEastAsia" w:cs="Arial"/>
          <w:color w:val="000000"/>
          <w:sz w:val="24"/>
          <w:szCs w:val="24"/>
          <w:shd w:val="clear" w:color="auto" w:fill="FFFFFF"/>
          <w:lang w:eastAsia="en-GB"/>
        </w:rPr>
        <w:lastRenderedPageBreak/>
        <w:t>list. In incremental cost-effectiveness analysis, random allocation and waiting-time allocation were both dominated</w:t>
      </w:r>
      <w:r>
        <w:rPr>
          <w:rFonts w:eastAsiaTheme="minorEastAsia" w:cs="Arial"/>
          <w:color w:val="000000"/>
          <w:sz w:val="24"/>
          <w:szCs w:val="24"/>
          <w:shd w:val="clear" w:color="auto" w:fill="FFFFFF"/>
          <w:lang w:eastAsia="en-GB"/>
        </w:rPr>
        <w:t>; that is to say, they were both less effective and more costly than at least one of the other allocation approaches</w:t>
      </w:r>
      <w:r w:rsidRPr="00713BAB">
        <w:rPr>
          <w:rFonts w:eastAsiaTheme="minorEastAsia" w:cs="Arial"/>
          <w:color w:val="000000"/>
          <w:sz w:val="24"/>
          <w:szCs w:val="24"/>
          <w:shd w:val="clear" w:color="auto" w:fill="FFFFFF"/>
          <w:lang w:eastAsia="en-GB"/>
        </w:rPr>
        <w:t>. The comparison of the QALY-maximisation approach to longevity matching generated an incremental cost-effectiveness ratio (ICER) of £8,751/QALY while the comparison of the 2006 NKAS to the QALY-maximisation approach generated an ICER of £110,741/QALY</w:t>
      </w:r>
      <w:r>
        <w:rPr>
          <w:rFonts w:eastAsiaTheme="minorEastAsia" w:cs="Arial"/>
          <w:color w:val="000000"/>
          <w:sz w:val="24"/>
          <w:szCs w:val="24"/>
          <w:shd w:val="clear" w:color="auto" w:fill="FFFFFF"/>
          <w:lang w:eastAsia="en-GB"/>
        </w:rPr>
        <w:t xml:space="preserve"> (Figure 2)</w:t>
      </w:r>
      <w:r w:rsidRPr="00713BAB">
        <w:rPr>
          <w:rFonts w:eastAsiaTheme="minorEastAsia" w:cs="Arial"/>
          <w:color w:val="000000"/>
          <w:sz w:val="24"/>
          <w:szCs w:val="24"/>
          <w:shd w:val="clear" w:color="auto" w:fill="FFFFFF"/>
          <w:lang w:eastAsia="en-GB"/>
        </w:rPr>
        <w:t>.</w:t>
      </w:r>
    </w:p>
    <w:p w14:paraId="50AA4B4E" w14:textId="77777777" w:rsidR="00417662" w:rsidRDefault="00417662" w:rsidP="00417662">
      <w:pPr>
        <w:tabs>
          <w:tab w:val="left" w:pos="4984"/>
        </w:tabs>
        <w:spacing w:after="0" w:line="480" w:lineRule="auto"/>
        <w:rPr>
          <w:shd w:val="clear" w:color="auto" w:fill="FFFFFF"/>
        </w:rPr>
      </w:pPr>
    </w:p>
    <w:p w14:paraId="6AE2E09A" w14:textId="76F5D99D" w:rsidR="001F1213" w:rsidRPr="00417662" w:rsidRDefault="001F1213" w:rsidP="00321B2F">
      <w:pPr>
        <w:pStyle w:val="Heading1"/>
        <w:rPr>
          <w:rFonts w:eastAsiaTheme="minorEastAsia" w:cs="Arial"/>
          <w:color w:val="000000"/>
          <w:shd w:val="clear" w:color="auto" w:fill="FFFFFF"/>
        </w:rPr>
      </w:pPr>
      <w:r w:rsidRPr="00713BAB">
        <w:rPr>
          <w:shd w:val="clear" w:color="auto" w:fill="FFFFFF"/>
        </w:rPr>
        <w:t>DISCUSSION</w:t>
      </w:r>
      <w:bookmarkEnd w:id="33"/>
      <w:bookmarkEnd w:id="34"/>
      <w:bookmarkEnd w:id="35"/>
      <w:bookmarkEnd w:id="36"/>
      <w:bookmarkEnd w:id="37"/>
    </w:p>
    <w:p w14:paraId="64480FE7" w14:textId="77777777" w:rsidR="0089054F" w:rsidRPr="00713BAB" w:rsidRDefault="0089054F" w:rsidP="00680605">
      <w:pPr>
        <w:spacing w:after="100" w:afterAutospacing="1" w:line="480" w:lineRule="auto"/>
        <w:rPr>
          <w:rFonts w:cs="Arial"/>
          <w:sz w:val="24"/>
          <w:szCs w:val="24"/>
        </w:rPr>
      </w:pPr>
      <w:r w:rsidRPr="00713BAB">
        <w:rPr>
          <w:rFonts w:cs="Arial"/>
          <w:sz w:val="24"/>
          <w:szCs w:val="24"/>
        </w:rPr>
        <w:t>The allocation of deceased donor kidneys to patients who are awaiting a transplant is constrained not only by a limited supply of kidneys but also, like all resource allocation decisions in healthcare, by a limited budget.  The emphasis of the literature and the debate about kidney allocation has historically focussed on donor organs as the only constraint, and in particular on the trade-off between maximising survival and ensuring equity in access to transplantation. In this research, we have explored a wider range of potential objectives in the design of a kidney allocation scheme and used simulation modelling to quantify the magnitude of trade-offs associated with moving from one allocation approach to another. In particular, this is the first patient-level simulation exercise to consider the costs associated with different approaches to kidney allocation in the UK and to report outcomes in terms of QALYs.</w:t>
      </w:r>
    </w:p>
    <w:p w14:paraId="3629215B" w14:textId="46D09F62" w:rsidR="008E71CF" w:rsidRPr="00713BAB" w:rsidRDefault="00D57836" w:rsidP="00680605">
      <w:pPr>
        <w:spacing w:after="100" w:afterAutospacing="1" w:line="480" w:lineRule="auto"/>
        <w:rPr>
          <w:rFonts w:eastAsiaTheme="minorEastAsia" w:cs="Arial"/>
          <w:sz w:val="24"/>
          <w:szCs w:val="24"/>
          <w:lang w:eastAsia="en-GB"/>
        </w:rPr>
      </w:pPr>
      <w:r w:rsidRPr="00713BAB">
        <w:rPr>
          <w:rFonts w:eastAsiaTheme="minorEastAsia" w:cs="Arial"/>
          <w:sz w:val="24"/>
          <w:szCs w:val="24"/>
          <w:lang w:eastAsia="en-GB"/>
        </w:rPr>
        <w:t xml:space="preserve">The motivation for the simulation exercise described in this paper was not only to explore </w:t>
      </w:r>
      <w:r w:rsidR="008E71CF" w:rsidRPr="00713BAB">
        <w:rPr>
          <w:rFonts w:eastAsiaTheme="minorEastAsia" w:cs="Arial"/>
          <w:sz w:val="24"/>
          <w:szCs w:val="24"/>
          <w:lang w:eastAsia="en-GB"/>
        </w:rPr>
        <w:t>different</w:t>
      </w:r>
      <w:r w:rsidRPr="00713BAB">
        <w:rPr>
          <w:rFonts w:eastAsiaTheme="minorEastAsia" w:cs="Arial"/>
          <w:sz w:val="24"/>
          <w:szCs w:val="24"/>
          <w:lang w:eastAsia="en-GB"/>
        </w:rPr>
        <w:t xml:space="preserve"> allocation concepts </w:t>
      </w:r>
      <w:r w:rsidR="00FA5D8F" w:rsidRPr="00713BAB">
        <w:rPr>
          <w:rFonts w:eastAsiaTheme="minorEastAsia" w:cs="Arial"/>
          <w:sz w:val="24"/>
          <w:szCs w:val="24"/>
          <w:lang w:eastAsia="en-GB"/>
        </w:rPr>
        <w:t>from across the equity-efficiency spectrum</w:t>
      </w:r>
      <w:r w:rsidRPr="00713BAB">
        <w:rPr>
          <w:rFonts w:eastAsiaTheme="minorEastAsia" w:cs="Arial"/>
          <w:sz w:val="24"/>
          <w:szCs w:val="24"/>
          <w:lang w:eastAsia="en-GB"/>
        </w:rPr>
        <w:t xml:space="preserve">, but also to improve our ability to estimate variability in outcomes resulting from different approaches to allocation </w:t>
      </w:r>
      <w:r w:rsidR="00FA5D8F" w:rsidRPr="00713BAB">
        <w:rPr>
          <w:rFonts w:eastAsiaTheme="minorEastAsia" w:cs="Arial"/>
          <w:sz w:val="24"/>
          <w:szCs w:val="24"/>
          <w:lang w:eastAsia="en-GB"/>
        </w:rPr>
        <w:t>using patient-level data</w:t>
      </w:r>
      <w:r w:rsidRPr="00713BAB">
        <w:rPr>
          <w:rFonts w:eastAsiaTheme="minorEastAsia" w:cs="Arial"/>
          <w:sz w:val="24"/>
          <w:szCs w:val="24"/>
          <w:lang w:eastAsia="en-GB"/>
        </w:rPr>
        <w:t xml:space="preserve">. If alternative approaches to kidney allocation result in </w:t>
      </w:r>
      <w:r w:rsidRPr="00713BAB">
        <w:rPr>
          <w:rFonts w:eastAsiaTheme="minorEastAsia" w:cs="Arial"/>
          <w:sz w:val="24"/>
          <w:szCs w:val="24"/>
          <w:lang w:eastAsia="en-GB"/>
        </w:rPr>
        <w:lastRenderedPageBreak/>
        <w:t xml:space="preserve">different patients receiving transplants, then an accurate comparison of the consequences of alternative allocation schemes depends on our ability to predict variability in outcomes dependent on individual patient characteristics. This simulation exercise relied on a number of rich sources of patient-level data including the ATTOM study, the UK Transplant Registry (held by NHS Blood and Transplant), Hospital Episode Statistics and the UK Renal Registry in order to develop predictive regression models to estimate survival, health-state utilities and costs. These predictive models were </w:t>
      </w:r>
      <w:r w:rsidR="008E71CF" w:rsidRPr="00713BAB">
        <w:rPr>
          <w:rFonts w:eastAsiaTheme="minorEastAsia" w:cs="Arial"/>
          <w:sz w:val="24"/>
          <w:szCs w:val="24"/>
          <w:lang w:eastAsia="en-GB"/>
        </w:rPr>
        <w:t xml:space="preserve">used </w:t>
      </w:r>
      <w:r w:rsidRPr="00713BAB">
        <w:rPr>
          <w:rFonts w:eastAsiaTheme="minorEastAsia" w:cs="Arial"/>
          <w:sz w:val="24"/>
          <w:szCs w:val="24"/>
          <w:lang w:eastAsia="en-GB"/>
        </w:rPr>
        <w:t>not only to estimate QALYs and costs for transplant recipients in all five allocation schemes but also as part of the criteria to inform the kidney allocation process for the longevity matching and QALY-maximis</w:t>
      </w:r>
      <w:r w:rsidR="008E71CF" w:rsidRPr="00713BAB">
        <w:rPr>
          <w:rFonts w:eastAsiaTheme="minorEastAsia" w:cs="Arial"/>
          <w:sz w:val="24"/>
          <w:szCs w:val="24"/>
          <w:lang w:eastAsia="en-GB"/>
        </w:rPr>
        <w:t>ation</w:t>
      </w:r>
      <w:r w:rsidRPr="00713BAB">
        <w:rPr>
          <w:rFonts w:eastAsiaTheme="minorEastAsia" w:cs="Arial"/>
          <w:sz w:val="24"/>
          <w:szCs w:val="24"/>
          <w:lang w:eastAsia="en-GB"/>
        </w:rPr>
        <w:t xml:space="preserve"> schemes. </w:t>
      </w:r>
    </w:p>
    <w:p w14:paraId="16D61FDE" w14:textId="77777777" w:rsidR="00B23C53" w:rsidRDefault="0089054F" w:rsidP="002D24D9">
      <w:pPr>
        <w:spacing w:after="100" w:afterAutospacing="1" w:line="480" w:lineRule="auto"/>
        <w:rPr>
          <w:rFonts w:eastAsiaTheme="minorEastAsia" w:cs="Arial"/>
          <w:sz w:val="24"/>
          <w:szCs w:val="24"/>
          <w:lang w:eastAsia="en-GB"/>
        </w:rPr>
      </w:pPr>
      <w:r w:rsidRPr="00713BAB">
        <w:rPr>
          <w:rFonts w:cs="Arial"/>
          <w:sz w:val="24"/>
          <w:szCs w:val="24"/>
        </w:rPr>
        <w:t xml:space="preserve">Our research demonstrates the richness of information that can be generated from a patient-level simulation but we are cognisant that there are limitations to any modelling exercise. In particular, we made a number of assumptions with respect to the model structure, such as only considering first-time transplants and excluding paediatric patients as the latter group fell outside of the scope of the ATTOM study. </w:t>
      </w:r>
      <w:r w:rsidR="00C42FCF">
        <w:rPr>
          <w:rFonts w:cs="Arial"/>
          <w:sz w:val="24"/>
          <w:szCs w:val="24"/>
        </w:rPr>
        <w:t xml:space="preserve">The characteristics of the donors were based on a </w:t>
      </w:r>
      <w:r w:rsidR="009D2E4F">
        <w:rPr>
          <w:rFonts w:cs="Arial"/>
          <w:sz w:val="24"/>
          <w:szCs w:val="24"/>
        </w:rPr>
        <w:t>contemporaneous cohort with the waiting list patients</w:t>
      </w:r>
      <w:r w:rsidR="00C42FCF">
        <w:rPr>
          <w:rFonts w:cs="Arial"/>
          <w:sz w:val="24"/>
          <w:szCs w:val="24"/>
        </w:rPr>
        <w:t xml:space="preserve"> </w:t>
      </w:r>
      <w:r w:rsidR="000E453D">
        <w:rPr>
          <w:rFonts w:cs="Arial"/>
          <w:sz w:val="24"/>
          <w:szCs w:val="24"/>
        </w:rPr>
        <w:t xml:space="preserve">in the ATTOM study </w:t>
      </w:r>
      <w:r w:rsidR="00C42FCF">
        <w:rPr>
          <w:rFonts w:cs="Arial"/>
          <w:sz w:val="24"/>
          <w:szCs w:val="24"/>
        </w:rPr>
        <w:t xml:space="preserve">but we have not attempted to model the consequences of the different allocation schemes if the composition of </w:t>
      </w:r>
      <w:r w:rsidR="000E453D">
        <w:rPr>
          <w:rFonts w:cs="Arial"/>
          <w:sz w:val="24"/>
          <w:szCs w:val="24"/>
        </w:rPr>
        <w:t>either the donor pool or the waiting list</w:t>
      </w:r>
      <w:r w:rsidR="00C42FCF">
        <w:rPr>
          <w:rFonts w:cs="Arial"/>
          <w:sz w:val="24"/>
          <w:szCs w:val="24"/>
        </w:rPr>
        <w:t xml:space="preserve"> were to change </w:t>
      </w:r>
      <w:r w:rsidR="000E453D">
        <w:rPr>
          <w:rFonts w:cs="Arial"/>
          <w:sz w:val="24"/>
          <w:szCs w:val="24"/>
        </w:rPr>
        <w:t xml:space="preserve">significantly </w:t>
      </w:r>
      <w:r w:rsidR="00C42FCF">
        <w:rPr>
          <w:rFonts w:cs="Arial"/>
          <w:sz w:val="24"/>
          <w:szCs w:val="24"/>
        </w:rPr>
        <w:t xml:space="preserve">over time.  </w:t>
      </w:r>
      <w:r w:rsidRPr="00713BAB">
        <w:rPr>
          <w:rFonts w:cs="Arial"/>
          <w:sz w:val="24"/>
          <w:szCs w:val="24"/>
        </w:rPr>
        <w:t xml:space="preserve">Another important simplifying assumption was that patients who </w:t>
      </w:r>
      <w:r w:rsidR="008E71CF" w:rsidRPr="00713BAB">
        <w:rPr>
          <w:rFonts w:cs="Arial"/>
          <w:sz w:val="24"/>
          <w:szCs w:val="24"/>
        </w:rPr>
        <w:t>were on the</w:t>
      </w:r>
      <w:r w:rsidRPr="00713BAB">
        <w:rPr>
          <w:rFonts w:cs="Arial"/>
          <w:sz w:val="24"/>
          <w:szCs w:val="24"/>
        </w:rPr>
        <w:t xml:space="preserve"> waiting list at the end of the simulation would not receive a transplant in the future. This assumption is unlikely to be met in practice. </w:t>
      </w:r>
      <w:r w:rsidR="00FA5D8F" w:rsidRPr="00713BAB">
        <w:rPr>
          <w:rFonts w:eastAsiaTheme="minorEastAsia" w:cs="Arial"/>
          <w:sz w:val="24"/>
          <w:szCs w:val="24"/>
          <w:lang w:eastAsia="en-GB"/>
        </w:rPr>
        <w:t xml:space="preserve">Survival on the waiting list is on average poorer than survival following transplant, so the likely effect of this assumption is that we have underestimated total QALYs for all allocation schemes. It is difficult to anticipate the net impact of this assumption on the </w:t>
      </w:r>
      <w:r w:rsidR="008E71CF" w:rsidRPr="00713BAB">
        <w:rPr>
          <w:rFonts w:eastAsiaTheme="minorEastAsia" w:cs="Arial"/>
          <w:sz w:val="24"/>
          <w:szCs w:val="24"/>
          <w:lang w:eastAsia="en-GB"/>
        </w:rPr>
        <w:t>cost-effectiveness results</w:t>
      </w:r>
      <w:r w:rsidR="00FA5D8F" w:rsidRPr="00713BAB">
        <w:rPr>
          <w:rFonts w:eastAsiaTheme="minorEastAsia" w:cs="Arial"/>
          <w:sz w:val="24"/>
          <w:szCs w:val="24"/>
          <w:lang w:eastAsia="en-GB"/>
        </w:rPr>
        <w:t xml:space="preserve">. Different </w:t>
      </w:r>
      <w:r w:rsidR="00FA5D8F" w:rsidRPr="00713BAB">
        <w:rPr>
          <w:rFonts w:eastAsiaTheme="minorEastAsia" w:cs="Arial"/>
          <w:sz w:val="24"/>
          <w:szCs w:val="24"/>
          <w:lang w:eastAsia="en-GB"/>
        </w:rPr>
        <w:lastRenderedPageBreak/>
        <w:t>allocation criteria will result in different types of patients receiving transplants and by corollary, the composition of patients who remain on the waiting list will also differ between schemes. Under the waiting-time allocation scheme, patients who remain on the waiting list at the end of the simulation would in practice still have a reasonable prospect of receiving a future transplant as their likelihood of being prioritised for transplant increases with time. In contrast, under the QALY-maximis</w:t>
      </w:r>
      <w:r w:rsidR="008E71CF" w:rsidRPr="00713BAB">
        <w:rPr>
          <w:rFonts w:eastAsiaTheme="minorEastAsia" w:cs="Arial"/>
          <w:sz w:val="24"/>
          <w:szCs w:val="24"/>
          <w:lang w:eastAsia="en-GB"/>
        </w:rPr>
        <w:t>ation</w:t>
      </w:r>
      <w:r w:rsidR="00FA5D8F" w:rsidRPr="00713BAB">
        <w:rPr>
          <w:rFonts w:eastAsiaTheme="minorEastAsia" w:cs="Arial"/>
          <w:sz w:val="24"/>
          <w:szCs w:val="24"/>
          <w:lang w:eastAsia="en-GB"/>
        </w:rPr>
        <w:t xml:space="preserve"> scheme, patients who remain on the waiting list at the end of the simulation may be less likely to receive a future transplant if their expected QALY gains from transplant decrease over time relative to new patients joining the waiting list. Rather than attempt to apply different assumptions to each allocation scheme to project what proportion or which types of patients on the waiting list are likely to receive a future transplant at the end of the simulation, we chose to implement a standardised assumption so as not to confound our ability to observe and compare the effect of the different allocation schemes themselves. Given the importance of this assumption on estimates of QALYs and costs for the total patient population, future research should focus on testing alternative assumptions, for example by exploring if a non-terminating model could achieve a steady-state outcome that can be compared across allocation schemes over a long enough period of time.</w:t>
      </w:r>
      <w:r w:rsidR="00257DDA">
        <w:rPr>
          <w:rFonts w:eastAsiaTheme="minorEastAsia" w:cs="Arial"/>
          <w:sz w:val="24"/>
          <w:szCs w:val="24"/>
          <w:lang w:eastAsia="en-GB"/>
        </w:rPr>
        <w:t xml:space="preserve"> </w:t>
      </w:r>
      <w:r w:rsidR="002D24D9" w:rsidRPr="002D24D9">
        <w:rPr>
          <w:rFonts w:eastAsiaTheme="minorEastAsia" w:cs="Arial"/>
          <w:sz w:val="24"/>
          <w:szCs w:val="24"/>
          <w:lang w:eastAsia="en-GB"/>
        </w:rPr>
        <w:t xml:space="preserve">As with all simulation exercises, </w:t>
      </w:r>
      <w:r w:rsidR="002D24D9">
        <w:rPr>
          <w:rFonts w:eastAsiaTheme="minorEastAsia" w:cs="Arial"/>
          <w:sz w:val="24"/>
          <w:szCs w:val="24"/>
          <w:lang w:eastAsia="en-GB"/>
        </w:rPr>
        <w:t>the need to make</w:t>
      </w:r>
      <w:r w:rsidR="002D24D9" w:rsidRPr="002D24D9">
        <w:rPr>
          <w:rFonts w:eastAsiaTheme="minorEastAsia" w:cs="Arial"/>
          <w:sz w:val="24"/>
          <w:szCs w:val="24"/>
          <w:lang w:eastAsia="en-GB"/>
        </w:rPr>
        <w:t xml:space="preserve"> simplifying </w:t>
      </w:r>
      <w:r w:rsidR="002D24D9">
        <w:rPr>
          <w:rFonts w:eastAsiaTheme="minorEastAsia" w:cs="Arial"/>
          <w:sz w:val="24"/>
          <w:szCs w:val="24"/>
          <w:lang w:eastAsia="en-GB"/>
        </w:rPr>
        <w:t>assumptions may limit the generalisability of the r</w:t>
      </w:r>
      <w:r w:rsidR="002D24D9" w:rsidRPr="002D24D9">
        <w:rPr>
          <w:rFonts w:eastAsiaTheme="minorEastAsia" w:cs="Arial"/>
          <w:sz w:val="24"/>
          <w:szCs w:val="24"/>
          <w:lang w:eastAsia="en-GB"/>
        </w:rPr>
        <w:t>esults to the real world context. With these caveats in mind, simulation modelling is still an important tool that can help increase our understanding of the potential consequences of different approaches to kidney</w:t>
      </w:r>
      <w:r w:rsidR="002D24D9">
        <w:rPr>
          <w:rFonts w:eastAsiaTheme="minorEastAsia" w:cs="Arial"/>
          <w:sz w:val="24"/>
          <w:szCs w:val="24"/>
          <w:lang w:eastAsia="en-GB"/>
        </w:rPr>
        <w:t xml:space="preserve"> </w:t>
      </w:r>
      <w:r w:rsidR="002D24D9" w:rsidRPr="002D24D9">
        <w:rPr>
          <w:rFonts w:eastAsiaTheme="minorEastAsia" w:cs="Arial"/>
          <w:sz w:val="24"/>
          <w:szCs w:val="24"/>
          <w:lang w:eastAsia="en-GB"/>
        </w:rPr>
        <w:t xml:space="preserve">allocation </w:t>
      </w:r>
      <w:r w:rsidR="002D24D9">
        <w:rPr>
          <w:rFonts w:eastAsiaTheme="minorEastAsia" w:cs="Arial"/>
          <w:sz w:val="24"/>
          <w:szCs w:val="24"/>
          <w:lang w:eastAsia="en-GB"/>
        </w:rPr>
        <w:t xml:space="preserve">under the same set of conditions </w:t>
      </w:r>
      <w:r w:rsidR="002D24D9" w:rsidRPr="002D24D9">
        <w:rPr>
          <w:rFonts w:eastAsiaTheme="minorEastAsia" w:cs="Arial"/>
          <w:sz w:val="24"/>
          <w:szCs w:val="24"/>
          <w:lang w:eastAsia="en-GB"/>
        </w:rPr>
        <w:t xml:space="preserve">in </w:t>
      </w:r>
      <w:r w:rsidR="002D24D9">
        <w:rPr>
          <w:rFonts w:eastAsiaTheme="minorEastAsia" w:cs="Arial"/>
          <w:sz w:val="24"/>
          <w:szCs w:val="24"/>
          <w:lang w:eastAsia="en-GB"/>
        </w:rPr>
        <w:t xml:space="preserve">comparison to each </w:t>
      </w:r>
      <w:r w:rsidR="002D24D9" w:rsidRPr="002D24D9">
        <w:rPr>
          <w:rFonts w:eastAsiaTheme="minorEastAsia" w:cs="Arial"/>
          <w:sz w:val="24"/>
          <w:szCs w:val="24"/>
          <w:lang w:eastAsia="en-GB"/>
        </w:rPr>
        <w:t xml:space="preserve">other. </w:t>
      </w:r>
    </w:p>
    <w:p w14:paraId="666944A9" w14:textId="5A79EE06" w:rsidR="00FA5D8F" w:rsidRPr="00713BAB" w:rsidRDefault="00FA5D8F" w:rsidP="002D24D9">
      <w:pPr>
        <w:spacing w:after="100" w:afterAutospacing="1" w:line="480" w:lineRule="auto"/>
        <w:rPr>
          <w:rFonts w:eastAsiaTheme="minorEastAsia" w:cs="Arial"/>
          <w:sz w:val="24"/>
          <w:szCs w:val="24"/>
          <w:lang w:eastAsia="en-GB"/>
        </w:rPr>
      </w:pPr>
      <w:r w:rsidRPr="00713BAB">
        <w:rPr>
          <w:rFonts w:eastAsiaTheme="minorEastAsia" w:cs="Arial"/>
          <w:sz w:val="24"/>
          <w:szCs w:val="24"/>
          <w:lang w:eastAsia="en-GB"/>
        </w:rPr>
        <w:t>Although we chose to report lifetime QALYs and costs as the main outcomes of interest, this simulation exercise was not specifically designed with standard methods for cost-</w:t>
      </w:r>
      <w:r w:rsidRPr="00713BAB">
        <w:rPr>
          <w:rFonts w:eastAsiaTheme="minorEastAsia" w:cs="Arial"/>
          <w:sz w:val="24"/>
          <w:szCs w:val="24"/>
          <w:lang w:eastAsia="en-GB"/>
        </w:rPr>
        <w:lastRenderedPageBreak/>
        <w:t>effectiveness modelling a</w:t>
      </w:r>
      <w:r w:rsidR="002D2CD0">
        <w:rPr>
          <w:rFonts w:eastAsiaTheme="minorEastAsia" w:cs="Arial"/>
          <w:sz w:val="24"/>
          <w:szCs w:val="24"/>
          <w:lang w:eastAsia="en-GB"/>
        </w:rPr>
        <w:t>t the forefront of our approach</w:t>
      </w:r>
      <w:r w:rsidRPr="00713BAB">
        <w:rPr>
          <w:rFonts w:eastAsiaTheme="minorEastAsia" w:cs="Arial"/>
          <w:noProof/>
          <w:sz w:val="24"/>
          <w:szCs w:val="24"/>
          <w:lang w:eastAsia="en-GB"/>
        </w:rPr>
        <w:t>.</w:t>
      </w:r>
      <w:r w:rsidR="002D2CD0" w:rsidRPr="002D2CD0">
        <w:rPr>
          <w:rFonts w:eastAsiaTheme="minorEastAsia" w:cs="Arial"/>
          <w:noProof/>
          <w:sz w:val="24"/>
          <w:szCs w:val="24"/>
          <w:vertAlign w:val="superscript"/>
          <w:lang w:eastAsia="en-GB"/>
        </w:rPr>
        <w:t>2</w:t>
      </w:r>
      <w:r w:rsidR="00C77F10">
        <w:rPr>
          <w:rFonts w:eastAsiaTheme="minorEastAsia" w:cs="Arial"/>
          <w:noProof/>
          <w:sz w:val="24"/>
          <w:szCs w:val="24"/>
          <w:vertAlign w:val="superscript"/>
          <w:lang w:eastAsia="en-GB"/>
        </w:rPr>
        <w:t>2</w:t>
      </w:r>
      <w:r w:rsidRPr="00713BAB">
        <w:rPr>
          <w:rFonts w:eastAsiaTheme="minorEastAsia" w:cs="Arial"/>
          <w:sz w:val="24"/>
          <w:szCs w:val="24"/>
          <w:lang w:eastAsia="en-GB"/>
        </w:rPr>
        <w:t xml:space="preserve"> There were both technical and philosophical reasons that contributed to this decision. During development of the simulation model, primary emphasis was placed on the design, feasibility and coding of the different allocation schemes. Each scheme requires the simulation model to loop through all</w:t>
      </w:r>
      <w:r w:rsidR="002C6378" w:rsidRPr="00713BAB">
        <w:rPr>
          <w:rFonts w:eastAsiaTheme="minorEastAsia" w:cs="Arial"/>
          <w:sz w:val="24"/>
          <w:szCs w:val="24"/>
          <w:lang w:eastAsia="en-GB"/>
        </w:rPr>
        <w:t xml:space="preserve"> </w:t>
      </w:r>
      <w:r w:rsidRPr="00713BAB">
        <w:rPr>
          <w:rFonts w:eastAsiaTheme="minorEastAsia" w:cs="Arial"/>
          <w:sz w:val="24"/>
          <w:szCs w:val="24"/>
          <w:lang w:eastAsia="en-GB"/>
        </w:rPr>
        <w:t>patients on the waiting list in order to evaluate donor-recipient compatibility. In the case of the QALY-maximis</w:t>
      </w:r>
      <w:r w:rsidR="002C6378" w:rsidRPr="00713BAB">
        <w:rPr>
          <w:rFonts w:eastAsiaTheme="minorEastAsia" w:cs="Arial"/>
          <w:sz w:val="24"/>
          <w:szCs w:val="24"/>
          <w:lang w:eastAsia="en-GB"/>
        </w:rPr>
        <w:t>ation</w:t>
      </w:r>
      <w:r w:rsidRPr="00713BAB">
        <w:rPr>
          <w:rFonts w:eastAsiaTheme="minorEastAsia" w:cs="Arial"/>
          <w:sz w:val="24"/>
          <w:szCs w:val="24"/>
          <w:lang w:eastAsia="en-GB"/>
        </w:rPr>
        <w:t xml:space="preserve"> and longevity matching schemes, survival predictions take into account both recipient and donor characteristics and therefore need to be recalculated for all </w:t>
      </w:r>
      <w:r w:rsidR="002C6378" w:rsidRPr="00713BAB">
        <w:rPr>
          <w:rFonts w:eastAsiaTheme="minorEastAsia" w:cs="Arial"/>
          <w:sz w:val="24"/>
          <w:szCs w:val="24"/>
          <w:lang w:eastAsia="en-GB"/>
        </w:rPr>
        <w:t xml:space="preserve">5500 </w:t>
      </w:r>
      <w:r w:rsidRPr="00713BAB">
        <w:rPr>
          <w:rFonts w:eastAsiaTheme="minorEastAsia" w:cs="Arial"/>
          <w:sz w:val="24"/>
          <w:szCs w:val="24"/>
          <w:lang w:eastAsia="en-GB"/>
        </w:rPr>
        <w:t xml:space="preserve">patients on the waiting list each time a donor kidney enters the simulation. The computational burden of the allocation process itself led to long model running times even in the absence of introducing parameter uncertainty and therefore we were unable to perform </w:t>
      </w:r>
      <w:r w:rsidR="002C6378" w:rsidRPr="00713BAB">
        <w:rPr>
          <w:rFonts w:eastAsiaTheme="minorEastAsia" w:cs="Arial"/>
          <w:sz w:val="24"/>
          <w:szCs w:val="24"/>
          <w:lang w:eastAsia="en-GB"/>
        </w:rPr>
        <w:t xml:space="preserve">full </w:t>
      </w:r>
      <w:r w:rsidRPr="00713BAB">
        <w:rPr>
          <w:rFonts w:eastAsiaTheme="minorEastAsia" w:cs="Arial"/>
          <w:sz w:val="24"/>
          <w:szCs w:val="24"/>
          <w:lang w:eastAsia="en-GB"/>
        </w:rPr>
        <w:t xml:space="preserve">probabilistic sensitivity analysis. On a more philosophical note, kidney allocation represents a </w:t>
      </w:r>
      <w:r w:rsidR="00236046">
        <w:rPr>
          <w:rFonts w:eastAsiaTheme="minorEastAsia" w:cs="Arial"/>
          <w:sz w:val="24"/>
          <w:szCs w:val="24"/>
          <w:lang w:eastAsia="en-GB"/>
        </w:rPr>
        <w:t>particular</w:t>
      </w:r>
      <w:r w:rsidRPr="00713BAB">
        <w:rPr>
          <w:rFonts w:eastAsiaTheme="minorEastAsia" w:cs="Arial"/>
          <w:sz w:val="24"/>
          <w:szCs w:val="24"/>
          <w:lang w:eastAsia="en-GB"/>
        </w:rPr>
        <w:t xml:space="preserve"> resource allocation problem constrained not only by a finite healthcare budget but </w:t>
      </w:r>
      <w:r w:rsidR="002C6378" w:rsidRPr="00713BAB">
        <w:rPr>
          <w:rFonts w:eastAsiaTheme="minorEastAsia" w:cs="Arial"/>
          <w:sz w:val="24"/>
          <w:szCs w:val="24"/>
          <w:lang w:eastAsia="en-GB"/>
        </w:rPr>
        <w:t xml:space="preserve">also </w:t>
      </w:r>
      <w:r w:rsidRPr="00713BAB">
        <w:rPr>
          <w:rFonts w:eastAsiaTheme="minorEastAsia" w:cs="Arial"/>
          <w:sz w:val="24"/>
          <w:szCs w:val="24"/>
          <w:lang w:eastAsia="en-GB"/>
        </w:rPr>
        <w:t xml:space="preserve">by a limited supply of donor organs. </w:t>
      </w:r>
      <w:bookmarkStart w:id="40" w:name="_Hlk12483558"/>
      <w:r w:rsidRPr="00713BAB">
        <w:rPr>
          <w:rFonts w:eastAsiaTheme="minorEastAsia" w:cs="Arial"/>
          <w:sz w:val="24"/>
          <w:szCs w:val="24"/>
          <w:lang w:eastAsia="en-GB"/>
        </w:rPr>
        <w:t>Conventional cost-effectiveness methods f</w:t>
      </w:r>
      <w:r w:rsidR="002D2CD0">
        <w:rPr>
          <w:rFonts w:eastAsiaTheme="minorEastAsia" w:cs="Arial"/>
          <w:sz w:val="24"/>
          <w:szCs w:val="24"/>
          <w:lang w:eastAsia="en-GB"/>
        </w:rPr>
        <w:t>ocus on maximising health gains</w:t>
      </w:r>
      <w:r w:rsidRPr="00713BAB">
        <w:rPr>
          <w:rFonts w:eastAsiaTheme="minorEastAsia" w:cs="Arial"/>
          <w:sz w:val="24"/>
          <w:szCs w:val="24"/>
          <w:lang w:eastAsia="en-GB"/>
        </w:rPr>
        <w:t>,</w:t>
      </w:r>
      <w:r w:rsidR="002D2CD0" w:rsidRPr="002D2CD0">
        <w:rPr>
          <w:rFonts w:eastAsiaTheme="minorEastAsia" w:cs="Arial"/>
          <w:sz w:val="24"/>
          <w:szCs w:val="24"/>
          <w:vertAlign w:val="superscript"/>
          <w:lang w:eastAsia="en-GB"/>
        </w:rPr>
        <w:t>2</w:t>
      </w:r>
      <w:r w:rsidR="00C77F10">
        <w:rPr>
          <w:rFonts w:eastAsiaTheme="minorEastAsia" w:cs="Arial"/>
          <w:sz w:val="24"/>
          <w:szCs w:val="24"/>
          <w:vertAlign w:val="superscript"/>
          <w:lang w:eastAsia="en-GB"/>
        </w:rPr>
        <w:t>3</w:t>
      </w:r>
      <w:r w:rsidRPr="00713BAB">
        <w:rPr>
          <w:rFonts w:eastAsiaTheme="minorEastAsia" w:cs="Arial"/>
          <w:sz w:val="24"/>
          <w:szCs w:val="24"/>
          <w:lang w:eastAsia="en-GB"/>
        </w:rPr>
        <w:t xml:space="preserve"> but in the case of kidney allocation it is clear from current policy that maximising health gains is not the only objective. For this reason, we presented incremental cost-effectiveness results </w:t>
      </w:r>
      <w:r w:rsidR="006433B0">
        <w:rPr>
          <w:rFonts w:eastAsiaTheme="minorEastAsia" w:cs="Arial"/>
          <w:sz w:val="24"/>
          <w:szCs w:val="24"/>
          <w:lang w:eastAsia="en-GB"/>
        </w:rPr>
        <w:t>for the</w:t>
      </w:r>
      <w:r w:rsidRPr="00713BAB">
        <w:rPr>
          <w:rFonts w:eastAsiaTheme="minorEastAsia" w:cs="Arial"/>
          <w:sz w:val="24"/>
          <w:szCs w:val="24"/>
          <w:lang w:eastAsia="en-GB"/>
        </w:rPr>
        <w:t xml:space="preserve"> five allocation schemes </w:t>
      </w:r>
      <w:r w:rsidR="006433B0">
        <w:rPr>
          <w:rFonts w:eastAsiaTheme="minorEastAsia" w:cs="Arial"/>
          <w:sz w:val="24"/>
          <w:szCs w:val="24"/>
          <w:lang w:eastAsia="en-GB"/>
        </w:rPr>
        <w:t>but</w:t>
      </w:r>
      <w:r w:rsidR="006433B0" w:rsidRPr="00713BAB">
        <w:rPr>
          <w:rFonts w:eastAsiaTheme="minorEastAsia" w:cs="Arial"/>
          <w:sz w:val="24"/>
          <w:szCs w:val="24"/>
          <w:lang w:eastAsia="en-GB"/>
        </w:rPr>
        <w:t xml:space="preserve"> </w:t>
      </w:r>
      <w:r w:rsidRPr="00713BAB">
        <w:rPr>
          <w:rFonts w:eastAsiaTheme="minorEastAsia" w:cs="Arial"/>
          <w:sz w:val="24"/>
          <w:szCs w:val="24"/>
          <w:lang w:eastAsia="en-GB"/>
        </w:rPr>
        <w:t>refrained from evaluating ICERs with respect to a specific threshold value.</w:t>
      </w:r>
      <w:bookmarkEnd w:id="40"/>
      <w:r w:rsidRPr="00713BAB">
        <w:rPr>
          <w:rFonts w:eastAsiaTheme="minorEastAsia" w:cs="Arial"/>
          <w:sz w:val="24"/>
          <w:szCs w:val="24"/>
          <w:lang w:eastAsia="en-GB"/>
        </w:rPr>
        <w:t xml:space="preserve"> The results of this simulation exercise cannot answer the question about what the objectives of a national kidney allocation scheme </w:t>
      </w:r>
      <w:r w:rsidRPr="00713BAB">
        <w:rPr>
          <w:rFonts w:eastAsiaTheme="minorEastAsia" w:cs="Arial"/>
          <w:i/>
          <w:sz w:val="24"/>
          <w:szCs w:val="24"/>
          <w:lang w:eastAsia="en-GB"/>
        </w:rPr>
        <w:t>should</w:t>
      </w:r>
      <w:r w:rsidRPr="00713BAB">
        <w:rPr>
          <w:rFonts w:eastAsiaTheme="minorEastAsia" w:cs="Arial"/>
          <w:sz w:val="24"/>
          <w:szCs w:val="24"/>
          <w:lang w:eastAsia="en-GB"/>
        </w:rPr>
        <w:t xml:space="preserve"> be, but nonetheless provide insight into the magnitude of QALY and cost differences to inform the discussion about trade-offs associated with alternative allocation concepts from across the equity-efficiency spectrum.</w:t>
      </w:r>
    </w:p>
    <w:p w14:paraId="11AB42FA" w14:textId="5B11069F" w:rsidR="008A66B0" w:rsidRPr="00713BAB" w:rsidRDefault="008A66B0" w:rsidP="00680605">
      <w:pPr>
        <w:spacing w:after="100" w:afterAutospacing="1" w:line="480" w:lineRule="auto"/>
        <w:rPr>
          <w:rFonts w:cs="Arial"/>
          <w:sz w:val="24"/>
          <w:szCs w:val="24"/>
        </w:rPr>
      </w:pPr>
      <w:bookmarkStart w:id="41" w:name="_Hlk12486597"/>
      <w:r w:rsidRPr="00713BAB">
        <w:rPr>
          <w:rFonts w:cs="Arial"/>
          <w:sz w:val="24"/>
          <w:szCs w:val="24"/>
        </w:rPr>
        <w:t xml:space="preserve">The QALY-maximisation approach to kidney allocation was designed to maximise health gains from a limited supply of donor kidneys. This approach yielded the most QALYs for </w:t>
      </w:r>
      <w:r w:rsidRPr="00713BAB">
        <w:rPr>
          <w:rFonts w:cs="Arial"/>
          <w:sz w:val="24"/>
          <w:szCs w:val="24"/>
        </w:rPr>
        <w:lastRenderedPageBreak/>
        <w:t xml:space="preserve">transplant recipients but also resulted in a notable decrease in access to transplantation for older patients. </w:t>
      </w:r>
      <w:bookmarkStart w:id="42" w:name="_Hlk534018147"/>
      <w:r w:rsidR="002C6378" w:rsidRPr="00713BAB">
        <w:rPr>
          <w:rFonts w:cs="Arial"/>
          <w:sz w:val="24"/>
          <w:szCs w:val="24"/>
        </w:rPr>
        <w:t>A</w:t>
      </w:r>
      <w:r w:rsidRPr="00713BAB">
        <w:rPr>
          <w:rFonts w:cs="Arial"/>
          <w:sz w:val="24"/>
          <w:szCs w:val="24"/>
        </w:rPr>
        <w:t xml:space="preserve">lthough the QALY-maximisation approach made more efficient use of a limited number of kidneys, it resulted in greater inequity in terms of both access to transplantation and the distribution of QALYs between transplant recipients and patients who remained on the waiting list. </w:t>
      </w:r>
    </w:p>
    <w:bookmarkEnd w:id="41"/>
    <w:bookmarkEnd w:id="42"/>
    <w:p w14:paraId="72353454" w14:textId="77777777" w:rsidR="008A66B0" w:rsidRPr="00713BAB" w:rsidRDefault="008A66B0" w:rsidP="00680605">
      <w:pPr>
        <w:spacing w:after="100" w:afterAutospacing="1" w:line="480" w:lineRule="auto"/>
        <w:rPr>
          <w:rFonts w:cs="Arial"/>
          <w:sz w:val="24"/>
          <w:szCs w:val="24"/>
        </w:rPr>
      </w:pPr>
      <w:r w:rsidRPr="00713BAB">
        <w:rPr>
          <w:rFonts w:cs="Arial"/>
          <w:sz w:val="24"/>
          <w:szCs w:val="24"/>
        </w:rPr>
        <w:t xml:space="preserve">A different kind of trade-off was evident when we considered the costs associated with each of the approaches to kidney allocation. The 2006 NKAS resulted in a modest increase in total QALYs across all patients compared to the QALY-maximisation approach but also incurred much higher total costs. If the 2006 NKAS is viewed as a compromise between equity and efficiency, then the results of this simulation provide an estimate of the additional cost to the NHS of maintaining greater equity in the allocation of deceased donor kidneys. </w:t>
      </w:r>
    </w:p>
    <w:p w14:paraId="63101C37" w14:textId="77777777" w:rsidR="001F1213" w:rsidRPr="00713BAB" w:rsidRDefault="001F1213" w:rsidP="00680605">
      <w:pPr>
        <w:rPr>
          <w:rFonts w:eastAsiaTheme="minorEastAsia" w:cs="Arial"/>
          <w:b/>
          <w:sz w:val="24"/>
          <w:szCs w:val="24"/>
          <w:lang w:eastAsia="en-GB"/>
        </w:rPr>
      </w:pPr>
      <w:r w:rsidRPr="00713BAB">
        <w:rPr>
          <w:rFonts w:eastAsiaTheme="minorEastAsia" w:cs="Arial"/>
          <w:b/>
          <w:sz w:val="24"/>
          <w:szCs w:val="24"/>
          <w:lang w:eastAsia="en-GB"/>
        </w:rPr>
        <w:br w:type="page"/>
      </w:r>
    </w:p>
    <w:p w14:paraId="45132781" w14:textId="52FF1180" w:rsidR="009C61D0" w:rsidRPr="00713BAB" w:rsidRDefault="009C61D0" w:rsidP="00713BAB">
      <w:pPr>
        <w:spacing w:before="480" w:after="240" w:line="480" w:lineRule="auto"/>
        <w:contextualSpacing/>
        <w:rPr>
          <w:rFonts w:cs="Arial"/>
          <w:b/>
          <w:sz w:val="24"/>
          <w:szCs w:val="24"/>
        </w:rPr>
      </w:pPr>
      <w:r w:rsidRPr="00713BAB">
        <w:rPr>
          <w:rFonts w:cs="Arial"/>
          <w:b/>
          <w:sz w:val="24"/>
          <w:szCs w:val="24"/>
        </w:rPr>
        <w:lastRenderedPageBreak/>
        <w:t>ACKNOWLEDGMENTS</w:t>
      </w:r>
    </w:p>
    <w:p w14:paraId="22F6CC23" w14:textId="4CA73117" w:rsidR="009C61D0" w:rsidRPr="00713BAB" w:rsidRDefault="009C61D0" w:rsidP="009C61D0">
      <w:pPr>
        <w:spacing w:after="240" w:line="480" w:lineRule="auto"/>
        <w:contextualSpacing/>
        <w:rPr>
          <w:rFonts w:cs="Arial"/>
          <w:sz w:val="24"/>
          <w:szCs w:val="24"/>
        </w:rPr>
      </w:pPr>
      <w:r w:rsidRPr="00713BAB">
        <w:rPr>
          <w:rFonts w:eastAsiaTheme="minorEastAsia" w:cs="Arial"/>
          <w:sz w:val="24"/>
          <w:szCs w:val="24"/>
          <w:lang w:eastAsia="en-GB"/>
        </w:rPr>
        <w:t xml:space="preserve">This article presents independent research commissioned by the National Institute for Health Research (NIHR) under the Programme Grant for Applied Research </w:t>
      </w:r>
      <w:bookmarkStart w:id="43" w:name="_Hlk534580908"/>
      <w:r w:rsidRPr="00713BAB">
        <w:rPr>
          <w:rFonts w:eastAsiaTheme="minorEastAsia" w:cs="Arial"/>
          <w:sz w:val="24"/>
          <w:szCs w:val="24"/>
          <w:lang w:eastAsia="en-GB"/>
        </w:rPr>
        <w:t>(RP-PG-0109-10116)</w:t>
      </w:r>
      <w:bookmarkEnd w:id="43"/>
      <w:r w:rsidRPr="00713BAB">
        <w:rPr>
          <w:rFonts w:eastAsiaTheme="minorEastAsia" w:cs="Arial"/>
          <w:sz w:val="24"/>
          <w:szCs w:val="24"/>
          <w:lang w:eastAsia="en-GB"/>
        </w:rPr>
        <w:t xml:space="preserve"> entitled Access to Transplantation and Transplant Outcome Measures (ATTOM). The views expressed in this publication are those of the authors and not necessarily those of the NHS, the NIHR, NHS Blood and Transplant, the UK Renal Registry or the Department of Health.</w:t>
      </w:r>
    </w:p>
    <w:p w14:paraId="7102177B" w14:textId="77777777" w:rsidR="009C61D0" w:rsidRPr="00713BAB" w:rsidRDefault="009C61D0" w:rsidP="009C61D0">
      <w:pPr>
        <w:spacing w:after="240" w:line="480" w:lineRule="auto"/>
        <w:rPr>
          <w:rFonts w:eastAsiaTheme="minorEastAsia" w:cs="Arial"/>
          <w:sz w:val="24"/>
          <w:szCs w:val="24"/>
          <w:lang w:eastAsia="en-GB"/>
        </w:rPr>
      </w:pPr>
      <w:r w:rsidRPr="00713BAB">
        <w:rPr>
          <w:rFonts w:eastAsiaTheme="minorEastAsia" w:cs="Arial"/>
          <w:sz w:val="24"/>
          <w:szCs w:val="24"/>
          <w:lang w:eastAsia="en-GB"/>
        </w:rPr>
        <w:t xml:space="preserve">The authors thank all transplant centres who contributed data to the UK Transplant Registry and all renal centres for providing data to the UK Renal Registry upon which parts of this simulation model are based. We would like to acknowledge Lisa Mumford at NHS Blood and Transplant for facilitating access to data on donor characteristics. We are grateful to SIMUL8 Corporation (www.SIMUL8.com) for providing access to use the software under the PhD Research Scheme and to Tom Stephenson for his support during model development. We would also like to thank Matt Stevenson for providing comments on a draft version of this manuscript. </w:t>
      </w:r>
    </w:p>
    <w:p w14:paraId="42E16040" w14:textId="266056E8" w:rsidR="009C61D0" w:rsidRPr="00713BAB" w:rsidRDefault="009C61D0" w:rsidP="009C61D0">
      <w:pPr>
        <w:spacing w:after="160" w:line="259" w:lineRule="auto"/>
        <w:rPr>
          <w:rFonts w:eastAsiaTheme="minorEastAsia" w:cs="Arial"/>
          <w:b/>
          <w:sz w:val="24"/>
          <w:szCs w:val="24"/>
          <w:lang w:eastAsia="en-GB"/>
        </w:rPr>
      </w:pPr>
      <w:r w:rsidRPr="00713BAB">
        <w:rPr>
          <w:rFonts w:eastAsiaTheme="minorEastAsia" w:cs="Arial"/>
          <w:b/>
          <w:sz w:val="24"/>
          <w:szCs w:val="24"/>
          <w:lang w:eastAsia="en-GB"/>
        </w:rPr>
        <w:br w:type="page"/>
      </w:r>
    </w:p>
    <w:p w14:paraId="73F1D549" w14:textId="6DD54D5A" w:rsidR="001F1213" w:rsidRPr="00713BAB" w:rsidRDefault="001F1213" w:rsidP="001F1213">
      <w:pPr>
        <w:spacing w:before="480" w:after="240" w:line="480" w:lineRule="auto"/>
        <w:rPr>
          <w:rFonts w:eastAsiaTheme="minorEastAsia" w:cs="Arial"/>
          <w:b/>
          <w:sz w:val="24"/>
          <w:szCs w:val="24"/>
          <w:lang w:eastAsia="en-GB"/>
        </w:rPr>
      </w:pPr>
      <w:r w:rsidRPr="00713BAB">
        <w:rPr>
          <w:rFonts w:eastAsiaTheme="minorEastAsia" w:cs="Arial"/>
          <w:b/>
          <w:sz w:val="24"/>
          <w:szCs w:val="24"/>
          <w:lang w:eastAsia="en-GB"/>
        </w:rPr>
        <w:lastRenderedPageBreak/>
        <w:t>REFERENCES</w:t>
      </w:r>
    </w:p>
    <w:p w14:paraId="1F903C5F" w14:textId="5982CA87"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sidRPr="00713BAB">
        <w:rPr>
          <w:rFonts w:eastAsiaTheme="minorEastAsia" w:cs="Arial"/>
          <w:noProof/>
          <w:sz w:val="24"/>
          <w:szCs w:val="24"/>
          <w:lang w:eastAsia="en-GB"/>
        </w:rPr>
        <w:tab/>
        <w:t xml:space="preserve">NHS Blood and Transplant Organ Donation and Transplantation Activity Report </w:t>
      </w:r>
      <w:r w:rsidR="008457CD" w:rsidRPr="00713BAB">
        <w:rPr>
          <w:rFonts w:eastAsiaTheme="minorEastAsia" w:cs="Arial"/>
          <w:noProof/>
          <w:sz w:val="24"/>
          <w:szCs w:val="24"/>
          <w:lang w:eastAsia="en-GB"/>
        </w:rPr>
        <w:t>2016/2017</w:t>
      </w:r>
      <w:r w:rsidRPr="00713BAB">
        <w:rPr>
          <w:rFonts w:eastAsiaTheme="minorEastAsia" w:cs="Arial"/>
          <w:noProof/>
          <w:sz w:val="24"/>
          <w:szCs w:val="24"/>
          <w:lang w:eastAsia="en-GB"/>
        </w:rPr>
        <w:t xml:space="preserve">. Available from: </w:t>
      </w:r>
      <w:r w:rsidR="008457CD" w:rsidRPr="00713BAB">
        <w:rPr>
          <w:rFonts w:eastAsiaTheme="minorEastAsia" w:cs="Arial"/>
          <w:noProof/>
          <w:sz w:val="24"/>
          <w:szCs w:val="24"/>
          <w:lang w:eastAsia="en-GB"/>
        </w:rPr>
        <w:t>https://nhsbtdbe.blob.core.windows.net/umbraco-assets-corp/4607/kidney-annual-report-2016-17.pdf</w:t>
      </w:r>
      <w:r w:rsidRPr="00713BAB">
        <w:rPr>
          <w:rFonts w:eastAsiaTheme="minorEastAsia" w:cs="Arial"/>
          <w:noProof/>
          <w:sz w:val="24"/>
          <w:szCs w:val="24"/>
          <w:lang w:eastAsia="en-GB"/>
        </w:rPr>
        <w:t>.</w:t>
      </w:r>
      <w:r w:rsidR="006D5333" w:rsidRPr="00713BAB">
        <w:rPr>
          <w:rFonts w:eastAsiaTheme="minorEastAsia" w:cs="Arial"/>
          <w:noProof/>
          <w:sz w:val="24"/>
          <w:szCs w:val="24"/>
          <w:lang w:eastAsia="en-GB"/>
        </w:rPr>
        <w:t xml:space="preserve"> [Accessed </w:t>
      </w:r>
      <w:r w:rsidR="0000760B" w:rsidRPr="00713BAB">
        <w:rPr>
          <w:rFonts w:eastAsiaTheme="minorEastAsia" w:cs="Arial"/>
          <w:noProof/>
          <w:sz w:val="24"/>
          <w:szCs w:val="24"/>
          <w:lang w:eastAsia="en-GB"/>
        </w:rPr>
        <w:t>March</w:t>
      </w:r>
      <w:r w:rsidR="006D5333" w:rsidRPr="00713BAB">
        <w:rPr>
          <w:rFonts w:eastAsiaTheme="minorEastAsia" w:cs="Arial"/>
          <w:noProof/>
          <w:sz w:val="24"/>
          <w:szCs w:val="24"/>
          <w:lang w:eastAsia="en-GB"/>
        </w:rPr>
        <w:t xml:space="preserve"> 1</w:t>
      </w:r>
      <w:r w:rsidR="0000760B" w:rsidRPr="00713BAB">
        <w:rPr>
          <w:rFonts w:eastAsiaTheme="minorEastAsia" w:cs="Arial"/>
          <w:noProof/>
          <w:sz w:val="24"/>
          <w:szCs w:val="24"/>
          <w:lang w:eastAsia="en-GB"/>
        </w:rPr>
        <w:t>6</w:t>
      </w:r>
      <w:r w:rsidR="006D5333" w:rsidRPr="00713BAB">
        <w:rPr>
          <w:rFonts w:eastAsiaTheme="minorEastAsia" w:cs="Arial"/>
          <w:noProof/>
          <w:sz w:val="24"/>
          <w:szCs w:val="24"/>
          <w:lang w:eastAsia="en-GB"/>
        </w:rPr>
        <w:t>, 2018]</w:t>
      </w:r>
      <w:r w:rsidR="007E4FB5" w:rsidRPr="00713BAB">
        <w:rPr>
          <w:rFonts w:eastAsiaTheme="minorEastAsia" w:cs="Arial"/>
          <w:noProof/>
          <w:sz w:val="24"/>
          <w:szCs w:val="24"/>
          <w:lang w:eastAsia="en-GB"/>
        </w:rPr>
        <w:t>.</w:t>
      </w:r>
    </w:p>
    <w:p w14:paraId="7B68BCE2" w14:textId="77777777" w:rsidR="001F1213" w:rsidRPr="00713BAB" w:rsidRDefault="001F1213" w:rsidP="00A74C31">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2.</w:t>
      </w:r>
      <w:r w:rsidRPr="00713BAB">
        <w:rPr>
          <w:rFonts w:eastAsiaTheme="minorEastAsia" w:cs="Arial"/>
          <w:noProof/>
          <w:sz w:val="24"/>
          <w:szCs w:val="24"/>
          <w:lang w:eastAsia="en-GB"/>
        </w:rPr>
        <w:tab/>
      </w:r>
      <w:r w:rsidR="00A74C31" w:rsidRPr="00713BAB">
        <w:rPr>
          <w:rFonts w:eastAsiaTheme="minorEastAsia" w:cs="Arial"/>
          <w:noProof/>
          <w:sz w:val="24"/>
          <w:szCs w:val="24"/>
          <w:lang w:eastAsia="en-GB"/>
        </w:rPr>
        <w:t xml:space="preserve">Nelson SD, Tovey GH. National organ matching and distribution service. </w:t>
      </w:r>
      <w:r w:rsidR="00A74C31" w:rsidRPr="00A11E73">
        <w:rPr>
          <w:rFonts w:eastAsiaTheme="minorEastAsia" w:cs="Arial"/>
          <w:i/>
          <w:noProof/>
          <w:sz w:val="24"/>
          <w:szCs w:val="24"/>
          <w:lang w:eastAsia="en-GB"/>
        </w:rPr>
        <w:t>BMJ</w:t>
      </w:r>
      <w:r w:rsidR="00A74C31" w:rsidRPr="00713BAB">
        <w:rPr>
          <w:rFonts w:eastAsiaTheme="minorEastAsia" w:cs="Arial"/>
          <w:noProof/>
          <w:sz w:val="24"/>
          <w:szCs w:val="24"/>
          <w:lang w:eastAsia="en-GB"/>
        </w:rPr>
        <w:t>. 1974;1(5908):622-4.</w:t>
      </w:r>
    </w:p>
    <w:p w14:paraId="7C232907" w14:textId="77777777"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3.</w:t>
      </w:r>
      <w:r w:rsidRPr="00713BAB">
        <w:rPr>
          <w:rFonts w:eastAsiaTheme="minorEastAsia" w:cs="Arial"/>
          <w:noProof/>
          <w:sz w:val="24"/>
          <w:szCs w:val="24"/>
          <w:lang w:eastAsia="en-GB"/>
        </w:rPr>
        <w:tab/>
        <w:t xml:space="preserve">Fuggle SV, Johnson RJ, Rudge CJ, Forsythe JL. Human leukocyte antigen and the allocation of kidneys from cadaver donors in the United Kingdom. </w:t>
      </w:r>
      <w:r w:rsidRPr="00A11E73">
        <w:rPr>
          <w:rFonts w:eastAsiaTheme="minorEastAsia" w:cs="Arial"/>
          <w:i/>
          <w:noProof/>
          <w:sz w:val="24"/>
          <w:szCs w:val="24"/>
          <w:lang w:eastAsia="en-GB"/>
        </w:rPr>
        <w:t>Transplantation</w:t>
      </w:r>
      <w:r w:rsidRPr="00713BAB">
        <w:rPr>
          <w:rFonts w:eastAsiaTheme="minorEastAsia" w:cs="Arial"/>
          <w:noProof/>
          <w:sz w:val="24"/>
          <w:szCs w:val="24"/>
          <w:lang w:eastAsia="en-GB"/>
        </w:rPr>
        <w:t>. 2004;77(4):618-620.</w:t>
      </w:r>
    </w:p>
    <w:p w14:paraId="6BE9E65B" w14:textId="77777777"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4.</w:t>
      </w:r>
      <w:r w:rsidRPr="00713BAB">
        <w:rPr>
          <w:rFonts w:eastAsiaTheme="minorEastAsia" w:cs="Arial"/>
          <w:noProof/>
          <w:sz w:val="24"/>
          <w:szCs w:val="24"/>
          <w:lang w:eastAsia="en-GB"/>
        </w:rPr>
        <w:tab/>
        <w:t xml:space="preserve">Johnson RJ, Fuggle SV, Mumford L, Bradley JA, Forsythe JL, Rudge CJ. A New UK 2006 National Kidney Allocation Scheme for deceased heart-beating donor kidneys. </w:t>
      </w:r>
      <w:r w:rsidRPr="00A11E73">
        <w:rPr>
          <w:rFonts w:eastAsiaTheme="minorEastAsia" w:cs="Arial"/>
          <w:i/>
          <w:noProof/>
          <w:sz w:val="24"/>
          <w:szCs w:val="24"/>
          <w:lang w:eastAsia="en-GB"/>
        </w:rPr>
        <w:t>Transplantation</w:t>
      </w:r>
      <w:r w:rsidRPr="00713BAB">
        <w:rPr>
          <w:rFonts w:eastAsiaTheme="minorEastAsia" w:cs="Arial"/>
          <w:noProof/>
          <w:sz w:val="24"/>
          <w:szCs w:val="24"/>
          <w:lang w:eastAsia="en-GB"/>
        </w:rPr>
        <w:t>. 2010;89(4):387-394.</w:t>
      </w:r>
    </w:p>
    <w:p w14:paraId="073711CB" w14:textId="77777777"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5.</w:t>
      </w:r>
      <w:r w:rsidRPr="00713BAB">
        <w:rPr>
          <w:rFonts w:eastAsiaTheme="minorEastAsia" w:cs="Arial"/>
          <w:noProof/>
          <w:sz w:val="24"/>
          <w:szCs w:val="24"/>
          <w:lang w:eastAsia="en-GB"/>
        </w:rPr>
        <w:tab/>
        <w:t xml:space="preserve">Yuan Y, Gafni A, Russell JD, Ludwin D. Development of a central matching system for the allocation of cadaveric kidneys: a simulation of clinical effectiveness versus equity. </w:t>
      </w:r>
      <w:r w:rsidRPr="00A11E73">
        <w:rPr>
          <w:rFonts w:eastAsiaTheme="minorEastAsia" w:cs="Arial"/>
          <w:i/>
          <w:noProof/>
          <w:sz w:val="24"/>
          <w:szCs w:val="24"/>
          <w:lang w:eastAsia="en-GB"/>
        </w:rPr>
        <w:t>Med Decis Making</w:t>
      </w:r>
      <w:r w:rsidRPr="00713BAB">
        <w:rPr>
          <w:rFonts w:eastAsiaTheme="minorEastAsia" w:cs="Arial"/>
          <w:noProof/>
          <w:sz w:val="24"/>
          <w:szCs w:val="24"/>
          <w:lang w:eastAsia="en-GB"/>
        </w:rPr>
        <w:t>.</w:t>
      </w:r>
      <w:r w:rsidRPr="00713BAB">
        <w:rPr>
          <w:rFonts w:eastAsiaTheme="minorEastAsia" w:cs="Arial"/>
          <w:i/>
          <w:noProof/>
          <w:sz w:val="24"/>
          <w:szCs w:val="24"/>
          <w:lang w:eastAsia="en-GB"/>
        </w:rPr>
        <w:t xml:space="preserve"> </w:t>
      </w:r>
      <w:r w:rsidRPr="00713BAB">
        <w:rPr>
          <w:rFonts w:eastAsiaTheme="minorEastAsia" w:cs="Arial"/>
          <w:noProof/>
          <w:sz w:val="24"/>
          <w:szCs w:val="24"/>
          <w:lang w:eastAsia="en-GB"/>
        </w:rPr>
        <w:t>1994;14(2):124-136.</w:t>
      </w:r>
    </w:p>
    <w:p w14:paraId="66B25F67" w14:textId="7A58BAF1"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6.</w:t>
      </w:r>
      <w:r w:rsidRPr="00713BAB">
        <w:rPr>
          <w:rFonts w:eastAsiaTheme="minorEastAsia" w:cs="Arial"/>
          <w:noProof/>
          <w:sz w:val="24"/>
          <w:szCs w:val="24"/>
          <w:lang w:eastAsia="en-GB"/>
        </w:rPr>
        <w:tab/>
        <w:t xml:space="preserve">Jacquelinet C, Audry B, Golbreich C, </w:t>
      </w:r>
      <w:r w:rsidR="003233CD" w:rsidRPr="00713BAB">
        <w:rPr>
          <w:rFonts w:eastAsiaTheme="minorEastAsia" w:cs="Arial"/>
          <w:noProof/>
          <w:sz w:val="24"/>
          <w:szCs w:val="24"/>
          <w:lang w:eastAsia="en-GB"/>
        </w:rPr>
        <w:t>et al</w:t>
      </w:r>
      <w:r w:rsidRPr="00713BAB">
        <w:rPr>
          <w:rFonts w:eastAsiaTheme="minorEastAsia" w:cs="Arial"/>
          <w:noProof/>
          <w:sz w:val="24"/>
          <w:szCs w:val="24"/>
          <w:lang w:eastAsia="en-GB"/>
        </w:rPr>
        <w:t>. Changing Kidney Allocation Policy in France: the Value of Simulation. AMIA Annu Symp Proc. 2006:374-378.</w:t>
      </w:r>
    </w:p>
    <w:p w14:paraId="6402D745" w14:textId="77777777"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7.</w:t>
      </w:r>
      <w:r w:rsidRPr="00713BAB">
        <w:rPr>
          <w:rFonts w:eastAsiaTheme="minorEastAsia" w:cs="Arial"/>
          <w:noProof/>
          <w:sz w:val="24"/>
          <w:szCs w:val="24"/>
          <w:lang w:eastAsia="en-GB"/>
        </w:rPr>
        <w:tab/>
        <w:t xml:space="preserve">Bertsimas D, Farias VF, Trichakis N. Fairness, Efficiency, and Flexibility in Organ Allocation for Kidney Transplantation. </w:t>
      </w:r>
      <w:r w:rsidRPr="00A11E73">
        <w:rPr>
          <w:rFonts w:eastAsiaTheme="minorEastAsia" w:cs="Arial"/>
          <w:i/>
          <w:noProof/>
          <w:sz w:val="24"/>
          <w:szCs w:val="24"/>
          <w:lang w:eastAsia="en-GB"/>
        </w:rPr>
        <w:t>Oper Res</w:t>
      </w:r>
      <w:r w:rsidRPr="00713BAB">
        <w:rPr>
          <w:rFonts w:eastAsiaTheme="minorEastAsia" w:cs="Arial"/>
          <w:noProof/>
          <w:sz w:val="24"/>
          <w:szCs w:val="24"/>
          <w:lang w:eastAsia="en-GB"/>
        </w:rPr>
        <w:t>.</w:t>
      </w:r>
      <w:r w:rsidRPr="00713BAB">
        <w:rPr>
          <w:rFonts w:eastAsiaTheme="minorEastAsia" w:cs="Arial"/>
          <w:i/>
          <w:noProof/>
          <w:sz w:val="24"/>
          <w:szCs w:val="24"/>
          <w:lang w:eastAsia="en-GB"/>
        </w:rPr>
        <w:t xml:space="preserve"> </w:t>
      </w:r>
      <w:r w:rsidRPr="00713BAB">
        <w:rPr>
          <w:rFonts w:eastAsiaTheme="minorEastAsia" w:cs="Arial"/>
          <w:noProof/>
          <w:sz w:val="24"/>
          <w:szCs w:val="24"/>
          <w:lang w:eastAsia="en-GB"/>
        </w:rPr>
        <w:t>2013;61(1):73-87.</w:t>
      </w:r>
    </w:p>
    <w:p w14:paraId="5C095EA3" w14:textId="1B1101CB" w:rsidR="001F1213" w:rsidRPr="00713BAB" w:rsidRDefault="001F1213"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8.</w:t>
      </w:r>
      <w:r w:rsidRPr="00713BAB">
        <w:rPr>
          <w:rFonts w:eastAsiaTheme="minorEastAsia" w:cs="Arial"/>
          <w:noProof/>
          <w:sz w:val="24"/>
          <w:szCs w:val="24"/>
          <w:lang w:eastAsia="en-GB"/>
        </w:rPr>
        <w:tab/>
        <w:t xml:space="preserve">Wolfe RA, McCullough KP, Schaubel DE, </w:t>
      </w:r>
      <w:r w:rsidR="003233CD" w:rsidRPr="00713BAB">
        <w:rPr>
          <w:rFonts w:eastAsiaTheme="minorEastAsia" w:cs="Arial"/>
          <w:noProof/>
          <w:sz w:val="24"/>
          <w:szCs w:val="24"/>
          <w:lang w:eastAsia="en-GB"/>
        </w:rPr>
        <w:t>et al</w:t>
      </w:r>
      <w:r w:rsidRPr="00713BAB">
        <w:rPr>
          <w:rFonts w:eastAsiaTheme="minorEastAsia" w:cs="Arial"/>
          <w:noProof/>
          <w:sz w:val="24"/>
          <w:szCs w:val="24"/>
          <w:lang w:eastAsia="en-GB"/>
        </w:rPr>
        <w:t xml:space="preserve">. Calculating life years from transplant (LYFT): methods for kidney and kidney-pancreas candidates. </w:t>
      </w:r>
      <w:r w:rsidRPr="00A11E73">
        <w:rPr>
          <w:rFonts w:eastAsiaTheme="minorEastAsia" w:cs="Arial"/>
          <w:i/>
          <w:noProof/>
          <w:sz w:val="24"/>
          <w:szCs w:val="24"/>
          <w:lang w:eastAsia="en-GB"/>
        </w:rPr>
        <w:t>Am J Transplant</w:t>
      </w:r>
      <w:r w:rsidRPr="00713BAB">
        <w:rPr>
          <w:rFonts w:eastAsiaTheme="minorEastAsia" w:cs="Arial"/>
          <w:noProof/>
          <w:sz w:val="24"/>
          <w:szCs w:val="24"/>
          <w:lang w:eastAsia="en-GB"/>
        </w:rPr>
        <w:t>. 2008;8(4):997-1011.</w:t>
      </w:r>
    </w:p>
    <w:p w14:paraId="6E80749E" w14:textId="4FD1FEF2" w:rsidR="001F1213" w:rsidRDefault="001F1213" w:rsidP="001F1213">
      <w:pPr>
        <w:autoSpaceDE w:val="0"/>
        <w:autoSpaceDN w:val="0"/>
        <w:adjustRightInd w:val="0"/>
        <w:spacing w:after="0" w:line="480" w:lineRule="auto"/>
        <w:ind w:left="709" w:hanging="709"/>
        <w:rPr>
          <w:rFonts w:eastAsiaTheme="minorEastAsia" w:cs="Arial"/>
          <w:noProof/>
          <w:sz w:val="24"/>
          <w:szCs w:val="24"/>
          <w:lang w:eastAsia="en-GB"/>
        </w:rPr>
      </w:pPr>
      <w:r w:rsidRPr="00713BAB">
        <w:rPr>
          <w:rFonts w:eastAsiaTheme="minorEastAsia" w:cs="Arial"/>
          <w:noProof/>
          <w:sz w:val="24"/>
          <w:szCs w:val="24"/>
          <w:lang w:eastAsia="en-GB"/>
        </w:rPr>
        <w:lastRenderedPageBreak/>
        <w:t>9.</w:t>
      </w:r>
      <w:r w:rsidRPr="00713BAB">
        <w:rPr>
          <w:rFonts w:eastAsiaTheme="minorEastAsia" w:cs="Arial"/>
          <w:noProof/>
          <w:sz w:val="24"/>
          <w:szCs w:val="24"/>
          <w:lang w:eastAsia="en-GB"/>
        </w:rPr>
        <w:tab/>
        <w:t xml:space="preserve">Israni AK, Salkowski N, Gustafson S, </w:t>
      </w:r>
      <w:r w:rsidR="003233CD" w:rsidRPr="00713BAB">
        <w:rPr>
          <w:rFonts w:eastAsiaTheme="minorEastAsia" w:cs="Arial"/>
          <w:sz w:val="24"/>
          <w:szCs w:val="24"/>
          <w:lang w:eastAsia="en-GB"/>
        </w:rPr>
        <w:t>et al</w:t>
      </w:r>
      <w:r w:rsidRPr="00713BAB">
        <w:rPr>
          <w:rFonts w:eastAsiaTheme="minorEastAsia" w:cs="Arial"/>
          <w:sz w:val="24"/>
          <w:szCs w:val="24"/>
          <w:lang w:eastAsia="en-GB"/>
        </w:rPr>
        <w:t xml:space="preserve">. </w:t>
      </w:r>
      <w:r w:rsidRPr="00713BAB">
        <w:rPr>
          <w:rFonts w:eastAsiaTheme="minorEastAsia" w:cs="Arial"/>
          <w:noProof/>
          <w:sz w:val="24"/>
          <w:szCs w:val="24"/>
          <w:lang w:eastAsia="en-GB"/>
        </w:rPr>
        <w:t xml:space="preserve">New national allocation policy for deceased donor kidneys in the United States and possible effect on patient outcomes. </w:t>
      </w:r>
      <w:r w:rsidRPr="00A11E73">
        <w:rPr>
          <w:rFonts w:eastAsiaTheme="minorEastAsia" w:cs="Arial"/>
          <w:i/>
          <w:sz w:val="24"/>
          <w:szCs w:val="24"/>
          <w:lang w:eastAsia="en-GB"/>
        </w:rPr>
        <w:t>J Am Soc Nephrol</w:t>
      </w:r>
      <w:r w:rsidRPr="00713BAB">
        <w:rPr>
          <w:rFonts w:eastAsiaTheme="minorEastAsia" w:cs="Arial"/>
          <w:sz w:val="24"/>
          <w:szCs w:val="24"/>
          <w:lang w:eastAsia="en-GB"/>
        </w:rPr>
        <w:t>.</w:t>
      </w:r>
      <w:r w:rsidRPr="00713BAB">
        <w:rPr>
          <w:rFonts w:eastAsiaTheme="minorEastAsia" w:cs="Arial"/>
          <w:i/>
          <w:noProof/>
          <w:sz w:val="24"/>
          <w:szCs w:val="24"/>
          <w:lang w:eastAsia="en-GB"/>
        </w:rPr>
        <w:t xml:space="preserve"> </w:t>
      </w:r>
      <w:r w:rsidRPr="00713BAB">
        <w:rPr>
          <w:rFonts w:eastAsiaTheme="minorEastAsia" w:cs="Arial"/>
          <w:noProof/>
          <w:sz w:val="24"/>
          <w:szCs w:val="24"/>
          <w:lang w:eastAsia="en-GB"/>
        </w:rPr>
        <w:t>2014;25(8):1842-1848.</w:t>
      </w:r>
    </w:p>
    <w:p w14:paraId="462E5B70" w14:textId="4774E66C" w:rsidR="008572C4" w:rsidRPr="00713BAB" w:rsidRDefault="008572C4" w:rsidP="008572C4">
      <w:pPr>
        <w:autoSpaceDE w:val="0"/>
        <w:autoSpaceDN w:val="0"/>
        <w:adjustRightInd w:val="0"/>
        <w:spacing w:after="0" w:line="480" w:lineRule="auto"/>
        <w:ind w:left="709" w:hanging="709"/>
        <w:rPr>
          <w:rFonts w:eastAsiaTheme="minorEastAsia" w:cs="Arial"/>
          <w:noProof/>
          <w:sz w:val="24"/>
          <w:szCs w:val="24"/>
          <w:lang w:eastAsia="en-GB"/>
        </w:rPr>
      </w:pPr>
      <w:r>
        <w:rPr>
          <w:rFonts w:eastAsiaTheme="minorEastAsia" w:cs="Arial"/>
          <w:noProof/>
          <w:sz w:val="24"/>
          <w:szCs w:val="24"/>
          <w:lang w:eastAsia="en-GB"/>
        </w:rPr>
        <w:t xml:space="preserve">10. </w:t>
      </w:r>
      <w:r>
        <w:rPr>
          <w:rFonts w:eastAsiaTheme="minorEastAsia" w:cs="Arial"/>
          <w:noProof/>
          <w:sz w:val="24"/>
          <w:szCs w:val="24"/>
          <w:lang w:eastAsia="en-GB"/>
        </w:rPr>
        <w:tab/>
        <w:t>S</w:t>
      </w:r>
      <w:r w:rsidRPr="008572C4">
        <w:rPr>
          <w:rFonts w:eastAsiaTheme="minorEastAsia" w:cs="Arial"/>
          <w:noProof/>
          <w:sz w:val="24"/>
          <w:szCs w:val="24"/>
          <w:lang w:eastAsia="en-GB"/>
        </w:rPr>
        <w:t xml:space="preserve">mith JM, Schnitzler MA, Gustafson SK, </w:t>
      </w:r>
      <w:r>
        <w:rPr>
          <w:rFonts w:eastAsiaTheme="minorEastAsia" w:cs="Arial"/>
          <w:noProof/>
          <w:sz w:val="24"/>
          <w:szCs w:val="24"/>
          <w:lang w:eastAsia="en-GB"/>
        </w:rPr>
        <w:t>et al.</w:t>
      </w:r>
      <w:r w:rsidRPr="008572C4">
        <w:rPr>
          <w:rFonts w:eastAsiaTheme="minorEastAsia" w:cs="Arial"/>
          <w:noProof/>
          <w:sz w:val="24"/>
          <w:szCs w:val="24"/>
          <w:lang w:eastAsia="en-GB"/>
        </w:rPr>
        <w:t xml:space="preserve"> Cost</w:t>
      </w:r>
      <w:r>
        <w:rPr>
          <w:rFonts w:eastAsiaTheme="minorEastAsia" w:cs="Arial"/>
          <w:noProof/>
          <w:sz w:val="24"/>
          <w:szCs w:val="24"/>
          <w:lang w:eastAsia="en-GB"/>
        </w:rPr>
        <w:t xml:space="preserve"> </w:t>
      </w:r>
      <w:r w:rsidRPr="008572C4">
        <w:rPr>
          <w:rFonts w:eastAsiaTheme="minorEastAsia" w:cs="Arial"/>
          <w:noProof/>
          <w:sz w:val="24"/>
          <w:szCs w:val="24"/>
          <w:lang w:eastAsia="en-GB"/>
        </w:rPr>
        <w:t>Implications of New National Allocation Policy for Deceased Donor</w:t>
      </w:r>
      <w:r>
        <w:rPr>
          <w:rFonts w:eastAsiaTheme="minorEastAsia" w:cs="Arial"/>
          <w:noProof/>
          <w:sz w:val="24"/>
          <w:szCs w:val="24"/>
          <w:lang w:eastAsia="en-GB"/>
        </w:rPr>
        <w:t xml:space="preserve"> </w:t>
      </w:r>
      <w:r w:rsidRPr="008572C4">
        <w:rPr>
          <w:rFonts w:eastAsiaTheme="minorEastAsia" w:cs="Arial"/>
          <w:noProof/>
          <w:sz w:val="24"/>
          <w:szCs w:val="24"/>
          <w:lang w:eastAsia="en-GB"/>
        </w:rPr>
        <w:t xml:space="preserve">Kidneys in the United States. </w:t>
      </w:r>
      <w:r w:rsidRPr="008572C4">
        <w:rPr>
          <w:rFonts w:eastAsiaTheme="minorEastAsia" w:cs="Arial"/>
          <w:i/>
          <w:noProof/>
          <w:sz w:val="24"/>
          <w:szCs w:val="24"/>
          <w:lang w:eastAsia="en-GB"/>
        </w:rPr>
        <w:t>Transplantation</w:t>
      </w:r>
      <w:r w:rsidRPr="008572C4">
        <w:rPr>
          <w:rFonts w:eastAsiaTheme="minorEastAsia" w:cs="Arial"/>
          <w:noProof/>
          <w:sz w:val="24"/>
          <w:szCs w:val="24"/>
          <w:lang w:eastAsia="en-GB"/>
        </w:rPr>
        <w:t>. 2016</w:t>
      </w:r>
      <w:r>
        <w:rPr>
          <w:rFonts w:eastAsiaTheme="minorEastAsia" w:cs="Arial"/>
          <w:noProof/>
          <w:sz w:val="24"/>
          <w:szCs w:val="24"/>
          <w:lang w:eastAsia="en-GB"/>
        </w:rPr>
        <w:t>;</w:t>
      </w:r>
      <w:r w:rsidRPr="008572C4">
        <w:rPr>
          <w:rFonts w:eastAsiaTheme="minorEastAsia" w:cs="Arial"/>
          <w:noProof/>
          <w:sz w:val="24"/>
          <w:szCs w:val="24"/>
          <w:lang w:eastAsia="en-GB"/>
        </w:rPr>
        <w:t>100(4):879-85.</w:t>
      </w:r>
    </w:p>
    <w:p w14:paraId="5106D6B2" w14:textId="05A1C584" w:rsidR="001F1213" w:rsidRPr="00713BAB" w:rsidRDefault="008572C4"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1</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 xml:space="preserve">Watson CJ, Johnson RJ, Birch R, Collett D, Bradley JA. A simplified donor risk index for predicting outcome after deceased donor kidney transplantation. </w:t>
      </w:r>
      <w:r w:rsidR="001F1213" w:rsidRPr="00A11E73">
        <w:rPr>
          <w:rFonts w:eastAsiaTheme="minorEastAsia" w:cs="Arial"/>
          <w:i/>
          <w:noProof/>
          <w:sz w:val="24"/>
          <w:szCs w:val="24"/>
          <w:lang w:eastAsia="en-GB"/>
        </w:rPr>
        <w:t>Transplantation</w:t>
      </w:r>
      <w:r w:rsidR="001F1213" w:rsidRPr="00713BAB">
        <w:rPr>
          <w:rFonts w:eastAsiaTheme="minorEastAsia" w:cs="Arial"/>
          <w:noProof/>
          <w:sz w:val="24"/>
          <w:szCs w:val="24"/>
          <w:lang w:eastAsia="en-GB"/>
        </w:rPr>
        <w:t>. 2012;93(3):314-318.</w:t>
      </w:r>
    </w:p>
    <w:p w14:paraId="0E6749E7" w14:textId="2A231D97" w:rsidR="001F1213" w:rsidRPr="00713BAB" w:rsidRDefault="008572C4" w:rsidP="001F1213">
      <w:pPr>
        <w:autoSpaceDE w:val="0"/>
        <w:autoSpaceDN w:val="0"/>
        <w:adjustRightInd w:val="0"/>
        <w:spacing w:after="0" w:line="480" w:lineRule="auto"/>
        <w:ind w:left="709" w:hanging="709"/>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2</w:t>
      </w:r>
      <w:r w:rsidR="001F1213" w:rsidRPr="00713BAB">
        <w:rPr>
          <w:rFonts w:eastAsiaTheme="minorEastAsia" w:cs="Arial"/>
          <w:noProof/>
          <w:sz w:val="24"/>
          <w:szCs w:val="24"/>
          <w:lang w:eastAsia="en-GB"/>
        </w:rPr>
        <w:t>.</w:t>
      </w:r>
      <w:r w:rsidR="001F1213" w:rsidRPr="00713BAB">
        <w:rPr>
          <w:rFonts w:eastAsiaTheme="minorEastAsia" w:cs="Arial"/>
          <w:sz w:val="24"/>
          <w:szCs w:val="24"/>
          <w:lang w:eastAsia="en-GB"/>
        </w:rPr>
        <w:tab/>
        <w:t xml:space="preserve">Li B, Cairns JA, Robb ML, </w:t>
      </w:r>
      <w:r w:rsidR="003233CD" w:rsidRPr="00713BAB">
        <w:rPr>
          <w:rFonts w:eastAsiaTheme="minorEastAsia" w:cs="Arial"/>
          <w:sz w:val="24"/>
          <w:szCs w:val="24"/>
          <w:lang w:eastAsia="en-GB"/>
        </w:rPr>
        <w:t>et al</w:t>
      </w:r>
      <w:r w:rsidR="001F1213" w:rsidRPr="00713BAB">
        <w:rPr>
          <w:rFonts w:eastAsiaTheme="minorEastAsia" w:cs="Arial"/>
          <w:sz w:val="24"/>
          <w:szCs w:val="24"/>
          <w:lang w:eastAsia="en-GB"/>
        </w:rPr>
        <w:t>.</w:t>
      </w:r>
      <w:r w:rsidR="001F1213" w:rsidRPr="00713BAB">
        <w:rPr>
          <w:rFonts w:eastAsiaTheme="minorEastAsia" w:cs="Arial"/>
          <w:noProof/>
          <w:sz w:val="24"/>
          <w:szCs w:val="24"/>
          <w:lang w:eastAsia="en-GB"/>
        </w:rPr>
        <w:t xml:space="preserve"> Predicting patient survival after deceased donor kidney transplantation using flexible parametric modelling. </w:t>
      </w:r>
      <w:r w:rsidR="001F1213" w:rsidRPr="00A11E73">
        <w:rPr>
          <w:rFonts w:eastAsiaTheme="minorEastAsia" w:cs="Arial"/>
          <w:i/>
          <w:noProof/>
          <w:sz w:val="24"/>
          <w:szCs w:val="24"/>
          <w:lang w:eastAsia="en-GB"/>
        </w:rPr>
        <w:t>BMC Nephrol</w:t>
      </w:r>
      <w:r w:rsidR="001F1213" w:rsidRPr="00713BAB">
        <w:rPr>
          <w:rFonts w:eastAsiaTheme="minorEastAsia" w:cs="Arial"/>
          <w:i/>
          <w:noProof/>
          <w:sz w:val="24"/>
          <w:szCs w:val="24"/>
          <w:lang w:eastAsia="en-GB"/>
        </w:rPr>
        <w:t xml:space="preserve">. </w:t>
      </w:r>
      <w:r w:rsidR="001F1213" w:rsidRPr="00713BAB">
        <w:rPr>
          <w:rFonts w:eastAsiaTheme="minorEastAsia" w:cs="Arial"/>
          <w:noProof/>
          <w:sz w:val="24"/>
          <w:szCs w:val="24"/>
          <w:lang w:eastAsia="en-GB"/>
        </w:rPr>
        <w:t>2016;17(1):51.</w:t>
      </w:r>
    </w:p>
    <w:p w14:paraId="2B8AD13A" w14:textId="2032EC05" w:rsidR="001F1213" w:rsidRPr="00713BAB" w:rsidRDefault="008572C4"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3</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 xml:space="preserve">NHS Blood and Transplant Kidney Allocation Policy 186/4.1. Available from: </w:t>
      </w:r>
      <w:hyperlink r:id="rId10" w:history="1">
        <w:r w:rsidR="0000760B" w:rsidRPr="00713BAB">
          <w:rPr>
            <w:rStyle w:val="Hyperlink"/>
            <w:rFonts w:eastAsiaTheme="minorEastAsia" w:cs="Arial"/>
            <w:noProof/>
            <w:color w:val="auto"/>
            <w:sz w:val="24"/>
            <w:szCs w:val="24"/>
            <w:u w:val="none"/>
            <w:lang w:eastAsia="en-GB"/>
          </w:rPr>
          <w:t>http://www.odt.nhs.uk/pdf/kidney_allocation_policy.pdf</w:t>
        </w:r>
      </w:hyperlink>
      <w:r w:rsidR="001F1213" w:rsidRPr="00713BAB">
        <w:rPr>
          <w:rFonts w:eastAsiaTheme="minorEastAsia" w:cs="Arial"/>
          <w:noProof/>
          <w:sz w:val="24"/>
          <w:szCs w:val="24"/>
          <w:lang w:eastAsia="en-GB"/>
        </w:rPr>
        <w:t>.</w:t>
      </w:r>
      <w:r w:rsidR="0000760B" w:rsidRPr="00713BAB">
        <w:rPr>
          <w:rFonts w:eastAsiaTheme="minorEastAsia" w:cs="Arial"/>
          <w:noProof/>
          <w:sz w:val="24"/>
          <w:szCs w:val="24"/>
          <w:lang w:eastAsia="en-GB"/>
        </w:rPr>
        <w:t xml:space="preserve"> [Accessed </w:t>
      </w:r>
      <w:r w:rsidR="007E4FB5" w:rsidRPr="00713BAB">
        <w:rPr>
          <w:rFonts w:eastAsiaTheme="minorEastAsia" w:cs="Arial"/>
          <w:noProof/>
          <w:sz w:val="24"/>
          <w:szCs w:val="24"/>
          <w:lang w:eastAsia="en-GB"/>
        </w:rPr>
        <w:t>April 4, 2016].</w:t>
      </w:r>
    </w:p>
    <w:p w14:paraId="07895B4A" w14:textId="5C953E34" w:rsidR="001F1213" w:rsidRPr="00713BAB" w:rsidRDefault="008572C4"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4</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 xml:space="preserve">Oniscu GC, Ravanan R, Wu D, </w:t>
      </w:r>
      <w:r w:rsidR="003233CD" w:rsidRPr="00713BAB">
        <w:rPr>
          <w:rFonts w:eastAsiaTheme="minorEastAsia" w:cs="Arial"/>
          <w:noProof/>
          <w:sz w:val="24"/>
          <w:szCs w:val="24"/>
          <w:lang w:eastAsia="en-GB"/>
        </w:rPr>
        <w:t>et al</w:t>
      </w:r>
      <w:r w:rsidR="001F1213" w:rsidRPr="00713BAB">
        <w:rPr>
          <w:rFonts w:eastAsiaTheme="minorEastAsia" w:cs="Arial"/>
          <w:noProof/>
          <w:sz w:val="24"/>
          <w:szCs w:val="24"/>
          <w:lang w:eastAsia="en-GB"/>
        </w:rPr>
        <w:t xml:space="preserve">. Access to Transplantation and Transplant Outcome Measures (ATTOM): Study protocol of a UK wide, in-depth, prospective cohort analysis. </w:t>
      </w:r>
      <w:r w:rsidR="001F1213" w:rsidRPr="00A11E73">
        <w:rPr>
          <w:rFonts w:eastAsiaTheme="minorEastAsia" w:cs="Arial"/>
          <w:i/>
          <w:noProof/>
          <w:sz w:val="24"/>
          <w:szCs w:val="24"/>
          <w:lang w:eastAsia="en-GB"/>
        </w:rPr>
        <w:t>BMJ Open</w:t>
      </w:r>
      <w:r w:rsidR="001F1213" w:rsidRPr="00713BAB">
        <w:rPr>
          <w:rFonts w:eastAsiaTheme="minorEastAsia" w:cs="Arial"/>
          <w:noProof/>
          <w:sz w:val="24"/>
          <w:szCs w:val="24"/>
          <w:lang w:eastAsia="en-GB"/>
        </w:rPr>
        <w:t xml:space="preserve">. 2016;6:2 </w:t>
      </w:r>
    </w:p>
    <w:p w14:paraId="3B7FE8B8" w14:textId="6480282E" w:rsidR="001F1213" w:rsidRPr="00713BAB" w:rsidRDefault="008572C4"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5</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 xml:space="preserve">Karnon J, Stahl J, Brennan A, Caro JJ, Mar J, Moller J. Modeling using discrete event simulation: a report of the ISPOR-SMDM Modeling Good Research Practices Task Force-4. </w:t>
      </w:r>
      <w:r w:rsidR="001F1213" w:rsidRPr="00A11E73">
        <w:rPr>
          <w:rFonts w:eastAsiaTheme="minorEastAsia" w:cs="Arial"/>
          <w:i/>
          <w:noProof/>
          <w:sz w:val="24"/>
          <w:szCs w:val="24"/>
          <w:lang w:eastAsia="en-GB"/>
        </w:rPr>
        <w:t>Med Decis Making</w:t>
      </w:r>
      <w:r w:rsidR="001F1213" w:rsidRPr="00713BAB">
        <w:rPr>
          <w:rFonts w:eastAsiaTheme="minorEastAsia" w:cs="Arial"/>
          <w:noProof/>
          <w:sz w:val="24"/>
          <w:szCs w:val="24"/>
          <w:lang w:eastAsia="en-GB"/>
        </w:rPr>
        <w:t>. 2012;32(5):701-711.</w:t>
      </w:r>
    </w:p>
    <w:p w14:paraId="350FB595" w14:textId="23925E01" w:rsidR="001F1213" w:rsidRPr="00713BAB" w:rsidRDefault="008572C4" w:rsidP="001F1213">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6</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Royston P, Lambert  PC. Flexible Parametric Survival Analysis Using Stata: Beyond the Cox Model</w:t>
      </w:r>
      <w:r w:rsidR="001F1213" w:rsidRPr="00713BAB">
        <w:rPr>
          <w:rFonts w:eastAsiaTheme="minorEastAsia" w:cs="Arial"/>
          <w:i/>
          <w:noProof/>
          <w:sz w:val="24"/>
          <w:szCs w:val="24"/>
          <w:lang w:eastAsia="en-GB"/>
        </w:rPr>
        <w:t>.</w:t>
      </w:r>
      <w:r w:rsidR="001F1213" w:rsidRPr="00713BAB">
        <w:rPr>
          <w:rFonts w:eastAsiaTheme="minorEastAsia" w:cs="Arial"/>
          <w:noProof/>
          <w:sz w:val="24"/>
          <w:szCs w:val="24"/>
          <w:lang w:eastAsia="en-GB"/>
        </w:rPr>
        <w:t xml:space="preserve"> College Station, Texas: Stata Press; 2011.</w:t>
      </w:r>
    </w:p>
    <w:p w14:paraId="36B5EDB2" w14:textId="412D186A" w:rsidR="00431AAA" w:rsidRPr="00713BAB" w:rsidRDefault="008572C4" w:rsidP="00431AAA">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lastRenderedPageBreak/>
        <w:t>1</w:t>
      </w:r>
      <w:r>
        <w:rPr>
          <w:rFonts w:eastAsiaTheme="minorEastAsia" w:cs="Arial"/>
          <w:noProof/>
          <w:sz w:val="24"/>
          <w:szCs w:val="24"/>
          <w:lang w:eastAsia="en-GB"/>
        </w:rPr>
        <w:t>7</w:t>
      </w:r>
      <w:r w:rsidR="00431AAA" w:rsidRPr="00713BAB">
        <w:rPr>
          <w:rFonts w:eastAsiaTheme="minorEastAsia" w:cs="Arial"/>
          <w:noProof/>
          <w:sz w:val="24"/>
          <w:szCs w:val="24"/>
          <w:lang w:eastAsia="en-GB"/>
        </w:rPr>
        <w:t>.</w:t>
      </w:r>
      <w:r w:rsidR="00431AAA" w:rsidRPr="00713BAB">
        <w:rPr>
          <w:rFonts w:eastAsiaTheme="minorEastAsia" w:cs="Arial"/>
          <w:noProof/>
          <w:sz w:val="24"/>
          <w:szCs w:val="24"/>
          <w:lang w:eastAsia="en-GB"/>
        </w:rPr>
        <w:tab/>
        <w:t xml:space="preserve">Li B, Cairns JA, Draper H, </w:t>
      </w:r>
      <w:r w:rsidR="003233CD" w:rsidRPr="00713BAB">
        <w:rPr>
          <w:rFonts w:eastAsiaTheme="minorEastAsia" w:cs="Arial"/>
          <w:noProof/>
          <w:sz w:val="24"/>
          <w:szCs w:val="24"/>
          <w:lang w:eastAsia="en-GB"/>
        </w:rPr>
        <w:t>et al</w:t>
      </w:r>
      <w:r w:rsidR="00431AAA" w:rsidRPr="00713BAB">
        <w:rPr>
          <w:rFonts w:eastAsiaTheme="minorEastAsia" w:cs="Arial"/>
          <w:noProof/>
          <w:sz w:val="24"/>
          <w:szCs w:val="24"/>
          <w:lang w:eastAsia="en-GB"/>
        </w:rPr>
        <w:t xml:space="preserve">. Estimating health-state utility values in kidney transplant recipients and waiting-list patients using the EQ-5D-5L. </w:t>
      </w:r>
      <w:r w:rsidR="00431AAA" w:rsidRPr="00A11E73">
        <w:rPr>
          <w:rFonts w:eastAsiaTheme="minorEastAsia" w:cs="Arial"/>
          <w:i/>
          <w:noProof/>
          <w:sz w:val="24"/>
          <w:szCs w:val="24"/>
          <w:lang w:eastAsia="en-GB"/>
        </w:rPr>
        <w:t>Value Health</w:t>
      </w:r>
      <w:r w:rsidR="00431AAA" w:rsidRPr="00713BAB">
        <w:rPr>
          <w:rFonts w:eastAsiaTheme="minorEastAsia" w:cs="Arial"/>
          <w:noProof/>
          <w:sz w:val="24"/>
          <w:szCs w:val="24"/>
          <w:lang w:eastAsia="en-GB"/>
        </w:rPr>
        <w:t>. 2017;20(7):976-984.</w:t>
      </w:r>
    </w:p>
    <w:p w14:paraId="7C6C93F6" w14:textId="19ABD3D3" w:rsidR="001F1213" w:rsidRPr="00713BAB" w:rsidRDefault="008572C4" w:rsidP="001F1213">
      <w:pPr>
        <w:autoSpaceDE w:val="0"/>
        <w:autoSpaceDN w:val="0"/>
        <w:adjustRightInd w:val="0"/>
        <w:spacing w:after="0" w:line="480" w:lineRule="auto"/>
        <w:ind w:left="709" w:hanging="709"/>
        <w:rPr>
          <w:rFonts w:eastAsiaTheme="minorEastAsia" w:cs="Arial"/>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8</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t xml:space="preserve">Li B, Cairns JA, Fotheringham J, </w:t>
      </w:r>
      <w:r w:rsidR="003233CD" w:rsidRPr="00713BAB">
        <w:rPr>
          <w:rFonts w:eastAsiaTheme="minorEastAsia" w:cs="Arial"/>
          <w:noProof/>
          <w:sz w:val="24"/>
          <w:szCs w:val="24"/>
          <w:lang w:eastAsia="en-GB"/>
        </w:rPr>
        <w:t>et al</w:t>
      </w:r>
      <w:r w:rsidR="001F1213" w:rsidRPr="00713BAB">
        <w:rPr>
          <w:rFonts w:eastAsiaTheme="minorEastAsia" w:cs="Arial"/>
          <w:noProof/>
          <w:sz w:val="24"/>
          <w:szCs w:val="24"/>
          <w:lang w:eastAsia="en-GB"/>
        </w:rPr>
        <w:t xml:space="preserve">. Understanding cost of care for patients on renal replacement therapy: looking beyond fixed tariffs. </w:t>
      </w:r>
      <w:r w:rsidR="001F1213" w:rsidRPr="00A11E73">
        <w:rPr>
          <w:rFonts w:eastAsiaTheme="minorEastAsia" w:cs="Arial"/>
          <w:i/>
          <w:sz w:val="24"/>
          <w:szCs w:val="24"/>
          <w:lang w:eastAsia="en-GB"/>
        </w:rPr>
        <w:t>Nephrol Dial Transplant</w:t>
      </w:r>
      <w:r w:rsidR="001F1213" w:rsidRPr="00713BAB">
        <w:rPr>
          <w:rFonts w:eastAsiaTheme="minorEastAsia" w:cs="Arial"/>
          <w:sz w:val="24"/>
          <w:szCs w:val="24"/>
          <w:lang w:eastAsia="en-GB"/>
        </w:rPr>
        <w:t>.</w:t>
      </w:r>
      <w:r w:rsidR="001F1213" w:rsidRPr="00713BAB">
        <w:rPr>
          <w:rFonts w:eastAsiaTheme="minorEastAsia" w:cs="Arial"/>
          <w:noProof/>
          <w:sz w:val="24"/>
          <w:szCs w:val="24"/>
          <w:lang w:eastAsia="en-GB"/>
        </w:rPr>
        <w:t xml:space="preserve"> 2015;30(10):1726-1734.</w:t>
      </w:r>
      <w:r w:rsidR="001F1213" w:rsidRPr="00713BAB">
        <w:rPr>
          <w:rFonts w:eastAsiaTheme="minorEastAsia" w:cs="Arial"/>
          <w:sz w:val="24"/>
          <w:szCs w:val="24"/>
          <w:lang w:eastAsia="en-GB"/>
        </w:rPr>
        <w:t xml:space="preserve"> </w:t>
      </w:r>
    </w:p>
    <w:p w14:paraId="6C753D73" w14:textId="7D777F1F" w:rsidR="001F1213" w:rsidRPr="00713BAB" w:rsidRDefault="008572C4" w:rsidP="007E4FB5">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1</w:t>
      </w:r>
      <w:r>
        <w:rPr>
          <w:rFonts w:eastAsiaTheme="minorEastAsia" w:cs="Arial"/>
          <w:noProof/>
          <w:sz w:val="24"/>
          <w:szCs w:val="24"/>
          <w:lang w:eastAsia="en-GB"/>
        </w:rPr>
        <w:t>9</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r>
      <w:r w:rsidR="007E4FB5" w:rsidRPr="00713BAB">
        <w:rPr>
          <w:rFonts w:eastAsiaTheme="minorEastAsia" w:cs="Arial"/>
          <w:noProof/>
          <w:sz w:val="24"/>
          <w:szCs w:val="24"/>
          <w:lang w:eastAsia="en-GB"/>
        </w:rPr>
        <w:t xml:space="preserve">Li B, Cairns J, Fotheringham J, Ravanan R. Predicting hospital costs for patients receiving renal replacement therapy to inform an economic evaluation. </w:t>
      </w:r>
      <w:r w:rsidR="007E4FB5" w:rsidRPr="00A11E73">
        <w:rPr>
          <w:rFonts w:eastAsiaTheme="minorEastAsia" w:cs="Arial"/>
          <w:i/>
          <w:noProof/>
          <w:sz w:val="24"/>
          <w:szCs w:val="24"/>
          <w:lang w:eastAsia="en-GB"/>
        </w:rPr>
        <w:t>Eur J Health Econ</w:t>
      </w:r>
      <w:r w:rsidR="007E4FB5" w:rsidRPr="00713BAB">
        <w:rPr>
          <w:rFonts w:eastAsiaTheme="minorEastAsia" w:cs="Arial"/>
          <w:noProof/>
          <w:sz w:val="24"/>
          <w:szCs w:val="24"/>
          <w:lang w:eastAsia="en-GB"/>
        </w:rPr>
        <w:t>. 2016;17(6):659-68.</w:t>
      </w:r>
    </w:p>
    <w:p w14:paraId="38B03748" w14:textId="0DAC372F" w:rsidR="007E4FB5" w:rsidRPr="00713BAB" w:rsidRDefault="008572C4" w:rsidP="007E4FB5">
      <w:pPr>
        <w:spacing w:after="0" w:line="480" w:lineRule="auto"/>
        <w:ind w:left="720" w:hanging="720"/>
        <w:rPr>
          <w:rFonts w:eastAsiaTheme="minorEastAsia" w:cs="Arial"/>
          <w:noProof/>
          <w:sz w:val="24"/>
          <w:szCs w:val="24"/>
          <w:lang w:eastAsia="en-GB"/>
        </w:rPr>
      </w:pPr>
      <w:r>
        <w:rPr>
          <w:rFonts w:eastAsiaTheme="minorEastAsia" w:cs="Arial"/>
          <w:noProof/>
          <w:sz w:val="24"/>
          <w:szCs w:val="24"/>
          <w:lang w:eastAsia="en-GB"/>
        </w:rPr>
        <w:t>20</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r>
      <w:r w:rsidR="0000760B" w:rsidRPr="00713BAB">
        <w:rPr>
          <w:rFonts w:eastAsiaTheme="minorEastAsia" w:cs="Arial"/>
          <w:noProof/>
          <w:sz w:val="24"/>
          <w:szCs w:val="24"/>
          <w:lang w:eastAsia="en-GB"/>
        </w:rPr>
        <w:t xml:space="preserve">Jones-Hughes T, Snowsill T, Haasova M, </w:t>
      </w:r>
      <w:r w:rsidR="007E4FB5" w:rsidRPr="00713BAB">
        <w:rPr>
          <w:rFonts w:eastAsiaTheme="minorEastAsia" w:cs="Arial"/>
          <w:noProof/>
          <w:sz w:val="24"/>
          <w:szCs w:val="24"/>
          <w:lang w:eastAsia="en-GB"/>
        </w:rPr>
        <w:t>et al</w:t>
      </w:r>
      <w:r w:rsidR="0000760B" w:rsidRPr="00713BAB">
        <w:rPr>
          <w:rFonts w:eastAsiaTheme="minorEastAsia" w:cs="Arial"/>
          <w:noProof/>
          <w:sz w:val="24"/>
          <w:szCs w:val="24"/>
          <w:lang w:eastAsia="en-GB"/>
        </w:rPr>
        <w:t>. Immunosuppressive therapy for kidney</w:t>
      </w:r>
      <w:r w:rsidR="007E4FB5" w:rsidRPr="00713BAB">
        <w:rPr>
          <w:rFonts w:eastAsiaTheme="minorEastAsia" w:cs="Arial"/>
          <w:noProof/>
          <w:sz w:val="24"/>
          <w:szCs w:val="24"/>
          <w:lang w:eastAsia="en-GB"/>
        </w:rPr>
        <w:t xml:space="preserve"> </w:t>
      </w:r>
      <w:r w:rsidR="0000760B" w:rsidRPr="00713BAB">
        <w:rPr>
          <w:rFonts w:eastAsiaTheme="minorEastAsia" w:cs="Arial"/>
          <w:noProof/>
          <w:sz w:val="24"/>
          <w:szCs w:val="24"/>
          <w:lang w:eastAsia="en-GB"/>
        </w:rPr>
        <w:t xml:space="preserve">transplantation in adults: a systematic review and economic model. </w:t>
      </w:r>
      <w:r w:rsidR="0000760B" w:rsidRPr="00A11E73">
        <w:rPr>
          <w:rFonts w:eastAsiaTheme="minorEastAsia" w:cs="Arial"/>
          <w:i/>
          <w:noProof/>
          <w:sz w:val="24"/>
          <w:szCs w:val="24"/>
          <w:lang w:eastAsia="en-GB"/>
        </w:rPr>
        <w:t>Health Technol</w:t>
      </w:r>
      <w:r w:rsidR="007E4FB5" w:rsidRPr="00A11E73">
        <w:rPr>
          <w:rFonts w:eastAsiaTheme="minorEastAsia" w:cs="Arial"/>
          <w:i/>
          <w:noProof/>
          <w:sz w:val="24"/>
          <w:szCs w:val="24"/>
          <w:lang w:eastAsia="en-GB"/>
        </w:rPr>
        <w:t xml:space="preserve"> </w:t>
      </w:r>
      <w:r w:rsidR="0000760B" w:rsidRPr="00A11E73">
        <w:rPr>
          <w:rFonts w:eastAsiaTheme="minorEastAsia" w:cs="Arial"/>
          <w:i/>
          <w:noProof/>
          <w:sz w:val="24"/>
          <w:szCs w:val="24"/>
          <w:lang w:eastAsia="en-GB"/>
        </w:rPr>
        <w:t>Assess</w:t>
      </w:r>
      <w:r w:rsidR="0000760B" w:rsidRPr="00713BAB">
        <w:rPr>
          <w:rFonts w:eastAsiaTheme="minorEastAsia" w:cs="Arial"/>
          <w:noProof/>
          <w:sz w:val="24"/>
          <w:szCs w:val="24"/>
          <w:lang w:eastAsia="en-GB"/>
        </w:rPr>
        <w:t>. 2016;20(62):1-594.</w:t>
      </w:r>
    </w:p>
    <w:p w14:paraId="4B962557" w14:textId="22CDC923" w:rsidR="006B4890" w:rsidRPr="00713BAB" w:rsidRDefault="00DB0FD8" w:rsidP="007E4FB5">
      <w:pPr>
        <w:spacing w:after="0" w:line="480" w:lineRule="auto"/>
        <w:ind w:left="720" w:hanging="720"/>
        <w:rPr>
          <w:rStyle w:val="mixed-citation"/>
          <w:rFonts w:eastAsiaTheme="minorEastAsia" w:cs="Arial"/>
          <w:noProof/>
          <w:sz w:val="24"/>
          <w:szCs w:val="24"/>
          <w:lang w:eastAsia="en-GB"/>
        </w:rPr>
      </w:pPr>
      <w:r w:rsidRPr="00713BAB">
        <w:rPr>
          <w:rFonts w:eastAsiaTheme="minorEastAsia" w:cs="Arial"/>
          <w:noProof/>
          <w:sz w:val="24"/>
          <w:szCs w:val="24"/>
          <w:lang w:eastAsia="en-GB"/>
        </w:rPr>
        <w:t>2</w:t>
      </w:r>
      <w:r w:rsidR="008572C4">
        <w:rPr>
          <w:rFonts w:eastAsiaTheme="minorEastAsia" w:cs="Arial"/>
          <w:noProof/>
          <w:sz w:val="24"/>
          <w:szCs w:val="24"/>
          <w:lang w:eastAsia="en-GB"/>
        </w:rPr>
        <w:t>1</w:t>
      </w:r>
      <w:r w:rsidR="001F1213" w:rsidRPr="00713BAB">
        <w:rPr>
          <w:rFonts w:eastAsiaTheme="minorEastAsia" w:cs="Arial"/>
          <w:noProof/>
          <w:sz w:val="24"/>
          <w:szCs w:val="24"/>
          <w:lang w:eastAsia="en-GB"/>
        </w:rPr>
        <w:t>.</w:t>
      </w:r>
      <w:r w:rsidR="001F1213" w:rsidRPr="00713BAB">
        <w:rPr>
          <w:rFonts w:eastAsiaTheme="minorEastAsia" w:cs="Arial"/>
          <w:noProof/>
          <w:sz w:val="24"/>
          <w:szCs w:val="24"/>
          <w:lang w:eastAsia="en-GB"/>
        </w:rPr>
        <w:tab/>
      </w:r>
      <w:r w:rsidR="006B4890" w:rsidRPr="00713BAB">
        <w:rPr>
          <w:rStyle w:val="mixed-citation"/>
          <w:rFonts w:cs="Arial"/>
          <w:sz w:val="24"/>
          <w:szCs w:val="24"/>
        </w:rPr>
        <w:t xml:space="preserve">National Institute for Health and Care Excellence. Guide to the methods of technology appraisal. London; 2013. Available from: </w:t>
      </w:r>
      <w:hyperlink r:id="rId11" w:history="1">
        <w:r w:rsidR="006B4890" w:rsidRPr="00713BAB">
          <w:rPr>
            <w:rStyle w:val="Hyperlink"/>
            <w:rFonts w:cs="Arial"/>
            <w:color w:val="auto"/>
            <w:sz w:val="24"/>
            <w:szCs w:val="24"/>
            <w:u w:val="none"/>
          </w:rPr>
          <w:t>https://www.nice.org.uk/process/pmg9/chapter/the-reference-case</w:t>
        </w:r>
      </w:hyperlink>
      <w:r w:rsidR="006D5333" w:rsidRPr="00713BAB">
        <w:rPr>
          <w:rStyle w:val="mixed-citation"/>
          <w:rFonts w:cs="Arial"/>
          <w:sz w:val="24"/>
          <w:szCs w:val="24"/>
        </w:rPr>
        <w:t>. [Accessed July 22, 2016]</w:t>
      </w:r>
    </w:p>
    <w:p w14:paraId="0E4792F5" w14:textId="4BAA0CFF" w:rsidR="002C6378" w:rsidRPr="00713BAB" w:rsidRDefault="006B4890" w:rsidP="002C6378">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2</w:t>
      </w:r>
      <w:r w:rsidR="008572C4">
        <w:rPr>
          <w:rFonts w:eastAsiaTheme="minorEastAsia" w:cs="Arial"/>
          <w:noProof/>
          <w:sz w:val="24"/>
          <w:szCs w:val="24"/>
          <w:lang w:eastAsia="en-GB"/>
        </w:rPr>
        <w:t>2</w:t>
      </w:r>
      <w:r w:rsidRPr="00713BAB">
        <w:rPr>
          <w:rFonts w:eastAsiaTheme="minorEastAsia" w:cs="Arial"/>
          <w:noProof/>
          <w:sz w:val="24"/>
          <w:szCs w:val="24"/>
          <w:lang w:eastAsia="en-GB"/>
        </w:rPr>
        <w:t>.</w:t>
      </w:r>
      <w:r w:rsidRPr="00713BAB">
        <w:rPr>
          <w:rFonts w:eastAsiaTheme="minorEastAsia" w:cs="Arial"/>
          <w:noProof/>
          <w:sz w:val="24"/>
          <w:szCs w:val="24"/>
          <w:lang w:eastAsia="en-GB"/>
        </w:rPr>
        <w:tab/>
      </w:r>
      <w:r w:rsidR="001F1213" w:rsidRPr="00713BAB">
        <w:rPr>
          <w:rFonts w:eastAsiaTheme="minorEastAsia" w:cs="Arial"/>
          <w:noProof/>
          <w:sz w:val="24"/>
          <w:szCs w:val="24"/>
          <w:lang w:eastAsia="en-GB"/>
        </w:rPr>
        <w:t xml:space="preserve">Davis S, Stevenson M, Tappenden, P, Wailoo AJ. NICE DSU Technical Support Document 15: Cost-effectiveness modelling using patient-level simulation. 2014. Available from </w:t>
      </w:r>
      <w:hyperlink r:id="rId12" w:history="1">
        <w:r w:rsidR="002C6378" w:rsidRPr="00713BAB">
          <w:rPr>
            <w:rStyle w:val="Hyperlink"/>
            <w:rFonts w:eastAsiaTheme="minorEastAsia" w:cs="Arial"/>
            <w:noProof/>
            <w:color w:val="auto"/>
            <w:sz w:val="24"/>
            <w:szCs w:val="24"/>
            <w:u w:val="none"/>
            <w:lang w:eastAsia="en-GB"/>
          </w:rPr>
          <w:t>http://www.nicedsu.org.uk</w:t>
        </w:r>
      </w:hyperlink>
      <w:r w:rsidR="001F1213" w:rsidRPr="00713BAB">
        <w:rPr>
          <w:rFonts w:eastAsiaTheme="minorEastAsia" w:cs="Arial"/>
          <w:noProof/>
          <w:sz w:val="24"/>
          <w:szCs w:val="24"/>
          <w:lang w:eastAsia="en-GB"/>
        </w:rPr>
        <w:t>.</w:t>
      </w:r>
      <w:r w:rsidR="006D5333" w:rsidRPr="00713BAB">
        <w:rPr>
          <w:rFonts w:eastAsiaTheme="minorEastAsia" w:cs="Arial"/>
          <w:noProof/>
          <w:sz w:val="24"/>
          <w:szCs w:val="24"/>
          <w:lang w:eastAsia="en-GB"/>
        </w:rPr>
        <w:t xml:space="preserve"> [Accessed </w:t>
      </w:r>
      <w:r w:rsidR="006D5333" w:rsidRPr="00713BAB">
        <w:rPr>
          <w:rStyle w:val="mixed-citation"/>
          <w:rFonts w:cs="Arial"/>
          <w:sz w:val="24"/>
          <w:szCs w:val="24"/>
        </w:rPr>
        <w:t>July 22, 2016</w:t>
      </w:r>
      <w:r w:rsidR="006D5333" w:rsidRPr="00713BAB">
        <w:rPr>
          <w:rFonts w:eastAsiaTheme="minorEastAsia" w:cs="Arial"/>
          <w:noProof/>
          <w:sz w:val="24"/>
          <w:szCs w:val="24"/>
          <w:lang w:eastAsia="en-GB"/>
        </w:rPr>
        <w:t>]</w:t>
      </w:r>
    </w:p>
    <w:p w14:paraId="36DD2443" w14:textId="55C15ED6" w:rsidR="001F1213" w:rsidRPr="00713BAB" w:rsidRDefault="001F1213" w:rsidP="002C6378">
      <w:pPr>
        <w:spacing w:after="0" w:line="480" w:lineRule="auto"/>
        <w:ind w:left="720" w:hanging="720"/>
        <w:rPr>
          <w:rFonts w:eastAsiaTheme="minorEastAsia" w:cs="Arial"/>
          <w:noProof/>
          <w:sz w:val="24"/>
          <w:szCs w:val="24"/>
          <w:lang w:eastAsia="en-GB"/>
        </w:rPr>
      </w:pPr>
      <w:r w:rsidRPr="00713BAB">
        <w:rPr>
          <w:rFonts w:eastAsiaTheme="minorEastAsia" w:cs="Arial"/>
          <w:noProof/>
          <w:sz w:val="24"/>
          <w:szCs w:val="24"/>
          <w:lang w:eastAsia="en-GB"/>
        </w:rPr>
        <w:t>2</w:t>
      </w:r>
      <w:r w:rsidR="008572C4">
        <w:rPr>
          <w:rFonts w:eastAsiaTheme="minorEastAsia" w:cs="Arial"/>
          <w:noProof/>
          <w:sz w:val="24"/>
          <w:szCs w:val="24"/>
          <w:lang w:eastAsia="en-GB"/>
        </w:rPr>
        <w:t>3</w:t>
      </w:r>
      <w:r w:rsidRPr="00713BAB">
        <w:rPr>
          <w:rFonts w:eastAsiaTheme="minorEastAsia" w:cs="Arial"/>
          <w:noProof/>
          <w:sz w:val="24"/>
          <w:szCs w:val="24"/>
          <w:lang w:eastAsia="en-GB"/>
        </w:rPr>
        <w:t>.</w:t>
      </w:r>
      <w:r w:rsidRPr="00713BAB">
        <w:rPr>
          <w:rFonts w:eastAsiaTheme="minorEastAsia" w:cs="Arial"/>
          <w:noProof/>
          <w:sz w:val="24"/>
          <w:szCs w:val="24"/>
          <w:lang w:eastAsia="en-GB"/>
        </w:rPr>
        <w:tab/>
        <w:t xml:space="preserve">Cookson R, Drummond M, Weatherly H. Explicit incorporation of equity considerations into economic evaluation of public health interventions. </w:t>
      </w:r>
      <w:r w:rsidRPr="00A11E73">
        <w:rPr>
          <w:rFonts w:eastAsiaTheme="minorEastAsia" w:cs="Arial"/>
          <w:i/>
          <w:noProof/>
          <w:sz w:val="24"/>
          <w:szCs w:val="24"/>
          <w:lang w:eastAsia="en-GB"/>
        </w:rPr>
        <w:t>Health Econ Policy Law</w:t>
      </w:r>
      <w:r w:rsidRPr="00713BAB">
        <w:rPr>
          <w:rFonts w:eastAsiaTheme="minorEastAsia" w:cs="Arial"/>
          <w:i/>
          <w:noProof/>
          <w:sz w:val="24"/>
          <w:szCs w:val="24"/>
          <w:lang w:eastAsia="en-GB"/>
        </w:rPr>
        <w:t xml:space="preserve">. </w:t>
      </w:r>
      <w:r w:rsidRPr="00713BAB">
        <w:rPr>
          <w:rFonts w:eastAsiaTheme="minorEastAsia" w:cs="Arial"/>
          <w:noProof/>
          <w:sz w:val="24"/>
          <w:szCs w:val="24"/>
          <w:lang w:eastAsia="en-GB"/>
        </w:rPr>
        <w:t>2009;</w:t>
      </w:r>
      <w:r w:rsidR="007E4FB5" w:rsidRPr="00713BAB">
        <w:rPr>
          <w:rFonts w:eastAsiaTheme="minorEastAsia" w:cs="Arial"/>
          <w:noProof/>
          <w:sz w:val="24"/>
          <w:szCs w:val="24"/>
          <w:lang w:eastAsia="en-GB"/>
        </w:rPr>
        <w:t>4</w:t>
      </w:r>
      <w:r w:rsidRPr="00713BAB">
        <w:rPr>
          <w:rFonts w:eastAsiaTheme="minorEastAsia" w:cs="Arial"/>
          <w:noProof/>
          <w:sz w:val="24"/>
          <w:szCs w:val="24"/>
          <w:lang w:eastAsia="en-GB"/>
        </w:rPr>
        <w:t>(</w:t>
      </w:r>
      <w:r w:rsidR="007E4FB5" w:rsidRPr="00713BAB">
        <w:rPr>
          <w:rFonts w:eastAsiaTheme="minorEastAsia" w:cs="Arial"/>
          <w:noProof/>
          <w:sz w:val="24"/>
          <w:szCs w:val="24"/>
          <w:lang w:eastAsia="en-GB"/>
        </w:rPr>
        <w:t>2</w:t>
      </w:r>
      <w:r w:rsidRPr="00713BAB">
        <w:rPr>
          <w:rFonts w:eastAsiaTheme="minorEastAsia" w:cs="Arial"/>
          <w:noProof/>
          <w:sz w:val="24"/>
          <w:szCs w:val="24"/>
          <w:lang w:eastAsia="en-GB"/>
        </w:rPr>
        <w:t>):231-245.</w:t>
      </w:r>
    </w:p>
    <w:p w14:paraId="28FE8374" w14:textId="0CF43E3A" w:rsidR="002B68CC" w:rsidRPr="00CB102D" w:rsidRDefault="000C75D8" w:rsidP="008572C4">
      <w:pPr>
        <w:rPr>
          <w:rFonts w:cs="Arial"/>
        </w:rPr>
      </w:pPr>
      <w:r w:rsidRPr="00713BAB">
        <w:rPr>
          <w:rFonts w:cs="Arial"/>
          <w:sz w:val="24"/>
          <w:szCs w:val="24"/>
        </w:rPr>
        <w:br/>
      </w:r>
    </w:p>
    <w:p w14:paraId="44E5208D" w14:textId="286CD56C" w:rsidR="000C75D8" w:rsidRPr="00CB102D" w:rsidRDefault="000A1B86" w:rsidP="000C75D8">
      <w:pPr>
        <w:rPr>
          <w:rFonts w:eastAsiaTheme="minorEastAsia" w:cs="Arial"/>
          <w:color w:val="000000"/>
          <w:sz w:val="24"/>
          <w:shd w:val="clear" w:color="auto" w:fill="FFFFFF"/>
          <w:lang w:eastAsia="en-GB"/>
        </w:rPr>
      </w:pPr>
      <w:r>
        <w:rPr>
          <w:rFonts w:eastAsiaTheme="minorEastAsia" w:cs="Arial"/>
          <w:b/>
          <w:color w:val="000000"/>
          <w:sz w:val="24"/>
          <w:shd w:val="clear" w:color="auto" w:fill="FFFFFF"/>
          <w:lang w:eastAsia="en-GB"/>
        </w:rPr>
        <w:lastRenderedPageBreak/>
        <w:t>Table 1.</w:t>
      </w:r>
      <w:r w:rsidR="007E0478" w:rsidRPr="00CB102D">
        <w:rPr>
          <w:rFonts w:eastAsiaTheme="minorEastAsia" w:cs="Arial"/>
          <w:b/>
          <w:color w:val="000000"/>
          <w:sz w:val="24"/>
          <w:shd w:val="clear" w:color="auto" w:fill="FFFFFF"/>
          <w:lang w:eastAsia="en-GB"/>
        </w:rPr>
        <w:t xml:space="preserve"> </w:t>
      </w:r>
      <w:r w:rsidR="000C75D8" w:rsidRPr="00CB102D">
        <w:rPr>
          <w:rFonts w:eastAsiaTheme="minorEastAsia" w:cs="Arial"/>
          <w:color w:val="000000"/>
          <w:sz w:val="24"/>
          <w:shd w:val="clear" w:color="auto" w:fill="FFFFFF"/>
          <w:lang w:eastAsia="en-GB"/>
        </w:rPr>
        <w:t xml:space="preserve">Description of the five kidney allocation schemes included in the simulation exercise </w:t>
      </w:r>
    </w:p>
    <w:tbl>
      <w:tblPr>
        <w:tblStyle w:val="TableGrid3"/>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2694"/>
        <w:gridCol w:w="6345"/>
      </w:tblGrid>
      <w:tr w:rsidR="000C75D8" w:rsidRPr="00713BAB" w14:paraId="654B7ABA" w14:textId="77777777" w:rsidTr="00572E38">
        <w:trPr>
          <w:trHeight w:val="409"/>
        </w:trPr>
        <w:tc>
          <w:tcPr>
            <w:tcW w:w="2694" w:type="dxa"/>
            <w:tcBorders>
              <w:top w:val="single" w:sz="4" w:space="0" w:color="auto"/>
              <w:bottom w:val="single" w:sz="4" w:space="0" w:color="auto"/>
            </w:tcBorders>
            <w:shd w:val="clear" w:color="auto" w:fill="auto"/>
            <w:vAlign w:val="center"/>
          </w:tcPr>
          <w:p w14:paraId="251E8FE6" w14:textId="66244482" w:rsidR="000C75D8" w:rsidRPr="00CB102D" w:rsidRDefault="00122ED9" w:rsidP="007E0478">
            <w:pPr>
              <w:spacing w:after="0" w:line="240" w:lineRule="auto"/>
              <w:jc w:val="center"/>
              <w:rPr>
                <w:rFonts w:cs="Arial"/>
                <w:b/>
              </w:rPr>
            </w:pPr>
            <w:r w:rsidRPr="00CB102D">
              <w:rPr>
                <w:rFonts w:cs="Arial"/>
                <w:b/>
              </w:rPr>
              <w:t>Allocation concept</w:t>
            </w:r>
          </w:p>
        </w:tc>
        <w:tc>
          <w:tcPr>
            <w:tcW w:w="6345" w:type="dxa"/>
            <w:tcBorders>
              <w:top w:val="single" w:sz="4" w:space="0" w:color="auto"/>
              <w:bottom w:val="single" w:sz="4" w:space="0" w:color="auto"/>
            </w:tcBorders>
            <w:vAlign w:val="center"/>
          </w:tcPr>
          <w:p w14:paraId="208339C2" w14:textId="77777777" w:rsidR="000C75D8" w:rsidRPr="00CB102D" w:rsidRDefault="000C75D8" w:rsidP="007E0478">
            <w:pPr>
              <w:spacing w:after="0" w:line="240" w:lineRule="auto"/>
              <w:jc w:val="center"/>
              <w:rPr>
                <w:rFonts w:cs="Arial"/>
                <w:b/>
                <w:shd w:val="clear" w:color="auto" w:fill="FFFFFF"/>
              </w:rPr>
            </w:pPr>
            <w:r w:rsidRPr="00CB102D">
              <w:rPr>
                <w:rFonts w:cs="Arial"/>
                <w:b/>
                <w:shd w:val="clear" w:color="auto" w:fill="FFFFFF"/>
              </w:rPr>
              <w:t>Description of allocation criteria considered in each scheme</w:t>
            </w:r>
          </w:p>
        </w:tc>
      </w:tr>
      <w:tr w:rsidR="000C75D8" w:rsidRPr="00713BAB" w14:paraId="3F2D302D" w14:textId="77777777" w:rsidTr="00572E38">
        <w:trPr>
          <w:trHeight w:val="965"/>
        </w:trPr>
        <w:tc>
          <w:tcPr>
            <w:tcW w:w="2694" w:type="dxa"/>
            <w:tcBorders>
              <w:top w:val="single" w:sz="4" w:space="0" w:color="auto"/>
            </w:tcBorders>
            <w:shd w:val="clear" w:color="auto" w:fill="auto"/>
          </w:tcPr>
          <w:p w14:paraId="1BB014B4" w14:textId="4FA9E1E6" w:rsidR="000C75D8" w:rsidRPr="00CB102D" w:rsidRDefault="00E90675" w:rsidP="000966CC">
            <w:pPr>
              <w:rPr>
                <w:rFonts w:cs="Arial"/>
                <w:b/>
              </w:rPr>
            </w:pPr>
            <w:r w:rsidRPr="00CB102D">
              <w:rPr>
                <w:rFonts w:cs="Arial"/>
                <w:b/>
              </w:rPr>
              <w:t>Random</w:t>
            </w:r>
          </w:p>
        </w:tc>
        <w:tc>
          <w:tcPr>
            <w:tcW w:w="6345" w:type="dxa"/>
            <w:tcBorders>
              <w:top w:val="single" w:sz="4" w:space="0" w:color="auto"/>
            </w:tcBorders>
            <w:vAlign w:val="center"/>
          </w:tcPr>
          <w:p w14:paraId="4D16FCC8"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Blood group compatibility and HLA match </w:t>
            </w:r>
          </w:p>
          <w:p w14:paraId="05EC51C3"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Priority for HLA mismatch level 1 (000) </w:t>
            </w:r>
          </w:p>
          <w:p w14:paraId="560955CB"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Taking the above criteria into account, allocate the kidney randomly </w:t>
            </w:r>
          </w:p>
        </w:tc>
      </w:tr>
      <w:tr w:rsidR="000C75D8" w:rsidRPr="00713BAB" w14:paraId="059449E6" w14:textId="77777777" w:rsidTr="00572E38">
        <w:trPr>
          <w:trHeight w:val="1115"/>
        </w:trPr>
        <w:tc>
          <w:tcPr>
            <w:tcW w:w="2694" w:type="dxa"/>
            <w:shd w:val="clear" w:color="auto" w:fill="auto"/>
          </w:tcPr>
          <w:p w14:paraId="439E099C" w14:textId="4A99FA50" w:rsidR="000C75D8" w:rsidRPr="00CB102D" w:rsidRDefault="00E90675" w:rsidP="000966CC">
            <w:pPr>
              <w:rPr>
                <w:rFonts w:cs="Arial"/>
                <w:b/>
              </w:rPr>
            </w:pPr>
            <w:r w:rsidRPr="00CB102D">
              <w:rPr>
                <w:rFonts w:cs="Arial"/>
                <w:b/>
              </w:rPr>
              <w:t>W</w:t>
            </w:r>
            <w:r w:rsidR="000C75D8" w:rsidRPr="00CB102D">
              <w:rPr>
                <w:rFonts w:cs="Arial"/>
                <w:b/>
              </w:rPr>
              <w:t>aiting time</w:t>
            </w:r>
          </w:p>
        </w:tc>
        <w:tc>
          <w:tcPr>
            <w:tcW w:w="6345" w:type="dxa"/>
            <w:vAlign w:val="center"/>
          </w:tcPr>
          <w:p w14:paraId="20E388A8"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Blood group compatibility and HLA match </w:t>
            </w:r>
          </w:p>
          <w:p w14:paraId="53FE467C"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Priority for HLA mismatch level 1 (000) </w:t>
            </w:r>
          </w:p>
          <w:p w14:paraId="5CE2D864" w14:textId="77777777" w:rsidR="000C75D8" w:rsidRPr="00CB102D" w:rsidRDefault="000C75D8" w:rsidP="00D3727D">
            <w:pPr>
              <w:numPr>
                <w:ilvl w:val="0"/>
                <w:numId w:val="6"/>
              </w:numPr>
              <w:spacing w:after="120" w:line="264" w:lineRule="auto"/>
              <w:ind w:left="357" w:hanging="357"/>
              <w:contextualSpacing/>
              <w:rPr>
                <w:rFonts w:cs="Arial"/>
                <w:shd w:val="clear" w:color="auto" w:fill="FFFFFF"/>
              </w:rPr>
            </w:pPr>
            <w:r w:rsidRPr="00CB102D">
              <w:rPr>
                <w:rFonts w:cs="Arial"/>
                <w:shd w:val="clear" w:color="auto" w:fill="FFFFFF"/>
              </w:rPr>
              <w:t>Taking the above criteria into account, allocate the kidney to the patient with the longest waiting time</w:t>
            </w:r>
          </w:p>
        </w:tc>
      </w:tr>
      <w:tr w:rsidR="000C75D8" w:rsidRPr="00713BAB" w14:paraId="5965457B" w14:textId="77777777" w:rsidTr="00572E38">
        <w:tc>
          <w:tcPr>
            <w:tcW w:w="2694" w:type="dxa"/>
            <w:shd w:val="clear" w:color="auto" w:fill="auto"/>
          </w:tcPr>
          <w:p w14:paraId="24E3C0AB" w14:textId="3533E06B" w:rsidR="000C75D8" w:rsidRPr="00CB102D" w:rsidRDefault="000D755E" w:rsidP="000966CC">
            <w:pPr>
              <w:rPr>
                <w:rFonts w:cs="Arial"/>
                <w:b/>
              </w:rPr>
            </w:pPr>
            <w:r>
              <w:rPr>
                <w:rFonts w:cs="Arial"/>
                <w:b/>
              </w:rPr>
              <w:t>2006 NKAS</w:t>
            </w:r>
            <w:r w:rsidRPr="000D755E">
              <w:rPr>
                <w:rFonts w:cs="Arial"/>
                <w:b/>
                <w:vertAlign w:val="superscript"/>
              </w:rPr>
              <w:t>12</w:t>
            </w:r>
          </w:p>
        </w:tc>
        <w:tc>
          <w:tcPr>
            <w:tcW w:w="6345" w:type="dxa"/>
            <w:vAlign w:val="center"/>
          </w:tcPr>
          <w:p w14:paraId="506317DE" w14:textId="459CBA10" w:rsidR="000C75D8" w:rsidRPr="00CB102D" w:rsidRDefault="000C75D8" w:rsidP="00D3727D">
            <w:pPr>
              <w:numPr>
                <w:ilvl w:val="0"/>
                <w:numId w:val="6"/>
              </w:numPr>
              <w:spacing w:before="120" w:after="0" w:line="264" w:lineRule="auto"/>
              <w:contextualSpacing/>
              <w:rPr>
                <w:rFonts w:cs="Arial"/>
                <w:shd w:val="clear" w:color="auto" w:fill="FFFFFF"/>
              </w:rPr>
            </w:pPr>
            <w:r w:rsidRPr="00CB102D">
              <w:rPr>
                <w:rFonts w:cs="Arial"/>
                <w:shd w:val="clear" w:color="auto" w:fill="FFFFFF"/>
              </w:rPr>
              <w:t>Priority for HLA mismatch level 1 (000), taking into</w:t>
            </w:r>
            <w:r w:rsidR="002B68CC" w:rsidRPr="00CB102D">
              <w:rPr>
                <w:rFonts w:cs="Arial"/>
                <w:shd w:val="clear" w:color="auto" w:fill="FFFFFF"/>
              </w:rPr>
              <w:t xml:space="preserve"> </w:t>
            </w:r>
            <w:r w:rsidRPr="00CB102D">
              <w:rPr>
                <w:rFonts w:cs="Arial"/>
                <w:shd w:val="clear" w:color="auto" w:fill="FFFFFF"/>
              </w:rPr>
              <w:t>account whether or not patients are highly sensitised or HLA-DR homozygous</w:t>
            </w:r>
          </w:p>
          <w:p w14:paraId="04977EE3" w14:textId="77777777" w:rsidR="000C75D8" w:rsidRPr="00CB102D" w:rsidRDefault="000C75D8" w:rsidP="00D3727D">
            <w:pPr>
              <w:numPr>
                <w:ilvl w:val="0"/>
                <w:numId w:val="6"/>
              </w:numPr>
              <w:spacing w:after="0" w:line="264" w:lineRule="auto"/>
              <w:ind w:hanging="357"/>
              <w:contextualSpacing/>
              <w:rPr>
                <w:rFonts w:cs="Arial"/>
                <w:shd w:val="clear" w:color="auto" w:fill="FFFFFF"/>
              </w:rPr>
            </w:pPr>
            <w:r w:rsidRPr="00CB102D">
              <w:rPr>
                <w:rFonts w:cs="Arial"/>
                <w:shd w:val="clear" w:color="auto" w:fill="FFFFFF"/>
              </w:rPr>
              <w:t>Within tiers, prioritise patients according to a points-based system based on:</w:t>
            </w:r>
          </w:p>
          <w:p w14:paraId="42EB78C5"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waiting time</w:t>
            </w:r>
          </w:p>
          <w:p w14:paraId="5E850125"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HLA match and age combined</w:t>
            </w:r>
          </w:p>
          <w:p w14:paraId="2F89D1A4"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donor-recipient age difference</w:t>
            </w:r>
          </w:p>
          <w:p w14:paraId="553C5B51"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location of patient relative to donor</w:t>
            </w:r>
          </w:p>
          <w:p w14:paraId="07880AFF"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HLA-DR homozygosity</w:t>
            </w:r>
          </w:p>
          <w:p w14:paraId="091A8094" w14:textId="77777777" w:rsidR="000C75D8" w:rsidRPr="00CB102D" w:rsidRDefault="000C75D8" w:rsidP="00D3727D">
            <w:pPr>
              <w:numPr>
                <w:ilvl w:val="0"/>
                <w:numId w:val="9"/>
              </w:numPr>
              <w:spacing w:after="0" w:line="264" w:lineRule="auto"/>
              <w:rPr>
                <w:rFonts w:cs="Arial"/>
                <w:shd w:val="clear" w:color="auto" w:fill="FFFFFF"/>
              </w:rPr>
            </w:pPr>
            <w:r w:rsidRPr="00CB102D">
              <w:rPr>
                <w:rFonts w:cs="Arial"/>
                <w:shd w:val="clear" w:color="auto" w:fill="FFFFFF"/>
              </w:rPr>
              <w:t>HLA-B homozygosity</w:t>
            </w:r>
          </w:p>
          <w:p w14:paraId="58C35A1F" w14:textId="77777777" w:rsidR="000C75D8" w:rsidRPr="00CB102D" w:rsidRDefault="000C75D8" w:rsidP="00D3727D">
            <w:pPr>
              <w:numPr>
                <w:ilvl w:val="0"/>
                <w:numId w:val="9"/>
              </w:numPr>
              <w:spacing w:after="120" w:line="264" w:lineRule="auto"/>
              <w:rPr>
                <w:rFonts w:cs="Arial"/>
                <w:shd w:val="clear" w:color="auto" w:fill="FFFFFF"/>
              </w:rPr>
            </w:pPr>
            <w:r w:rsidRPr="00CB102D">
              <w:rPr>
                <w:rFonts w:cs="Arial"/>
                <w:shd w:val="clear" w:color="auto" w:fill="FFFFFF"/>
              </w:rPr>
              <w:t xml:space="preserve">blood group match </w:t>
            </w:r>
          </w:p>
        </w:tc>
      </w:tr>
      <w:tr w:rsidR="000C75D8" w:rsidRPr="00713BAB" w14:paraId="566C98A0" w14:textId="77777777" w:rsidTr="00572E38">
        <w:trPr>
          <w:trHeight w:val="1779"/>
        </w:trPr>
        <w:tc>
          <w:tcPr>
            <w:tcW w:w="2694" w:type="dxa"/>
            <w:shd w:val="clear" w:color="auto" w:fill="auto"/>
          </w:tcPr>
          <w:p w14:paraId="1D2760F1" w14:textId="28372BE8" w:rsidR="000C75D8" w:rsidRPr="00CB102D" w:rsidRDefault="00E90675" w:rsidP="000966CC">
            <w:pPr>
              <w:rPr>
                <w:rFonts w:cs="Arial"/>
                <w:b/>
              </w:rPr>
            </w:pPr>
            <w:r w:rsidRPr="00CB102D">
              <w:rPr>
                <w:rFonts w:cs="Arial"/>
                <w:b/>
              </w:rPr>
              <w:t>L</w:t>
            </w:r>
            <w:r w:rsidR="000C75D8" w:rsidRPr="00CB102D">
              <w:rPr>
                <w:rFonts w:cs="Arial"/>
                <w:b/>
              </w:rPr>
              <w:t>ongevity matching</w:t>
            </w:r>
          </w:p>
        </w:tc>
        <w:tc>
          <w:tcPr>
            <w:tcW w:w="6345" w:type="dxa"/>
            <w:vAlign w:val="center"/>
          </w:tcPr>
          <w:p w14:paraId="0ABECE8D" w14:textId="77777777" w:rsidR="000C75D8" w:rsidRPr="00CB102D" w:rsidRDefault="000C75D8" w:rsidP="00D3727D">
            <w:pPr>
              <w:numPr>
                <w:ilvl w:val="0"/>
                <w:numId w:val="6"/>
              </w:numPr>
              <w:spacing w:before="120" w:after="0" w:line="264" w:lineRule="auto"/>
              <w:contextualSpacing/>
              <w:rPr>
                <w:rFonts w:cs="Arial"/>
                <w:shd w:val="clear" w:color="auto" w:fill="FFFFFF"/>
              </w:rPr>
            </w:pPr>
            <w:r w:rsidRPr="00CB102D">
              <w:rPr>
                <w:rFonts w:cs="Arial"/>
                <w:shd w:val="clear" w:color="auto" w:fill="FFFFFF"/>
              </w:rPr>
              <w:t xml:space="preserve">For each donor kidney, estimate expected post-transplant survival for each patient on the waiting list </w:t>
            </w:r>
          </w:p>
          <w:p w14:paraId="5506B842" w14:textId="77777777" w:rsidR="000C75D8" w:rsidRPr="00CB102D" w:rsidRDefault="000C75D8" w:rsidP="00D3727D">
            <w:pPr>
              <w:numPr>
                <w:ilvl w:val="0"/>
                <w:numId w:val="6"/>
              </w:numPr>
              <w:spacing w:before="120" w:after="0" w:line="264" w:lineRule="auto"/>
              <w:contextualSpacing/>
              <w:rPr>
                <w:rFonts w:cs="Arial"/>
                <w:shd w:val="clear" w:color="auto" w:fill="FFFFFF"/>
              </w:rPr>
            </w:pPr>
            <w:r w:rsidRPr="00CB102D">
              <w:rPr>
                <w:rFonts w:cs="Arial"/>
                <w:shd w:val="clear" w:color="auto" w:fill="FFFFFF"/>
              </w:rPr>
              <w:t>If the donor kidney has a UKKDRI score in the top 20%, then 20% of patients with the longest expected post-transplant survival are prioritised to receive the kidney</w:t>
            </w:r>
          </w:p>
          <w:p w14:paraId="7DD7AF4A" w14:textId="77777777" w:rsidR="000C75D8" w:rsidRPr="00CB102D" w:rsidRDefault="000C75D8" w:rsidP="00D3727D">
            <w:pPr>
              <w:numPr>
                <w:ilvl w:val="0"/>
                <w:numId w:val="6"/>
              </w:numPr>
              <w:spacing w:before="120" w:after="120" w:line="264" w:lineRule="auto"/>
              <w:ind w:left="357" w:hanging="357"/>
              <w:contextualSpacing/>
              <w:rPr>
                <w:rFonts w:cs="Arial"/>
                <w:shd w:val="clear" w:color="auto" w:fill="FFFFFF"/>
              </w:rPr>
            </w:pPr>
            <w:r w:rsidRPr="00CB102D">
              <w:rPr>
                <w:rFonts w:cs="Arial"/>
                <w:shd w:val="clear" w:color="auto" w:fill="FFFFFF"/>
              </w:rPr>
              <w:t xml:space="preserve">Taking the above criteria into account, allocate the kidney according to the 2006 NKAS </w:t>
            </w:r>
          </w:p>
        </w:tc>
      </w:tr>
      <w:tr w:rsidR="000C75D8" w:rsidRPr="00713BAB" w14:paraId="56F92638" w14:textId="77777777" w:rsidTr="00572E38">
        <w:tc>
          <w:tcPr>
            <w:tcW w:w="2694" w:type="dxa"/>
            <w:tcBorders>
              <w:bottom w:val="single" w:sz="4" w:space="0" w:color="auto"/>
            </w:tcBorders>
            <w:shd w:val="clear" w:color="auto" w:fill="auto"/>
          </w:tcPr>
          <w:p w14:paraId="1F281DF3" w14:textId="3BAD7137" w:rsidR="000C75D8" w:rsidRPr="00CB102D" w:rsidRDefault="00E90675" w:rsidP="000966CC">
            <w:pPr>
              <w:rPr>
                <w:rFonts w:cs="Arial"/>
                <w:b/>
              </w:rPr>
            </w:pPr>
            <w:r w:rsidRPr="00CB102D">
              <w:rPr>
                <w:rFonts w:cs="Arial"/>
                <w:b/>
              </w:rPr>
              <w:t>QALY</w:t>
            </w:r>
            <w:r w:rsidR="000C75D8" w:rsidRPr="00CB102D">
              <w:rPr>
                <w:rFonts w:cs="Arial"/>
                <w:b/>
              </w:rPr>
              <w:t>-</w:t>
            </w:r>
            <w:r w:rsidR="00680605" w:rsidRPr="00CB102D">
              <w:rPr>
                <w:rFonts w:cs="Arial"/>
                <w:b/>
              </w:rPr>
              <w:t>maximisation</w:t>
            </w:r>
          </w:p>
        </w:tc>
        <w:tc>
          <w:tcPr>
            <w:tcW w:w="6345" w:type="dxa"/>
            <w:tcBorders>
              <w:bottom w:val="single" w:sz="4" w:space="0" w:color="auto"/>
            </w:tcBorders>
            <w:vAlign w:val="center"/>
          </w:tcPr>
          <w:p w14:paraId="6111B55D" w14:textId="77777777" w:rsidR="000C75D8" w:rsidRPr="00CB102D" w:rsidRDefault="000C75D8" w:rsidP="00D3727D">
            <w:pPr>
              <w:numPr>
                <w:ilvl w:val="0"/>
                <w:numId w:val="6"/>
              </w:numPr>
              <w:spacing w:before="120" w:after="0" w:line="264" w:lineRule="auto"/>
              <w:contextualSpacing/>
              <w:rPr>
                <w:rFonts w:cs="Arial"/>
                <w:shd w:val="clear" w:color="auto" w:fill="FFFFFF"/>
              </w:rPr>
            </w:pPr>
            <w:r w:rsidRPr="00CB102D">
              <w:rPr>
                <w:rFonts w:cs="Arial"/>
                <w:shd w:val="clear" w:color="auto" w:fill="FFFFFF"/>
              </w:rPr>
              <w:t xml:space="preserve">Blood group compatibility and HLA match </w:t>
            </w:r>
          </w:p>
          <w:p w14:paraId="7F679290" w14:textId="77777777" w:rsidR="000C75D8" w:rsidRPr="00CB102D" w:rsidRDefault="000C75D8" w:rsidP="00D3727D">
            <w:pPr>
              <w:numPr>
                <w:ilvl w:val="0"/>
                <w:numId w:val="6"/>
              </w:numPr>
              <w:spacing w:after="0" w:line="264" w:lineRule="auto"/>
              <w:contextualSpacing/>
              <w:rPr>
                <w:rFonts w:cs="Arial"/>
                <w:shd w:val="clear" w:color="auto" w:fill="FFFFFF"/>
              </w:rPr>
            </w:pPr>
            <w:r w:rsidRPr="00CB102D">
              <w:rPr>
                <w:rFonts w:cs="Arial"/>
                <w:shd w:val="clear" w:color="auto" w:fill="FFFFFF"/>
              </w:rPr>
              <w:t xml:space="preserve">Priority for HLA mismatch level 1 (000) </w:t>
            </w:r>
          </w:p>
          <w:p w14:paraId="436EA017" w14:textId="77777777" w:rsidR="000C75D8" w:rsidRPr="00CB102D" w:rsidRDefault="000C75D8" w:rsidP="00D3727D">
            <w:pPr>
              <w:numPr>
                <w:ilvl w:val="0"/>
                <w:numId w:val="6"/>
              </w:numPr>
              <w:spacing w:before="120" w:after="0" w:line="264" w:lineRule="auto"/>
              <w:contextualSpacing/>
              <w:rPr>
                <w:rFonts w:cs="Arial"/>
                <w:shd w:val="clear" w:color="auto" w:fill="FFFFFF"/>
              </w:rPr>
            </w:pPr>
            <w:r w:rsidRPr="00CB102D">
              <w:rPr>
                <w:rFonts w:cs="Arial"/>
                <w:shd w:val="clear" w:color="auto" w:fill="FFFFFF"/>
              </w:rPr>
              <w:t>For each donor kidney, estimate expected post-transplant QALYs for each patient and expected QALYs if each patient were to remain on the waiting list (on dialysis)</w:t>
            </w:r>
          </w:p>
          <w:p w14:paraId="06005CEA" w14:textId="77777777" w:rsidR="000C75D8" w:rsidRPr="00CB102D" w:rsidRDefault="000C75D8" w:rsidP="00D3727D">
            <w:pPr>
              <w:numPr>
                <w:ilvl w:val="0"/>
                <w:numId w:val="6"/>
              </w:numPr>
              <w:spacing w:before="120" w:after="120" w:line="264" w:lineRule="auto"/>
              <w:ind w:left="357" w:hanging="357"/>
              <w:contextualSpacing/>
              <w:rPr>
                <w:rFonts w:cs="Arial"/>
                <w:shd w:val="clear" w:color="auto" w:fill="FFFFFF"/>
              </w:rPr>
            </w:pPr>
            <w:r w:rsidRPr="00CB102D">
              <w:rPr>
                <w:rFonts w:cs="Arial"/>
                <w:shd w:val="clear" w:color="auto" w:fill="FFFFFF"/>
              </w:rPr>
              <w:t>Taking the above criteria into account, allocate the kidney to the patient with the biggest expected QALY gain from transplant</w:t>
            </w:r>
          </w:p>
        </w:tc>
      </w:tr>
    </w:tbl>
    <w:p w14:paraId="6A6F24D6" w14:textId="0AFD9EF9" w:rsidR="000C75D8" w:rsidRDefault="000C75D8">
      <w:pPr>
        <w:rPr>
          <w:rFonts w:cs="Arial"/>
        </w:rPr>
      </w:pPr>
    </w:p>
    <w:p w14:paraId="3EC867D6" w14:textId="77777777" w:rsidR="00001002" w:rsidRPr="00713BAB" w:rsidRDefault="00001002">
      <w:pPr>
        <w:rPr>
          <w:rFonts w:cs="Arial"/>
        </w:rPr>
      </w:pPr>
    </w:p>
    <w:p w14:paraId="17DBB355" w14:textId="7629FC2E" w:rsidR="009C61D0" w:rsidRPr="00713BAB" w:rsidRDefault="009C61D0">
      <w:pPr>
        <w:rPr>
          <w:rFonts w:cs="Arial"/>
        </w:rPr>
      </w:pPr>
    </w:p>
    <w:p w14:paraId="31F843AE" w14:textId="54FF78FD" w:rsidR="00001002" w:rsidRPr="005A3B91" w:rsidRDefault="00001002" w:rsidP="00001002">
      <w:pPr>
        <w:rPr>
          <w:rFonts w:cstheme="minorHAnsi"/>
          <w:sz w:val="24"/>
          <w:szCs w:val="24"/>
        </w:rPr>
      </w:pPr>
      <w:r w:rsidRPr="005A3B91">
        <w:rPr>
          <w:rFonts w:cstheme="minorHAnsi"/>
          <w:b/>
          <w:bCs/>
          <w:sz w:val="24"/>
          <w:szCs w:val="24"/>
        </w:rPr>
        <w:lastRenderedPageBreak/>
        <w:t>Table 2.</w:t>
      </w:r>
      <w:r w:rsidRPr="005A3B91">
        <w:rPr>
          <w:rFonts w:cstheme="minorHAnsi"/>
          <w:sz w:val="24"/>
          <w:szCs w:val="24"/>
        </w:rPr>
        <w:t xml:space="preserve"> Characteristics of the recipient cohort </w:t>
      </w:r>
      <w:r w:rsidR="009D1B52" w:rsidRPr="005A3B91">
        <w:rPr>
          <w:rFonts w:cstheme="minorHAnsi"/>
          <w:sz w:val="24"/>
          <w:szCs w:val="24"/>
        </w:rPr>
        <w:t xml:space="preserve">(n=5500) </w:t>
      </w:r>
      <w:r w:rsidRPr="005A3B91">
        <w:rPr>
          <w:rFonts w:cstheme="minorHAnsi"/>
          <w:sz w:val="24"/>
          <w:szCs w:val="24"/>
        </w:rPr>
        <w:t>used in the simulation model</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59"/>
      </w:tblGrid>
      <w:tr w:rsidR="003F67A5" w:rsidRPr="006D31F7" w14:paraId="180577DB" w14:textId="77777777" w:rsidTr="006D519A">
        <w:trPr>
          <w:trHeight w:val="360"/>
        </w:trPr>
        <w:tc>
          <w:tcPr>
            <w:tcW w:w="4508" w:type="dxa"/>
            <w:tcBorders>
              <w:top w:val="single" w:sz="4" w:space="0" w:color="auto"/>
              <w:bottom w:val="single" w:sz="4" w:space="0" w:color="auto"/>
            </w:tcBorders>
            <w:shd w:val="clear" w:color="auto" w:fill="auto"/>
          </w:tcPr>
          <w:p w14:paraId="09DA1448" w14:textId="77777777" w:rsidR="003F67A5" w:rsidRPr="00AF52CB" w:rsidRDefault="003F67A5" w:rsidP="006D519A">
            <w:pPr>
              <w:spacing w:after="100"/>
              <w:rPr>
                <w:rFonts w:eastAsia="Times New Roman" w:cstheme="minorHAnsi"/>
                <w:lang w:eastAsia="en-GB"/>
              </w:rPr>
            </w:pPr>
          </w:p>
        </w:tc>
        <w:tc>
          <w:tcPr>
            <w:tcW w:w="4559" w:type="dxa"/>
            <w:tcBorders>
              <w:top w:val="single" w:sz="4" w:space="0" w:color="auto"/>
              <w:bottom w:val="single" w:sz="4" w:space="0" w:color="auto"/>
            </w:tcBorders>
            <w:vAlign w:val="center"/>
          </w:tcPr>
          <w:p w14:paraId="0E48C049" w14:textId="77777777" w:rsidR="003F67A5" w:rsidRPr="006D31F7" w:rsidRDefault="003F67A5" w:rsidP="006D519A">
            <w:pPr>
              <w:spacing w:after="100"/>
              <w:jc w:val="right"/>
              <w:rPr>
                <w:rFonts w:eastAsia="Times New Roman" w:cstheme="minorHAnsi"/>
                <w:b/>
                <w:bCs/>
                <w:lang w:eastAsia="en-GB"/>
              </w:rPr>
            </w:pPr>
            <w:r w:rsidRPr="006D31F7">
              <w:rPr>
                <w:rFonts w:eastAsia="Times New Roman" w:cstheme="minorHAnsi"/>
                <w:b/>
                <w:bCs/>
                <w:lang w:eastAsia="en-GB"/>
              </w:rPr>
              <w:t>n (%)</w:t>
            </w:r>
          </w:p>
        </w:tc>
      </w:tr>
      <w:tr w:rsidR="003F67A5" w:rsidRPr="00AF52CB" w14:paraId="4D936D50" w14:textId="77777777" w:rsidTr="006D519A">
        <w:tc>
          <w:tcPr>
            <w:tcW w:w="4508" w:type="dxa"/>
            <w:tcBorders>
              <w:top w:val="single" w:sz="4" w:space="0" w:color="auto"/>
            </w:tcBorders>
            <w:shd w:val="clear" w:color="auto" w:fill="auto"/>
          </w:tcPr>
          <w:p w14:paraId="24D3BD0A"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Age</w:t>
            </w:r>
            <w:r>
              <w:rPr>
                <w:rFonts w:eastAsia="Times New Roman" w:cstheme="minorHAnsi"/>
                <w:lang w:eastAsia="en-GB"/>
              </w:rPr>
              <w:t xml:space="preserve"> (years)</w:t>
            </w:r>
          </w:p>
        </w:tc>
        <w:tc>
          <w:tcPr>
            <w:tcW w:w="4559" w:type="dxa"/>
            <w:tcBorders>
              <w:top w:val="single" w:sz="4" w:space="0" w:color="auto"/>
            </w:tcBorders>
          </w:tcPr>
          <w:p w14:paraId="6A07F01D" w14:textId="77777777" w:rsidR="003F67A5" w:rsidRPr="00AF52CB" w:rsidRDefault="003F67A5" w:rsidP="006D519A">
            <w:pPr>
              <w:spacing w:after="100"/>
              <w:jc w:val="right"/>
              <w:rPr>
                <w:rFonts w:eastAsia="Times New Roman" w:cstheme="minorHAnsi"/>
                <w:lang w:eastAsia="en-GB"/>
              </w:rPr>
            </w:pPr>
          </w:p>
        </w:tc>
      </w:tr>
      <w:tr w:rsidR="003F67A5" w:rsidRPr="00AF52CB" w14:paraId="758EE513" w14:textId="77777777" w:rsidTr="006D519A">
        <w:tc>
          <w:tcPr>
            <w:tcW w:w="4508" w:type="dxa"/>
            <w:shd w:val="clear" w:color="auto" w:fill="auto"/>
          </w:tcPr>
          <w:p w14:paraId="2BD57BAB" w14:textId="77777777" w:rsidR="003F67A5" w:rsidRPr="00AF52CB" w:rsidRDefault="003F67A5" w:rsidP="006D519A">
            <w:pPr>
              <w:spacing w:after="100"/>
              <w:ind w:left="306"/>
              <w:rPr>
                <w:rFonts w:eastAsia="Times New Roman" w:cstheme="minorHAnsi"/>
                <w:lang w:eastAsia="en-GB"/>
              </w:rPr>
            </w:pPr>
            <w:r w:rsidRPr="00AF52CB">
              <w:rPr>
                <w:rFonts w:cs="Arial"/>
                <w:szCs w:val="20"/>
              </w:rPr>
              <w:t xml:space="preserve">18-29 </w:t>
            </w:r>
          </w:p>
        </w:tc>
        <w:tc>
          <w:tcPr>
            <w:tcW w:w="4559" w:type="dxa"/>
            <w:vAlign w:val="bottom"/>
          </w:tcPr>
          <w:p w14:paraId="37F60E49"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369 (6.7%)</w:t>
            </w:r>
          </w:p>
        </w:tc>
      </w:tr>
      <w:tr w:rsidR="003F67A5" w:rsidRPr="00AF52CB" w14:paraId="4CDE1A0B" w14:textId="77777777" w:rsidTr="006D519A">
        <w:tc>
          <w:tcPr>
            <w:tcW w:w="4508" w:type="dxa"/>
            <w:shd w:val="clear" w:color="auto" w:fill="auto"/>
          </w:tcPr>
          <w:p w14:paraId="05F712F3" w14:textId="77777777" w:rsidR="003F67A5" w:rsidRPr="00AF52CB" w:rsidRDefault="003F67A5" w:rsidP="006D519A">
            <w:pPr>
              <w:spacing w:after="100"/>
              <w:ind w:left="306"/>
              <w:rPr>
                <w:rFonts w:eastAsia="Times New Roman" w:cstheme="minorHAnsi"/>
                <w:lang w:eastAsia="en-GB"/>
              </w:rPr>
            </w:pPr>
            <w:r w:rsidRPr="00AF52CB">
              <w:rPr>
                <w:rFonts w:cs="Arial"/>
                <w:szCs w:val="20"/>
              </w:rPr>
              <w:t>30-39</w:t>
            </w:r>
          </w:p>
        </w:tc>
        <w:tc>
          <w:tcPr>
            <w:tcW w:w="4559" w:type="dxa"/>
            <w:vAlign w:val="bottom"/>
          </w:tcPr>
          <w:p w14:paraId="729EB04B" w14:textId="77777777" w:rsidR="003F67A5" w:rsidRPr="00AF52CB" w:rsidRDefault="003F67A5" w:rsidP="006D519A">
            <w:pPr>
              <w:spacing w:after="100"/>
              <w:jc w:val="right"/>
              <w:rPr>
                <w:rFonts w:eastAsia="Times New Roman" w:cstheme="minorHAnsi"/>
                <w:lang w:eastAsia="en-GB"/>
              </w:rPr>
            </w:pPr>
            <w:r w:rsidRPr="00AF52CB">
              <w:rPr>
                <w:rFonts w:ascii="Calibri" w:hAnsi="Calibri" w:cs="Calibri"/>
              </w:rPr>
              <w:t>708 (12.9%)</w:t>
            </w:r>
          </w:p>
        </w:tc>
      </w:tr>
      <w:tr w:rsidR="003F67A5" w:rsidRPr="00AF52CB" w14:paraId="6D99D27A" w14:textId="77777777" w:rsidTr="006D519A">
        <w:tc>
          <w:tcPr>
            <w:tcW w:w="4508" w:type="dxa"/>
            <w:shd w:val="clear" w:color="auto" w:fill="auto"/>
          </w:tcPr>
          <w:p w14:paraId="7F99E7F1" w14:textId="77777777" w:rsidR="003F67A5" w:rsidRPr="00AF52CB" w:rsidRDefault="003F67A5" w:rsidP="006D519A">
            <w:pPr>
              <w:spacing w:after="100"/>
              <w:ind w:left="306"/>
              <w:rPr>
                <w:rFonts w:eastAsia="Times New Roman" w:cstheme="minorHAnsi"/>
                <w:lang w:eastAsia="en-GB"/>
              </w:rPr>
            </w:pPr>
            <w:r w:rsidRPr="00AF52CB">
              <w:rPr>
                <w:rFonts w:cs="Arial"/>
                <w:szCs w:val="20"/>
              </w:rPr>
              <w:t>40-49</w:t>
            </w:r>
          </w:p>
        </w:tc>
        <w:tc>
          <w:tcPr>
            <w:tcW w:w="4559" w:type="dxa"/>
            <w:vAlign w:val="bottom"/>
          </w:tcPr>
          <w:p w14:paraId="4E64017C" w14:textId="77777777" w:rsidR="003F67A5" w:rsidRPr="00AF52CB" w:rsidRDefault="003F67A5" w:rsidP="006D519A">
            <w:pPr>
              <w:spacing w:after="100"/>
              <w:jc w:val="right"/>
              <w:rPr>
                <w:rFonts w:eastAsia="Times New Roman" w:cstheme="minorHAnsi"/>
                <w:lang w:eastAsia="en-GB"/>
              </w:rPr>
            </w:pPr>
            <w:r w:rsidRPr="00AF52CB">
              <w:rPr>
                <w:rFonts w:ascii="Calibri" w:hAnsi="Calibri" w:cs="Calibri"/>
              </w:rPr>
              <w:t xml:space="preserve">1,245 (22.6%) </w:t>
            </w:r>
          </w:p>
        </w:tc>
      </w:tr>
      <w:tr w:rsidR="003F67A5" w:rsidRPr="00AF52CB" w14:paraId="73D1E09E" w14:textId="77777777" w:rsidTr="006D519A">
        <w:tc>
          <w:tcPr>
            <w:tcW w:w="4508" w:type="dxa"/>
            <w:shd w:val="clear" w:color="auto" w:fill="auto"/>
          </w:tcPr>
          <w:p w14:paraId="412C89C2" w14:textId="77777777" w:rsidR="003F67A5" w:rsidRPr="00AF52CB" w:rsidRDefault="003F67A5" w:rsidP="006D519A">
            <w:pPr>
              <w:spacing w:after="100"/>
              <w:ind w:left="306"/>
              <w:rPr>
                <w:rFonts w:eastAsia="Times New Roman" w:cstheme="minorHAnsi"/>
                <w:lang w:eastAsia="en-GB"/>
              </w:rPr>
            </w:pPr>
            <w:r w:rsidRPr="00AF52CB">
              <w:rPr>
                <w:rFonts w:cs="Arial"/>
                <w:szCs w:val="20"/>
              </w:rPr>
              <w:t>50-59</w:t>
            </w:r>
          </w:p>
        </w:tc>
        <w:tc>
          <w:tcPr>
            <w:tcW w:w="4559" w:type="dxa"/>
            <w:vAlign w:val="bottom"/>
          </w:tcPr>
          <w:p w14:paraId="64AD9FA1" w14:textId="77777777" w:rsidR="003F67A5" w:rsidRPr="00AF52CB" w:rsidRDefault="003F67A5" w:rsidP="006D519A">
            <w:pPr>
              <w:spacing w:after="100"/>
              <w:jc w:val="right"/>
              <w:rPr>
                <w:rFonts w:eastAsia="Times New Roman" w:cstheme="minorHAnsi"/>
                <w:lang w:eastAsia="en-GB"/>
              </w:rPr>
            </w:pPr>
            <w:r w:rsidRPr="00AF52CB">
              <w:rPr>
                <w:rFonts w:ascii="Calibri" w:hAnsi="Calibri" w:cs="Calibri"/>
              </w:rPr>
              <w:t>1,576 (28.7%)</w:t>
            </w:r>
          </w:p>
        </w:tc>
      </w:tr>
      <w:tr w:rsidR="003F67A5" w:rsidRPr="00AF52CB" w14:paraId="02D5FD9E" w14:textId="77777777" w:rsidTr="006D519A">
        <w:tc>
          <w:tcPr>
            <w:tcW w:w="4508" w:type="dxa"/>
            <w:shd w:val="clear" w:color="auto" w:fill="auto"/>
          </w:tcPr>
          <w:p w14:paraId="55A2F446" w14:textId="77777777" w:rsidR="003F67A5" w:rsidRPr="00AF52CB" w:rsidRDefault="003F67A5" w:rsidP="006D519A">
            <w:pPr>
              <w:spacing w:after="100"/>
              <w:ind w:left="306"/>
              <w:rPr>
                <w:rFonts w:eastAsia="Times New Roman" w:cstheme="minorHAnsi"/>
                <w:lang w:eastAsia="en-GB"/>
              </w:rPr>
            </w:pPr>
            <w:r w:rsidRPr="00AF52CB">
              <w:rPr>
                <w:rFonts w:cs="Arial"/>
                <w:szCs w:val="20"/>
              </w:rPr>
              <w:t>≥60</w:t>
            </w:r>
          </w:p>
        </w:tc>
        <w:tc>
          <w:tcPr>
            <w:tcW w:w="4559" w:type="dxa"/>
            <w:vAlign w:val="bottom"/>
          </w:tcPr>
          <w:p w14:paraId="67820A67" w14:textId="77777777" w:rsidR="003F67A5" w:rsidRPr="00AF52CB" w:rsidRDefault="003F67A5" w:rsidP="006D519A">
            <w:pPr>
              <w:spacing w:after="100"/>
              <w:jc w:val="right"/>
              <w:rPr>
                <w:rFonts w:eastAsia="Times New Roman" w:cstheme="minorHAnsi"/>
                <w:lang w:eastAsia="en-GB"/>
              </w:rPr>
            </w:pPr>
            <w:r w:rsidRPr="00AF52CB">
              <w:rPr>
                <w:rFonts w:ascii="Calibri" w:hAnsi="Calibri" w:cs="Calibri"/>
              </w:rPr>
              <w:t>1,602 (29.1%)</w:t>
            </w:r>
          </w:p>
        </w:tc>
      </w:tr>
      <w:tr w:rsidR="003F67A5" w:rsidRPr="00AF52CB" w14:paraId="2B953C92" w14:textId="77777777" w:rsidTr="006D519A">
        <w:tc>
          <w:tcPr>
            <w:tcW w:w="4508" w:type="dxa"/>
            <w:shd w:val="clear" w:color="auto" w:fill="auto"/>
          </w:tcPr>
          <w:p w14:paraId="666F54F6"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Sex</w:t>
            </w:r>
          </w:p>
        </w:tc>
        <w:tc>
          <w:tcPr>
            <w:tcW w:w="4559" w:type="dxa"/>
          </w:tcPr>
          <w:p w14:paraId="581B54E8" w14:textId="77777777" w:rsidR="003F67A5" w:rsidRPr="00AF52CB" w:rsidRDefault="003F67A5" w:rsidP="006D519A">
            <w:pPr>
              <w:spacing w:after="100"/>
              <w:jc w:val="right"/>
              <w:rPr>
                <w:rFonts w:eastAsia="Times New Roman" w:cstheme="minorHAnsi"/>
                <w:lang w:eastAsia="en-GB"/>
              </w:rPr>
            </w:pPr>
          </w:p>
        </w:tc>
      </w:tr>
      <w:tr w:rsidR="003F67A5" w:rsidRPr="00AF52CB" w14:paraId="5286B5C8" w14:textId="77777777" w:rsidTr="006D519A">
        <w:tc>
          <w:tcPr>
            <w:tcW w:w="4508" w:type="dxa"/>
            <w:shd w:val="clear" w:color="auto" w:fill="auto"/>
          </w:tcPr>
          <w:p w14:paraId="17418349"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 xml:space="preserve">Female </w:t>
            </w:r>
          </w:p>
        </w:tc>
        <w:tc>
          <w:tcPr>
            <w:tcW w:w="4559" w:type="dxa"/>
          </w:tcPr>
          <w:p w14:paraId="47563D9E"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2,320 (42.2%)</w:t>
            </w:r>
          </w:p>
        </w:tc>
      </w:tr>
      <w:tr w:rsidR="003F67A5" w:rsidRPr="00AF52CB" w14:paraId="3ED483CC" w14:textId="77777777" w:rsidTr="006D519A">
        <w:tc>
          <w:tcPr>
            <w:tcW w:w="4508" w:type="dxa"/>
            <w:shd w:val="clear" w:color="auto" w:fill="auto"/>
          </w:tcPr>
          <w:p w14:paraId="14F89C44"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 xml:space="preserve">Ethnicity </w:t>
            </w:r>
          </w:p>
        </w:tc>
        <w:tc>
          <w:tcPr>
            <w:tcW w:w="4559" w:type="dxa"/>
          </w:tcPr>
          <w:p w14:paraId="208F91AE" w14:textId="77777777" w:rsidR="003F67A5" w:rsidRPr="00AF52CB" w:rsidRDefault="003F67A5" w:rsidP="006D519A">
            <w:pPr>
              <w:spacing w:after="100"/>
              <w:jc w:val="right"/>
              <w:rPr>
                <w:rFonts w:eastAsia="Times New Roman" w:cstheme="minorHAnsi"/>
                <w:lang w:eastAsia="en-GB"/>
              </w:rPr>
            </w:pPr>
          </w:p>
        </w:tc>
      </w:tr>
      <w:tr w:rsidR="003F67A5" w:rsidRPr="00AF52CB" w14:paraId="69DC59A1" w14:textId="77777777" w:rsidTr="006D519A">
        <w:tc>
          <w:tcPr>
            <w:tcW w:w="4508" w:type="dxa"/>
            <w:shd w:val="clear" w:color="auto" w:fill="auto"/>
          </w:tcPr>
          <w:p w14:paraId="79D0FCCD"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White</w:t>
            </w:r>
          </w:p>
        </w:tc>
        <w:tc>
          <w:tcPr>
            <w:tcW w:w="4559" w:type="dxa"/>
          </w:tcPr>
          <w:p w14:paraId="617F408D"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4,017 (73.0%)</w:t>
            </w:r>
          </w:p>
        </w:tc>
      </w:tr>
      <w:tr w:rsidR="003F67A5" w:rsidRPr="00AF52CB" w14:paraId="256EB5A5" w14:textId="77777777" w:rsidTr="006D519A">
        <w:tc>
          <w:tcPr>
            <w:tcW w:w="4508" w:type="dxa"/>
            <w:shd w:val="clear" w:color="auto" w:fill="auto"/>
          </w:tcPr>
          <w:p w14:paraId="456771B8"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Asian</w:t>
            </w:r>
          </w:p>
        </w:tc>
        <w:tc>
          <w:tcPr>
            <w:tcW w:w="4559" w:type="dxa"/>
          </w:tcPr>
          <w:p w14:paraId="2C827FD4"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727 (13.2%)</w:t>
            </w:r>
          </w:p>
        </w:tc>
      </w:tr>
      <w:tr w:rsidR="003F67A5" w:rsidRPr="00AF52CB" w14:paraId="0AB40BD5" w14:textId="77777777" w:rsidTr="006D519A">
        <w:tc>
          <w:tcPr>
            <w:tcW w:w="4508" w:type="dxa"/>
            <w:shd w:val="clear" w:color="auto" w:fill="auto"/>
          </w:tcPr>
          <w:p w14:paraId="233B3550"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 xml:space="preserve">Black </w:t>
            </w:r>
          </w:p>
        </w:tc>
        <w:tc>
          <w:tcPr>
            <w:tcW w:w="4559" w:type="dxa"/>
          </w:tcPr>
          <w:p w14:paraId="317904A5"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626 (11.2%)</w:t>
            </w:r>
          </w:p>
        </w:tc>
      </w:tr>
      <w:tr w:rsidR="003F67A5" w:rsidRPr="00AF52CB" w14:paraId="2DB68D75" w14:textId="77777777" w:rsidTr="006D519A">
        <w:tc>
          <w:tcPr>
            <w:tcW w:w="4508" w:type="dxa"/>
            <w:shd w:val="clear" w:color="auto" w:fill="auto"/>
          </w:tcPr>
          <w:p w14:paraId="38368E58"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Other</w:t>
            </w:r>
          </w:p>
        </w:tc>
        <w:tc>
          <w:tcPr>
            <w:tcW w:w="4559" w:type="dxa"/>
          </w:tcPr>
          <w:p w14:paraId="1FFFA701"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140 (2.6%)</w:t>
            </w:r>
          </w:p>
        </w:tc>
      </w:tr>
      <w:tr w:rsidR="003F67A5" w:rsidRPr="00AF52CB" w14:paraId="5F02D31E" w14:textId="77777777" w:rsidTr="006D519A">
        <w:tc>
          <w:tcPr>
            <w:tcW w:w="4508" w:type="dxa"/>
            <w:shd w:val="clear" w:color="auto" w:fill="auto"/>
          </w:tcPr>
          <w:p w14:paraId="4F5D8EE7"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Blood group</w:t>
            </w:r>
          </w:p>
        </w:tc>
        <w:tc>
          <w:tcPr>
            <w:tcW w:w="4559" w:type="dxa"/>
          </w:tcPr>
          <w:p w14:paraId="5340261C" w14:textId="77777777" w:rsidR="003F67A5" w:rsidRPr="00AF52CB" w:rsidRDefault="003F67A5" w:rsidP="006D519A">
            <w:pPr>
              <w:spacing w:after="100"/>
              <w:jc w:val="right"/>
              <w:rPr>
                <w:rFonts w:eastAsia="Times New Roman" w:cstheme="minorHAnsi"/>
                <w:lang w:eastAsia="en-GB"/>
              </w:rPr>
            </w:pPr>
          </w:p>
        </w:tc>
      </w:tr>
      <w:tr w:rsidR="003F67A5" w:rsidRPr="00AF52CB" w14:paraId="109A0302" w14:textId="77777777" w:rsidTr="006D519A">
        <w:tc>
          <w:tcPr>
            <w:tcW w:w="4508" w:type="dxa"/>
            <w:shd w:val="clear" w:color="auto" w:fill="auto"/>
          </w:tcPr>
          <w:p w14:paraId="0A6A02AA"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O</w:t>
            </w:r>
          </w:p>
        </w:tc>
        <w:tc>
          <w:tcPr>
            <w:tcW w:w="4559" w:type="dxa"/>
          </w:tcPr>
          <w:p w14:paraId="1FF4E24A"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3,135 (57.0%)</w:t>
            </w:r>
          </w:p>
        </w:tc>
      </w:tr>
      <w:tr w:rsidR="003F67A5" w:rsidRPr="00AF52CB" w14:paraId="3056B47B" w14:textId="77777777" w:rsidTr="006D519A">
        <w:tc>
          <w:tcPr>
            <w:tcW w:w="4508" w:type="dxa"/>
            <w:shd w:val="clear" w:color="auto" w:fill="auto"/>
          </w:tcPr>
          <w:p w14:paraId="7F721A32"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A</w:t>
            </w:r>
          </w:p>
        </w:tc>
        <w:tc>
          <w:tcPr>
            <w:tcW w:w="4559" w:type="dxa"/>
          </w:tcPr>
          <w:p w14:paraId="5763F263"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1,590 (28.9%)</w:t>
            </w:r>
          </w:p>
        </w:tc>
      </w:tr>
      <w:tr w:rsidR="003F67A5" w:rsidRPr="00AF52CB" w14:paraId="72F0B4CE" w14:textId="77777777" w:rsidTr="006D519A">
        <w:tc>
          <w:tcPr>
            <w:tcW w:w="4508" w:type="dxa"/>
            <w:shd w:val="clear" w:color="auto" w:fill="auto"/>
          </w:tcPr>
          <w:p w14:paraId="09569779"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B</w:t>
            </w:r>
          </w:p>
        </w:tc>
        <w:tc>
          <w:tcPr>
            <w:tcW w:w="4559" w:type="dxa"/>
          </w:tcPr>
          <w:p w14:paraId="59FDA6B1"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684 (12.4%)</w:t>
            </w:r>
          </w:p>
        </w:tc>
      </w:tr>
      <w:tr w:rsidR="003F67A5" w:rsidRPr="00AF52CB" w14:paraId="7A238438" w14:textId="77777777" w:rsidTr="006D519A">
        <w:tc>
          <w:tcPr>
            <w:tcW w:w="4508" w:type="dxa"/>
            <w:shd w:val="clear" w:color="auto" w:fill="auto"/>
          </w:tcPr>
          <w:p w14:paraId="1755413E"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AB</w:t>
            </w:r>
          </w:p>
        </w:tc>
        <w:tc>
          <w:tcPr>
            <w:tcW w:w="4559" w:type="dxa"/>
          </w:tcPr>
          <w:p w14:paraId="3CB4AB7C"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91 (1.7%)</w:t>
            </w:r>
          </w:p>
        </w:tc>
      </w:tr>
      <w:tr w:rsidR="003F67A5" w:rsidRPr="00AF52CB" w14:paraId="6C5FCEBF" w14:textId="77777777" w:rsidTr="006D519A">
        <w:tc>
          <w:tcPr>
            <w:tcW w:w="4508" w:type="dxa"/>
            <w:shd w:val="clear" w:color="auto" w:fill="auto"/>
          </w:tcPr>
          <w:p w14:paraId="3F943FD2"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Highly sensitised</w:t>
            </w:r>
          </w:p>
        </w:tc>
        <w:tc>
          <w:tcPr>
            <w:tcW w:w="4559" w:type="dxa"/>
          </w:tcPr>
          <w:p w14:paraId="35612F49"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468 (8.5%)</w:t>
            </w:r>
          </w:p>
        </w:tc>
      </w:tr>
      <w:tr w:rsidR="003F67A5" w:rsidRPr="00AF52CB" w14:paraId="18B236BB" w14:textId="77777777" w:rsidTr="006D519A">
        <w:tc>
          <w:tcPr>
            <w:tcW w:w="4508" w:type="dxa"/>
            <w:shd w:val="clear" w:color="auto" w:fill="auto"/>
          </w:tcPr>
          <w:p w14:paraId="328B5D50"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Primary renal diagnosis</w:t>
            </w:r>
          </w:p>
        </w:tc>
        <w:tc>
          <w:tcPr>
            <w:tcW w:w="4559" w:type="dxa"/>
          </w:tcPr>
          <w:p w14:paraId="27879D81" w14:textId="77777777" w:rsidR="003F67A5" w:rsidRPr="00AF52CB" w:rsidRDefault="003F67A5" w:rsidP="006D519A">
            <w:pPr>
              <w:spacing w:after="100"/>
              <w:jc w:val="right"/>
              <w:rPr>
                <w:rFonts w:eastAsia="Times New Roman" w:cstheme="minorHAnsi"/>
                <w:lang w:eastAsia="en-GB"/>
              </w:rPr>
            </w:pPr>
          </w:p>
        </w:tc>
      </w:tr>
      <w:tr w:rsidR="003F67A5" w:rsidRPr="00AF52CB" w14:paraId="3BA8DF7B" w14:textId="77777777" w:rsidTr="006D519A">
        <w:tc>
          <w:tcPr>
            <w:tcW w:w="4508" w:type="dxa"/>
            <w:shd w:val="clear" w:color="auto" w:fill="auto"/>
          </w:tcPr>
          <w:p w14:paraId="07EA67BF"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Diabetes</w:t>
            </w:r>
          </w:p>
        </w:tc>
        <w:tc>
          <w:tcPr>
            <w:tcW w:w="4559" w:type="dxa"/>
          </w:tcPr>
          <w:p w14:paraId="469ACCA0"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826 (15.0%)</w:t>
            </w:r>
          </w:p>
        </w:tc>
      </w:tr>
      <w:tr w:rsidR="003F67A5" w:rsidRPr="00AF52CB" w14:paraId="02F2F6D2" w14:textId="77777777" w:rsidTr="006D519A">
        <w:tc>
          <w:tcPr>
            <w:tcW w:w="4508" w:type="dxa"/>
            <w:shd w:val="clear" w:color="auto" w:fill="auto"/>
          </w:tcPr>
          <w:p w14:paraId="589244DA"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P</w:t>
            </w:r>
            <w:r>
              <w:rPr>
                <w:rFonts w:eastAsia="Times New Roman" w:cstheme="minorHAnsi"/>
                <w:lang w:eastAsia="en-GB"/>
              </w:rPr>
              <w:t>olycystic kidney disease</w:t>
            </w:r>
          </w:p>
        </w:tc>
        <w:tc>
          <w:tcPr>
            <w:tcW w:w="4559" w:type="dxa"/>
          </w:tcPr>
          <w:p w14:paraId="7E6850DC"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82 (1.5%)</w:t>
            </w:r>
          </w:p>
        </w:tc>
      </w:tr>
      <w:tr w:rsidR="003F67A5" w:rsidRPr="00AF52CB" w14:paraId="7BC91C63" w14:textId="77777777" w:rsidTr="006D519A">
        <w:tc>
          <w:tcPr>
            <w:tcW w:w="4508" w:type="dxa"/>
            <w:shd w:val="clear" w:color="auto" w:fill="auto"/>
          </w:tcPr>
          <w:p w14:paraId="3DF3832C"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Comorbidities</w:t>
            </w:r>
          </w:p>
        </w:tc>
        <w:tc>
          <w:tcPr>
            <w:tcW w:w="4559" w:type="dxa"/>
          </w:tcPr>
          <w:p w14:paraId="41FC0142" w14:textId="77777777" w:rsidR="003F67A5" w:rsidRPr="00AF52CB" w:rsidRDefault="003F67A5" w:rsidP="006D519A">
            <w:pPr>
              <w:spacing w:after="100"/>
              <w:jc w:val="right"/>
              <w:rPr>
                <w:rFonts w:eastAsia="Times New Roman" w:cstheme="minorHAnsi"/>
                <w:lang w:eastAsia="en-GB"/>
              </w:rPr>
            </w:pPr>
          </w:p>
        </w:tc>
      </w:tr>
      <w:tr w:rsidR="003F67A5" w:rsidRPr="00AF52CB" w14:paraId="09967DE4" w14:textId="77777777" w:rsidTr="006D519A">
        <w:tc>
          <w:tcPr>
            <w:tcW w:w="4508" w:type="dxa"/>
            <w:shd w:val="clear" w:color="auto" w:fill="auto"/>
          </w:tcPr>
          <w:p w14:paraId="6D52F2E1"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Ischaemic heart disease</w:t>
            </w:r>
          </w:p>
        </w:tc>
        <w:tc>
          <w:tcPr>
            <w:tcW w:w="4559" w:type="dxa"/>
          </w:tcPr>
          <w:p w14:paraId="223C97C1"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475 (8.6%)</w:t>
            </w:r>
          </w:p>
        </w:tc>
      </w:tr>
      <w:tr w:rsidR="003F67A5" w:rsidRPr="00AF52CB" w14:paraId="4576618C" w14:textId="77777777" w:rsidTr="006D519A">
        <w:tc>
          <w:tcPr>
            <w:tcW w:w="4508" w:type="dxa"/>
            <w:shd w:val="clear" w:color="auto" w:fill="auto"/>
          </w:tcPr>
          <w:p w14:paraId="6D683ED6"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Congestive heart failure</w:t>
            </w:r>
          </w:p>
        </w:tc>
        <w:tc>
          <w:tcPr>
            <w:tcW w:w="4559" w:type="dxa"/>
          </w:tcPr>
          <w:p w14:paraId="533F7B9F"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178 (3.2%)</w:t>
            </w:r>
          </w:p>
        </w:tc>
      </w:tr>
      <w:tr w:rsidR="003F67A5" w:rsidRPr="00AF52CB" w14:paraId="0E7007FE" w14:textId="77777777" w:rsidTr="006D519A">
        <w:tc>
          <w:tcPr>
            <w:tcW w:w="4508" w:type="dxa"/>
            <w:shd w:val="clear" w:color="auto" w:fill="auto"/>
          </w:tcPr>
          <w:p w14:paraId="69890914"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Peripheral vascular disease</w:t>
            </w:r>
          </w:p>
        </w:tc>
        <w:tc>
          <w:tcPr>
            <w:tcW w:w="4559" w:type="dxa"/>
          </w:tcPr>
          <w:p w14:paraId="492E4092"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199 (3.6%)</w:t>
            </w:r>
          </w:p>
        </w:tc>
      </w:tr>
      <w:tr w:rsidR="003F67A5" w:rsidRPr="00AF52CB" w14:paraId="2EFABD7B" w14:textId="77777777" w:rsidTr="006D519A">
        <w:tc>
          <w:tcPr>
            <w:tcW w:w="4508" w:type="dxa"/>
            <w:shd w:val="clear" w:color="auto" w:fill="auto"/>
          </w:tcPr>
          <w:p w14:paraId="7AEF64C6"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Cerebrovascular disease</w:t>
            </w:r>
          </w:p>
        </w:tc>
        <w:tc>
          <w:tcPr>
            <w:tcW w:w="4559" w:type="dxa"/>
          </w:tcPr>
          <w:p w14:paraId="4CFA0766"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293 (5.3%)</w:t>
            </w:r>
          </w:p>
        </w:tc>
      </w:tr>
      <w:tr w:rsidR="003F67A5" w:rsidRPr="00AF52CB" w14:paraId="56ADB33F" w14:textId="77777777" w:rsidTr="006D519A">
        <w:tc>
          <w:tcPr>
            <w:tcW w:w="4508" w:type="dxa"/>
            <w:shd w:val="clear" w:color="auto" w:fill="auto"/>
          </w:tcPr>
          <w:p w14:paraId="6443E0F6"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Respiratory disease</w:t>
            </w:r>
          </w:p>
        </w:tc>
        <w:tc>
          <w:tcPr>
            <w:tcW w:w="4559" w:type="dxa"/>
          </w:tcPr>
          <w:p w14:paraId="1B1A2FEF"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447 (8.1%)</w:t>
            </w:r>
          </w:p>
        </w:tc>
      </w:tr>
      <w:tr w:rsidR="003F67A5" w:rsidRPr="00AF52CB" w14:paraId="446D33BC" w14:textId="77777777" w:rsidTr="006D519A">
        <w:tc>
          <w:tcPr>
            <w:tcW w:w="4508" w:type="dxa"/>
            <w:shd w:val="clear" w:color="auto" w:fill="auto"/>
          </w:tcPr>
          <w:p w14:paraId="60C26667"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Liver disease</w:t>
            </w:r>
          </w:p>
        </w:tc>
        <w:tc>
          <w:tcPr>
            <w:tcW w:w="4559" w:type="dxa"/>
          </w:tcPr>
          <w:p w14:paraId="1CDF7A8D"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74 (1.4%)</w:t>
            </w:r>
          </w:p>
        </w:tc>
      </w:tr>
      <w:tr w:rsidR="003F67A5" w:rsidRPr="00AF52CB" w14:paraId="79F25860" w14:textId="77777777" w:rsidTr="006D519A">
        <w:tc>
          <w:tcPr>
            <w:tcW w:w="4508" w:type="dxa"/>
            <w:shd w:val="clear" w:color="auto" w:fill="auto"/>
          </w:tcPr>
          <w:p w14:paraId="2C669C33"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Malignancy</w:t>
            </w:r>
          </w:p>
        </w:tc>
        <w:tc>
          <w:tcPr>
            <w:tcW w:w="4559" w:type="dxa"/>
          </w:tcPr>
          <w:p w14:paraId="77830F64"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262 (4.8%)</w:t>
            </w:r>
          </w:p>
        </w:tc>
      </w:tr>
      <w:tr w:rsidR="003F67A5" w:rsidRPr="00AF52CB" w14:paraId="4D968E41" w14:textId="77777777" w:rsidTr="006D519A">
        <w:tc>
          <w:tcPr>
            <w:tcW w:w="4508" w:type="dxa"/>
            <w:shd w:val="clear" w:color="auto" w:fill="auto"/>
          </w:tcPr>
          <w:p w14:paraId="61354E30"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Mental illness</w:t>
            </w:r>
          </w:p>
        </w:tc>
        <w:tc>
          <w:tcPr>
            <w:tcW w:w="4559" w:type="dxa"/>
          </w:tcPr>
          <w:p w14:paraId="55057641"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403 (7.3%)</w:t>
            </w:r>
          </w:p>
        </w:tc>
      </w:tr>
      <w:tr w:rsidR="003F67A5" w:rsidRPr="00AF52CB" w14:paraId="6827D9FB" w14:textId="77777777" w:rsidTr="006D519A">
        <w:tc>
          <w:tcPr>
            <w:tcW w:w="4508" w:type="dxa"/>
            <w:shd w:val="clear" w:color="auto" w:fill="auto"/>
          </w:tcPr>
          <w:p w14:paraId="23DC2A02"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lastRenderedPageBreak/>
              <w:t>Smoker</w:t>
            </w:r>
          </w:p>
        </w:tc>
        <w:tc>
          <w:tcPr>
            <w:tcW w:w="4559" w:type="dxa"/>
          </w:tcPr>
          <w:p w14:paraId="504452C3"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730 (13.3%)</w:t>
            </w:r>
          </w:p>
        </w:tc>
      </w:tr>
      <w:tr w:rsidR="003F67A5" w:rsidRPr="00AF52CB" w14:paraId="180B33B4" w14:textId="77777777" w:rsidTr="006D519A">
        <w:tc>
          <w:tcPr>
            <w:tcW w:w="4508" w:type="dxa"/>
            <w:shd w:val="clear" w:color="auto" w:fill="auto"/>
          </w:tcPr>
          <w:p w14:paraId="5BE2558A"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Years on dialysis at time of listing</w:t>
            </w:r>
          </w:p>
        </w:tc>
        <w:tc>
          <w:tcPr>
            <w:tcW w:w="4559" w:type="dxa"/>
          </w:tcPr>
          <w:p w14:paraId="14F8636E" w14:textId="77777777" w:rsidR="003F67A5" w:rsidRPr="00AF52CB" w:rsidRDefault="003F67A5" w:rsidP="006D519A">
            <w:pPr>
              <w:spacing w:after="100"/>
              <w:jc w:val="right"/>
              <w:rPr>
                <w:rFonts w:eastAsia="Times New Roman" w:cstheme="minorHAnsi"/>
                <w:lang w:eastAsia="en-GB"/>
              </w:rPr>
            </w:pPr>
          </w:p>
        </w:tc>
      </w:tr>
      <w:tr w:rsidR="003F67A5" w:rsidRPr="00AF52CB" w14:paraId="3A7FEFAE" w14:textId="77777777" w:rsidTr="006D519A">
        <w:tc>
          <w:tcPr>
            <w:tcW w:w="4508" w:type="dxa"/>
            <w:shd w:val="clear" w:color="auto" w:fill="auto"/>
          </w:tcPr>
          <w:p w14:paraId="00CB3179"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Pre-dialysis</w:t>
            </w:r>
          </w:p>
        </w:tc>
        <w:tc>
          <w:tcPr>
            <w:tcW w:w="4559" w:type="dxa"/>
          </w:tcPr>
          <w:p w14:paraId="0E35A176"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2,413 (43.9%)</w:t>
            </w:r>
          </w:p>
        </w:tc>
      </w:tr>
      <w:tr w:rsidR="003F67A5" w:rsidRPr="00AF52CB" w14:paraId="04E4B2CF" w14:textId="77777777" w:rsidTr="006D519A">
        <w:tc>
          <w:tcPr>
            <w:tcW w:w="4508" w:type="dxa"/>
            <w:shd w:val="clear" w:color="auto" w:fill="auto"/>
          </w:tcPr>
          <w:p w14:paraId="591AB3F3"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&lt;1 year</w:t>
            </w:r>
          </w:p>
        </w:tc>
        <w:tc>
          <w:tcPr>
            <w:tcW w:w="4559" w:type="dxa"/>
          </w:tcPr>
          <w:p w14:paraId="7076493E"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1,490 (27.1%)</w:t>
            </w:r>
          </w:p>
        </w:tc>
      </w:tr>
      <w:tr w:rsidR="003F67A5" w:rsidRPr="00AF52CB" w14:paraId="147215DC" w14:textId="77777777" w:rsidTr="006D519A">
        <w:tc>
          <w:tcPr>
            <w:tcW w:w="4508" w:type="dxa"/>
            <w:shd w:val="clear" w:color="auto" w:fill="auto"/>
          </w:tcPr>
          <w:p w14:paraId="54AC563C"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1-3 years</w:t>
            </w:r>
          </w:p>
        </w:tc>
        <w:tc>
          <w:tcPr>
            <w:tcW w:w="4559" w:type="dxa"/>
          </w:tcPr>
          <w:p w14:paraId="72752DFC"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879 (16.0%)</w:t>
            </w:r>
          </w:p>
        </w:tc>
      </w:tr>
      <w:tr w:rsidR="003F67A5" w:rsidRPr="00AF52CB" w14:paraId="53F762BC" w14:textId="77777777" w:rsidTr="006D519A">
        <w:tc>
          <w:tcPr>
            <w:tcW w:w="4508" w:type="dxa"/>
            <w:shd w:val="clear" w:color="auto" w:fill="auto"/>
          </w:tcPr>
          <w:p w14:paraId="77BD4F64" w14:textId="77777777" w:rsidR="003F67A5" w:rsidRPr="00AF52CB" w:rsidRDefault="003F67A5" w:rsidP="006D519A">
            <w:pPr>
              <w:spacing w:after="100"/>
              <w:ind w:left="306"/>
              <w:rPr>
                <w:rFonts w:cs="Arial"/>
                <w:shd w:val="clear" w:color="auto" w:fill="FFFFFF"/>
              </w:rPr>
            </w:pPr>
            <w:r w:rsidRPr="00AF52CB">
              <w:rPr>
                <w:rFonts w:cs="Arial"/>
                <w:shd w:val="clear" w:color="auto" w:fill="FFFFFF"/>
              </w:rPr>
              <w:t>&gt; 3 years</w:t>
            </w:r>
          </w:p>
        </w:tc>
        <w:tc>
          <w:tcPr>
            <w:tcW w:w="4559" w:type="dxa"/>
          </w:tcPr>
          <w:p w14:paraId="349BB18E"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263 (4.8%)</w:t>
            </w:r>
          </w:p>
        </w:tc>
      </w:tr>
      <w:tr w:rsidR="003F67A5" w:rsidRPr="00AF52CB" w14:paraId="659DAC18" w14:textId="77777777" w:rsidTr="006D519A">
        <w:tc>
          <w:tcPr>
            <w:tcW w:w="4508" w:type="dxa"/>
            <w:tcBorders>
              <w:bottom w:val="single" w:sz="4" w:space="0" w:color="auto"/>
            </w:tcBorders>
            <w:shd w:val="clear" w:color="auto" w:fill="auto"/>
          </w:tcPr>
          <w:p w14:paraId="5493B172" w14:textId="77777777" w:rsidR="003F67A5" w:rsidRPr="00AF52CB" w:rsidRDefault="003F67A5" w:rsidP="006D519A">
            <w:pPr>
              <w:spacing w:after="100"/>
              <w:ind w:left="306"/>
              <w:rPr>
                <w:rFonts w:cs="Arial"/>
                <w:shd w:val="clear" w:color="auto" w:fill="FFFFFF"/>
              </w:rPr>
            </w:pPr>
            <w:r w:rsidRPr="00AF52CB">
              <w:rPr>
                <w:rFonts w:cs="Arial"/>
                <w:shd w:val="clear" w:color="auto" w:fill="FFFFFF"/>
              </w:rPr>
              <w:t xml:space="preserve">Missing </w:t>
            </w:r>
          </w:p>
        </w:tc>
        <w:tc>
          <w:tcPr>
            <w:tcW w:w="4559" w:type="dxa"/>
            <w:tcBorders>
              <w:bottom w:val="single" w:sz="4" w:space="0" w:color="auto"/>
            </w:tcBorders>
          </w:tcPr>
          <w:p w14:paraId="410B3283"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455 (8.3%)</w:t>
            </w:r>
          </w:p>
        </w:tc>
      </w:tr>
    </w:tbl>
    <w:p w14:paraId="6CE0131F" w14:textId="77777777" w:rsidR="003F67A5" w:rsidRDefault="003F67A5" w:rsidP="003F67A5">
      <w:pPr>
        <w:rPr>
          <w:rFonts w:ascii="Arial" w:hAnsi="Arial" w:cs="Arial"/>
          <w:sz w:val="21"/>
          <w:szCs w:val="21"/>
        </w:rPr>
      </w:pPr>
    </w:p>
    <w:p w14:paraId="35A45C63" w14:textId="77777777" w:rsidR="00BC177B" w:rsidRDefault="00BC177B">
      <w:pPr>
        <w:spacing w:after="160" w:line="259" w:lineRule="auto"/>
        <w:rPr>
          <w:rFonts w:cstheme="minorHAnsi"/>
          <w:b/>
          <w:bCs/>
          <w:sz w:val="24"/>
          <w:szCs w:val="24"/>
        </w:rPr>
      </w:pPr>
      <w:r>
        <w:rPr>
          <w:rFonts w:cstheme="minorHAnsi"/>
          <w:b/>
          <w:bCs/>
          <w:sz w:val="24"/>
          <w:szCs w:val="24"/>
        </w:rPr>
        <w:br w:type="page"/>
      </w:r>
    </w:p>
    <w:p w14:paraId="5CECA937" w14:textId="1542903E" w:rsidR="00001002" w:rsidRPr="005A3B91" w:rsidRDefault="00001002" w:rsidP="00001002">
      <w:pPr>
        <w:rPr>
          <w:rFonts w:cstheme="minorHAnsi"/>
          <w:sz w:val="24"/>
          <w:szCs w:val="24"/>
        </w:rPr>
      </w:pPr>
      <w:r w:rsidRPr="005A3B91">
        <w:rPr>
          <w:rFonts w:cstheme="minorHAnsi"/>
          <w:b/>
          <w:bCs/>
          <w:sz w:val="24"/>
          <w:szCs w:val="24"/>
        </w:rPr>
        <w:lastRenderedPageBreak/>
        <w:t>Table 3.</w:t>
      </w:r>
      <w:r w:rsidRPr="005A3B91">
        <w:rPr>
          <w:rFonts w:cstheme="minorHAnsi"/>
          <w:sz w:val="24"/>
          <w:szCs w:val="24"/>
        </w:rPr>
        <w:t xml:space="preserve"> Characteristics of the donor cohort </w:t>
      </w:r>
      <w:r w:rsidR="005A3B91" w:rsidRPr="005A3B91">
        <w:rPr>
          <w:rFonts w:cstheme="minorHAnsi"/>
          <w:sz w:val="24"/>
          <w:szCs w:val="24"/>
        </w:rPr>
        <w:t xml:space="preserve">(n=2200) </w:t>
      </w:r>
      <w:r w:rsidRPr="005A3B91">
        <w:rPr>
          <w:rFonts w:cstheme="minorHAnsi"/>
          <w:sz w:val="24"/>
          <w:szCs w:val="24"/>
        </w:rPr>
        <w:t>used in the simulation model</w:t>
      </w:r>
    </w:p>
    <w:tbl>
      <w:tblPr>
        <w:tblStyle w:val="TableGrid"/>
        <w:tblW w:w="90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59"/>
      </w:tblGrid>
      <w:tr w:rsidR="003F67A5" w:rsidRPr="006D31F7" w14:paraId="46425DCF" w14:textId="77777777" w:rsidTr="006D519A">
        <w:trPr>
          <w:trHeight w:val="327"/>
        </w:trPr>
        <w:tc>
          <w:tcPr>
            <w:tcW w:w="4508" w:type="dxa"/>
            <w:tcBorders>
              <w:top w:val="single" w:sz="4" w:space="0" w:color="auto"/>
              <w:bottom w:val="single" w:sz="4" w:space="0" w:color="auto"/>
            </w:tcBorders>
          </w:tcPr>
          <w:p w14:paraId="373BD16E" w14:textId="77777777" w:rsidR="003F67A5" w:rsidRPr="00AF52CB" w:rsidRDefault="003F67A5" w:rsidP="006D519A">
            <w:pPr>
              <w:spacing w:after="100"/>
              <w:rPr>
                <w:rFonts w:eastAsia="Times New Roman" w:cstheme="minorHAnsi"/>
                <w:lang w:eastAsia="en-GB"/>
              </w:rPr>
            </w:pPr>
          </w:p>
        </w:tc>
        <w:tc>
          <w:tcPr>
            <w:tcW w:w="4559" w:type="dxa"/>
            <w:tcBorders>
              <w:top w:val="single" w:sz="4" w:space="0" w:color="auto"/>
              <w:bottom w:val="single" w:sz="4" w:space="0" w:color="auto"/>
            </w:tcBorders>
            <w:vAlign w:val="center"/>
          </w:tcPr>
          <w:p w14:paraId="0CDE467A" w14:textId="77777777" w:rsidR="003F67A5" w:rsidRPr="006D31F7" w:rsidRDefault="003F67A5" w:rsidP="006D519A">
            <w:pPr>
              <w:spacing w:after="100"/>
              <w:jc w:val="right"/>
              <w:rPr>
                <w:rFonts w:eastAsia="Times New Roman" w:cstheme="minorHAnsi"/>
                <w:b/>
                <w:bCs/>
                <w:lang w:eastAsia="en-GB"/>
              </w:rPr>
            </w:pPr>
            <w:r w:rsidRPr="006D31F7">
              <w:rPr>
                <w:rFonts w:eastAsia="Times New Roman" w:cstheme="minorHAnsi"/>
                <w:b/>
                <w:bCs/>
                <w:lang w:eastAsia="en-GB"/>
              </w:rPr>
              <w:t>n (%)</w:t>
            </w:r>
          </w:p>
        </w:tc>
      </w:tr>
      <w:tr w:rsidR="003F67A5" w14:paraId="4B928C37" w14:textId="77777777" w:rsidTr="006D519A">
        <w:tc>
          <w:tcPr>
            <w:tcW w:w="4508" w:type="dxa"/>
            <w:tcBorders>
              <w:top w:val="single" w:sz="4" w:space="0" w:color="auto"/>
            </w:tcBorders>
          </w:tcPr>
          <w:p w14:paraId="7B159D78"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Age</w:t>
            </w:r>
            <w:r>
              <w:rPr>
                <w:rFonts w:eastAsia="Times New Roman" w:cstheme="minorHAnsi"/>
                <w:lang w:eastAsia="en-GB"/>
              </w:rPr>
              <w:t xml:space="preserve"> (years)</w:t>
            </w:r>
          </w:p>
        </w:tc>
        <w:tc>
          <w:tcPr>
            <w:tcW w:w="4559" w:type="dxa"/>
            <w:tcBorders>
              <w:top w:val="single" w:sz="4" w:space="0" w:color="auto"/>
            </w:tcBorders>
          </w:tcPr>
          <w:p w14:paraId="07470B8B" w14:textId="77777777" w:rsidR="003F67A5" w:rsidRPr="00AF52CB" w:rsidRDefault="003F67A5" w:rsidP="006D519A">
            <w:pPr>
              <w:spacing w:after="100"/>
              <w:jc w:val="right"/>
              <w:rPr>
                <w:rFonts w:eastAsia="Times New Roman" w:cstheme="minorHAnsi"/>
                <w:lang w:eastAsia="en-GB"/>
              </w:rPr>
            </w:pPr>
          </w:p>
        </w:tc>
      </w:tr>
      <w:tr w:rsidR="003F67A5" w14:paraId="1B9554A9" w14:textId="77777777" w:rsidTr="006D519A">
        <w:tc>
          <w:tcPr>
            <w:tcW w:w="4508" w:type="dxa"/>
          </w:tcPr>
          <w:p w14:paraId="501A0713"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&lt;30</w:t>
            </w:r>
          </w:p>
        </w:tc>
        <w:tc>
          <w:tcPr>
            <w:tcW w:w="4559" w:type="dxa"/>
          </w:tcPr>
          <w:p w14:paraId="118E4FBA"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394 (17.9%)</w:t>
            </w:r>
          </w:p>
        </w:tc>
      </w:tr>
      <w:tr w:rsidR="003F67A5" w14:paraId="4DD61160" w14:textId="77777777" w:rsidTr="006D519A">
        <w:tc>
          <w:tcPr>
            <w:tcW w:w="4508" w:type="dxa"/>
          </w:tcPr>
          <w:p w14:paraId="4ADD92D0" w14:textId="77777777" w:rsidR="003F67A5" w:rsidRPr="00AF52CB" w:rsidRDefault="003F67A5" w:rsidP="006D519A">
            <w:pPr>
              <w:spacing w:after="100"/>
              <w:ind w:left="306"/>
              <w:rPr>
                <w:rFonts w:cs="Arial"/>
                <w:shd w:val="clear" w:color="auto" w:fill="FFFFFF"/>
              </w:rPr>
            </w:pPr>
            <w:r w:rsidRPr="00AF52CB">
              <w:rPr>
                <w:rFonts w:cs="Arial"/>
                <w:shd w:val="clear" w:color="auto" w:fill="FFFFFF"/>
              </w:rPr>
              <w:t>30-39</w:t>
            </w:r>
          </w:p>
        </w:tc>
        <w:tc>
          <w:tcPr>
            <w:tcW w:w="4559" w:type="dxa"/>
          </w:tcPr>
          <w:p w14:paraId="315610FA"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283 (12.9%)</w:t>
            </w:r>
          </w:p>
        </w:tc>
      </w:tr>
      <w:tr w:rsidR="003F67A5" w14:paraId="5B5AFD89" w14:textId="77777777" w:rsidTr="006D519A">
        <w:tc>
          <w:tcPr>
            <w:tcW w:w="4508" w:type="dxa"/>
          </w:tcPr>
          <w:p w14:paraId="28655F73"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40-49</w:t>
            </w:r>
          </w:p>
        </w:tc>
        <w:tc>
          <w:tcPr>
            <w:tcW w:w="4559" w:type="dxa"/>
          </w:tcPr>
          <w:p w14:paraId="540B94DE"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503 (22.9%)</w:t>
            </w:r>
          </w:p>
        </w:tc>
      </w:tr>
      <w:tr w:rsidR="003F67A5" w14:paraId="4F89693D" w14:textId="77777777" w:rsidTr="006D519A">
        <w:tc>
          <w:tcPr>
            <w:tcW w:w="4508" w:type="dxa"/>
          </w:tcPr>
          <w:p w14:paraId="4CBD5865" w14:textId="77777777" w:rsidR="003F67A5" w:rsidRPr="00AF52CB" w:rsidRDefault="003F67A5" w:rsidP="006D519A">
            <w:pPr>
              <w:spacing w:after="100"/>
              <w:ind w:left="306"/>
              <w:rPr>
                <w:rFonts w:eastAsia="Times New Roman" w:cstheme="minorHAnsi"/>
                <w:lang w:eastAsia="en-GB"/>
              </w:rPr>
            </w:pPr>
            <w:r w:rsidRPr="00AF52CB">
              <w:rPr>
                <w:rFonts w:cs="Arial"/>
                <w:shd w:val="clear" w:color="auto" w:fill="FFFFFF"/>
              </w:rPr>
              <w:t>50-59</w:t>
            </w:r>
          </w:p>
        </w:tc>
        <w:tc>
          <w:tcPr>
            <w:tcW w:w="4559" w:type="dxa"/>
          </w:tcPr>
          <w:p w14:paraId="16F4FC8D"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548 (24.9%)</w:t>
            </w:r>
          </w:p>
        </w:tc>
      </w:tr>
      <w:tr w:rsidR="003F67A5" w14:paraId="46ECAE36" w14:textId="77777777" w:rsidTr="006D519A">
        <w:tc>
          <w:tcPr>
            <w:tcW w:w="4508" w:type="dxa"/>
          </w:tcPr>
          <w:p w14:paraId="659735F4" w14:textId="77777777" w:rsidR="003F67A5" w:rsidRPr="00AF52CB" w:rsidRDefault="003F67A5" w:rsidP="006D519A">
            <w:pPr>
              <w:spacing w:after="100"/>
              <w:ind w:left="306"/>
              <w:rPr>
                <w:rFonts w:eastAsia="Times New Roman" w:cstheme="minorHAnsi"/>
                <w:lang w:eastAsia="en-GB"/>
              </w:rPr>
            </w:pPr>
            <w:r w:rsidRPr="00AF52CB">
              <w:rPr>
                <w:rFonts w:cs="Arial"/>
                <w:b/>
                <w:szCs w:val="20"/>
              </w:rPr>
              <w:t>≥</w:t>
            </w:r>
            <w:r w:rsidRPr="00AF52CB">
              <w:rPr>
                <w:rFonts w:cs="Arial"/>
                <w:shd w:val="clear" w:color="auto" w:fill="FFFFFF"/>
              </w:rPr>
              <w:t>60</w:t>
            </w:r>
          </w:p>
        </w:tc>
        <w:tc>
          <w:tcPr>
            <w:tcW w:w="4559" w:type="dxa"/>
          </w:tcPr>
          <w:p w14:paraId="74FDC7F3"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472 (21.5%)</w:t>
            </w:r>
          </w:p>
        </w:tc>
      </w:tr>
      <w:tr w:rsidR="003F67A5" w14:paraId="1B984F1F" w14:textId="77777777" w:rsidTr="006D519A">
        <w:tc>
          <w:tcPr>
            <w:tcW w:w="4508" w:type="dxa"/>
          </w:tcPr>
          <w:p w14:paraId="00E42E0E"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 xml:space="preserve">Blood group </w:t>
            </w:r>
          </w:p>
        </w:tc>
        <w:tc>
          <w:tcPr>
            <w:tcW w:w="4559" w:type="dxa"/>
          </w:tcPr>
          <w:p w14:paraId="4CC779CB" w14:textId="77777777" w:rsidR="003F67A5" w:rsidRPr="00AF52CB" w:rsidRDefault="003F67A5" w:rsidP="006D519A">
            <w:pPr>
              <w:spacing w:after="100"/>
              <w:jc w:val="right"/>
              <w:rPr>
                <w:rFonts w:eastAsia="Times New Roman" w:cstheme="minorHAnsi"/>
                <w:lang w:eastAsia="en-GB"/>
              </w:rPr>
            </w:pPr>
          </w:p>
        </w:tc>
      </w:tr>
      <w:tr w:rsidR="003F67A5" w14:paraId="0F50B15D" w14:textId="77777777" w:rsidTr="006D519A">
        <w:tc>
          <w:tcPr>
            <w:tcW w:w="4508" w:type="dxa"/>
          </w:tcPr>
          <w:p w14:paraId="3D200631"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O</w:t>
            </w:r>
          </w:p>
        </w:tc>
        <w:tc>
          <w:tcPr>
            <w:tcW w:w="4559" w:type="dxa"/>
          </w:tcPr>
          <w:p w14:paraId="109A6CE8"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1,024 (46.5%)</w:t>
            </w:r>
          </w:p>
        </w:tc>
      </w:tr>
      <w:tr w:rsidR="003F67A5" w14:paraId="068C47E8" w14:textId="77777777" w:rsidTr="006D519A">
        <w:tc>
          <w:tcPr>
            <w:tcW w:w="4508" w:type="dxa"/>
          </w:tcPr>
          <w:p w14:paraId="25B0EF4A"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A</w:t>
            </w:r>
          </w:p>
        </w:tc>
        <w:tc>
          <w:tcPr>
            <w:tcW w:w="4559" w:type="dxa"/>
          </w:tcPr>
          <w:p w14:paraId="0FD8ADB2"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892 (40.5%)</w:t>
            </w:r>
          </w:p>
        </w:tc>
      </w:tr>
      <w:tr w:rsidR="003F67A5" w14:paraId="55F4313F" w14:textId="77777777" w:rsidTr="006D519A">
        <w:tc>
          <w:tcPr>
            <w:tcW w:w="4508" w:type="dxa"/>
          </w:tcPr>
          <w:p w14:paraId="4EAF3246"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B</w:t>
            </w:r>
          </w:p>
        </w:tc>
        <w:tc>
          <w:tcPr>
            <w:tcW w:w="4559" w:type="dxa"/>
          </w:tcPr>
          <w:p w14:paraId="32287A9A"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197 (9.0%)</w:t>
            </w:r>
          </w:p>
        </w:tc>
      </w:tr>
      <w:tr w:rsidR="003F67A5" w14:paraId="549DBB30" w14:textId="77777777" w:rsidTr="006D519A">
        <w:tc>
          <w:tcPr>
            <w:tcW w:w="4508" w:type="dxa"/>
          </w:tcPr>
          <w:p w14:paraId="14122CC9"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AB</w:t>
            </w:r>
          </w:p>
        </w:tc>
        <w:tc>
          <w:tcPr>
            <w:tcW w:w="4559" w:type="dxa"/>
          </w:tcPr>
          <w:p w14:paraId="184CC7E8"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87 (4.0%)</w:t>
            </w:r>
          </w:p>
        </w:tc>
      </w:tr>
      <w:tr w:rsidR="003F67A5" w14:paraId="0E33F4EA" w14:textId="77777777" w:rsidTr="006D519A">
        <w:tc>
          <w:tcPr>
            <w:tcW w:w="4508" w:type="dxa"/>
          </w:tcPr>
          <w:p w14:paraId="42230B36"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History of hypertension</w:t>
            </w:r>
          </w:p>
        </w:tc>
        <w:tc>
          <w:tcPr>
            <w:tcW w:w="4559" w:type="dxa"/>
          </w:tcPr>
          <w:p w14:paraId="5571EA3C"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499 (22.7%)</w:t>
            </w:r>
          </w:p>
        </w:tc>
      </w:tr>
      <w:tr w:rsidR="003F67A5" w14:paraId="5512DDAA" w14:textId="77777777" w:rsidTr="006D519A">
        <w:tc>
          <w:tcPr>
            <w:tcW w:w="4508" w:type="dxa"/>
          </w:tcPr>
          <w:p w14:paraId="7A4764CF" w14:textId="77777777" w:rsidR="003F67A5" w:rsidRPr="00AF52CB" w:rsidRDefault="003F67A5" w:rsidP="006D519A">
            <w:pPr>
              <w:spacing w:after="100"/>
              <w:rPr>
                <w:rFonts w:eastAsia="Times New Roman" w:cstheme="minorHAnsi"/>
                <w:lang w:eastAsia="en-GB"/>
              </w:rPr>
            </w:pPr>
            <w:r w:rsidRPr="00AF52CB">
              <w:rPr>
                <w:rFonts w:eastAsia="Times New Roman" w:cstheme="minorHAnsi"/>
                <w:lang w:eastAsia="en-GB"/>
              </w:rPr>
              <w:t>UK kidney donor risk index</w:t>
            </w:r>
          </w:p>
        </w:tc>
        <w:tc>
          <w:tcPr>
            <w:tcW w:w="4559" w:type="dxa"/>
          </w:tcPr>
          <w:p w14:paraId="1FF3550F" w14:textId="77777777" w:rsidR="003F67A5" w:rsidRPr="00AF52CB" w:rsidRDefault="003F67A5" w:rsidP="006D519A">
            <w:pPr>
              <w:spacing w:after="100"/>
              <w:jc w:val="right"/>
              <w:rPr>
                <w:rFonts w:eastAsia="Times New Roman" w:cstheme="minorHAnsi"/>
                <w:lang w:eastAsia="en-GB"/>
              </w:rPr>
            </w:pPr>
          </w:p>
        </w:tc>
      </w:tr>
      <w:tr w:rsidR="003F67A5" w14:paraId="2A344197" w14:textId="77777777" w:rsidTr="006D519A">
        <w:tc>
          <w:tcPr>
            <w:tcW w:w="4508" w:type="dxa"/>
          </w:tcPr>
          <w:p w14:paraId="4FCEABF5" w14:textId="77777777" w:rsidR="003F67A5" w:rsidRPr="00AF52CB" w:rsidRDefault="003F67A5" w:rsidP="006D519A">
            <w:pPr>
              <w:spacing w:after="100"/>
              <w:ind w:left="306"/>
              <w:rPr>
                <w:rFonts w:eastAsia="Times New Roman" w:cstheme="minorHAnsi"/>
                <w:lang w:eastAsia="en-GB"/>
              </w:rPr>
            </w:pPr>
            <w:r w:rsidRPr="00AF52CB">
              <w:rPr>
                <w:rFonts w:eastAsia="Times New Roman" w:cstheme="minorHAnsi"/>
                <w:lang w:eastAsia="en-GB"/>
              </w:rPr>
              <w:t>High risk (</w:t>
            </w:r>
            <m:oMath>
              <m:r>
                <w:rPr>
                  <w:rFonts w:ascii="Cambria Math" w:eastAsia="Times New Roman" w:hAnsi="Cambria Math" w:cstheme="minorHAnsi"/>
                  <w:lang w:eastAsia="en-GB"/>
                </w:rPr>
                <m:t>≥</m:t>
              </m:r>
            </m:oMath>
            <w:r w:rsidRPr="00AF52CB">
              <w:rPr>
                <w:rFonts w:eastAsia="Times New Roman" w:cstheme="minorHAnsi"/>
                <w:lang w:eastAsia="en-GB"/>
              </w:rPr>
              <w:t>1.35)</w:t>
            </w:r>
          </w:p>
        </w:tc>
        <w:tc>
          <w:tcPr>
            <w:tcW w:w="4559" w:type="dxa"/>
          </w:tcPr>
          <w:p w14:paraId="46A7B0BE" w14:textId="77777777" w:rsidR="003F67A5" w:rsidRPr="00AF52CB" w:rsidRDefault="003F67A5" w:rsidP="006D519A">
            <w:pPr>
              <w:spacing w:after="100"/>
              <w:jc w:val="right"/>
              <w:rPr>
                <w:rFonts w:eastAsia="Times New Roman" w:cstheme="minorHAnsi"/>
                <w:lang w:eastAsia="en-GB"/>
              </w:rPr>
            </w:pPr>
            <w:r w:rsidRPr="00AF52CB">
              <w:rPr>
                <w:rFonts w:eastAsia="Times New Roman" w:cstheme="minorHAnsi"/>
                <w:lang w:eastAsia="en-GB"/>
              </w:rPr>
              <w:t>582 (26.5%)</w:t>
            </w:r>
          </w:p>
        </w:tc>
      </w:tr>
    </w:tbl>
    <w:p w14:paraId="27DF9E6C" w14:textId="1D60BC48" w:rsidR="005A3B91" w:rsidRPr="00713BAB" w:rsidRDefault="005A3B91">
      <w:pPr>
        <w:rPr>
          <w:rFonts w:cs="Arial"/>
        </w:rPr>
        <w:sectPr w:rsidR="005A3B91" w:rsidRPr="00713BAB" w:rsidSect="00BB3E70">
          <w:headerReference w:type="default" r:id="rId13"/>
          <w:footerReference w:type="default" r:id="rId14"/>
          <w:type w:val="continuous"/>
          <w:pgSz w:w="11906" w:h="16838" w:code="9"/>
          <w:pgMar w:top="1440" w:right="1440" w:bottom="1440" w:left="1440" w:header="708" w:footer="708" w:gutter="0"/>
          <w:cols w:space="708"/>
          <w:docGrid w:linePitch="360"/>
        </w:sectPr>
      </w:pPr>
    </w:p>
    <w:p w14:paraId="270A1D32" w14:textId="77777777" w:rsidR="00AF5770" w:rsidRDefault="00AF5770" w:rsidP="002B68CC">
      <w:pPr>
        <w:rPr>
          <w:rFonts w:eastAsiaTheme="minorEastAsia" w:cs="Arial"/>
          <w:b/>
          <w:color w:val="000000"/>
          <w:shd w:val="clear" w:color="auto" w:fill="FFFFFF"/>
          <w:lang w:eastAsia="en-GB"/>
        </w:rPr>
      </w:pPr>
    </w:p>
    <w:p w14:paraId="2FA88D56" w14:textId="77777777" w:rsidR="003F67A5" w:rsidRDefault="003F67A5" w:rsidP="002B68CC">
      <w:pPr>
        <w:rPr>
          <w:rFonts w:eastAsiaTheme="minorEastAsia" w:cs="Arial"/>
          <w:b/>
          <w:color w:val="000000"/>
          <w:shd w:val="clear" w:color="auto" w:fill="FFFFFF"/>
          <w:lang w:eastAsia="en-GB"/>
        </w:rPr>
      </w:pPr>
    </w:p>
    <w:p w14:paraId="6B97DE30" w14:textId="77777777" w:rsidR="003F67A5" w:rsidRDefault="003F67A5">
      <w:pPr>
        <w:spacing w:after="160" w:line="259" w:lineRule="auto"/>
        <w:rPr>
          <w:rFonts w:cs="Arial"/>
          <w:b/>
          <w:sz w:val="24"/>
        </w:rPr>
      </w:pPr>
      <w:r>
        <w:rPr>
          <w:rFonts w:cs="Arial"/>
          <w:b/>
          <w:sz w:val="24"/>
        </w:rPr>
        <w:br w:type="page"/>
      </w:r>
    </w:p>
    <w:p w14:paraId="7042EA2A" w14:textId="2A970F54" w:rsidR="003F67A5" w:rsidRPr="00CB102D" w:rsidRDefault="003F67A5" w:rsidP="003F67A5">
      <w:pPr>
        <w:tabs>
          <w:tab w:val="left" w:pos="5812"/>
        </w:tabs>
        <w:rPr>
          <w:rFonts w:cs="Arial"/>
          <w:sz w:val="24"/>
        </w:rPr>
      </w:pPr>
      <w:r w:rsidRPr="00CB102D">
        <w:rPr>
          <w:rFonts w:cs="Arial"/>
          <w:b/>
          <w:sz w:val="24"/>
        </w:rPr>
        <w:lastRenderedPageBreak/>
        <w:t xml:space="preserve">Table </w:t>
      </w:r>
      <w:r>
        <w:rPr>
          <w:rFonts w:cs="Arial"/>
          <w:b/>
          <w:sz w:val="24"/>
        </w:rPr>
        <w:t>4</w:t>
      </w:r>
      <w:r>
        <w:rPr>
          <w:rFonts w:cs="Arial"/>
          <w:sz w:val="24"/>
        </w:rPr>
        <w:t>.</w:t>
      </w:r>
      <w:r w:rsidRPr="00CB102D">
        <w:rPr>
          <w:rFonts w:cs="Arial"/>
          <w:sz w:val="24"/>
        </w:rPr>
        <w:t xml:space="preserve"> Summary of characteristics of patients who received a transplant under each allocation scheme </w:t>
      </w:r>
    </w:p>
    <w:tbl>
      <w:tblPr>
        <w:tblStyle w:val="TableGrid"/>
        <w:tblW w:w="90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2"/>
        <w:gridCol w:w="1277"/>
        <w:gridCol w:w="1419"/>
        <w:gridCol w:w="1418"/>
        <w:gridCol w:w="1419"/>
        <w:gridCol w:w="1560"/>
      </w:tblGrid>
      <w:tr w:rsidR="003F67A5" w:rsidRPr="00CB102D" w14:paraId="512154AB" w14:textId="77777777" w:rsidTr="006D519A">
        <w:trPr>
          <w:trHeight w:val="632"/>
        </w:trPr>
        <w:tc>
          <w:tcPr>
            <w:tcW w:w="1951" w:type="dxa"/>
            <w:tcBorders>
              <w:top w:val="single" w:sz="4" w:space="0" w:color="auto"/>
              <w:bottom w:val="single" w:sz="4" w:space="0" w:color="auto"/>
            </w:tcBorders>
            <w:vAlign w:val="center"/>
          </w:tcPr>
          <w:p w14:paraId="521E49DD" w14:textId="77777777" w:rsidR="003F67A5" w:rsidRPr="00CB102D" w:rsidRDefault="003F67A5" w:rsidP="006D519A">
            <w:pPr>
              <w:pStyle w:val="NoSpacing"/>
              <w:jc w:val="center"/>
              <w:rPr>
                <w:rFonts w:cs="Arial"/>
                <w:szCs w:val="20"/>
              </w:rPr>
            </w:pPr>
          </w:p>
        </w:tc>
        <w:tc>
          <w:tcPr>
            <w:tcW w:w="1276" w:type="dxa"/>
            <w:tcBorders>
              <w:top w:val="single" w:sz="4" w:space="0" w:color="auto"/>
              <w:bottom w:val="single" w:sz="4" w:space="0" w:color="auto"/>
            </w:tcBorders>
            <w:vAlign w:val="center"/>
          </w:tcPr>
          <w:p w14:paraId="6F047FD2" w14:textId="77777777" w:rsidR="003F67A5" w:rsidRPr="00CB102D" w:rsidRDefault="003F67A5" w:rsidP="006D519A">
            <w:pPr>
              <w:pStyle w:val="NoSpacing"/>
              <w:jc w:val="center"/>
              <w:rPr>
                <w:rFonts w:cs="Arial"/>
                <w:b/>
                <w:szCs w:val="20"/>
              </w:rPr>
            </w:pPr>
            <w:r w:rsidRPr="00CB102D">
              <w:rPr>
                <w:rFonts w:cs="Arial"/>
                <w:b/>
                <w:szCs w:val="20"/>
              </w:rPr>
              <w:t xml:space="preserve">Random </w:t>
            </w:r>
          </w:p>
        </w:tc>
        <w:tc>
          <w:tcPr>
            <w:tcW w:w="1418" w:type="dxa"/>
            <w:tcBorders>
              <w:top w:val="single" w:sz="4" w:space="0" w:color="auto"/>
              <w:bottom w:val="single" w:sz="4" w:space="0" w:color="auto"/>
            </w:tcBorders>
            <w:vAlign w:val="center"/>
          </w:tcPr>
          <w:p w14:paraId="1AA881A5" w14:textId="77777777" w:rsidR="003F67A5" w:rsidRPr="00CB102D" w:rsidRDefault="003F67A5" w:rsidP="006D519A">
            <w:pPr>
              <w:pStyle w:val="NoSpacing"/>
              <w:jc w:val="center"/>
              <w:rPr>
                <w:rFonts w:cs="Arial"/>
                <w:b/>
                <w:szCs w:val="20"/>
              </w:rPr>
            </w:pPr>
            <w:r w:rsidRPr="00CB102D">
              <w:rPr>
                <w:rFonts w:cs="Arial"/>
                <w:b/>
                <w:szCs w:val="20"/>
              </w:rPr>
              <w:t>Waiting time</w:t>
            </w:r>
          </w:p>
        </w:tc>
        <w:tc>
          <w:tcPr>
            <w:tcW w:w="1417" w:type="dxa"/>
            <w:tcBorders>
              <w:top w:val="single" w:sz="4" w:space="0" w:color="auto"/>
              <w:bottom w:val="single" w:sz="4" w:space="0" w:color="auto"/>
            </w:tcBorders>
            <w:vAlign w:val="center"/>
          </w:tcPr>
          <w:p w14:paraId="4D824F36" w14:textId="77777777" w:rsidR="003F67A5" w:rsidRPr="00CB102D" w:rsidRDefault="003F67A5" w:rsidP="006D519A">
            <w:pPr>
              <w:pStyle w:val="NoSpacing"/>
              <w:jc w:val="center"/>
              <w:rPr>
                <w:rFonts w:cs="Arial"/>
                <w:b/>
                <w:szCs w:val="20"/>
              </w:rPr>
            </w:pPr>
            <w:r w:rsidRPr="00CB102D">
              <w:rPr>
                <w:rFonts w:cs="Arial"/>
                <w:b/>
                <w:szCs w:val="20"/>
              </w:rPr>
              <w:t>2006 NKAS</w:t>
            </w:r>
          </w:p>
        </w:tc>
        <w:tc>
          <w:tcPr>
            <w:tcW w:w="1418" w:type="dxa"/>
            <w:tcBorders>
              <w:top w:val="single" w:sz="4" w:space="0" w:color="auto"/>
              <w:bottom w:val="single" w:sz="4" w:space="0" w:color="auto"/>
            </w:tcBorders>
            <w:vAlign w:val="center"/>
          </w:tcPr>
          <w:p w14:paraId="1B25B445" w14:textId="77777777" w:rsidR="003F67A5" w:rsidRPr="00CB102D" w:rsidRDefault="003F67A5" w:rsidP="006D519A">
            <w:pPr>
              <w:pStyle w:val="NoSpacing"/>
              <w:jc w:val="center"/>
              <w:rPr>
                <w:rFonts w:cs="Arial"/>
                <w:b/>
                <w:szCs w:val="20"/>
              </w:rPr>
            </w:pPr>
            <w:r w:rsidRPr="00CB102D">
              <w:rPr>
                <w:rFonts w:cs="Arial"/>
                <w:b/>
                <w:szCs w:val="20"/>
              </w:rPr>
              <w:t>Longevity matching</w:t>
            </w:r>
          </w:p>
        </w:tc>
        <w:tc>
          <w:tcPr>
            <w:tcW w:w="1559" w:type="dxa"/>
            <w:tcBorders>
              <w:top w:val="single" w:sz="4" w:space="0" w:color="auto"/>
              <w:bottom w:val="single" w:sz="4" w:space="0" w:color="auto"/>
            </w:tcBorders>
            <w:vAlign w:val="center"/>
          </w:tcPr>
          <w:p w14:paraId="108172E4" w14:textId="77777777" w:rsidR="003F67A5" w:rsidRPr="00CB102D" w:rsidRDefault="003F67A5" w:rsidP="006D519A">
            <w:pPr>
              <w:pStyle w:val="NoSpacing"/>
              <w:jc w:val="center"/>
              <w:rPr>
                <w:rFonts w:cs="Arial"/>
                <w:b/>
                <w:szCs w:val="20"/>
              </w:rPr>
            </w:pPr>
            <w:r w:rsidRPr="00CB102D">
              <w:rPr>
                <w:rFonts w:cs="Arial"/>
                <w:b/>
                <w:szCs w:val="20"/>
              </w:rPr>
              <w:t>QALY-maximisation</w:t>
            </w:r>
          </w:p>
        </w:tc>
      </w:tr>
      <w:tr w:rsidR="003F67A5" w:rsidRPr="00CB102D" w14:paraId="4D15A21E" w14:textId="77777777" w:rsidTr="006D519A">
        <w:trPr>
          <w:trHeight w:val="356"/>
        </w:trPr>
        <w:tc>
          <w:tcPr>
            <w:tcW w:w="1951" w:type="dxa"/>
            <w:tcBorders>
              <w:top w:val="single" w:sz="4" w:space="0" w:color="auto"/>
            </w:tcBorders>
            <w:shd w:val="clear" w:color="auto" w:fill="auto"/>
          </w:tcPr>
          <w:p w14:paraId="06B9F4AC" w14:textId="77777777" w:rsidR="003F67A5" w:rsidRPr="00CB102D" w:rsidRDefault="003F67A5" w:rsidP="006D519A">
            <w:pPr>
              <w:pStyle w:val="NoSpacing"/>
              <w:rPr>
                <w:rFonts w:cs="Arial"/>
                <w:b/>
                <w:szCs w:val="20"/>
              </w:rPr>
            </w:pPr>
            <w:r w:rsidRPr="00CB102D">
              <w:rPr>
                <w:rFonts w:cs="Arial"/>
                <w:b/>
                <w:szCs w:val="20"/>
              </w:rPr>
              <w:t xml:space="preserve">Mean age </w:t>
            </w:r>
            <w:r>
              <w:rPr>
                <w:rFonts w:cs="Arial"/>
                <w:b/>
                <w:szCs w:val="20"/>
              </w:rPr>
              <w:t xml:space="preserve">- </w:t>
            </w:r>
            <w:r w:rsidRPr="00CB102D">
              <w:rPr>
                <w:rFonts w:cs="Arial"/>
                <w:b/>
                <w:szCs w:val="20"/>
              </w:rPr>
              <w:t>years</w:t>
            </w:r>
            <w:r>
              <w:rPr>
                <w:rFonts w:cs="Arial"/>
                <w:b/>
                <w:szCs w:val="20"/>
              </w:rPr>
              <w:t xml:space="preserve"> (SD)</w:t>
            </w:r>
          </w:p>
        </w:tc>
        <w:tc>
          <w:tcPr>
            <w:tcW w:w="1276" w:type="dxa"/>
            <w:tcBorders>
              <w:top w:val="single" w:sz="4" w:space="0" w:color="auto"/>
            </w:tcBorders>
          </w:tcPr>
          <w:p w14:paraId="26EC2814" w14:textId="77777777" w:rsidR="003F67A5" w:rsidRPr="00CB102D" w:rsidRDefault="003F67A5" w:rsidP="006D519A">
            <w:pPr>
              <w:pStyle w:val="NoSpacing"/>
              <w:jc w:val="center"/>
              <w:rPr>
                <w:rFonts w:cs="Arial"/>
                <w:szCs w:val="20"/>
              </w:rPr>
            </w:pPr>
            <w:r w:rsidRPr="00CB102D">
              <w:rPr>
                <w:rFonts w:cs="Arial"/>
                <w:szCs w:val="20"/>
              </w:rPr>
              <w:t>51.4</w:t>
            </w:r>
            <w:r>
              <w:rPr>
                <w:rFonts w:cs="Arial"/>
                <w:szCs w:val="20"/>
              </w:rPr>
              <w:t xml:space="preserve"> (12.8)</w:t>
            </w:r>
          </w:p>
        </w:tc>
        <w:tc>
          <w:tcPr>
            <w:tcW w:w="1418" w:type="dxa"/>
            <w:tcBorders>
              <w:top w:val="single" w:sz="4" w:space="0" w:color="auto"/>
            </w:tcBorders>
          </w:tcPr>
          <w:p w14:paraId="4CCA4694" w14:textId="77777777" w:rsidR="003F67A5" w:rsidRPr="00CB102D" w:rsidRDefault="003F67A5" w:rsidP="006D519A">
            <w:pPr>
              <w:pStyle w:val="NoSpacing"/>
              <w:jc w:val="center"/>
              <w:rPr>
                <w:rFonts w:cs="Arial"/>
                <w:szCs w:val="20"/>
              </w:rPr>
            </w:pPr>
            <w:r w:rsidRPr="00CB102D">
              <w:rPr>
                <w:rFonts w:cs="Arial"/>
                <w:szCs w:val="20"/>
              </w:rPr>
              <w:t>52.5</w:t>
            </w:r>
            <w:r>
              <w:rPr>
                <w:rFonts w:cs="Arial"/>
                <w:szCs w:val="20"/>
              </w:rPr>
              <w:t xml:space="preserve"> (12.3)</w:t>
            </w:r>
          </w:p>
        </w:tc>
        <w:tc>
          <w:tcPr>
            <w:tcW w:w="1417" w:type="dxa"/>
            <w:tcBorders>
              <w:top w:val="single" w:sz="4" w:space="0" w:color="auto"/>
            </w:tcBorders>
          </w:tcPr>
          <w:p w14:paraId="07028844" w14:textId="77777777" w:rsidR="003F67A5" w:rsidRPr="00CB102D" w:rsidRDefault="003F67A5" w:rsidP="006D519A">
            <w:pPr>
              <w:pStyle w:val="NoSpacing"/>
              <w:jc w:val="center"/>
              <w:rPr>
                <w:rFonts w:cs="Arial"/>
                <w:szCs w:val="20"/>
              </w:rPr>
            </w:pPr>
            <w:r w:rsidRPr="00CB102D">
              <w:rPr>
                <w:rFonts w:cs="Arial"/>
                <w:szCs w:val="20"/>
              </w:rPr>
              <w:t>46.6</w:t>
            </w:r>
            <w:r>
              <w:rPr>
                <w:rFonts w:cs="Arial"/>
                <w:szCs w:val="20"/>
              </w:rPr>
              <w:t xml:space="preserve"> (12.5)</w:t>
            </w:r>
          </w:p>
        </w:tc>
        <w:tc>
          <w:tcPr>
            <w:tcW w:w="1418" w:type="dxa"/>
            <w:tcBorders>
              <w:top w:val="single" w:sz="4" w:space="0" w:color="auto"/>
            </w:tcBorders>
          </w:tcPr>
          <w:p w14:paraId="07324CC8" w14:textId="77777777" w:rsidR="003F67A5" w:rsidRPr="00CB102D" w:rsidRDefault="003F67A5" w:rsidP="006D519A">
            <w:pPr>
              <w:pStyle w:val="NoSpacing"/>
              <w:jc w:val="center"/>
              <w:rPr>
                <w:rFonts w:cs="Arial"/>
                <w:szCs w:val="20"/>
              </w:rPr>
            </w:pPr>
            <w:r w:rsidRPr="00CB102D">
              <w:rPr>
                <w:rFonts w:cs="Arial"/>
                <w:szCs w:val="20"/>
              </w:rPr>
              <w:t>46.3</w:t>
            </w:r>
            <w:r>
              <w:rPr>
                <w:rFonts w:cs="Arial"/>
                <w:szCs w:val="20"/>
              </w:rPr>
              <w:t xml:space="preserve"> (12.6)</w:t>
            </w:r>
          </w:p>
        </w:tc>
        <w:tc>
          <w:tcPr>
            <w:tcW w:w="1559" w:type="dxa"/>
            <w:tcBorders>
              <w:top w:val="single" w:sz="4" w:space="0" w:color="auto"/>
            </w:tcBorders>
          </w:tcPr>
          <w:p w14:paraId="2FB85159" w14:textId="77777777" w:rsidR="003F67A5" w:rsidRPr="00CB102D" w:rsidRDefault="003F67A5" w:rsidP="006D519A">
            <w:pPr>
              <w:pStyle w:val="NoSpacing"/>
              <w:jc w:val="center"/>
              <w:rPr>
                <w:rFonts w:cs="Arial"/>
                <w:szCs w:val="20"/>
              </w:rPr>
            </w:pPr>
            <w:r w:rsidRPr="00CB102D">
              <w:rPr>
                <w:rFonts w:cs="Arial"/>
                <w:szCs w:val="20"/>
              </w:rPr>
              <w:t>41.8</w:t>
            </w:r>
            <w:r>
              <w:rPr>
                <w:rFonts w:cs="Arial"/>
                <w:szCs w:val="20"/>
              </w:rPr>
              <w:t xml:space="preserve"> (10.7)</w:t>
            </w:r>
          </w:p>
        </w:tc>
      </w:tr>
      <w:tr w:rsidR="003F67A5" w:rsidRPr="00CB102D" w14:paraId="54413AF0" w14:textId="77777777" w:rsidTr="006D519A">
        <w:trPr>
          <w:trHeight w:val="356"/>
        </w:trPr>
        <w:tc>
          <w:tcPr>
            <w:tcW w:w="1951" w:type="dxa"/>
            <w:shd w:val="clear" w:color="auto" w:fill="auto"/>
          </w:tcPr>
          <w:p w14:paraId="51F92A1F" w14:textId="77777777" w:rsidR="003F67A5" w:rsidRPr="00CB102D" w:rsidRDefault="003F67A5" w:rsidP="006D519A">
            <w:pPr>
              <w:pStyle w:val="NoSpacing"/>
              <w:rPr>
                <w:rFonts w:cs="Arial"/>
                <w:b/>
                <w:szCs w:val="20"/>
              </w:rPr>
            </w:pPr>
            <w:r w:rsidRPr="00CB102D">
              <w:rPr>
                <w:rFonts w:cs="Arial"/>
                <w:b/>
                <w:szCs w:val="20"/>
              </w:rPr>
              <w:t xml:space="preserve">Age group </w:t>
            </w:r>
            <w:r>
              <w:rPr>
                <w:rFonts w:cs="Arial"/>
                <w:b/>
                <w:szCs w:val="20"/>
              </w:rPr>
              <w:t>- years</w:t>
            </w:r>
          </w:p>
        </w:tc>
        <w:tc>
          <w:tcPr>
            <w:tcW w:w="1276" w:type="dxa"/>
          </w:tcPr>
          <w:p w14:paraId="5ED1BD34" w14:textId="77777777" w:rsidR="003F67A5" w:rsidRPr="00CB102D" w:rsidRDefault="003F67A5" w:rsidP="006D519A">
            <w:pPr>
              <w:pStyle w:val="NoSpacing"/>
              <w:jc w:val="center"/>
              <w:rPr>
                <w:rFonts w:cs="Arial"/>
                <w:szCs w:val="20"/>
              </w:rPr>
            </w:pPr>
          </w:p>
        </w:tc>
        <w:tc>
          <w:tcPr>
            <w:tcW w:w="1418" w:type="dxa"/>
          </w:tcPr>
          <w:p w14:paraId="2F545AD8" w14:textId="77777777" w:rsidR="003F67A5" w:rsidRPr="00CB102D" w:rsidRDefault="003F67A5" w:rsidP="006D519A">
            <w:pPr>
              <w:pStyle w:val="NoSpacing"/>
              <w:jc w:val="center"/>
              <w:rPr>
                <w:rFonts w:cs="Arial"/>
                <w:szCs w:val="20"/>
              </w:rPr>
            </w:pPr>
          </w:p>
        </w:tc>
        <w:tc>
          <w:tcPr>
            <w:tcW w:w="1417" w:type="dxa"/>
          </w:tcPr>
          <w:p w14:paraId="522DD9F9" w14:textId="77777777" w:rsidR="003F67A5" w:rsidRPr="00CB102D" w:rsidRDefault="003F67A5" w:rsidP="006D519A">
            <w:pPr>
              <w:pStyle w:val="NoSpacing"/>
              <w:jc w:val="center"/>
              <w:rPr>
                <w:rFonts w:cs="Arial"/>
                <w:szCs w:val="20"/>
              </w:rPr>
            </w:pPr>
          </w:p>
        </w:tc>
        <w:tc>
          <w:tcPr>
            <w:tcW w:w="1418" w:type="dxa"/>
          </w:tcPr>
          <w:p w14:paraId="44100690" w14:textId="77777777" w:rsidR="003F67A5" w:rsidRPr="00CB102D" w:rsidRDefault="003F67A5" w:rsidP="006D519A">
            <w:pPr>
              <w:pStyle w:val="NoSpacing"/>
              <w:jc w:val="center"/>
              <w:rPr>
                <w:rFonts w:cs="Arial"/>
                <w:szCs w:val="20"/>
              </w:rPr>
            </w:pPr>
          </w:p>
        </w:tc>
        <w:tc>
          <w:tcPr>
            <w:tcW w:w="1559" w:type="dxa"/>
          </w:tcPr>
          <w:p w14:paraId="35D8ABBD" w14:textId="77777777" w:rsidR="003F67A5" w:rsidRPr="00CB102D" w:rsidRDefault="003F67A5" w:rsidP="006D519A">
            <w:pPr>
              <w:pStyle w:val="NoSpacing"/>
              <w:jc w:val="center"/>
              <w:rPr>
                <w:rFonts w:cs="Arial"/>
                <w:szCs w:val="20"/>
              </w:rPr>
            </w:pPr>
          </w:p>
        </w:tc>
      </w:tr>
      <w:tr w:rsidR="003F67A5" w:rsidRPr="00CB102D" w14:paraId="5D0F96E6" w14:textId="77777777" w:rsidTr="006D519A">
        <w:trPr>
          <w:trHeight w:val="318"/>
        </w:trPr>
        <w:tc>
          <w:tcPr>
            <w:tcW w:w="1951" w:type="dxa"/>
            <w:shd w:val="clear" w:color="auto" w:fill="auto"/>
          </w:tcPr>
          <w:p w14:paraId="657EFBC0" w14:textId="77777777" w:rsidR="003F67A5" w:rsidRPr="00CB102D" w:rsidRDefault="003F67A5" w:rsidP="006D519A">
            <w:pPr>
              <w:pStyle w:val="NoSpacing"/>
              <w:ind w:left="142"/>
              <w:rPr>
                <w:rFonts w:cs="Arial"/>
                <w:b/>
                <w:szCs w:val="20"/>
              </w:rPr>
            </w:pPr>
            <w:r w:rsidRPr="00CB102D">
              <w:rPr>
                <w:rFonts w:cs="Arial"/>
                <w:b/>
                <w:szCs w:val="20"/>
              </w:rPr>
              <w:t xml:space="preserve">18-29 </w:t>
            </w:r>
          </w:p>
        </w:tc>
        <w:tc>
          <w:tcPr>
            <w:tcW w:w="1276" w:type="dxa"/>
          </w:tcPr>
          <w:p w14:paraId="538CEA89" w14:textId="77777777" w:rsidR="003F67A5" w:rsidRPr="00CB102D" w:rsidRDefault="003F67A5" w:rsidP="006D519A">
            <w:pPr>
              <w:pStyle w:val="NoSpacing"/>
              <w:jc w:val="center"/>
              <w:rPr>
                <w:rFonts w:cs="Arial"/>
                <w:szCs w:val="20"/>
              </w:rPr>
            </w:pPr>
            <w:r w:rsidRPr="00CB102D">
              <w:rPr>
                <w:rFonts w:cs="Arial"/>
                <w:szCs w:val="20"/>
              </w:rPr>
              <w:t>7%</w:t>
            </w:r>
          </w:p>
        </w:tc>
        <w:tc>
          <w:tcPr>
            <w:tcW w:w="1418" w:type="dxa"/>
          </w:tcPr>
          <w:p w14:paraId="600E784A" w14:textId="77777777" w:rsidR="003F67A5" w:rsidRPr="00CB102D" w:rsidRDefault="003F67A5" w:rsidP="006D519A">
            <w:pPr>
              <w:pStyle w:val="NoSpacing"/>
              <w:jc w:val="center"/>
              <w:rPr>
                <w:rFonts w:cs="Arial"/>
                <w:szCs w:val="20"/>
              </w:rPr>
            </w:pPr>
            <w:r w:rsidRPr="00CB102D">
              <w:rPr>
                <w:rFonts w:cs="Arial"/>
                <w:color w:val="000000"/>
                <w:szCs w:val="20"/>
              </w:rPr>
              <w:t>5%</w:t>
            </w:r>
          </w:p>
        </w:tc>
        <w:tc>
          <w:tcPr>
            <w:tcW w:w="1417" w:type="dxa"/>
          </w:tcPr>
          <w:p w14:paraId="262985A7" w14:textId="77777777" w:rsidR="003F67A5" w:rsidRPr="00CB102D" w:rsidRDefault="003F67A5" w:rsidP="006D519A">
            <w:pPr>
              <w:pStyle w:val="NoSpacing"/>
              <w:jc w:val="center"/>
              <w:rPr>
                <w:rFonts w:cs="Arial"/>
                <w:szCs w:val="20"/>
              </w:rPr>
            </w:pPr>
            <w:r w:rsidRPr="00CB102D">
              <w:rPr>
                <w:rFonts w:cs="Arial"/>
                <w:szCs w:val="20"/>
              </w:rPr>
              <w:t>10%</w:t>
            </w:r>
          </w:p>
        </w:tc>
        <w:tc>
          <w:tcPr>
            <w:tcW w:w="1418" w:type="dxa"/>
          </w:tcPr>
          <w:p w14:paraId="21F9182F" w14:textId="77777777" w:rsidR="003F67A5" w:rsidRPr="00CB102D" w:rsidRDefault="003F67A5" w:rsidP="006D519A">
            <w:pPr>
              <w:pStyle w:val="NoSpacing"/>
              <w:jc w:val="center"/>
              <w:rPr>
                <w:rFonts w:cs="Arial"/>
                <w:szCs w:val="20"/>
              </w:rPr>
            </w:pPr>
            <w:r w:rsidRPr="00CB102D">
              <w:rPr>
                <w:rFonts w:cs="Arial"/>
                <w:color w:val="000000"/>
                <w:szCs w:val="20"/>
              </w:rPr>
              <w:t>10%</w:t>
            </w:r>
          </w:p>
        </w:tc>
        <w:tc>
          <w:tcPr>
            <w:tcW w:w="1559" w:type="dxa"/>
          </w:tcPr>
          <w:p w14:paraId="6C21859C" w14:textId="77777777" w:rsidR="003F67A5" w:rsidRPr="00CB102D" w:rsidRDefault="003F67A5" w:rsidP="006D519A">
            <w:pPr>
              <w:pStyle w:val="NoSpacing"/>
              <w:jc w:val="center"/>
              <w:rPr>
                <w:rFonts w:cs="Arial"/>
                <w:szCs w:val="20"/>
              </w:rPr>
            </w:pPr>
            <w:r w:rsidRPr="00CB102D">
              <w:rPr>
                <w:rFonts w:cs="Arial"/>
                <w:szCs w:val="20"/>
              </w:rPr>
              <w:t>15%</w:t>
            </w:r>
          </w:p>
        </w:tc>
      </w:tr>
      <w:tr w:rsidR="003F67A5" w:rsidRPr="00CB102D" w14:paraId="793CC1E3" w14:textId="77777777" w:rsidTr="006D519A">
        <w:trPr>
          <w:trHeight w:val="318"/>
        </w:trPr>
        <w:tc>
          <w:tcPr>
            <w:tcW w:w="1951" w:type="dxa"/>
            <w:shd w:val="clear" w:color="auto" w:fill="auto"/>
          </w:tcPr>
          <w:p w14:paraId="3A1CDEAE" w14:textId="77777777" w:rsidR="003F67A5" w:rsidRPr="00CB102D" w:rsidRDefault="003F67A5" w:rsidP="006D519A">
            <w:pPr>
              <w:pStyle w:val="NoSpacing"/>
              <w:ind w:left="142"/>
              <w:rPr>
                <w:rFonts w:cs="Arial"/>
                <w:b/>
                <w:szCs w:val="20"/>
              </w:rPr>
            </w:pPr>
            <w:r w:rsidRPr="00CB102D">
              <w:rPr>
                <w:rFonts w:cs="Arial"/>
                <w:b/>
                <w:szCs w:val="20"/>
              </w:rPr>
              <w:t>30-39</w:t>
            </w:r>
          </w:p>
        </w:tc>
        <w:tc>
          <w:tcPr>
            <w:tcW w:w="1276" w:type="dxa"/>
          </w:tcPr>
          <w:p w14:paraId="00978CFC" w14:textId="77777777" w:rsidR="003F67A5" w:rsidRPr="00CB102D" w:rsidRDefault="003F67A5" w:rsidP="006D519A">
            <w:pPr>
              <w:pStyle w:val="NoSpacing"/>
              <w:jc w:val="center"/>
              <w:rPr>
                <w:rFonts w:cs="Arial"/>
                <w:szCs w:val="20"/>
              </w:rPr>
            </w:pPr>
            <w:r w:rsidRPr="00CB102D">
              <w:rPr>
                <w:rFonts w:cs="Arial"/>
                <w:szCs w:val="20"/>
              </w:rPr>
              <w:t>12%</w:t>
            </w:r>
          </w:p>
        </w:tc>
        <w:tc>
          <w:tcPr>
            <w:tcW w:w="1418" w:type="dxa"/>
          </w:tcPr>
          <w:p w14:paraId="510855DF" w14:textId="77777777" w:rsidR="003F67A5" w:rsidRPr="00CB102D" w:rsidRDefault="003F67A5" w:rsidP="006D519A">
            <w:pPr>
              <w:pStyle w:val="NoSpacing"/>
              <w:jc w:val="center"/>
              <w:rPr>
                <w:rFonts w:cs="Arial"/>
                <w:szCs w:val="20"/>
              </w:rPr>
            </w:pPr>
            <w:r w:rsidRPr="00CB102D">
              <w:rPr>
                <w:rFonts w:cs="Arial"/>
                <w:color w:val="000000"/>
                <w:szCs w:val="20"/>
              </w:rPr>
              <w:t>11%</w:t>
            </w:r>
          </w:p>
        </w:tc>
        <w:tc>
          <w:tcPr>
            <w:tcW w:w="1417" w:type="dxa"/>
          </w:tcPr>
          <w:p w14:paraId="47D319F0" w14:textId="77777777" w:rsidR="003F67A5" w:rsidRPr="00CB102D" w:rsidRDefault="003F67A5" w:rsidP="006D519A">
            <w:pPr>
              <w:pStyle w:val="NoSpacing"/>
              <w:jc w:val="center"/>
              <w:rPr>
                <w:rFonts w:cs="Arial"/>
                <w:szCs w:val="20"/>
              </w:rPr>
            </w:pPr>
            <w:r w:rsidRPr="00CB102D">
              <w:rPr>
                <w:rFonts w:cs="Arial"/>
                <w:szCs w:val="20"/>
              </w:rPr>
              <w:t>19%</w:t>
            </w:r>
          </w:p>
        </w:tc>
        <w:tc>
          <w:tcPr>
            <w:tcW w:w="1418" w:type="dxa"/>
          </w:tcPr>
          <w:p w14:paraId="0896EDE6" w14:textId="77777777" w:rsidR="003F67A5" w:rsidRPr="00CB102D" w:rsidRDefault="003F67A5" w:rsidP="006D519A">
            <w:pPr>
              <w:pStyle w:val="NoSpacing"/>
              <w:jc w:val="center"/>
              <w:rPr>
                <w:rFonts w:cs="Arial"/>
                <w:szCs w:val="20"/>
              </w:rPr>
            </w:pPr>
            <w:r w:rsidRPr="00CB102D">
              <w:rPr>
                <w:rFonts w:cs="Arial"/>
                <w:color w:val="000000"/>
                <w:szCs w:val="20"/>
              </w:rPr>
              <w:t>20%</w:t>
            </w:r>
          </w:p>
        </w:tc>
        <w:tc>
          <w:tcPr>
            <w:tcW w:w="1559" w:type="dxa"/>
          </w:tcPr>
          <w:p w14:paraId="21313EA3" w14:textId="77777777" w:rsidR="003F67A5" w:rsidRPr="00CB102D" w:rsidRDefault="003F67A5" w:rsidP="006D519A">
            <w:pPr>
              <w:pStyle w:val="NoSpacing"/>
              <w:jc w:val="center"/>
              <w:rPr>
                <w:rFonts w:cs="Arial"/>
                <w:szCs w:val="20"/>
              </w:rPr>
            </w:pPr>
            <w:r w:rsidRPr="00CB102D">
              <w:rPr>
                <w:rFonts w:cs="Arial"/>
                <w:szCs w:val="20"/>
              </w:rPr>
              <w:t>27%</w:t>
            </w:r>
          </w:p>
        </w:tc>
      </w:tr>
      <w:tr w:rsidR="003F67A5" w:rsidRPr="00CB102D" w14:paraId="5AC158CF" w14:textId="77777777" w:rsidTr="006D519A">
        <w:trPr>
          <w:trHeight w:val="318"/>
        </w:trPr>
        <w:tc>
          <w:tcPr>
            <w:tcW w:w="1951" w:type="dxa"/>
            <w:shd w:val="clear" w:color="auto" w:fill="auto"/>
          </w:tcPr>
          <w:p w14:paraId="2AE71707" w14:textId="77777777" w:rsidR="003F67A5" w:rsidRPr="00CB102D" w:rsidRDefault="003F67A5" w:rsidP="006D519A">
            <w:pPr>
              <w:pStyle w:val="NoSpacing"/>
              <w:ind w:left="142"/>
              <w:rPr>
                <w:rFonts w:cs="Arial"/>
                <w:b/>
                <w:szCs w:val="20"/>
              </w:rPr>
            </w:pPr>
            <w:r w:rsidRPr="00CB102D">
              <w:rPr>
                <w:rFonts w:cs="Arial"/>
                <w:b/>
                <w:szCs w:val="20"/>
              </w:rPr>
              <w:t>40-49</w:t>
            </w:r>
          </w:p>
        </w:tc>
        <w:tc>
          <w:tcPr>
            <w:tcW w:w="1276" w:type="dxa"/>
          </w:tcPr>
          <w:p w14:paraId="7E6B413B" w14:textId="77777777" w:rsidR="003F67A5" w:rsidRPr="00CB102D" w:rsidRDefault="003F67A5" w:rsidP="006D519A">
            <w:pPr>
              <w:pStyle w:val="NoSpacing"/>
              <w:jc w:val="center"/>
              <w:rPr>
                <w:rFonts w:cs="Arial"/>
                <w:szCs w:val="20"/>
              </w:rPr>
            </w:pPr>
            <w:r w:rsidRPr="00CB102D">
              <w:rPr>
                <w:rFonts w:cs="Arial"/>
                <w:szCs w:val="20"/>
              </w:rPr>
              <w:t>22%</w:t>
            </w:r>
          </w:p>
        </w:tc>
        <w:tc>
          <w:tcPr>
            <w:tcW w:w="1418" w:type="dxa"/>
          </w:tcPr>
          <w:p w14:paraId="73B25E87" w14:textId="77777777" w:rsidR="003F67A5" w:rsidRPr="00CB102D" w:rsidRDefault="003F67A5" w:rsidP="006D519A">
            <w:pPr>
              <w:pStyle w:val="NoSpacing"/>
              <w:jc w:val="center"/>
              <w:rPr>
                <w:rFonts w:cs="Arial"/>
                <w:szCs w:val="20"/>
              </w:rPr>
            </w:pPr>
            <w:r w:rsidRPr="00CB102D">
              <w:rPr>
                <w:rFonts w:cs="Arial"/>
                <w:color w:val="000000"/>
                <w:szCs w:val="20"/>
              </w:rPr>
              <w:t>21%</w:t>
            </w:r>
          </w:p>
        </w:tc>
        <w:tc>
          <w:tcPr>
            <w:tcW w:w="1417" w:type="dxa"/>
          </w:tcPr>
          <w:p w14:paraId="1CE1690A" w14:textId="77777777" w:rsidR="003F67A5" w:rsidRPr="00CB102D" w:rsidRDefault="003F67A5" w:rsidP="006D519A">
            <w:pPr>
              <w:pStyle w:val="NoSpacing"/>
              <w:jc w:val="center"/>
              <w:rPr>
                <w:rFonts w:cs="Arial"/>
                <w:szCs w:val="20"/>
              </w:rPr>
            </w:pPr>
            <w:r w:rsidRPr="00CB102D">
              <w:rPr>
                <w:rFonts w:cs="Arial"/>
                <w:szCs w:val="20"/>
              </w:rPr>
              <w:t>28%</w:t>
            </w:r>
          </w:p>
        </w:tc>
        <w:tc>
          <w:tcPr>
            <w:tcW w:w="1418" w:type="dxa"/>
          </w:tcPr>
          <w:p w14:paraId="0E877230" w14:textId="77777777" w:rsidR="003F67A5" w:rsidRPr="00CB102D" w:rsidRDefault="003F67A5" w:rsidP="006D519A">
            <w:pPr>
              <w:pStyle w:val="NoSpacing"/>
              <w:jc w:val="center"/>
              <w:rPr>
                <w:rFonts w:cs="Arial"/>
                <w:szCs w:val="20"/>
              </w:rPr>
            </w:pPr>
            <w:r w:rsidRPr="00CB102D">
              <w:rPr>
                <w:rFonts w:cs="Arial"/>
                <w:color w:val="000000"/>
                <w:szCs w:val="20"/>
              </w:rPr>
              <w:t>29%</w:t>
            </w:r>
          </w:p>
        </w:tc>
        <w:tc>
          <w:tcPr>
            <w:tcW w:w="1559" w:type="dxa"/>
          </w:tcPr>
          <w:p w14:paraId="7D344ED6" w14:textId="77777777" w:rsidR="003F67A5" w:rsidRPr="00CB102D" w:rsidRDefault="003F67A5" w:rsidP="006D519A">
            <w:pPr>
              <w:pStyle w:val="NoSpacing"/>
              <w:jc w:val="center"/>
              <w:rPr>
                <w:rFonts w:cs="Arial"/>
                <w:szCs w:val="20"/>
              </w:rPr>
            </w:pPr>
            <w:r w:rsidRPr="00CB102D">
              <w:rPr>
                <w:rFonts w:cs="Arial"/>
                <w:szCs w:val="20"/>
              </w:rPr>
              <w:t>36%</w:t>
            </w:r>
          </w:p>
        </w:tc>
      </w:tr>
      <w:tr w:rsidR="003F67A5" w:rsidRPr="00CB102D" w14:paraId="769A8FD0" w14:textId="77777777" w:rsidTr="006D519A">
        <w:trPr>
          <w:trHeight w:val="318"/>
        </w:trPr>
        <w:tc>
          <w:tcPr>
            <w:tcW w:w="1951" w:type="dxa"/>
            <w:shd w:val="clear" w:color="auto" w:fill="auto"/>
          </w:tcPr>
          <w:p w14:paraId="4678DAC9" w14:textId="77777777" w:rsidR="003F67A5" w:rsidRPr="00CB102D" w:rsidRDefault="003F67A5" w:rsidP="006D519A">
            <w:pPr>
              <w:pStyle w:val="NoSpacing"/>
              <w:ind w:left="142"/>
              <w:rPr>
                <w:rFonts w:cs="Arial"/>
                <w:b/>
                <w:szCs w:val="20"/>
              </w:rPr>
            </w:pPr>
            <w:r w:rsidRPr="00CB102D">
              <w:rPr>
                <w:rFonts w:cs="Arial"/>
                <w:b/>
                <w:szCs w:val="20"/>
              </w:rPr>
              <w:t>50-59</w:t>
            </w:r>
          </w:p>
        </w:tc>
        <w:tc>
          <w:tcPr>
            <w:tcW w:w="1276" w:type="dxa"/>
          </w:tcPr>
          <w:p w14:paraId="256E25D7" w14:textId="77777777" w:rsidR="003F67A5" w:rsidRPr="00CB102D" w:rsidRDefault="003F67A5" w:rsidP="006D519A">
            <w:pPr>
              <w:pStyle w:val="NoSpacing"/>
              <w:jc w:val="center"/>
              <w:rPr>
                <w:rFonts w:cs="Arial"/>
                <w:szCs w:val="20"/>
              </w:rPr>
            </w:pPr>
            <w:r w:rsidRPr="00CB102D">
              <w:rPr>
                <w:rFonts w:cs="Arial"/>
                <w:szCs w:val="20"/>
              </w:rPr>
              <w:t>28%</w:t>
            </w:r>
          </w:p>
        </w:tc>
        <w:tc>
          <w:tcPr>
            <w:tcW w:w="1418" w:type="dxa"/>
          </w:tcPr>
          <w:p w14:paraId="0DAE7443" w14:textId="77777777" w:rsidR="003F67A5" w:rsidRPr="00CB102D" w:rsidRDefault="003F67A5" w:rsidP="006D519A">
            <w:pPr>
              <w:pStyle w:val="NoSpacing"/>
              <w:jc w:val="center"/>
              <w:rPr>
                <w:rFonts w:cs="Arial"/>
                <w:szCs w:val="20"/>
              </w:rPr>
            </w:pPr>
            <w:r w:rsidRPr="00CB102D">
              <w:rPr>
                <w:rFonts w:cs="Arial"/>
                <w:color w:val="000000"/>
                <w:szCs w:val="20"/>
              </w:rPr>
              <w:t>30%</w:t>
            </w:r>
          </w:p>
        </w:tc>
        <w:tc>
          <w:tcPr>
            <w:tcW w:w="1417" w:type="dxa"/>
          </w:tcPr>
          <w:p w14:paraId="78AEE8EE" w14:textId="77777777" w:rsidR="003F67A5" w:rsidRPr="00CB102D" w:rsidRDefault="003F67A5" w:rsidP="006D519A">
            <w:pPr>
              <w:pStyle w:val="NoSpacing"/>
              <w:jc w:val="center"/>
              <w:rPr>
                <w:rFonts w:cs="Arial"/>
                <w:szCs w:val="20"/>
              </w:rPr>
            </w:pPr>
            <w:r w:rsidRPr="00CB102D">
              <w:rPr>
                <w:rFonts w:cs="Arial"/>
                <w:szCs w:val="20"/>
              </w:rPr>
              <w:t>25%</w:t>
            </w:r>
          </w:p>
        </w:tc>
        <w:tc>
          <w:tcPr>
            <w:tcW w:w="1418" w:type="dxa"/>
          </w:tcPr>
          <w:p w14:paraId="692AF44F" w14:textId="77777777" w:rsidR="003F67A5" w:rsidRPr="00CB102D" w:rsidRDefault="003F67A5" w:rsidP="006D519A">
            <w:pPr>
              <w:pStyle w:val="NoSpacing"/>
              <w:jc w:val="center"/>
              <w:rPr>
                <w:rFonts w:cs="Arial"/>
                <w:szCs w:val="20"/>
              </w:rPr>
            </w:pPr>
            <w:r w:rsidRPr="00CB102D">
              <w:rPr>
                <w:rFonts w:cs="Arial"/>
                <w:color w:val="000000"/>
                <w:szCs w:val="20"/>
              </w:rPr>
              <w:t>23%</w:t>
            </w:r>
          </w:p>
        </w:tc>
        <w:tc>
          <w:tcPr>
            <w:tcW w:w="1559" w:type="dxa"/>
          </w:tcPr>
          <w:p w14:paraId="2FEB72A9" w14:textId="77777777" w:rsidR="003F67A5" w:rsidRPr="00CB102D" w:rsidRDefault="003F67A5" w:rsidP="006D519A">
            <w:pPr>
              <w:pStyle w:val="NoSpacing"/>
              <w:jc w:val="center"/>
              <w:rPr>
                <w:rFonts w:cs="Arial"/>
                <w:szCs w:val="20"/>
              </w:rPr>
            </w:pPr>
            <w:r w:rsidRPr="00CB102D">
              <w:rPr>
                <w:rFonts w:cs="Arial"/>
                <w:szCs w:val="20"/>
              </w:rPr>
              <w:t>18%</w:t>
            </w:r>
          </w:p>
        </w:tc>
      </w:tr>
      <w:tr w:rsidR="003F67A5" w:rsidRPr="00CB102D" w14:paraId="4B391D41" w14:textId="77777777" w:rsidTr="006D519A">
        <w:trPr>
          <w:trHeight w:val="318"/>
        </w:trPr>
        <w:tc>
          <w:tcPr>
            <w:tcW w:w="1951" w:type="dxa"/>
            <w:shd w:val="clear" w:color="auto" w:fill="auto"/>
          </w:tcPr>
          <w:p w14:paraId="228C1746" w14:textId="77777777" w:rsidR="003F67A5" w:rsidRPr="00CB102D" w:rsidRDefault="003F67A5" w:rsidP="006D519A">
            <w:pPr>
              <w:pStyle w:val="NoSpacing"/>
              <w:ind w:left="142"/>
              <w:rPr>
                <w:rFonts w:cs="Arial"/>
                <w:b/>
                <w:szCs w:val="20"/>
              </w:rPr>
            </w:pPr>
            <w:r w:rsidRPr="00CB102D">
              <w:rPr>
                <w:rFonts w:cs="Arial"/>
                <w:b/>
                <w:szCs w:val="20"/>
              </w:rPr>
              <w:t>≥60</w:t>
            </w:r>
          </w:p>
        </w:tc>
        <w:tc>
          <w:tcPr>
            <w:tcW w:w="1276" w:type="dxa"/>
          </w:tcPr>
          <w:p w14:paraId="7365A3E1" w14:textId="77777777" w:rsidR="003F67A5" w:rsidRPr="00CB102D" w:rsidRDefault="003F67A5" w:rsidP="006D519A">
            <w:pPr>
              <w:pStyle w:val="NoSpacing"/>
              <w:jc w:val="center"/>
              <w:rPr>
                <w:rFonts w:cs="Arial"/>
                <w:szCs w:val="20"/>
              </w:rPr>
            </w:pPr>
            <w:r w:rsidRPr="00CB102D">
              <w:rPr>
                <w:rFonts w:cs="Arial"/>
                <w:szCs w:val="20"/>
              </w:rPr>
              <w:t>31%</w:t>
            </w:r>
          </w:p>
        </w:tc>
        <w:tc>
          <w:tcPr>
            <w:tcW w:w="1418" w:type="dxa"/>
          </w:tcPr>
          <w:p w14:paraId="1D4CEB92" w14:textId="77777777" w:rsidR="003F67A5" w:rsidRPr="00CB102D" w:rsidRDefault="003F67A5" w:rsidP="006D519A">
            <w:pPr>
              <w:pStyle w:val="NoSpacing"/>
              <w:jc w:val="center"/>
              <w:rPr>
                <w:rFonts w:cs="Arial"/>
                <w:szCs w:val="20"/>
              </w:rPr>
            </w:pPr>
            <w:r w:rsidRPr="00CB102D">
              <w:rPr>
                <w:rFonts w:cs="Arial"/>
                <w:color w:val="000000"/>
                <w:szCs w:val="20"/>
              </w:rPr>
              <w:t>33%</w:t>
            </w:r>
          </w:p>
        </w:tc>
        <w:tc>
          <w:tcPr>
            <w:tcW w:w="1417" w:type="dxa"/>
          </w:tcPr>
          <w:p w14:paraId="2AF60B32" w14:textId="77777777" w:rsidR="003F67A5" w:rsidRPr="00CB102D" w:rsidRDefault="003F67A5" w:rsidP="006D519A">
            <w:pPr>
              <w:pStyle w:val="NoSpacing"/>
              <w:jc w:val="center"/>
              <w:rPr>
                <w:rFonts w:cs="Arial"/>
                <w:szCs w:val="20"/>
              </w:rPr>
            </w:pPr>
            <w:r w:rsidRPr="00CB102D">
              <w:rPr>
                <w:rFonts w:cs="Arial"/>
                <w:szCs w:val="20"/>
              </w:rPr>
              <w:t>18%</w:t>
            </w:r>
          </w:p>
        </w:tc>
        <w:tc>
          <w:tcPr>
            <w:tcW w:w="1418" w:type="dxa"/>
          </w:tcPr>
          <w:p w14:paraId="3C1837C2" w14:textId="77777777" w:rsidR="003F67A5" w:rsidRPr="00CB102D" w:rsidRDefault="003F67A5" w:rsidP="006D519A">
            <w:pPr>
              <w:pStyle w:val="NoSpacing"/>
              <w:jc w:val="center"/>
              <w:rPr>
                <w:rFonts w:cs="Arial"/>
                <w:szCs w:val="20"/>
              </w:rPr>
            </w:pPr>
            <w:r w:rsidRPr="00CB102D">
              <w:rPr>
                <w:rFonts w:cs="Arial"/>
                <w:color w:val="000000"/>
                <w:szCs w:val="20"/>
              </w:rPr>
              <w:t>18%</w:t>
            </w:r>
          </w:p>
        </w:tc>
        <w:tc>
          <w:tcPr>
            <w:tcW w:w="1559" w:type="dxa"/>
          </w:tcPr>
          <w:p w14:paraId="081FE8F8" w14:textId="77777777" w:rsidR="003F67A5" w:rsidRPr="00CB102D" w:rsidRDefault="003F67A5" w:rsidP="006D519A">
            <w:pPr>
              <w:pStyle w:val="NoSpacing"/>
              <w:jc w:val="center"/>
              <w:rPr>
                <w:rFonts w:cs="Arial"/>
                <w:szCs w:val="20"/>
              </w:rPr>
            </w:pPr>
            <w:r w:rsidRPr="00CB102D">
              <w:rPr>
                <w:rFonts w:cs="Arial"/>
                <w:szCs w:val="20"/>
              </w:rPr>
              <w:t>4%</w:t>
            </w:r>
          </w:p>
        </w:tc>
      </w:tr>
      <w:tr w:rsidR="003F67A5" w:rsidRPr="00CB102D" w14:paraId="476C55EB" w14:textId="77777777" w:rsidTr="006D519A">
        <w:trPr>
          <w:trHeight w:val="318"/>
        </w:trPr>
        <w:tc>
          <w:tcPr>
            <w:tcW w:w="1951" w:type="dxa"/>
            <w:shd w:val="clear" w:color="auto" w:fill="auto"/>
          </w:tcPr>
          <w:p w14:paraId="69241210" w14:textId="77777777" w:rsidR="003F67A5" w:rsidRPr="00CB102D" w:rsidRDefault="003F67A5" w:rsidP="006D519A">
            <w:pPr>
              <w:pStyle w:val="NoSpacing"/>
              <w:rPr>
                <w:rFonts w:cs="Arial"/>
                <w:b/>
                <w:szCs w:val="20"/>
              </w:rPr>
            </w:pPr>
            <w:r w:rsidRPr="00CB102D">
              <w:rPr>
                <w:rFonts w:cs="Arial"/>
                <w:b/>
                <w:szCs w:val="20"/>
              </w:rPr>
              <w:t>Female</w:t>
            </w:r>
          </w:p>
        </w:tc>
        <w:tc>
          <w:tcPr>
            <w:tcW w:w="1276" w:type="dxa"/>
          </w:tcPr>
          <w:p w14:paraId="27D5ECA5" w14:textId="77777777" w:rsidR="003F67A5" w:rsidRPr="00CB102D" w:rsidRDefault="003F67A5" w:rsidP="006D519A">
            <w:pPr>
              <w:pStyle w:val="NoSpacing"/>
              <w:jc w:val="center"/>
              <w:rPr>
                <w:rFonts w:cs="Arial"/>
                <w:szCs w:val="20"/>
              </w:rPr>
            </w:pPr>
            <w:r w:rsidRPr="00CB102D">
              <w:rPr>
                <w:rFonts w:cs="Arial"/>
                <w:szCs w:val="20"/>
              </w:rPr>
              <w:t>42%</w:t>
            </w:r>
          </w:p>
        </w:tc>
        <w:tc>
          <w:tcPr>
            <w:tcW w:w="1418" w:type="dxa"/>
          </w:tcPr>
          <w:p w14:paraId="54E440F2" w14:textId="77777777" w:rsidR="003F67A5" w:rsidRPr="00CB102D" w:rsidRDefault="003F67A5" w:rsidP="006D519A">
            <w:pPr>
              <w:pStyle w:val="NoSpacing"/>
              <w:jc w:val="center"/>
              <w:rPr>
                <w:rFonts w:cs="Arial"/>
                <w:szCs w:val="20"/>
              </w:rPr>
            </w:pPr>
            <w:r w:rsidRPr="00CB102D">
              <w:rPr>
                <w:rFonts w:cs="Arial"/>
                <w:szCs w:val="20"/>
              </w:rPr>
              <w:t>43%</w:t>
            </w:r>
          </w:p>
        </w:tc>
        <w:tc>
          <w:tcPr>
            <w:tcW w:w="1417" w:type="dxa"/>
          </w:tcPr>
          <w:p w14:paraId="539C56EF" w14:textId="77777777" w:rsidR="003F67A5" w:rsidRPr="00CB102D" w:rsidRDefault="003F67A5" w:rsidP="006D519A">
            <w:pPr>
              <w:pStyle w:val="NoSpacing"/>
              <w:jc w:val="center"/>
              <w:rPr>
                <w:rFonts w:cs="Arial"/>
                <w:szCs w:val="20"/>
              </w:rPr>
            </w:pPr>
            <w:r w:rsidRPr="00CB102D">
              <w:rPr>
                <w:rFonts w:cs="Arial"/>
                <w:szCs w:val="20"/>
              </w:rPr>
              <w:t>44%</w:t>
            </w:r>
          </w:p>
        </w:tc>
        <w:tc>
          <w:tcPr>
            <w:tcW w:w="1418" w:type="dxa"/>
          </w:tcPr>
          <w:p w14:paraId="2FBFF28E" w14:textId="77777777" w:rsidR="003F67A5" w:rsidRPr="00CB102D" w:rsidRDefault="003F67A5" w:rsidP="006D519A">
            <w:pPr>
              <w:pStyle w:val="NoSpacing"/>
              <w:jc w:val="center"/>
              <w:rPr>
                <w:rFonts w:cs="Arial"/>
                <w:szCs w:val="20"/>
              </w:rPr>
            </w:pPr>
            <w:r w:rsidRPr="00CB102D">
              <w:rPr>
                <w:rFonts w:cs="Arial"/>
                <w:szCs w:val="20"/>
              </w:rPr>
              <w:t>44%</w:t>
            </w:r>
          </w:p>
        </w:tc>
        <w:tc>
          <w:tcPr>
            <w:tcW w:w="1559" w:type="dxa"/>
          </w:tcPr>
          <w:p w14:paraId="71C9025B" w14:textId="77777777" w:rsidR="003F67A5" w:rsidRPr="00CB102D" w:rsidRDefault="003F67A5" w:rsidP="006D519A">
            <w:pPr>
              <w:pStyle w:val="NoSpacing"/>
              <w:jc w:val="center"/>
              <w:rPr>
                <w:rFonts w:cs="Arial"/>
                <w:szCs w:val="20"/>
              </w:rPr>
            </w:pPr>
            <w:r w:rsidRPr="00CB102D">
              <w:rPr>
                <w:rFonts w:cs="Arial"/>
                <w:szCs w:val="20"/>
              </w:rPr>
              <w:t>50%</w:t>
            </w:r>
          </w:p>
        </w:tc>
      </w:tr>
      <w:tr w:rsidR="003F67A5" w:rsidRPr="00CB102D" w14:paraId="42300E98" w14:textId="77777777" w:rsidTr="006D519A">
        <w:trPr>
          <w:trHeight w:val="318"/>
        </w:trPr>
        <w:tc>
          <w:tcPr>
            <w:tcW w:w="1951" w:type="dxa"/>
            <w:tcBorders>
              <w:bottom w:val="single" w:sz="4" w:space="0" w:color="auto"/>
            </w:tcBorders>
            <w:shd w:val="clear" w:color="auto" w:fill="auto"/>
          </w:tcPr>
          <w:p w14:paraId="2228F1C3" w14:textId="77777777" w:rsidR="003F67A5" w:rsidRPr="00CB102D" w:rsidRDefault="003F67A5" w:rsidP="006D519A">
            <w:pPr>
              <w:pStyle w:val="NoSpacing"/>
              <w:rPr>
                <w:rFonts w:cs="Arial"/>
                <w:b/>
                <w:szCs w:val="20"/>
              </w:rPr>
            </w:pPr>
            <w:r w:rsidRPr="00CB102D">
              <w:rPr>
                <w:rFonts w:cs="Arial"/>
                <w:b/>
                <w:szCs w:val="20"/>
              </w:rPr>
              <w:t>Diabetes</w:t>
            </w:r>
          </w:p>
        </w:tc>
        <w:tc>
          <w:tcPr>
            <w:tcW w:w="1276" w:type="dxa"/>
            <w:tcBorders>
              <w:bottom w:val="single" w:sz="4" w:space="0" w:color="auto"/>
            </w:tcBorders>
          </w:tcPr>
          <w:p w14:paraId="17CF9411" w14:textId="77777777" w:rsidR="003F67A5" w:rsidRPr="00CB102D" w:rsidRDefault="003F67A5" w:rsidP="006D519A">
            <w:pPr>
              <w:pStyle w:val="NoSpacing"/>
              <w:jc w:val="center"/>
              <w:rPr>
                <w:rFonts w:cs="Arial"/>
                <w:szCs w:val="20"/>
              </w:rPr>
            </w:pPr>
            <w:r w:rsidRPr="00CB102D">
              <w:rPr>
                <w:rFonts w:cs="Arial"/>
                <w:szCs w:val="20"/>
              </w:rPr>
              <w:t>15%</w:t>
            </w:r>
          </w:p>
        </w:tc>
        <w:tc>
          <w:tcPr>
            <w:tcW w:w="1418" w:type="dxa"/>
            <w:tcBorders>
              <w:bottom w:val="single" w:sz="4" w:space="0" w:color="auto"/>
            </w:tcBorders>
          </w:tcPr>
          <w:p w14:paraId="11701BEE" w14:textId="77777777" w:rsidR="003F67A5" w:rsidRPr="00CB102D" w:rsidRDefault="003F67A5" w:rsidP="006D519A">
            <w:pPr>
              <w:pStyle w:val="NoSpacing"/>
              <w:jc w:val="center"/>
              <w:rPr>
                <w:rFonts w:cs="Arial"/>
                <w:szCs w:val="20"/>
              </w:rPr>
            </w:pPr>
            <w:r w:rsidRPr="00CB102D">
              <w:rPr>
                <w:rFonts w:cs="Arial"/>
                <w:szCs w:val="20"/>
              </w:rPr>
              <w:t>15%</w:t>
            </w:r>
          </w:p>
        </w:tc>
        <w:tc>
          <w:tcPr>
            <w:tcW w:w="1417" w:type="dxa"/>
            <w:tcBorders>
              <w:bottom w:val="single" w:sz="4" w:space="0" w:color="auto"/>
            </w:tcBorders>
          </w:tcPr>
          <w:p w14:paraId="14EC4571" w14:textId="77777777" w:rsidR="003F67A5" w:rsidRPr="00CB102D" w:rsidRDefault="003F67A5" w:rsidP="006D519A">
            <w:pPr>
              <w:pStyle w:val="NoSpacing"/>
              <w:jc w:val="center"/>
              <w:rPr>
                <w:rFonts w:cs="Arial"/>
                <w:szCs w:val="20"/>
              </w:rPr>
            </w:pPr>
            <w:r w:rsidRPr="00CB102D">
              <w:rPr>
                <w:rFonts w:cs="Arial"/>
                <w:szCs w:val="20"/>
              </w:rPr>
              <w:t>14%</w:t>
            </w:r>
          </w:p>
        </w:tc>
        <w:tc>
          <w:tcPr>
            <w:tcW w:w="1418" w:type="dxa"/>
            <w:tcBorders>
              <w:bottom w:val="single" w:sz="4" w:space="0" w:color="auto"/>
            </w:tcBorders>
          </w:tcPr>
          <w:p w14:paraId="4730BA92" w14:textId="77777777" w:rsidR="003F67A5" w:rsidRPr="00CB102D" w:rsidRDefault="003F67A5" w:rsidP="006D519A">
            <w:pPr>
              <w:pStyle w:val="NoSpacing"/>
              <w:jc w:val="center"/>
              <w:rPr>
                <w:rFonts w:cs="Arial"/>
                <w:szCs w:val="20"/>
              </w:rPr>
            </w:pPr>
            <w:r w:rsidRPr="00CB102D">
              <w:rPr>
                <w:rFonts w:cs="Arial"/>
                <w:szCs w:val="20"/>
              </w:rPr>
              <w:t>14%</w:t>
            </w:r>
          </w:p>
        </w:tc>
        <w:tc>
          <w:tcPr>
            <w:tcW w:w="1559" w:type="dxa"/>
            <w:tcBorders>
              <w:bottom w:val="single" w:sz="4" w:space="0" w:color="auto"/>
            </w:tcBorders>
          </w:tcPr>
          <w:p w14:paraId="3372478F" w14:textId="77777777" w:rsidR="003F67A5" w:rsidRPr="00CB102D" w:rsidRDefault="003F67A5" w:rsidP="006D519A">
            <w:pPr>
              <w:pStyle w:val="NoSpacing"/>
              <w:jc w:val="center"/>
              <w:rPr>
                <w:rFonts w:cs="Arial"/>
                <w:szCs w:val="20"/>
              </w:rPr>
            </w:pPr>
            <w:r w:rsidRPr="00CB102D">
              <w:rPr>
                <w:rFonts w:cs="Arial"/>
                <w:szCs w:val="20"/>
              </w:rPr>
              <w:t>11%</w:t>
            </w:r>
          </w:p>
        </w:tc>
      </w:tr>
    </w:tbl>
    <w:p w14:paraId="48ACA84C" w14:textId="77777777" w:rsidR="003F67A5" w:rsidRPr="00CB102D" w:rsidRDefault="003F67A5" w:rsidP="003F67A5">
      <w:pPr>
        <w:rPr>
          <w:rFonts w:cs="Arial"/>
          <w:sz w:val="24"/>
        </w:rPr>
      </w:pPr>
    </w:p>
    <w:p w14:paraId="4C6A16C2" w14:textId="34655CDE" w:rsidR="003F67A5" w:rsidRPr="00713BAB" w:rsidRDefault="003F67A5" w:rsidP="002B68CC">
      <w:pPr>
        <w:rPr>
          <w:rFonts w:eastAsiaTheme="minorEastAsia" w:cs="Arial"/>
          <w:b/>
          <w:color w:val="000000"/>
          <w:shd w:val="clear" w:color="auto" w:fill="FFFFFF"/>
          <w:lang w:eastAsia="en-GB"/>
        </w:rPr>
        <w:sectPr w:rsidR="003F67A5" w:rsidRPr="00713BAB" w:rsidSect="00BB3E70">
          <w:type w:val="continuous"/>
          <w:pgSz w:w="11906" w:h="16838" w:code="9"/>
          <w:pgMar w:top="1440" w:right="1440" w:bottom="1440" w:left="1440" w:header="709" w:footer="709" w:gutter="0"/>
          <w:cols w:space="708"/>
          <w:docGrid w:linePitch="360"/>
        </w:sectPr>
      </w:pPr>
    </w:p>
    <w:p w14:paraId="58D9FAA7" w14:textId="5F86A42C" w:rsidR="00963D81" w:rsidRPr="009465CA" w:rsidRDefault="00963D81" w:rsidP="00963D81">
      <w:pPr>
        <w:rPr>
          <w:rFonts w:cstheme="minorHAnsi"/>
          <w:sz w:val="24"/>
          <w:szCs w:val="24"/>
        </w:rPr>
      </w:pPr>
      <w:r w:rsidRPr="009465CA">
        <w:rPr>
          <w:rFonts w:cstheme="minorHAnsi"/>
          <w:b/>
          <w:sz w:val="24"/>
          <w:szCs w:val="24"/>
        </w:rPr>
        <w:lastRenderedPageBreak/>
        <w:t xml:space="preserve">Table </w:t>
      </w:r>
      <w:r w:rsidR="003F67A5">
        <w:rPr>
          <w:rFonts w:cstheme="minorHAnsi"/>
          <w:b/>
          <w:sz w:val="24"/>
          <w:szCs w:val="24"/>
        </w:rPr>
        <w:t>5</w:t>
      </w:r>
      <w:r w:rsidRPr="009465CA">
        <w:rPr>
          <w:rFonts w:cstheme="minorHAnsi"/>
          <w:b/>
          <w:sz w:val="24"/>
          <w:szCs w:val="24"/>
        </w:rPr>
        <w:t>.</w:t>
      </w:r>
      <w:r w:rsidRPr="009465CA">
        <w:rPr>
          <w:rFonts w:cstheme="minorHAnsi"/>
          <w:sz w:val="24"/>
          <w:szCs w:val="24"/>
        </w:rPr>
        <w:t xml:space="preserve"> Average undiscounted life years and QALYs per patient for each allocation scheme </w:t>
      </w:r>
    </w:p>
    <w:tbl>
      <w:tblPr>
        <w:tblStyle w:val="TableGrid"/>
        <w:tblW w:w="139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97"/>
        <w:gridCol w:w="851"/>
        <w:gridCol w:w="1276"/>
        <w:gridCol w:w="912"/>
        <w:gridCol w:w="1214"/>
        <w:gridCol w:w="850"/>
        <w:gridCol w:w="1268"/>
        <w:gridCol w:w="8"/>
        <w:gridCol w:w="856"/>
        <w:gridCol w:w="1280"/>
        <w:gridCol w:w="7"/>
        <w:gridCol w:w="843"/>
        <w:gridCol w:w="1133"/>
        <w:gridCol w:w="7"/>
      </w:tblGrid>
      <w:tr w:rsidR="00963D81" w:rsidRPr="009465CA" w14:paraId="30FE0C70" w14:textId="77777777" w:rsidTr="00D03380">
        <w:trPr>
          <w:trHeight w:val="508"/>
        </w:trPr>
        <w:tc>
          <w:tcPr>
            <w:tcW w:w="3397" w:type="dxa"/>
            <w:tcBorders>
              <w:bottom w:val="single" w:sz="4" w:space="0" w:color="auto"/>
            </w:tcBorders>
            <w:vAlign w:val="center"/>
          </w:tcPr>
          <w:p w14:paraId="3D71AD6A" w14:textId="77777777" w:rsidR="00963D81" w:rsidRPr="00D03380" w:rsidRDefault="00963D81" w:rsidP="00CA0B56">
            <w:pPr>
              <w:pStyle w:val="NoSpacing"/>
              <w:spacing w:before="100" w:beforeAutospacing="1" w:after="100" w:afterAutospacing="1"/>
              <w:jc w:val="center"/>
              <w:rPr>
                <w:rFonts w:cstheme="minorHAnsi"/>
              </w:rPr>
            </w:pPr>
          </w:p>
        </w:tc>
        <w:tc>
          <w:tcPr>
            <w:tcW w:w="2127" w:type="dxa"/>
            <w:gridSpan w:val="2"/>
            <w:tcBorders>
              <w:top w:val="single" w:sz="4" w:space="0" w:color="auto"/>
              <w:bottom w:val="single" w:sz="4" w:space="0" w:color="auto"/>
            </w:tcBorders>
            <w:vAlign w:val="center"/>
          </w:tcPr>
          <w:p w14:paraId="4D167FB1" w14:textId="77777777" w:rsidR="00963D81" w:rsidRPr="00D03380" w:rsidRDefault="00963D81" w:rsidP="00CA0B56">
            <w:pPr>
              <w:pStyle w:val="NoSpacing"/>
              <w:ind w:left="63"/>
              <w:jc w:val="center"/>
              <w:rPr>
                <w:rFonts w:cstheme="minorHAnsi"/>
                <w:b/>
              </w:rPr>
            </w:pPr>
            <w:r w:rsidRPr="00D03380">
              <w:rPr>
                <w:rFonts w:cstheme="minorHAnsi"/>
                <w:b/>
              </w:rPr>
              <w:t xml:space="preserve">Random allocation </w:t>
            </w:r>
          </w:p>
        </w:tc>
        <w:tc>
          <w:tcPr>
            <w:tcW w:w="2126" w:type="dxa"/>
            <w:gridSpan w:val="2"/>
            <w:tcBorders>
              <w:top w:val="single" w:sz="4" w:space="0" w:color="auto"/>
              <w:bottom w:val="single" w:sz="4" w:space="0" w:color="auto"/>
            </w:tcBorders>
            <w:vAlign w:val="center"/>
          </w:tcPr>
          <w:p w14:paraId="732D8E60" w14:textId="77777777" w:rsidR="00963D81" w:rsidRPr="00D03380" w:rsidRDefault="00963D81" w:rsidP="00CA0B56">
            <w:pPr>
              <w:pStyle w:val="NoSpacing"/>
              <w:ind w:left="63"/>
              <w:jc w:val="center"/>
              <w:rPr>
                <w:rFonts w:cstheme="minorHAnsi"/>
                <w:b/>
              </w:rPr>
            </w:pPr>
            <w:r w:rsidRPr="00D03380">
              <w:rPr>
                <w:rFonts w:cstheme="minorHAnsi"/>
                <w:b/>
              </w:rPr>
              <w:t>Waiting time</w:t>
            </w:r>
          </w:p>
        </w:tc>
        <w:tc>
          <w:tcPr>
            <w:tcW w:w="2126" w:type="dxa"/>
            <w:gridSpan w:val="3"/>
            <w:tcBorders>
              <w:top w:val="single" w:sz="4" w:space="0" w:color="auto"/>
              <w:bottom w:val="single" w:sz="4" w:space="0" w:color="auto"/>
            </w:tcBorders>
            <w:vAlign w:val="center"/>
          </w:tcPr>
          <w:p w14:paraId="35BBFA5A" w14:textId="77777777" w:rsidR="00963D81" w:rsidRPr="00D03380" w:rsidRDefault="00963D81" w:rsidP="00CA0B56">
            <w:pPr>
              <w:pStyle w:val="NoSpacing"/>
              <w:ind w:left="63"/>
              <w:jc w:val="center"/>
              <w:rPr>
                <w:rFonts w:cstheme="minorHAnsi"/>
                <w:b/>
              </w:rPr>
            </w:pPr>
            <w:r w:rsidRPr="00D03380">
              <w:rPr>
                <w:rFonts w:cstheme="minorHAnsi"/>
                <w:b/>
              </w:rPr>
              <w:t xml:space="preserve">2006 NKAS </w:t>
            </w:r>
          </w:p>
        </w:tc>
        <w:tc>
          <w:tcPr>
            <w:tcW w:w="2143" w:type="dxa"/>
            <w:gridSpan w:val="3"/>
            <w:tcBorders>
              <w:top w:val="single" w:sz="4" w:space="0" w:color="auto"/>
              <w:bottom w:val="single" w:sz="4" w:space="0" w:color="auto"/>
            </w:tcBorders>
            <w:vAlign w:val="center"/>
          </w:tcPr>
          <w:p w14:paraId="078023BE" w14:textId="77777777" w:rsidR="00963D81" w:rsidRPr="00D03380" w:rsidRDefault="00963D81" w:rsidP="00CA0B56">
            <w:pPr>
              <w:pStyle w:val="NoSpacing"/>
              <w:ind w:left="63"/>
              <w:jc w:val="center"/>
              <w:rPr>
                <w:rFonts w:cstheme="minorHAnsi"/>
                <w:b/>
              </w:rPr>
            </w:pPr>
            <w:r w:rsidRPr="00D03380">
              <w:rPr>
                <w:rFonts w:cstheme="minorHAnsi"/>
                <w:b/>
              </w:rPr>
              <w:t xml:space="preserve">Longevity matching </w:t>
            </w:r>
          </w:p>
        </w:tc>
        <w:tc>
          <w:tcPr>
            <w:tcW w:w="1983" w:type="dxa"/>
            <w:gridSpan w:val="3"/>
            <w:tcBorders>
              <w:top w:val="single" w:sz="4" w:space="0" w:color="auto"/>
              <w:bottom w:val="single" w:sz="4" w:space="0" w:color="auto"/>
            </w:tcBorders>
            <w:vAlign w:val="center"/>
          </w:tcPr>
          <w:p w14:paraId="59E7E9B8" w14:textId="77777777" w:rsidR="00963D81" w:rsidRPr="00D03380" w:rsidRDefault="00963D81" w:rsidP="00CA0B56">
            <w:pPr>
              <w:pStyle w:val="NoSpacing"/>
              <w:ind w:left="63"/>
              <w:jc w:val="center"/>
              <w:rPr>
                <w:rFonts w:cstheme="minorHAnsi"/>
                <w:b/>
              </w:rPr>
            </w:pPr>
            <w:r w:rsidRPr="00D03380">
              <w:rPr>
                <w:rFonts w:cstheme="minorHAnsi"/>
                <w:b/>
              </w:rPr>
              <w:t xml:space="preserve">QALY-maximising </w:t>
            </w:r>
          </w:p>
        </w:tc>
      </w:tr>
      <w:tr w:rsidR="00963D81" w:rsidRPr="009465CA" w14:paraId="3FB07582" w14:textId="77777777" w:rsidTr="00D03380">
        <w:trPr>
          <w:gridAfter w:val="1"/>
          <w:wAfter w:w="7" w:type="dxa"/>
          <w:trHeight w:val="354"/>
        </w:trPr>
        <w:tc>
          <w:tcPr>
            <w:tcW w:w="3397" w:type="dxa"/>
            <w:tcBorders>
              <w:top w:val="single" w:sz="4" w:space="0" w:color="auto"/>
              <w:bottom w:val="single" w:sz="4" w:space="0" w:color="auto"/>
            </w:tcBorders>
            <w:vAlign w:val="center"/>
          </w:tcPr>
          <w:p w14:paraId="1D30014D" w14:textId="77777777" w:rsidR="00963D81" w:rsidRPr="00D03380" w:rsidRDefault="00963D81" w:rsidP="00CA0B56">
            <w:pPr>
              <w:pStyle w:val="NoSpacing"/>
              <w:spacing w:before="100" w:beforeAutospacing="1" w:after="100" w:afterAutospacing="1"/>
              <w:rPr>
                <w:rFonts w:cstheme="minorHAnsi"/>
                <w:b/>
                <w:bCs/>
                <w:color w:val="000000"/>
              </w:rPr>
            </w:pPr>
            <w:r w:rsidRPr="00D03380">
              <w:rPr>
                <w:rFonts w:cstheme="minorHAnsi"/>
                <w:b/>
                <w:bCs/>
                <w:color w:val="000000"/>
              </w:rPr>
              <w:t>Life years</w:t>
            </w:r>
          </w:p>
        </w:tc>
        <w:tc>
          <w:tcPr>
            <w:tcW w:w="851" w:type="dxa"/>
            <w:tcBorders>
              <w:top w:val="single" w:sz="4" w:space="0" w:color="auto"/>
              <w:bottom w:val="single" w:sz="4" w:space="0" w:color="auto"/>
            </w:tcBorders>
            <w:vAlign w:val="center"/>
          </w:tcPr>
          <w:p w14:paraId="55AEADEE"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76" w:type="dxa"/>
            <w:tcBorders>
              <w:top w:val="single" w:sz="4" w:space="0" w:color="auto"/>
              <w:bottom w:val="single" w:sz="4" w:space="0" w:color="auto"/>
            </w:tcBorders>
            <w:vAlign w:val="center"/>
          </w:tcPr>
          <w:p w14:paraId="29535DD3"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912" w:type="dxa"/>
            <w:tcBorders>
              <w:top w:val="single" w:sz="4" w:space="0" w:color="auto"/>
              <w:bottom w:val="single" w:sz="4" w:space="0" w:color="auto"/>
            </w:tcBorders>
            <w:vAlign w:val="center"/>
          </w:tcPr>
          <w:p w14:paraId="7E4343BC"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14" w:type="dxa"/>
            <w:tcBorders>
              <w:top w:val="single" w:sz="4" w:space="0" w:color="auto"/>
              <w:bottom w:val="single" w:sz="4" w:space="0" w:color="auto"/>
            </w:tcBorders>
            <w:vAlign w:val="center"/>
          </w:tcPr>
          <w:p w14:paraId="758A8C90"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50" w:type="dxa"/>
            <w:tcBorders>
              <w:top w:val="single" w:sz="4" w:space="0" w:color="auto"/>
              <w:bottom w:val="single" w:sz="4" w:space="0" w:color="auto"/>
            </w:tcBorders>
            <w:vAlign w:val="center"/>
          </w:tcPr>
          <w:p w14:paraId="5F3F6786"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68" w:type="dxa"/>
            <w:tcBorders>
              <w:top w:val="single" w:sz="4" w:space="0" w:color="auto"/>
              <w:bottom w:val="single" w:sz="4" w:space="0" w:color="auto"/>
            </w:tcBorders>
            <w:vAlign w:val="center"/>
          </w:tcPr>
          <w:p w14:paraId="1E735939"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64" w:type="dxa"/>
            <w:gridSpan w:val="2"/>
            <w:tcBorders>
              <w:top w:val="single" w:sz="4" w:space="0" w:color="auto"/>
              <w:bottom w:val="single" w:sz="4" w:space="0" w:color="auto"/>
            </w:tcBorders>
            <w:vAlign w:val="center"/>
          </w:tcPr>
          <w:p w14:paraId="4A329581"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80" w:type="dxa"/>
            <w:tcBorders>
              <w:top w:val="single" w:sz="4" w:space="0" w:color="auto"/>
              <w:bottom w:val="single" w:sz="4" w:space="0" w:color="auto"/>
            </w:tcBorders>
            <w:vAlign w:val="center"/>
          </w:tcPr>
          <w:p w14:paraId="119E5FBD"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50" w:type="dxa"/>
            <w:gridSpan w:val="2"/>
            <w:tcBorders>
              <w:top w:val="single" w:sz="4" w:space="0" w:color="auto"/>
              <w:bottom w:val="single" w:sz="4" w:space="0" w:color="auto"/>
            </w:tcBorders>
            <w:vAlign w:val="center"/>
          </w:tcPr>
          <w:p w14:paraId="03CBA264"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133" w:type="dxa"/>
            <w:tcBorders>
              <w:top w:val="single" w:sz="4" w:space="0" w:color="auto"/>
              <w:bottom w:val="single" w:sz="4" w:space="0" w:color="auto"/>
            </w:tcBorders>
            <w:vAlign w:val="center"/>
          </w:tcPr>
          <w:p w14:paraId="362189CE"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r>
      <w:tr w:rsidR="00963D81" w:rsidRPr="009465CA" w14:paraId="5BB48EE7" w14:textId="77777777" w:rsidTr="00D03380">
        <w:trPr>
          <w:gridAfter w:val="1"/>
          <w:wAfter w:w="7" w:type="dxa"/>
          <w:trHeight w:val="285"/>
        </w:trPr>
        <w:tc>
          <w:tcPr>
            <w:tcW w:w="3397" w:type="dxa"/>
            <w:tcBorders>
              <w:top w:val="single" w:sz="4" w:space="0" w:color="auto"/>
            </w:tcBorders>
            <w:vAlign w:val="bottom"/>
          </w:tcPr>
          <w:p w14:paraId="6F98D59D" w14:textId="77777777" w:rsidR="00963D81" w:rsidRPr="009465CA" w:rsidRDefault="00963D81" w:rsidP="00CA0B56">
            <w:pPr>
              <w:pStyle w:val="NoSpacing"/>
              <w:spacing w:before="100" w:beforeAutospacing="1" w:after="100" w:afterAutospacing="1"/>
              <w:ind w:left="164"/>
              <w:rPr>
                <w:rFonts w:cstheme="minorHAnsi"/>
                <w:color w:val="000000"/>
                <w:sz w:val="20"/>
                <w:szCs w:val="20"/>
              </w:rPr>
            </w:pPr>
            <w:r w:rsidRPr="009465CA">
              <w:rPr>
                <w:rFonts w:cstheme="minorHAnsi"/>
                <w:color w:val="000000"/>
                <w:sz w:val="20"/>
                <w:szCs w:val="20"/>
              </w:rPr>
              <w:t>Transplant recipients (by age group)</w:t>
            </w:r>
          </w:p>
        </w:tc>
        <w:tc>
          <w:tcPr>
            <w:tcW w:w="851" w:type="dxa"/>
            <w:tcBorders>
              <w:top w:val="single" w:sz="4" w:space="0" w:color="auto"/>
            </w:tcBorders>
            <w:vAlign w:val="bottom"/>
          </w:tcPr>
          <w:p w14:paraId="5547DC9F"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76" w:type="dxa"/>
            <w:tcBorders>
              <w:top w:val="single" w:sz="4" w:space="0" w:color="auto"/>
            </w:tcBorders>
            <w:vAlign w:val="bottom"/>
          </w:tcPr>
          <w:p w14:paraId="40E7B1E1"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912" w:type="dxa"/>
            <w:tcBorders>
              <w:top w:val="single" w:sz="4" w:space="0" w:color="auto"/>
            </w:tcBorders>
            <w:vAlign w:val="bottom"/>
          </w:tcPr>
          <w:p w14:paraId="139FD0B8"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14" w:type="dxa"/>
            <w:tcBorders>
              <w:top w:val="single" w:sz="4" w:space="0" w:color="auto"/>
            </w:tcBorders>
            <w:vAlign w:val="bottom"/>
          </w:tcPr>
          <w:p w14:paraId="7516DD5C"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tcBorders>
              <w:top w:val="single" w:sz="4" w:space="0" w:color="auto"/>
            </w:tcBorders>
            <w:vAlign w:val="bottom"/>
          </w:tcPr>
          <w:p w14:paraId="09370D4F"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68" w:type="dxa"/>
            <w:tcBorders>
              <w:top w:val="single" w:sz="4" w:space="0" w:color="auto"/>
            </w:tcBorders>
            <w:vAlign w:val="bottom"/>
          </w:tcPr>
          <w:p w14:paraId="20063EFB"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64" w:type="dxa"/>
            <w:gridSpan w:val="2"/>
            <w:tcBorders>
              <w:top w:val="single" w:sz="4" w:space="0" w:color="auto"/>
            </w:tcBorders>
            <w:vAlign w:val="bottom"/>
          </w:tcPr>
          <w:p w14:paraId="2AAAEE43"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80" w:type="dxa"/>
            <w:tcBorders>
              <w:top w:val="single" w:sz="4" w:space="0" w:color="auto"/>
            </w:tcBorders>
            <w:vAlign w:val="bottom"/>
          </w:tcPr>
          <w:p w14:paraId="7A835A53"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gridSpan w:val="2"/>
            <w:tcBorders>
              <w:top w:val="single" w:sz="4" w:space="0" w:color="auto"/>
            </w:tcBorders>
            <w:vAlign w:val="bottom"/>
          </w:tcPr>
          <w:p w14:paraId="1C2D2820"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133" w:type="dxa"/>
            <w:tcBorders>
              <w:top w:val="single" w:sz="4" w:space="0" w:color="auto"/>
            </w:tcBorders>
            <w:vAlign w:val="bottom"/>
          </w:tcPr>
          <w:p w14:paraId="0B6924C7"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r>
      <w:tr w:rsidR="00963D81" w:rsidRPr="009465CA" w14:paraId="46031250" w14:textId="77777777" w:rsidTr="00D03380">
        <w:trPr>
          <w:gridAfter w:val="1"/>
          <w:wAfter w:w="7" w:type="dxa"/>
          <w:trHeight w:val="285"/>
        </w:trPr>
        <w:tc>
          <w:tcPr>
            <w:tcW w:w="3397" w:type="dxa"/>
            <w:vAlign w:val="bottom"/>
          </w:tcPr>
          <w:p w14:paraId="38DB1EFE"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 xml:space="preserve">18-29 </w:t>
            </w:r>
          </w:p>
        </w:tc>
        <w:tc>
          <w:tcPr>
            <w:tcW w:w="851" w:type="dxa"/>
            <w:vAlign w:val="bottom"/>
          </w:tcPr>
          <w:p w14:paraId="4940BF6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27.2</w:t>
            </w:r>
          </w:p>
        </w:tc>
        <w:tc>
          <w:tcPr>
            <w:tcW w:w="1276" w:type="dxa"/>
            <w:vAlign w:val="bottom"/>
          </w:tcPr>
          <w:p w14:paraId="53FBB70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(24.7, 29.7)</w:t>
            </w:r>
          </w:p>
        </w:tc>
        <w:tc>
          <w:tcPr>
            <w:tcW w:w="912" w:type="dxa"/>
            <w:vAlign w:val="bottom"/>
          </w:tcPr>
          <w:p w14:paraId="7AAA1F0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27.2</w:t>
            </w:r>
          </w:p>
        </w:tc>
        <w:tc>
          <w:tcPr>
            <w:tcW w:w="1214" w:type="dxa"/>
            <w:vAlign w:val="bottom"/>
          </w:tcPr>
          <w:p w14:paraId="6B7516F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(24.0, 30.3)</w:t>
            </w:r>
          </w:p>
        </w:tc>
        <w:tc>
          <w:tcPr>
            <w:tcW w:w="850" w:type="dxa"/>
            <w:vAlign w:val="bottom"/>
          </w:tcPr>
          <w:p w14:paraId="05FE462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32.8</w:t>
            </w:r>
          </w:p>
        </w:tc>
        <w:tc>
          <w:tcPr>
            <w:tcW w:w="1268" w:type="dxa"/>
            <w:vAlign w:val="bottom"/>
          </w:tcPr>
          <w:p w14:paraId="06D683A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(30.3, 35.3)</w:t>
            </w:r>
          </w:p>
        </w:tc>
        <w:tc>
          <w:tcPr>
            <w:tcW w:w="864" w:type="dxa"/>
            <w:gridSpan w:val="2"/>
            <w:vAlign w:val="bottom"/>
          </w:tcPr>
          <w:p w14:paraId="6E85D26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31.5</w:t>
            </w:r>
          </w:p>
        </w:tc>
        <w:tc>
          <w:tcPr>
            <w:tcW w:w="1280" w:type="dxa"/>
            <w:vAlign w:val="bottom"/>
          </w:tcPr>
          <w:p w14:paraId="1EE54B0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(29.3, 33.7)</w:t>
            </w:r>
          </w:p>
        </w:tc>
        <w:tc>
          <w:tcPr>
            <w:tcW w:w="850" w:type="dxa"/>
            <w:gridSpan w:val="2"/>
            <w:vAlign w:val="bottom"/>
          </w:tcPr>
          <w:p w14:paraId="5D7C196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29.2</w:t>
            </w:r>
          </w:p>
        </w:tc>
        <w:tc>
          <w:tcPr>
            <w:tcW w:w="1133" w:type="dxa"/>
            <w:vAlign w:val="bottom"/>
          </w:tcPr>
          <w:p w14:paraId="7CE706F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(27.3, 31.2)</w:t>
            </w:r>
          </w:p>
        </w:tc>
      </w:tr>
      <w:tr w:rsidR="00963D81" w:rsidRPr="009465CA" w14:paraId="4C8945F2" w14:textId="77777777" w:rsidTr="00D03380">
        <w:trPr>
          <w:gridAfter w:val="1"/>
          <w:wAfter w:w="7" w:type="dxa"/>
          <w:trHeight w:val="285"/>
        </w:trPr>
        <w:tc>
          <w:tcPr>
            <w:tcW w:w="3397" w:type="dxa"/>
            <w:vAlign w:val="bottom"/>
          </w:tcPr>
          <w:p w14:paraId="7EE26625"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30-39</w:t>
            </w:r>
          </w:p>
        </w:tc>
        <w:tc>
          <w:tcPr>
            <w:tcW w:w="851" w:type="dxa"/>
            <w:vAlign w:val="bottom"/>
          </w:tcPr>
          <w:p w14:paraId="4E75868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26.5</w:t>
            </w:r>
          </w:p>
        </w:tc>
        <w:tc>
          <w:tcPr>
            <w:tcW w:w="1276" w:type="dxa"/>
            <w:vAlign w:val="bottom"/>
          </w:tcPr>
          <w:p w14:paraId="0DB7219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(24.6, 28.4)</w:t>
            </w:r>
          </w:p>
        </w:tc>
        <w:tc>
          <w:tcPr>
            <w:tcW w:w="912" w:type="dxa"/>
            <w:vAlign w:val="bottom"/>
          </w:tcPr>
          <w:p w14:paraId="4590864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25.4</w:t>
            </w:r>
          </w:p>
        </w:tc>
        <w:tc>
          <w:tcPr>
            <w:tcW w:w="1214" w:type="dxa"/>
            <w:vAlign w:val="bottom"/>
          </w:tcPr>
          <w:p w14:paraId="547D401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(23.5, 27.3)</w:t>
            </w:r>
          </w:p>
        </w:tc>
        <w:tc>
          <w:tcPr>
            <w:tcW w:w="850" w:type="dxa"/>
            <w:vAlign w:val="bottom"/>
          </w:tcPr>
          <w:p w14:paraId="64119A4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29.2</w:t>
            </w:r>
          </w:p>
        </w:tc>
        <w:tc>
          <w:tcPr>
            <w:tcW w:w="1268" w:type="dxa"/>
            <w:vAlign w:val="bottom"/>
          </w:tcPr>
          <w:p w14:paraId="1259B99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(27.7, 30.8)</w:t>
            </w:r>
          </w:p>
        </w:tc>
        <w:tc>
          <w:tcPr>
            <w:tcW w:w="864" w:type="dxa"/>
            <w:gridSpan w:val="2"/>
            <w:vAlign w:val="bottom"/>
          </w:tcPr>
          <w:p w14:paraId="1732B1F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30.1</w:t>
            </w:r>
          </w:p>
        </w:tc>
        <w:tc>
          <w:tcPr>
            <w:tcW w:w="1280" w:type="dxa"/>
            <w:vAlign w:val="bottom"/>
          </w:tcPr>
          <w:p w14:paraId="0EE2738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(28.6, 31.7)</w:t>
            </w:r>
          </w:p>
        </w:tc>
        <w:tc>
          <w:tcPr>
            <w:tcW w:w="850" w:type="dxa"/>
            <w:gridSpan w:val="2"/>
            <w:vAlign w:val="bottom"/>
          </w:tcPr>
          <w:p w14:paraId="2077B6C0"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27.5</w:t>
            </w:r>
          </w:p>
        </w:tc>
        <w:tc>
          <w:tcPr>
            <w:tcW w:w="1133" w:type="dxa"/>
            <w:vAlign w:val="bottom"/>
          </w:tcPr>
          <w:p w14:paraId="2BAAA50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(26.2, 28.8)</w:t>
            </w:r>
          </w:p>
        </w:tc>
      </w:tr>
      <w:tr w:rsidR="00963D81" w:rsidRPr="009465CA" w14:paraId="4BF8B5FC" w14:textId="77777777" w:rsidTr="00D03380">
        <w:trPr>
          <w:gridAfter w:val="1"/>
          <w:wAfter w:w="7" w:type="dxa"/>
          <w:trHeight w:val="285"/>
        </w:trPr>
        <w:tc>
          <w:tcPr>
            <w:tcW w:w="3397" w:type="dxa"/>
            <w:vAlign w:val="bottom"/>
          </w:tcPr>
          <w:p w14:paraId="494D374B"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40-49</w:t>
            </w:r>
          </w:p>
        </w:tc>
        <w:tc>
          <w:tcPr>
            <w:tcW w:w="851" w:type="dxa"/>
            <w:vAlign w:val="bottom"/>
          </w:tcPr>
          <w:p w14:paraId="324F250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23.4</w:t>
            </w:r>
          </w:p>
        </w:tc>
        <w:tc>
          <w:tcPr>
            <w:tcW w:w="1276" w:type="dxa"/>
            <w:vAlign w:val="bottom"/>
          </w:tcPr>
          <w:p w14:paraId="214CE6F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(22.3, 24.6)</w:t>
            </w:r>
          </w:p>
        </w:tc>
        <w:tc>
          <w:tcPr>
            <w:tcW w:w="912" w:type="dxa"/>
            <w:vAlign w:val="bottom"/>
          </w:tcPr>
          <w:p w14:paraId="1E44A47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22.2</w:t>
            </w:r>
          </w:p>
        </w:tc>
        <w:tc>
          <w:tcPr>
            <w:tcW w:w="1214" w:type="dxa"/>
            <w:vAlign w:val="bottom"/>
          </w:tcPr>
          <w:p w14:paraId="4A67095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(21.0, 23.3)</w:t>
            </w:r>
          </w:p>
        </w:tc>
        <w:tc>
          <w:tcPr>
            <w:tcW w:w="850" w:type="dxa"/>
            <w:vAlign w:val="bottom"/>
          </w:tcPr>
          <w:p w14:paraId="6DDDC50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23.4</w:t>
            </w:r>
          </w:p>
        </w:tc>
        <w:tc>
          <w:tcPr>
            <w:tcW w:w="1268" w:type="dxa"/>
            <w:vAlign w:val="bottom"/>
          </w:tcPr>
          <w:p w14:paraId="6FDBFAB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(22.4, 24.5)</w:t>
            </w:r>
          </w:p>
        </w:tc>
        <w:tc>
          <w:tcPr>
            <w:tcW w:w="864" w:type="dxa"/>
            <w:gridSpan w:val="2"/>
            <w:vAlign w:val="bottom"/>
          </w:tcPr>
          <w:p w14:paraId="652D938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22.6</w:t>
            </w:r>
          </w:p>
        </w:tc>
        <w:tc>
          <w:tcPr>
            <w:tcW w:w="1280" w:type="dxa"/>
            <w:vAlign w:val="bottom"/>
          </w:tcPr>
          <w:p w14:paraId="208238B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(21.6, 23.6)</w:t>
            </w:r>
          </w:p>
        </w:tc>
        <w:tc>
          <w:tcPr>
            <w:tcW w:w="850" w:type="dxa"/>
            <w:gridSpan w:val="2"/>
            <w:vAlign w:val="bottom"/>
          </w:tcPr>
          <w:p w14:paraId="3EC618D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23.4</w:t>
            </w:r>
          </w:p>
        </w:tc>
        <w:tc>
          <w:tcPr>
            <w:tcW w:w="1133" w:type="dxa"/>
            <w:vAlign w:val="bottom"/>
          </w:tcPr>
          <w:p w14:paraId="50B507C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(22.5, 24.4)</w:t>
            </w:r>
          </w:p>
        </w:tc>
      </w:tr>
      <w:tr w:rsidR="00963D81" w:rsidRPr="009465CA" w14:paraId="57B370D3" w14:textId="77777777" w:rsidTr="00D03380">
        <w:trPr>
          <w:gridAfter w:val="1"/>
          <w:wAfter w:w="7" w:type="dxa"/>
          <w:trHeight w:val="285"/>
        </w:trPr>
        <w:tc>
          <w:tcPr>
            <w:tcW w:w="3397" w:type="dxa"/>
            <w:vAlign w:val="bottom"/>
          </w:tcPr>
          <w:p w14:paraId="1F6A6A14"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50-59</w:t>
            </w:r>
          </w:p>
        </w:tc>
        <w:tc>
          <w:tcPr>
            <w:tcW w:w="851" w:type="dxa"/>
            <w:vAlign w:val="bottom"/>
          </w:tcPr>
          <w:p w14:paraId="5074397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15.2</w:t>
            </w:r>
          </w:p>
        </w:tc>
        <w:tc>
          <w:tcPr>
            <w:tcW w:w="1276" w:type="dxa"/>
            <w:vAlign w:val="bottom"/>
          </w:tcPr>
          <w:p w14:paraId="15CD468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(14.5, 15.9)</w:t>
            </w:r>
          </w:p>
        </w:tc>
        <w:tc>
          <w:tcPr>
            <w:tcW w:w="912" w:type="dxa"/>
            <w:vAlign w:val="bottom"/>
          </w:tcPr>
          <w:p w14:paraId="7F184B2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15.0</w:t>
            </w:r>
          </w:p>
        </w:tc>
        <w:tc>
          <w:tcPr>
            <w:tcW w:w="1214" w:type="dxa"/>
            <w:vAlign w:val="bottom"/>
          </w:tcPr>
          <w:p w14:paraId="6208701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(14.3, 15.7)</w:t>
            </w:r>
          </w:p>
        </w:tc>
        <w:tc>
          <w:tcPr>
            <w:tcW w:w="850" w:type="dxa"/>
            <w:vAlign w:val="bottom"/>
          </w:tcPr>
          <w:p w14:paraId="78C0D02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14.5</w:t>
            </w:r>
          </w:p>
        </w:tc>
        <w:tc>
          <w:tcPr>
            <w:tcW w:w="1268" w:type="dxa"/>
            <w:vAlign w:val="bottom"/>
          </w:tcPr>
          <w:p w14:paraId="17FDA7E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(13.8, 15.2)</w:t>
            </w:r>
          </w:p>
        </w:tc>
        <w:tc>
          <w:tcPr>
            <w:tcW w:w="864" w:type="dxa"/>
            <w:gridSpan w:val="2"/>
            <w:vAlign w:val="bottom"/>
          </w:tcPr>
          <w:p w14:paraId="791E429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14.5</w:t>
            </w:r>
          </w:p>
        </w:tc>
        <w:tc>
          <w:tcPr>
            <w:tcW w:w="1280" w:type="dxa"/>
            <w:vAlign w:val="bottom"/>
          </w:tcPr>
          <w:p w14:paraId="18ECC11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(13.7, 15.2)</w:t>
            </w:r>
          </w:p>
        </w:tc>
        <w:tc>
          <w:tcPr>
            <w:tcW w:w="850" w:type="dxa"/>
            <w:gridSpan w:val="2"/>
            <w:vAlign w:val="bottom"/>
          </w:tcPr>
          <w:p w14:paraId="4DB8787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15.6</w:t>
            </w:r>
          </w:p>
        </w:tc>
        <w:tc>
          <w:tcPr>
            <w:tcW w:w="1133" w:type="dxa"/>
            <w:vAlign w:val="bottom"/>
          </w:tcPr>
          <w:p w14:paraId="38F2DA7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(14.7, 16.6)</w:t>
            </w:r>
          </w:p>
        </w:tc>
      </w:tr>
      <w:tr w:rsidR="00963D81" w:rsidRPr="009465CA" w14:paraId="4F415427" w14:textId="77777777" w:rsidTr="00D03380">
        <w:trPr>
          <w:gridAfter w:val="1"/>
          <w:wAfter w:w="7" w:type="dxa"/>
          <w:trHeight w:val="285"/>
        </w:trPr>
        <w:tc>
          <w:tcPr>
            <w:tcW w:w="3397" w:type="dxa"/>
            <w:vAlign w:val="bottom"/>
          </w:tcPr>
          <w:p w14:paraId="19FC42F2"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&gt;60</w:t>
            </w:r>
          </w:p>
        </w:tc>
        <w:tc>
          <w:tcPr>
            <w:tcW w:w="851" w:type="dxa"/>
            <w:vAlign w:val="bottom"/>
          </w:tcPr>
          <w:p w14:paraId="7DA0EDC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11.2</w:t>
            </w:r>
          </w:p>
        </w:tc>
        <w:tc>
          <w:tcPr>
            <w:tcW w:w="1276" w:type="dxa"/>
            <w:vAlign w:val="bottom"/>
          </w:tcPr>
          <w:p w14:paraId="21CF613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(10.7, 11.6)</w:t>
            </w:r>
          </w:p>
        </w:tc>
        <w:tc>
          <w:tcPr>
            <w:tcW w:w="912" w:type="dxa"/>
            <w:vAlign w:val="bottom"/>
          </w:tcPr>
          <w:p w14:paraId="2BD10DC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11.4</w:t>
            </w:r>
          </w:p>
        </w:tc>
        <w:tc>
          <w:tcPr>
            <w:tcW w:w="1214" w:type="dxa"/>
            <w:vAlign w:val="bottom"/>
          </w:tcPr>
          <w:p w14:paraId="0E0AC89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(11.0, 11.9)</w:t>
            </w:r>
          </w:p>
        </w:tc>
        <w:tc>
          <w:tcPr>
            <w:tcW w:w="850" w:type="dxa"/>
            <w:vAlign w:val="bottom"/>
          </w:tcPr>
          <w:p w14:paraId="4EBD0F6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10.7</w:t>
            </w:r>
          </w:p>
        </w:tc>
        <w:tc>
          <w:tcPr>
            <w:tcW w:w="1268" w:type="dxa"/>
            <w:vAlign w:val="bottom"/>
          </w:tcPr>
          <w:p w14:paraId="4604F37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(10.2, 11.3)</w:t>
            </w:r>
          </w:p>
        </w:tc>
        <w:tc>
          <w:tcPr>
            <w:tcW w:w="864" w:type="dxa"/>
            <w:gridSpan w:val="2"/>
            <w:vAlign w:val="bottom"/>
          </w:tcPr>
          <w:p w14:paraId="46FD825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11.0</w:t>
            </w:r>
          </w:p>
        </w:tc>
        <w:tc>
          <w:tcPr>
            <w:tcW w:w="1280" w:type="dxa"/>
            <w:vAlign w:val="bottom"/>
          </w:tcPr>
          <w:p w14:paraId="067DF01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(10.4, 11.6)</w:t>
            </w:r>
          </w:p>
        </w:tc>
        <w:tc>
          <w:tcPr>
            <w:tcW w:w="850" w:type="dxa"/>
            <w:gridSpan w:val="2"/>
            <w:vAlign w:val="bottom"/>
          </w:tcPr>
          <w:p w14:paraId="28715E5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13.2</w:t>
            </w:r>
          </w:p>
        </w:tc>
        <w:tc>
          <w:tcPr>
            <w:tcW w:w="1133" w:type="dxa"/>
            <w:vAlign w:val="bottom"/>
          </w:tcPr>
          <w:p w14:paraId="203C958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(11.5, 14.8)</w:t>
            </w:r>
          </w:p>
        </w:tc>
      </w:tr>
      <w:tr w:rsidR="00963D81" w:rsidRPr="009465CA" w14:paraId="3CF30A3E" w14:textId="77777777" w:rsidTr="00D03380">
        <w:trPr>
          <w:gridAfter w:val="1"/>
          <w:wAfter w:w="7" w:type="dxa"/>
          <w:trHeight w:val="285"/>
        </w:trPr>
        <w:tc>
          <w:tcPr>
            <w:tcW w:w="3397" w:type="dxa"/>
            <w:vAlign w:val="bottom"/>
          </w:tcPr>
          <w:p w14:paraId="18463C87" w14:textId="77777777" w:rsidR="00963D81" w:rsidRPr="009465CA" w:rsidRDefault="00963D81" w:rsidP="00CA0B56">
            <w:pPr>
              <w:pStyle w:val="NoSpacing"/>
              <w:spacing w:before="100" w:beforeAutospacing="1" w:after="100" w:afterAutospacing="1"/>
              <w:ind w:left="164"/>
              <w:rPr>
                <w:rFonts w:cstheme="minorHAnsi"/>
                <w:color w:val="000000"/>
                <w:sz w:val="20"/>
                <w:szCs w:val="20"/>
              </w:rPr>
            </w:pPr>
            <w:r w:rsidRPr="009465CA">
              <w:rPr>
                <w:rFonts w:cstheme="minorHAnsi"/>
                <w:color w:val="000000"/>
                <w:sz w:val="20"/>
                <w:szCs w:val="20"/>
              </w:rPr>
              <w:t>Transplant recipients (all)</w:t>
            </w:r>
          </w:p>
        </w:tc>
        <w:tc>
          <w:tcPr>
            <w:tcW w:w="851" w:type="dxa"/>
            <w:vAlign w:val="bottom"/>
          </w:tcPr>
          <w:p w14:paraId="598CD12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18.0</w:t>
            </w:r>
          </w:p>
        </w:tc>
        <w:tc>
          <w:tcPr>
            <w:tcW w:w="1276" w:type="dxa"/>
            <w:vAlign w:val="bottom"/>
          </w:tcPr>
          <w:p w14:paraId="0A406AE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(17.5, 18.5)</w:t>
            </w:r>
          </w:p>
        </w:tc>
        <w:tc>
          <w:tcPr>
            <w:tcW w:w="912" w:type="dxa"/>
            <w:vAlign w:val="bottom"/>
          </w:tcPr>
          <w:p w14:paraId="64531B4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17.1</w:t>
            </w:r>
          </w:p>
        </w:tc>
        <w:tc>
          <w:tcPr>
            <w:tcW w:w="1214" w:type="dxa"/>
            <w:vAlign w:val="bottom"/>
          </w:tcPr>
          <w:p w14:paraId="634A656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(16.7, 17.6)</w:t>
            </w:r>
          </w:p>
        </w:tc>
        <w:tc>
          <w:tcPr>
            <w:tcW w:w="850" w:type="dxa"/>
            <w:vAlign w:val="bottom"/>
          </w:tcPr>
          <w:p w14:paraId="382229B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21.1</w:t>
            </w:r>
          </w:p>
        </w:tc>
        <w:tc>
          <w:tcPr>
            <w:tcW w:w="1268" w:type="dxa"/>
            <w:vAlign w:val="bottom"/>
          </w:tcPr>
          <w:p w14:paraId="11A73BE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(20.5, 21.7)</w:t>
            </w:r>
          </w:p>
        </w:tc>
        <w:tc>
          <w:tcPr>
            <w:tcW w:w="864" w:type="dxa"/>
            <w:gridSpan w:val="2"/>
            <w:vAlign w:val="bottom"/>
          </w:tcPr>
          <w:p w14:paraId="57B0FDE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21.2</w:t>
            </w:r>
          </w:p>
        </w:tc>
        <w:tc>
          <w:tcPr>
            <w:tcW w:w="1280" w:type="dxa"/>
            <w:vAlign w:val="bottom"/>
          </w:tcPr>
          <w:p w14:paraId="3C08841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(20.7, 21.8)</w:t>
            </w:r>
          </w:p>
        </w:tc>
        <w:tc>
          <w:tcPr>
            <w:tcW w:w="850" w:type="dxa"/>
            <w:gridSpan w:val="2"/>
            <w:vAlign w:val="bottom"/>
          </w:tcPr>
          <w:p w14:paraId="2DC0610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23.6</w:t>
            </w:r>
          </w:p>
        </w:tc>
        <w:tc>
          <w:tcPr>
            <w:tcW w:w="1133" w:type="dxa"/>
            <w:vAlign w:val="bottom"/>
          </w:tcPr>
          <w:p w14:paraId="4856973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(23.0, 24,2)</w:t>
            </w:r>
          </w:p>
        </w:tc>
      </w:tr>
      <w:tr w:rsidR="00963D81" w:rsidRPr="009465CA" w14:paraId="22274EF2" w14:textId="77777777" w:rsidTr="00D03380">
        <w:trPr>
          <w:gridAfter w:val="1"/>
          <w:wAfter w:w="7" w:type="dxa"/>
          <w:trHeight w:val="285"/>
        </w:trPr>
        <w:tc>
          <w:tcPr>
            <w:tcW w:w="3397" w:type="dxa"/>
            <w:vAlign w:val="bottom"/>
          </w:tcPr>
          <w:p w14:paraId="52DCC563" w14:textId="77777777" w:rsidR="00963D81" w:rsidRPr="009465CA" w:rsidRDefault="00963D81" w:rsidP="00CA0B56">
            <w:pPr>
              <w:pStyle w:val="NoSpacing"/>
              <w:spacing w:before="100" w:beforeAutospacing="1" w:after="100" w:afterAutospacing="1"/>
              <w:ind w:left="164"/>
              <w:rPr>
                <w:rFonts w:cstheme="minorHAnsi"/>
                <w:color w:val="000000"/>
                <w:sz w:val="20"/>
                <w:szCs w:val="20"/>
              </w:rPr>
            </w:pPr>
            <w:r w:rsidRPr="009465CA">
              <w:rPr>
                <w:rFonts w:cstheme="minorHAnsi"/>
                <w:color w:val="000000"/>
                <w:sz w:val="20"/>
                <w:szCs w:val="20"/>
              </w:rPr>
              <w:t>No transplant (all)</w:t>
            </w:r>
          </w:p>
        </w:tc>
        <w:tc>
          <w:tcPr>
            <w:tcW w:w="851" w:type="dxa"/>
            <w:vAlign w:val="bottom"/>
          </w:tcPr>
          <w:p w14:paraId="7A8D512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8.9</w:t>
            </w:r>
          </w:p>
        </w:tc>
        <w:tc>
          <w:tcPr>
            <w:tcW w:w="1276" w:type="dxa"/>
            <w:vAlign w:val="bottom"/>
          </w:tcPr>
          <w:p w14:paraId="1A6E945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(8.8, 9.1)</w:t>
            </w:r>
          </w:p>
        </w:tc>
        <w:tc>
          <w:tcPr>
            <w:tcW w:w="912" w:type="dxa"/>
            <w:vAlign w:val="bottom"/>
          </w:tcPr>
          <w:p w14:paraId="1F3CB0C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9.0</w:t>
            </w:r>
          </w:p>
        </w:tc>
        <w:tc>
          <w:tcPr>
            <w:tcW w:w="1214" w:type="dxa"/>
            <w:vAlign w:val="bottom"/>
          </w:tcPr>
          <w:p w14:paraId="7656BBD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(8.9, 9.1)</w:t>
            </w:r>
          </w:p>
        </w:tc>
        <w:tc>
          <w:tcPr>
            <w:tcW w:w="850" w:type="dxa"/>
            <w:vAlign w:val="bottom"/>
          </w:tcPr>
          <w:p w14:paraId="78707F5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9.0</w:t>
            </w:r>
          </w:p>
        </w:tc>
        <w:tc>
          <w:tcPr>
            <w:tcW w:w="1268" w:type="dxa"/>
            <w:vAlign w:val="bottom"/>
          </w:tcPr>
          <w:p w14:paraId="0ED1356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(8.9, 9.1)</w:t>
            </w:r>
          </w:p>
        </w:tc>
        <w:tc>
          <w:tcPr>
            <w:tcW w:w="864" w:type="dxa"/>
            <w:gridSpan w:val="2"/>
            <w:vAlign w:val="bottom"/>
          </w:tcPr>
          <w:p w14:paraId="0AFA3DF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6.8</w:t>
            </w:r>
          </w:p>
        </w:tc>
        <w:tc>
          <w:tcPr>
            <w:tcW w:w="1280" w:type="dxa"/>
            <w:vAlign w:val="bottom"/>
          </w:tcPr>
          <w:p w14:paraId="3D289B4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(6.7, 6.9)</w:t>
            </w:r>
          </w:p>
        </w:tc>
        <w:tc>
          <w:tcPr>
            <w:tcW w:w="850" w:type="dxa"/>
            <w:gridSpan w:val="2"/>
            <w:vAlign w:val="bottom"/>
          </w:tcPr>
          <w:p w14:paraId="59DABFF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6.5</w:t>
            </w:r>
          </w:p>
        </w:tc>
        <w:tc>
          <w:tcPr>
            <w:tcW w:w="1133" w:type="dxa"/>
            <w:vAlign w:val="bottom"/>
          </w:tcPr>
          <w:p w14:paraId="3804907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(6.4, 6.6)</w:t>
            </w:r>
          </w:p>
        </w:tc>
      </w:tr>
      <w:tr w:rsidR="00963D81" w:rsidRPr="009465CA" w14:paraId="6F0C1787" w14:textId="77777777" w:rsidTr="00D03380">
        <w:trPr>
          <w:gridAfter w:val="1"/>
          <w:wAfter w:w="7" w:type="dxa"/>
          <w:trHeight w:val="179"/>
        </w:trPr>
        <w:tc>
          <w:tcPr>
            <w:tcW w:w="3397" w:type="dxa"/>
            <w:tcBorders>
              <w:bottom w:val="single" w:sz="4" w:space="0" w:color="auto"/>
            </w:tcBorders>
            <w:vAlign w:val="bottom"/>
          </w:tcPr>
          <w:p w14:paraId="590C5D59" w14:textId="77777777" w:rsidR="00963D81" w:rsidRPr="009465CA" w:rsidRDefault="00963D81" w:rsidP="00CA0B56">
            <w:pPr>
              <w:pStyle w:val="NoSpacing"/>
              <w:spacing w:before="100" w:beforeAutospacing="1" w:after="100" w:afterAutospacing="1"/>
              <w:rPr>
                <w:rFonts w:cstheme="minorHAnsi"/>
                <w:color w:val="000000"/>
                <w:sz w:val="20"/>
                <w:szCs w:val="20"/>
              </w:rPr>
            </w:pPr>
          </w:p>
        </w:tc>
        <w:tc>
          <w:tcPr>
            <w:tcW w:w="851" w:type="dxa"/>
            <w:tcBorders>
              <w:bottom w:val="single" w:sz="4" w:space="0" w:color="auto"/>
            </w:tcBorders>
            <w:vAlign w:val="center"/>
          </w:tcPr>
          <w:p w14:paraId="4A660B74"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76" w:type="dxa"/>
            <w:tcBorders>
              <w:bottom w:val="single" w:sz="4" w:space="0" w:color="auto"/>
            </w:tcBorders>
            <w:vAlign w:val="center"/>
          </w:tcPr>
          <w:p w14:paraId="47D23F1A"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912" w:type="dxa"/>
            <w:tcBorders>
              <w:bottom w:val="single" w:sz="4" w:space="0" w:color="auto"/>
            </w:tcBorders>
            <w:vAlign w:val="center"/>
          </w:tcPr>
          <w:p w14:paraId="67CB99BE"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14" w:type="dxa"/>
            <w:tcBorders>
              <w:bottom w:val="single" w:sz="4" w:space="0" w:color="auto"/>
            </w:tcBorders>
            <w:vAlign w:val="center"/>
          </w:tcPr>
          <w:p w14:paraId="08D5EAF0"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tcBorders>
              <w:bottom w:val="single" w:sz="4" w:space="0" w:color="auto"/>
            </w:tcBorders>
            <w:vAlign w:val="center"/>
          </w:tcPr>
          <w:p w14:paraId="11A2B5A8"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68" w:type="dxa"/>
            <w:tcBorders>
              <w:bottom w:val="single" w:sz="4" w:space="0" w:color="auto"/>
            </w:tcBorders>
            <w:vAlign w:val="center"/>
          </w:tcPr>
          <w:p w14:paraId="2A1FB7EA"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64" w:type="dxa"/>
            <w:gridSpan w:val="2"/>
            <w:tcBorders>
              <w:bottom w:val="single" w:sz="4" w:space="0" w:color="auto"/>
            </w:tcBorders>
            <w:vAlign w:val="center"/>
          </w:tcPr>
          <w:p w14:paraId="1DDF433B"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80" w:type="dxa"/>
            <w:tcBorders>
              <w:bottom w:val="single" w:sz="4" w:space="0" w:color="auto"/>
            </w:tcBorders>
            <w:vAlign w:val="center"/>
          </w:tcPr>
          <w:p w14:paraId="19230341"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gridSpan w:val="2"/>
            <w:tcBorders>
              <w:bottom w:val="single" w:sz="4" w:space="0" w:color="auto"/>
            </w:tcBorders>
            <w:vAlign w:val="center"/>
          </w:tcPr>
          <w:p w14:paraId="6F409FC4"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133" w:type="dxa"/>
            <w:tcBorders>
              <w:bottom w:val="single" w:sz="4" w:space="0" w:color="auto"/>
            </w:tcBorders>
            <w:vAlign w:val="center"/>
          </w:tcPr>
          <w:p w14:paraId="1D3E032A"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r>
      <w:tr w:rsidR="00963D81" w:rsidRPr="00D03380" w14:paraId="220C3930" w14:textId="77777777" w:rsidTr="00D03380">
        <w:trPr>
          <w:gridAfter w:val="1"/>
          <w:wAfter w:w="7" w:type="dxa"/>
          <w:trHeight w:val="343"/>
        </w:trPr>
        <w:tc>
          <w:tcPr>
            <w:tcW w:w="3397" w:type="dxa"/>
            <w:tcBorders>
              <w:top w:val="single" w:sz="4" w:space="0" w:color="auto"/>
              <w:bottom w:val="single" w:sz="4" w:space="0" w:color="auto"/>
            </w:tcBorders>
            <w:vAlign w:val="center"/>
          </w:tcPr>
          <w:p w14:paraId="3DEF9BDE" w14:textId="77777777" w:rsidR="00963D81" w:rsidRPr="00D03380" w:rsidRDefault="00963D81" w:rsidP="00CA0B56">
            <w:pPr>
              <w:pStyle w:val="NoSpacing"/>
              <w:spacing w:before="100" w:beforeAutospacing="1" w:after="100" w:afterAutospacing="1"/>
              <w:rPr>
                <w:rFonts w:cstheme="minorHAnsi"/>
                <w:b/>
                <w:bCs/>
                <w:color w:val="000000"/>
              </w:rPr>
            </w:pPr>
            <w:r w:rsidRPr="00D03380">
              <w:rPr>
                <w:rFonts w:cstheme="minorHAnsi"/>
                <w:b/>
                <w:bCs/>
                <w:color w:val="000000"/>
              </w:rPr>
              <w:t>QALYs</w:t>
            </w:r>
          </w:p>
        </w:tc>
        <w:tc>
          <w:tcPr>
            <w:tcW w:w="851" w:type="dxa"/>
            <w:tcBorders>
              <w:top w:val="single" w:sz="4" w:space="0" w:color="auto"/>
              <w:bottom w:val="single" w:sz="4" w:space="0" w:color="auto"/>
            </w:tcBorders>
            <w:vAlign w:val="center"/>
          </w:tcPr>
          <w:p w14:paraId="2C3B5703"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76" w:type="dxa"/>
            <w:tcBorders>
              <w:top w:val="single" w:sz="4" w:space="0" w:color="auto"/>
              <w:bottom w:val="single" w:sz="4" w:space="0" w:color="auto"/>
            </w:tcBorders>
            <w:vAlign w:val="center"/>
          </w:tcPr>
          <w:p w14:paraId="7B85CCE0"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912" w:type="dxa"/>
            <w:tcBorders>
              <w:top w:val="single" w:sz="4" w:space="0" w:color="auto"/>
              <w:bottom w:val="single" w:sz="4" w:space="0" w:color="auto"/>
            </w:tcBorders>
            <w:vAlign w:val="center"/>
          </w:tcPr>
          <w:p w14:paraId="5711B5D1"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14" w:type="dxa"/>
            <w:tcBorders>
              <w:top w:val="single" w:sz="4" w:space="0" w:color="auto"/>
              <w:bottom w:val="single" w:sz="4" w:space="0" w:color="auto"/>
            </w:tcBorders>
            <w:vAlign w:val="center"/>
          </w:tcPr>
          <w:p w14:paraId="5D790A49"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50" w:type="dxa"/>
            <w:tcBorders>
              <w:top w:val="single" w:sz="4" w:space="0" w:color="auto"/>
              <w:bottom w:val="single" w:sz="4" w:space="0" w:color="auto"/>
            </w:tcBorders>
            <w:vAlign w:val="center"/>
          </w:tcPr>
          <w:p w14:paraId="078C79ED"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68" w:type="dxa"/>
            <w:tcBorders>
              <w:top w:val="single" w:sz="4" w:space="0" w:color="auto"/>
              <w:bottom w:val="single" w:sz="4" w:space="0" w:color="auto"/>
            </w:tcBorders>
            <w:vAlign w:val="center"/>
          </w:tcPr>
          <w:p w14:paraId="332E1FB0"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64" w:type="dxa"/>
            <w:gridSpan w:val="2"/>
            <w:tcBorders>
              <w:top w:val="single" w:sz="4" w:space="0" w:color="auto"/>
              <w:bottom w:val="single" w:sz="4" w:space="0" w:color="auto"/>
            </w:tcBorders>
            <w:vAlign w:val="center"/>
          </w:tcPr>
          <w:p w14:paraId="0B826B52"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280" w:type="dxa"/>
            <w:tcBorders>
              <w:top w:val="single" w:sz="4" w:space="0" w:color="auto"/>
              <w:bottom w:val="single" w:sz="4" w:space="0" w:color="auto"/>
            </w:tcBorders>
            <w:vAlign w:val="center"/>
          </w:tcPr>
          <w:p w14:paraId="255BEE1A"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c>
          <w:tcPr>
            <w:tcW w:w="850" w:type="dxa"/>
            <w:gridSpan w:val="2"/>
            <w:tcBorders>
              <w:top w:val="single" w:sz="4" w:space="0" w:color="auto"/>
              <w:bottom w:val="single" w:sz="4" w:space="0" w:color="auto"/>
            </w:tcBorders>
            <w:vAlign w:val="center"/>
          </w:tcPr>
          <w:p w14:paraId="52CA0F98"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Mean</w:t>
            </w:r>
          </w:p>
        </w:tc>
        <w:tc>
          <w:tcPr>
            <w:tcW w:w="1133" w:type="dxa"/>
            <w:tcBorders>
              <w:top w:val="single" w:sz="4" w:space="0" w:color="auto"/>
              <w:bottom w:val="single" w:sz="4" w:space="0" w:color="auto"/>
            </w:tcBorders>
            <w:vAlign w:val="center"/>
          </w:tcPr>
          <w:p w14:paraId="2CC5243E" w14:textId="77777777" w:rsidR="00963D81" w:rsidRPr="00D03380" w:rsidRDefault="00963D81" w:rsidP="00CA0B56">
            <w:pPr>
              <w:pStyle w:val="NoSpacing"/>
              <w:spacing w:before="100" w:beforeAutospacing="1" w:after="100" w:afterAutospacing="1"/>
              <w:ind w:right="-9"/>
              <w:jc w:val="center"/>
              <w:rPr>
                <w:rFonts w:cstheme="minorHAnsi"/>
                <w:b/>
                <w:bCs/>
              </w:rPr>
            </w:pPr>
            <w:r w:rsidRPr="00D03380">
              <w:rPr>
                <w:rFonts w:cstheme="minorHAnsi"/>
                <w:b/>
                <w:bCs/>
              </w:rPr>
              <w:t>95% CI</w:t>
            </w:r>
          </w:p>
        </w:tc>
      </w:tr>
      <w:tr w:rsidR="00963D81" w:rsidRPr="009465CA" w14:paraId="5DE117F8" w14:textId="77777777" w:rsidTr="00D03380">
        <w:trPr>
          <w:gridAfter w:val="1"/>
          <w:wAfter w:w="7" w:type="dxa"/>
          <w:trHeight w:val="285"/>
        </w:trPr>
        <w:tc>
          <w:tcPr>
            <w:tcW w:w="3397" w:type="dxa"/>
            <w:tcBorders>
              <w:top w:val="single" w:sz="4" w:space="0" w:color="auto"/>
            </w:tcBorders>
            <w:vAlign w:val="bottom"/>
          </w:tcPr>
          <w:p w14:paraId="49FAB809" w14:textId="77777777" w:rsidR="00963D81" w:rsidRPr="009465CA" w:rsidRDefault="00963D81" w:rsidP="00CA0B56">
            <w:pPr>
              <w:pStyle w:val="NoSpacing"/>
              <w:spacing w:before="100" w:beforeAutospacing="1" w:after="100" w:afterAutospacing="1"/>
              <w:ind w:left="171"/>
              <w:rPr>
                <w:rFonts w:cstheme="minorHAnsi"/>
                <w:color w:val="000000"/>
                <w:sz w:val="20"/>
                <w:szCs w:val="20"/>
              </w:rPr>
            </w:pPr>
            <w:r w:rsidRPr="009465CA">
              <w:rPr>
                <w:rFonts w:cstheme="minorHAnsi"/>
                <w:color w:val="000000"/>
                <w:sz w:val="20"/>
                <w:szCs w:val="20"/>
              </w:rPr>
              <w:t>Transplant recipients (by age group)</w:t>
            </w:r>
          </w:p>
        </w:tc>
        <w:tc>
          <w:tcPr>
            <w:tcW w:w="851" w:type="dxa"/>
            <w:tcBorders>
              <w:top w:val="single" w:sz="4" w:space="0" w:color="auto"/>
            </w:tcBorders>
            <w:vAlign w:val="bottom"/>
          </w:tcPr>
          <w:p w14:paraId="327303B1"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76" w:type="dxa"/>
            <w:tcBorders>
              <w:top w:val="single" w:sz="4" w:space="0" w:color="auto"/>
            </w:tcBorders>
            <w:vAlign w:val="bottom"/>
          </w:tcPr>
          <w:p w14:paraId="01616FA7"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912" w:type="dxa"/>
            <w:tcBorders>
              <w:top w:val="single" w:sz="4" w:space="0" w:color="auto"/>
            </w:tcBorders>
            <w:vAlign w:val="bottom"/>
          </w:tcPr>
          <w:p w14:paraId="1204FEB0"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14" w:type="dxa"/>
            <w:tcBorders>
              <w:top w:val="single" w:sz="4" w:space="0" w:color="auto"/>
            </w:tcBorders>
            <w:vAlign w:val="bottom"/>
          </w:tcPr>
          <w:p w14:paraId="64AB4F13"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tcBorders>
              <w:top w:val="single" w:sz="4" w:space="0" w:color="auto"/>
            </w:tcBorders>
            <w:vAlign w:val="bottom"/>
          </w:tcPr>
          <w:p w14:paraId="1B056688"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68" w:type="dxa"/>
            <w:tcBorders>
              <w:top w:val="single" w:sz="4" w:space="0" w:color="auto"/>
            </w:tcBorders>
            <w:vAlign w:val="bottom"/>
          </w:tcPr>
          <w:p w14:paraId="393B2A4D"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64" w:type="dxa"/>
            <w:gridSpan w:val="2"/>
            <w:tcBorders>
              <w:top w:val="single" w:sz="4" w:space="0" w:color="auto"/>
            </w:tcBorders>
            <w:vAlign w:val="bottom"/>
          </w:tcPr>
          <w:p w14:paraId="2DD29CF9"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280" w:type="dxa"/>
            <w:tcBorders>
              <w:top w:val="single" w:sz="4" w:space="0" w:color="auto"/>
            </w:tcBorders>
            <w:vAlign w:val="bottom"/>
          </w:tcPr>
          <w:p w14:paraId="03DCBD80"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850" w:type="dxa"/>
            <w:gridSpan w:val="2"/>
            <w:tcBorders>
              <w:top w:val="single" w:sz="4" w:space="0" w:color="auto"/>
            </w:tcBorders>
            <w:vAlign w:val="bottom"/>
          </w:tcPr>
          <w:p w14:paraId="465E7E17"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c>
          <w:tcPr>
            <w:tcW w:w="1133" w:type="dxa"/>
            <w:tcBorders>
              <w:top w:val="single" w:sz="4" w:space="0" w:color="auto"/>
            </w:tcBorders>
            <w:vAlign w:val="bottom"/>
          </w:tcPr>
          <w:p w14:paraId="321800BD" w14:textId="77777777" w:rsidR="00963D81" w:rsidRPr="009465CA" w:rsidRDefault="00963D81" w:rsidP="00CA0B56">
            <w:pPr>
              <w:pStyle w:val="NoSpacing"/>
              <w:spacing w:before="100" w:beforeAutospacing="1" w:after="100" w:afterAutospacing="1"/>
              <w:ind w:right="-9"/>
              <w:jc w:val="right"/>
              <w:rPr>
                <w:rFonts w:cstheme="minorHAnsi"/>
                <w:sz w:val="20"/>
                <w:szCs w:val="20"/>
              </w:rPr>
            </w:pPr>
          </w:p>
        </w:tc>
      </w:tr>
      <w:tr w:rsidR="00963D81" w:rsidRPr="009465CA" w14:paraId="60A8908C" w14:textId="77777777" w:rsidTr="00D03380">
        <w:trPr>
          <w:gridAfter w:val="1"/>
          <w:wAfter w:w="7" w:type="dxa"/>
          <w:trHeight w:val="285"/>
        </w:trPr>
        <w:tc>
          <w:tcPr>
            <w:tcW w:w="3397" w:type="dxa"/>
            <w:vAlign w:val="bottom"/>
          </w:tcPr>
          <w:p w14:paraId="1F615F9C"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bookmarkStart w:id="44" w:name="_Hlk12157227"/>
            <w:r w:rsidRPr="009465CA">
              <w:rPr>
                <w:rFonts w:cstheme="minorHAnsi"/>
                <w:color w:val="000000"/>
                <w:sz w:val="20"/>
                <w:szCs w:val="20"/>
              </w:rPr>
              <w:t xml:space="preserve">18-29 </w:t>
            </w:r>
          </w:p>
        </w:tc>
        <w:tc>
          <w:tcPr>
            <w:tcW w:w="851" w:type="dxa"/>
            <w:vAlign w:val="bottom"/>
          </w:tcPr>
          <w:p w14:paraId="759DA75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22.4</w:t>
            </w:r>
          </w:p>
        </w:tc>
        <w:tc>
          <w:tcPr>
            <w:tcW w:w="1276" w:type="dxa"/>
            <w:vAlign w:val="bottom"/>
          </w:tcPr>
          <w:p w14:paraId="3C29428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(20.4, 24.5)</w:t>
            </w:r>
          </w:p>
        </w:tc>
        <w:tc>
          <w:tcPr>
            <w:tcW w:w="912" w:type="dxa"/>
            <w:vAlign w:val="bottom"/>
          </w:tcPr>
          <w:p w14:paraId="15EAA03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22.4</w:t>
            </w:r>
          </w:p>
        </w:tc>
        <w:tc>
          <w:tcPr>
            <w:tcW w:w="1214" w:type="dxa"/>
            <w:vAlign w:val="bottom"/>
          </w:tcPr>
          <w:p w14:paraId="65124AE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(19.8, 24.9)</w:t>
            </w:r>
          </w:p>
        </w:tc>
        <w:tc>
          <w:tcPr>
            <w:tcW w:w="850" w:type="dxa"/>
            <w:vAlign w:val="bottom"/>
          </w:tcPr>
          <w:p w14:paraId="09CF8A3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27.1</w:t>
            </w:r>
          </w:p>
        </w:tc>
        <w:tc>
          <w:tcPr>
            <w:tcW w:w="1268" w:type="dxa"/>
            <w:vAlign w:val="bottom"/>
          </w:tcPr>
          <w:p w14:paraId="79F5DF6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(25.0, 29.2)</w:t>
            </w:r>
          </w:p>
        </w:tc>
        <w:tc>
          <w:tcPr>
            <w:tcW w:w="864" w:type="dxa"/>
            <w:gridSpan w:val="2"/>
            <w:vAlign w:val="bottom"/>
          </w:tcPr>
          <w:p w14:paraId="68877B0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26.0</w:t>
            </w:r>
          </w:p>
        </w:tc>
        <w:tc>
          <w:tcPr>
            <w:tcW w:w="1280" w:type="dxa"/>
            <w:vAlign w:val="bottom"/>
          </w:tcPr>
          <w:p w14:paraId="3088BAC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(24.1, 27.8)</w:t>
            </w:r>
          </w:p>
        </w:tc>
        <w:tc>
          <w:tcPr>
            <w:tcW w:w="850" w:type="dxa"/>
            <w:gridSpan w:val="2"/>
            <w:vAlign w:val="bottom"/>
          </w:tcPr>
          <w:p w14:paraId="087327D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24.1</w:t>
            </w:r>
          </w:p>
        </w:tc>
        <w:tc>
          <w:tcPr>
            <w:tcW w:w="1133" w:type="dxa"/>
            <w:vAlign w:val="bottom"/>
          </w:tcPr>
          <w:p w14:paraId="44CBFCA8"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(22.5, 25.7)</w:t>
            </w:r>
          </w:p>
        </w:tc>
      </w:tr>
      <w:tr w:rsidR="00963D81" w:rsidRPr="009465CA" w14:paraId="0217A39B" w14:textId="77777777" w:rsidTr="00D03380">
        <w:trPr>
          <w:gridAfter w:val="1"/>
          <w:wAfter w:w="7" w:type="dxa"/>
          <w:trHeight w:val="285"/>
        </w:trPr>
        <w:tc>
          <w:tcPr>
            <w:tcW w:w="3397" w:type="dxa"/>
            <w:vAlign w:val="bottom"/>
          </w:tcPr>
          <w:p w14:paraId="3DBE2AB1"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30-39</w:t>
            </w:r>
          </w:p>
        </w:tc>
        <w:tc>
          <w:tcPr>
            <w:tcW w:w="851" w:type="dxa"/>
            <w:vAlign w:val="bottom"/>
          </w:tcPr>
          <w:p w14:paraId="4378AE5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21.4</w:t>
            </w:r>
          </w:p>
        </w:tc>
        <w:tc>
          <w:tcPr>
            <w:tcW w:w="1276" w:type="dxa"/>
            <w:vAlign w:val="bottom"/>
          </w:tcPr>
          <w:p w14:paraId="07C59BA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(19.9, 22.9)</w:t>
            </w:r>
          </w:p>
        </w:tc>
        <w:tc>
          <w:tcPr>
            <w:tcW w:w="912" w:type="dxa"/>
            <w:vAlign w:val="bottom"/>
          </w:tcPr>
          <w:p w14:paraId="42F1DB5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20.6</w:t>
            </w:r>
          </w:p>
        </w:tc>
        <w:tc>
          <w:tcPr>
            <w:tcW w:w="1214" w:type="dxa"/>
            <w:vAlign w:val="bottom"/>
          </w:tcPr>
          <w:p w14:paraId="5377975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(19.1, 22.2)</w:t>
            </w:r>
          </w:p>
        </w:tc>
        <w:tc>
          <w:tcPr>
            <w:tcW w:w="850" w:type="dxa"/>
            <w:vAlign w:val="bottom"/>
          </w:tcPr>
          <w:p w14:paraId="2DF64B3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23.8</w:t>
            </w:r>
          </w:p>
        </w:tc>
        <w:tc>
          <w:tcPr>
            <w:tcW w:w="1268" w:type="dxa"/>
            <w:vAlign w:val="bottom"/>
          </w:tcPr>
          <w:p w14:paraId="5CB11A1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(22.5, 25.1)</w:t>
            </w:r>
          </w:p>
        </w:tc>
        <w:tc>
          <w:tcPr>
            <w:tcW w:w="864" w:type="dxa"/>
            <w:gridSpan w:val="2"/>
            <w:vAlign w:val="bottom"/>
          </w:tcPr>
          <w:p w14:paraId="114276F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24.5</w:t>
            </w:r>
          </w:p>
        </w:tc>
        <w:tc>
          <w:tcPr>
            <w:tcW w:w="1280" w:type="dxa"/>
            <w:vAlign w:val="bottom"/>
          </w:tcPr>
          <w:p w14:paraId="3DD9B0D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(23.2, 25.8)</w:t>
            </w:r>
          </w:p>
        </w:tc>
        <w:tc>
          <w:tcPr>
            <w:tcW w:w="850" w:type="dxa"/>
            <w:gridSpan w:val="2"/>
            <w:vAlign w:val="bottom"/>
          </w:tcPr>
          <w:p w14:paraId="63616E1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22.4</w:t>
            </w:r>
          </w:p>
        </w:tc>
        <w:tc>
          <w:tcPr>
            <w:tcW w:w="1133" w:type="dxa"/>
            <w:vAlign w:val="bottom"/>
          </w:tcPr>
          <w:p w14:paraId="2BCA11B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(21.3, 23.5)</w:t>
            </w:r>
          </w:p>
        </w:tc>
      </w:tr>
      <w:tr w:rsidR="00963D81" w:rsidRPr="009465CA" w14:paraId="1B84D357" w14:textId="77777777" w:rsidTr="00D03380">
        <w:trPr>
          <w:gridAfter w:val="1"/>
          <w:wAfter w:w="7" w:type="dxa"/>
          <w:trHeight w:val="285"/>
        </w:trPr>
        <w:tc>
          <w:tcPr>
            <w:tcW w:w="3397" w:type="dxa"/>
            <w:vAlign w:val="bottom"/>
          </w:tcPr>
          <w:p w14:paraId="5FEC3544"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40-49</w:t>
            </w:r>
          </w:p>
        </w:tc>
        <w:tc>
          <w:tcPr>
            <w:tcW w:w="851" w:type="dxa"/>
            <w:vAlign w:val="bottom"/>
          </w:tcPr>
          <w:p w14:paraId="03C4683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18.9</w:t>
            </w:r>
          </w:p>
        </w:tc>
        <w:tc>
          <w:tcPr>
            <w:tcW w:w="1276" w:type="dxa"/>
            <w:vAlign w:val="bottom"/>
          </w:tcPr>
          <w:p w14:paraId="20DFEAA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(18.0, 19.9)</w:t>
            </w:r>
          </w:p>
        </w:tc>
        <w:tc>
          <w:tcPr>
            <w:tcW w:w="912" w:type="dxa"/>
            <w:vAlign w:val="bottom"/>
          </w:tcPr>
          <w:p w14:paraId="4939606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17.9</w:t>
            </w:r>
          </w:p>
        </w:tc>
        <w:tc>
          <w:tcPr>
            <w:tcW w:w="1214" w:type="dxa"/>
            <w:vAlign w:val="bottom"/>
          </w:tcPr>
          <w:p w14:paraId="3935476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(17.0, 18.8)</w:t>
            </w:r>
          </w:p>
        </w:tc>
        <w:tc>
          <w:tcPr>
            <w:tcW w:w="850" w:type="dxa"/>
            <w:vAlign w:val="bottom"/>
          </w:tcPr>
          <w:p w14:paraId="4C014CC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18.9</w:t>
            </w:r>
          </w:p>
        </w:tc>
        <w:tc>
          <w:tcPr>
            <w:tcW w:w="1268" w:type="dxa"/>
            <w:vAlign w:val="bottom"/>
          </w:tcPr>
          <w:p w14:paraId="68EA582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(18.0, 19.8)</w:t>
            </w:r>
          </w:p>
        </w:tc>
        <w:tc>
          <w:tcPr>
            <w:tcW w:w="864" w:type="dxa"/>
            <w:gridSpan w:val="2"/>
            <w:vAlign w:val="bottom"/>
          </w:tcPr>
          <w:p w14:paraId="0144104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18.3</w:t>
            </w:r>
          </w:p>
        </w:tc>
        <w:tc>
          <w:tcPr>
            <w:tcW w:w="1280" w:type="dxa"/>
            <w:vAlign w:val="bottom"/>
          </w:tcPr>
          <w:p w14:paraId="2B3069C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(17.5, 19.1)</w:t>
            </w:r>
          </w:p>
        </w:tc>
        <w:tc>
          <w:tcPr>
            <w:tcW w:w="850" w:type="dxa"/>
            <w:gridSpan w:val="2"/>
            <w:vAlign w:val="bottom"/>
          </w:tcPr>
          <w:p w14:paraId="7B56BAC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19.1</w:t>
            </w:r>
          </w:p>
        </w:tc>
        <w:tc>
          <w:tcPr>
            <w:tcW w:w="1133" w:type="dxa"/>
            <w:vAlign w:val="bottom"/>
          </w:tcPr>
          <w:p w14:paraId="49494910"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(18.3, 19.9)</w:t>
            </w:r>
          </w:p>
        </w:tc>
      </w:tr>
      <w:tr w:rsidR="00963D81" w:rsidRPr="009465CA" w14:paraId="79208DB3" w14:textId="77777777" w:rsidTr="00D03380">
        <w:trPr>
          <w:gridAfter w:val="1"/>
          <w:wAfter w:w="7" w:type="dxa"/>
          <w:trHeight w:val="285"/>
        </w:trPr>
        <w:tc>
          <w:tcPr>
            <w:tcW w:w="3397" w:type="dxa"/>
            <w:vAlign w:val="bottom"/>
          </w:tcPr>
          <w:p w14:paraId="51AC72FE"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50-59</w:t>
            </w:r>
          </w:p>
        </w:tc>
        <w:tc>
          <w:tcPr>
            <w:tcW w:w="851" w:type="dxa"/>
            <w:vAlign w:val="bottom"/>
          </w:tcPr>
          <w:p w14:paraId="5FC45190"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12.3</w:t>
            </w:r>
          </w:p>
        </w:tc>
        <w:tc>
          <w:tcPr>
            <w:tcW w:w="1276" w:type="dxa"/>
            <w:vAlign w:val="bottom"/>
          </w:tcPr>
          <w:p w14:paraId="0979F29C"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(11.7, 12.9)</w:t>
            </w:r>
          </w:p>
        </w:tc>
        <w:tc>
          <w:tcPr>
            <w:tcW w:w="912" w:type="dxa"/>
            <w:vAlign w:val="bottom"/>
          </w:tcPr>
          <w:p w14:paraId="265CF05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12.1</w:t>
            </w:r>
          </w:p>
        </w:tc>
        <w:tc>
          <w:tcPr>
            <w:tcW w:w="1214" w:type="dxa"/>
            <w:vAlign w:val="bottom"/>
          </w:tcPr>
          <w:p w14:paraId="567DE14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(11.6, 12.7)</w:t>
            </w:r>
          </w:p>
        </w:tc>
        <w:tc>
          <w:tcPr>
            <w:tcW w:w="850" w:type="dxa"/>
            <w:vAlign w:val="bottom"/>
          </w:tcPr>
          <w:p w14:paraId="36380AD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11.7</w:t>
            </w:r>
          </w:p>
        </w:tc>
        <w:tc>
          <w:tcPr>
            <w:tcW w:w="1268" w:type="dxa"/>
            <w:vAlign w:val="bottom"/>
          </w:tcPr>
          <w:p w14:paraId="1F043D0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(11.1, 12.3)</w:t>
            </w:r>
          </w:p>
        </w:tc>
        <w:tc>
          <w:tcPr>
            <w:tcW w:w="864" w:type="dxa"/>
            <w:gridSpan w:val="2"/>
            <w:vAlign w:val="bottom"/>
          </w:tcPr>
          <w:p w14:paraId="00A649D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11.7</w:t>
            </w:r>
          </w:p>
        </w:tc>
        <w:tc>
          <w:tcPr>
            <w:tcW w:w="1280" w:type="dxa"/>
            <w:vAlign w:val="bottom"/>
          </w:tcPr>
          <w:p w14:paraId="066B0F6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(11.1, 12.3)</w:t>
            </w:r>
          </w:p>
        </w:tc>
        <w:tc>
          <w:tcPr>
            <w:tcW w:w="850" w:type="dxa"/>
            <w:gridSpan w:val="2"/>
            <w:vAlign w:val="bottom"/>
          </w:tcPr>
          <w:p w14:paraId="543A9D8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12.7</w:t>
            </w:r>
          </w:p>
        </w:tc>
        <w:tc>
          <w:tcPr>
            <w:tcW w:w="1133" w:type="dxa"/>
            <w:vAlign w:val="bottom"/>
          </w:tcPr>
          <w:p w14:paraId="67BA822B"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(12.0, 13.5)</w:t>
            </w:r>
          </w:p>
        </w:tc>
      </w:tr>
      <w:tr w:rsidR="00963D81" w:rsidRPr="009465CA" w14:paraId="034648C2" w14:textId="77777777" w:rsidTr="00D03380">
        <w:trPr>
          <w:gridAfter w:val="1"/>
          <w:wAfter w:w="7" w:type="dxa"/>
          <w:trHeight w:val="285"/>
        </w:trPr>
        <w:tc>
          <w:tcPr>
            <w:tcW w:w="3397" w:type="dxa"/>
            <w:vAlign w:val="bottom"/>
          </w:tcPr>
          <w:p w14:paraId="70E9034F" w14:textId="77777777" w:rsidR="00963D81" w:rsidRPr="009465CA" w:rsidRDefault="00963D81" w:rsidP="00CA0B56">
            <w:pPr>
              <w:pStyle w:val="NoSpacing"/>
              <w:spacing w:before="100" w:beforeAutospacing="1" w:after="100" w:afterAutospacing="1"/>
              <w:ind w:left="447"/>
              <w:rPr>
                <w:rFonts w:cstheme="minorHAnsi"/>
                <w:color w:val="000000"/>
                <w:sz w:val="20"/>
                <w:szCs w:val="20"/>
              </w:rPr>
            </w:pPr>
            <w:r w:rsidRPr="009465CA">
              <w:rPr>
                <w:rFonts w:cstheme="minorHAnsi"/>
                <w:color w:val="000000"/>
                <w:sz w:val="20"/>
                <w:szCs w:val="20"/>
              </w:rPr>
              <w:t>&gt;60</w:t>
            </w:r>
          </w:p>
        </w:tc>
        <w:tc>
          <w:tcPr>
            <w:tcW w:w="851" w:type="dxa"/>
            <w:vAlign w:val="bottom"/>
          </w:tcPr>
          <w:p w14:paraId="3630F47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9.0</w:t>
            </w:r>
          </w:p>
        </w:tc>
        <w:tc>
          <w:tcPr>
            <w:tcW w:w="1276" w:type="dxa"/>
            <w:vAlign w:val="bottom"/>
          </w:tcPr>
          <w:p w14:paraId="0F207D4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(8.7, 9.4)</w:t>
            </w:r>
          </w:p>
        </w:tc>
        <w:tc>
          <w:tcPr>
            <w:tcW w:w="912" w:type="dxa"/>
            <w:vAlign w:val="bottom"/>
          </w:tcPr>
          <w:p w14:paraId="6C73287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9.2</w:t>
            </w:r>
          </w:p>
        </w:tc>
        <w:tc>
          <w:tcPr>
            <w:tcW w:w="1214" w:type="dxa"/>
            <w:vAlign w:val="bottom"/>
          </w:tcPr>
          <w:p w14:paraId="18E554D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(8.8, 9.6)</w:t>
            </w:r>
          </w:p>
        </w:tc>
        <w:tc>
          <w:tcPr>
            <w:tcW w:w="850" w:type="dxa"/>
            <w:vAlign w:val="bottom"/>
          </w:tcPr>
          <w:p w14:paraId="30F4D20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8.7</w:t>
            </w:r>
          </w:p>
        </w:tc>
        <w:tc>
          <w:tcPr>
            <w:tcW w:w="1268" w:type="dxa"/>
            <w:vAlign w:val="bottom"/>
          </w:tcPr>
          <w:p w14:paraId="3B2A8EDE"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(8.2, 9.1)</w:t>
            </w:r>
          </w:p>
        </w:tc>
        <w:tc>
          <w:tcPr>
            <w:tcW w:w="864" w:type="dxa"/>
            <w:gridSpan w:val="2"/>
            <w:vAlign w:val="bottom"/>
          </w:tcPr>
          <w:p w14:paraId="6AB7AE3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8.9</w:t>
            </w:r>
          </w:p>
        </w:tc>
        <w:tc>
          <w:tcPr>
            <w:tcW w:w="1280" w:type="dxa"/>
            <w:vAlign w:val="bottom"/>
          </w:tcPr>
          <w:p w14:paraId="23A27BF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(8.4, 9.4)</w:t>
            </w:r>
          </w:p>
        </w:tc>
        <w:tc>
          <w:tcPr>
            <w:tcW w:w="850" w:type="dxa"/>
            <w:gridSpan w:val="2"/>
            <w:vAlign w:val="bottom"/>
          </w:tcPr>
          <w:p w14:paraId="2B79CD3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10.7</w:t>
            </w:r>
          </w:p>
        </w:tc>
        <w:tc>
          <w:tcPr>
            <w:tcW w:w="1133" w:type="dxa"/>
            <w:vAlign w:val="bottom"/>
          </w:tcPr>
          <w:p w14:paraId="7AC21902"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(9.3, 12.0)</w:t>
            </w:r>
          </w:p>
        </w:tc>
      </w:tr>
      <w:bookmarkEnd w:id="44"/>
      <w:tr w:rsidR="00963D81" w:rsidRPr="009465CA" w14:paraId="3C816689" w14:textId="77777777" w:rsidTr="00D03380">
        <w:trPr>
          <w:gridAfter w:val="1"/>
          <w:wAfter w:w="7" w:type="dxa"/>
          <w:trHeight w:val="285"/>
        </w:trPr>
        <w:tc>
          <w:tcPr>
            <w:tcW w:w="3397" w:type="dxa"/>
            <w:vAlign w:val="bottom"/>
          </w:tcPr>
          <w:p w14:paraId="3A61E4A9" w14:textId="77777777" w:rsidR="00963D81" w:rsidRPr="009465CA" w:rsidRDefault="00963D81" w:rsidP="00CA0B56">
            <w:pPr>
              <w:pStyle w:val="NoSpacing"/>
              <w:spacing w:before="100" w:beforeAutospacing="1" w:after="100" w:afterAutospacing="1"/>
              <w:ind w:left="164"/>
              <w:rPr>
                <w:rFonts w:cstheme="minorHAnsi"/>
                <w:color w:val="000000"/>
                <w:sz w:val="20"/>
                <w:szCs w:val="20"/>
              </w:rPr>
            </w:pPr>
            <w:r w:rsidRPr="009465CA">
              <w:rPr>
                <w:rFonts w:cstheme="minorHAnsi"/>
                <w:color w:val="000000"/>
                <w:sz w:val="20"/>
                <w:szCs w:val="20"/>
              </w:rPr>
              <w:t>Transplant recipients (all)</w:t>
            </w:r>
          </w:p>
        </w:tc>
        <w:tc>
          <w:tcPr>
            <w:tcW w:w="851" w:type="dxa"/>
            <w:vAlign w:val="bottom"/>
          </w:tcPr>
          <w:p w14:paraId="588E0B5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14.6</w:t>
            </w:r>
          </w:p>
        </w:tc>
        <w:tc>
          <w:tcPr>
            <w:tcW w:w="1276" w:type="dxa"/>
            <w:vAlign w:val="bottom"/>
          </w:tcPr>
          <w:p w14:paraId="5C565203"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(14.2, 15.0)</w:t>
            </w:r>
          </w:p>
        </w:tc>
        <w:tc>
          <w:tcPr>
            <w:tcW w:w="912" w:type="dxa"/>
            <w:vAlign w:val="bottom"/>
          </w:tcPr>
          <w:p w14:paraId="7695208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13.9</w:t>
            </w:r>
          </w:p>
        </w:tc>
        <w:tc>
          <w:tcPr>
            <w:tcW w:w="1214" w:type="dxa"/>
            <w:vAlign w:val="bottom"/>
          </w:tcPr>
          <w:p w14:paraId="520D699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(13.5, 14.2)</w:t>
            </w:r>
          </w:p>
        </w:tc>
        <w:tc>
          <w:tcPr>
            <w:tcW w:w="850" w:type="dxa"/>
            <w:vAlign w:val="bottom"/>
          </w:tcPr>
          <w:p w14:paraId="679835E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17.1</w:t>
            </w:r>
          </w:p>
        </w:tc>
        <w:tc>
          <w:tcPr>
            <w:tcW w:w="1268" w:type="dxa"/>
            <w:vAlign w:val="bottom"/>
          </w:tcPr>
          <w:p w14:paraId="555877F1"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(16.6, 17.6)</w:t>
            </w:r>
          </w:p>
        </w:tc>
        <w:tc>
          <w:tcPr>
            <w:tcW w:w="864" w:type="dxa"/>
            <w:gridSpan w:val="2"/>
            <w:vAlign w:val="bottom"/>
          </w:tcPr>
          <w:p w14:paraId="3DFE4C0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17.2</w:t>
            </w:r>
          </w:p>
        </w:tc>
        <w:tc>
          <w:tcPr>
            <w:tcW w:w="1280" w:type="dxa"/>
            <w:vAlign w:val="bottom"/>
          </w:tcPr>
          <w:p w14:paraId="5FB70BC5"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(16.8, 17.7)</w:t>
            </w:r>
          </w:p>
        </w:tc>
        <w:tc>
          <w:tcPr>
            <w:tcW w:w="850" w:type="dxa"/>
            <w:gridSpan w:val="2"/>
            <w:vAlign w:val="bottom"/>
          </w:tcPr>
          <w:p w14:paraId="0C4B6800"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19.3</w:t>
            </w:r>
          </w:p>
        </w:tc>
        <w:tc>
          <w:tcPr>
            <w:tcW w:w="1133" w:type="dxa"/>
            <w:vAlign w:val="bottom"/>
          </w:tcPr>
          <w:p w14:paraId="43E17CE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(18.8, 19.8)</w:t>
            </w:r>
          </w:p>
        </w:tc>
      </w:tr>
      <w:tr w:rsidR="00D03380" w:rsidRPr="009465CA" w14:paraId="0F5F2582" w14:textId="77777777" w:rsidTr="00D03380">
        <w:trPr>
          <w:gridAfter w:val="1"/>
          <w:wAfter w:w="7" w:type="dxa"/>
          <w:trHeight w:val="285"/>
        </w:trPr>
        <w:tc>
          <w:tcPr>
            <w:tcW w:w="3397" w:type="dxa"/>
            <w:tcBorders>
              <w:bottom w:val="single" w:sz="4" w:space="0" w:color="auto"/>
            </w:tcBorders>
            <w:tcMar>
              <w:bottom w:w="113" w:type="dxa"/>
            </w:tcMar>
            <w:vAlign w:val="bottom"/>
          </w:tcPr>
          <w:p w14:paraId="4B476D96" w14:textId="77777777" w:rsidR="00963D81" w:rsidRPr="009465CA" w:rsidRDefault="00963D81" w:rsidP="00CA0B56">
            <w:pPr>
              <w:pStyle w:val="NoSpacing"/>
              <w:spacing w:before="100" w:beforeAutospacing="1" w:after="100" w:afterAutospacing="1"/>
              <w:ind w:left="164"/>
              <w:rPr>
                <w:rFonts w:cstheme="minorHAnsi"/>
                <w:color w:val="000000"/>
                <w:sz w:val="20"/>
                <w:szCs w:val="20"/>
              </w:rPr>
            </w:pPr>
            <w:r w:rsidRPr="009465CA">
              <w:rPr>
                <w:rFonts w:cstheme="minorHAnsi"/>
                <w:color w:val="000000"/>
                <w:sz w:val="20"/>
                <w:szCs w:val="20"/>
              </w:rPr>
              <w:t>No transplant (all)</w:t>
            </w:r>
          </w:p>
        </w:tc>
        <w:tc>
          <w:tcPr>
            <w:tcW w:w="851" w:type="dxa"/>
            <w:tcBorders>
              <w:bottom w:val="single" w:sz="4" w:space="0" w:color="auto"/>
            </w:tcBorders>
            <w:vAlign w:val="bottom"/>
          </w:tcPr>
          <w:p w14:paraId="0E43E8D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6.9</w:t>
            </w:r>
          </w:p>
        </w:tc>
        <w:tc>
          <w:tcPr>
            <w:tcW w:w="1276" w:type="dxa"/>
            <w:tcBorders>
              <w:bottom w:val="single" w:sz="4" w:space="0" w:color="auto"/>
            </w:tcBorders>
            <w:vAlign w:val="bottom"/>
          </w:tcPr>
          <w:p w14:paraId="5E482F4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(6.8, 7.0)</w:t>
            </w:r>
          </w:p>
        </w:tc>
        <w:tc>
          <w:tcPr>
            <w:tcW w:w="912" w:type="dxa"/>
            <w:tcBorders>
              <w:bottom w:val="single" w:sz="4" w:space="0" w:color="auto"/>
            </w:tcBorders>
            <w:vAlign w:val="bottom"/>
          </w:tcPr>
          <w:p w14:paraId="124BD42D"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6.9</w:t>
            </w:r>
          </w:p>
        </w:tc>
        <w:tc>
          <w:tcPr>
            <w:tcW w:w="1214" w:type="dxa"/>
            <w:tcBorders>
              <w:bottom w:val="single" w:sz="4" w:space="0" w:color="auto"/>
            </w:tcBorders>
            <w:vAlign w:val="bottom"/>
          </w:tcPr>
          <w:p w14:paraId="02177A19"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(6.9, 7.0)</w:t>
            </w:r>
          </w:p>
        </w:tc>
        <w:tc>
          <w:tcPr>
            <w:tcW w:w="850" w:type="dxa"/>
            <w:tcBorders>
              <w:bottom w:val="single" w:sz="4" w:space="0" w:color="auto"/>
            </w:tcBorders>
            <w:vAlign w:val="bottom"/>
          </w:tcPr>
          <w:p w14:paraId="59B3C9F4"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7.0</w:t>
            </w:r>
          </w:p>
        </w:tc>
        <w:tc>
          <w:tcPr>
            <w:tcW w:w="1268" w:type="dxa"/>
            <w:tcBorders>
              <w:bottom w:val="single" w:sz="4" w:space="0" w:color="auto"/>
            </w:tcBorders>
            <w:vAlign w:val="bottom"/>
          </w:tcPr>
          <w:p w14:paraId="61576A4F"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(6.9, 7.1)</w:t>
            </w:r>
          </w:p>
        </w:tc>
        <w:tc>
          <w:tcPr>
            <w:tcW w:w="864" w:type="dxa"/>
            <w:gridSpan w:val="2"/>
            <w:tcBorders>
              <w:bottom w:val="single" w:sz="4" w:space="0" w:color="auto"/>
            </w:tcBorders>
            <w:vAlign w:val="bottom"/>
          </w:tcPr>
          <w:p w14:paraId="7196534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5.2</w:t>
            </w:r>
          </w:p>
        </w:tc>
        <w:tc>
          <w:tcPr>
            <w:tcW w:w="1280" w:type="dxa"/>
            <w:tcBorders>
              <w:bottom w:val="single" w:sz="4" w:space="0" w:color="auto"/>
            </w:tcBorders>
            <w:vAlign w:val="bottom"/>
          </w:tcPr>
          <w:p w14:paraId="2F05D14A"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(5.1, 5.3)</w:t>
            </w:r>
          </w:p>
        </w:tc>
        <w:tc>
          <w:tcPr>
            <w:tcW w:w="850" w:type="dxa"/>
            <w:gridSpan w:val="2"/>
            <w:tcBorders>
              <w:bottom w:val="single" w:sz="4" w:space="0" w:color="auto"/>
            </w:tcBorders>
            <w:vAlign w:val="bottom"/>
          </w:tcPr>
          <w:p w14:paraId="0D3ADF86"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5.1</w:t>
            </w:r>
          </w:p>
        </w:tc>
        <w:tc>
          <w:tcPr>
            <w:tcW w:w="1133" w:type="dxa"/>
            <w:tcBorders>
              <w:bottom w:val="single" w:sz="4" w:space="0" w:color="auto"/>
            </w:tcBorders>
            <w:vAlign w:val="bottom"/>
          </w:tcPr>
          <w:p w14:paraId="269DD0C7" w14:textId="77777777" w:rsidR="00963D81" w:rsidRPr="009465CA" w:rsidRDefault="00963D81" w:rsidP="00CA0B56">
            <w:pPr>
              <w:pStyle w:val="NoSpacing"/>
              <w:spacing w:before="100" w:beforeAutospacing="1" w:after="100" w:afterAutospacing="1"/>
              <w:ind w:right="-9"/>
              <w:jc w:val="right"/>
              <w:rPr>
                <w:rFonts w:cstheme="minorHAnsi"/>
                <w:sz w:val="20"/>
                <w:szCs w:val="20"/>
              </w:rPr>
            </w:pPr>
            <w:r w:rsidRPr="009465CA">
              <w:rPr>
                <w:rFonts w:cstheme="minorHAnsi"/>
                <w:color w:val="000000"/>
                <w:sz w:val="20"/>
                <w:szCs w:val="20"/>
              </w:rPr>
              <w:t>(5.0, 5.1)</w:t>
            </w:r>
          </w:p>
        </w:tc>
      </w:tr>
    </w:tbl>
    <w:p w14:paraId="24A2BD21" w14:textId="77777777" w:rsidR="00234C7A" w:rsidRDefault="00234C7A" w:rsidP="00234C7A">
      <w:pPr>
        <w:spacing w:after="0" w:line="480" w:lineRule="auto"/>
        <w:rPr>
          <w:rFonts w:ascii="Arial" w:hAnsi="Arial" w:cs="Arial"/>
        </w:rPr>
      </w:pPr>
    </w:p>
    <w:p w14:paraId="7209C56E" w14:textId="35353082" w:rsidR="00234C7A" w:rsidRDefault="00234C7A" w:rsidP="002B68CC">
      <w:pPr>
        <w:rPr>
          <w:rFonts w:eastAsiaTheme="minorEastAsia" w:cs="Arial"/>
          <w:b/>
          <w:color w:val="000000"/>
          <w:sz w:val="24"/>
          <w:shd w:val="clear" w:color="auto" w:fill="FFFFFF"/>
          <w:lang w:eastAsia="en-GB"/>
        </w:rPr>
      </w:pPr>
    </w:p>
    <w:p w14:paraId="5492C6DD" w14:textId="1DE3EBBF" w:rsidR="00963D81" w:rsidRDefault="00963D81" w:rsidP="002B68CC">
      <w:pPr>
        <w:rPr>
          <w:rFonts w:eastAsiaTheme="minorEastAsia" w:cs="Arial"/>
          <w:b/>
          <w:color w:val="000000"/>
          <w:sz w:val="24"/>
          <w:shd w:val="clear" w:color="auto" w:fill="FFFFFF"/>
          <w:lang w:eastAsia="en-GB"/>
        </w:rPr>
      </w:pPr>
    </w:p>
    <w:p w14:paraId="4BD7C199" w14:textId="77777777" w:rsidR="00963D81" w:rsidRDefault="00963D81" w:rsidP="002B68CC">
      <w:pPr>
        <w:rPr>
          <w:rFonts w:eastAsiaTheme="minorEastAsia" w:cs="Arial"/>
          <w:b/>
          <w:color w:val="000000"/>
          <w:sz w:val="24"/>
          <w:shd w:val="clear" w:color="auto" w:fill="FFFFFF"/>
          <w:lang w:eastAsia="en-GB"/>
        </w:rPr>
      </w:pPr>
    </w:p>
    <w:p w14:paraId="48CD5B5E" w14:textId="49C77453" w:rsidR="002B68CC" w:rsidRPr="00CB102D" w:rsidRDefault="002B68CC" w:rsidP="002B68CC">
      <w:pPr>
        <w:rPr>
          <w:rFonts w:eastAsiaTheme="minorEastAsia" w:cs="Arial"/>
          <w:b/>
          <w:color w:val="000000"/>
          <w:sz w:val="24"/>
          <w:shd w:val="clear" w:color="auto" w:fill="FFFFFF"/>
          <w:lang w:eastAsia="en-GB"/>
        </w:rPr>
      </w:pPr>
      <w:r w:rsidRPr="00CB102D">
        <w:rPr>
          <w:rFonts w:eastAsiaTheme="minorEastAsia" w:cs="Arial"/>
          <w:b/>
          <w:color w:val="000000"/>
          <w:sz w:val="24"/>
          <w:shd w:val="clear" w:color="auto" w:fill="FFFFFF"/>
          <w:lang w:eastAsia="en-GB"/>
        </w:rPr>
        <w:lastRenderedPageBreak/>
        <w:t xml:space="preserve">Table </w:t>
      </w:r>
      <w:r w:rsidR="003F67A5">
        <w:rPr>
          <w:rFonts w:eastAsiaTheme="minorEastAsia" w:cs="Arial"/>
          <w:b/>
          <w:color w:val="000000"/>
          <w:sz w:val="24"/>
          <w:shd w:val="clear" w:color="auto" w:fill="FFFFFF"/>
          <w:lang w:eastAsia="en-GB"/>
        </w:rPr>
        <w:t>6</w:t>
      </w:r>
      <w:r w:rsidR="000A1B86">
        <w:rPr>
          <w:rFonts w:eastAsiaTheme="minorEastAsia" w:cs="Arial"/>
          <w:b/>
          <w:color w:val="000000"/>
          <w:sz w:val="24"/>
          <w:shd w:val="clear" w:color="auto" w:fill="FFFFFF"/>
          <w:lang w:eastAsia="en-GB"/>
        </w:rPr>
        <w:t>.</w:t>
      </w:r>
      <w:r w:rsidRPr="00CB102D">
        <w:rPr>
          <w:rFonts w:eastAsiaTheme="minorEastAsia" w:cs="Arial"/>
          <w:b/>
          <w:color w:val="000000"/>
          <w:sz w:val="24"/>
          <w:shd w:val="clear" w:color="auto" w:fill="FFFFFF"/>
          <w:lang w:eastAsia="en-GB"/>
        </w:rPr>
        <w:t xml:space="preserve"> </w:t>
      </w:r>
      <w:r w:rsidRPr="00CB102D">
        <w:rPr>
          <w:rFonts w:eastAsiaTheme="minorEastAsia" w:cs="Arial"/>
          <w:color w:val="000000"/>
          <w:sz w:val="24"/>
          <w:shd w:val="clear" w:color="auto" w:fill="FFFFFF"/>
          <w:lang w:eastAsia="en-GB"/>
        </w:rPr>
        <w:t xml:space="preserve">Cost-effectiveness results for transplant recipients, </w:t>
      </w:r>
      <w:r w:rsidR="00AA73FE">
        <w:rPr>
          <w:rFonts w:eastAsiaTheme="minorEastAsia" w:cs="Arial"/>
          <w:color w:val="000000"/>
          <w:sz w:val="24"/>
          <w:shd w:val="clear" w:color="auto" w:fill="FFFFFF"/>
          <w:lang w:eastAsia="en-GB"/>
        </w:rPr>
        <w:t>patients who did not receive a transplant</w:t>
      </w:r>
      <w:r w:rsidRPr="00CB102D">
        <w:rPr>
          <w:rFonts w:eastAsiaTheme="minorEastAsia" w:cs="Arial"/>
          <w:color w:val="000000"/>
          <w:sz w:val="24"/>
          <w:shd w:val="clear" w:color="auto" w:fill="FFFFFF"/>
          <w:lang w:eastAsia="en-GB"/>
        </w:rPr>
        <w:t xml:space="preserve"> and all patients combined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3"/>
        <w:gridCol w:w="1540"/>
        <w:gridCol w:w="1033"/>
        <w:gridCol w:w="1719"/>
        <w:gridCol w:w="1033"/>
        <w:gridCol w:w="1719"/>
        <w:gridCol w:w="1033"/>
        <w:gridCol w:w="1441"/>
        <w:gridCol w:w="1454"/>
        <w:gridCol w:w="1418"/>
      </w:tblGrid>
      <w:tr w:rsidR="00467886" w:rsidRPr="00FF4B72" w14:paraId="18AFE87B" w14:textId="4E41A114" w:rsidTr="00467886">
        <w:trPr>
          <w:trHeight w:val="402"/>
        </w:trPr>
        <w:tc>
          <w:tcPr>
            <w:tcW w:w="1563" w:type="dxa"/>
            <w:vMerge w:val="restart"/>
            <w:tcBorders>
              <w:bottom w:val="single" w:sz="4" w:space="0" w:color="auto"/>
              <w:right w:val="single" w:sz="4" w:space="0" w:color="auto"/>
            </w:tcBorders>
            <w:shd w:val="clear" w:color="auto" w:fill="auto"/>
          </w:tcPr>
          <w:p w14:paraId="1DF8008D" w14:textId="77777777" w:rsidR="0027121F" w:rsidRPr="00FF4B72" w:rsidRDefault="0027121F" w:rsidP="00E568CC">
            <w:pPr>
              <w:spacing w:before="100" w:beforeAutospacing="1" w:after="100" w:afterAutospacing="1" w:line="240" w:lineRule="auto"/>
              <w:contextualSpacing/>
              <w:jc w:val="right"/>
              <w:rPr>
                <w:rFonts w:eastAsiaTheme="minorEastAsia" w:cs="Arial"/>
                <w:color w:val="000000"/>
                <w:sz w:val="20"/>
                <w:shd w:val="clear" w:color="auto" w:fill="FFFFFF"/>
                <w:lang w:eastAsia="en-GB"/>
              </w:rPr>
            </w:pPr>
          </w:p>
        </w:tc>
        <w:tc>
          <w:tcPr>
            <w:tcW w:w="257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E39D9A5" w14:textId="76F0780F" w:rsidR="0027121F" w:rsidRPr="00417662" w:rsidRDefault="0027121F" w:rsidP="007E0478">
            <w:pPr>
              <w:spacing w:before="100" w:beforeAutospacing="1" w:after="100" w:afterAutospacing="1" w:line="240" w:lineRule="auto"/>
              <w:jc w:val="center"/>
              <w:rPr>
                <w:rFonts w:eastAsiaTheme="minorEastAsia" w:cs="Arial"/>
                <w:b/>
                <w:color w:val="000000"/>
                <w:sz w:val="20"/>
                <w:shd w:val="clear" w:color="auto" w:fill="FFFFFF"/>
                <w:lang w:eastAsia="en-GB"/>
              </w:rPr>
            </w:pPr>
            <w:r w:rsidRPr="00417662">
              <w:rPr>
                <w:rFonts w:eastAsiaTheme="minorEastAsia" w:cs="Arial"/>
                <w:b/>
                <w:color w:val="000000"/>
                <w:sz w:val="20"/>
                <w:shd w:val="clear" w:color="auto" w:fill="FFFFFF"/>
                <w:lang w:eastAsia="en-GB"/>
              </w:rPr>
              <w:t>Transplant recipients</w:t>
            </w:r>
          </w:p>
        </w:tc>
        <w:tc>
          <w:tcPr>
            <w:tcW w:w="27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C5F602B" w14:textId="03C680BA" w:rsidR="0027121F" w:rsidRPr="00FF4B72" w:rsidRDefault="0027121F" w:rsidP="007E0478">
            <w:pPr>
              <w:spacing w:before="100" w:beforeAutospacing="1" w:after="100" w:afterAutospacing="1"/>
              <w:jc w:val="center"/>
              <w:rPr>
                <w:rFonts w:cs="Arial"/>
                <w:b/>
                <w:sz w:val="20"/>
              </w:rPr>
            </w:pPr>
            <w:r w:rsidRPr="00FF4B72">
              <w:rPr>
                <w:rFonts w:cs="Arial"/>
                <w:b/>
                <w:sz w:val="20"/>
              </w:rPr>
              <w:t>No transplant</w:t>
            </w:r>
          </w:p>
        </w:tc>
        <w:tc>
          <w:tcPr>
            <w:tcW w:w="706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6CD6C0F" w14:textId="74553F32" w:rsidR="0027121F" w:rsidRPr="00FF4B72" w:rsidRDefault="0027121F" w:rsidP="007E0478">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All patients</w:t>
            </w:r>
          </w:p>
        </w:tc>
      </w:tr>
      <w:tr w:rsidR="00FF4B72" w:rsidRPr="00FF4B72" w14:paraId="5A05EC15" w14:textId="51B75596" w:rsidTr="00467886">
        <w:trPr>
          <w:trHeight w:val="484"/>
        </w:trPr>
        <w:tc>
          <w:tcPr>
            <w:tcW w:w="1563" w:type="dxa"/>
            <w:vMerge/>
            <w:tcBorders>
              <w:bottom w:val="single" w:sz="4" w:space="0" w:color="auto"/>
              <w:right w:val="single" w:sz="4" w:space="0" w:color="auto"/>
            </w:tcBorders>
            <w:shd w:val="clear" w:color="auto" w:fill="auto"/>
          </w:tcPr>
          <w:p w14:paraId="2F768031" w14:textId="77777777" w:rsidR="0027121F" w:rsidRPr="00FF4B72" w:rsidRDefault="0027121F" w:rsidP="0027121F">
            <w:pPr>
              <w:spacing w:before="100" w:beforeAutospacing="1" w:after="100" w:afterAutospacing="1" w:line="240" w:lineRule="auto"/>
              <w:contextualSpacing/>
              <w:jc w:val="right"/>
              <w:rPr>
                <w:rFonts w:eastAsiaTheme="minorEastAsia" w:cs="Arial"/>
                <w:color w:val="000000"/>
                <w:sz w:val="20"/>
                <w:shd w:val="clear" w:color="auto" w:fill="FFFFFF"/>
                <w:lang w:eastAsia="en-GB"/>
              </w:rPr>
            </w:pPr>
          </w:p>
        </w:tc>
        <w:tc>
          <w:tcPr>
            <w:tcW w:w="1541" w:type="dxa"/>
            <w:tcBorders>
              <w:top w:val="single" w:sz="4" w:space="0" w:color="auto"/>
              <w:left w:val="single" w:sz="4" w:space="0" w:color="auto"/>
              <w:bottom w:val="single" w:sz="4" w:space="0" w:color="auto"/>
            </w:tcBorders>
            <w:shd w:val="clear" w:color="auto" w:fill="auto"/>
            <w:vAlign w:val="center"/>
          </w:tcPr>
          <w:p w14:paraId="7020928B" w14:textId="71451A9C" w:rsidR="0027121F" w:rsidRPr="0041766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417662">
              <w:rPr>
                <w:rFonts w:eastAsiaTheme="minorEastAsia" w:cs="Arial"/>
                <w:b/>
                <w:color w:val="000000"/>
                <w:sz w:val="20"/>
                <w:shd w:val="clear" w:color="auto" w:fill="FFFFFF"/>
                <w:lang w:eastAsia="en-GB"/>
              </w:rPr>
              <w:t>Absolute c</w:t>
            </w:r>
            <w:r w:rsidR="0027121F" w:rsidRPr="00417662">
              <w:rPr>
                <w:rFonts w:eastAsiaTheme="minorEastAsia" w:cs="Arial"/>
                <w:b/>
                <w:color w:val="000000"/>
                <w:sz w:val="20"/>
                <w:shd w:val="clear" w:color="auto" w:fill="FFFFFF"/>
                <w:lang w:eastAsia="en-GB"/>
              </w:rPr>
              <w:t>osts</w:t>
            </w:r>
          </w:p>
        </w:tc>
        <w:tc>
          <w:tcPr>
            <w:tcW w:w="1033" w:type="dxa"/>
            <w:tcBorders>
              <w:top w:val="single" w:sz="4" w:space="0" w:color="auto"/>
              <w:bottom w:val="single" w:sz="4" w:space="0" w:color="auto"/>
              <w:right w:val="single" w:sz="4" w:space="0" w:color="auto"/>
            </w:tcBorders>
            <w:shd w:val="clear" w:color="auto" w:fill="auto"/>
            <w:vAlign w:val="center"/>
          </w:tcPr>
          <w:p w14:paraId="2CA2C7EC" w14:textId="2BE710EA" w:rsidR="0027121F" w:rsidRPr="0041766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417662">
              <w:rPr>
                <w:rFonts w:eastAsiaTheme="minorEastAsia" w:cs="Arial"/>
                <w:b/>
                <w:color w:val="000000"/>
                <w:sz w:val="20"/>
                <w:shd w:val="clear" w:color="auto" w:fill="FFFFFF"/>
                <w:lang w:eastAsia="en-GB"/>
              </w:rPr>
              <w:t xml:space="preserve">Absolute </w:t>
            </w:r>
            <w:r w:rsidR="0027121F" w:rsidRPr="00417662">
              <w:rPr>
                <w:rFonts w:eastAsiaTheme="minorEastAsia" w:cs="Arial"/>
                <w:b/>
                <w:color w:val="000000"/>
                <w:sz w:val="20"/>
                <w:shd w:val="clear" w:color="auto" w:fill="FFFFFF"/>
                <w:lang w:eastAsia="en-GB"/>
              </w:rPr>
              <w:t>QALYs</w:t>
            </w:r>
          </w:p>
        </w:tc>
        <w:tc>
          <w:tcPr>
            <w:tcW w:w="1720" w:type="dxa"/>
            <w:tcBorders>
              <w:top w:val="single" w:sz="4" w:space="0" w:color="auto"/>
              <w:left w:val="single" w:sz="4" w:space="0" w:color="auto"/>
              <w:bottom w:val="single" w:sz="4" w:space="0" w:color="auto"/>
            </w:tcBorders>
            <w:shd w:val="clear" w:color="auto" w:fill="auto"/>
            <w:vAlign w:val="center"/>
          </w:tcPr>
          <w:p w14:paraId="7BDC7216" w14:textId="031AD7F9" w:rsidR="0027121F" w:rsidRPr="00FF4B72" w:rsidRDefault="00FF4B72" w:rsidP="00FF4B72">
            <w:pPr>
              <w:spacing w:before="100" w:beforeAutospacing="1" w:after="100" w:afterAutospacing="1"/>
              <w:jc w:val="center"/>
              <w:rPr>
                <w:rFonts w:cs="Arial"/>
                <w:b/>
                <w:sz w:val="20"/>
              </w:rPr>
            </w:pPr>
            <w:r w:rsidRPr="00FF4B72">
              <w:rPr>
                <w:rFonts w:cs="Arial"/>
                <w:b/>
                <w:sz w:val="20"/>
              </w:rPr>
              <w:t>Absolute c</w:t>
            </w:r>
            <w:r w:rsidR="0027121F" w:rsidRPr="00FF4B72">
              <w:rPr>
                <w:rFonts w:cs="Arial"/>
                <w:b/>
                <w:sz w:val="20"/>
              </w:rPr>
              <w:t>osts</w:t>
            </w:r>
          </w:p>
        </w:tc>
        <w:tc>
          <w:tcPr>
            <w:tcW w:w="1033" w:type="dxa"/>
            <w:tcBorders>
              <w:top w:val="single" w:sz="4" w:space="0" w:color="auto"/>
              <w:bottom w:val="single" w:sz="4" w:space="0" w:color="auto"/>
              <w:right w:val="single" w:sz="4" w:space="0" w:color="auto"/>
            </w:tcBorders>
            <w:shd w:val="clear" w:color="auto" w:fill="auto"/>
            <w:vAlign w:val="center"/>
          </w:tcPr>
          <w:p w14:paraId="5311AF86" w14:textId="47A859DD" w:rsidR="0027121F" w:rsidRPr="00FF4B72" w:rsidRDefault="00FF4B72" w:rsidP="00FF4B72">
            <w:pPr>
              <w:spacing w:before="100" w:beforeAutospacing="1" w:after="100" w:afterAutospacing="1"/>
              <w:jc w:val="center"/>
              <w:rPr>
                <w:rFonts w:cs="Arial"/>
                <w:b/>
                <w:sz w:val="20"/>
              </w:rPr>
            </w:pPr>
            <w:r w:rsidRPr="00FF4B72">
              <w:rPr>
                <w:rFonts w:cs="Arial"/>
                <w:b/>
                <w:sz w:val="20"/>
              </w:rPr>
              <w:t xml:space="preserve">Absolute </w:t>
            </w:r>
            <w:r w:rsidR="0027121F" w:rsidRPr="00FF4B72">
              <w:rPr>
                <w:rFonts w:cs="Arial"/>
                <w:b/>
                <w:sz w:val="20"/>
              </w:rPr>
              <w:t>QALYs</w:t>
            </w:r>
          </w:p>
        </w:tc>
        <w:tc>
          <w:tcPr>
            <w:tcW w:w="1720" w:type="dxa"/>
            <w:tcBorders>
              <w:top w:val="single" w:sz="4" w:space="0" w:color="auto"/>
              <w:left w:val="single" w:sz="4" w:space="0" w:color="auto"/>
              <w:bottom w:val="single" w:sz="4" w:space="0" w:color="auto"/>
            </w:tcBorders>
            <w:shd w:val="clear" w:color="auto" w:fill="auto"/>
            <w:vAlign w:val="center"/>
          </w:tcPr>
          <w:p w14:paraId="6887997E" w14:textId="37DC2454" w:rsidR="0027121F" w:rsidRPr="00FF4B7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Absolute c</w:t>
            </w:r>
            <w:r w:rsidR="0027121F" w:rsidRPr="00FF4B72">
              <w:rPr>
                <w:rFonts w:eastAsiaTheme="minorEastAsia" w:cs="Arial"/>
                <w:b/>
                <w:color w:val="000000"/>
                <w:sz w:val="20"/>
                <w:shd w:val="clear" w:color="auto" w:fill="FFFFFF"/>
                <w:lang w:eastAsia="en-GB"/>
              </w:rPr>
              <w:t>osts</w:t>
            </w:r>
          </w:p>
        </w:tc>
        <w:tc>
          <w:tcPr>
            <w:tcW w:w="1033" w:type="dxa"/>
            <w:tcBorders>
              <w:top w:val="single" w:sz="4" w:space="0" w:color="auto"/>
              <w:bottom w:val="single" w:sz="4" w:space="0" w:color="auto"/>
            </w:tcBorders>
            <w:shd w:val="clear" w:color="auto" w:fill="auto"/>
            <w:vAlign w:val="center"/>
          </w:tcPr>
          <w:p w14:paraId="3518739B" w14:textId="58A9C706" w:rsidR="0027121F" w:rsidRPr="00FF4B7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 xml:space="preserve">Absolute </w:t>
            </w:r>
            <w:r w:rsidR="0027121F" w:rsidRPr="00FF4B72">
              <w:rPr>
                <w:rFonts w:eastAsiaTheme="minorEastAsia" w:cs="Arial"/>
                <w:b/>
                <w:color w:val="000000"/>
                <w:sz w:val="20"/>
                <w:shd w:val="clear" w:color="auto" w:fill="FFFFFF"/>
                <w:lang w:eastAsia="en-GB"/>
              </w:rPr>
              <w:t>QALYs</w:t>
            </w:r>
          </w:p>
        </w:tc>
        <w:tc>
          <w:tcPr>
            <w:tcW w:w="1441" w:type="dxa"/>
            <w:tcBorders>
              <w:top w:val="single" w:sz="4" w:space="0" w:color="auto"/>
              <w:bottom w:val="single" w:sz="4" w:space="0" w:color="auto"/>
            </w:tcBorders>
            <w:shd w:val="clear" w:color="auto" w:fill="auto"/>
            <w:vAlign w:val="center"/>
          </w:tcPr>
          <w:p w14:paraId="0617CC51" w14:textId="03E103CD" w:rsidR="0027121F" w:rsidRPr="00FF4B7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Incremental costs</w:t>
            </w:r>
          </w:p>
        </w:tc>
        <w:tc>
          <w:tcPr>
            <w:tcW w:w="1455" w:type="dxa"/>
            <w:tcBorders>
              <w:top w:val="single" w:sz="4" w:space="0" w:color="auto"/>
              <w:bottom w:val="single" w:sz="4" w:space="0" w:color="auto"/>
            </w:tcBorders>
            <w:vAlign w:val="center"/>
          </w:tcPr>
          <w:p w14:paraId="73536EF3" w14:textId="318D1E71" w:rsidR="0027121F" w:rsidRPr="00FF4B72" w:rsidRDefault="00FF4B72"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Incremental QALYs</w:t>
            </w:r>
          </w:p>
        </w:tc>
        <w:tc>
          <w:tcPr>
            <w:tcW w:w="1419" w:type="dxa"/>
            <w:tcBorders>
              <w:top w:val="single" w:sz="4" w:space="0" w:color="auto"/>
              <w:bottom w:val="single" w:sz="4" w:space="0" w:color="auto"/>
              <w:right w:val="single" w:sz="4" w:space="0" w:color="auto"/>
            </w:tcBorders>
            <w:vAlign w:val="center"/>
          </w:tcPr>
          <w:p w14:paraId="015B490B" w14:textId="637E8FE6" w:rsidR="0027121F" w:rsidRPr="00FF4B72" w:rsidRDefault="0027121F" w:rsidP="00FF4B72">
            <w:pPr>
              <w:spacing w:before="100" w:beforeAutospacing="1" w:after="100" w:afterAutospacing="1" w:line="240" w:lineRule="auto"/>
              <w:jc w:val="center"/>
              <w:rPr>
                <w:rFonts w:eastAsiaTheme="minorEastAsia" w:cs="Arial"/>
                <w:b/>
                <w:color w:val="000000"/>
                <w:sz w:val="20"/>
                <w:shd w:val="clear" w:color="auto" w:fill="FFFFFF"/>
                <w:lang w:eastAsia="en-GB"/>
              </w:rPr>
            </w:pPr>
            <w:r w:rsidRPr="00FF4B72">
              <w:rPr>
                <w:rFonts w:eastAsiaTheme="minorEastAsia" w:cs="Arial"/>
                <w:b/>
                <w:color w:val="000000"/>
                <w:sz w:val="20"/>
                <w:shd w:val="clear" w:color="auto" w:fill="FFFFFF"/>
                <w:lang w:eastAsia="en-GB"/>
              </w:rPr>
              <w:t>ICER</w:t>
            </w:r>
          </w:p>
        </w:tc>
      </w:tr>
      <w:tr w:rsidR="00FF4B72" w:rsidRPr="00FF4B72" w14:paraId="40B0AB1D" w14:textId="260DCD8A" w:rsidTr="00467886">
        <w:trPr>
          <w:trHeight w:val="610"/>
        </w:trPr>
        <w:tc>
          <w:tcPr>
            <w:tcW w:w="1563" w:type="dxa"/>
            <w:tcBorders>
              <w:top w:val="single" w:sz="4" w:space="0" w:color="auto"/>
              <w:left w:val="single" w:sz="4" w:space="0" w:color="auto"/>
              <w:right w:val="single" w:sz="4" w:space="0" w:color="auto"/>
            </w:tcBorders>
            <w:shd w:val="clear" w:color="auto" w:fill="auto"/>
            <w:vAlign w:val="center"/>
          </w:tcPr>
          <w:p w14:paraId="303EC55C" w14:textId="4C7F9B78" w:rsidR="00FF4B72" w:rsidRPr="00FF4B72" w:rsidRDefault="00FF4B72" w:rsidP="00FF4B72">
            <w:pPr>
              <w:spacing w:before="100" w:beforeAutospacing="1" w:after="100" w:afterAutospacing="1" w:line="240" w:lineRule="auto"/>
              <w:contextualSpacing/>
              <w:rPr>
                <w:rFonts w:eastAsiaTheme="minorEastAsia" w:cs="Arial"/>
                <w:b/>
                <w:color w:val="000000"/>
                <w:sz w:val="20"/>
                <w:shd w:val="clear" w:color="auto" w:fill="FFFFFF"/>
                <w:lang w:eastAsia="en-GB"/>
              </w:rPr>
            </w:pPr>
            <w:r w:rsidRPr="00FF4B72">
              <w:rPr>
                <w:rFonts w:eastAsia="Times New Roman" w:cs="Arial"/>
                <w:b/>
                <w:bCs/>
                <w:color w:val="000000"/>
                <w:sz w:val="20"/>
                <w:lang w:eastAsia="en-GB"/>
              </w:rPr>
              <w:t>Longevity matching</w:t>
            </w:r>
          </w:p>
        </w:tc>
        <w:tc>
          <w:tcPr>
            <w:tcW w:w="1541" w:type="dxa"/>
            <w:tcBorders>
              <w:top w:val="single" w:sz="4" w:space="0" w:color="auto"/>
              <w:left w:val="single" w:sz="4" w:space="0" w:color="auto"/>
            </w:tcBorders>
            <w:shd w:val="clear" w:color="auto" w:fill="auto"/>
            <w:vAlign w:val="center"/>
          </w:tcPr>
          <w:p w14:paraId="73262B31" w14:textId="2F036274"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£632,382,864</w:t>
            </w:r>
          </w:p>
        </w:tc>
        <w:tc>
          <w:tcPr>
            <w:tcW w:w="1033" w:type="dxa"/>
            <w:tcBorders>
              <w:top w:val="single" w:sz="4" w:space="0" w:color="auto"/>
              <w:right w:val="single" w:sz="4" w:space="0" w:color="auto"/>
            </w:tcBorders>
            <w:shd w:val="clear" w:color="auto" w:fill="auto"/>
            <w:vAlign w:val="center"/>
          </w:tcPr>
          <w:p w14:paraId="1A53EFAA" w14:textId="51F2C5D5"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44,704</w:t>
            </w:r>
          </w:p>
        </w:tc>
        <w:tc>
          <w:tcPr>
            <w:tcW w:w="1720" w:type="dxa"/>
            <w:tcBorders>
              <w:top w:val="single" w:sz="4" w:space="0" w:color="auto"/>
              <w:left w:val="single" w:sz="4" w:space="0" w:color="auto"/>
            </w:tcBorders>
            <w:shd w:val="clear" w:color="auto" w:fill="auto"/>
            <w:vAlign w:val="center"/>
          </w:tcPr>
          <w:p w14:paraId="211DFFC9" w14:textId="7557195E" w:rsidR="00FF4B72" w:rsidRPr="00FF4B72" w:rsidRDefault="00FF4B72" w:rsidP="00FF4B72">
            <w:pPr>
              <w:spacing w:after="0" w:line="240" w:lineRule="auto"/>
              <w:jc w:val="center"/>
              <w:rPr>
                <w:rFonts w:cs="Arial"/>
                <w:sz w:val="20"/>
              </w:rPr>
            </w:pPr>
            <w:r w:rsidRPr="00FF4B72">
              <w:rPr>
                <w:rFonts w:cs="Arial"/>
                <w:color w:val="000000"/>
                <w:sz w:val="20"/>
              </w:rPr>
              <w:t>£841,064,018</w:t>
            </w:r>
          </w:p>
        </w:tc>
        <w:tc>
          <w:tcPr>
            <w:tcW w:w="1033" w:type="dxa"/>
            <w:tcBorders>
              <w:top w:val="single" w:sz="4" w:space="0" w:color="auto"/>
              <w:right w:val="single" w:sz="4" w:space="0" w:color="auto"/>
            </w:tcBorders>
            <w:shd w:val="clear" w:color="auto" w:fill="auto"/>
            <w:vAlign w:val="center"/>
          </w:tcPr>
          <w:p w14:paraId="16EA903F" w14:textId="3FE3CCFC" w:rsidR="00FF4B72" w:rsidRPr="00FF4B72" w:rsidRDefault="00FF4B72" w:rsidP="00FF4B72">
            <w:pPr>
              <w:spacing w:after="0" w:line="240" w:lineRule="auto"/>
              <w:jc w:val="center"/>
              <w:rPr>
                <w:rFonts w:cs="Arial"/>
                <w:sz w:val="20"/>
              </w:rPr>
            </w:pPr>
            <w:r w:rsidRPr="00FF4B72">
              <w:rPr>
                <w:rFonts w:cs="Arial"/>
                <w:color w:val="000000"/>
                <w:sz w:val="20"/>
              </w:rPr>
              <w:t>20,961</w:t>
            </w:r>
          </w:p>
        </w:tc>
        <w:tc>
          <w:tcPr>
            <w:tcW w:w="1720" w:type="dxa"/>
            <w:tcBorders>
              <w:top w:val="single" w:sz="4" w:space="0" w:color="auto"/>
              <w:left w:val="single" w:sz="4" w:space="0" w:color="auto"/>
            </w:tcBorders>
            <w:shd w:val="clear" w:color="auto" w:fill="auto"/>
            <w:vAlign w:val="center"/>
          </w:tcPr>
          <w:p w14:paraId="3FAC8CA4" w14:textId="0C01F06B"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£1,473,446,881</w:t>
            </w:r>
          </w:p>
        </w:tc>
        <w:tc>
          <w:tcPr>
            <w:tcW w:w="1033" w:type="dxa"/>
            <w:tcBorders>
              <w:top w:val="single" w:sz="4" w:space="0" w:color="auto"/>
            </w:tcBorders>
            <w:shd w:val="clear" w:color="auto" w:fill="auto"/>
            <w:vAlign w:val="center"/>
          </w:tcPr>
          <w:p w14:paraId="599C3B8E" w14:textId="7EDF3052"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cs="Arial"/>
                <w:color w:val="000000"/>
                <w:sz w:val="20"/>
              </w:rPr>
              <w:t>65,665</w:t>
            </w:r>
          </w:p>
        </w:tc>
        <w:tc>
          <w:tcPr>
            <w:tcW w:w="1441" w:type="dxa"/>
            <w:tcBorders>
              <w:top w:val="single" w:sz="4" w:space="0" w:color="auto"/>
            </w:tcBorders>
            <w:shd w:val="clear" w:color="auto" w:fill="auto"/>
            <w:vAlign w:val="center"/>
          </w:tcPr>
          <w:p w14:paraId="59A59778" w14:textId="7BCC83C2"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eastAsiaTheme="minorEastAsia" w:cs="Arial"/>
                <w:color w:val="000000"/>
                <w:sz w:val="20"/>
                <w:shd w:val="clear" w:color="auto" w:fill="FFFFFF"/>
                <w:lang w:eastAsia="en-GB"/>
              </w:rPr>
              <w:t>-</w:t>
            </w:r>
          </w:p>
        </w:tc>
        <w:tc>
          <w:tcPr>
            <w:tcW w:w="1455" w:type="dxa"/>
            <w:tcBorders>
              <w:top w:val="single" w:sz="4" w:space="0" w:color="auto"/>
            </w:tcBorders>
            <w:vAlign w:val="center"/>
          </w:tcPr>
          <w:p w14:paraId="084CA305" w14:textId="1EDF6904"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eastAsiaTheme="minorEastAsia" w:cs="Arial"/>
                <w:color w:val="000000"/>
                <w:sz w:val="20"/>
                <w:shd w:val="clear" w:color="auto" w:fill="FFFFFF"/>
                <w:lang w:eastAsia="en-GB"/>
              </w:rPr>
              <w:t>-</w:t>
            </w:r>
          </w:p>
        </w:tc>
        <w:tc>
          <w:tcPr>
            <w:tcW w:w="1419" w:type="dxa"/>
            <w:tcBorders>
              <w:top w:val="single" w:sz="4" w:space="0" w:color="auto"/>
              <w:right w:val="single" w:sz="4" w:space="0" w:color="auto"/>
            </w:tcBorders>
            <w:vAlign w:val="center"/>
          </w:tcPr>
          <w:p w14:paraId="7A92F6DB" w14:textId="096343DF"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eastAsiaTheme="minorEastAsia" w:cs="Arial"/>
                <w:color w:val="000000"/>
                <w:sz w:val="20"/>
                <w:shd w:val="clear" w:color="auto" w:fill="FFFFFF"/>
                <w:lang w:eastAsia="en-GB"/>
              </w:rPr>
              <w:t>-</w:t>
            </w:r>
          </w:p>
        </w:tc>
      </w:tr>
      <w:tr w:rsidR="00FF4B72" w:rsidRPr="00FF4B72" w14:paraId="583F55ED" w14:textId="73151F16" w:rsidTr="00467886">
        <w:trPr>
          <w:trHeight w:val="610"/>
        </w:trPr>
        <w:tc>
          <w:tcPr>
            <w:tcW w:w="1563" w:type="dxa"/>
            <w:tcBorders>
              <w:left w:val="single" w:sz="4" w:space="0" w:color="auto"/>
              <w:right w:val="single" w:sz="4" w:space="0" w:color="auto"/>
            </w:tcBorders>
            <w:shd w:val="clear" w:color="auto" w:fill="auto"/>
            <w:vAlign w:val="center"/>
          </w:tcPr>
          <w:p w14:paraId="4B1AA8CA" w14:textId="1651CAD9" w:rsidR="00FF4B72" w:rsidRPr="00FF4B72" w:rsidRDefault="00FF4B72" w:rsidP="00FF4B72">
            <w:pPr>
              <w:spacing w:before="100" w:beforeAutospacing="1" w:after="100" w:afterAutospacing="1" w:line="240" w:lineRule="auto"/>
              <w:contextualSpacing/>
              <w:rPr>
                <w:rFonts w:eastAsiaTheme="minorEastAsia" w:cs="Arial"/>
                <w:b/>
                <w:color w:val="000000"/>
                <w:sz w:val="20"/>
                <w:shd w:val="clear" w:color="auto" w:fill="FFFFFF"/>
                <w:lang w:eastAsia="en-GB"/>
              </w:rPr>
            </w:pPr>
            <w:r w:rsidRPr="00FF4B72">
              <w:rPr>
                <w:rFonts w:eastAsia="Times New Roman" w:cs="Arial"/>
                <w:b/>
                <w:bCs/>
                <w:color w:val="000000"/>
                <w:sz w:val="20"/>
                <w:lang w:eastAsia="en-GB"/>
              </w:rPr>
              <w:t>QALY-maximisation</w:t>
            </w:r>
          </w:p>
        </w:tc>
        <w:tc>
          <w:tcPr>
            <w:tcW w:w="1541" w:type="dxa"/>
            <w:tcBorders>
              <w:left w:val="single" w:sz="4" w:space="0" w:color="auto"/>
            </w:tcBorders>
            <w:shd w:val="clear" w:color="auto" w:fill="auto"/>
            <w:vAlign w:val="center"/>
          </w:tcPr>
          <w:p w14:paraId="58CA275F" w14:textId="2169EC2E"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£680,552,945</w:t>
            </w:r>
          </w:p>
        </w:tc>
        <w:tc>
          <w:tcPr>
            <w:tcW w:w="1033" w:type="dxa"/>
            <w:tcBorders>
              <w:right w:val="single" w:sz="4" w:space="0" w:color="auto"/>
            </w:tcBorders>
            <w:shd w:val="clear" w:color="auto" w:fill="auto"/>
            <w:vAlign w:val="center"/>
          </w:tcPr>
          <w:p w14:paraId="5E55471E" w14:textId="699C5B9C"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48,045</w:t>
            </w:r>
          </w:p>
        </w:tc>
        <w:tc>
          <w:tcPr>
            <w:tcW w:w="1720" w:type="dxa"/>
            <w:tcBorders>
              <w:left w:val="single" w:sz="4" w:space="0" w:color="auto"/>
            </w:tcBorders>
            <w:shd w:val="clear" w:color="auto" w:fill="auto"/>
            <w:vAlign w:val="center"/>
          </w:tcPr>
          <w:p w14:paraId="0896416A" w14:textId="5E47FA2D" w:rsidR="00FF4B72" w:rsidRPr="00FF4B72" w:rsidRDefault="00FF4B72" w:rsidP="00FF4B72">
            <w:pPr>
              <w:spacing w:after="0" w:line="240" w:lineRule="auto"/>
              <w:jc w:val="center"/>
              <w:rPr>
                <w:rFonts w:cs="Arial"/>
                <w:sz w:val="20"/>
              </w:rPr>
            </w:pPr>
            <w:r w:rsidRPr="00FF4B72">
              <w:rPr>
                <w:rFonts w:cs="Arial"/>
                <w:color w:val="000000"/>
                <w:sz w:val="20"/>
              </w:rPr>
              <w:t>£818,130,717</w:t>
            </w:r>
          </w:p>
        </w:tc>
        <w:tc>
          <w:tcPr>
            <w:tcW w:w="1033" w:type="dxa"/>
            <w:tcBorders>
              <w:right w:val="single" w:sz="4" w:space="0" w:color="auto"/>
            </w:tcBorders>
            <w:shd w:val="clear" w:color="auto" w:fill="auto"/>
            <w:vAlign w:val="center"/>
          </w:tcPr>
          <w:p w14:paraId="0758281F" w14:textId="213BB81D" w:rsidR="00FF4B72" w:rsidRPr="00FF4B72" w:rsidRDefault="00FF4B72" w:rsidP="00FF4B72">
            <w:pPr>
              <w:spacing w:after="0" w:line="240" w:lineRule="auto"/>
              <w:jc w:val="center"/>
              <w:rPr>
                <w:rFonts w:cs="Arial"/>
                <w:sz w:val="20"/>
              </w:rPr>
            </w:pPr>
            <w:r w:rsidRPr="00FF4B72">
              <w:rPr>
                <w:rFonts w:cs="Arial"/>
                <w:color w:val="000000"/>
                <w:sz w:val="20"/>
              </w:rPr>
              <w:t>20,504</w:t>
            </w:r>
          </w:p>
        </w:tc>
        <w:tc>
          <w:tcPr>
            <w:tcW w:w="1720" w:type="dxa"/>
            <w:tcBorders>
              <w:left w:val="single" w:sz="4" w:space="0" w:color="auto"/>
            </w:tcBorders>
            <w:shd w:val="clear" w:color="auto" w:fill="auto"/>
            <w:vAlign w:val="center"/>
          </w:tcPr>
          <w:p w14:paraId="5C07F1F8" w14:textId="0B47748F"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£1,498,683,661</w:t>
            </w:r>
          </w:p>
        </w:tc>
        <w:tc>
          <w:tcPr>
            <w:tcW w:w="1033" w:type="dxa"/>
            <w:shd w:val="clear" w:color="auto" w:fill="auto"/>
            <w:vAlign w:val="center"/>
          </w:tcPr>
          <w:p w14:paraId="37DAA696" w14:textId="534DB81E"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68,549</w:t>
            </w:r>
          </w:p>
        </w:tc>
        <w:tc>
          <w:tcPr>
            <w:tcW w:w="1441" w:type="dxa"/>
            <w:shd w:val="clear" w:color="auto" w:fill="auto"/>
            <w:vAlign w:val="center"/>
          </w:tcPr>
          <w:p w14:paraId="5A35AD1F" w14:textId="52ED608C"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ascii="Calibri" w:hAnsi="Calibri" w:cs="Calibri"/>
                <w:color w:val="000000"/>
                <w:sz w:val="20"/>
              </w:rPr>
              <w:t>£25,236,780</w:t>
            </w:r>
          </w:p>
        </w:tc>
        <w:tc>
          <w:tcPr>
            <w:tcW w:w="1455" w:type="dxa"/>
            <w:vAlign w:val="center"/>
          </w:tcPr>
          <w:p w14:paraId="25645BD7" w14:textId="48655084"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ascii="Calibri" w:hAnsi="Calibri" w:cs="Calibri"/>
                <w:color w:val="000000"/>
                <w:sz w:val="20"/>
              </w:rPr>
              <w:t>2884</w:t>
            </w:r>
          </w:p>
        </w:tc>
        <w:tc>
          <w:tcPr>
            <w:tcW w:w="1419" w:type="dxa"/>
            <w:tcBorders>
              <w:right w:val="single" w:sz="4" w:space="0" w:color="auto"/>
            </w:tcBorders>
            <w:vAlign w:val="center"/>
          </w:tcPr>
          <w:p w14:paraId="0C568A67" w14:textId="402F8945"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cs="Arial"/>
                <w:color w:val="000000"/>
                <w:sz w:val="20"/>
              </w:rPr>
              <w:t>£8,751</w:t>
            </w:r>
          </w:p>
        </w:tc>
      </w:tr>
      <w:tr w:rsidR="00FF4B72" w:rsidRPr="00FF4B72" w14:paraId="16C04C9B" w14:textId="6F084B2F" w:rsidTr="00467886">
        <w:trPr>
          <w:trHeight w:val="610"/>
        </w:trPr>
        <w:tc>
          <w:tcPr>
            <w:tcW w:w="1563" w:type="dxa"/>
            <w:tcBorders>
              <w:left w:val="single" w:sz="4" w:space="0" w:color="auto"/>
              <w:right w:val="single" w:sz="4" w:space="0" w:color="auto"/>
            </w:tcBorders>
            <w:shd w:val="clear" w:color="auto" w:fill="auto"/>
            <w:vAlign w:val="center"/>
          </w:tcPr>
          <w:p w14:paraId="2307EC76" w14:textId="77777777" w:rsidR="00FF4B72" w:rsidRPr="00FF4B72" w:rsidRDefault="00FF4B72" w:rsidP="00FF4B72">
            <w:pPr>
              <w:spacing w:before="100" w:beforeAutospacing="1" w:after="100" w:afterAutospacing="1" w:line="240" w:lineRule="auto"/>
              <w:contextualSpacing/>
              <w:rPr>
                <w:rFonts w:eastAsiaTheme="minorEastAsia" w:cs="Arial"/>
                <w:b/>
                <w:color w:val="000000"/>
                <w:sz w:val="20"/>
                <w:shd w:val="clear" w:color="auto" w:fill="FFFFFF"/>
                <w:lang w:eastAsia="en-GB"/>
              </w:rPr>
            </w:pPr>
            <w:r w:rsidRPr="00FF4B72">
              <w:rPr>
                <w:rFonts w:eastAsia="Times New Roman" w:cs="Arial"/>
                <w:b/>
                <w:bCs/>
                <w:color w:val="000000"/>
                <w:sz w:val="20"/>
                <w:lang w:eastAsia="en-GB"/>
              </w:rPr>
              <w:t>Random</w:t>
            </w:r>
          </w:p>
        </w:tc>
        <w:tc>
          <w:tcPr>
            <w:tcW w:w="1541" w:type="dxa"/>
            <w:tcBorders>
              <w:left w:val="single" w:sz="4" w:space="0" w:color="auto"/>
            </w:tcBorders>
            <w:shd w:val="clear" w:color="auto" w:fill="auto"/>
            <w:vAlign w:val="center"/>
          </w:tcPr>
          <w:p w14:paraId="02072E3B" w14:textId="1C34FF1F"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£590,657,199</w:t>
            </w:r>
          </w:p>
        </w:tc>
        <w:tc>
          <w:tcPr>
            <w:tcW w:w="1033" w:type="dxa"/>
            <w:tcBorders>
              <w:right w:val="single" w:sz="4" w:space="0" w:color="auto"/>
            </w:tcBorders>
            <w:shd w:val="clear" w:color="auto" w:fill="auto"/>
            <w:vAlign w:val="center"/>
          </w:tcPr>
          <w:p w14:paraId="68854C39" w14:textId="2E736AB5"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40,236</w:t>
            </w:r>
          </w:p>
        </w:tc>
        <w:tc>
          <w:tcPr>
            <w:tcW w:w="1720" w:type="dxa"/>
            <w:tcBorders>
              <w:left w:val="single" w:sz="4" w:space="0" w:color="auto"/>
            </w:tcBorders>
            <w:shd w:val="clear" w:color="auto" w:fill="auto"/>
            <w:vAlign w:val="center"/>
          </w:tcPr>
          <w:p w14:paraId="5CCA08CA" w14:textId="09C17AB5" w:rsidR="00FF4B72" w:rsidRPr="00FF4B72" w:rsidRDefault="00FF4B72" w:rsidP="00FF4B72">
            <w:pPr>
              <w:spacing w:after="0" w:line="240" w:lineRule="auto"/>
              <w:jc w:val="center"/>
              <w:rPr>
                <w:rFonts w:cs="Arial"/>
                <w:sz w:val="20"/>
              </w:rPr>
            </w:pPr>
            <w:r w:rsidRPr="00FF4B72">
              <w:rPr>
                <w:rFonts w:cs="Arial"/>
                <w:color w:val="000000"/>
                <w:sz w:val="20"/>
              </w:rPr>
              <w:t>£1,088,809,775</w:t>
            </w:r>
          </w:p>
        </w:tc>
        <w:tc>
          <w:tcPr>
            <w:tcW w:w="1033" w:type="dxa"/>
            <w:tcBorders>
              <w:right w:val="single" w:sz="4" w:space="0" w:color="auto"/>
            </w:tcBorders>
            <w:shd w:val="clear" w:color="auto" w:fill="auto"/>
            <w:vAlign w:val="center"/>
          </w:tcPr>
          <w:p w14:paraId="4DC0154F" w14:textId="0B12FED7" w:rsidR="00FF4B72" w:rsidRPr="00FF4B72" w:rsidRDefault="00FF4B72" w:rsidP="00FF4B72">
            <w:pPr>
              <w:spacing w:after="0" w:line="240" w:lineRule="auto"/>
              <w:jc w:val="center"/>
              <w:rPr>
                <w:rFonts w:cs="Arial"/>
                <w:sz w:val="20"/>
              </w:rPr>
            </w:pPr>
            <w:r w:rsidRPr="00FF4B72">
              <w:rPr>
                <w:rFonts w:cs="Arial"/>
                <w:color w:val="000000"/>
                <w:sz w:val="20"/>
              </w:rPr>
              <w:t>26,328</w:t>
            </w:r>
          </w:p>
        </w:tc>
        <w:tc>
          <w:tcPr>
            <w:tcW w:w="1720" w:type="dxa"/>
            <w:tcBorders>
              <w:left w:val="single" w:sz="4" w:space="0" w:color="auto"/>
            </w:tcBorders>
            <w:shd w:val="clear" w:color="auto" w:fill="auto"/>
            <w:vAlign w:val="center"/>
          </w:tcPr>
          <w:p w14:paraId="5CFE4F10" w14:textId="687DF2BB"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£1,679,466,974</w:t>
            </w:r>
          </w:p>
        </w:tc>
        <w:tc>
          <w:tcPr>
            <w:tcW w:w="1033" w:type="dxa"/>
            <w:shd w:val="clear" w:color="auto" w:fill="auto"/>
            <w:vAlign w:val="center"/>
          </w:tcPr>
          <w:p w14:paraId="232C1113" w14:textId="679D3A54"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66,563</w:t>
            </w:r>
          </w:p>
        </w:tc>
        <w:tc>
          <w:tcPr>
            <w:tcW w:w="1441" w:type="dxa"/>
            <w:shd w:val="clear" w:color="auto" w:fill="auto"/>
            <w:vAlign w:val="center"/>
          </w:tcPr>
          <w:p w14:paraId="6C97CDD5" w14:textId="779DB8E4"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ascii="Calibri" w:hAnsi="Calibri" w:cs="Calibri"/>
                <w:color w:val="000000"/>
                <w:sz w:val="20"/>
              </w:rPr>
              <w:t>£180,783,313</w:t>
            </w:r>
          </w:p>
        </w:tc>
        <w:tc>
          <w:tcPr>
            <w:tcW w:w="1455" w:type="dxa"/>
            <w:vAlign w:val="center"/>
          </w:tcPr>
          <w:p w14:paraId="001417FE" w14:textId="71CEBD1B"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ascii="Calibri" w:hAnsi="Calibri" w:cs="Calibri"/>
                <w:color w:val="000000"/>
                <w:sz w:val="20"/>
              </w:rPr>
              <w:t>-1986</w:t>
            </w:r>
          </w:p>
        </w:tc>
        <w:tc>
          <w:tcPr>
            <w:tcW w:w="1419" w:type="dxa"/>
            <w:tcBorders>
              <w:right w:val="single" w:sz="4" w:space="0" w:color="auto"/>
            </w:tcBorders>
            <w:vAlign w:val="center"/>
          </w:tcPr>
          <w:p w14:paraId="2C394C00" w14:textId="7AB1EBF0"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cs="Arial"/>
                <w:color w:val="000000"/>
                <w:sz w:val="20"/>
              </w:rPr>
              <w:t>Dominated</w:t>
            </w:r>
          </w:p>
        </w:tc>
      </w:tr>
      <w:tr w:rsidR="00FF4B72" w:rsidRPr="00FF4B72" w14:paraId="17190AE1" w14:textId="2D2574A4" w:rsidTr="00467886">
        <w:trPr>
          <w:trHeight w:val="610"/>
        </w:trPr>
        <w:tc>
          <w:tcPr>
            <w:tcW w:w="1563" w:type="dxa"/>
            <w:tcBorders>
              <w:left w:val="single" w:sz="4" w:space="0" w:color="auto"/>
              <w:right w:val="single" w:sz="4" w:space="0" w:color="auto"/>
            </w:tcBorders>
            <w:shd w:val="clear" w:color="auto" w:fill="auto"/>
            <w:vAlign w:val="center"/>
          </w:tcPr>
          <w:p w14:paraId="6A47A342" w14:textId="4D3B3B89" w:rsidR="00FF4B72" w:rsidRPr="00FF4B72" w:rsidRDefault="00FF4B72" w:rsidP="00FF4B72">
            <w:pPr>
              <w:spacing w:before="100" w:beforeAutospacing="1" w:after="100" w:afterAutospacing="1" w:line="240" w:lineRule="auto"/>
              <w:contextualSpacing/>
              <w:rPr>
                <w:rFonts w:eastAsiaTheme="minorEastAsia" w:cs="Arial"/>
                <w:b/>
                <w:color w:val="000000"/>
                <w:sz w:val="20"/>
                <w:shd w:val="clear" w:color="auto" w:fill="FFFFFF"/>
                <w:lang w:eastAsia="en-GB"/>
              </w:rPr>
            </w:pPr>
            <w:r w:rsidRPr="00FF4B72">
              <w:rPr>
                <w:rFonts w:eastAsia="Times New Roman" w:cs="Arial"/>
                <w:b/>
                <w:bCs/>
                <w:color w:val="000000"/>
                <w:sz w:val="20"/>
                <w:lang w:eastAsia="en-GB"/>
              </w:rPr>
              <w:t>Waiting time</w:t>
            </w:r>
          </w:p>
        </w:tc>
        <w:tc>
          <w:tcPr>
            <w:tcW w:w="1541" w:type="dxa"/>
            <w:tcBorders>
              <w:left w:val="single" w:sz="4" w:space="0" w:color="auto"/>
            </w:tcBorders>
            <w:shd w:val="clear" w:color="auto" w:fill="auto"/>
            <w:vAlign w:val="center"/>
          </w:tcPr>
          <w:p w14:paraId="594F09B8" w14:textId="623A64E6"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£584,489,615</w:t>
            </w:r>
          </w:p>
        </w:tc>
        <w:tc>
          <w:tcPr>
            <w:tcW w:w="1033" w:type="dxa"/>
            <w:tcBorders>
              <w:right w:val="single" w:sz="4" w:space="0" w:color="auto"/>
            </w:tcBorders>
            <w:shd w:val="clear" w:color="auto" w:fill="auto"/>
            <w:vAlign w:val="center"/>
          </w:tcPr>
          <w:p w14:paraId="4834C384" w14:textId="1CD15EF9"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39,496</w:t>
            </w:r>
          </w:p>
        </w:tc>
        <w:tc>
          <w:tcPr>
            <w:tcW w:w="1720" w:type="dxa"/>
            <w:tcBorders>
              <w:left w:val="single" w:sz="4" w:space="0" w:color="auto"/>
            </w:tcBorders>
            <w:shd w:val="clear" w:color="auto" w:fill="auto"/>
            <w:vAlign w:val="center"/>
          </w:tcPr>
          <w:p w14:paraId="2B3D7978" w14:textId="592163CF" w:rsidR="00FF4B72" w:rsidRPr="00FF4B72" w:rsidRDefault="00FF4B72" w:rsidP="00FF4B72">
            <w:pPr>
              <w:spacing w:after="0" w:line="240" w:lineRule="auto"/>
              <w:jc w:val="center"/>
              <w:rPr>
                <w:rFonts w:cs="Arial"/>
                <w:sz w:val="20"/>
              </w:rPr>
            </w:pPr>
            <w:r w:rsidRPr="00FF4B72">
              <w:rPr>
                <w:rFonts w:cs="Arial"/>
                <w:color w:val="000000"/>
                <w:sz w:val="20"/>
              </w:rPr>
              <w:t>£1,099,379,875</w:t>
            </w:r>
          </w:p>
        </w:tc>
        <w:tc>
          <w:tcPr>
            <w:tcW w:w="1033" w:type="dxa"/>
            <w:tcBorders>
              <w:right w:val="single" w:sz="4" w:space="0" w:color="auto"/>
            </w:tcBorders>
            <w:shd w:val="clear" w:color="auto" w:fill="auto"/>
            <w:vAlign w:val="center"/>
          </w:tcPr>
          <w:p w14:paraId="7069B440" w14:textId="72C72A76" w:rsidR="00FF4B72" w:rsidRPr="00FF4B72" w:rsidRDefault="00FF4B72" w:rsidP="00FF4B72">
            <w:pPr>
              <w:spacing w:after="0" w:line="240" w:lineRule="auto"/>
              <w:jc w:val="center"/>
              <w:rPr>
                <w:rFonts w:cs="Arial"/>
                <w:sz w:val="20"/>
              </w:rPr>
            </w:pPr>
            <w:r w:rsidRPr="00FF4B72">
              <w:rPr>
                <w:rFonts w:cs="Arial"/>
                <w:color w:val="000000"/>
                <w:sz w:val="20"/>
              </w:rPr>
              <w:t>26,572</w:t>
            </w:r>
          </w:p>
        </w:tc>
        <w:tc>
          <w:tcPr>
            <w:tcW w:w="1720" w:type="dxa"/>
            <w:tcBorders>
              <w:left w:val="single" w:sz="4" w:space="0" w:color="auto"/>
            </w:tcBorders>
            <w:shd w:val="clear" w:color="auto" w:fill="auto"/>
            <w:vAlign w:val="center"/>
          </w:tcPr>
          <w:p w14:paraId="2234FC47" w14:textId="7F70E0BE"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£1,683,869,490</w:t>
            </w:r>
          </w:p>
        </w:tc>
        <w:tc>
          <w:tcPr>
            <w:tcW w:w="1033" w:type="dxa"/>
            <w:shd w:val="clear" w:color="auto" w:fill="auto"/>
            <w:vAlign w:val="center"/>
          </w:tcPr>
          <w:p w14:paraId="65BF018A" w14:textId="15D383C8"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66,068</w:t>
            </w:r>
          </w:p>
        </w:tc>
        <w:tc>
          <w:tcPr>
            <w:tcW w:w="1441" w:type="dxa"/>
            <w:shd w:val="clear" w:color="auto" w:fill="auto"/>
            <w:vAlign w:val="center"/>
          </w:tcPr>
          <w:p w14:paraId="6BAAEB7D" w14:textId="78CB0174"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ascii="Calibri" w:hAnsi="Calibri" w:cs="Calibri"/>
                <w:color w:val="000000"/>
                <w:sz w:val="20"/>
              </w:rPr>
              <w:t>£185,185,829</w:t>
            </w:r>
          </w:p>
        </w:tc>
        <w:tc>
          <w:tcPr>
            <w:tcW w:w="1455" w:type="dxa"/>
            <w:vAlign w:val="center"/>
          </w:tcPr>
          <w:p w14:paraId="10C99A65" w14:textId="233996E4"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ascii="Calibri" w:hAnsi="Calibri" w:cs="Calibri"/>
                <w:color w:val="000000"/>
                <w:sz w:val="20"/>
              </w:rPr>
              <w:t>-2481</w:t>
            </w:r>
          </w:p>
        </w:tc>
        <w:tc>
          <w:tcPr>
            <w:tcW w:w="1419" w:type="dxa"/>
            <w:tcBorders>
              <w:right w:val="single" w:sz="4" w:space="0" w:color="auto"/>
            </w:tcBorders>
            <w:vAlign w:val="center"/>
          </w:tcPr>
          <w:p w14:paraId="10F88CDA" w14:textId="16B54828"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cs="Arial"/>
                <w:color w:val="000000"/>
                <w:sz w:val="20"/>
              </w:rPr>
              <w:t>Dominated</w:t>
            </w:r>
          </w:p>
        </w:tc>
      </w:tr>
      <w:tr w:rsidR="00FF4B72" w:rsidRPr="00FF4B72" w14:paraId="6998AF06" w14:textId="2A402F6F" w:rsidTr="00467886">
        <w:trPr>
          <w:trHeight w:val="610"/>
        </w:trPr>
        <w:tc>
          <w:tcPr>
            <w:tcW w:w="1563" w:type="dxa"/>
            <w:tcBorders>
              <w:left w:val="single" w:sz="4" w:space="0" w:color="auto"/>
              <w:bottom w:val="single" w:sz="4" w:space="0" w:color="auto"/>
              <w:right w:val="single" w:sz="4" w:space="0" w:color="auto"/>
            </w:tcBorders>
            <w:shd w:val="clear" w:color="auto" w:fill="auto"/>
            <w:vAlign w:val="center"/>
          </w:tcPr>
          <w:p w14:paraId="77935DF9" w14:textId="77777777" w:rsidR="00FF4B72" w:rsidRPr="00FF4B72" w:rsidRDefault="00FF4B72" w:rsidP="00FF4B72">
            <w:pPr>
              <w:spacing w:before="100" w:beforeAutospacing="1" w:after="100" w:afterAutospacing="1" w:line="240" w:lineRule="auto"/>
              <w:contextualSpacing/>
              <w:rPr>
                <w:rFonts w:eastAsiaTheme="minorEastAsia" w:cs="Arial"/>
                <w:b/>
                <w:color w:val="000000"/>
                <w:sz w:val="20"/>
                <w:shd w:val="clear" w:color="auto" w:fill="FFFFFF"/>
                <w:lang w:eastAsia="en-GB"/>
              </w:rPr>
            </w:pPr>
            <w:r w:rsidRPr="00FF4B72">
              <w:rPr>
                <w:rFonts w:eastAsia="Times New Roman" w:cs="Arial"/>
                <w:b/>
                <w:bCs/>
                <w:color w:val="000000"/>
                <w:sz w:val="20"/>
                <w:lang w:eastAsia="en-GB"/>
              </w:rPr>
              <w:t>2006 NKAS</w:t>
            </w:r>
          </w:p>
        </w:tc>
        <w:tc>
          <w:tcPr>
            <w:tcW w:w="1541" w:type="dxa"/>
            <w:tcBorders>
              <w:left w:val="single" w:sz="4" w:space="0" w:color="auto"/>
              <w:bottom w:val="single" w:sz="4" w:space="0" w:color="auto"/>
            </w:tcBorders>
            <w:shd w:val="clear" w:color="auto" w:fill="auto"/>
            <w:vAlign w:val="center"/>
          </w:tcPr>
          <w:p w14:paraId="6B8907F9" w14:textId="4D7DA35A"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£624,864,970</w:t>
            </w:r>
          </w:p>
        </w:tc>
        <w:tc>
          <w:tcPr>
            <w:tcW w:w="1033" w:type="dxa"/>
            <w:tcBorders>
              <w:bottom w:val="single" w:sz="4" w:space="0" w:color="auto"/>
              <w:right w:val="single" w:sz="4" w:space="0" w:color="auto"/>
            </w:tcBorders>
            <w:shd w:val="clear" w:color="auto" w:fill="auto"/>
            <w:vAlign w:val="center"/>
          </w:tcPr>
          <w:p w14:paraId="0303D8AB" w14:textId="2735394B" w:rsidR="00FF4B72" w:rsidRPr="0041766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417662">
              <w:rPr>
                <w:rFonts w:cs="Arial"/>
                <w:color w:val="000000"/>
                <w:sz w:val="20"/>
              </w:rPr>
              <w:t>44,040</w:t>
            </w:r>
          </w:p>
        </w:tc>
        <w:tc>
          <w:tcPr>
            <w:tcW w:w="1720" w:type="dxa"/>
            <w:tcBorders>
              <w:left w:val="single" w:sz="4" w:space="0" w:color="auto"/>
              <w:bottom w:val="single" w:sz="4" w:space="0" w:color="auto"/>
            </w:tcBorders>
            <w:shd w:val="clear" w:color="auto" w:fill="auto"/>
            <w:vAlign w:val="center"/>
          </w:tcPr>
          <w:p w14:paraId="459BB950" w14:textId="138C45C5" w:rsidR="00FF4B72" w:rsidRPr="00FF4B72" w:rsidRDefault="00FF4B72" w:rsidP="00FF4B72">
            <w:pPr>
              <w:spacing w:after="0" w:line="240" w:lineRule="auto"/>
              <w:jc w:val="center"/>
              <w:rPr>
                <w:rFonts w:cs="Arial"/>
                <w:sz w:val="20"/>
              </w:rPr>
            </w:pPr>
            <w:r w:rsidRPr="00FF4B72">
              <w:rPr>
                <w:rFonts w:cs="Arial"/>
                <w:color w:val="000000"/>
                <w:sz w:val="20"/>
              </w:rPr>
              <w:t>£1,097,473,021</w:t>
            </w:r>
          </w:p>
        </w:tc>
        <w:tc>
          <w:tcPr>
            <w:tcW w:w="1033" w:type="dxa"/>
            <w:tcBorders>
              <w:bottom w:val="single" w:sz="4" w:space="0" w:color="auto"/>
              <w:right w:val="single" w:sz="4" w:space="0" w:color="auto"/>
            </w:tcBorders>
            <w:shd w:val="clear" w:color="auto" w:fill="auto"/>
            <w:vAlign w:val="center"/>
          </w:tcPr>
          <w:p w14:paraId="02211DD1" w14:textId="5DB4DF16" w:rsidR="00FF4B72" w:rsidRPr="00FF4B72" w:rsidRDefault="00FF4B72" w:rsidP="00FF4B72">
            <w:pPr>
              <w:spacing w:after="0" w:line="240" w:lineRule="auto"/>
              <w:jc w:val="center"/>
              <w:rPr>
                <w:rFonts w:cs="Arial"/>
                <w:sz w:val="20"/>
              </w:rPr>
            </w:pPr>
            <w:r w:rsidRPr="00FF4B72">
              <w:rPr>
                <w:rFonts w:cs="Arial"/>
                <w:color w:val="000000"/>
                <w:sz w:val="20"/>
              </w:rPr>
              <w:t>26,529</w:t>
            </w:r>
          </w:p>
        </w:tc>
        <w:tc>
          <w:tcPr>
            <w:tcW w:w="1720" w:type="dxa"/>
            <w:tcBorders>
              <w:left w:val="single" w:sz="4" w:space="0" w:color="auto"/>
              <w:bottom w:val="single" w:sz="4" w:space="0" w:color="auto"/>
            </w:tcBorders>
            <w:shd w:val="clear" w:color="auto" w:fill="auto"/>
            <w:vAlign w:val="center"/>
          </w:tcPr>
          <w:p w14:paraId="4B8186AF" w14:textId="2394BB26"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£1,722,337,991</w:t>
            </w:r>
          </w:p>
        </w:tc>
        <w:tc>
          <w:tcPr>
            <w:tcW w:w="1033" w:type="dxa"/>
            <w:tcBorders>
              <w:bottom w:val="single" w:sz="4" w:space="0" w:color="auto"/>
            </w:tcBorders>
            <w:shd w:val="clear" w:color="auto" w:fill="auto"/>
            <w:vAlign w:val="center"/>
          </w:tcPr>
          <w:p w14:paraId="4318C46A" w14:textId="6E734C45"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cs="Arial"/>
                <w:color w:val="000000"/>
                <w:sz w:val="20"/>
              </w:rPr>
              <w:t>70,569</w:t>
            </w:r>
          </w:p>
        </w:tc>
        <w:tc>
          <w:tcPr>
            <w:tcW w:w="1441" w:type="dxa"/>
            <w:tcBorders>
              <w:bottom w:val="single" w:sz="4" w:space="0" w:color="auto"/>
            </w:tcBorders>
            <w:shd w:val="clear" w:color="auto" w:fill="auto"/>
            <w:vAlign w:val="center"/>
          </w:tcPr>
          <w:p w14:paraId="2833E303" w14:textId="1F03BE72" w:rsidR="00FF4B72" w:rsidRPr="00FF4B72" w:rsidRDefault="00FF4B72" w:rsidP="00FF4B72">
            <w:pPr>
              <w:spacing w:before="100" w:beforeAutospacing="1" w:after="100" w:afterAutospacing="1" w:line="240" w:lineRule="auto"/>
              <w:contextualSpacing/>
              <w:jc w:val="center"/>
              <w:rPr>
                <w:rFonts w:eastAsiaTheme="minorEastAsia" w:cs="Arial"/>
                <w:color w:val="000000"/>
                <w:sz w:val="20"/>
                <w:shd w:val="clear" w:color="auto" w:fill="FFFFFF"/>
                <w:lang w:eastAsia="en-GB"/>
              </w:rPr>
            </w:pPr>
            <w:r w:rsidRPr="00FF4B72">
              <w:rPr>
                <w:rFonts w:ascii="Calibri" w:hAnsi="Calibri" w:cs="Calibri"/>
                <w:color w:val="000000"/>
                <w:sz w:val="20"/>
              </w:rPr>
              <w:t>£223,654,330</w:t>
            </w:r>
          </w:p>
        </w:tc>
        <w:tc>
          <w:tcPr>
            <w:tcW w:w="1455" w:type="dxa"/>
            <w:tcBorders>
              <w:bottom w:val="single" w:sz="4" w:space="0" w:color="auto"/>
            </w:tcBorders>
            <w:vAlign w:val="center"/>
          </w:tcPr>
          <w:p w14:paraId="0345D066" w14:textId="735E79D3"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ascii="Calibri" w:hAnsi="Calibri" w:cs="Calibri"/>
                <w:color w:val="000000"/>
                <w:sz w:val="20"/>
              </w:rPr>
              <w:t>2020</w:t>
            </w:r>
          </w:p>
        </w:tc>
        <w:tc>
          <w:tcPr>
            <w:tcW w:w="1419" w:type="dxa"/>
            <w:tcBorders>
              <w:bottom w:val="single" w:sz="4" w:space="0" w:color="auto"/>
              <w:right w:val="single" w:sz="4" w:space="0" w:color="auto"/>
            </w:tcBorders>
            <w:vAlign w:val="center"/>
          </w:tcPr>
          <w:p w14:paraId="7B687D8D" w14:textId="439DE4A6" w:rsidR="00FF4B72" w:rsidRPr="00FF4B72" w:rsidRDefault="00FF4B72" w:rsidP="00FF4B72">
            <w:pPr>
              <w:spacing w:before="100" w:beforeAutospacing="1" w:after="100" w:afterAutospacing="1" w:line="240" w:lineRule="auto"/>
              <w:contextualSpacing/>
              <w:jc w:val="center"/>
              <w:rPr>
                <w:rFonts w:cs="Arial"/>
                <w:color w:val="000000"/>
                <w:sz w:val="20"/>
              </w:rPr>
            </w:pPr>
            <w:r w:rsidRPr="00FF4B72">
              <w:rPr>
                <w:rFonts w:cs="Arial"/>
                <w:color w:val="000000"/>
                <w:sz w:val="20"/>
              </w:rPr>
              <w:t>£110,741</w:t>
            </w:r>
          </w:p>
        </w:tc>
      </w:tr>
    </w:tbl>
    <w:p w14:paraId="217F5738" w14:textId="77777777" w:rsidR="002B68CC" w:rsidRPr="00713BAB" w:rsidRDefault="002B68CC" w:rsidP="002B68CC">
      <w:pPr>
        <w:rPr>
          <w:rFonts w:eastAsiaTheme="minorEastAsia" w:cs="Arial"/>
          <w:b/>
          <w:color w:val="000000"/>
          <w:shd w:val="clear" w:color="auto" w:fill="FFFFFF"/>
          <w:lang w:eastAsia="en-GB"/>
        </w:rPr>
        <w:sectPr w:rsidR="002B68CC" w:rsidRPr="00713BAB" w:rsidSect="00AF5770">
          <w:pgSz w:w="16838" w:h="11906" w:orient="landscape" w:code="9"/>
          <w:pgMar w:top="1440" w:right="1440" w:bottom="1440" w:left="1440" w:header="709" w:footer="709" w:gutter="0"/>
          <w:cols w:space="708"/>
          <w:docGrid w:linePitch="360"/>
        </w:sectPr>
      </w:pPr>
      <w:r w:rsidRPr="00713BAB">
        <w:rPr>
          <w:rFonts w:eastAsiaTheme="minorEastAsia" w:cs="Arial"/>
          <w:b/>
          <w:color w:val="000000"/>
          <w:shd w:val="clear" w:color="auto" w:fill="FFFFFF"/>
          <w:lang w:eastAsia="en-GB"/>
        </w:rPr>
        <w:br w:type="page"/>
      </w:r>
    </w:p>
    <w:p w14:paraId="255AD381" w14:textId="77777777" w:rsidR="00AF5770" w:rsidRPr="00713BAB" w:rsidRDefault="00AF5770" w:rsidP="00680605">
      <w:pPr>
        <w:tabs>
          <w:tab w:val="left" w:pos="5812"/>
        </w:tabs>
        <w:rPr>
          <w:rFonts w:cs="Arial"/>
          <w:b/>
        </w:rPr>
        <w:sectPr w:rsidR="00AF5770" w:rsidRPr="00713BAB" w:rsidSect="00AF5770">
          <w:pgSz w:w="11906" w:h="16838" w:code="9"/>
          <w:pgMar w:top="1440" w:right="1440" w:bottom="1440" w:left="1440" w:header="708" w:footer="708" w:gutter="0"/>
          <w:cols w:space="708"/>
          <w:docGrid w:linePitch="360"/>
        </w:sectPr>
      </w:pPr>
    </w:p>
    <w:p w14:paraId="76360153" w14:textId="15B440E6" w:rsidR="000A1B86" w:rsidRDefault="00713BAB" w:rsidP="00467886">
      <w:pPr>
        <w:spacing w:after="160" w:line="259" w:lineRule="auto"/>
        <w:rPr>
          <w:rFonts w:eastAsiaTheme="minorEastAsia" w:cs="Arial"/>
          <w:color w:val="000000"/>
          <w:sz w:val="24"/>
          <w:shd w:val="clear" w:color="auto" w:fill="FFFFFF"/>
          <w:lang w:eastAsia="en-GB"/>
        </w:rPr>
      </w:pPr>
      <w:r w:rsidRPr="00CB102D">
        <w:rPr>
          <w:rFonts w:eastAsiaTheme="minorEastAsia" w:cs="Arial"/>
          <w:b/>
          <w:color w:val="000000"/>
          <w:sz w:val="24"/>
          <w:shd w:val="clear" w:color="auto" w:fill="FFFFFF"/>
          <w:lang w:eastAsia="en-GB"/>
        </w:rPr>
        <w:t>Figure 1</w:t>
      </w:r>
      <w:r w:rsidRPr="00CB102D">
        <w:rPr>
          <w:rFonts w:eastAsiaTheme="minorEastAsia" w:cs="Arial"/>
          <w:color w:val="000000"/>
          <w:sz w:val="24"/>
          <w:shd w:val="clear" w:color="auto" w:fill="FFFFFF"/>
          <w:lang w:eastAsia="en-GB"/>
        </w:rPr>
        <w:t xml:space="preserve">. Structure of the simulation model </w:t>
      </w:r>
    </w:p>
    <w:p w14:paraId="3F2A6F87" w14:textId="77777777" w:rsidR="00321B2F" w:rsidRPr="00467886" w:rsidRDefault="00321B2F" w:rsidP="00467886">
      <w:pPr>
        <w:spacing w:after="160" w:line="259" w:lineRule="auto"/>
        <w:rPr>
          <w:rFonts w:cs="Arial"/>
        </w:rPr>
      </w:pPr>
    </w:p>
    <w:p w14:paraId="7CC388E5" w14:textId="091F1820" w:rsidR="00F8179D" w:rsidRPr="00CB102D" w:rsidRDefault="00321B2F" w:rsidP="00F8179D">
      <w:pPr>
        <w:spacing w:after="0" w:line="480" w:lineRule="auto"/>
        <w:rPr>
          <w:rFonts w:eastAsiaTheme="minorEastAsia" w:cs="Arial"/>
          <w:color w:val="000000"/>
          <w:sz w:val="24"/>
          <w:shd w:val="clear" w:color="auto" w:fill="FFFFFF"/>
          <w:lang w:eastAsia="en-GB"/>
        </w:rPr>
      </w:pPr>
      <w:r w:rsidRPr="00713BAB">
        <w:rPr>
          <w:rFonts w:eastAsiaTheme="minorEastAsia" w:cs="Arial"/>
          <w:noProof/>
          <w:shd w:val="clear" w:color="auto" w:fill="FFFFFF"/>
          <w:lang w:eastAsia="en-GB"/>
        </w:rPr>
        <w:drawing>
          <wp:inline distT="0" distB="0" distL="0" distR="0" wp14:anchorId="08ED2F89" wp14:editId="1DF4C8A9">
            <wp:extent cx="5731510" cy="463740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4637405"/>
                    </a:xfrm>
                    <a:prstGeom prst="rect">
                      <a:avLst/>
                    </a:prstGeom>
                    <a:noFill/>
                  </pic:spPr>
                </pic:pic>
              </a:graphicData>
            </a:graphic>
          </wp:inline>
        </w:drawing>
      </w:r>
    </w:p>
    <w:p w14:paraId="3A2AC42A" w14:textId="77777777" w:rsidR="00321B2F" w:rsidRDefault="00321B2F">
      <w:pPr>
        <w:spacing w:after="160" w:line="259" w:lineRule="auto"/>
        <w:rPr>
          <w:rFonts w:cs="Times New Roman"/>
          <w:b/>
          <w:sz w:val="24"/>
        </w:rPr>
      </w:pPr>
      <w:r>
        <w:rPr>
          <w:rFonts w:cs="Times New Roman"/>
          <w:b/>
          <w:sz w:val="24"/>
        </w:rPr>
        <w:br w:type="page"/>
      </w:r>
    </w:p>
    <w:p w14:paraId="55FAF0C8" w14:textId="11CE80AA" w:rsidR="00713BAB" w:rsidRDefault="000A1B86" w:rsidP="00F8179D">
      <w:pPr>
        <w:spacing w:line="480" w:lineRule="auto"/>
        <w:rPr>
          <w:rFonts w:cs="Times New Roman"/>
          <w:sz w:val="24"/>
        </w:rPr>
      </w:pPr>
      <w:r w:rsidRPr="000A1B86">
        <w:rPr>
          <w:rFonts w:cs="Times New Roman"/>
          <w:b/>
          <w:sz w:val="24"/>
        </w:rPr>
        <w:lastRenderedPageBreak/>
        <w:t>Figure 2.</w:t>
      </w:r>
      <w:r w:rsidRPr="000A1B86">
        <w:rPr>
          <w:rFonts w:cs="Times New Roman"/>
          <w:sz w:val="24"/>
        </w:rPr>
        <w:t xml:space="preserve"> Cost-effectiveness plane</w:t>
      </w:r>
      <w:r w:rsidR="00281380">
        <w:rPr>
          <w:rFonts w:cs="Times New Roman"/>
          <w:sz w:val="24"/>
        </w:rPr>
        <w:t xml:space="preserve"> showing the relative positions of the 5 allocation schemes in terms of both total costs (vertical axis) and total QALYs (horizontal axis) for all patients</w:t>
      </w:r>
    </w:p>
    <w:p w14:paraId="610ACBFD" w14:textId="764086F1" w:rsidR="00321B2F" w:rsidRPr="000A1B86" w:rsidRDefault="00321B2F" w:rsidP="00F8179D">
      <w:pPr>
        <w:spacing w:line="480" w:lineRule="auto"/>
        <w:rPr>
          <w:rFonts w:cs="Arial"/>
          <w:sz w:val="24"/>
        </w:rPr>
      </w:pPr>
      <w:r>
        <w:rPr>
          <w:noProof/>
        </w:rPr>
        <w:drawing>
          <wp:inline distT="0" distB="0" distL="0" distR="0" wp14:anchorId="2485CA2E" wp14:editId="09E78463">
            <wp:extent cx="5731510" cy="3634362"/>
            <wp:effectExtent l="0" t="0" r="254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3634362"/>
                    </a:xfrm>
                    <a:prstGeom prst="rect">
                      <a:avLst/>
                    </a:prstGeom>
                    <a:noFill/>
                  </pic:spPr>
                </pic:pic>
              </a:graphicData>
            </a:graphic>
          </wp:inline>
        </w:drawing>
      </w:r>
    </w:p>
    <w:sectPr w:rsidR="00321B2F" w:rsidRPr="000A1B86" w:rsidSect="00BB3E70">
      <w:type w:val="continuous"/>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DAE873" w14:textId="77777777" w:rsidR="000B40BC" w:rsidRDefault="000B40BC" w:rsidP="00A415A9">
      <w:pPr>
        <w:spacing w:after="0" w:line="240" w:lineRule="auto"/>
      </w:pPr>
      <w:r>
        <w:separator/>
      </w:r>
    </w:p>
  </w:endnote>
  <w:endnote w:type="continuationSeparator" w:id="0">
    <w:p w14:paraId="4813A232" w14:textId="77777777" w:rsidR="000B40BC" w:rsidRDefault="000B40BC" w:rsidP="00A415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3001586"/>
      <w:docPartObj>
        <w:docPartGallery w:val="Page Numbers (Bottom of Page)"/>
        <w:docPartUnique/>
      </w:docPartObj>
    </w:sdtPr>
    <w:sdtEndPr>
      <w:rPr>
        <w:rFonts w:cs="Times New Roman"/>
        <w:noProof/>
      </w:rPr>
    </w:sdtEndPr>
    <w:sdtContent>
      <w:p w14:paraId="30E50A93" w14:textId="21A912F2" w:rsidR="000B40BC" w:rsidRPr="00CB102D" w:rsidRDefault="000B40BC">
        <w:pPr>
          <w:pStyle w:val="Footer"/>
          <w:jc w:val="center"/>
          <w:rPr>
            <w:rFonts w:cs="Times New Roman"/>
          </w:rPr>
        </w:pPr>
        <w:r w:rsidRPr="00CB102D">
          <w:rPr>
            <w:rFonts w:cs="Times New Roman"/>
          </w:rPr>
          <w:fldChar w:fldCharType="begin"/>
        </w:r>
        <w:r w:rsidRPr="00CB102D">
          <w:rPr>
            <w:rFonts w:cs="Times New Roman"/>
          </w:rPr>
          <w:instrText xml:space="preserve"> PAGE   \* MERGEFORMAT </w:instrText>
        </w:r>
        <w:r w:rsidRPr="00CB102D">
          <w:rPr>
            <w:rFonts w:cs="Times New Roman"/>
          </w:rPr>
          <w:fldChar w:fldCharType="separate"/>
        </w:r>
        <w:r>
          <w:rPr>
            <w:rFonts w:cs="Times New Roman"/>
            <w:noProof/>
          </w:rPr>
          <w:t>25</w:t>
        </w:r>
        <w:r w:rsidRPr="00CB102D">
          <w:rPr>
            <w:rFonts w:cs="Times New Roman"/>
            <w:noProof/>
          </w:rPr>
          <w:fldChar w:fldCharType="end"/>
        </w:r>
      </w:p>
    </w:sdtContent>
  </w:sdt>
  <w:p w14:paraId="5DD3772D" w14:textId="77777777" w:rsidR="000B40BC" w:rsidRDefault="000B40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B1EF04" w14:textId="77777777" w:rsidR="000B40BC" w:rsidRDefault="000B40BC" w:rsidP="00A415A9">
      <w:pPr>
        <w:spacing w:after="0" w:line="240" w:lineRule="auto"/>
      </w:pPr>
      <w:r>
        <w:separator/>
      </w:r>
    </w:p>
  </w:footnote>
  <w:footnote w:type="continuationSeparator" w:id="0">
    <w:p w14:paraId="7B865560" w14:textId="77777777" w:rsidR="000B40BC" w:rsidRDefault="000B40BC" w:rsidP="00A415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851CD6" w14:textId="77777777" w:rsidR="000B40BC" w:rsidRPr="00401891" w:rsidRDefault="000B40BC" w:rsidP="00985A9E">
    <w:pPr>
      <w:pStyle w:val="Header"/>
      <w:jc w:val="center"/>
      <w:rPr>
        <w:rFonts w:ascii="Times New Roman" w:hAnsi="Times New Roman" w:cs="Times New Roman"/>
        <w:b/>
        <w:color w:val="7F7F7F" w:themeColor="text1" w:themeTint="8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24FF3"/>
    <w:multiLevelType w:val="hybridMultilevel"/>
    <w:tmpl w:val="D968E6C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ECD1D04"/>
    <w:multiLevelType w:val="hybridMultilevel"/>
    <w:tmpl w:val="B43849F2"/>
    <w:lvl w:ilvl="0" w:tplc="08090001">
      <w:start w:val="1"/>
      <w:numFmt w:val="bullet"/>
      <w:lvlText w:val=""/>
      <w:lvlJc w:val="left"/>
      <w:pPr>
        <w:ind w:left="360" w:hanging="360"/>
      </w:pPr>
      <w:rPr>
        <w:rFonts w:ascii="Symbol" w:hAnsi="Symbol" w:hint="default"/>
      </w:rPr>
    </w:lvl>
    <w:lvl w:ilvl="1" w:tplc="5C9889C0">
      <w:start w:val="1"/>
      <w:numFmt w:val="bullet"/>
      <w:pStyle w:val="Bulletleft2"/>
      <w:lvlText w:val="–"/>
      <w:lvlJc w:val="left"/>
      <w:pPr>
        <w:ind w:left="1080" w:hanging="360"/>
      </w:pPr>
      <w:rPr>
        <w:rFonts w:ascii="Arial" w:hAnsi="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14651CE"/>
    <w:multiLevelType w:val="hybridMultilevel"/>
    <w:tmpl w:val="717C1F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97D71C0"/>
    <w:multiLevelType w:val="hybridMultilevel"/>
    <w:tmpl w:val="282A47BE"/>
    <w:lvl w:ilvl="0" w:tplc="C1F43DD6">
      <w:start w:val="1"/>
      <w:numFmt w:val="decimal"/>
      <w:pStyle w:val="Heading3"/>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629E0D46"/>
    <w:multiLevelType w:val="hybridMultilevel"/>
    <w:tmpl w:val="EF927E06"/>
    <w:lvl w:ilvl="0" w:tplc="531CB7FE">
      <w:start w:val="1"/>
      <w:numFmt w:val="bullet"/>
      <w:lvlText w:val=""/>
      <w:lvlJc w:val="left"/>
      <w:pPr>
        <w:ind w:left="720" w:hanging="360"/>
      </w:pPr>
      <w:rPr>
        <w:rFonts w:ascii="Symbol" w:hAnsi="Symbol" w:hint="default"/>
      </w:rPr>
    </w:lvl>
    <w:lvl w:ilvl="1" w:tplc="531CB7FE">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91001F"/>
    <w:multiLevelType w:val="hybridMultilevel"/>
    <w:tmpl w:val="90162F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664C2E7B"/>
    <w:multiLevelType w:val="multilevel"/>
    <w:tmpl w:val="45BEED7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15:restartNumberingAfterBreak="0">
    <w:nsid w:val="676F6493"/>
    <w:multiLevelType w:val="hybridMultilevel"/>
    <w:tmpl w:val="4DB47E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AA901FD"/>
    <w:multiLevelType w:val="multilevel"/>
    <w:tmpl w:val="D0469E94"/>
    <w:lvl w:ilvl="0">
      <w:start w:val="1"/>
      <w:numFmt w:val="decimal"/>
      <w:lvlText w:val="%1."/>
      <w:lvlJc w:val="left"/>
      <w:pPr>
        <w:ind w:left="360" w:hanging="360"/>
      </w:pPr>
    </w:lvl>
    <w:lvl w:ilvl="1">
      <w:start w:val="1"/>
      <w:numFmt w:val="decimal"/>
      <w:lvlText w:val="%1.%2."/>
      <w:lvlJc w:val="left"/>
      <w:pPr>
        <w:ind w:left="792" w:hanging="432"/>
      </w:pPr>
      <w:rPr>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6"/>
  </w:num>
  <w:num w:numId="3">
    <w:abstractNumId w:val="5"/>
  </w:num>
  <w:num w:numId="4">
    <w:abstractNumId w:val="0"/>
  </w:num>
  <w:num w:numId="5">
    <w:abstractNumId w:val="2"/>
  </w:num>
  <w:num w:numId="6">
    <w:abstractNumId w:val="7"/>
  </w:num>
  <w:num w:numId="7">
    <w:abstractNumId w:val="1"/>
  </w:num>
  <w:num w:numId="8">
    <w:abstractNumId w:val="3"/>
  </w:num>
  <w:num w:numId="9">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213"/>
    <w:rsid w:val="00001002"/>
    <w:rsid w:val="00007576"/>
    <w:rsid w:val="0000760B"/>
    <w:rsid w:val="00022FE9"/>
    <w:rsid w:val="0004485B"/>
    <w:rsid w:val="00044F0A"/>
    <w:rsid w:val="0005481C"/>
    <w:rsid w:val="00073ACE"/>
    <w:rsid w:val="000966CC"/>
    <w:rsid w:val="000A11BE"/>
    <w:rsid w:val="000A1B86"/>
    <w:rsid w:val="000A2BEA"/>
    <w:rsid w:val="000B40BC"/>
    <w:rsid w:val="000C460C"/>
    <w:rsid w:val="000C619D"/>
    <w:rsid w:val="000C75D8"/>
    <w:rsid w:val="000D755E"/>
    <w:rsid w:val="000E08A0"/>
    <w:rsid w:val="000E20CF"/>
    <w:rsid w:val="000E453D"/>
    <w:rsid w:val="001067C0"/>
    <w:rsid w:val="001218F1"/>
    <w:rsid w:val="00122ED9"/>
    <w:rsid w:val="00136B9F"/>
    <w:rsid w:val="0014101E"/>
    <w:rsid w:val="001474C1"/>
    <w:rsid w:val="00154F9A"/>
    <w:rsid w:val="00173CAA"/>
    <w:rsid w:val="001778E4"/>
    <w:rsid w:val="001977B6"/>
    <w:rsid w:val="001A038B"/>
    <w:rsid w:val="001B3070"/>
    <w:rsid w:val="001C36A9"/>
    <w:rsid w:val="001F1213"/>
    <w:rsid w:val="0020402C"/>
    <w:rsid w:val="00223071"/>
    <w:rsid w:val="00225031"/>
    <w:rsid w:val="00232A04"/>
    <w:rsid w:val="00234C7A"/>
    <w:rsid w:val="00236046"/>
    <w:rsid w:val="00243221"/>
    <w:rsid w:val="00247750"/>
    <w:rsid w:val="00247C52"/>
    <w:rsid w:val="00257DDA"/>
    <w:rsid w:val="00265BB5"/>
    <w:rsid w:val="0027121F"/>
    <w:rsid w:val="002716FB"/>
    <w:rsid w:val="00281380"/>
    <w:rsid w:val="00282D66"/>
    <w:rsid w:val="00283231"/>
    <w:rsid w:val="002967CF"/>
    <w:rsid w:val="002A6E53"/>
    <w:rsid w:val="002B68CC"/>
    <w:rsid w:val="002C0502"/>
    <w:rsid w:val="002C07AA"/>
    <w:rsid w:val="002C37AA"/>
    <w:rsid w:val="002C6378"/>
    <w:rsid w:val="002C63AC"/>
    <w:rsid w:val="002D24D9"/>
    <w:rsid w:val="002D2CD0"/>
    <w:rsid w:val="002E5E5E"/>
    <w:rsid w:val="002F4B71"/>
    <w:rsid w:val="00301CB3"/>
    <w:rsid w:val="00321B2F"/>
    <w:rsid w:val="00323252"/>
    <w:rsid w:val="003233CD"/>
    <w:rsid w:val="00327F8E"/>
    <w:rsid w:val="003410B5"/>
    <w:rsid w:val="003436AB"/>
    <w:rsid w:val="0034429A"/>
    <w:rsid w:val="00374EE2"/>
    <w:rsid w:val="003820B6"/>
    <w:rsid w:val="00383F26"/>
    <w:rsid w:val="00386931"/>
    <w:rsid w:val="003870AA"/>
    <w:rsid w:val="003A3676"/>
    <w:rsid w:val="003A3CB1"/>
    <w:rsid w:val="003B7F20"/>
    <w:rsid w:val="003C07D8"/>
    <w:rsid w:val="003C0902"/>
    <w:rsid w:val="003F67A5"/>
    <w:rsid w:val="00404F6C"/>
    <w:rsid w:val="00412019"/>
    <w:rsid w:val="00417662"/>
    <w:rsid w:val="0042264E"/>
    <w:rsid w:val="0042469D"/>
    <w:rsid w:val="00427A16"/>
    <w:rsid w:val="00431AAA"/>
    <w:rsid w:val="00467886"/>
    <w:rsid w:val="004756FC"/>
    <w:rsid w:val="00476806"/>
    <w:rsid w:val="004838DA"/>
    <w:rsid w:val="00490ECF"/>
    <w:rsid w:val="004A745C"/>
    <w:rsid w:val="004B0F7D"/>
    <w:rsid w:val="004D7D89"/>
    <w:rsid w:val="004E163B"/>
    <w:rsid w:val="004E3DF4"/>
    <w:rsid w:val="0050352C"/>
    <w:rsid w:val="00545110"/>
    <w:rsid w:val="005513C7"/>
    <w:rsid w:val="00555DE7"/>
    <w:rsid w:val="00572E38"/>
    <w:rsid w:val="005A3B91"/>
    <w:rsid w:val="005B2827"/>
    <w:rsid w:val="005C4309"/>
    <w:rsid w:val="005D340A"/>
    <w:rsid w:val="005F561A"/>
    <w:rsid w:val="006026C4"/>
    <w:rsid w:val="00612B07"/>
    <w:rsid w:val="0061546D"/>
    <w:rsid w:val="00622D5B"/>
    <w:rsid w:val="006433B0"/>
    <w:rsid w:val="006670DE"/>
    <w:rsid w:val="00670694"/>
    <w:rsid w:val="006729E8"/>
    <w:rsid w:val="00680605"/>
    <w:rsid w:val="00692CFC"/>
    <w:rsid w:val="00695B16"/>
    <w:rsid w:val="006A1C28"/>
    <w:rsid w:val="006B146E"/>
    <w:rsid w:val="006B1E17"/>
    <w:rsid w:val="006B4890"/>
    <w:rsid w:val="006B5CCE"/>
    <w:rsid w:val="006C3D12"/>
    <w:rsid w:val="006C3DC6"/>
    <w:rsid w:val="006C4082"/>
    <w:rsid w:val="006D07D0"/>
    <w:rsid w:val="006D31F7"/>
    <w:rsid w:val="006D42A0"/>
    <w:rsid w:val="006D519A"/>
    <w:rsid w:val="006D5333"/>
    <w:rsid w:val="006E52CE"/>
    <w:rsid w:val="006F6F0E"/>
    <w:rsid w:val="007047CB"/>
    <w:rsid w:val="00713BAB"/>
    <w:rsid w:val="0072455B"/>
    <w:rsid w:val="007351AD"/>
    <w:rsid w:val="00741D93"/>
    <w:rsid w:val="00745E35"/>
    <w:rsid w:val="00753B2B"/>
    <w:rsid w:val="0078788A"/>
    <w:rsid w:val="007943E1"/>
    <w:rsid w:val="007A17DD"/>
    <w:rsid w:val="007A7547"/>
    <w:rsid w:val="007B7FF9"/>
    <w:rsid w:val="007C0BEF"/>
    <w:rsid w:val="007C3183"/>
    <w:rsid w:val="007E0478"/>
    <w:rsid w:val="007E4FB5"/>
    <w:rsid w:val="008007E1"/>
    <w:rsid w:val="00800C72"/>
    <w:rsid w:val="00804DEF"/>
    <w:rsid w:val="00805FFA"/>
    <w:rsid w:val="00811A25"/>
    <w:rsid w:val="00814083"/>
    <w:rsid w:val="0081703B"/>
    <w:rsid w:val="00817A33"/>
    <w:rsid w:val="00826FF5"/>
    <w:rsid w:val="00830A08"/>
    <w:rsid w:val="00831155"/>
    <w:rsid w:val="0083128D"/>
    <w:rsid w:val="008457CD"/>
    <w:rsid w:val="00846350"/>
    <w:rsid w:val="008572C4"/>
    <w:rsid w:val="00867C6A"/>
    <w:rsid w:val="0088639A"/>
    <w:rsid w:val="00887222"/>
    <w:rsid w:val="0089054F"/>
    <w:rsid w:val="008A66B0"/>
    <w:rsid w:val="008B5628"/>
    <w:rsid w:val="008B6DF2"/>
    <w:rsid w:val="008D5154"/>
    <w:rsid w:val="008E3866"/>
    <w:rsid w:val="008E71CF"/>
    <w:rsid w:val="008F1F97"/>
    <w:rsid w:val="00913751"/>
    <w:rsid w:val="00930BDB"/>
    <w:rsid w:val="00941811"/>
    <w:rsid w:val="00943014"/>
    <w:rsid w:val="009448FD"/>
    <w:rsid w:val="00944A19"/>
    <w:rsid w:val="009465CA"/>
    <w:rsid w:val="00963D81"/>
    <w:rsid w:val="0097414A"/>
    <w:rsid w:val="00985A9E"/>
    <w:rsid w:val="009A7D61"/>
    <w:rsid w:val="009C61D0"/>
    <w:rsid w:val="009C695E"/>
    <w:rsid w:val="009D1B52"/>
    <w:rsid w:val="009D2E4F"/>
    <w:rsid w:val="009E0A22"/>
    <w:rsid w:val="009E586A"/>
    <w:rsid w:val="009F3AEC"/>
    <w:rsid w:val="00A11CA3"/>
    <w:rsid w:val="00A11E73"/>
    <w:rsid w:val="00A21B80"/>
    <w:rsid w:val="00A25747"/>
    <w:rsid w:val="00A30F39"/>
    <w:rsid w:val="00A311B8"/>
    <w:rsid w:val="00A415A9"/>
    <w:rsid w:val="00A52A9F"/>
    <w:rsid w:val="00A64580"/>
    <w:rsid w:val="00A74C31"/>
    <w:rsid w:val="00AA0E0F"/>
    <w:rsid w:val="00AA73FE"/>
    <w:rsid w:val="00AB3395"/>
    <w:rsid w:val="00AB4437"/>
    <w:rsid w:val="00AF5770"/>
    <w:rsid w:val="00B0304A"/>
    <w:rsid w:val="00B11724"/>
    <w:rsid w:val="00B1448C"/>
    <w:rsid w:val="00B23C53"/>
    <w:rsid w:val="00B27203"/>
    <w:rsid w:val="00B27BE9"/>
    <w:rsid w:val="00B31646"/>
    <w:rsid w:val="00B4227E"/>
    <w:rsid w:val="00B46815"/>
    <w:rsid w:val="00B46B57"/>
    <w:rsid w:val="00B630E7"/>
    <w:rsid w:val="00B64248"/>
    <w:rsid w:val="00B7276D"/>
    <w:rsid w:val="00B7447D"/>
    <w:rsid w:val="00B75D4E"/>
    <w:rsid w:val="00B77F88"/>
    <w:rsid w:val="00B86981"/>
    <w:rsid w:val="00B92F25"/>
    <w:rsid w:val="00BA34E4"/>
    <w:rsid w:val="00BB3E70"/>
    <w:rsid w:val="00BC07E1"/>
    <w:rsid w:val="00BC177B"/>
    <w:rsid w:val="00BC238C"/>
    <w:rsid w:val="00BC5E1D"/>
    <w:rsid w:val="00BD66DB"/>
    <w:rsid w:val="00BF107F"/>
    <w:rsid w:val="00C25984"/>
    <w:rsid w:val="00C42FCF"/>
    <w:rsid w:val="00C57356"/>
    <w:rsid w:val="00C77F10"/>
    <w:rsid w:val="00C837BD"/>
    <w:rsid w:val="00C83EC3"/>
    <w:rsid w:val="00C976B1"/>
    <w:rsid w:val="00CA0B56"/>
    <w:rsid w:val="00CA6A5E"/>
    <w:rsid w:val="00CB102D"/>
    <w:rsid w:val="00CC252D"/>
    <w:rsid w:val="00CC4911"/>
    <w:rsid w:val="00CE2111"/>
    <w:rsid w:val="00CF26A8"/>
    <w:rsid w:val="00CF4808"/>
    <w:rsid w:val="00D03380"/>
    <w:rsid w:val="00D16D4A"/>
    <w:rsid w:val="00D3727D"/>
    <w:rsid w:val="00D445F5"/>
    <w:rsid w:val="00D508C6"/>
    <w:rsid w:val="00D57836"/>
    <w:rsid w:val="00D73D1B"/>
    <w:rsid w:val="00D748E6"/>
    <w:rsid w:val="00D75F1E"/>
    <w:rsid w:val="00D81901"/>
    <w:rsid w:val="00D91BC7"/>
    <w:rsid w:val="00D92D48"/>
    <w:rsid w:val="00D95B32"/>
    <w:rsid w:val="00D96AE3"/>
    <w:rsid w:val="00DA5B12"/>
    <w:rsid w:val="00DA68CE"/>
    <w:rsid w:val="00DB0FD8"/>
    <w:rsid w:val="00DB66BB"/>
    <w:rsid w:val="00DE5BAE"/>
    <w:rsid w:val="00DF6FFE"/>
    <w:rsid w:val="00E00D3A"/>
    <w:rsid w:val="00E273EA"/>
    <w:rsid w:val="00E309B3"/>
    <w:rsid w:val="00E4058C"/>
    <w:rsid w:val="00E467EF"/>
    <w:rsid w:val="00E568CC"/>
    <w:rsid w:val="00E670D8"/>
    <w:rsid w:val="00E746C4"/>
    <w:rsid w:val="00E80832"/>
    <w:rsid w:val="00E90675"/>
    <w:rsid w:val="00EA1078"/>
    <w:rsid w:val="00EA7148"/>
    <w:rsid w:val="00EB7666"/>
    <w:rsid w:val="00ED5C00"/>
    <w:rsid w:val="00EE784E"/>
    <w:rsid w:val="00EF610D"/>
    <w:rsid w:val="00F06742"/>
    <w:rsid w:val="00F154CE"/>
    <w:rsid w:val="00F16C1D"/>
    <w:rsid w:val="00F51EB5"/>
    <w:rsid w:val="00F53EAB"/>
    <w:rsid w:val="00F542AA"/>
    <w:rsid w:val="00F55856"/>
    <w:rsid w:val="00F57608"/>
    <w:rsid w:val="00F66B75"/>
    <w:rsid w:val="00F7160C"/>
    <w:rsid w:val="00F80C8D"/>
    <w:rsid w:val="00F8179D"/>
    <w:rsid w:val="00F93592"/>
    <w:rsid w:val="00FA5D8F"/>
    <w:rsid w:val="00FA6045"/>
    <w:rsid w:val="00FA7449"/>
    <w:rsid w:val="00FB35F3"/>
    <w:rsid w:val="00FC7602"/>
    <w:rsid w:val="00FE15A4"/>
    <w:rsid w:val="00FF4B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68F3FA"/>
  <w15:docId w15:val="{8B423B62-1418-4769-AF7E-4670451E0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1213"/>
    <w:pPr>
      <w:spacing w:after="200" w:line="276" w:lineRule="auto"/>
    </w:pPr>
  </w:style>
  <w:style w:type="paragraph" w:styleId="Heading1">
    <w:name w:val="heading 1"/>
    <w:basedOn w:val="ListParagraph"/>
    <w:next w:val="Normal"/>
    <w:link w:val="Heading1Char"/>
    <w:uiPriority w:val="9"/>
    <w:qFormat/>
    <w:rsid w:val="003F67A5"/>
    <w:pPr>
      <w:spacing w:before="240" w:after="240" w:line="480" w:lineRule="auto"/>
      <w:ind w:left="0"/>
      <w:outlineLvl w:val="0"/>
    </w:pPr>
    <w:rPr>
      <w:rFonts w:cstheme="minorHAnsi"/>
      <w:b/>
      <w:sz w:val="24"/>
      <w:szCs w:val="24"/>
      <w:lang w:eastAsia="en-GB"/>
    </w:rPr>
  </w:style>
  <w:style w:type="paragraph" w:styleId="Heading2">
    <w:name w:val="heading 2"/>
    <w:basedOn w:val="Heading1"/>
    <w:next w:val="Normal"/>
    <w:link w:val="Heading2Char"/>
    <w:uiPriority w:val="9"/>
    <w:unhideWhenUsed/>
    <w:qFormat/>
    <w:rsid w:val="001F1213"/>
    <w:pPr>
      <w:numPr>
        <w:ilvl w:val="1"/>
      </w:numPr>
      <w:spacing w:before="480"/>
      <w:ind w:left="431" w:hanging="431"/>
      <w:contextualSpacing w:val="0"/>
      <w:outlineLvl w:val="1"/>
    </w:pPr>
  </w:style>
  <w:style w:type="paragraph" w:styleId="Heading3">
    <w:name w:val="heading 3"/>
    <w:basedOn w:val="ListParagraph"/>
    <w:next w:val="Normal"/>
    <w:link w:val="Heading3Char"/>
    <w:uiPriority w:val="9"/>
    <w:unhideWhenUsed/>
    <w:qFormat/>
    <w:rsid w:val="001F1213"/>
    <w:pPr>
      <w:numPr>
        <w:numId w:val="8"/>
      </w:numPr>
      <w:spacing w:before="360" w:after="360" w:line="480" w:lineRule="auto"/>
      <w:ind w:left="357" w:hanging="357"/>
      <w:contextualSpacing w:val="0"/>
      <w:outlineLvl w:val="2"/>
    </w:pPr>
    <w:rPr>
      <w:rFonts w:ascii="Arial" w:hAnsi="Arial" w:cs="Arial"/>
      <w:i/>
      <w:szCs w:val="20"/>
    </w:rPr>
  </w:style>
  <w:style w:type="paragraph" w:styleId="Heading4">
    <w:name w:val="heading 4"/>
    <w:basedOn w:val="Normal"/>
    <w:next w:val="Normal"/>
    <w:link w:val="Heading4Char"/>
    <w:uiPriority w:val="9"/>
    <w:semiHidden/>
    <w:unhideWhenUsed/>
    <w:qFormat/>
    <w:rsid w:val="001F1213"/>
    <w:pPr>
      <w:keepNext/>
      <w:keepLines/>
      <w:numPr>
        <w:ilvl w:val="3"/>
        <w:numId w:val="2"/>
      </w:numPr>
      <w:spacing w:before="40" w:after="0" w:line="259" w:lineRule="auto"/>
      <w:outlineLvl w:val="3"/>
    </w:pPr>
    <w:rPr>
      <w:rFonts w:ascii="Calibri Light" w:eastAsia="MS Gothic" w:hAnsi="Calibri Light" w:cs="Times New Roman"/>
      <w:i/>
      <w:iCs/>
      <w:color w:val="2E74B5"/>
    </w:rPr>
  </w:style>
  <w:style w:type="paragraph" w:styleId="Heading5">
    <w:name w:val="heading 5"/>
    <w:basedOn w:val="Normal"/>
    <w:next w:val="Normal"/>
    <w:link w:val="Heading5Char"/>
    <w:uiPriority w:val="9"/>
    <w:semiHidden/>
    <w:unhideWhenUsed/>
    <w:qFormat/>
    <w:rsid w:val="001F1213"/>
    <w:pPr>
      <w:keepNext/>
      <w:keepLines/>
      <w:numPr>
        <w:ilvl w:val="4"/>
        <w:numId w:val="2"/>
      </w:numPr>
      <w:spacing w:before="40" w:after="0" w:line="259" w:lineRule="auto"/>
      <w:outlineLvl w:val="4"/>
    </w:pPr>
    <w:rPr>
      <w:rFonts w:ascii="Calibri Light" w:eastAsia="MS Gothic" w:hAnsi="Calibri Light" w:cs="Times New Roman"/>
      <w:color w:val="2E74B5"/>
    </w:rPr>
  </w:style>
  <w:style w:type="paragraph" w:styleId="Heading6">
    <w:name w:val="heading 6"/>
    <w:basedOn w:val="Normal"/>
    <w:next w:val="Normal"/>
    <w:link w:val="Heading6Char"/>
    <w:uiPriority w:val="9"/>
    <w:semiHidden/>
    <w:unhideWhenUsed/>
    <w:qFormat/>
    <w:rsid w:val="001F1213"/>
    <w:pPr>
      <w:keepNext/>
      <w:keepLines/>
      <w:numPr>
        <w:ilvl w:val="5"/>
        <w:numId w:val="2"/>
      </w:numPr>
      <w:spacing w:before="40" w:after="0" w:line="259" w:lineRule="auto"/>
      <w:outlineLvl w:val="5"/>
    </w:pPr>
    <w:rPr>
      <w:rFonts w:ascii="Calibri Light" w:eastAsia="MS Gothic" w:hAnsi="Calibri Light" w:cs="Times New Roman"/>
      <w:color w:val="1F4D78"/>
    </w:rPr>
  </w:style>
  <w:style w:type="paragraph" w:styleId="Heading7">
    <w:name w:val="heading 7"/>
    <w:basedOn w:val="Normal"/>
    <w:next w:val="Normal"/>
    <w:link w:val="Heading7Char"/>
    <w:uiPriority w:val="9"/>
    <w:semiHidden/>
    <w:unhideWhenUsed/>
    <w:qFormat/>
    <w:rsid w:val="001F1213"/>
    <w:pPr>
      <w:keepNext/>
      <w:keepLines/>
      <w:numPr>
        <w:ilvl w:val="6"/>
        <w:numId w:val="2"/>
      </w:numPr>
      <w:spacing w:before="40" w:after="0" w:line="259" w:lineRule="auto"/>
      <w:outlineLvl w:val="6"/>
    </w:pPr>
    <w:rPr>
      <w:rFonts w:ascii="Calibri Light" w:eastAsia="MS Gothic" w:hAnsi="Calibri Light" w:cs="Times New Roman"/>
      <w:i/>
      <w:iCs/>
      <w:color w:val="1F4D78"/>
    </w:rPr>
  </w:style>
  <w:style w:type="paragraph" w:styleId="Heading8">
    <w:name w:val="heading 8"/>
    <w:basedOn w:val="Normal"/>
    <w:next w:val="Normal"/>
    <w:link w:val="Heading8Char"/>
    <w:uiPriority w:val="9"/>
    <w:semiHidden/>
    <w:unhideWhenUsed/>
    <w:qFormat/>
    <w:rsid w:val="001F1213"/>
    <w:pPr>
      <w:keepNext/>
      <w:keepLines/>
      <w:numPr>
        <w:ilvl w:val="7"/>
        <w:numId w:val="2"/>
      </w:numPr>
      <w:spacing w:before="40" w:after="0" w:line="259" w:lineRule="auto"/>
      <w:outlineLvl w:val="7"/>
    </w:pPr>
    <w:rPr>
      <w:rFonts w:ascii="Calibri Light" w:eastAsia="MS Gothic" w:hAnsi="Calibri Light" w:cs="Times New Roman"/>
      <w:color w:val="272727"/>
      <w:sz w:val="21"/>
      <w:szCs w:val="21"/>
    </w:rPr>
  </w:style>
  <w:style w:type="paragraph" w:styleId="Heading9">
    <w:name w:val="heading 9"/>
    <w:basedOn w:val="Normal"/>
    <w:next w:val="Normal"/>
    <w:link w:val="Heading9Char"/>
    <w:uiPriority w:val="9"/>
    <w:semiHidden/>
    <w:unhideWhenUsed/>
    <w:qFormat/>
    <w:rsid w:val="001F1213"/>
    <w:pPr>
      <w:keepNext/>
      <w:keepLines/>
      <w:numPr>
        <w:ilvl w:val="8"/>
        <w:numId w:val="2"/>
      </w:numPr>
      <w:spacing w:before="40" w:after="0" w:line="259" w:lineRule="auto"/>
      <w:outlineLvl w:val="8"/>
    </w:pPr>
    <w:rPr>
      <w:rFonts w:ascii="Calibri Light" w:eastAsia="MS Gothic" w:hAnsi="Calibri Light" w:cs="Times New Roma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67A5"/>
    <w:rPr>
      <w:rFonts w:cstheme="minorHAnsi"/>
      <w:b/>
      <w:sz w:val="24"/>
      <w:szCs w:val="24"/>
      <w:lang w:eastAsia="en-GB"/>
    </w:rPr>
  </w:style>
  <w:style w:type="character" w:customStyle="1" w:styleId="Heading2Char">
    <w:name w:val="Heading 2 Char"/>
    <w:basedOn w:val="DefaultParagraphFont"/>
    <w:link w:val="Heading2"/>
    <w:uiPriority w:val="9"/>
    <w:rsid w:val="001F1213"/>
    <w:rPr>
      <w:rFonts w:ascii="Arial" w:hAnsi="Arial" w:cs="Arial"/>
      <w:b/>
    </w:rPr>
  </w:style>
  <w:style w:type="character" w:customStyle="1" w:styleId="Heading3Char">
    <w:name w:val="Heading 3 Char"/>
    <w:basedOn w:val="DefaultParagraphFont"/>
    <w:link w:val="Heading3"/>
    <w:uiPriority w:val="9"/>
    <w:rsid w:val="001F1213"/>
    <w:rPr>
      <w:rFonts w:ascii="Arial" w:hAnsi="Arial" w:cs="Arial"/>
      <w:i/>
      <w:szCs w:val="20"/>
    </w:rPr>
  </w:style>
  <w:style w:type="character" w:customStyle="1" w:styleId="Heading4Char">
    <w:name w:val="Heading 4 Char"/>
    <w:basedOn w:val="DefaultParagraphFont"/>
    <w:link w:val="Heading4"/>
    <w:uiPriority w:val="9"/>
    <w:semiHidden/>
    <w:rsid w:val="001F1213"/>
    <w:rPr>
      <w:rFonts w:ascii="Calibri Light" w:eastAsia="MS Gothic" w:hAnsi="Calibri Light" w:cs="Times New Roman"/>
      <w:i/>
      <w:iCs/>
      <w:color w:val="2E74B5"/>
    </w:rPr>
  </w:style>
  <w:style w:type="character" w:customStyle="1" w:styleId="Heading5Char">
    <w:name w:val="Heading 5 Char"/>
    <w:basedOn w:val="DefaultParagraphFont"/>
    <w:link w:val="Heading5"/>
    <w:uiPriority w:val="9"/>
    <w:semiHidden/>
    <w:rsid w:val="001F1213"/>
    <w:rPr>
      <w:rFonts w:ascii="Calibri Light" w:eastAsia="MS Gothic" w:hAnsi="Calibri Light" w:cs="Times New Roman"/>
      <w:color w:val="2E74B5"/>
    </w:rPr>
  </w:style>
  <w:style w:type="character" w:customStyle="1" w:styleId="Heading6Char">
    <w:name w:val="Heading 6 Char"/>
    <w:basedOn w:val="DefaultParagraphFont"/>
    <w:link w:val="Heading6"/>
    <w:uiPriority w:val="9"/>
    <w:semiHidden/>
    <w:rsid w:val="001F1213"/>
    <w:rPr>
      <w:rFonts w:ascii="Calibri Light" w:eastAsia="MS Gothic" w:hAnsi="Calibri Light" w:cs="Times New Roman"/>
      <w:color w:val="1F4D78"/>
    </w:rPr>
  </w:style>
  <w:style w:type="character" w:customStyle="1" w:styleId="Heading7Char">
    <w:name w:val="Heading 7 Char"/>
    <w:basedOn w:val="DefaultParagraphFont"/>
    <w:link w:val="Heading7"/>
    <w:uiPriority w:val="9"/>
    <w:semiHidden/>
    <w:rsid w:val="001F1213"/>
    <w:rPr>
      <w:rFonts w:ascii="Calibri Light" w:eastAsia="MS Gothic" w:hAnsi="Calibri Light" w:cs="Times New Roman"/>
      <w:i/>
      <w:iCs/>
      <w:color w:val="1F4D78"/>
    </w:rPr>
  </w:style>
  <w:style w:type="character" w:customStyle="1" w:styleId="Heading8Char">
    <w:name w:val="Heading 8 Char"/>
    <w:basedOn w:val="DefaultParagraphFont"/>
    <w:link w:val="Heading8"/>
    <w:uiPriority w:val="9"/>
    <w:semiHidden/>
    <w:rsid w:val="001F1213"/>
    <w:rPr>
      <w:rFonts w:ascii="Calibri Light" w:eastAsia="MS Gothic" w:hAnsi="Calibri Light" w:cs="Times New Roman"/>
      <w:color w:val="272727"/>
      <w:sz w:val="21"/>
      <w:szCs w:val="21"/>
    </w:rPr>
  </w:style>
  <w:style w:type="character" w:customStyle="1" w:styleId="Heading9Char">
    <w:name w:val="Heading 9 Char"/>
    <w:basedOn w:val="DefaultParagraphFont"/>
    <w:link w:val="Heading9"/>
    <w:uiPriority w:val="9"/>
    <w:semiHidden/>
    <w:rsid w:val="001F1213"/>
    <w:rPr>
      <w:rFonts w:ascii="Calibri Light" w:eastAsia="MS Gothic" w:hAnsi="Calibri Light" w:cs="Times New Roman"/>
      <w:i/>
      <w:iCs/>
      <w:color w:val="272727"/>
      <w:sz w:val="21"/>
      <w:szCs w:val="21"/>
    </w:rPr>
  </w:style>
  <w:style w:type="paragraph" w:styleId="NoSpacing">
    <w:name w:val="No Spacing"/>
    <w:uiPriority w:val="1"/>
    <w:qFormat/>
    <w:rsid w:val="001F1213"/>
    <w:pPr>
      <w:spacing w:after="0" w:line="240" w:lineRule="auto"/>
    </w:pPr>
  </w:style>
  <w:style w:type="paragraph" w:customStyle="1" w:styleId="Default">
    <w:name w:val="Default"/>
    <w:rsid w:val="001F1213"/>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1F1213"/>
    <w:pPr>
      <w:ind w:left="720"/>
      <w:contextualSpacing/>
    </w:pPr>
  </w:style>
  <w:style w:type="numbering" w:customStyle="1" w:styleId="NoList1">
    <w:name w:val="No List1"/>
    <w:next w:val="NoList"/>
    <w:uiPriority w:val="99"/>
    <w:semiHidden/>
    <w:unhideWhenUsed/>
    <w:rsid w:val="001F1213"/>
  </w:style>
  <w:style w:type="paragraph" w:styleId="HTMLPreformatted">
    <w:name w:val="HTML Preformatted"/>
    <w:basedOn w:val="Normal"/>
    <w:link w:val="HTMLPreformattedChar"/>
    <w:uiPriority w:val="99"/>
    <w:semiHidden/>
    <w:unhideWhenUsed/>
    <w:rsid w:val="001F12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1F1213"/>
    <w:rPr>
      <w:rFonts w:ascii="Courier New" w:eastAsia="Times New Roman" w:hAnsi="Courier New" w:cs="Courier New"/>
      <w:sz w:val="20"/>
      <w:szCs w:val="20"/>
      <w:lang w:eastAsia="en-GB"/>
    </w:rPr>
  </w:style>
  <w:style w:type="table" w:customStyle="1" w:styleId="TableGrid1">
    <w:name w:val="Table Grid1"/>
    <w:basedOn w:val="TableNormal"/>
    <w:next w:val="TableGrid"/>
    <w:uiPriority w:val="59"/>
    <w:rsid w:val="001F1213"/>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1F1213"/>
    <w:pPr>
      <w:spacing w:after="0" w:line="240" w:lineRule="auto"/>
    </w:pPr>
    <w:rPr>
      <w:rFonts w:eastAsia="Times New Roman"/>
      <w:color w:val="000000"/>
      <w:lang w:eastAsia="en-GB"/>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Hyperlink1">
    <w:name w:val="Hyperlink1"/>
    <w:basedOn w:val="DefaultParagraphFont"/>
    <w:uiPriority w:val="99"/>
    <w:unhideWhenUsed/>
    <w:rsid w:val="001F1213"/>
    <w:rPr>
      <w:color w:val="0000FF"/>
      <w:u w:val="single"/>
    </w:rPr>
  </w:style>
  <w:style w:type="character" w:customStyle="1" w:styleId="journal">
    <w:name w:val="journal"/>
    <w:basedOn w:val="DefaultParagraphFont"/>
    <w:rsid w:val="001F1213"/>
  </w:style>
  <w:style w:type="paragraph" w:customStyle="1" w:styleId="BalloonText1">
    <w:name w:val="Balloon Text1"/>
    <w:basedOn w:val="Normal"/>
    <w:next w:val="BalloonText"/>
    <w:link w:val="BalloonTextChar"/>
    <w:uiPriority w:val="99"/>
    <w:semiHidden/>
    <w:unhideWhenUsed/>
    <w:rsid w:val="001F12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1F1213"/>
    <w:rPr>
      <w:rFonts w:ascii="Tahoma" w:hAnsi="Tahoma" w:cs="Tahoma"/>
      <w:sz w:val="16"/>
      <w:szCs w:val="16"/>
    </w:rPr>
  </w:style>
  <w:style w:type="character" w:styleId="PlaceholderText">
    <w:name w:val="Placeholder Text"/>
    <w:basedOn w:val="DefaultParagraphFont"/>
    <w:uiPriority w:val="99"/>
    <w:semiHidden/>
    <w:rsid w:val="001F1213"/>
    <w:rPr>
      <w:color w:val="808080"/>
    </w:rPr>
  </w:style>
  <w:style w:type="character" w:styleId="CommentReference">
    <w:name w:val="annotation reference"/>
    <w:basedOn w:val="DefaultParagraphFont"/>
    <w:uiPriority w:val="99"/>
    <w:semiHidden/>
    <w:unhideWhenUsed/>
    <w:rsid w:val="001F1213"/>
    <w:rPr>
      <w:sz w:val="16"/>
      <w:szCs w:val="16"/>
    </w:rPr>
  </w:style>
  <w:style w:type="paragraph" w:customStyle="1" w:styleId="CommentText1">
    <w:name w:val="Comment Text1"/>
    <w:basedOn w:val="Normal"/>
    <w:next w:val="CommentText"/>
    <w:link w:val="CommentTextChar"/>
    <w:uiPriority w:val="99"/>
    <w:semiHidden/>
    <w:unhideWhenUsed/>
    <w:rsid w:val="001F1213"/>
    <w:pPr>
      <w:spacing w:line="240" w:lineRule="auto"/>
    </w:pPr>
    <w:rPr>
      <w:sz w:val="20"/>
      <w:szCs w:val="20"/>
    </w:rPr>
  </w:style>
  <w:style w:type="character" w:customStyle="1" w:styleId="CommentTextChar">
    <w:name w:val="Comment Text Char"/>
    <w:basedOn w:val="DefaultParagraphFont"/>
    <w:link w:val="CommentText1"/>
    <w:uiPriority w:val="99"/>
    <w:semiHidden/>
    <w:rsid w:val="001F1213"/>
    <w:rPr>
      <w:sz w:val="20"/>
      <w:szCs w:val="20"/>
    </w:rPr>
  </w:style>
  <w:style w:type="paragraph" w:customStyle="1" w:styleId="CommentSubject1">
    <w:name w:val="Comment Subject1"/>
    <w:basedOn w:val="CommentText"/>
    <w:next w:val="CommentText"/>
    <w:uiPriority w:val="99"/>
    <w:semiHidden/>
    <w:unhideWhenUsed/>
    <w:rsid w:val="001F1213"/>
    <w:rPr>
      <w:rFonts w:eastAsia="Times New Roman"/>
      <w:b/>
      <w:bCs/>
      <w:lang w:eastAsia="en-GB"/>
    </w:rPr>
  </w:style>
  <w:style w:type="character" w:customStyle="1" w:styleId="CommentSubjectChar">
    <w:name w:val="Comment Subject Char"/>
    <w:basedOn w:val="CommentTextChar"/>
    <w:link w:val="CommentSubject"/>
    <w:uiPriority w:val="99"/>
    <w:semiHidden/>
    <w:rsid w:val="001F1213"/>
    <w:rPr>
      <w:b/>
      <w:bCs/>
      <w:sz w:val="20"/>
      <w:szCs w:val="20"/>
    </w:rPr>
  </w:style>
  <w:style w:type="paragraph" w:customStyle="1" w:styleId="EndNoteBibliographyTitle">
    <w:name w:val="EndNote Bibliography Title"/>
    <w:basedOn w:val="Normal"/>
    <w:link w:val="EndNoteBibliographyTitleChar"/>
    <w:rsid w:val="001F1213"/>
    <w:pPr>
      <w:spacing w:after="0"/>
      <w:jc w:val="center"/>
    </w:pPr>
    <w:rPr>
      <w:rFonts w:ascii="Calibri" w:eastAsia="Times New Roman" w:hAnsi="Calibri" w:cs="Calibri"/>
      <w:noProof/>
      <w:lang w:eastAsia="en-GB"/>
    </w:rPr>
  </w:style>
  <w:style w:type="character" w:customStyle="1" w:styleId="EndNoteBibliographyTitleChar">
    <w:name w:val="EndNote Bibliography Title Char"/>
    <w:basedOn w:val="DefaultParagraphFont"/>
    <w:link w:val="EndNoteBibliographyTitle"/>
    <w:rsid w:val="001F1213"/>
    <w:rPr>
      <w:rFonts w:ascii="Calibri" w:eastAsia="Times New Roman" w:hAnsi="Calibri" w:cs="Calibri"/>
      <w:noProof/>
      <w:lang w:eastAsia="en-GB"/>
    </w:rPr>
  </w:style>
  <w:style w:type="paragraph" w:customStyle="1" w:styleId="EndNoteBibliography">
    <w:name w:val="EndNote Bibliography"/>
    <w:basedOn w:val="Normal"/>
    <w:link w:val="EndNoteBibliographyChar"/>
    <w:rsid w:val="001F1213"/>
    <w:pPr>
      <w:spacing w:line="240" w:lineRule="auto"/>
    </w:pPr>
    <w:rPr>
      <w:rFonts w:ascii="Calibri" w:eastAsia="Times New Roman" w:hAnsi="Calibri" w:cs="Calibri"/>
      <w:noProof/>
      <w:lang w:eastAsia="en-GB"/>
    </w:rPr>
  </w:style>
  <w:style w:type="character" w:customStyle="1" w:styleId="EndNoteBibliographyChar">
    <w:name w:val="EndNote Bibliography Char"/>
    <w:basedOn w:val="DefaultParagraphFont"/>
    <w:link w:val="EndNoteBibliography"/>
    <w:rsid w:val="001F1213"/>
    <w:rPr>
      <w:rFonts w:ascii="Calibri" w:eastAsia="Times New Roman" w:hAnsi="Calibri" w:cs="Calibri"/>
      <w:noProof/>
      <w:lang w:eastAsia="en-GB"/>
    </w:rPr>
  </w:style>
  <w:style w:type="paragraph" w:customStyle="1" w:styleId="Header1">
    <w:name w:val="Header1"/>
    <w:basedOn w:val="Normal"/>
    <w:next w:val="Header"/>
    <w:link w:val="HeaderChar"/>
    <w:uiPriority w:val="99"/>
    <w:unhideWhenUsed/>
    <w:rsid w:val="001F1213"/>
    <w:pPr>
      <w:tabs>
        <w:tab w:val="center" w:pos="4513"/>
        <w:tab w:val="right" w:pos="9026"/>
      </w:tabs>
      <w:spacing w:after="0" w:line="240" w:lineRule="auto"/>
    </w:pPr>
  </w:style>
  <w:style w:type="character" w:customStyle="1" w:styleId="HeaderChar">
    <w:name w:val="Header Char"/>
    <w:basedOn w:val="DefaultParagraphFont"/>
    <w:link w:val="Header1"/>
    <w:uiPriority w:val="99"/>
    <w:rsid w:val="001F1213"/>
  </w:style>
  <w:style w:type="paragraph" w:customStyle="1" w:styleId="Footer1">
    <w:name w:val="Footer1"/>
    <w:basedOn w:val="Normal"/>
    <w:next w:val="Footer"/>
    <w:link w:val="FooterChar"/>
    <w:uiPriority w:val="99"/>
    <w:unhideWhenUsed/>
    <w:rsid w:val="001F1213"/>
    <w:pPr>
      <w:tabs>
        <w:tab w:val="center" w:pos="4513"/>
        <w:tab w:val="right" w:pos="9026"/>
      </w:tabs>
      <w:spacing w:after="0" w:line="240" w:lineRule="auto"/>
    </w:pPr>
  </w:style>
  <w:style w:type="character" w:customStyle="1" w:styleId="FooterChar">
    <w:name w:val="Footer Char"/>
    <w:basedOn w:val="DefaultParagraphFont"/>
    <w:link w:val="Footer1"/>
    <w:uiPriority w:val="99"/>
    <w:rsid w:val="001F1213"/>
  </w:style>
  <w:style w:type="table" w:styleId="TableGrid">
    <w:name w:val="Table Grid"/>
    <w:basedOn w:val="TableNormal"/>
    <w:uiPriority w:val="39"/>
    <w:rsid w:val="001F12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1213"/>
    <w:rPr>
      <w:color w:val="0563C1" w:themeColor="hyperlink"/>
      <w:u w:val="single"/>
    </w:rPr>
  </w:style>
  <w:style w:type="paragraph" w:styleId="BalloonText">
    <w:name w:val="Balloon Text"/>
    <w:basedOn w:val="Normal"/>
    <w:link w:val="BalloonTextChar1"/>
    <w:uiPriority w:val="99"/>
    <w:semiHidden/>
    <w:unhideWhenUsed/>
    <w:rsid w:val="001F1213"/>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1F1213"/>
    <w:rPr>
      <w:rFonts w:ascii="Segoe UI" w:hAnsi="Segoe UI" w:cs="Segoe UI"/>
      <w:sz w:val="18"/>
      <w:szCs w:val="18"/>
    </w:rPr>
  </w:style>
  <w:style w:type="paragraph" w:styleId="CommentText">
    <w:name w:val="annotation text"/>
    <w:basedOn w:val="Normal"/>
    <w:link w:val="CommentTextChar1"/>
    <w:uiPriority w:val="99"/>
    <w:semiHidden/>
    <w:unhideWhenUsed/>
    <w:rsid w:val="001F1213"/>
    <w:pPr>
      <w:spacing w:line="240" w:lineRule="auto"/>
    </w:pPr>
    <w:rPr>
      <w:sz w:val="20"/>
      <w:szCs w:val="20"/>
    </w:rPr>
  </w:style>
  <w:style w:type="character" w:customStyle="1" w:styleId="CommentTextChar1">
    <w:name w:val="Comment Text Char1"/>
    <w:basedOn w:val="DefaultParagraphFont"/>
    <w:link w:val="CommentText"/>
    <w:uiPriority w:val="99"/>
    <w:semiHidden/>
    <w:rsid w:val="001F1213"/>
    <w:rPr>
      <w:sz w:val="20"/>
      <w:szCs w:val="20"/>
    </w:rPr>
  </w:style>
  <w:style w:type="paragraph" w:styleId="CommentSubject">
    <w:name w:val="annotation subject"/>
    <w:basedOn w:val="CommentText"/>
    <w:next w:val="CommentText"/>
    <w:link w:val="CommentSubjectChar"/>
    <w:uiPriority w:val="99"/>
    <w:semiHidden/>
    <w:unhideWhenUsed/>
    <w:rsid w:val="001F1213"/>
    <w:rPr>
      <w:b/>
      <w:bCs/>
    </w:rPr>
  </w:style>
  <w:style w:type="character" w:customStyle="1" w:styleId="CommentSubjectChar1">
    <w:name w:val="Comment Subject Char1"/>
    <w:basedOn w:val="CommentTextChar1"/>
    <w:uiPriority w:val="99"/>
    <w:semiHidden/>
    <w:rsid w:val="001F1213"/>
    <w:rPr>
      <w:b/>
      <w:bCs/>
      <w:sz w:val="20"/>
      <w:szCs w:val="20"/>
    </w:rPr>
  </w:style>
  <w:style w:type="paragraph" w:styleId="Header">
    <w:name w:val="header"/>
    <w:basedOn w:val="Normal"/>
    <w:link w:val="HeaderChar1"/>
    <w:uiPriority w:val="99"/>
    <w:unhideWhenUsed/>
    <w:rsid w:val="001F1213"/>
    <w:pPr>
      <w:tabs>
        <w:tab w:val="center" w:pos="4513"/>
        <w:tab w:val="right" w:pos="9026"/>
      </w:tabs>
      <w:spacing w:after="0" w:line="240" w:lineRule="auto"/>
    </w:pPr>
  </w:style>
  <w:style w:type="character" w:customStyle="1" w:styleId="HeaderChar1">
    <w:name w:val="Header Char1"/>
    <w:basedOn w:val="DefaultParagraphFont"/>
    <w:link w:val="Header"/>
    <w:uiPriority w:val="99"/>
    <w:rsid w:val="001F1213"/>
  </w:style>
  <w:style w:type="paragraph" w:styleId="Footer">
    <w:name w:val="footer"/>
    <w:basedOn w:val="Normal"/>
    <w:link w:val="FooterChar1"/>
    <w:uiPriority w:val="99"/>
    <w:unhideWhenUsed/>
    <w:rsid w:val="001F1213"/>
    <w:pPr>
      <w:tabs>
        <w:tab w:val="center" w:pos="4513"/>
        <w:tab w:val="right" w:pos="9026"/>
      </w:tabs>
      <w:spacing w:after="0" w:line="240" w:lineRule="auto"/>
    </w:pPr>
  </w:style>
  <w:style w:type="character" w:customStyle="1" w:styleId="FooterChar1">
    <w:name w:val="Footer Char1"/>
    <w:basedOn w:val="DefaultParagraphFont"/>
    <w:link w:val="Footer"/>
    <w:uiPriority w:val="99"/>
    <w:rsid w:val="001F1213"/>
  </w:style>
  <w:style w:type="numbering" w:customStyle="1" w:styleId="NoList2">
    <w:name w:val="No List2"/>
    <w:next w:val="NoList"/>
    <w:uiPriority w:val="99"/>
    <w:semiHidden/>
    <w:unhideWhenUsed/>
    <w:rsid w:val="001F1213"/>
  </w:style>
  <w:style w:type="table" w:customStyle="1" w:styleId="TableGrid2">
    <w:name w:val="Table Grid2"/>
    <w:basedOn w:val="TableNormal"/>
    <w:next w:val="TableGrid"/>
    <w:uiPriority w:val="39"/>
    <w:rsid w:val="001F1213"/>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1F1213"/>
    <w:rPr>
      <w:color w:val="954F72"/>
      <w:u w:val="single"/>
    </w:rPr>
  </w:style>
  <w:style w:type="paragraph" w:styleId="NormalWeb">
    <w:name w:val="Normal (Web)"/>
    <w:basedOn w:val="Normal"/>
    <w:uiPriority w:val="99"/>
    <w:unhideWhenUsed/>
    <w:rsid w:val="001F1213"/>
    <w:pPr>
      <w:spacing w:before="100" w:beforeAutospacing="1" w:after="100" w:afterAutospacing="1" w:line="240" w:lineRule="auto"/>
    </w:pPr>
    <w:rPr>
      <w:rFonts w:ascii="Times New Roman" w:eastAsia="MS Mincho" w:hAnsi="Times New Roman" w:cs="Times New Roman"/>
      <w:sz w:val="24"/>
      <w:szCs w:val="24"/>
      <w:lang w:eastAsia="en-GB"/>
    </w:rPr>
  </w:style>
  <w:style w:type="character" w:styleId="Strong">
    <w:name w:val="Strong"/>
    <w:uiPriority w:val="22"/>
    <w:qFormat/>
    <w:rsid w:val="001F1213"/>
    <w:rPr>
      <w:b/>
      <w:bCs/>
    </w:rPr>
  </w:style>
  <w:style w:type="paragraph" w:styleId="Revision">
    <w:name w:val="Revision"/>
    <w:hidden/>
    <w:uiPriority w:val="99"/>
    <w:semiHidden/>
    <w:rsid w:val="001F1213"/>
    <w:pPr>
      <w:spacing w:after="0" w:line="240" w:lineRule="auto"/>
    </w:pPr>
    <w:rPr>
      <w:rFonts w:ascii="Calibri" w:eastAsia="Calibri" w:hAnsi="Calibri" w:cs="Times New Roman"/>
    </w:rPr>
  </w:style>
  <w:style w:type="numbering" w:customStyle="1" w:styleId="NoList3">
    <w:name w:val="No List3"/>
    <w:next w:val="NoList"/>
    <w:uiPriority w:val="99"/>
    <w:semiHidden/>
    <w:unhideWhenUsed/>
    <w:rsid w:val="001F1213"/>
  </w:style>
  <w:style w:type="character" w:styleId="Emphasis">
    <w:name w:val="Emphasis"/>
    <w:basedOn w:val="DefaultParagraphFont"/>
    <w:uiPriority w:val="20"/>
    <w:qFormat/>
    <w:rsid w:val="001F1213"/>
    <w:rPr>
      <w:i/>
      <w:iCs/>
    </w:rPr>
  </w:style>
  <w:style w:type="numbering" w:customStyle="1" w:styleId="NoList4">
    <w:name w:val="No List4"/>
    <w:next w:val="NoList"/>
    <w:uiPriority w:val="99"/>
    <w:semiHidden/>
    <w:unhideWhenUsed/>
    <w:rsid w:val="001F1213"/>
  </w:style>
  <w:style w:type="table" w:customStyle="1" w:styleId="TableGrid3">
    <w:name w:val="Table Grid3"/>
    <w:basedOn w:val="TableNormal"/>
    <w:next w:val="TableGrid"/>
    <w:uiPriority w:val="59"/>
    <w:rsid w:val="001F1213"/>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1F1213"/>
  </w:style>
  <w:style w:type="paragraph" w:customStyle="1" w:styleId="Bulletleft2">
    <w:name w:val="Bullet left 2"/>
    <w:basedOn w:val="Normal"/>
    <w:rsid w:val="001F1213"/>
    <w:pPr>
      <w:numPr>
        <w:ilvl w:val="1"/>
        <w:numId w:val="7"/>
      </w:numPr>
    </w:pPr>
    <w:rPr>
      <w:rFonts w:eastAsiaTheme="minorEastAsia"/>
      <w:lang w:eastAsia="en-GB"/>
    </w:rPr>
  </w:style>
  <w:style w:type="paragraph" w:styleId="TOCHeading">
    <w:name w:val="TOC Heading"/>
    <w:basedOn w:val="Heading1"/>
    <w:next w:val="Normal"/>
    <w:uiPriority w:val="39"/>
    <w:unhideWhenUsed/>
    <w:qFormat/>
    <w:rsid w:val="001F1213"/>
    <w:pPr>
      <w:keepNext/>
      <w:keepLines/>
      <w:spacing w:after="0" w:line="259" w:lineRule="auto"/>
      <w:contextualSpacing w:val="0"/>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1F1213"/>
    <w:pPr>
      <w:tabs>
        <w:tab w:val="left" w:pos="440"/>
        <w:tab w:val="right" w:leader="dot" w:pos="8324"/>
      </w:tabs>
      <w:spacing w:after="100" w:line="281" w:lineRule="auto"/>
    </w:pPr>
  </w:style>
  <w:style w:type="paragraph" w:styleId="TOC2">
    <w:name w:val="toc 2"/>
    <w:basedOn w:val="Normal"/>
    <w:next w:val="Normal"/>
    <w:autoRedefine/>
    <w:uiPriority w:val="39"/>
    <w:unhideWhenUsed/>
    <w:rsid w:val="001F1213"/>
    <w:pPr>
      <w:spacing w:after="100"/>
      <w:ind w:left="220"/>
    </w:pPr>
  </w:style>
  <w:style w:type="table" w:customStyle="1" w:styleId="LightList1">
    <w:name w:val="Light List1"/>
    <w:basedOn w:val="TableNormal"/>
    <w:uiPriority w:val="61"/>
    <w:rsid w:val="001F121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headlinemeta">
    <w:name w:val="headline_meta"/>
    <w:basedOn w:val="Normal"/>
    <w:rsid w:val="001F121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uthor">
    <w:name w:val="author"/>
    <w:basedOn w:val="DefaultParagraphFont"/>
    <w:rsid w:val="001F1213"/>
  </w:style>
  <w:style w:type="character" w:customStyle="1" w:styleId="Title1">
    <w:name w:val="Title1"/>
    <w:basedOn w:val="DefaultParagraphFont"/>
    <w:rsid w:val="001F1213"/>
  </w:style>
  <w:style w:type="paragraph" w:customStyle="1" w:styleId="content2">
    <w:name w:val="content2"/>
    <w:basedOn w:val="Normal"/>
    <w:rsid w:val="001F121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3">
    <w:name w:val="toc 3"/>
    <w:basedOn w:val="Normal"/>
    <w:next w:val="Normal"/>
    <w:autoRedefine/>
    <w:uiPriority w:val="39"/>
    <w:unhideWhenUsed/>
    <w:rsid w:val="001F1213"/>
    <w:pPr>
      <w:spacing w:after="100"/>
      <w:ind w:left="440"/>
    </w:pPr>
  </w:style>
  <w:style w:type="character" w:customStyle="1" w:styleId="UnresolvedMention1">
    <w:name w:val="Unresolved Mention1"/>
    <w:basedOn w:val="DefaultParagraphFont"/>
    <w:uiPriority w:val="99"/>
    <w:semiHidden/>
    <w:unhideWhenUsed/>
    <w:rsid w:val="002C6378"/>
    <w:rPr>
      <w:color w:val="605E5C"/>
      <w:shd w:val="clear" w:color="auto" w:fill="E1DFDD"/>
    </w:rPr>
  </w:style>
  <w:style w:type="character" w:customStyle="1" w:styleId="mixed-citation">
    <w:name w:val="mixed-citation"/>
    <w:basedOn w:val="DefaultParagraphFont"/>
    <w:rsid w:val="006B4890"/>
  </w:style>
  <w:style w:type="paragraph" w:customStyle="1" w:styleId="inlinenormal147">
    <w:name w:val="inlinenormal147"/>
    <w:basedOn w:val="Normal"/>
    <w:rsid w:val="00234C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inlinenormal4">
    <w:name w:val="inlinenormal4"/>
    <w:basedOn w:val="Normal"/>
    <w:rsid w:val="00234C7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B92F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8647709">
      <w:bodyDiv w:val="1"/>
      <w:marLeft w:val="0"/>
      <w:marRight w:val="0"/>
      <w:marTop w:val="0"/>
      <w:marBottom w:val="0"/>
      <w:divBdr>
        <w:top w:val="none" w:sz="0" w:space="0" w:color="auto"/>
        <w:left w:val="none" w:sz="0" w:space="0" w:color="auto"/>
        <w:bottom w:val="none" w:sz="0" w:space="0" w:color="auto"/>
        <w:right w:val="none" w:sz="0" w:space="0" w:color="auto"/>
      </w:divBdr>
      <w:divsChild>
        <w:div w:id="923489271">
          <w:marLeft w:val="0"/>
          <w:marRight w:val="0"/>
          <w:marTop w:val="0"/>
          <w:marBottom w:val="0"/>
          <w:divBdr>
            <w:top w:val="none" w:sz="0" w:space="0" w:color="auto"/>
            <w:left w:val="none" w:sz="0" w:space="0" w:color="auto"/>
            <w:bottom w:val="none" w:sz="0" w:space="0" w:color="auto"/>
            <w:right w:val="none" w:sz="0" w:space="0" w:color="auto"/>
          </w:divBdr>
        </w:div>
        <w:div w:id="1118450827">
          <w:marLeft w:val="0"/>
          <w:marRight w:val="0"/>
          <w:marTop w:val="0"/>
          <w:marBottom w:val="0"/>
          <w:divBdr>
            <w:top w:val="none" w:sz="0" w:space="0" w:color="auto"/>
            <w:left w:val="none" w:sz="0" w:space="0" w:color="auto"/>
            <w:bottom w:val="none" w:sz="0" w:space="0" w:color="auto"/>
            <w:right w:val="none" w:sz="0" w:space="0" w:color="auto"/>
          </w:divBdr>
        </w:div>
        <w:div w:id="1649046923">
          <w:marLeft w:val="0"/>
          <w:marRight w:val="0"/>
          <w:marTop w:val="0"/>
          <w:marBottom w:val="0"/>
          <w:divBdr>
            <w:top w:val="none" w:sz="0" w:space="0" w:color="auto"/>
            <w:left w:val="none" w:sz="0" w:space="0" w:color="auto"/>
            <w:bottom w:val="none" w:sz="0" w:space="0" w:color="auto"/>
            <w:right w:val="none" w:sz="0" w:space="0" w:color="auto"/>
          </w:divBdr>
        </w:div>
        <w:div w:id="197285428">
          <w:marLeft w:val="0"/>
          <w:marRight w:val="0"/>
          <w:marTop w:val="0"/>
          <w:marBottom w:val="0"/>
          <w:divBdr>
            <w:top w:val="none" w:sz="0" w:space="0" w:color="auto"/>
            <w:left w:val="none" w:sz="0" w:space="0" w:color="auto"/>
            <w:bottom w:val="none" w:sz="0" w:space="0" w:color="auto"/>
            <w:right w:val="none" w:sz="0" w:space="0" w:color="auto"/>
          </w:divBdr>
        </w:div>
        <w:div w:id="654525907">
          <w:marLeft w:val="0"/>
          <w:marRight w:val="0"/>
          <w:marTop w:val="0"/>
          <w:marBottom w:val="0"/>
          <w:divBdr>
            <w:top w:val="none" w:sz="0" w:space="0" w:color="auto"/>
            <w:left w:val="none" w:sz="0" w:space="0" w:color="auto"/>
            <w:bottom w:val="none" w:sz="0" w:space="0" w:color="auto"/>
            <w:right w:val="none" w:sz="0" w:space="0" w:color="auto"/>
          </w:divBdr>
        </w:div>
        <w:div w:id="1597446830">
          <w:marLeft w:val="0"/>
          <w:marRight w:val="0"/>
          <w:marTop w:val="0"/>
          <w:marBottom w:val="0"/>
          <w:divBdr>
            <w:top w:val="none" w:sz="0" w:space="0" w:color="auto"/>
            <w:left w:val="none" w:sz="0" w:space="0" w:color="auto"/>
            <w:bottom w:val="none" w:sz="0" w:space="0" w:color="auto"/>
            <w:right w:val="none" w:sz="0" w:space="0" w:color="auto"/>
          </w:divBdr>
        </w:div>
        <w:div w:id="198788594">
          <w:marLeft w:val="0"/>
          <w:marRight w:val="0"/>
          <w:marTop w:val="0"/>
          <w:marBottom w:val="0"/>
          <w:divBdr>
            <w:top w:val="none" w:sz="0" w:space="0" w:color="auto"/>
            <w:left w:val="none" w:sz="0" w:space="0" w:color="auto"/>
            <w:bottom w:val="none" w:sz="0" w:space="0" w:color="auto"/>
            <w:right w:val="none" w:sz="0" w:space="0" w:color="auto"/>
          </w:divBdr>
        </w:div>
        <w:div w:id="73283600">
          <w:marLeft w:val="0"/>
          <w:marRight w:val="0"/>
          <w:marTop w:val="0"/>
          <w:marBottom w:val="0"/>
          <w:divBdr>
            <w:top w:val="none" w:sz="0" w:space="0" w:color="auto"/>
            <w:left w:val="none" w:sz="0" w:space="0" w:color="auto"/>
            <w:bottom w:val="none" w:sz="0" w:space="0" w:color="auto"/>
            <w:right w:val="none" w:sz="0" w:space="0" w:color="auto"/>
          </w:divBdr>
        </w:div>
        <w:div w:id="1661805657">
          <w:marLeft w:val="0"/>
          <w:marRight w:val="0"/>
          <w:marTop w:val="0"/>
          <w:marBottom w:val="0"/>
          <w:divBdr>
            <w:top w:val="none" w:sz="0" w:space="0" w:color="auto"/>
            <w:left w:val="none" w:sz="0" w:space="0" w:color="auto"/>
            <w:bottom w:val="none" w:sz="0" w:space="0" w:color="auto"/>
            <w:right w:val="none" w:sz="0" w:space="0" w:color="auto"/>
          </w:divBdr>
        </w:div>
        <w:div w:id="39792490">
          <w:marLeft w:val="0"/>
          <w:marRight w:val="0"/>
          <w:marTop w:val="0"/>
          <w:marBottom w:val="0"/>
          <w:divBdr>
            <w:top w:val="none" w:sz="0" w:space="0" w:color="auto"/>
            <w:left w:val="none" w:sz="0" w:space="0" w:color="auto"/>
            <w:bottom w:val="none" w:sz="0" w:space="0" w:color="auto"/>
            <w:right w:val="none" w:sz="0" w:space="0" w:color="auto"/>
          </w:divBdr>
        </w:div>
        <w:div w:id="205220686">
          <w:marLeft w:val="0"/>
          <w:marRight w:val="0"/>
          <w:marTop w:val="0"/>
          <w:marBottom w:val="0"/>
          <w:divBdr>
            <w:top w:val="none" w:sz="0" w:space="0" w:color="auto"/>
            <w:left w:val="none" w:sz="0" w:space="0" w:color="auto"/>
            <w:bottom w:val="none" w:sz="0" w:space="0" w:color="auto"/>
            <w:right w:val="none" w:sz="0" w:space="0" w:color="auto"/>
          </w:divBdr>
        </w:div>
        <w:div w:id="990328585">
          <w:marLeft w:val="0"/>
          <w:marRight w:val="0"/>
          <w:marTop w:val="0"/>
          <w:marBottom w:val="0"/>
          <w:divBdr>
            <w:top w:val="none" w:sz="0" w:space="0" w:color="auto"/>
            <w:left w:val="none" w:sz="0" w:space="0" w:color="auto"/>
            <w:bottom w:val="none" w:sz="0" w:space="0" w:color="auto"/>
            <w:right w:val="none" w:sz="0" w:space="0" w:color="auto"/>
          </w:divBdr>
        </w:div>
        <w:div w:id="1811942309">
          <w:marLeft w:val="0"/>
          <w:marRight w:val="0"/>
          <w:marTop w:val="0"/>
          <w:marBottom w:val="0"/>
          <w:divBdr>
            <w:top w:val="none" w:sz="0" w:space="0" w:color="auto"/>
            <w:left w:val="none" w:sz="0" w:space="0" w:color="auto"/>
            <w:bottom w:val="none" w:sz="0" w:space="0" w:color="auto"/>
            <w:right w:val="none" w:sz="0" w:space="0" w:color="auto"/>
          </w:divBdr>
        </w:div>
        <w:div w:id="1388266115">
          <w:marLeft w:val="0"/>
          <w:marRight w:val="0"/>
          <w:marTop w:val="0"/>
          <w:marBottom w:val="0"/>
          <w:divBdr>
            <w:top w:val="none" w:sz="0" w:space="0" w:color="auto"/>
            <w:left w:val="none" w:sz="0" w:space="0" w:color="auto"/>
            <w:bottom w:val="none" w:sz="0" w:space="0" w:color="auto"/>
            <w:right w:val="none" w:sz="0" w:space="0" w:color="auto"/>
          </w:divBdr>
        </w:div>
        <w:div w:id="699555267">
          <w:marLeft w:val="0"/>
          <w:marRight w:val="0"/>
          <w:marTop w:val="0"/>
          <w:marBottom w:val="0"/>
          <w:divBdr>
            <w:top w:val="none" w:sz="0" w:space="0" w:color="auto"/>
            <w:left w:val="none" w:sz="0" w:space="0" w:color="auto"/>
            <w:bottom w:val="none" w:sz="0" w:space="0" w:color="auto"/>
            <w:right w:val="none" w:sz="0" w:space="0" w:color="auto"/>
          </w:divBdr>
        </w:div>
        <w:div w:id="712926792">
          <w:marLeft w:val="0"/>
          <w:marRight w:val="0"/>
          <w:marTop w:val="0"/>
          <w:marBottom w:val="0"/>
          <w:divBdr>
            <w:top w:val="none" w:sz="0" w:space="0" w:color="auto"/>
            <w:left w:val="none" w:sz="0" w:space="0" w:color="auto"/>
            <w:bottom w:val="none" w:sz="0" w:space="0" w:color="auto"/>
            <w:right w:val="none" w:sz="0" w:space="0" w:color="auto"/>
          </w:divBdr>
        </w:div>
        <w:div w:id="217786705">
          <w:marLeft w:val="0"/>
          <w:marRight w:val="0"/>
          <w:marTop w:val="0"/>
          <w:marBottom w:val="0"/>
          <w:divBdr>
            <w:top w:val="none" w:sz="0" w:space="0" w:color="auto"/>
            <w:left w:val="none" w:sz="0" w:space="0" w:color="auto"/>
            <w:bottom w:val="none" w:sz="0" w:space="0" w:color="auto"/>
            <w:right w:val="none" w:sz="0" w:space="0" w:color="auto"/>
          </w:divBdr>
        </w:div>
        <w:div w:id="625620112">
          <w:marLeft w:val="0"/>
          <w:marRight w:val="0"/>
          <w:marTop w:val="0"/>
          <w:marBottom w:val="0"/>
          <w:divBdr>
            <w:top w:val="none" w:sz="0" w:space="0" w:color="auto"/>
            <w:left w:val="none" w:sz="0" w:space="0" w:color="auto"/>
            <w:bottom w:val="none" w:sz="0" w:space="0" w:color="auto"/>
            <w:right w:val="none" w:sz="0" w:space="0" w:color="auto"/>
          </w:divBdr>
        </w:div>
      </w:divsChild>
    </w:div>
    <w:div w:id="463625243">
      <w:bodyDiv w:val="1"/>
      <w:marLeft w:val="0"/>
      <w:marRight w:val="0"/>
      <w:marTop w:val="0"/>
      <w:marBottom w:val="0"/>
      <w:divBdr>
        <w:top w:val="none" w:sz="0" w:space="0" w:color="auto"/>
        <w:left w:val="none" w:sz="0" w:space="0" w:color="auto"/>
        <w:bottom w:val="none" w:sz="0" w:space="0" w:color="auto"/>
        <w:right w:val="none" w:sz="0" w:space="0" w:color="auto"/>
      </w:divBdr>
    </w:div>
    <w:div w:id="528370743">
      <w:bodyDiv w:val="1"/>
      <w:marLeft w:val="0"/>
      <w:marRight w:val="0"/>
      <w:marTop w:val="0"/>
      <w:marBottom w:val="0"/>
      <w:divBdr>
        <w:top w:val="none" w:sz="0" w:space="0" w:color="auto"/>
        <w:left w:val="none" w:sz="0" w:space="0" w:color="auto"/>
        <w:bottom w:val="none" w:sz="0" w:space="0" w:color="auto"/>
        <w:right w:val="none" w:sz="0" w:space="0" w:color="auto"/>
      </w:divBdr>
    </w:div>
    <w:div w:id="769005169">
      <w:bodyDiv w:val="1"/>
      <w:marLeft w:val="0"/>
      <w:marRight w:val="0"/>
      <w:marTop w:val="0"/>
      <w:marBottom w:val="0"/>
      <w:divBdr>
        <w:top w:val="none" w:sz="0" w:space="0" w:color="auto"/>
        <w:left w:val="none" w:sz="0" w:space="0" w:color="auto"/>
        <w:bottom w:val="none" w:sz="0" w:space="0" w:color="auto"/>
        <w:right w:val="none" w:sz="0" w:space="0" w:color="auto"/>
      </w:divBdr>
    </w:div>
    <w:div w:id="991758139">
      <w:bodyDiv w:val="1"/>
      <w:marLeft w:val="0"/>
      <w:marRight w:val="0"/>
      <w:marTop w:val="0"/>
      <w:marBottom w:val="0"/>
      <w:divBdr>
        <w:top w:val="none" w:sz="0" w:space="0" w:color="auto"/>
        <w:left w:val="none" w:sz="0" w:space="0" w:color="auto"/>
        <w:bottom w:val="none" w:sz="0" w:space="0" w:color="auto"/>
        <w:right w:val="none" w:sz="0" w:space="0" w:color="auto"/>
      </w:divBdr>
    </w:div>
    <w:div w:id="1024481624">
      <w:bodyDiv w:val="1"/>
      <w:marLeft w:val="0"/>
      <w:marRight w:val="0"/>
      <w:marTop w:val="0"/>
      <w:marBottom w:val="0"/>
      <w:divBdr>
        <w:top w:val="none" w:sz="0" w:space="0" w:color="auto"/>
        <w:left w:val="none" w:sz="0" w:space="0" w:color="auto"/>
        <w:bottom w:val="none" w:sz="0" w:space="0" w:color="auto"/>
        <w:right w:val="none" w:sz="0" w:space="0" w:color="auto"/>
      </w:divBdr>
    </w:div>
    <w:div w:id="1197542739">
      <w:bodyDiv w:val="1"/>
      <w:marLeft w:val="0"/>
      <w:marRight w:val="0"/>
      <w:marTop w:val="0"/>
      <w:marBottom w:val="0"/>
      <w:divBdr>
        <w:top w:val="none" w:sz="0" w:space="0" w:color="auto"/>
        <w:left w:val="none" w:sz="0" w:space="0" w:color="auto"/>
        <w:bottom w:val="none" w:sz="0" w:space="0" w:color="auto"/>
        <w:right w:val="none" w:sz="0" w:space="0" w:color="auto"/>
      </w:divBdr>
    </w:div>
    <w:div w:id="1528331815">
      <w:bodyDiv w:val="1"/>
      <w:marLeft w:val="0"/>
      <w:marRight w:val="0"/>
      <w:marTop w:val="0"/>
      <w:marBottom w:val="0"/>
      <w:divBdr>
        <w:top w:val="none" w:sz="0" w:space="0" w:color="auto"/>
        <w:left w:val="none" w:sz="0" w:space="0" w:color="auto"/>
        <w:bottom w:val="none" w:sz="0" w:space="0" w:color="auto"/>
        <w:right w:val="none" w:sz="0" w:space="0" w:color="auto"/>
      </w:divBdr>
    </w:div>
    <w:div w:id="2077362622">
      <w:bodyDiv w:val="1"/>
      <w:marLeft w:val="0"/>
      <w:marRight w:val="0"/>
      <w:marTop w:val="0"/>
      <w:marBottom w:val="0"/>
      <w:divBdr>
        <w:top w:val="none" w:sz="0" w:space="0" w:color="auto"/>
        <w:left w:val="none" w:sz="0" w:space="0" w:color="auto"/>
        <w:bottom w:val="none" w:sz="0" w:space="0" w:color="auto"/>
        <w:right w:val="none" w:sz="0" w:space="0" w:color="auto"/>
      </w:divBdr>
    </w:div>
    <w:div w:id="2115711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7/tp.0000000000002910"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icedsu.org.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process/pmg9/chapter/the-reference-case"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www.odt.nhs.uk/pdf/kidney_allocation_policy.pdf" TargetMode="External"/><Relationship Id="rId4" Type="http://schemas.openxmlformats.org/officeDocument/2006/relationships/settings" Target="settings.xml"/><Relationship Id="rId9" Type="http://schemas.openxmlformats.org/officeDocument/2006/relationships/hyperlink" Target="https://doi.org/10.1097/tp.0000000000002910"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479DEE-E7F9-48F3-B890-E82FA4636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6395</Words>
  <Characters>36452</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London School of Hygiene &amp; Tropical Medicine</Company>
  <LinksUpToDate>false</LinksUpToDate>
  <CharactersWithSpaces>42762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Bernadette Li</dc:creator>
  <cp:lastModifiedBy>Bernadette Li</cp:lastModifiedBy>
  <cp:revision>3</cp:revision>
  <cp:lastPrinted>2019-09-16T23:40:00Z</cp:lastPrinted>
  <dcterms:created xsi:type="dcterms:W3CDTF">2019-09-16T23:38:00Z</dcterms:created>
  <dcterms:modified xsi:type="dcterms:W3CDTF">2019-09-16T23:40:00Z</dcterms:modified>
</cp:coreProperties>
</file>