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5D7E89" w14:textId="77777777" w:rsidR="00EE23EA" w:rsidRPr="00C21584" w:rsidRDefault="00EE23EA" w:rsidP="00EE23EA">
      <w:pPr>
        <w:spacing w:line="480" w:lineRule="auto"/>
        <w:jc w:val="both"/>
        <w:outlineLvl w:val="0"/>
        <w:rPr>
          <w:b/>
          <w:sz w:val="24"/>
          <w:szCs w:val="24"/>
          <w:lang w:val="en-US"/>
        </w:rPr>
      </w:pPr>
      <w:bookmarkStart w:id="0" w:name="_GoBack"/>
      <w:bookmarkEnd w:id="0"/>
      <w:r w:rsidRPr="00C21584">
        <w:rPr>
          <w:b/>
          <w:sz w:val="24"/>
          <w:szCs w:val="24"/>
          <w:lang w:val="en-US"/>
        </w:rPr>
        <w:t>Title page</w:t>
      </w:r>
    </w:p>
    <w:p w14:paraId="38CC44AE" w14:textId="77777777" w:rsidR="00EE23EA" w:rsidRPr="00D92729" w:rsidRDefault="00EE23EA" w:rsidP="00EE23EA">
      <w:pPr>
        <w:spacing w:line="480" w:lineRule="auto"/>
        <w:jc w:val="both"/>
        <w:outlineLvl w:val="0"/>
        <w:rPr>
          <w:sz w:val="24"/>
          <w:szCs w:val="24"/>
          <w:lang w:val="en-US"/>
        </w:rPr>
      </w:pPr>
      <w:r w:rsidRPr="00D92729">
        <w:rPr>
          <w:sz w:val="24"/>
          <w:szCs w:val="24"/>
          <w:lang w:val="en-US"/>
        </w:rPr>
        <w:t xml:space="preserve">Title: </w:t>
      </w:r>
      <w:r>
        <w:rPr>
          <w:sz w:val="24"/>
          <w:szCs w:val="24"/>
          <w:lang w:val="en-US"/>
        </w:rPr>
        <w:t>The association between f</w:t>
      </w:r>
      <w:r w:rsidRPr="00D92729">
        <w:rPr>
          <w:sz w:val="24"/>
          <w:szCs w:val="24"/>
          <w:lang w:val="en-US"/>
        </w:rPr>
        <w:t xml:space="preserve">irst trimester AFP to PAPP-A ratio </w:t>
      </w:r>
      <w:r>
        <w:rPr>
          <w:sz w:val="24"/>
          <w:szCs w:val="24"/>
          <w:lang w:val="en-US"/>
        </w:rPr>
        <w:t xml:space="preserve">and placentally-related adverse pregnancy outcome </w:t>
      </w:r>
    </w:p>
    <w:p w14:paraId="0F73AB2B" w14:textId="77777777" w:rsidR="00EE23EA" w:rsidRPr="00D92729" w:rsidRDefault="00EE23EA" w:rsidP="00EE23EA">
      <w:pPr>
        <w:spacing w:line="480" w:lineRule="auto"/>
        <w:jc w:val="both"/>
        <w:rPr>
          <w:sz w:val="24"/>
          <w:szCs w:val="24"/>
          <w:lang w:val="en-US"/>
        </w:rPr>
      </w:pPr>
      <w:r w:rsidRPr="00D92729">
        <w:rPr>
          <w:sz w:val="24"/>
          <w:szCs w:val="24"/>
          <w:lang w:val="en-US"/>
        </w:rPr>
        <w:t>Authors: Alice E HUGHES</w:t>
      </w:r>
      <w:r w:rsidRPr="00D92729">
        <w:rPr>
          <w:sz w:val="24"/>
          <w:szCs w:val="24"/>
          <w:vertAlign w:val="superscript"/>
          <w:lang w:val="en-US"/>
        </w:rPr>
        <w:t>a*</w:t>
      </w:r>
      <w:r w:rsidRPr="00D92729">
        <w:rPr>
          <w:sz w:val="24"/>
          <w:szCs w:val="24"/>
          <w:lang w:val="en-US"/>
        </w:rPr>
        <w:t>; Ulla SOVIO</w:t>
      </w:r>
      <w:r w:rsidRPr="00D92729">
        <w:rPr>
          <w:sz w:val="24"/>
          <w:szCs w:val="24"/>
          <w:vertAlign w:val="superscript"/>
          <w:lang w:val="en-US"/>
        </w:rPr>
        <w:t>a,b*</w:t>
      </w:r>
      <w:r w:rsidRPr="00D92729">
        <w:rPr>
          <w:sz w:val="24"/>
          <w:szCs w:val="24"/>
          <w:lang w:val="en-US"/>
        </w:rPr>
        <w:t>; Francesca GACCIOLI</w:t>
      </w:r>
      <w:r w:rsidRPr="00D92729">
        <w:rPr>
          <w:sz w:val="24"/>
          <w:szCs w:val="24"/>
          <w:vertAlign w:val="superscript"/>
          <w:lang w:val="en-US"/>
        </w:rPr>
        <w:t>a,b*</w:t>
      </w:r>
      <w:r w:rsidRPr="00D92729">
        <w:rPr>
          <w:sz w:val="24"/>
          <w:szCs w:val="24"/>
          <w:lang w:val="en-US"/>
        </w:rPr>
        <w:t>; Emma COOK</w:t>
      </w:r>
      <w:r w:rsidRPr="00D92729">
        <w:rPr>
          <w:sz w:val="24"/>
          <w:szCs w:val="24"/>
          <w:vertAlign w:val="superscript"/>
          <w:lang w:val="en-US"/>
        </w:rPr>
        <w:t>a</w:t>
      </w:r>
      <w:r w:rsidRPr="00D92729">
        <w:rPr>
          <w:sz w:val="24"/>
          <w:szCs w:val="24"/>
          <w:lang w:val="en-US"/>
        </w:rPr>
        <w:t>; D Stephen CHARNOCK-JONES</w:t>
      </w:r>
      <w:r w:rsidRPr="00D92729">
        <w:rPr>
          <w:sz w:val="24"/>
          <w:szCs w:val="24"/>
          <w:vertAlign w:val="superscript"/>
          <w:lang w:val="en-US"/>
        </w:rPr>
        <w:t>a,b</w:t>
      </w:r>
      <w:r w:rsidRPr="00D92729">
        <w:rPr>
          <w:sz w:val="24"/>
          <w:szCs w:val="24"/>
          <w:lang w:val="en-US"/>
        </w:rPr>
        <w:t>; Gordon C S SMITH</w:t>
      </w:r>
      <w:r w:rsidRPr="00D92729">
        <w:rPr>
          <w:sz w:val="24"/>
          <w:szCs w:val="24"/>
          <w:vertAlign w:val="superscript"/>
          <w:lang w:val="en-US"/>
        </w:rPr>
        <w:t>a,b</w:t>
      </w:r>
      <w:r>
        <w:rPr>
          <w:sz w:val="24"/>
          <w:szCs w:val="24"/>
          <w:vertAlign w:val="superscript"/>
          <w:lang w:val="en-US"/>
        </w:rPr>
        <w:t>,</w:t>
      </w:r>
      <w:r>
        <w:rPr>
          <w:rFonts w:ascii="Calibri" w:hAnsi="Calibri"/>
          <w:sz w:val="24"/>
          <w:szCs w:val="24"/>
          <w:vertAlign w:val="superscript"/>
          <w:lang w:val="en-US"/>
        </w:rPr>
        <w:t>§</w:t>
      </w:r>
    </w:p>
    <w:p w14:paraId="637A4FEF" w14:textId="77777777" w:rsidR="00EE23EA" w:rsidRPr="00D92729" w:rsidRDefault="00EE23EA" w:rsidP="00EE23EA">
      <w:pPr>
        <w:spacing w:line="480" w:lineRule="auto"/>
        <w:jc w:val="both"/>
        <w:rPr>
          <w:sz w:val="24"/>
          <w:szCs w:val="24"/>
          <w:lang w:val="en-US"/>
        </w:rPr>
      </w:pPr>
      <w:r w:rsidRPr="00D92729">
        <w:rPr>
          <w:sz w:val="24"/>
          <w:szCs w:val="24"/>
          <w:lang w:val="en-US"/>
        </w:rPr>
        <w:t xml:space="preserve">Affiliations: </w:t>
      </w:r>
    </w:p>
    <w:p w14:paraId="66597052" w14:textId="77777777" w:rsidR="00EE23EA" w:rsidRPr="00D92729" w:rsidRDefault="00EE23EA" w:rsidP="00EE23EA">
      <w:pPr>
        <w:pStyle w:val="NoSpacing"/>
        <w:spacing w:after="160" w:line="480" w:lineRule="auto"/>
        <w:jc w:val="both"/>
        <w:rPr>
          <w:rFonts w:cs="Arial"/>
          <w:sz w:val="24"/>
          <w:szCs w:val="24"/>
          <w:lang w:val="en-US"/>
        </w:rPr>
      </w:pPr>
      <w:r w:rsidRPr="00D92729">
        <w:rPr>
          <w:rFonts w:cs="Arial"/>
          <w:sz w:val="24"/>
          <w:szCs w:val="24"/>
          <w:vertAlign w:val="superscript"/>
          <w:lang w:val="en-US"/>
        </w:rPr>
        <w:t>a</w:t>
      </w:r>
      <w:r w:rsidRPr="00D92729">
        <w:rPr>
          <w:rFonts w:cs="Arial"/>
          <w:sz w:val="24"/>
          <w:szCs w:val="24"/>
          <w:lang w:val="en-US"/>
        </w:rPr>
        <w:t>Department of Obstetrics and Gynaecology, University of Cambridge; NIHR Cambridge Comprehensive Biomedical Research Centre, Cambridge, United Kingdom</w:t>
      </w:r>
    </w:p>
    <w:p w14:paraId="1036D43B" w14:textId="77777777" w:rsidR="00EE23EA" w:rsidRPr="00D92729" w:rsidRDefault="00EE23EA" w:rsidP="00EE23EA">
      <w:pPr>
        <w:pStyle w:val="NoSpacing"/>
        <w:spacing w:after="160" w:line="480" w:lineRule="auto"/>
        <w:jc w:val="both"/>
        <w:rPr>
          <w:rFonts w:cs="Arial"/>
          <w:sz w:val="24"/>
          <w:szCs w:val="24"/>
          <w:lang w:val="en-US"/>
        </w:rPr>
      </w:pPr>
      <w:r w:rsidRPr="00D92729">
        <w:rPr>
          <w:rFonts w:cs="Arial"/>
          <w:sz w:val="24"/>
          <w:szCs w:val="24"/>
          <w:vertAlign w:val="superscript"/>
          <w:lang w:val="en-US"/>
        </w:rPr>
        <w:t>b</w:t>
      </w:r>
      <w:r w:rsidRPr="00D92729">
        <w:rPr>
          <w:rFonts w:cs="Arial"/>
          <w:sz w:val="24"/>
          <w:szCs w:val="24"/>
          <w:lang w:val="en-US"/>
        </w:rPr>
        <w:t>Centre for Trophoblast Research (CTR), Department of Physiology, Development and Neuroscience, University of Cambridge, Cambridge, United Kingdom</w:t>
      </w:r>
    </w:p>
    <w:p w14:paraId="22789821" w14:textId="77777777" w:rsidR="00EE23EA" w:rsidRDefault="00EE23EA" w:rsidP="00EE23EA">
      <w:pPr>
        <w:pStyle w:val="NoSpacing"/>
        <w:spacing w:after="160" w:line="480" w:lineRule="auto"/>
        <w:jc w:val="both"/>
        <w:rPr>
          <w:rFonts w:cs="Arial"/>
          <w:sz w:val="24"/>
          <w:szCs w:val="24"/>
          <w:lang w:val="en-US"/>
        </w:rPr>
      </w:pPr>
      <w:r w:rsidRPr="00D92729">
        <w:rPr>
          <w:rFonts w:cs="Arial"/>
          <w:sz w:val="24"/>
          <w:szCs w:val="24"/>
          <w:lang w:val="en-US"/>
        </w:rPr>
        <w:t>*These authors are joint first co-authors</w:t>
      </w:r>
    </w:p>
    <w:p w14:paraId="0770E26A" w14:textId="77777777" w:rsidR="00EE23EA" w:rsidRPr="00D92729" w:rsidRDefault="00EE23EA" w:rsidP="00EE23EA">
      <w:pPr>
        <w:rPr>
          <w:sz w:val="24"/>
          <w:szCs w:val="24"/>
          <w:lang w:val="en-US"/>
        </w:rPr>
      </w:pPr>
      <w:r>
        <w:rPr>
          <w:rFonts w:ascii="Calibri" w:hAnsi="Calibri"/>
          <w:sz w:val="24"/>
          <w:szCs w:val="24"/>
          <w:vertAlign w:val="superscript"/>
          <w:lang w:val="en-US"/>
        </w:rPr>
        <w:t>§</w:t>
      </w:r>
      <w:r w:rsidRPr="00D92729">
        <w:rPr>
          <w:sz w:val="24"/>
          <w:szCs w:val="24"/>
          <w:lang w:val="en-US"/>
        </w:rPr>
        <w:t>Corresponding author: Professor Gordon C S Smith, MD PhD</w:t>
      </w:r>
      <w:r>
        <w:rPr>
          <w:sz w:val="24"/>
          <w:szCs w:val="24"/>
          <w:lang w:val="en-US"/>
        </w:rPr>
        <w:t xml:space="preserve"> DSc</w:t>
      </w:r>
      <w:r w:rsidRPr="00D92729">
        <w:rPr>
          <w:sz w:val="24"/>
          <w:szCs w:val="24"/>
          <w:lang w:val="en-US"/>
        </w:rPr>
        <w:br/>
      </w:r>
    </w:p>
    <w:p w14:paraId="10AAA75F" w14:textId="77777777" w:rsidR="00EE23EA" w:rsidRDefault="00EE23EA" w:rsidP="00EE23EA">
      <w:pPr>
        <w:spacing w:line="480" w:lineRule="auto"/>
        <w:jc w:val="both"/>
        <w:rPr>
          <w:rStyle w:val="Hyperlink"/>
          <w:sz w:val="24"/>
          <w:szCs w:val="24"/>
          <w:lang w:val="en-US"/>
        </w:rPr>
      </w:pPr>
      <w:r w:rsidRPr="00D92729">
        <w:rPr>
          <w:rFonts w:cs="Arial"/>
          <w:sz w:val="24"/>
          <w:szCs w:val="24"/>
          <w:lang w:val="en-US"/>
        </w:rPr>
        <w:t xml:space="preserve">Department of Obstetrics and Gynaecology, University of Cambridge, Box 223 The Rosie Hospital, Cambridge, CB2 0SW, United Kingdom. </w:t>
      </w:r>
      <w:r>
        <w:rPr>
          <w:rFonts w:cs="Arial"/>
          <w:sz w:val="24"/>
          <w:szCs w:val="24"/>
          <w:lang w:val="en-US"/>
        </w:rPr>
        <w:t xml:space="preserve">Telephone number: </w:t>
      </w:r>
      <w:r w:rsidRPr="00D92729">
        <w:rPr>
          <w:rFonts w:cs="Arial"/>
          <w:sz w:val="24"/>
          <w:szCs w:val="24"/>
        </w:rPr>
        <w:t>+44 (0)1223 336871</w:t>
      </w:r>
      <w:r>
        <w:rPr>
          <w:rFonts w:cs="Arial"/>
          <w:sz w:val="24"/>
          <w:szCs w:val="24"/>
        </w:rPr>
        <w:t xml:space="preserve">. </w:t>
      </w:r>
      <w:r w:rsidRPr="00D92729">
        <w:rPr>
          <w:lang w:val="en-US"/>
        </w:rPr>
        <w:t xml:space="preserve">E-mail: </w:t>
      </w:r>
      <w:hyperlink r:id="rId7" w:history="1">
        <w:r w:rsidRPr="00D92729">
          <w:rPr>
            <w:rStyle w:val="Hyperlink"/>
            <w:sz w:val="24"/>
            <w:szCs w:val="24"/>
            <w:lang w:val="en-US"/>
          </w:rPr>
          <w:t>gcss2@cam.ac.uk</w:t>
        </w:r>
      </w:hyperlink>
    </w:p>
    <w:p w14:paraId="7DE39716" w14:textId="77777777" w:rsidR="00EE23EA" w:rsidRPr="00DA7AA3" w:rsidRDefault="00EE23EA" w:rsidP="00EE23EA">
      <w:pPr>
        <w:spacing w:line="480" w:lineRule="auto"/>
        <w:jc w:val="both"/>
        <w:outlineLvl w:val="0"/>
        <w:rPr>
          <w:sz w:val="24"/>
          <w:szCs w:val="24"/>
          <w:lang w:val="en-US"/>
        </w:rPr>
      </w:pPr>
      <w:r w:rsidRPr="00DA7AA3">
        <w:rPr>
          <w:sz w:val="24"/>
          <w:szCs w:val="24"/>
          <w:lang w:val="en-US"/>
        </w:rPr>
        <w:t xml:space="preserve">E-mail addresses of all authors: </w:t>
      </w:r>
      <w:hyperlink r:id="rId8" w:history="1">
        <w:r w:rsidRPr="00DA7AA3">
          <w:rPr>
            <w:rStyle w:val="Hyperlink"/>
            <w:sz w:val="24"/>
            <w:szCs w:val="24"/>
            <w:lang w:val="en-US"/>
          </w:rPr>
          <w:t>aeh95@medschl.cam.ac.uk</w:t>
        </w:r>
      </w:hyperlink>
      <w:r w:rsidRPr="00DA7AA3">
        <w:rPr>
          <w:sz w:val="24"/>
          <w:szCs w:val="24"/>
          <w:lang w:val="en-US"/>
        </w:rPr>
        <w:t xml:space="preserve"> (AEH); </w:t>
      </w:r>
      <w:hyperlink r:id="rId9" w:history="1">
        <w:r w:rsidRPr="00DA7AA3">
          <w:rPr>
            <w:rStyle w:val="Hyperlink"/>
            <w:sz w:val="24"/>
            <w:szCs w:val="24"/>
            <w:lang w:val="en-US"/>
          </w:rPr>
          <w:t>us253@medschl.cam.ac.uk</w:t>
        </w:r>
      </w:hyperlink>
      <w:r w:rsidRPr="00DA7AA3">
        <w:rPr>
          <w:sz w:val="24"/>
          <w:szCs w:val="24"/>
          <w:lang w:val="en-US"/>
        </w:rPr>
        <w:t xml:space="preserve"> (US);</w:t>
      </w:r>
      <w:r>
        <w:rPr>
          <w:sz w:val="24"/>
          <w:szCs w:val="24"/>
          <w:lang w:val="en-US"/>
        </w:rPr>
        <w:t xml:space="preserve"> </w:t>
      </w:r>
      <w:hyperlink r:id="rId10" w:history="1">
        <w:r w:rsidRPr="0001286B">
          <w:rPr>
            <w:rStyle w:val="Hyperlink"/>
            <w:sz w:val="24"/>
            <w:szCs w:val="24"/>
            <w:lang w:val="en-US"/>
          </w:rPr>
          <w:t>fg327@medschl.cam.ac.uk</w:t>
        </w:r>
      </w:hyperlink>
      <w:r w:rsidRPr="00DA7AA3">
        <w:rPr>
          <w:sz w:val="24"/>
          <w:szCs w:val="24"/>
          <w:lang w:val="en-US"/>
        </w:rPr>
        <w:t xml:space="preserve"> (FG); </w:t>
      </w:r>
      <w:hyperlink r:id="rId11" w:history="1">
        <w:r w:rsidRPr="00DA7AA3">
          <w:rPr>
            <w:rStyle w:val="Hyperlink"/>
            <w:sz w:val="24"/>
            <w:szCs w:val="24"/>
            <w:lang w:val="en-US"/>
          </w:rPr>
          <w:t>ec318@medschl.cam.ac.uk</w:t>
        </w:r>
      </w:hyperlink>
      <w:r w:rsidRPr="00DA7AA3">
        <w:rPr>
          <w:sz w:val="24"/>
          <w:szCs w:val="24"/>
          <w:lang w:val="en-US"/>
        </w:rPr>
        <w:t xml:space="preserve"> (EC); </w:t>
      </w:r>
      <w:hyperlink r:id="rId12" w:history="1">
        <w:r w:rsidRPr="00DA7AA3">
          <w:rPr>
            <w:rStyle w:val="Hyperlink"/>
            <w:sz w:val="24"/>
            <w:szCs w:val="24"/>
            <w:lang w:val="en-US"/>
          </w:rPr>
          <w:t>dscj1@cam.ac.uk</w:t>
        </w:r>
      </w:hyperlink>
      <w:r w:rsidRPr="00DA7AA3">
        <w:rPr>
          <w:sz w:val="24"/>
          <w:szCs w:val="24"/>
          <w:lang w:val="en-US"/>
        </w:rPr>
        <w:t xml:space="preserve"> (DSC-J)</w:t>
      </w:r>
    </w:p>
    <w:p w14:paraId="1F28344F" w14:textId="77777777" w:rsidR="00EE23EA" w:rsidRPr="00D92729" w:rsidRDefault="00EE23EA" w:rsidP="00EE23EA">
      <w:pPr>
        <w:spacing w:line="480" w:lineRule="auto"/>
        <w:jc w:val="both"/>
        <w:outlineLvl w:val="0"/>
        <w:rPr>
          <w:sz w:val="24"/>
          <w:szCs w:val="24"/>
          <w:lang w:val="en-US"/>
        </w:rPr>
      </w:pPr>
      <w:r w:rsidRPr="00D92729">
        <w:rPr>
          <w:sz w:val="24"/>
          <w:szCs w:val="24"/>
          <w:lang w:val="en-US"/>
        </w:rPr>
        <w:t xml:space="preserve">Total number of tables: </w:t>
      </w:r>
      <w:r>
        <w:rPr>
          <w:sz w:val="24"/>
          <w:szCs w:val="24"/>
          <w:lang w:val="en-US"/>
        </w:rPr>
        <w:t>Nine</w:t>
      </w:r>
      <w:r w:rsidRPr="00D92729">
        <w:rPr>
          <w:sz w:val="24"/>
          <w:szCs w:val="24"/>
          <w:lang w:val="en-US"/>
        </w:rPr>
        <w:t xml:space="preserve"> (</w:t>
      </w:r>
      <w:r>
        <w:rPr>
          <w:sz w:val="24"/>
          <w:szCs w:val="24"/>
          <w:lang w:val="en-US"/>
        </w:rPr>
        <w:t>four</w:t>
      </w:r>
      <w:r w:rsidRPr="00D92729">
        <w:rPr>
          <w:sz w:val="24"/>
          <w:szCs w:val="24"/>
          <w:lang w:val="en-US"/>
        </w:rPr>
        <w:t xml:space="preserve"> in main manuscript and five in supplemental material)</w:t>
      </w:r>
    </w:p>
    <w:p w14:paraId="646B845A" w14:textId="77777777" w:rsidR="00EE23EA" w:rsidRPr="00D92729" w:rsidRDefault="00EE23EA" w:rsidP="00EE23EA">
      <w:pPr>
        <w:spacing w:line="480" w:lineRule="auto"/>
        <w:jc w:val="both"/>
        <w:rPr>
          <w:sz w:val="24"/>
          <w:szCs w:val="24"/>
          <w:lang w:val="en-US"/>
        </w:rPr>
      </w:pPr>
      <w:r w:rsidRPr="00D92729">
        <w:rPr>
          <w:sz w:val="24"/>
          <w:szCs w:val="24"/>
          <w:lang w:val="en-US"/>
        </w:rPr>
        <w:t>Total number of figures: 1</w:t>
      </w:r>
    </w:p>
    <w:p w14:paraId="0BC15FBE" w14:textId="77777777" w:rsidR="00EE23EA" w:rsidRPr="00D92729" w:rsidRDefault="00EE23EA" w:rsidP="00EE23EA">
      <w:pPr>
        <w:spacing w:line="480" w:lineRule="auto"/>
        <w:jc w:val="both"/>
        <w:rPr>
          <w:sz w:val="24"/>
          <w:szCs w:val="24"/>
          <w:lang w:val="en-US"/>
        </w:rPr>
      </w:pPr>
      <w:r w:rsidRPr="00D92729">
        <w:rPr>
          <w:sz w:val="24"/>
          <w:szCs w:val="24"/>
          <w:lang w:val="en-US"/>
        </w:rPr>
        <w:lastRenderedPageBreak/>
        <w:t xml:space="preserve">Abstract word count: </w:t>
      </w:r>
      <w:r>
        <w:rPr>
          <w:sz w:val="24"/>
          <w:szCs w:val="24"/>
          <w:lang w:val="en-US"/>
        </w:rPr>
        <w:t>239</w:t>
      </w:r>
    </w:p>
    <w:p w14:paraId="1482B6D8" w14:textId="77777777" w:rsidR="00EE23EA" w:rsidRDefault="00EE23EA" w:rsidP="00EE23EA">
      <w:pPr>
        <w:spacing w:line="480" w:lineRule="auto"/>
        <w:rPr>
          <w:sz w:val="24"/>
          <w:szCs w:val="24"/>
          <w:lang w:val="en-US"/>
        </w:rPr>
      </w:pPr>
      <w:r w:rsidRPr="00D92729">
        <w:rPr>
          <w:sz w:val="24"/>
          <w:szCs w:val="24"/>
          <w:lang w:val="en-US"/>
        </w:rPr>
        <w:t>Total word count (excluding title page, abstract, acknowledgements, references, tables, figure legends and supplemental material): 2</w:t>
      </w:r>
      <w:r>
        <w:rPr>
          <w:sz w:val="24"/>
          <w:szCs w:val="24"/>
          <w:lang w:val="en-US"/>
        </w:rPr>
        <w:t>969</w:t>
      </w:r>
      <w:r>
        <w:rPr>
          <w:sz w:val="24"/>
          <w:szCs w:val="24"/>
          <w:lang w:val="en-US"/>
        </w:rPr>
        <w:br w:type="page"/>
      </w:r>
    </w:p>
    <w:p w14:paraId="75AD467F" w14:textId="77777777" w:rsidR="00EE23EA" w:rsidRPr="00C21584" w:rsidRDefault="00EE23EA" w:rsidP="00EE23EA">
      <w:pPr>
        <w:spacing w:line="480" w:lineRule="auto"/>
        <w:rPr>
          <w:b/>
          <w:sz w:val="24"/>
          <w:szCs w:val="24"/>
          <w:lang w:val="en-US"/>
        </w:rPr>
      </w:pPr>
      <w:r w:rsidRPr="00C21584">
        <w:rPr>
          <w:b/>
          <w:sz w:val="24"/>
          <w:szCs w:val="24"/>
          <w:lang w:val="en-US"/>
        </w:rPr>
        <w:lastRenderedPageBreak/>
        <w:t>Abstract</w:t>
      </w:r>
    </w:p>
    <w:p w14:paraId="137661A9" w14:textId="77777777" w:rsidR="00EE23EA" w:rsidRPr="00D92729" w:rsidRDefault="00EE23EA" w:rsidP="00EE23EA">
      <w:pPr>
        <w:spacing w:line="480" w:lineRule="auto"/>
        <w:jc w:val="both"/>
        <w:outlineLvl w:val="0"/>
        <w:rPr>
          <w:i/>
          <w:sz w:val="24"/>
          <w:szCs w:val="24"/>
          <w:lang w:val="en-US"/>
        </w:rPr>
      </w:pPr>
      <w:r>
        <w:rPr>
          <w:i/>
          <w:sz w:val="24"/>
          <w:szCs w:val="24"/>
          <w:lang w:val="en-US"/>
        </w:rPr>
        <w:t>Introduction</w:t>
      </w:r>
    </w:p>
    <w:p w14:paraId="3F8D5D0C" w14:textId="77777777" w:rsidR="00EE23EA" w:rsidRPr="00772451" w:rsidRDefault="00EE23EA" w:rsidP="00EE23EA">
      <w:pPr>
        <w:spacing w:line="480" w:lineRule="auto"/>
        <w:jc w:val="both"/>
        <w:rPr>
          <w:sz w:val="24"/>
          <w:szCs w:val="24"/>
          <w:lang w:val="en-US"/>
        </w:rPr>
      </w:pPr>
      <w:r w:rsidRPr="00D92729">
        <w:rPr>
          <w:sz w:val="24"/>
          <w:szCs w:val="24"/>
          <w:lang w:val="en-US"/>
        </w:rPr>
        <w:t>Low maternal serum levels of pregnancy-associated plasma protein A (PAPP-A) measured in the first trimester and high levels of alpha fetoprotein (AFP) measured in the second trimester have been</w:t>
      </w:r>
      <w:r>
        <w:rPr>
          <w:sz w:val="24"/>
          <w:szCs w:val="24"/>
          <w:lang w:val="en-US"/>
        </w:rPr>
        <w:t xml:space="preserve"> associated with adverse pregnancy outcomes reflective of placental insufficiency,</w:t>
      </w:r>
      <w:r w:rsidRPr="00D92729">
        <w:rPr>
          <w:sz w:val="24"/>
          <w:szCs w:val="24"/>
          <w:lang w:val="en-US"/>
        </w:rPr>
        <w:t xml:space="preserve"> and there is a synergistic relationship between the two. </w:t>
      </w:r>
      <w:r>
        <w:rPr>
          <w:sz w:val="24"/>
          <w:szCs w:val="24"/>
          <w:lang w:val="en-US"/>
        </w:rPr>
        <w:t xml:space="preserve">We </w:t>
      </w:r>
      <w:r w:rsidRPr="00D92729">
        <w:rPr>
          <w:sz w:val="24"/>
          <w:szCs w:val="24"/>
          <w:lang w:val="en-US"/>
        </w:rPr>
        <w:t>investigate</w:t>
      </w:r>
      <w:r>
        <w:rPr>
          <w:sz w:val="24"/>
          <w:szCs w:val="24"/>
          <w:lang w:val="en-US"/>
        </w:rPr>
        <w:t>d the utility as a screening test of a simple</w:t>
      </w:r>
      <w:r w:rsidRPr="00D92729">
        <w:rPr>
          <w:sz w:val="24"/>
          <w:szCs w:val="24"/>
          <w:lang w:val="en-US"/>
        </w:rPr>
        <w:t xml:space="preserve"> ratio of maternal serum AFP to PAPP-A </w:t>
      </w:r>
      <w:r>
        <w:rPr>
          <w:sz w:val="24"/>
          <w:szCs w:val="24"/>
          <w:lang w:val="en-US"/>
        </w:rPr>
        <w:t xml:space="preserve">(AFP:PAPP-A) measured </w:t>
      </w:r>
      <w:r w:rsidRPr="00D92729">
        <w:rPr>
          <w:sz w:val="24"/>
          <w:szCs w:val="24"/>
          <w:lang w:val="en-US"/>
        </w:rPr>
        <w:t>in the first trimester</w:t>
      </w:r>
      <w:r>
        <w:rPr>
          <w:sz w:val="24"/>
          <w:szCs w:val="24"/>
          <w:lang w:val="en-US"/>
        </w:rPr>
        <w:t>.</w:t>
      </w:r>
    </w:p>
    <w:p w14:paraId="2D37683B" w14:textId="77777777" w:rsidR="00EE23EA" w:rsidRPr="00D92729" w:rsidRDefault="00EE23EA" w:rsidP="00EE23EA">
      <w:pPr>
        <w:spacing w:line="480" w:lineRule="auto"/>
        <w:jc w:val="both"/>
        <w:outlineLvl w:val="0"/>
        <w:rPr>
          <w:i/>
          <w:sz w:val="24"/>
          <w:szCs w:val="24"/>
          <w:lang w:val="en-US"/>
        </w:rPr>
      </w:pPr>
      <w:r>
        <w:rPr>
          <w:i/>
          <w:sz w:val="24"/>
          <w:szCs w:val="24"/>
          <w:lang w:val="en-US"/>
        </w:rPr>
        <w:t>Methods</w:t>
      </w:r>
    </w:p>
    <w:p w14:paraId="41A6753A" w14:textId="77777777" w:rsidR="00EE23EA" w:rsidRPr="00D92729" w:rsidRDefault="00EE23EA" w:rsidP="00EE23EA">
      <w:pPr>
        <w:spacing w:line="480" w:lineRule="auto"/>
        <w:jc w:val="both"/>
        <w:rPr>
          <w:sz w:val="24"/>
          <w:szCs w:val="24"/>
          <w:lang w:val="en-US"/>
        </w:rPr>
      </w:pPr>
      <w:r w:rsidRPr="00D92729">
        <w:rPr>
          <w:sz w:val="24"/>
          <w:szCs w:val="24"/>
          <w:lang w:val="en-US"/>
        </w:rPr>
        <w:t xml:space="preserve">We studied 4057 nulliparous women with a singleton pregnancy </w:t>
      </w:r>
      <w:r>
        <w:rPr>
          <w:sz w:val="24"/>
          <w:szCs w:val="24"/>
          <w:lang w:val="en-US"/>
        </w:rPr>
        <w:t>from</w:t>
      </w:r>
      <w:r w:rsidRPr="00D92729">
        <w:rPr>
          <w:sz w:val="24"/>
          <w:szCs w:val="24"/>
          <w:lang w:val="en-US"/>
        </w:rPr>
        <w:t xml:space="preserve"> the Pregnancy Outcome Prediction (POP) study. We </w:t>
      </w:r>
      <w:r>
        <w:rPr>
          <w:sz w:val="24"/>
          <w:szCs w:val="24"/>
          <w:lang w:val="en-US"/>
        </w:rPr>
        <w:t>studied the predictive ability for adverse outcome of the AFP:PAPP-A ratio measured in the first trimester</w:t>
      </w:r>
      <w:r w:rsidRPr="00D92729">
        <w:rPr>
          <w:sz w:val="24"/>
          <w:szCs w:val="24"/>
          <w:lang w:val="en-US"/>
        </w:rPr>
        <w:t xml:space="preserve"> with and without correction for maternal weight and gestat</w:t>
      </w:r>
      <w:r>
        <w:rPr>
          <w:sz w:val="24"/>
          <w:szCs w:val="24"/>
          <w:lang w:val="en-US"/>
        </w:rPr>
        <w:t>ional age at measurement.</w:t>
      </w:r>
      <w:r w:rsidRPr="00D92729">
        <w:rPr>
          <w:sz w:val="24"/>
          <w:szCs w:val="24"/>
          <w:lang w:val="en-US"/>
        </w:rPr>
        <w:t xml:space="preserve"> </w:t>
      </w:r>
      <w:r>
        <w:rPr>
          <w:sz w:val="24"/>
          <w:szCs w:val="24"/>
          <w:lang w:val="en-US"/>
        </w:rPr>
        <w:t>We compared the AFP:PAPP-A ratio with corrected  AFP and</w:t>
      </w:r>
      <w:r w:rsidRPr="00D92729">
        <w:rPr>
          <w:sz w:val="24"/>
          <w:szCs w:val="24"/>
          <w:lang w:val="en-US"/>
        </w:rPr>
        <w:t xml:space="preserve"> PAPP-A on their own and in combination. </w:t>
      </w:r>
    </w:p>
    <w:p w14:paraId="29EC0B16" w14:textId="77777777" w:rsidR="00EE23EA" w:rsidRPr="00D92729" w:rsidRDefault="00EE23EA" w:rsidP="00EE23EA">
      <w:pPr>
        <w:spacing w:line="480" w:lineRule="auto"/>
        <w:jc w:val="both"/>
        <w:outlineLvl w:val="0"/>
        <w:rPr>
          <w:i/>
          <w:sz w:val="24"/>
          <w:szCs w:val="24"/>
          <w:lang w:val="en-US"/>
        </w:rPr>
      </w:pPr>
      <w:r w:rsidRPr="00D92729">
        <w:rPr>
          <w:i/>
          <w:sz w:val="24"/>
          <w:szCs w:val="24"/>
          <w:lang w:val="en-US"/>
        </w:rPr>
        <w:t>Results</w:t>
      </w:r>
    </w:p>
    <w:p w14:paraId="5F721CBD" w14:textId="77777777" w:rsidR="00EE23EA" w:rsidRPr="00D92729" w:rsidRDefault="00EE23EA" w:rsidP="00EE23EA">
      <w:pPr>
        <w:spacing w:line="480" w:lineRule="auto"/>
        <w:jc w:val="both"/>
        <w:rPr>
          <w:sz w:val="24"/>
          <w:szCs w:val="24"/>
          <w:lang w:val="en-US"/>
        </w:rPr>
      </w:pPr>
      <w:r w:rsidRPr="00D92729">
        <w:rPr>
          <w:sz w:val="24"/>
          <w:szCs w:val="24"/>
          <w:lang w:val="en-US"/>
        </w:rPr>
        <w:t>An</w:t>
      </w:r>
      <w:r>
        <w:rPr>
          <w:sz w:val="24"/>
          <w:szCs w:val="24"/>
          <w:lang w:val="en-US"/>
        </w:rPr>
        <w:t xml:space="preserve"> </w:t>
      </w:r>
      <w:r w:rsidRPr="00D92729">
        <w:rPr>
          <w:sz w:val="24"/>
          <w:szCs w:val="24"/>
          <w:lang w:val="en-US"/>
        </w:rPr>
        <w:t>AFP:PAPP-A ratio</w:t>
      </w:r>
      <w:r>
        <w:rPr>
          <w:sz w:val="24"/>
          <w:szCs w:val="24"/>
          <w:lang w:val="en-US"/>
        </w:rPr>
        <w:t xml:space="preserve"> &gt;10 was associated with placentally-related adverse</w:t>
      </w:r>
      <w:r w:rsidRPr="00D92729">
        <w:rPr>
          <w:sz w:val="24"/>
          <w:szCs w:val="24"/>
          <w:lang w:val="en-US"/>
        </w:rPr>
        <w:t xml:space="preserve"> outcomes, including fetal growth restriction (risk ratio (RR) 3.74, 95% confidence interval (CI) 2.30-6.09),</w:t>
      </w:r>
      <w:r>
        <w:rPr>
          <w:sz w:val="24"/>
          <w:szCs w:val="24"/>
          <w:lang w:val="en-US"/>
        </w:rPr>
        <w:t xml:space="preserve"> severe preeclampsia (RR 2.12, 95% CI 1.39-3.25) </w:t>
      </w:r>
      <w:r w:rsidRPr="00D92729">
        <w:rPr>
          <w:sz w:val="24"/>
          <w:szCs w:val="24"/>
          <w:lang w:val="en-US"/>
        </w:rPr>
        <w:t xml:space="preserve">and stillbirth (RR 5.05, 95% CI 1.48-17.18). The ratio </w:t>
      </w:r>
      <w:r>
        <w:rPr>
          <w:sz w:val="24"/>
          <w:szCs w:val="24"/>
          <w:lang w:val="en-US"/>
        </w:rPr>
        <w:t>performed favorably</w:t>
      </w:r>
      <w:r w:rsidRPr="00D92729">
        <w:rPr>
          <w:sz w:val="24"/>
          <w:szCs w:val="24"/>
          <w:lang w:val="en-US"/>
        </w:rPr>
        <w:t xml:space="preserve"> in predicting adverse</w:t>
      </w:r>
      <w:r>
        <w:rPr>
          <w:sz w:val="24"/>
          <w:szCs w:val="24"/>
          <w:lang w:val="en-US"/>
        </w:rPr>
        <w:t xml:space="preserve"> pregnancy</w:t>
      </w:r>
      <w:r w:rsidRPr="00D92729">
        <w:rPr>
          <w:sz w:val="24"/>
          <w:szCs w:val="24"/>
          <w:lang w:val="en-US"/>
        </w:rPr>
        <w:t xml:space="preserve"> outcome</w:t>
      </w:r>
      <w:r>
        <w:rPr>
          <w:sz w:val="24"/>
          <w:szCs w:val="24"/>
          <w:lang w:val="en-US"/>
        </w:rPr>
        <w:t>s</w:t>
      </w:r>
      <w:r w:rsidRPr="00D92729">
        <w:rPr>
          <w:sz w:val="24"/>
          <w:szCs w:val="24"/>
          <w:lang w:val="en-US"/>
        </w:rPr>
        <w:t xml:space="preserve"> when compared with</w:t>
      </w:r>
      <w:r>
        <w:rPr>
          <w:sz w:val="24"/>
          <w:szCs w:val="24"/>
          <w:lang w:val="en-US"/>
        </w:rPr>
        <w:t xml:space="preserve"> corrected measurements of</w:t>
      </w:r>
      <w:r w:rsidRPr="00D92729">
        <w:rPr>
          <w:sz w:val="24"/>
          <w:szCs w:val="24"/>
          <w:lang w:val="en-US"/>
        </w:rPr>
        <w:t xml:space="preserve"> either AFP or PAPP-A</w:t>
      </w:r>
      <w:r>
        <w:rPr>
          <w:sz w:val="24"/>
          <w:szCs w:val="24"/>
          <w:lang w:val="en-US"/>
        </w:rPr>
        <w:t>,</w:t>
      </w:r>
      <w:r w:rsidRPr="00D92729">
        <w:rPr>
          <w:sz w:val="24"/>
          <w:szCs w:val="24"/>
          <w:lang w:val="en-US"/>
        </w:rPr>
        <w:t xml:space="preserve"> and was equivalent to a model combining the two</w:t>
      </w:r>
      <w:r>
        <w:rPr>
          <w:sz w:val="24"/>
          <w:szCs w:val="24"/>
          <w:lang w:val="en-US"/>
        </w:rPr>
        <w:t>. I</w:t>
      </w:r>
      <w:r w:rsidRPr="00D92729">
        <w:rPr>
          <w:sz w:val="24"/>
          <w:szCs w:val="24"/>
          <w:lang w:val="en-US"/>
        </w:rPr>
        <w:t xml:space="preserve">ts </w:t>
      </w:r>
      <w:r>
        <w:rPr>
          <w:sz w:val="24"/>
          <w:szCs w:val="24"/>
          <w:lang w:val="en-US"/>
        </w:rPr>
        <w:t>predictive ability</w:t>
      </w:r>
      <w:r w:rsidRPr="00D92729">
        <w:rPr>
          <w:sz w:val="24"/>
          <w:szCs w:val="24"/>
          <w:lang w:val="en-US"/>
        </w:rPr>
        <w:t xml:space="preserve"> was not affected by correction for maternal weight or gestational age at measurement. </w:t>
      </w:r>
    </w:p>
    <w:p w14:paraId="37C55F05" w14:textId="77777777" w:rsidR="00EE23EA" w:rsidRPr="00D92729" w:rsidRDefault="00EE23EA" w:rsidP="00EE23EA">
      <w:pPr>
        <w:spacing w:line="480" w:lineRule="auto"/>
        <w:jc w:val="both"/>
        <w:outlineLvl w:val="0"/>
        <w:rPr>
          <w:i/>
          <w:sz w:val="24"/>
          <w:szCs w:val="24"/>
          <w:lang w:val="en-US"/>
        </w:rPr>
      </w:pPr>
      <w:r>
        <w:rPr>
          <w:i/>
          <w:sz w:val="24"/>
          <w:szCs w:val="24"/>
          <w:lang w:val="en-US"/>
        </w:rPr>
        <w:lastRenderedPageBreak/>
        <w:t>Discussion</w:t>
      </w:r>
    </w:p>
    <w:p w14:paraId="29DB0CEC" w14:textId="77777777" w:rsidR="00EE23EA" w:rsidRPr="00D92729" w:rsidRDefault="00EE23EA" w:rsidP="00EE23EA">
      <w:pPr>
        <w:spacing w:line="480" w:lineRule="auto"/>
        <w:rPr>
          <w:sz w:val="24"/>
          <w:szCs w:val="24"/>
          <w:lang w:val="en-US"/>
        </w:rPr>
      </w:pPr>
      <w:r w:rsidRPr="00D92729">
        <w:rPr>
          <w:sz w:val="24"/>
          <w:szCs w:val="24"/>
          <w:lang w:val="en-US"/>
        </w:rPr>
        <w:t>An elevated maternal AFP:PAPP-A ratio in the first tri</w:t>
      </w:r>
      <w:r>
        <w:rPr>
          <w:sz w:val="24"/>
          <w:szCs w:val="24"/>
          <w:lang w:val="en-US"/>
        </w:rPr>
        <w:t>mester is associated with placentally-related adverse</w:t>
      </w:r>
      <w:r w:rsidRPr="00D92729">
        <w:rPr>
          <w:sz w:val="24"/>
          <w:szCs w:val="24"/>
          <w:lang w:val="en-US"/>
        </w:rPr>
        <w:t xml:space="preserve"> outcomes in a cohort of unselected nulliparous women</w:t>
      </w:r>
      <w:r>
        <w:rPr>
          <w:sz w:val="24"/>
          <w:szCs w:val="24"/>
          <w:lang w:val="en-US"/>
        </w:rPr>
        <w:t>.</w:t>
      </w:r>
    </w:p>
    <w:p w14:paraId="538B85DC" w14:textId="77777777" w:rsidR="00EE23EA" w:rsidRPr="00D92729" w:rsidRDefault="00EE23EA" w:rsidP="00EE23EA">
      <w:pPr>
        <w:spacing w:line="480" w:lineRule="auto"/>
        <w:outlineLvl w:val="0"/>
        <w:rPr>
          <w:sz w:val="24"/>
          <w:szCs w:val="24"/>
          <w:u w:val="single"/>
          <w:lang w:val="en-US"/>
        </w:rPr>
      </w:pPr>
      <w:r w:rsidRPr="00D92729">
        <w:rPr>
          <w:sz w:val="24"/>
          <w:szCs w:val="24"/>
          <w:u w:val="single"/>
          <w:lang w:val="en-US"/>
        </w:rPr>
        <w:t>Key words</w:t>
      </w:r>
    </w:p>
    <w:p w14:paraId="2A9B37BE" w14:textId="77777777" w:rsidR="00EE23EA" w:rsidRDefault="00EE23EA" w:rsidP="00EE23EA">
      <w:pPr>
        <w:spacing w:line="480" w:lineRule="auto"/>
        <w:rPr>
          <w:sz w:val="24"/>
          <w:szCs w:val="24"/>
          <w:lang w:val="en-US"/>
        </w:rPr>
      </w:pPr>
      <w:r>
        <w:rPr>
          <w:sz w:val="24"/>
          <w:szCs w:val="24"/>
          <w:lang w:val="en-US"/>
        </w:rPr>
        <w:t>Small for gestational age; preterm birth;</w:t>
      </w:r>
      <w:r w:rsidRPr="00D92729">
        <w:rPr>
          <w:sz w:val="24"/>
          <w:szCs w:val="24"/>
          <w:lang w:val="en-US"/>
        </w:rPr>
        <w:t xml:space="preserve"> fetal growth restriction</w:t>
      </w:r>
      <w:r>
        <w:rPr>
          <w:sz w:val="24"/>
          <w:szCs w:val="24"/>
          <w:lang w:val="en-US"/>
        </w:rPr>
        <w:t>;</w:t>
      </w:r>
      <w:r w:rsidRPr="00D92729">
        <w:rPr>
          <w:sz w:val="24"/>
          <w:szCs w:val="24"/>
          <w:lang w:val="en-US"/>
        </w:rPr>
        <w:t xml:space="preserve"> preeclampsia</w:t>
      </w:r>
      <w:r>
        <w:rPr>
          <w:sz w:val="24"/>
          <w:szCs w:val="24"/>
          <w:lang w:val="en-US"/>
        </w:rPr>
        <w:t>;</w:t>
      </w:r>
      <w:r w:rsidRPr="00D92729">
        <w:rPr>
          <w:sz w:val="24"/>
          <w:szCs w:val="24"/>
          <w:lang w:val="en-US"/>
        </w:rPr>
        <w:t xml:space="preserve"> stillbirth</w:t>
      </w:r>
      <w:r>
        <w:rPr>
          <w:sz w:val="24"/>
          <w:szCs w:val="24"/>
          <w:lang w:val="en-US"/>
        </w:rPr>
        <w:t>; biomarkers; prospective cohort study</w:t>
      </w:r>
    </w:p>
    <w:p w14:paraId="1FB6404E" w14:textId="77777777" w:rsidR="00EE23EA" w:rsidRPr="00DA7AA3" w:rsidRDefault="00EE23EA" w:rsidP="00EE23EA">
      <w:pPr>
        <w:spacing w:line="480" w:lineRule="auto"/>
        <w:rPr>
          <w:sz w:val="24"/>
          <w:szCs w:val="24"/>
          <w:lang w:val="en-US"/>
        </w:rPr>
      </w:pPr>
      <w:r w:rsidRPr="00DC37EA">
        <w:rPr>
          <w:rStyle w:val="FootnoteReference"/>
        </w:rPr>
        <w:footnoteReference w:customMarkFollows="1" w:id="1"/>
        <w:sym w:font="Symbol" w:char="F020"/>
      </w:r>
    </w:p>
    <w:p w14:paraId="29905A44" w14:textId="7322B04D" w:rsidR="00EE23EA" w:rsidRDefault="00EE23EA">
      <w:pPr>
        <w:rPr>
          <w:sz w:val="24"/>
          <w:szCs w:val="24"/>
          <w:lang w:val="en-US"/>
        </w:rPr>
      </w:pPr>
      <w:r>
        <w:rPr>
          <w:sz w:val="24"/>
          <w:szCs w:val="24"/>
          <w:lang w:val="en-US"/>
        </w:rPr>
        <w:br w:type="page"/>
      </w:r>
    </w:p>
    <w:p w14:paraId="27298957" w14:textId="77777777" w:rsidR="00EE23EA" w:rsidRPr="00536A5D" w:rsidRDefault="00EE23EA" w:rsidP="00EE23EA">
      <w:pPr>
        <w:spacing w:line="480" w:lineRule="auto"/>
        <w:jc w:val="both"/>
        <w:rPr>
          <w:b/>
          <w:sz w:val="24"/>
          <w:szCs w:val="24"/>
          <w:lang w:val="en-US"/>
        </w:rPr>
      </w:pPr>
      <w:bookmarkStart w:id="1" w:name="_Hlk5459393"/>
      <w:r w:rsidRPr="00536A5D">
        <w:rPr>
          <w:b/>
          <w:sz w:val="24"/>
          <w:szCs w:val="24"/>
          <w:lang w:val="en-US"/>
        </w:rPr>
        <w:lastRenderedPageBreak/>
        <w:t>Introduction</w:t>
      </w:r>
    </w:p>
    <w:p w14:paraId="7F8687B3" w14:textId="77777777" w:rsidR="00EE23EA" w:rsidRPr="00D92729" w:rsidRDefault="00EE23EA" w:rsidP="00EE23EA">
      <w:pPr>
        <w:spacing w:line="480" w:lineRule="auto"/>
        <w:jc w:val="both"/>
        <w:rPr>
          <w:sz w:val="24"/>
          <w:szCs w:val="24"/>
          <w:lang w:val="en-US"/>
        </w:rPr>
      </w:pPr>
      <w:r w:rsidRPr="00D92729">
        <w:rPr>
          <w:sz w:val="24"/>
          <w:szCs w:val="24"/>
          <w:lang w:val="en-US"/>
        </w:rPr>
        <w:t>Maternal serum biomarkers measured as part of aneuploidy screening have been shown to be associated with</w:t>
      </w:r>
      <w:r>
        <w:rPr>
          <w:sz w:val="24"/>
          <w:szCs w:val="24"/>
          <w:lang w:val="en-US"/>
        </w:rPr>
        <w:t xml:space="preserve"> adverse</w:t>
      </w:r>
      <w:r w:rsidRPr="00D92729">
        <w:rPr>
          <w:sz w:val="24"/>
          <w:szCs w:val="24"/>
          <w:lang w:val="en-US"/>
        </w:rPr>
        <w:t xml:space="preserve"> pregnancy outcomes reflective of placental insufficiency</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{"citationID":"BEuIyf1G","citationItems":[{"id":"ITEM-1","itemData":{"DOI":"10.1002/pd.2505","ISSN":"1097-0223","abstract":"OBJECTIVE: To investigate the associations between four defined adverse pregnancy outcomes and levels of first and second trimester maternal serum markers focusing in particular on how well combinations of markers predict these adverse outcomes.\nMETHODS: This was a retrospective review of associations between first and second trimester serum markers and adverse pregnancy outcomes among 141 698 women who underwent prenatal screening for Down syndrome in Ontario, Canada. Detection rates (DR), false positive rates (FPR), and odds ratios were estimated using both single and combinations of markers for the adverse outcomes defined.\nRESULTS: Women with decreased second trimester unconjugated oestriol (uE3), deceased first trimester maternal serum pregnancy-associated plasma protein A (PAPP-A), increased second trimester serum alpha fetoprotein (AFP), or increased second trimester total human chorionic gonadotrophin (hCG) were at greater risk of developing adverse pregnancy outcomes. At a 5% FPR, combinations of these markers predicted at best 33.3% of fetal loss and 31.5% of preterm births (PTB) before 32 weeks of gestation.\nCONCLUSION: There are significant associations between the levels of first and second trimester serum markers and adverse obstetric outcomes. However, even combinations of these markers can only predict adverse obstetric outcomes with modest accuracy.","author":[{"dropping-particle":"","family":"Huang","given":"Tianhua","non-dropping-particle":"","parse-names":false,"suffix":""},{"dropping-particle":"","family":"Hoffman","given":"Barry","non-dropping-particle":"","parse-names":false,"suffix":""},{"dropping-particle":"","family":"Meschino","given":"Wendy","non-dropping-particle":"","parse-names":false,"suffix":""},{"dropping-particle":"","family":"Kingdom","given":"John","non-dropping-particle":"","parse-names":false,"suffix":""},{"dropping-particle":"","family":"Okun","given":"Nanette","non-dropping-particle":"","parse-names":false,"suffix":""}],"container-title":"Prenatal Diagnosis","id":"ITEM-1","issue":"5","issued":{"date-parts":[["2010","5"]]},"language":"eng","page":"471-477","title":"Prediction of adverse pregnancy outcomes by combinations of first and second trimester biochemistry markers used in the routine prenatal screening of Down syndrome","type":"article-journal","volume":"30"},"uri":["http://www.mendeley.com/documents/?uuid=2f2f2251-08f4-4d68-9b23-4706bf7286f4"],"uris":["http://www.mendeley.com/documents/?uuid=2f2f2251-08f4-4d68-9b23-4706bf7286f4"]},{"id":"ITEM-2","itemData":{"DOI":"10.1016/j.ajog.2017.12.002","ISSN":"1097-6868","PMID":"29275822","abstract":"Fetal growth restriction is a major determinant of perinatal morbidity and mortality. Screening for fetal growth restriction is a key element of prenatal care but it is recognized to be problematic. Screening using clinical risk assessment and targeting ultrasound to high-risk women is the standard of care in the United States and United Kingdom, but the approach is known to have low sensitivity. Systematic reviews of randomized controlled trials do not demonstrate any benefit from universal ultrasound screening for fetal growth restriction in the third trimester, but the evidence base is not strong. Implementation of universal ultrasound screening in low-risk women in France failed to reduce the risk of complications among small-for-gestational-age infants but did appear to cause iatrogenic harm to false positives. One strategy to making progress is to improve screening by developing more sensitive and specific tests with the key goal of differentiating between healthy small fetuses and those that are small through fetal growth restriction. As abnormal placentation is thought to be the major cause of fetal growth restriction, one approach is to combine fetal biometry with an indicator of placental dysfunction. In the past, these indicators were generally ultrasonic measurements, such as Doppler flow velocimetry of the uteroplacental circulation. However, another promising approach is to combine ultrasonic suspicion of small-for-gestational-age infant with a blood test indicating placental dysfunction. Thus far, much of the research on maternal serum biomarkers for fetal growth restriction has involved the secondary analysis of tests performed for other indications, such as fetal aneuploidies. An exemplar of this is pregnancy-associated plasma protein A. This blood test is performed primarily to assess the risk of Down syndrome, but women with low first-trimester levels are now serially scanned in later pregnancy due to associations with placental causes of stillbirth, including fetal growth restriction. The development of \"omic\" technologies presents a huge opportunity to identify novel biomarkers for fetal growth restriction. The hope is that when such markers are measured alongside ultrasonic fetal biometry, the combination would have strong predictive power for fetal growth restriction and its related complications. However, a series of important methodological considerations in assessing the diagnostic effectiveness of new tests will have to be add…","author":[{"dropping-particle":"","family":"Gaccioli","given":"Francesca","non-dropping-particle":"","parse-names":false,"suffix":""},{"dropping-particle":"","family":"Aye","given":"Irving L M H","non-dropping-particle":"","parse-names":false,"suffix":""},{"dropping-particle":"","family":"Sovio","given":"Ulla","non-dropping-particle":"","parse-names":false,"suffix":""},{"dropping-particle":"","family":"Charnock-Jones","given":"D Stephen","non-dropping-particle":"","parse-names":false,"suffix":""},{"dropping-particle":"","family":"Smith","given":"Gordon C S","non-dropping-particle":"","parse-names":false,"suffix":""}],"container-title":"American journal of obstetrics and gynecology","id":"ITEM-2","issue":"2S","issued":{"date-parts":[["2018","2","1"]]},"page":"S725-S737","publisher":"Elsevier","title":"Screening for fetal growth restriction using fetal biometry combined with maternal biomarkers.","type":"article-journal","volume":"218"},"uri":["http://www.mendeley.com/documents/?uuid=92885934-4ad2-39c3-ad21-fc08911bca0d"],"uris":["http://www.mendeley.com/documents/?uuid=92885934-4ad2-39c3-ad21-fc08911bca0d"]},{"id":"ITEM-3","itemData":{"DOI":"10.1016/j.ajog.2004.06.052","ISSN":"0002-9378, 1097-6868","abstract":"&lt;h3&gt;Objective&lt;/h3&gt;&lt;p&gt;The purpose of this study was to determine whether maternal serum levels of pregnancy-associated plasma protein A, free-beta subunit human chorionic gonadotropin, or nuchal translucency size are associated with obstetric complications.&lt;/p&gt;&lt;h3&gt;Study design&lt;/h3&gt;&lt;p&gt;Data were obtained from the First and Second Trimester Evaluation of Risk trial. Pregnancy-associated plasma protein A and free-beta subunit human chorionic gonadotropin levels were analyzed, and nuchal translucency was measured between 10 weeks 3 days and 13 weeks 6 days of gestation in 34,271 pregnancies.&lt;/p&gt;&lt;h3&gt;Results&lt;/h3&gt;&lt;p&gt;Women with pregnancy-associated plasma protein A of ≤5th percentile were significantly more likely to experience spontaneous fetal loss at ≤24 weeks of gestation, low birth weight, preeclampsia, gestational hypertension, preterm birth (&lt;i&gt;P&lt;/i&gt; &lt; .001) and stillbirth, preterm premature rupture of membranes, and placental abruption (&lt;i&gt;P&lt;/i&gt; &lt; .02). Nuchal translucency at ≥99th percentile and free-beta subunit human chorionic gonadotropin at ≤1st percentile were associated with an increased risk of spontaneous loss at ≤24 weeks of gestation (adjusted odds ratios, 3.90, 3.62, respectively; &lt;i&gt;P&lt;/i&gt; &lt; .001).&lt;/p&gt;&lt;h3&gt;Conclusion&lt;/h3&gt;&lt;p&gt;Low pregnancy-associated plasma protein A levels in the first trimester were associated strongly with a number of adverse pregnancy outcomes. Low free-beta subunit human chorionic gonadotropin levels and large nuchal translucency were both associated with early fetal loss.&lt;/p&gt;","author":[{"dropping-particle":"","family":"Dugoff","given":"Lorraine","non-dropping-particle":"","parse-names":false,"suffix":""},{"dropping-particle":"","family":"Hobbins","given":"John C.","non-dropping-particle":"","parse-names":false,"suffix":""},{"dropping-particle":"","family":"Malone","given":"Fergal D.","non-dropping-particle":"","parse-names":false,"suffix":""},{"dropping-particle":"","family":"Porter","given":"T. Flint","non-dropping-particle":"","parse-names":false,"suffix":""},{"dropping-particle":"","family":"Luthy","given":"David","non-dropping-particle":"","parse-names":false,"suffix":""},{"dropping-particle":"","family":"Comstock","given":"Christine H.","non-dropping-particle":"","parse-names":false,"suffix":""},{"dropping-particle":"","family":"Hankins","given":"Gary","non-dropping-particle":"","parse-names":false,"suffix":""},{"dropping-particle":"","family":"Berkowitz","given":"Richard L.","non-dropping-particle":"","parse-names":false,"suffix":""},{"dropping-particle":"","family":"Merkatz","given":"Irwin","non-dropping-particle":"","parse-names":false,"suffix":""},{"dropping-particle":"","family":"Craigo","given":"Sabrina D.","non-dropping-particle":"","parse-names":false,"suffix":""},{"dropping-particle":"","family":"Timor-Tritsch","given":"Ilan E.","non-dropping-particle":"","parse-names":false,"suffix":""},{"dropping-particle":"","family":"Carr","given":"Steven R.","non-dropping-particle":"","parse-names":false,"suffix":""},{"dropping-particle":"","family":"Wolfe","given":"Honor M.","non-dropping-particle":"","parse-names":false,"suffix":""},{"dropping-particle":"","family":"Vidaver","given":"John","non-dropping-particle":"","parse-names":false,"suffix":""},{"dropping-particle":"","family":"D'Alton","given":"Mary E.","non-dropping-particle":"","parse-names":false,"suffix":""}],"container-title":"American Journal of Obstetrics &amp; Gynecology","id":"ITEM-3","issue":"4","issued":{"date-parts":[["2004","10"]]},"language":"English","page":"1446-1451","title":"First-trimester maternal serum PAPP-A and free-beta subunit human chorionic gonadotropin concentrations and nuchal translucency are associated with obstetric complications: A population-based screening study (The FASTER Trial)","type":"article-journal","volume":"191"},"uri":["http://www.mendeley.com/documents/?uuid=8f5ea8b9-79ec-4893-ad43-1d439554ea78"],"uris":["http://www.mendeley.com/documents/?uuid=8f5ea8b9-79ec-4893-ad43-1d439554ea78"]},{"id":"ITEM-4","itemData":{"DOI":"10.1097/01.AOG.0000172419.37410.eb","ISSN":"0029-7844","abstract":"OBJECTIVE: To estimate the effect of second-trimester levels of maternal serum alpha-fetoprotein (AFP), human chorionic gonadotrophin (hCG), unconjugated estriol (uE3), and inhibin A (the quad screen) on obstetric complications by using a large, prospectively collected database (the FASTER database).\nMETHODS: The FASTER trial was a multicenter study that evaluated first- and second-trimester screening programs for aneuploidy in women with singleton pregnancies. As part of this trial, patients had a quad screen drawn at 15-18 6/7 weeks. We analyzed the data to identify associations between the quad screen markers and preterm birth, intrauterine growth restriction, preeclampsia, and fetal loss. Our analysis was performed by evaluating the performance characteristics of quad screen markers individually and in combination. Crude and adjusted effects were estimated by multivariable logistic regression analysis. Patients with fetal anomalies were excluded from the analysis.\nRESULTS: We analyzed data from 33,145 pregnancies. We identified numerous associations between the markers and the adverse outcomes. There was a relatively low, but often significant, risk of having an adverse pregnancy complication if a patient had a single abnormal marker. However, the risk of having an adverse outcome increased significantly if a patient had 2 or more abnormal markers. The sensitivity and positive predictive values using combinations of markers is relatively low, although superior to using individual markers.\nCONCLUSION: These data suggest that components of the quad screen may prove useful in predicting adverse obstetric outcomes. We also showed that the total number and specific combinations of abnormal markers are most useful in predicting the risk of adverse perinatal outcome.","author":[{"dropping-particle":"","family":"Dugoff","given":"Lorraine","non-dropping-particle":"","parse-names":false,"suffix":""},{"dropping-particle":"","family":"Hobbins","given":"John C.","non-dropping-particle":"","parse-names":false,"suffix":""},{"dropping-particle":"","family":"Malone","given":"Fergal D.","non-dropping-particle":"","parse-names":false,"suffix":""},{"dropping-particle":"","family":"Vidaver","given":"John","non-dropping-particle":"","parse-names":false,"suffix":""},{"dropping-particle":"","family":"Sullivan","given":"Lisa","non-dropping-particle":"","parse-names":false,"suffix":""},{"dropping-particle":"","family":"Canick","given":"Jacob A.","non-dropping-particle":"","parse-names":false,"suffix":""},{"dropping-particle":"","family":"Lambert-Messerlian","given":"Geralyn M.","non-dropping-particle":"","parse-names":false,"suffix":""},{"dropping-particle":"","family":"Porter","given":"T. Flint","non-dropping-particle":"","parse-names":false,"suffix":""},{"dropping-particle":"","family":"Luthy","given":"David A.","non-dropping-particle":"","parse-names":false,"suffix":""},{"dropping-particle":"","family":"Comstock","given":"Christine H.","non-dropping-particle":"","parse-names":false,"suffix":""},{"dropping-particle":"","family":"Saade","given":"George","non-dropping-particle":"","parse-names":false,"suffix":""},{"dropping-particle":"","family":"Eddleman","given":"Keith","non-dropping-particle":"","parse-names":false,"suffix":""},{"dropping-particle":"","family":"Merkatz","given":"Irwin R.","non-dropping-particle":"","parse-names":false,"suffix":""},{"dropping-particle":"","family":"Craigo","given":"Sabrina D.","non-dropping-particle":"","parse-names":false,"suffix":""},{"dropping-particle":"","family":"Timor-Tritsch","given":"Ilan E.","non-dropping-particle":"","parse-names":false,"suffix":""},{"dropping-particle":"","family":"Carr","given":"Stephen R.","non-dropping-particle":"","parse-names":false,"suffix":""},{"dropping-particle":"","family":"Wolfe","given":"Honor M.","non-dropping-particle":"","parse-names":false,"suffix":""},{"dropping-particle":"","family":"D'Alton","given":"Mary E.","non-dropping-particle":"","parse-names":false,"suffix":""}],"container-title":"Obstetrics and Gynecology","id":"ITEM-4","issue":"2","issued":{"date-parts":[["2005","8"]]},"language":"eng","page":"260-267","title":"Quad screen as a predictor of adverse pregnancy outcome","type":"article-journal","volume":"106"},"uri":["http://zotero.org/users/1729781/items/VJMUXR7K"],"uris":["http://zotero.org/users/1729781/items/VJMUXR7K","http://www.mendeley.com/documents/?uuid=60e89ceb-f28b-459e-846f-d082136c686f"]}],"mendeley":{"formattedCitation":"[1–4]","plainTextFormattedCitation":"[1–4]","previouslyFormattedCitation":"[1–4]"},"properties":{"formattedCitation":"[1\\uc0\\u8211{}4]","noteIndex":0,"plainCitation":"[1–4]"},"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szCs w:val="24"/>
        </w:rPr>
        <w:t>[1–4]</w:t>
      </w:r>
      <w:r w:rsidRPr="00D92729">
        <w:rPr>
          <w:sz w:val="24"/>
          <w:szCs w:val="24"/>
          <w:lang w:val="en-US"/>
        </w:rPr>
        <w:fldChar w:fldCharType="end"/>
      </w:r>
      <w:r w:rsidRPr="00D92729">
        <w:rPr>
          <w:sz w:val="24"/>
          <w:szCs w:val="24"/>
          <w:lang w:val="en-US"/>
        </w:rPr>
        <w:t>. Pregnancy-associated plasma protein A (PAPP-A) is a protease which targets insulin-like growth fa</w:t>
      </w:r>
      <w:r>
        <w:rPr>
          <w:sz w:val="24"/>
          <w:szCs w:val="24"/>
          <w:lang w:val="en-US"/>
        </w:rPr>
        <w:t>ctor binding proteins (IGFPBs)</w:t>
      </w:r>
      <w:r w:rsidRPr="00D92729">
        <w:rPr>
          <w:sz w:val="24"/>
          <w:szCs w:val="24"/>
          <w:lang w:val="en-US"/>
        </w:rPr>
        <w:t xml:space="preserve"> and low first trimester levels have been robustly associated with small</w:t>
      </w:r>
      <w:r>
        <w:rPr>
          <w:sz w:val="24"/>
          <w:szCs w:val="24"/>
          <w:lang w:val="en-US"/>
        </w:rPr>
        <w:t xml:space="preserve"> for gestational age (SGA), pre</w:t>
      </w:r>
      <w:r w:rsidRPr="00D92729">
        <w:rPr>
          <w:sz w:val="24"/>
          <w:szCs w:val="24"/>
          <w:lang w:val="en-US"/>
        </w:rPr>
        <w:t>eclampsia (PE) and spontaneous preterm birth (PTB)</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{"citationID":"w41KzE7c","citationItems":[{"id":"ITEM-1","itemData":{"DOI":"10.1016/j.ajog.2017.12.002","ISSN":"1097-6868","PMID":"29275822","abstract":"Fetal growth restriction is a major determinant of perinatal morbidity and mortality. Screening for fetal growth restriction is a key element of prenatal care but it is recognized to be problematic. Screening using clinical risk assessment and targeting ultrasound to high-risk women is the standard of care in the United States and United Kingdom, but the approach is known to have low sensitivity. Systematic reviews of randomized controlled trials do not demonstrate any benefit from universal ultrasound screening for fetal growth restriction in the third trimester, but the evidence base is not strong. Implementation of universal ultrasound screening in low-risk women in France failed to reduce the risk of complications among small-for-gestational-age infants but did appear to cause iatrogenic harm to false positives. One strategy to making progress is to improve screening by developing more sensitive and specific tests with the key goal of differentiating between healthy small fetuses and those that are small through fetal growth restriction. As abnormal placentation is thought to be the major cause of fetal growth restriction, one approach is to combine fetal biometry with an indicator of placental dysfunction. In the past, these indicators were generally ultrasonic measurements, such as Doppler flow velocimetry of the uteroplacental circulation. However, another promising approach is to combine ultrasonic suspicion of small-for-gestational-age infant with a blood test indicating placental dysfunction. Thus far, much of the research on maternal serum biomarkers for fetal growth restriction has involved the secondary analysis of tests performed for other indications, such as fetal aneuploidies. An exemplar of this is pregnancy-associated plasma protein A. This blood test is performed primarily to assess the risk of Down syndrome, but women with low first-trimester levels are now serially scanned in later pregnancy due to associations with placental causes of stillbirth, including fetal growth restriction. The development of \"omic\" technologies presents a huge opportunity to identify novel biomarkers for fetal growth restriction. The hope is that when such markers are measured alongside ultrasonic fetal biometry, the combination would have strong predictive power for fetal growth restriction and its related complications. However, a series of important methodological considerations in assessing the diagnostic effectiveness of new tests will have to be add…","author":[{"dropping-particle":"","family":"Gaccioli","given":"Francesca","non-dropping-particle":"","parse-names":false,"suffix":""},{"dropping-particle":"","family":"Aye","given":"Irving L M H","non-dropping-particle":"","parse-names":false,"suffix":""},{"dropping-particle":"","family":"Sovio","given":"Ulla","non-dropping-particle":"","parse-names":false,"suffix":""},{"dropping-particle":"","family":"Charnock-Jones","given":"D Stephen","non-dropping-particle":"","parse-names":false,"suffix":""},{"dropping-particle":"","family":"Smith","given":"Gordon C S","non-dropping-particle":"","parse-names":false,"suffix":""}],"container-title":"American journal of obstetrics and gynecology","id":"ITEM-1","issue":"2S","issued":{"date-parts":[["2018","2","1"]]},"page":"S725-S737","publisher":"Elsevier","title":"Screening for fetal growth restriction using fetal biometry combined with maternal biomarkers.","type":"article-journal","volume":"218"},"uri":["http://www.mendeley.com/documents/?uuid=92885934-4ad2-39c3-ad21-fc08911bca0d"],"uris":["http://www.mendeley.com/documents/?uuid=92885934-4ad2-39c3-ad21-fc08911bca0d"]},{"id":"ITEM-2","itemData":{"DOI":"10.1097/01.AOG.0000191302.79560.d8","ISSN":"0029-7844","PMID":"16394054","abstract":"To describe the association between pregnancy associated plasma protein A (PAPP-A), alpha-fetoprotein (AFP) and adverse perinatal outcome.","author":[{"dropping-particle":"","family":"Smith","given":"Gordon C S","non-dropping-particle":"","parse-names":false,"suffix":""},{"dropping-particle":"","family":"Shah","given":"Imran","non-dropping-particle":"","parse-names":false,"suffix":""},{"dropping-particle":"","family":"Crossley","given":"Jennifer A","non-dropping-particle":"","parse-names":false,"suffix":""},{"dropping-particle":"","family":"Aitken","given":"David A","non-dropping-particle":"","parse-names":false,"suffix":""},{"dropping-particle":"","family":"Pell","given":"Jill P","non-dropping-particle":"","parse-names":false,"suffix":""},{"dropping-particle":"","family":"Nelson","given":"Scott M","non-dropping-particle":"","parse-names":false,"suffix":""},{"dropping-particle":"","family":"Cameron","given":"Alan D","non-dropping-particle":"","parse-names":false,"suffix":""},{"dropping-particle":"","family":"Connor","given":"Michael J","non-dropping-particle":"","parse-names":false,"suffix":""},{"dropping-particle":"","family":"Dobbie","given":"Richard","non-dropping-particle":"","parse-names":false,"suffix":""}],"container-title":"Obstetrics and gynecology","id":"ITEM-2","issue":"1","issued":{"date-parts":[["2006"]]},"page":"161-6","title":"Pregnancy-associated plasma protein A and alpha-fetoprotein and prediction of adverse perinatal outcome.","type":"article-journal","volume":"107"},"uri":["http://www.mendeley.com/documents/?uuid=094bf165-664f-3c8e-95d0-385db7c0610f"],"uris":["http://www.mendeley.com/documents/?uuid=094bf165-664f-3c8e-95d0-385db7c0610f"]},{"id":"ITEM-3","itemData":{"DOI":"10.1210/jcem.87.4.8430","ISSN":"0021-972X","author":[{"dropping-particle":"","family":"Smith","given":"Gordon C. S.","non-dropping-particle":"","parse-names":false,"suffix":""},{"dropping-particle":"","family":"Stenhouse","given":"Emily J.","non-dropping-particle":"","parse-names":false,"suffix":""},{"dropping-particle":"","family":"Crossley","given":"Jennifer A.","non-dropping-particle":"","parse-names":false,"suffix":""},{"dropping-particle":"","family":"Aitken","given":"David A.","non-dropping-particle":"","parse-names":false,"suffix":""},{"dropping-particle":"","family":"Cameron","given":"Alan D.","non-dropping-particle":"","parse-names":false,"suffix":""},{"dropping-particle":"","family":"Connor","given":"J. Michael","non-dropping-particle":"","parse-names":false,"suffix":""}],"container-title":"The Journal of Clinical Endocrinology &amp; Metabolism","id":"ITEM-3","issue":"4","issued":{"date-parts":[["2002","4","1"]]},"page":"1762-1767","publisher":"Oxford University Press","title":"Early Pregnancy Levels of Pregnancy-Associated Plasma Protein A and the Risk of Intrauterine Growth Restriction, Premature Birth, Preeclampsia, and Stillbirth","type":"article-journal","volume":"87"},"uri":["http://www.mendeley.com/documents/?uuid=c0fd7f5f-fc3c-3927-a0e7-8cd2d6a936a5"],"uris":["http://www.mendeley.com/documents/?uuid=c0fd7f5f-fc3c-3927-a0e7-8cd2d6a936a5"]},{"id":"ITEM-4","itemData":{"DOI":"10.1002/pd.4141","ISSN":"01973851","author":[{"dropping-particle":"","family":"D'Antonio","given":"Francesco","non-dropping-particle":"","parse-names":false,"suffix":""},{"dropping-particle":"","family":"Rijo","given":"Claudia","non-dropping-particle":"","parse-names":false,"suffix":""},{"dropping-particle":"","family":"Thilaganathan","given":"Basky","non-dropping-particle":"","parse-names":false,"suffix":""},{"dropping-particle":"","family":"Akolekar","given":"Ranjit","non-dropping-particle":"","parse-names":false,"suffix":""},{"dropping-particle":"","family":"Khalil","given":"Asma","non-dropping-particle":"","parse-names":false,"suffix":""},{"dropping-particle":"","family":"Papageourgiou","given":"Aris","non-dropping-particle":"","parse-names":false,"suffix":""},{"dropping-particle":"","family":"Bhide","given":"Amar","non-dropping-particle":"","parse-names":false,"suffix":""}],"container-title":"Prenatal Diagnosis","id":"ITEM-4","issue":"9","issued":{"date-parts":[["2013","9"]]},"page":"839-847","publisher":"Wiley-Blackwell","title":"Association between first-trimester maternal serum pregnancy-associated plasma protein-A and obstetric complications","type":"article-journal","volume":"33"},"uri":["http://www.mendeley.com/documents/?uuid=04268072-da0b-3363-9b5d-938ab55322db"],"uris":["http://www.mendeley.com/documents/?uuid=04268072-da0b-3363-9b5d-938ab55322db"]},{"id":"ITEM-5","itemData":{"DOI":"10.1002/uog.5165","ISSN":"0960-7692","abstract":"OBJECTIVES: To examine the clinical utility of the first-trimester biochemical markers of aneuploidy in their ability to predict subsequent delivery of a small-for-gestational age (SGA) infant.\nMETHODS: We examined singleton pregnancies with no chromosomal abnormality and with complete outcome data that had undergone screening for trisomy 21 by a combination of fetal nuchal translucency (NT) thickness and maternal serum free beta-human chorionic gonadotropin (beta-hCG) and pregnancy-associated plasma protein-A (PAPP-A) at 11 + 0 and 13 + 6 weeks' gestation. The biochemical markers were converted to multiples of the expected normal median (MoM) for a pregnancy of the same gestation. The association between free beta-hCG and PAPP-A and the incidence of SGA were assessed by comparing the relative incidence at MoM cut-offs and birth-weight centile cut-offs. At various marker levels the likelihood ratios (LR) for SGA were also calculated after excluding other adverse pregnancy complications.\nRESULTS: There were 46,262 pregnancies resulting in live births with birth weight at or above the 10(th) centile, and 3,539 below the 10(th) centile for gestation (SGA). There was a significant inverse association between the risk for SGA and maternal serum PAPP-A MoM but not free beta-hCG MoM. At the 5(th) centile of the normal outcome group for PAPP-A (0.415 MoM) the odds ratios for SGA below the 10(th), 5(th) and 3(rd) centiles of normal were 2.70, 3.21 and 3.66 and the respective detection rates for SGA were 12.0%, 14.0% and 16.0%.\nCONCLUSIONS: Low levels of maternal serum PAPP-A are associated, in the absence of an abnormal karyotype, with an increased risk for subsequent delivery of an SGA infant.","author":[{"dropping-particle":"","family":"Spencer","given":"K.","non-dropping-particle":"","parse-names":false,"suffix":""},{"dropping-particle":"","family":"Cowans","given":"N. J.","non-dropping-particle":"","parse-names":false,"suffix":""},{"dropping-particle":"","family":"Avgidou","given":"K.","non-dropping-particle":"","parse-names":false,"suffix":""},{"dropping-particle":"","family":"Molina","given":"F.","non-dropping-particle":"","parse-names":false,"suffix":""},{"dropping-particle":"","family":"Nicolaides","given":"K. H.","non-dropping-particle":"","parse-names":false,"suffix":""}],"container-title":"Ultrasound in Obstetrics &amp; Gynecology: The Official Journal of the International Society of Ultrasound in Obstetrics and Gynecology","id":"ITEM-5","issue":"1","issued":{"date-parts":[["2008","1"]]},"language":"eng","page":"15-19","title":"First-trimester biochemical markers of aneuploidy and the prediction of small-for-gestational age fetuses","type":"article-journal","volume":"31"},"uri":["http://www.mendeley.com/documents/?uuid=7c3c39df-db8f-4372-aea1-13b91b807372"],"uris":["http://www.mendeley.com/documents/?uuid=7c3c39df-db8f-4372-aea1-13b91b807372"]},{"id":"ITEM-6","itemData":{"DOI":"10.1002/uog.5163","ISSN":"0960-7692","abstract":"OBJECTIVES: To examine the clinical utility of the first-trimester markers of aneuploidy in their ability to predict preterm delivery.\nMETHODS: We examined 54 722 singleton pregnancies with no chromosomal abnormality and with complete outcome data that had undergone screening for trisomy 21 by a combination of fetal nuchal translucency (NT) thickness and maternal serum free beta-human chorionic gonadotropin (beta-hCG) and pregnancy-associated plasma protein-A (PAPP-A) at 11 + 0 and 13 + 6 weeks' gestation. The biochemical markers were converted to multiples of the median (MoM) of the expected normal median for a pregnancy of the same gestation and the measurements of fetal NT were expressed as the difference (delta) from the normal median NT for crown-rump length. The association between free beta-hCG, PAPP-A and delta NT and the incidence of preterm delivery before 37 weeks or early preterm delivery before 34 weeks was assessed by comparing the relative incidence at a number of MoM or delta NT cut-offs and at various centile cut-offs. At various marker levels the likelihood ratios (LR) for preterm delivery and early preterm delivery were also calculated after excluding other adverse pregnancy complications.\nRESULTS: The risk of preterm delivery increased with decreasing maternal serum PAPP-A. In the 3132 cases delivering before 37 weeks the PAPP-A MoM was 0.91 and in the 1060 cases delivering before 34 weeks the PAPP-A MoM was 0.90. At the 5th centile of the normal outcome group for PAPP-A (0.415 MoM) the odds ratios for delivery before 37 weeks and before 34 weeks were 1.92 and 2.35, respectively. The respective values for the 5th centile of free beta-hCG (0.41 MoM) were 1.18 and 1.08 and for the 95th centile of delta NT they were 0.91 and 0.77, respectively.\nCONCLUSIONS: Low levels of maternal serum PAPP-A are associated, in the absence of an abnormal karyotype, with an increased risk of preterm or early preterm delivery. The LR profiles provided at various levels of PAPP-A may be of some help in counseling women with such results and may raise awareness among healthcare professionals for increased surveillance in such cases.","author":[{"dropping-particle":"","family":"Spencer","given":"K.","non-dropping-particle":"","parse-names":false,"suffix":""},{"dropping-particle":"","family":"Cowans","given":"N. J.","non-dropping-particle":"","parse-names":false,"suffix":""},{"dropping-particle":"","family":"Molina","given":"F.","non-dropping-particle":"","parse-names":false,"suffix":""},{"dropping-particle":"","family":"Kagan","given":"K. O.","non-dropping-particle":"","parse-names":false,"suffix":""},{"dropping-particle":"","family":"Nicolaides","given":"K. H.","non-dropping-particle":"","parse-names":false,"suffix":""}],"container-title":"Ultrasound in Obstetrics &amp; Gynecology: The Official Journal of the International Society of Ultrasound in Obstetrics and Gynecology","id":"ITEM-6","issue":"2","issued":{"date-parts":[["2008","2"]]},"language":"eng","page":"147-152","title":"First-trimester ultrasound and biochemical markers of aneuploidy and the prediction of preterm or early preterm delivery","type":"article-journal","volume":"31"},"uri":["http://www.mendeley.com/documents/?uuid=95078947-b98e-48f3-b458-765a7961fc29"],"uris":["http://www.mendeley.com/documents/?uuid=95078947-b98e-48f3-b458-765a7961fc29"]},{"id":"ITEM-7","itemData":{"DOI":"10.1002/pd.1890","ISSN":"0197-3851","abstract":"BACKGROUND: Low levels of pregnancy associated plasma protein-A (PAPP-A) have been previously shown to be associated with pregnancies that subsequently develop pre-eclampsia. The objective of this study was to establish the relative risk for pre-eclampsia at various PAPP-A levels as an aid to counselling and follow up of pregnancies.\nMETHODS: Maternal serum PAPP-A and free ss-human chorionic gonadotropin (ss-hCG) levels at 11 to 13 weeks of gestation from 224 singleton pregnancies that subsequently developed pre-eclampsia were compared to those from 47,770 normal singleton pregnancies resulting in live births after 37 weeks with birth weight greater than or equal to the 10th centile of normal for gestation. In all cases, the measured PAPP-A and free ss-hCG levels were expressed as multiple of the median (MoM). The association between metabolite levels and the incidence of pre-eclampsia was assessed by comparing the relative incidence at a number of MoM cut-offs and at various centiles. At various marker levels, the likelihood ratio for pre-eclampsia was also calculated.\nRESULTS: In the pre-eclampsia group the median PAPP-A MoM was significantly reduced (0.772 MoM, p &lt; 0.0001) whilst the median free beta-hCG MoM was not different from controls (0.981 MoM, p = 0.26). With decreasing levels of PAPP-A, the likelihood ratio for pre-eclampsia increased. At the 5th centile of normal (PAPP-A MoM 0.415) the odds ratio was increased 4-fold and at this cut-off 15% of cases of pre-eclampsia would be identified.\nCONCLUSIONS: The graphical presentation of a likelihood ratio curve for pre-eclampsia at any PAPP-A MoM level is likely to be useful in counselling women with low levels of PAPP-A and a normal karyotype. Use of low levels of PAPP-A for selecting women for further follow-up with uterine artery Doppler may further improve the clinical discrimination.","author":[{"dropping-particle":"","family":"Spencer","given":"Kevin","non-dropping-particle":"","parse-names":false,"suffix":""},{"dropping-particle":"","family":"Cowans","given":"Nicholas J.","non-dropping-particle":"","parse-names":false,"suffix":""},{"dropping-particle":"","family":"Nicolaides","given":"Kypros H.","non-dropping-particle":"","parse-names":false,"suffix":""}],"container-title":"Prenatal Diagnosis","id":"ITEM-7","issue":"1","issued":{"date-parts":[["2008","1"]]},"language":"eng","page":"7-10","title":"Low levels of maternal serum PAPP-A in the first trimester and the risk of pre-eclampsia","type":"article-journal","volume":"28"},"uri":["http://www.mendeley.com/documents/?uuid=f1bc7a84-39c2-4f27-a4de-6a9dfd1b6b25"],"uris":["http://www.mendeley.com/documents/?uuid=f1bc7a84-39c2-4f27-a4de-6a9dfd1b6b25"]}],"mendeley":{"formattedCitation":"[2,5–10]","plainTextFormattedCitation":"[2,5–10]","previouslyFormattedCitation":"[2,5–10]"},"properties":{"formattedCitation":"[2,5\\uc0\\u8211{}10]","noteIndex":0,"plainCitation":"[2,5–10]"},"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szCs w:val="24"/>
        </w:rPr>
        <w:t>[2,5–10]</w:t>
      </w:r>
      <w:r w:rsidRPr="00D92729">
        <w:rPr>
          <w:sz w:val="24"/>
          <w:szCs w:val="24"/>
          <w:lang w:val="en-US"/>
        </w:rPr>
        <w:fldChar w:fldCharType="end"/>
      </w:r>
      <w:r w:rsidRPr="00D92729">
        <w:rPr>
          <w:sz w:val="24"/>
          <w:szCs w:val="24"/>
          <w:lang w:val="en-US"/>
        </w:rPr>
        <w:t>. Alpha fetoprotein (AFP) is a protein of fetal origin, and raised levels measured in the second trimester have been similarly linked to adverse outcomes</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{"citationID":"aqHZbDmD","citationItems":[{"id":"ITEM-1","itemData":{"DOI":"10.1016/j.ajog.2017.12.002","ISSN":"1097-6868","PMID":"29275822","abstract":"Fetal growth restriction is a major determinant of perinatal morbidity and mortality. Screening for fetal growth restriction is a key element of prenatal care but it is recognized to be problematic. Screening using clinical risk assessment and targeting ultrasound to high-risk women is the standard of care in the United States and United Kingdom, but the approach is known to have low sensitivity. Systematic reviews of randomized controlled trials do not demonstrate any benefit from universal ultrasound screening for fetal growth restriction in the third trimester, but the evidence base is not strong. Implementation of universal ultrasound screening in low-risk women in France failed to reduce the risk of complications among small-for-gestational-age infants but did appear to cause iatrogenic harm to false positives. One strategy to making progress is to improve screening by developing more sensitive and specific tests with the key goal of differentiating between healthy small fetuses and those that are small through fetal growth restriction. As abnormal placentation is thought to be the major cause of fetal growth restriction, one approach is to combine fetal biometry with an indicator of placental dysfunction. In the past, these indicators were generally ultrasonic measurements, such as Doppler flow velocimetry of the uteroplacental circulation. However, another promising approach is to combine ultrasonic suspicion of small-for-gestational-age infant with a blood test indicating placental dysfunction. Thus far, much of the research on maternal serum biomarkers for fetal growth restriction has involved the secondary analysis of tests performed for other indications, such as fetal aneuploidies. An exemplar of this is pregnancy-associated plasma protein A. This blood test is performed primarily to assess the risk of Down syndrome, but women with low first-trimester levels are now serially scanned in later pregnancy due to associations with placental causes of stillbirth, including fetal growth restriction. The development of \"omic\" technologies presents a huge opportunity to identify novel biomarkers for fetal growth restriction. The hope is that when such markers are measured alongside ultrasonic fetal biometry, the combination would have strong predictive power for fetal growth restriction and its related complications. However, a series of important methodological considerations in assessing the diagnostic effectiveness of new tests will have to be add…","author":[{"dropping-particle":"","family":"Gaccioli","given":"Francesca","non-dropping-particle":"","parse-names":false,"suffix":""},{"dropping-particle":"","family":"Aye","given":"Irving L M H","non-dropping-particle":"","parse-names":false,"suffix":""},{"dropping-particle":"","family":"Sovio","given":"Ulla","non-dropping-particle":"","parse-names":false,"suffix":""},{"dropping-particle":"","family":"Charnock-Jones","given":"D Stephen","non-dropping-particle":"","parse-names":false,"suffix":""},{"dropping-particle":"","family":"Smith","given":"Gordon C S","non-dropping-particle":"","parse-names":false,"suffix":""}],"container-title":"American journal of obstetrics and gynecology","id":"ITEM-1","issue":"2S","issued":{"date-parts":[["2018","2","1"]]},"page":"S725-S737","publisher":"Elsevier","title":"Screening for fetal growth restriction using fetal biometry combined with maternal biomarkers.","type":"article-journal","volume":"218"},"uri":["http://www.mendeley.com/documents/?uuid=92885934-4ad2-39c3-ad21-fc08911bca0d"],"uris":["http://www.mendeley.com/documents/?uuid=92885934-4ad2-39c3-ad21-fc08911bca0d"]},{"id":"ITEM-2","itemData":{"DOI":"10.1097/01.AOG.0000191302.79560.d8","ISSN":"0029-7844","PMID":"16394054","abstract":"To describe the association between pregnancy associated plasma protein A (PAPP-A), alpha-fetoprotein (AFP) and adverse perinatal outcome.","author":[{"dropping-particle":"","family":"Smith","given":"Gordon C S","non-dropping-particle":"","parse-names":false,"suffix":""},{"dropping-particle":"","family":"Shah","given":"Imran","non-dropping-particle":"","parse-names":false,"suffix":""},{"dropping-particle":"","family":"Crossley","given":"Jennifer A","non-dropping-particle":"","parse-names":false,"suffix":""},{"dropping-particle":"","family":"Aitken","given":"David A","non-dropping-particle":"","parse-names":false,"suffix":""},{"dropping-particle":"","family":"Pell","given":"Jill P","non-dropping-particle":"","parse-names":false,"suffix":""},{"dropping-particle":"","family":"Nelson","given":"Scott M","non-dropping-particle":"","parse-names":false,"suffix":""},{"dropping-particle":"","family":"Cameron","given":"Alan D","non-dropping-particle":"","parse-names":false,"suffix":""},{"dropping-particle":"","family":"Connor","given":"Michael J","non-dropping-particle":"","parse-names":false,"suffix":""},{"dropping-particle":"","family":"Dobbie","given":"Richard","non-dropping-particle":"","parse-names":false,"suffix":""}],"container-title":"Obstetrics and gynecology","id":"ITEM-2","issue":"1","issued":{"date-parts":[["2006"]]},"page":"161-6","title":"Pregnancy-associated plasma protein A and alpha-fetoprotein and prediction of adverse perinatal outcome.","type":"article-journal","volume":"107"},"uri":["http://www.mendeley.com/documents/?uuid=094bf165-664f-3c8e-95d0-385db7c0610f"],"uris":["http://www.mendeley.com/documents/?uuid=094bf165-664f-3c8e-95d0-385db7c0610f"]},{"id":"ITEM-3","itemData":{"DOI":"10.1002/uog.14899","ISSN":"1469-0705","abstract":"OBJECTIVE: To investigate the value of maternal serum concentrations of placental growth factor (PlGF), soluble fms-like tyrosine kinase-1 (sFlt-1), pregnancy-associated plasma protein-A (PAPP-A), free β-human chorionic gonadotropin (β-hCG) and α-fetoprotein (AFP) at 19-24 weeks' gestation, in combination with maternal factors and fetal biometry, in the prediction of delivery of small-for-gestational-age (SGA) neonates, in the absence of pre-eclampsia (PE) and examine the potential value of such assessment in deciding whether the third-trimester scan should be performed at 32 and/or 36 weeks' gestation.\nMETHODS: This was a screening study in 9715 singleton pregnancies, including 481 (5.0%) that delivered SGA neonates with birth weight &lt; 5(th) percentile (SGA &lt; 5(th) ), in the absence of PE. Multivariable logistic regression analysis was used to determine if screening by a combination of maternal factors, Z-scores of fetal head circumference, abdominal circumference and femur length, and log10 multiples of the median (MoM) values of PlGF, sFlt-1, PAPP-A, free β-hCG or AFP had a significant contribution to the prediction of SGA neonates. A model was developed in selecting the gestational age for third-trimester assessment, at 32 and/or 36 weeks, based on the results of screening at 19-24 weeks.\nRESULTS: Compared to the normal group, the mean log10 MoM value of PlGF was lower, AFP was higher and sFlt-1, PAPP-A and free β-hCG were not significantly different in the SGA &lt; 5(th) group that delivered &lt; 37 weeks. The detection rate (DR) of combined screening by maternal factors, fetal biometry and serum PlGF and AFP at 19-24 weeks was 100%, 76% and 38% for SGA &lt; 5(th) delivering &lt; 32, 32-36 and ≥ 37 weeks' gestation, respectively, at a false-positive rate (FPR) of 10%. In a hypothetical model, it was estimated that, if the desired objective of prenatal screening is to predict about 80% of the cases of SGA &lt; 5(th) , it would be necessary to select 11% of the population at the 19-24-week assessment to be reassessed at 32 weeks and 46% to be reassessed at 36 weeks; 54% would not require a third-trimester scan.\nCONCLUSION: Prenatal prediction of a high proportion of SGA neonates necessitates the undertaking of screening in the third trimester of pregnancy, in addition to assessment in the second trimester, and the timing of such screening, at 32 and/or 36 weeks, should be contingent on the results of the assessment at 19-24 weeks.","author":[{"dropping-particle":"","family":"Lesmes","given":"C.","non-dropping-particle":"","parse-names":false,"suffix":""},{"dropping-particle":"","family":"Gallo","given":"D. M.","non-dropping-particle":"","parse-names":false,"suffix":""},{"dropping-particle":"","family":"Gonzalez","given":"R.","non-dropping-particle":"","parse-names":false,"suffix":""},{"dropping-particle":"","family":"Poon","given":"L. C.","non-dropping-particle":"","parse-names":false,"suffix":""},{"dropping-particle":"","family":"Nicolaides","given":"K. H.","non-dropping-particle":"","parse-names":false,"suffix":""}],"container-title":"Ultrasound in Obstetrics &amp; Gynecology: The Official Journal of the International Society of Ultrasound in Obstetrics and Gynecology","id":"ITEM-3","issue":"3","issued":{"date-parts":[["2015","9"]]},"language":"eng","page":"341-349","title":"Prediction of small-for-gestational-age neonates: screening by maternal serum biochemical markers at 19-24 weeks","type":"article-journal","volume":"46"},"uri":["http://www.mendeley.com/documents/?uuid=d3570e9b-9bb4-4717-a625-5cd89a534d48"],"uris":["http://www.mendeley.com/documents/?uuid=d3570e9b-9bb4-4717-a625-5cd89a534d48"]},{"id":"ITEM-4","itemData":{"ISSN":"0029-7844","abstract":"OBJECTIVE: To determine whether high levels of serum alpha-fetoprotein (AFP) predict increased risk of adverse pregnancy outcomes, including preterm birth (before 37 weeks), preterm birth occurring at or before 28 weeks, small for gestational age (SGA) infant, preeclampsia, and placental abnormalities, and to determine whether low levels of serum AFP predict increased or decreased risk of these outcomes.\nMETHODS: Using the mother's first name, last name, and zip code, we linked the records of 51,008 women who participated in the California Alpha-Fetoprotein Screening Program between June 15, 1986, and October 31, 1987, with California birth certificates for singleton infants born in 1987. The accuracy of the data linkage was confirmed by manually examining complete names, mother's ethnicity, and mother's age for a sample of 500 of the mother-infant linkages. Blood samples were obtained at 15-19 weeks.\nRESULTS: A strong gradient of increasing risk of preterm birth with increasing levels of serum AFP was observed (test for trend, P &lt; .01). Among women with high levels of serum AFP (at least 2.5 multiples of the median [MoM]), 24.3% had preterm births, compared with 3.8% of women with low levels of serum AFP (0.81 MoM or less), odds ratio 8.7, 95% confidence interval 7.1-10.7). This gradient persisted when preterm infants of 28 weeks or less were examined separately. Similar gradients were observed for the risk of preeclampsia and placental abnormalities. There was a weaker U-shaped relation between serum AFP level and the risk of an SGA infant.\nCONCLUSION: Low levels of second-trimester maternal serum AFP are associated with a very low risk of preterm birth, preeclampsia, and placental complications. High levels of serum AFP are strongly associated with preterm birth, preeclampsia, and placental abnormalities. There is a modest association between AFP levels (both low and high) and SGA birth.","author":[{"dropping-particle":"","family":"Waller","given":"D. K.","non-dropping-particle":"","parse-names":false,"suffix":""},{"dropping-particle":"","family":"Lustig","given":"L. S.","non-dropping-particle":"","parse-names":false,"suffix":""},{"dropping-particle":"","family":"Cunningham","given":"G. C.","non-dropping-particle":"","parse-names":false,"suffix":""},{"dropping-particle":"","family":"Feuchtbaum","given":"L. B.","non-dropping-particle":"","parse-names":false,"suffix":""},{"dropping-particle":"","family":"Hook","given":"E. B.","non-dropping-particle":"","parse-names":false,"suffix":""}],"container-title":"Obstetrics and Gynecology","id":"ITEM-4","issue":"5","issued":{"date-parts":[["1996","11"]]},"language":"eng","page":"816-822","title":"The association between maternal serum alpha-fetoprotein and preterm birth, small for gestational age infants, preeclampsia, and placental complications","type":"article-journal","volume":"88"},"uri":["http://www.mendeley.com/documents/?uuid=9a6561cb-566d-408b-b8b3-19052122d253"],"uris":["http://www.mendeley.com/documents/?uuid=9a6561cb-566d-408b-b8b3-19052122d253"]},{"id":"ITEM-5","itemData":{"ISSN":"0029-7844","abstract":"OBJECTIVE: To determine the risk of adverse pregnancy outcome by maternal serum alpha-fetoprotein (MSAFP) level.\nMETHODS: We followed 77,149 pregnant women and their infants from MSAFP screening in the 15th to 20th week of gestation until 1 year after birth. Information on pregnancy outcome was obtained from national registries. The relative risks (RRs) and 95% confidence intervals (CIs) for adverse pregnancy outcome were estimated according to the level of MSAFP, with adjustment for confounders.\nRESULTS: A total of 638 pregnancies resulted in spontaneous abortion, 289 in stillbirth, and 437 in infant death. Compared with women with MSAFP levels at 0.75-1.24 multiples of the median (MoM), those with MSAFP levels greater than or equal to 2.5 MoM had an increased risk of spontaneous abortion (RR 12.5; 95% CI 9.7, 16.1), preterm birth (RR 4.8; 95% CI 4.1, 5.5), small for gestational age (RR 2.8; 95% CI 2.4, 3.2), low birth weight (RR 5.8; 95% CI 5.0, 6.6), and infant death (RR 1.9; 95% CI 1.2, 2.8). Women with MSAFP levels below 0.25 MoM had an increased risk of spontaneous abortion (RR 15.1; 95% CI 9.3, 24.8), preterm birth (RR 2.2; 95% CI 1.3, 3.8), and stillbirth (RR 4.0; 95% CI 1.0, 16.0); those with levels less than 0.5 MoM had an increased risk of infant death (RR 1.9; 95% CI 1.2, 3.0). The increased risk of infant death remained after the subtraction of recognized conditions associated with extreme MSAFP values.\nCONCLUSION: Pregnant women with extreme MSAFP values in the second trimester have an increased risk of fetal and infant deaths. Obstet Gynecol 2001;97:277-82.","author":[{"dropping-particle":"","family":"Krause","given":"T. G.","non-dropping-particle":"","parse-names":false,"suffix":""},{"dropping-particle":"","family":"Christens","given":"P.","non-dropping-particle":"","parse-names":false,"suffix":""},{"dropping-particle":"","family":"Wohlfahrt","given":"J.","non-dropping-particle":"","parse-names":false,"suffix":""},{"dropping-particle":"","family":"Lei","given":"U.","non-dropping-particle":"","parse-names":false,"suffix":""},{"dropping-particle":"","family":"Westergaard","given":"T.","non-dropping-particle":"","parse-names":false,"suffix":""},{"dropping-particle":"","family":"Nørgaard-Pedersen","given":"B.","non-dropping-particle":"","parse-names":false,"suffix":""},{"dropping-particle":"","family":"Melbye","given":"M.","non-dropping-particle":"","parse-names":false,"suffix":""}],"container-title":"Obstetrics and Gynecology","id":"ITEM-5","issue":"2","issued":{"date-parts":[["2001","2"]]},"language":"eng","page":"277-282","title":"Second-trimester maternal serum alpha-fetoprotein and risk of adverse pregnancy outcome(1)","type":"article-journal","volume":"97"},"uri":["http://www.mendeley.com/documents/?uuid=c62d0632-5d8a-40f4-9371-07927897a9de"],"uris":["http://www.mendeley.com/documents/?uuid=c62d0632-5d8a-40f4-9371-07927897a9de"]}],"mendeley":{"formattedCitation":"[2,5,11–13]","plainTextFormattedCitation":"[2,5,11–13]","previouslyFormattedCitation":"[2,5,11–13]"},"properties":{"formattedCitation":"[2,5,11\\uc0\\u8211{}13]","noteIndex":0,"plainCitation":"[2,5,11–13]"},"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szCs w:val="24"/>
        </w:rPr>
        <w:t>[2,5,11–13]</w:t>
      </w:r>
      <w:r w:rsidRPr="00D92729">
        <w:rPr>
          <w:sz w:val="24"/>
          <w:szCs w:val="24"/>
          <w:lang w:val="en-US"/>
        </w:rPr>
        <w:fldChar w:fldCharType="end"/>
      </w:r>
      <w:r w:rsidRPr="00D92729">
        <w:rPr>
          <w:sz w:val="24"/>
          <w:szCs w:val="24"/>
          <w:lang w:val="en-US"/>
        </w:rPr>
        <w:t>. Unlike PAPP-A, which influences availability of important placental insulin-like growth factors (IGFs) and directly impacts on fetal growth</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{"citationID":"k1XWrsXT","citationItems":[{"id":"ITEM-1","itemData":{"DOI":"10.1242/dev.00997","ISSN":"0950-1991","PMID":"14973274","abstract":"Pregnancy-associated plasma protein A (PAPPA) is a metzincin superfamily metalloproteinase in the insulin-like growth factor (IGF) system. PAPPA increases IGF bioavailability and mitogenic effectiveness in vitro through regulated cleavage of IGF-binding protein 4 (IGFBP4). To determine its function in vivo, we generated PAPPA-null mice by gene targeting. Mice homozygous for targeted disruption of the PAPPA gene were viable but 60% the size of wild-type littermates at birth. The impact of the mutation was exerted during the early embryonic period prior to organogenesis, resulting in proportional dwarfism. PAPPA, IGF2 and IGFBP4 transcripts co-localized in wild-type embryos, and expression of IGF2 and IGFBP4 mRNA was not altered in PAPPA-deficient embryos. However, IGFBP4 proteolytic activity was completely lacking in fibroblasts derived from PAPPA-deficient embryos, and IGFBP4 effectively inhibited IGF-stimulated mitogenesis in these cells. These results provide the first direct evidence that PAPPA is an essential growth regulatory factor in vivo, and suggest a novel mechanism for regulated IGF bioavailability during early fetal development.","author":[{"dropping-particle":"","family":"Conover","given":"C. A.","non-dropping-particle":"","parse-names":false,"suffix":""},{"dropping-particle":"","family":"Bale","given":"Laurie K","non-dropping-particle":"","parse-names":false,"suffix":""},{"dropping-particle":"","family":"Overgaard","given":"Michael T","non-dropping-particle":"","parse-names":false,"suffix":""},{"dropping-particle":"","family":"Johnstone","given":"Edward W","non-dropping-particle":"","parse-names":false,"suffix":""},{"dropping-particle":"","family":"Laursen","given":"Ulla H","non-dropping-particle":"","parse-names":false,"suffix":""},{"dropping-particle":"","family":"Füchtbauer","given":"Ernst-Martin","non-dropping-particle":"","parse-names":false,"suffix":""},{"dropping-particle":"","family":"Oxvig","given":"Claus","non-dropping-particle":"","parse-names":false,"suffix":""},{"dropping-particle":"","family":"Deursen","given":"Jan","non-dropping-particle":"van","parse-names":false,"suffix":""}],"container-title":"Development","id":"ITEM-1","issue":"5","issued":{"date-parts":[["2004","3","1"]]},"page":"1187-1194","title":"Metalloproteinase pregnancy-associated plasma protein A is a critical growth regulatory factor during fetal development","type":"article-journal","volume":"131"},"uri":["http://www.mendeley.com/documents/?uuid=192a3eb9-94f5-36c3-b7ac-442bdf061eb1"],"uris":["http://www.mendeley.com/documents/?uuid=192a3eb9-94f5-36c3-b7ac-442bdf061eb1"]}],"mendeley":{"formattedCitation":"[14]","plainTextFormattedCitation":"[14]","previouslyFormattedCitation":"[14]"},"properties":{"formattedCitation":"[14]","noteIndex":0,"plainCitation":"[14]"},"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[14]</w:t>
      </w:r>
      <w:r w:rsidRPr="00D92729">
        <w:rPr>
          <w:sz w:val="24"/>
          <w:szCs w:val="24"/>
          <w:lang w:val="en-US"/>
        </w:rPr>
        <w:fldChar w:fldCharType="end"/>
      </w:r>
      <w:r w:rsidRPr="00D92729">
        <w:rPr>
          <w:sz w:val="24"/>
          <w:szCs w:val="24"/>
          <w:lang w:val="en-US"/>
        </w:rPr>
        <w:t>, high maternal serum AFP is thought to reflect excessive placental permeability</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{"citationID":"I67FjeMy","citationItems":[{"id":"ITEM-1","itemData":{"DOI":"10.1172/JCI118277","ISSN":"0021-9738","abstract":"We investigated the mechanisms of alphafetoprotein (AFP) transfer across the human placenta by correlating measurements of AFP transfer with cytochemical localization of AFP. Placental cotyledons were dually perfused in vitro with either the fetal or maternal perfusate containing umbilical cord plasma as a source of AFP. Steady state AFP clearance, corrected for release of endogenous AFP, was 0.973 +/- 0.292 microliter/min per gram in the fetal to maternal direction (n = 10), significantly higher (P &lt; 0.02) than that in the maternal to fetal direction (n = 5; 0.022 +/- 0.013 microliter/min per gram). Clearance of a similarly sized protein, horseradish peroxidase was also asymmetric but clearance of the small tracer creatinine was not. Using a monoclonal antibody, we localized AFP to fibrinoid deposits in regions of villi with discontinuities of the syncytiotrophoblast, to cytotrophoblast cells in these deposits, to syncytiotrophoblast on some villi, and to trophoblast cells in the decidua. We conclude that AFP transfer in the placenta is asymmetric and that there are two available pathways for AFP transfer: (a) from the fetal circulation into the villous core and across fibrinoid deposits at discontinuities in the villous syncytiotrophoblast to enter the maternal circulation; and (b) AFP present in the decidua could enter vessels that traverse the basal plate.","author":[{"dropping-particle":"","family":"Brownbill","given":"P.","non-dropping-particle":"","parse-names":false,"suffix":""},{"dropping-particle":"","family":"Edwards","given":"D.","non-dropping-particle":"","parse-names":false,"suffix":""},{"dropping-particle":"","family":"Jones","given":"C.","non-dropping-particle":"","parse-names":false,"suffix":""},{"dropping-particle":"","family":"Mahendran","given":"D.","non-dropping-particle":"","parse-names":false,"suffix":""},{"dropping-particle":"","family":"Owen","given":"D.","non-dropping-particle":"","parse-names":false,"suffix":""},{"dropping-particle":"","family":"Sibley","given":"C.","non-dropping-particle":"","parse-names":false,"suffix":""},{"dropping-particle":"","family":"Johnson","given":"R.","non-dropping-particle":"","parse-names":false,"suffix":""},{"dropping-particle":"","family":"Swanson","given":"P.","non-dropping-particle":"","parse-names":false,"suffix":""},{"dropping-particle":"","family":"Nelson","given":"D. M.","non-dropping-particle":"","parse-names":false,"suffix":""}],"container-title":"The Journal of Clinical Investigation","id":"ITEM-1","issue":"5","issued":{"date-parts":[["1995","11"]]},"language":"eng","page":"2220-2226","title":"Mechanisms of alphafetoprotein transfer in the perfused human placental cotyledon from uncomplicated pregnancy","type":"article-journal","volume":"96"},"uri":["http://www.mendeley.com/documents/?uuid=76a80c47-61fd-4dc3-9d7a-ed6a8cbe7508"],"uris":["http://www.mendeley.com/documents/?uuid=76a80c47-61fd-4dc3-9d7a-ed6a8cbe7508"]}],"mendeley":{"formattedCitation":"[15]","plainTextFormattedCitation":"[15]","previouslyFormattedCitation":"[15]"},"properties":{"formattedCitation":"[15]","noteIndex":0,"plainCitation":"[15]"},"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[15]</w:t>
      </w:r>
      <w:r w:rsidRPr="00D92729">
        <w:rPr>
          <w:sz w:val="24"/>
          <w:szCs w:val="24"/>
          <w:lang w:val="en-US"/>
        </w:rPr>
        <w:fldChar w:fldCharType="end"/>
      </w:r>
      <w:r w:rsidRPr="00D92729">
        <w:rPr>
          <w:sz w:val="24"/>
          <w:szCs w:val="24"/>
          <w:lang w:val="en-US"/>
        </w:rPr>
        <w:t>. However, secondary analyses of data where PAPP-A has been measured in the first trimester and AFP in the second trimester have shown a synergistic relationship between the two markers, with a combination of low PAPP-A and high AFP being strongly associated with SGA and s</w:t>
      </w:r>
      <w:r>
        <w:rPr>
          <w:sz w:val="24"/>
          <w:szCs w:val="24"/>
          <w:lang w:val="en-US"/>
        </w:rPr>
        <w:t xml:space="preserve">pontaneous </w:t>
      </w:r>
      <w:r w:rsidRPr="00D92729">
        <w:rPr>
          <w:sz w:val="24"/>
          <w:szCs w:val="24"/>
          <w:lang w:val="en-US"/>
        </w:rPr>
        <w:t>PTB</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{"citationID":"PPdkIMeZ","citationItems":[{"id":"ITEM-1","itemData":{"DOI":"10.1097/01.AOG.0000191302.79560.d8","ISSN":"0029-7844","PMID":"16394054","abstract":"To describe the association between pregnancy associated plasma protein A (PAPP-A), alpha-fetoprotein (AFP) and adverse perinatal outcome.","author":[{"dropping-particle":"","family":"Smith","given":"Gordon C S","non-dropping-particle":"","parse-names":false,"suffix":""},{"dropping-particle":"","family":"Shah","given":"Imran","non-dropping-particle":"","parse-names":false,"suffix":""},{"dropping-particle":"","family":"Crossley","given":"Jennifer A","non-dropping-particle":"","parse-names":false,"suffix":""},{"dropping-particle":"","family":"Aitken","given":"David A","non-dropping-particle":"","parse-names":false,"suffix":""},{"dropping-particle":"","family":"Pell","given":"Jill P","non-dropping-particle":"","parse-names":false,"suffix":""},{"dropping-particle":"","family":"Nelson","given":"Scott M","non-dropping-particle":"","parse-names":false,"suffix":""},{"dropping-particle":"","family":"Cameron","given":"Alan D","non-dropping-particle":"","parse-names":false,"suffix":""},{"dropping-particle":"","family":"Connor","given":"Michael J","non-dropping-particle":"","parse-names":false,"suffix":""},{"dropping-particle":"","family":"Dobbie","given":"Richard","non-dropping-particle":"","parse-names":false,"suffix":""}],"container-title":"Obstetrics and gynecology","id":"ITEM-1","issue":"1","issued":{"date-parts":[["2006"]]},"page":"161-6","title":"Pregnancy-associated plasma protein A and alpha-fetoprotein and prediction of adverse perinatal outcome.","type":"article-journal","volume":"107"},"uri":["http://www.mendeley.com/documents/?uuid=094bf165-664f-3c8e-95d0-385db7c0610f"],"uris":["http://www.mendeley.com/documents/?uuid=094bf165-664f-3c8e-95d0-385db7c0610f"]}],"mendeley":{"formattedCitation":"[5]","plainTextFormattedCitation":"[5]","previouslyFormattedCitation":"[5]"},"properties":{"formattedCitation":"[5]","noteIndex":0,"plainCitation":"[5]"},"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[5]</w:t>
      </w:r>
      <w:r w:rsidRPr="00D92729">
        <w:rPr>
          <w:sz w:val="24"/>
          <w:szCs w:val="24"/>
          <w:lang w:val="en-US"/>
        </w:rPr>
        <w:fldChar w:fldCharType="end"/>
      </w:r>
      <w:r w:rsidRPr="00D92729">
        <w:rPr>
          <w:sz w:val="24"/>
          <w:szCs w:val="24"/>
          <w:lang w:val="en-US"/>
        </w:rPr>
        <w:t xml:space="preserve">. </w:t>
      </w:r>
    </w:p>
    <w:p w14:paraId="6710C799" w14:textId="77777777" w:rsidR="00EE23EA" w:rsidRDefault="00EE23EA" w:rsidP="00EE23EA">
      <w:pPr>
        <w:spacing w:line="480" w:lineRule="auto"/>
        <w:jc w:val="both"/>
        <w:outlineLvl w:val="0"/>
        <w:rPr>
          <w:sz w:val="24"/>
          <w:szCs w:val="24"/>
          <w:lang w:val="en-US"/>
        </w:rPr>
      </w:pPr>
      <w:r w:rsidRPr="00D92729">
        <w:rPr>
          <w:sz w:val="24"/>
          <w:szCs w:val="24"/>
          <w:lang w:val="en-US"/>
        </w:rPr>
        <w:tab/>
        <w:t>Whilst these two markers are traditionally measured at different time points in pregnancy, as maternal serum AFP levels begin to rise from the first trimester</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{"citationID":"zgfaLPfk","citationItems":[{"id":"ITEM-1","itemData":{"abstract":"Maternal serum alphafetoprotein was assayed in 436 women presenting for termination of pregnancy at 6 to 12 weeks. The normal range for each week is presented. There was a progressive rise of AFP levels from week 7 onwards, but a clear separation from non-pregnant values was only apparent after 8 weeks. The definition of a 'low normal' range for the identification of cases at risk of Down's syndrome will probably only be possible at 11 weeks or later. Alphafetoprotein; Pregnancy; Fist trimester Inlrodu~on Alphafetoprotein (AFP) is the major circulating protein of the early human fetus [l]. Earlier techniques of measurement could not unambiguously identify AFP in the serum of non-pregnant adults. However, with the development of sensitive radioim-munoassays [2,3] it was possible to demonstrate significant levels of AFP in normal healthy subjects [2]. It is well-known that maternal levels of AFP rise during pregnancy to reach a peak at 32 weeks and then fall to the time of delivery. It is synthesised first by the fetal yolk sac [4,5] and thereafter by the liver. However, although maternal serum AFP levels have been well-documented from 12 weeks onwards [6], there is relatively little data available on AFP levels in the first trimester (Table I [7-141). In particular, it is not clear at what stage the levels begin to show an increase from the baseline levels of the non-pregnant state.","author":[{"dropping-particle":"","family":"Olajide","given":"F","non-dropping-particle":"","parse-names":false,"suffix":""},{"dropping-particle":"","family":"Kitau","given":"M J","non-dropping-particle":"","parse-names":false,"suffix":""},{"dropping-particle":"","family":"Chard","given":"T","non-dropping-particle":"","parse-names":false,"suffix":""}],"container-title":"European Journal of Obstetrics &amp; Gynecolow and Reproductive Biology","id":"ITEM-1","issued":{"date-parts":[["1989"]]},"page":"123-128","title":"Maternal serum AFP levels in the first trimester of pregnancy","type":"article-journal","volume":"30"},"uri":["http://www.mendeley.com/documents/?uuid=2a52c920-85aa-3130-8c4f-57ce317e3834"],"uris":["http://www.mendeley.com/documents/?uuid=2a52c920-85aa-3130-8c4f-57ce317e3834"]}],"mendeley":{"formattedCitation":"[16]","plainTextFormattedCitation":"[16]","previouslyFormattedCitation":"[16]"},"properties":{"formattedCitation":"[16]","noteIndex":0,"plainCitation":"[16]"},"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[16]</w:t>
      </w:r>
      <w:r w:rsidRPr="00D92729">
        <w:rPr>
          <w:sz w:val="24"/>
          <w:szCs w:val="24"/>
          <w:lang w:val="en-US"/>
        </w:rPr>
        <w:fldChar w:fldCharType="end"/>
      </w:r>
      <w:r w:rsidRPr="00D92729">
        <w:rPr>
          <w:sz w:val="24"/>
          <w:szCs w:val="24"/>
          <w:lang w:val="en-US"/>
        </w:rPr>
        <w:t>, it is possible that AFP measured at this time could still be informative, providing earlier, additional information and preventing the need for two blood tests. Furthermore, AFP and PAPP-A require correction for maternal weight and gestational age at the time of measurement in screening for aneuploidy</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mRBAdNw3","citationItems":[{"id":"ITEM-1","itemData":{"DOI":"10.1002/pd.708","ISSN":"0197-3851","author":[{"dropping-particle":"","family":"Spencer","given":"Kevin","non-dropping-particle":"","parse-names":false,"suffix":""},{"dropping-particle":"","family":"Bindra","given":"Renu","non-dropping-particle":"","parse-names":false,"suffix":""},{"dropping-particle":"","family":"Nicolaides","given":"Kypros H.","non-dropping-particle":"","parse-names":false,"suffix":""}],"container-title":"Prenatal Diagnosis","id":"ITEM-1","issue":"10","issued":{"date-parts":[["2003","10","1"]]},"page":"851-855","publisher":"Wiley-Blackwell","title":"Maternal weight correction of maternal serum PAPP-A and free ?-hCG MoM when screening for trisomy 21 in the first trimester of pregnancy","type":"article-journal","volume":"23"},"uri":["http://www.mendeley.com/documents/?uuid=41802972-0689-3447-a2f6-89cef535f8cf"],"uris":["http://www.mendeley.com/documents/?uuid=41802972-0689-3447-a2f6-89cef535f8cf"]},{"id":"ITEM-2","itemData":{"DOI":"10.1136/jcp.2005.034280","ISSN":"0021-9746","PMID":"16603647","abstract":"BACKGROUND Adjusting maternal serum markers for maternal weight is considered to be a standard practice when screening for pregnancies associated with Down's syndrome. The choice of model for taking maternal weight into account is, however, rarely explicitly evaluated. METHOD The relationship between the maternal serum markers alphafetoprotein (AFP), human chorionic gonadotropin (HCG) and unconjugated oestriol (uE3), determined with the Beckman Coulter access reagents and maternal weight was investigated in a cohort of 752 Belgian women being screened for pregnancy associated with Down's syndrome. Two different models (the log-linear equation and the linear-reciprocal equation) were used to determine the relationship between the serum markers and maternal weight. RESULTS A significant relationship between log(10) multiples of median (MoM) values and weight (kg) was obtained for all markers, and the log-linear model had higher coefficients of determination (r(2)) when compared with the linear-reciprocal model. Weight correction with either method achieved the optimum effect that the correction factor for a woman with a population median weight of 65.5 kg was not significantly different from 1. Simulated weight-corrected MoM values with the two approaches were compared and variation was estimated. The mean difference between the weight-corrected MoM values calculated by the two methods was 7.8% (SD 4.3%) for AFP, 14.0% (4.4%) for HCG and 5.9% (3.2%) for uE3. This resulted in a difference in risk estimate of 1.66-5.34% for Down's syndrome owing to weight correction algorithm differences in women of median weight. CONCLUSION The log-linear weight correction approach was shown to be marginally more effective by a goodness-of-fit analysis. Differences in weight-corrected MoM values estimated with the two approaches are highly significant (p&lt;0.0001, Wilcoxon's paired sample test), but the effect on risk calculation was not significant. It was observed that the changes in risk became significant the more the MoM correction factors deviated from 1.","author":[{"dropping-particle":"","family":"Reynolds","given":"T M","non-dropping-particle":"","parse-names":false,"suffix":""},{"dropping-particle":"","family":"Vranken","given":"G","non-dropping-particle":"","parse-names":false,"suffix":""},{"dropping-particle":"","family":"Nueten","given":"J","non-dropping-particle":"Van","parse-names":false,"suffix":""}],"container-title":"Journal of clinical pathology","id":"ITEM-2","issue":"7","issued":{"date-parts":[["2006","7"]]},"page":"753-8","publisher":"BMJ Publishing Group","title":"Weight correction of MoM values: which method?","type":"article-journal","volume":"59"},"uri":["http://www.mendeley.com/documents/?uuid=796bae13-0890-3c37-8db7-4ace2ebda48e"],"uris":["http://www.mendeley.com/documents/?uuid=796bae13-0890-3c37-8db7-4ace2ebda48e"]}],"mendeley":{"formattedCitation":"[17,18]","plainTextFormattedCitation":"[17,18]","previouslyFormattedCitation":"[17,18]"},"properties":{"formattedCitation":"[17,18]","noteIndex":0,"plainCitation":"[17,18]"},"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[17,18]</w:t>
      </w:r>
      <w:r w:rsidRPr="00D92729">
        <w:rPr>
          <w:sz w:val="24"/>
          <w:szCs w:val="24"/>
          <w:lang w:val="en-US"/>
        </w:rPr>
        <w:fldChar w:fldCharType="end"/>
      </w:r>
      <w:r w:rsidRPr="00D92729">
        <w:rPr>
          <w:sz w:val="24"/>
          <w:szCs w:val="24"/>
          <w:lang w:val="en-US"/>
        </w:rPr>
        <w:t>. Previous work has demonstrated a simple ratio of sFlt-1 (soluble fms-like tyrosine kinase 1) to PlGF (placental growth factor) to be a clinically useful predictor of preeclampsia</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{"citationID":"TbRJKQLu","citationItems":[{"id":"ITEM-1","itemData":{"DOI":"10.1056/NEJMoa1414838","ISSN":"1533-4406","abstract":"BACKGROUND: The ratio of soluble fms-like tyrosine kinase 1 (sFlt-1) to placental growth factor (PlGF) is elevated in pregnant women before the clinical onset of preeclampsia, but its predictive value in women with suspected preeclampsia is unclear.\nMETHODS: We performed a prospective, multicenter, observational study to derive and validate a ratio of serum sFlt-1 to PlGF that would be predictive of the absence or presence of preeclampsia in the short term in women with singleton pregnancies in whom preeclampsia was suspected (24 weeks 0 days to 36 weeks 6 days of gestation). Primary objectives were to assess whether low sFlt-1:PlGF ratios (at or below a derived cutoff) predict the absence of preeclampsia within 1 week after the first visit and whether high ratios (above the cutoff) predict the presence of preeclampsia within 4 weeks.\nRESULTS: In the development cohort (500 women), we identified an sFlt-1:PlGF ratio cutoff of 38 as having important predictive value. In a subsequent validation study among an additional 550 women, an sFlt-1:PlGF ratio of 38 or lower had a negative predictive value (i.e., no preeclampsia in the subsequent week) of 99.3% (95% confidence interval [CI], 97.9 to 99.9), with 80.0% sensitivity (95% CI, 51.9 to 95.7) and 78.3% specificity (95% CI, 74.6 to 81.7). The positive predictive value of an sFlt-1:PlGF ratio above 38 for a diagnosis of preeclampsia within 4 weeks was 36.7% (95% CI, 28.4 to 45.7), with 66.2% sensitivity (95% CI, 54.0 to 77.0) and 83.1% specificity (95% CI, 79.4 to 86.3).\nCONCLUSIONS: An sFlt-1:PlGF ratio of 38 or lower can be used to predict the short-term absence of preeclampsia in women in whom the syndrome is suspected clinically. (Funded by Roche Diagnostics.).","author":[{"dropping-particle":"","family":"Zeisler","given":"Harald","non-dropping-particle":"","parse-names":false,"suffix":""},{"dropping-particle":"","family":"Llurba","given":"Elisa","non-dropping-particle":"","parse-names":false,"suffix":""},{"dropping-particle":"","family":"Chantraine","given":"Frederic","non-dropping-particle":"","parse-names":false,"suffix":""},{"dropping-particle":"","family":"Vatish","given":"Manu","non-dropping-particle":"","parse-names":false,"suffix":""},{"dropping-particle":"","family":"Staff","given":"Anne Cathrine","non-dropping-particle":"","parse-names":false,"suffix":""},{"dropping-particle":"","family":"Sennström","given":"Maria","non-dropping-particle":"","parse-names":false,"suffix":""},{"dropping-particle":"","family":"Olovsson","given":"Matts","non-dropping-particle":"","parse-names":false,"suffix":""},{"dropping-particle":"","family":"Brennecke","given":"Shaun P.","non-dropping-particle":"","parse-names":false,"suffix":""},{"dropping-particle":"","family":"Stepan","given":"Holger","non-dropping-particle":"","parse-names":false,"suffix":""},{"dropping-particle":"","family":"Allegranza","given":"Deirdre","non-dropping-particle":"","parse-names":false,"suffix":""},{"dropping-particle":"","family":"Dilba","given":"Peter","non-dropping-particle":"","parse-names":false,"suffix":""},{"dropping-particle":"","family":"Schoedl","given":"Maria","non-dropping-particle":"","parse-names":false,"suffix":""},{"dropping-particle":"","family":"Hund","given":"Martin","non-dropping-particle":"","parse-names":false,"suffix":""},{"dropping-particle":"","family":"Verlohren","given":"Stefan","non-dropping-particle":"","parse-names":false,"suffix":""}],"container-title":"The New England Journal of Medicine","id":"ITEM-1","issue":"1","issued":{"date-parts":[["2016","1"]]},"language":"eng","page":"13-22","title":"Predictive Value of the sFlt-1:PlGF Ratio in Women with Suspected Preeclampsia","type":"article-journal","volume":"374"},"uri":["http://www.mendeley.com/documents/?uuid=b2c9c994-8717-4fef-b676-2f25d6d3c334"],"uris":["http://www.mendeley.com/documents/?uuid=b2c9c994-8717-4fef-b676-2f25d6d3c334"]},{"id":"ITEM-2","itemData":{"DOI":"10.1161/HYPERTENSIONAHA.116.08620","ISSN":"1524-4563","PMID":"28167687","abstract":"We sought to assess the ratio of sFlt-1 (soluble fms-like tyrosine kinase 1) to PlGF (placental growth factor) in maternal serum as a screening test for preeclampsia in unselected nulliparous women with a singleton pregnancy. We studied 4099 women recruited to the POP study (Pregnancy Outcome Prediction) (Cambridge, United Kingdom). The sFlt-1:PlGF ratio was measured using the Roche Cobas e411 platform at ≈20, ≈28, and ≈36 weeks of gestational age (wkGA). Screen positive was defined as an sFlt-1:PlGF ratio &gt;38, but higher thresholds were also studied. At 28 wkGA, an sFlt-1:PlGF ratio &gt;38 had a positive predictive value (PPV) of 32% for preeclampsia and preterm birth, and the PPV was similar comparing women with low and high prior risk of disease. At 36 wkGA, an sFlt-1:PlGF ratio &gt;38 had a PPV for severe preeclampsia of 20% in high-risk women and 6.4% in low-risk women. At 36 wkGA, an sFlt-1:PlGF ratio &gt;110 had a PPV of 30% for severe preeclampsia, and the PPV was similar comparing low- and high-risk women. Overall, at 36 wkGA, 195 (5.2%) women either had an sFlt-1:PlGF ratio of &gt;110 or an sFlt-1:PlGF ratio &gt;38 plus maternal risk factors: 43% of these women developed preeclampsia, about half with severe features. Among low-risk women at 36 wkGA, an sFlt-1:PlGF ratio ≤38 had a negative predictive value for severe preeclampsia of 99.2%. The sFlt-1:PlGF ratio provided clinically useful prediction of the risk of the most important manifestations of preeclampsia in a cohort of unselected nulliparous women.","author":[{"dropping-particle":"","family":"Sovio","given":"Ulla","non-dropping-particle":"","parse-names":false,"suffix":""},{"dropping-particle":"","family":"Gaccioli","given":"Francesca","non-dropping-particle":"","parse-names":false,"suffix":""},{"dropping-particle":"","family":"Cook","given":"Emma","non-dropping-particle":"","parse-names":false,"suffix":""},{"dropping-particle":"","family":"Hund","given":"Martin","non-dropping-particle":"","parse-names":false,"suffix":""},{"dropping-particle":"","family":"Charnock-Jones","given":"D Stephen","non-dropping-particle":"","parse-names":false,"suffix":""},{"dropping-particle":"","family":"Smith","given":"Gordon C S","non-dropping-particle":"","parse-names":false,"suffix":""}],"container-title":"Hypertension (Dallas, Tex. : 1979)","id":"ITEM-2","issue":"4","issued":{"date-parts":[["2017"]]},"page":"731-738","publisher":"Wolters Kluwer Health","title":"Prediction of Preeclampsia Using the Soluble fms-Like Tyrosine Kinase 1 to Placental Growth Factor Ratio: A Prospective Cohort Study of Unselected Nulliparous Women.","type":"article-journal","volume":"69"},"uri":["http://www.mendeley.com/documents/?uuid=96a5a92c-14e6-3c46-83fd-359bd2e8d32e"],"uris":["http://www.mendeley.com/documents/?uuid=96a5a92c-14e6-3c46-83fd-359bd2e8d32e"]}],"mendeley":{"formattedCitation":"[19,20]","plainTextFormattedCitation":"[19,20]","previouslyFormattedCitation":"[19,20]"},"properties":{"formattedCitation":"[19,20]","noteIndex":0,"plainCitation":"[19,20]"},"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[19,20]</w:t>
      </w:r>
      <w:r w:rsidRPr="00D92729">
        <w:rPr>
          <w:sz w:val="24"/>
          <w:szCs w:val="24"/>
          <w:lang w:val="en-US"/>
        </w:rPr>
        <w:fldChar w:fldCharType="end"/>
      </w:r>
      <w:r>
        <w:rPr>
          <w:sz w:val="24"/>
          <w:szCs w:val="24"/>
          <w:lang w:val="en-US"/>
        </w:rPr>
        <w:t>. This led us to consider</w:t>
      </w:r>
      <w:r w:rsidRPr="00D92729">
        <w:rPr>
          <w:sz w:val="24"/>
          <w:szCs w:val="24"/>
          <w:lang w:val="en-US"/>
        </w:rPr>
        <w:t xml:space="preserve"> whether a ratio of AFP to PAPP-A as uncorrected measurements may be as, or more</w:t>
      </w:r>
      <w:r>
        <w:rPr>
          <w:sz w:val="24"/>
          <w:szCs w:val="24"/>
          <w:lang w:val="en-US"/>
        </w:rPr>
        <w:t>,</w:t>
      </w:r>
      <w:r w:rsidRPr="00D92729">
        <w:rPr>
          <w:sz w:val="24"/>
          <w:szCs w:val="24"/>
          <w:lang w:val="en-US"/>
        </w:rPr>
        <w:t xml:space="preserve"> informative than the corrected measurements in screening for adverse pregnancy outcome. Therefore, in this study, we aimed to analyze and compare the associations and predictive ability for adverse pregnancy outcomes of a simple AFP</w:t>
      </w:r>
      <w:r>
        <w:rPr>
          <w:sz w:val="24"/>
          <w:szCs w:val="24"/>
          <w:lang w:val="en-US"/>
        </w:rPr>
        <w:t>:</w:t>
      </w:r>
      <w:r w:rsidRPr="00D92729">
        <w:rPr>
          <w:sz w:val="24"/>
          <w:szCs w:val="24"/>
          <w:lang w:val="en-US"/>
        </w:rPr>
        <w:t xml:space="preserve">PAPP-A ratio with corrected AFP </w:t>
      </w:r>
      <w:r>
        <w:rPr>
          <w:sz w:val="24"/>
          <w:szCs w:val="24"/>
          <w:lang w:val="en-US"/>
        </w:rPr>
        <w:t>or</w:t>
      </w:r>
      <w:r w:rsidRPr="00D92729">
        <w:rPr>
          <w:sz w:val="24"/>
          <w:szCs w:val="24"/>
          <w:lang w:val="en-US"/>
        </w:rPr>
        <w:t xml:space="preserve"> PAPP-A as individual measurements and in combinatio</w:t>
      </w:r>
      <w:r>
        <w:rPr>
          <w:sz w:val="24"/>
          <w:szCs w:val="24"/>
          <w:lang w:val="en-US"/>
        </w:rPr>
        <w:t>n.</w:t>
      </w:r>
      <w:r>
        <w:rPr>
          <w:sz w:val="24"/>
          <w:szCs w:val="24"/>
          <w:lang w:val="en-US"/>
        </w:rPr>
        <w:br w:type="page"/>
      </w:r>
    </w:p>
    <w:p w14:paraId="09C6363E" w14:textId="77777777" w:rsidR="00EE23EA" w:rsidRDefault="00EE23EA" w:rsidP="00EE23EA">
      <w:pPr>
        <w:spacing w:line="480" w:lineRule="auto"/>
        <w:jc w:val="both"/>
        <w:outlineLvl w:val="0"/>
        <w:rPr>
          <w:sz w:val="24"/>
          <w:szCs w:val="24"/>
          <w:lang w:val="en-US"/>
        </w:rPr>
        <w:sectPr w:rsidR="00EE23EA" w:rsidSect="00EE23EA">
          <w:footerReference w:type="default" r:id="rId13"/>
          <w:pgSz w:w="11906" w:h="16838"/>
          <w:pgMar w:top="1440" w:right="1440" w:bottom="1440" w:left="1440" w:header="709" w:footer="709" w:gutter="0"/>
          <w:lnNumType w:countBy="1" w:restart="continuous"/>
          <w:cols w:space="708"/>
          <w:docGrid w:linePitch="360"/>
        </w:sectPr>
      </w:pPr>
    </w:p>
    <w:p w14:paraId="141B8D17" w14:textId="77777777" w:rsidR="00EE23EA" w:rsidRPr="00536A5D" w:rsidRDefault="00EE23EA" w:rsidP="00EE23EA">
      <w:pPr>
        <w:spacing w:line="480" w:lineRule="auto"/>
        <w:jc w:val="both"/>
        <w:outlineLvl w:val="0"/>
        <w:rPr>
          <w:b/>
          <w:sz w:val="24"/>
          <w:szCs w:val="24"/>
          <w:lang w:val="en-US"/>
        </w:rPr>
      </w:pPr>
      <w:r w:rsidRPr="00536A5D">
        <w:rPr>
          <w:b/>
          <w:sz w:val="24"/>
          <w:szCs w:val="24"/>
          <w:lang w:val="en-US"/>
        </w:rPr>
        <w:t>Materials and Methods</w:t>
      </w:r>
    </w:p>
    <w:p w14:paraId="00007769" w14:textId="77777777" w:rsidR="00EE23EA" w:rsidRPr="00D92729" w:rsidRDefault="00EE23EA" w:rsidP="00EE23EA">
      <w:pPr>
        <w:spacing w:line="480" w:lineRule="auto"/>
        <w:jc w:val="both"/>
        <w:outlineLvl w:val="0"/>
        <w:rPr>
          <w:i/>
          <w:sz w:val="24"/>
          <w:szCs w:val="24"/>
          <w:lang w:val="en-US"/>
        </w:rPr>
      </w:pPr>
      <w:r w:rsidRPr="00D92729">
        <w:rPr>
          <w:i/>
          <w:sz w:val="24"/>
          <w:szCs w:val="24"/>
          <w:lang w:val="en-US"/>
        </w:rPr>
        <w:t>Study design</w:t>
      </w:r>
    </w:p>
    <w:p w14:paraId="2CF1B8A2" w14:textId="77777777" w:rsidR="00EE23EA" w:rsidRDefault="00EE23EA" w:rsidP="00EE23EA">
      <w:pPr>
        <w:tabs>
          <w:tab w:val="left" w:pos="4037"/>
        </w:tabs>
        <w:spacing w:line="480" w:lineRule="auto"/>
        <w:jc w:val="both"/>
        <w:rPr>
          <w:sz w:val="24"/>
          <w:szCs w:val="24"/>
          <w:lang w:val="en-US"/>
        </w:rPr>
      </w:pPr>
      <w:r w:rsidRPr="00D92729">
        <w:rPr>
          <w:sz w:val="24"/>
          <w:szCs w:val="24"/>
          <w:lang w:val="en-US"/>
        </w:rPr>
        <w:t>We studied unselected, nulliparous women from the Pregnancy Outcome Prediction (POP) study</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{"citationID":"cAAJo5Wg","citationItems":[{"id":"ITEM-1","itemData":{"DOI":"10.1186/1471-2393-8-51","ISSN":"1471-2393","PMID":"19019223","abstract":"BACKGROUND There have been dramatic changes in the approach to screening for aneuploidy over the last 20 years. However, the approach to screening for other complications of pregnancy such as intra-uterine growth restriction, pre-eclampsia and stillbirth remains largely unchanged. Randomised controlled trials of routine application of high tech screening methods to the general population have generally failed to show improvement in outcome. We have previously reviewed this and concluded it was due, in large part, to poor performance of screening tests. Here, we report a study design where the primary aim is to generate clinically useful methods to screen women to assess their risk of adverse pregnancy outcome. METHODS/DESIGN We report the design of a prospective cohort study of unselected primiparous women recruited at the time of their first ultrasound scan. Participation involves serial phlebotomy and obstetric ultrasound at the dating ultrasound scan (typically 10-14 weeks), 20 weeks, 28 weeks and 36 weeks gestation. In addition, maternal demographic details are obtained; maternal and paternal height are measured and maternal weight is serially measured during the pregnancy; maternal, paternal and offspring DNA are collected; and, samples of placenta and membranes are collected at birth. Data will be analysed as a prospective cohort study, a case-cohort study, and a nested case-control study. DISCUSSION The study is expected to provide a resource for the identification of novel biomarkers for adverse pregnancy outcome and to evaluate the performance of biomarkers and serial ultrasonography in providing clinically useful prediction of risk.","author":[{"dropping-particle":"","family":"Pasupathy","given":"Dharmintra","non-dropping-particle":"","parse-names":false,"suffix":""},{"dropping-particle":"","family":"Dacey","given":"Alison","non-dropping-particle":"","parse-names":false,"suffix":""},{"dropping-particle":"","family":"Cook","given":"Emma","non-dropping-particle":"","parse-names":false,"suffix":""},{"dropping-particle":"","family":"Charnock-Jones","given":"D Stephen","non-dropping-particle":"","parse-names":false,"suffix":""},{"dropping-particle":"","family":"White","given":"Ian R","non-dropping-particle":"","parse-names":false,"suffix":""},{"dropping-particle":"","family":"Smith","given":"Gordon CS","non-dropping-particle":"","parse-names":false,"suffix":""}],"container-title":"BMC Pregnancy and Childbirth","id":"ITEM-1","issue":"1","issued":{"date-parts":[["2008","12","19"]]},"page":"51","title":"Study protocol. A prospective cohort study of unselected primiparous women: the pregnancy outcome prediction study","type":"article-journal","volume":"8"},"uri":["http://www.mendeley.com/documents/?uuid=a7bc8ae3-3b4a-326e-ad8c-9ff022011b04"],"uris":["http://www.mendeley.com/documents/?uuid=a7bc8ae3-3b4a-326e-ad8c-9ff022011b04"]},{"id":"ITEM-2","itemData":{"DOI":"10.1016/S0140-6736(15)00131-2","ISSN":"0140-6736","PMID":"26360240","abstract":"&lt;h2&gt;Summary&lt;/h2&gt;&lt;h3&gt;Background&lt;/h3&gt;&lt;p&gt;Fetal growth restriction is a major determinant of adverse perinatal outcome. Screening procedures for fetal growth restriction need to identify small babies and then differentiate between those that are healthy and those that are pathologically small. We sought to determine the diagnostic effectiveness of universal ultrasonic fetal biometry in the third trimester as a screening test for small-for-gestational-age (SGA) infants, and whether the risk of morbidity associated with being small differed in the presence or absence of ultrasonic markers of fetal growth restriction.&lt;/p&gt;&lt;h3&gt;Methods&lt;/h3&gt;&lt;p&gt;The Pregnancy Outcome Prediction (POP) study was a prospective cohort study of nulliparous women with a viable singleton pregnancy at the time of the dating ultrasound scan. Women participating had clinically indicated ultrasonography in the third trimester as per routine clinical care and these results were reported as usual (selective ultrasonography). Additionally, all participants had research ultrasonography, including fetal biometry at 28 and 36 weeks' gestational age. These results were not made available to participants or treating clinicians (universal ultrasonography). We regarded SGA as a birthweight of less than the 10th percentile for gestational age and screen positive for SGA an ultrasonographic estimated fetal weight of less than the 10th percentile for gestational age. Markers of fetal growth restriction included biometric ratios, utero-placental Doppler, and fetal growth velocity. We assessed outcomes for consenting participants who attended research scans and had a livebirth at the Rosie Hospital (Cambridge, UK) after the 28 weeks' research scan.&lt;/p&gt;&lt;h3&gt;Findings&lt;/h3&gt;&lt;p&gt;Between Jan 14, 2008, and July 31, 2012, 4512 women provided written informed consent of whom 3977 (88%) were eligible for analysis. Sensitivity for detection of SGA infants was 20% (95% CI 15–24; 69 of 352 fetuses) for selective ultrasonography and 57% (51–62; 199 of 352 fetuses) for universal ultrasonography (relative sensitivity 2·9, 95% CI 2·4–3·5, p&lt;0·0001). Of the 3977 fetuses, 562 (14·1%) were identified by universal ultrasonography with an estimated fetal weight of less than the 10th percentile and were at an increased risk of neonatal morbidity (relative risk [RR] 1·60, 95% CI 1·22–2·09, p=0·0012). However, estimated fetal weight of less than the 10th percentile was only associated with the risk of neonatal morbidity (p&lt;sub&gt;interact…","author":[{"dropping-particle":"","family":"Sovio","given":"Ulla","non-dropping-particle":"","parse-names":false,"suffix":""},{"dropping-particle":"","family":"White","given":"Ian R","non-dropping-particle":"","parse-names":false,"suffix":""},{"dropping-particle":"","family":"Dacey","given":"Alison","non-dropping-particle":"","parse-names":false,"suffix":""},{"dropping-particle":"","family":"Pasupathy","given":"Dharmintra","non-dropping-particle":"","parse-names":false,"suffix":""},{"dropping-particle":"","family":"Smith","given":"Gordon C S","non-dropping-particle":"","parse-names":false,"suffix":""}],"container-title":"The Lancet","id":"ITEM-2","issue":"10008","issued":{"date-parts":[["2015","11","21"]]},"page":"2089-2097","publisher":"Elsevier","title":"Screening for fetal growth restriction with universal third trimester ultrasonography in nulliparous women in the Pregnancy Outcome Prediction (POP) study: a prospective cohort study","type":"article-journal","volume":"386"},"uri":["http://www.mendeley.com/documents/?uuid=b0095055-57cf-362e-b23c-d80d7f7b12b2"],"uris":["http://www.mendeley.com/documents/?uuid=b0095055-57cf-362e-b23c-d80d7f7b12b2"]}],"mendeley":{"formattedCitation":"[21,22]","plainTextFormattedCitation":"[21,22]","previouslyFormattedCitation":"[21,22]"},"properties":{"formattedCitation":"[21,22]","noteIndex":0,"plainCitation":"[21,22]"},"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[21,22]</w:t>
      </w:r>
      <w:r w:rsidRPr="00D92729">
        <w:rPr>
          <w:sz w:val="24"/>
          <w:szCs w:val="24"/>
          <w:lang w:val="en-US"/>
        </w:rPr>
        <w:fldChar w:fldCharType="end"/>
      </w:r>
      <w:r w:rsidRPr="00D92729">
        <w:rPr>
          <w:sz w:val="24"/>
          <w:szCs w:val="24"/>
          <w:lang w:val="en-US"/>
        </w:rPr>
        <w:t>. Details of the study protocol</w:t>
      </w:r>
      <w:r>
        <w:rPr>
          <w:sz w:val="24"/>
          <w:szCs w:val="24"/>
          <w:lang w:val="en-US"/>
        </w:rPr>
        <w:t xml:space="preserve"> and power calculations for detection of adverse outcome</w:t>
      </w:r>
      <w:r w:rsidRPr="00D92729">
        <w:rPr>
          <w:sz w:val="24"/>
          <w:szCs w:val="24"/>
          <w:lang w:val="en-US"/>
        </w:rPr>
        <w:t xml:space="preserve"> are described in detail elsewhere</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{"citationID":"Bq3da1bF","citationItems":[{"id":"ITEM-1","itemData":{"DOI":"10.1186/1471-2393-8-51","ISSN":"1471-2393","PMID":"19019223","abstract":"BACKGROUND There have been dramatic changes in the approach to screening for aneuploidy over the last 20 years. However, the approach to screening for other complications of pregnancy such as intra-uterine growth restriction, pre-eclampsia and stillbirth remains largely unchanged. Randomised controlled trials of routine application of high tech screening methods to the general population have generally failed to show improvement in outcome. We have previously reviewed this and concluded it was due, in large part, to poor performance of screening tests. Here, we report a study design where the primary aim is to generate clinically useful methods to screen women to assess their risk of adverse pregnancy outcome. METHODS/DESIGN We report the design of a prospective cohort study of unselected primiparous women recruited at the time of their first ultrasound scan. Participation involves serial phlebotomy and obstetric ultrasound at the dating ultrasound scan (typically 10-14 weeks), 20 weeks, 28 weeks and 36 weeks gestation. In addition, maternal demographic details are obtained; maternal and paternal height are measured and maternal weight is serially measured during the pregnancy; maternal, paternal and offspring DNA are collected; and, samples of placenta and membranes are collected at birth. Data will be analysed as a prospective cohort study, a case-cohort study, and a nested case-control study. DISCUSSION The study is expected to provide a resource for the identification of novel biomarkers for adverse pregnancy outcome and to evaluate the performance of biomarkers and serial ultrasonography in providing clinically useful prediction of risk.","author":[{"dropping-particle":"","family":"Pasupathy","given":"Dharmintra","non-dropping-particle":"","parse-names":false,"suffix":""},{"dropping-particle":"","family":"Dacey","given":"Alison","non-dropping-particle":"","parse-names":false,"suffix":""},{"dropping-particle":"","family":"Cook","given":"Emma","non-dropping-particle":"","parse-names":false,"suffix":""},{"dropping-particle":"","family":"Charnock-Jones","given":"D Stephen","non-dropping-particle":"","parse-names":false,"suffix":""},{"dropping-particle":"","family":"White","given":"Ian R","non-dropping-particle":"","parse-names":false,"suffix":""},{"dropping-particle":"","family":"Smith","given":"Gordon CS","non-dropping-particle":"","parse-names":false,"suffix":""}],"container-title":"BMC Pregnancy and Childbirth","id":"ITEM-1","issue":"1","issued":{"date-parts":[["2008","12","19"]]},"page":"51","title":"Study protocol. A prospective cohort study of unselected primiparous women: the pregnancy outcome prediction study","type":"article-journal","volume":"8"},"uri":["http://www.mendeley.com/documents/?uuid=a7bc8ae3-3b4a-326e-ad8c-9ff022011b04"],"uris":["http://www.mendeley.com/documents/?uuid=a7bc8ae3-3b4a-326e-ad8c-9ff022011b04"]},{"id":"ITEM-2","itemData":{"DOI":"10.1016/S0140-6736(15)00131-2","ISSN":"0140-6736","PMID":"26360240","abstract":"&lt;h2&gt;Summary&lt;/h2&gt;&lt;h3&gt;Background&lt;/h3&gt;&lt;p&gt;Fetal growth restriction is a major determinant of adverse perinatal outcome. Screening procedures for fetal growth restriction need to identify small babies and then differentiate between those that are healthy and those that are pathologically small. We sought to determine the diagnostic effectiveness of universal ultrasonic fetal biometry in the third trimester as a screening test for small-for-gestational-age (SGA) infants, and whether the risk of morbidity associated with being small differed in the presence or absence of ultrasonic markers of fetal growth restriction.&lt;/p&gt;&lt;h3&gt;Methods&lt;/h3&gt;&lt;p&gt;The Pregnancy Outcome Prediction (POP) study was a prospective cohort study of nulliparous women with a viable singleton pregnancy at the time of the dating ultrasound scan. Women participating had clinically indicated ultrasonography in the third trimester as per routine clinical care and these results were reported as usual (selective ultrasonography). Additionally, all participants had research ultrasonography, including fetal biometry at 28 and 36 weeks' gestational age. These results were not made available to participants or treating clinicians (universal ultrasonography). We regarded SGA as a birthweight of less than the 10th percentile for gestational age and screen positive for SGA an ultrasonographic estimated fetal weight of less than the 10th percentile for gestational age. Markers of fetal growth restriction included biometric ratios, utero-placental Doppler, and fetal growth velocity. We assessed outcomes for consenting participants who attended research scans and had a livebirth at the Rosie Hospital (Cambridge, UK) after the 28 weeks' research scan.&lt;/p&gt;&lt;h3&gt;Findings&lt;/h3&gt;&lt;p&gt;Between Jan 14, 2008, and July 31, 2012, 4512 women provided written informed consent of whom 3977 (88%) were eligible for analysis. Sensitivity for detection of SGA infants was 20% (95% CI 15–24; 69 of 352 fetuses) for selective ultrasonography and 57% (51–62; 199 of 352 fetuses) for universal ultrasonography (relative sensitivity 2·9, 95% CI 2·4–3·5, p&lt;0·0001). Of the 3977 fetuses, 562 (14·1%) were identified by universal ultrasonography with an estimated fetal weight of less than the 10th percentile and were at an increased risk of neonatal morbidity (relative risk [RR] 1·60, 95% CI 1·22–2·09, p=0·0012). However, estimated fetal weight of less than the 10th percentile was only associated with the risk of neonatal morbidity (p&lt;sub&gt;interact…","author":[{"dropping-particle":"","family":"Sovio","given":"Ulla","non-dropping-particle":"","parse-names":false,"suffix":""},{"dropping-particle":"","family":"White","given":"Ian R","non-dropping-particle":"","parse-names":false,"suffix":""},{"dropping-particle":"","family":"Dacey","given":"Alison","non-dropping-particle":"","parse-names":false,"suffix":""},{"dropping-particle":"","family":"Pasupathy","given":"Dharmintra","non-dropping-particle":"","parse-names":false,"suffix":""},{"dropping-particle":"","family":"Smith","given":"Gordon C S","non-dropping-particle":"","parse-names":false,"suffix":""}],"container-title":"The Lancet","id":"ITEM-2","issue":"10008","issued":{"date-parts":[["2015","11","21"]]},"page":"2089-2097","publisher":"Elsevier","title":"Screening for fetal growth restriction with universal third trimester ultrasonography in nulliparous women in the Pregnancy Outcome Prediction (POP) study: a prospective cohort study","type":"article-journal","volume":"386"},"uri":["http://www.mendeley.com/documents/?uuid=b0095055-57cf-362e-b23c-d80d7f7b12b2"],"uris":["http://www.mendeley.com/documents/?uuid=b0095055-57cf-362e-b23c-d80d7f7b12b2"]}],"mendeley":{"formattedCitation":"[21,22]","plainTextFormattedCitation":"[21,22]","previouslyFormattedCitation":"[21,22]"},"properties":{"formattedCitation":"[21,22]","noteIndex":0,"plainCitation":"[21,22]"},"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[21,22]</w:t>
      </w:r>
      <w:r w:rsidRPr="00D92729">
        <w:rPr>
          <w:sz w:val="24"/>
          <w:szCs w:val="24"/>
          <w:lang w:val="en-US"/>
        </w:rPr>
        <w:fldChar w:fldCharType="end"/>
      </w:r>
      <w:r w:rsidRPr="00D92729">
        <w:rPr>
          <w:sz w:val="24"/>
          <w:szCs w:val="24"/>
          <w:lang w:val="en-US"/>
        </w:rPr>
        <w:t>.</w:t>
      </w:r>
      <w:r w:rsidRPr="00D92729" w:rsidDel="009B62D2">
        <w:rPr>
          <w:sz w:val="24"/>
          <w:szCs w:val="24"/>
          <w:lang w:val="en-US"/>
        </w:rPr>
        <w:t xml:space="preserve"> </w:t>
      </w:r>
      <w:r w:rsidRPr="00D92729">
        <w:rPr>
          <w:sz w:val="24"/>
          <w:szCs w:val="24"/>
          <w:lang w:val="en-US"/>
        </w:rPr>
        <w:t>Briefly, women with a viable, singleton pregnancy who attended for their dating scan at the Rosie Hospital (Cambridge, United Kingdom) between January 2008 and July 2012 were invited to take part in the study. Blood tests and ultrasound scans were performed at time of recruitment (approximately 12 weeks of gestation) and at approximately 20, 28 and 36 weeks of gestation</w:t>
      </w:r>
      <w:r>
        <w:rPr>
          <w:sz w:val="24"/>
          <w:szCs w:val="24"/>
          <w:lang w:val="en-US"/>
        </w:rPr>
        <w:t>al age</w:t>
      </w:r>
      <w:r w:rsidRPr="00D92729">
        <w:rPr>
          <w:sz w:val="24"/>
          <w:szCs w:val="24"/>
          <w:lang w:val="en-US"/>
        </w:rPr>
        <w:t xml:space="preserve"> (wkGA). Maternal age, body mass index (BMI), smoking status and alcohol intake were recorded at approximately 20 wkGA and other characteristics, pregnancy and birth outcome data were collected by review of paper case records and relevant electronic databases</w:t>
      </w:r>
      <w:r>
        <w:rPr>
          <w:sz w:val="24"/>
          <w:szCs w:val="24"/>
          <w:lang w:val="en-US"/>
        </w:rPr>
        <w:t>. Socioeconomic d</w:t>
      </w:r>
      <w:r w:rsidRPr="00D92729">
        <w:rPr>
          <w:sz w:val="24"/>
          <w:szCs w:val="24"/>
          <w:lang w:val="en-US"/>
        </w:rPr>
        <w:t>eprivation was measured using the Index of Multiple Deprivation 2007 score and calculated from the woman’s postcode</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{"citationID":"1UANKps2","citationItems":[{"id":"ITEM-1","itemData":{"DOI":"ISBN 9781409829249","ISBN":"9781409829225","ISSN":"0003-2697","PMID":"100022","abstract":"This report presents the conceptual framework of the new Indices of Deprivation 2007 (ID 2007); the component indicators and domains; the methodology for creating the domains and the overal Index of Multiple Deprivation; the Lower Super Output Area level results and the Local Authority summary results.","author":[{"dropping-particle":"","family":"Noble","given":"Michael","non-dropping-particle":"","parse-names":false,"suffix":""},{"dropping-particle":"","family":"Mclennan","given":"David","non-dropping-particle":"","parse-names":false,"suffix":""},{"dropping-particle":"","family":"Wilkinson","given":"Kate","non-dropping-particle":"","parse-names":false,"suffix":""},{"dropping-particle":"","family":"Whitworth","given":"Adam","non-dropping-particle":"","parse-names":false,"suffix":""},{"dropping-particle":"","family":"Exley","given":"Sonia","non-dropping-particle":"","parse-names":false,"suffix":""},{"dropping-particle":"","family":"Barnes","given":"Helen","non-dropping-particle":"","parse-names":false,"suffix":""},{"dropping-particle":"","family":"Dibben","given":"Chris","non-dropping-particle":"","parse-names":false,"suffix":""}],"container-title":"English","id":"ITEM-1","issue":"April","issued":{"date-parts":[["2007"]]},"page":"1-179","title":"The English Indices of Deprivation 2007","type":"article-journal"},"uri":["http://www.mendeley.com/documents/?uuid=f70b5191-f3d5-3529-90e9-1c1b27f48b9a"],"uris":["http://www.mendeley.com/documents/?uuid=f70b5191-f3d5-3529-90e9-1c1b27f48b9a"]}],"mendeley":{"formattedCitation":"[23]","plainTextFormattedCitation":"[23]","previouslyFormattedCitation":"[23]"},"properties":{"formattedCitation":"[23]","noteIndex":0,"plainCitation":"[23]"},"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[23]</w:t>
      </w:r>
      <w:r w:rsidRPr="00D92729">
        <w:rPr>
          <w:sz w:val="24"/>
          <w:szCs w:val="24"/>
          <w:lang w:val="en-US"/>
        </w:rPr>
        <w:fldChar w:fldCharType="end"/>
      </w:r>
      <w:r>
        <w:rPr>
          <w:sz w:val="24"/>
          <w:szCs w:val="24"/>
          <w:lang w:val="en-US"/>
        </w:rPr>
        <w:t>.</w:t>
      </w:r>
      <w:r w:rsidRPr="00D92729">
        <w:rPr>
          <w:sz w:val="24"/>
          <w:szCs w:val="24"/>
          <w:lang w:val="en-US"/>
        </w:rPr>
        <w:t xml:space="preserve"> Exact</w:t>
      </w:r>
      <w:r>
        <w:rPr>
          <w:sz w:val="24"/>
          <w:szCs w:val="24"/>
          <w:lang w:val="en-US"/>
        </w:rPr>
        <w:t xml:space="preserve"> gestational age was estimated from the crown-rump length measurement or head circumference, according to national guidance </w:t>
      </w:r>
      <w:r>
        <w:rPr>
          <w:sz w:val="24"/>
          <w:szCs w:val="24"/>
          <w:lang w:val="en-US"/>
        </w:rPr>
        <w:fldChar w:fldCharType="begin" w:fldLock="1"/>
      </w:r>
      <w:r>
        <w:rPr>
          <w:sz w:val="24"/>
          <w:szCs w:val="24"/>
          <w:lang w:val="en-US"/>
        </w:rPr>
        <w:instrText>ADDIN CSL_CITATION {"citationID":"SQtspiVk","citationItems":[{"id":"ITEM-1","itemData":{"id":"ITEM-1","issued":{"date-parts":[["0"]]},"title":"Antenatal care for uncomplicated pregnancies | Guidance and guidelines | NICE","type":"webpage"},"uri":["http://www.mendeley.com/documents/?uuid=0ea44132-2c7a-4e24-9d45-8e60437c24c0"],"uris":["http://www.mendeley.com/documents/?uuid=0ea44132-2c7a-4e24-9d45-8e60437c24c0"]}],"mendeley":{"formattedCitation":"[24]","plainTextFormattedCitation":"[24]","previouslyFormattedCitation":"[24]"},"properties":{"formattedCitation":"[24]","noteIndex":0,"plainCitation":"[24]"},"schema":"https://github.com/citation-style-language/schema/raw/master/csl-citation.json"}</w:instrText>
      </w:r>
      <w:r>
        <w:rPr>
          <w:sz w:val="24"/>
          <w:szCs w:val="24"/>
          <w:lang w:val="en-US"/>
        </w:rPr>
        <w:fldChar w:fldCharType="separate"/>
      </w:r>
      <w:r w:rsidRPr="006837A3">
        <w:rPr>
          <w:rFonts w:ascii="Calibri" w:hAnsi="Calibri" w:cs="Calibri"/>
          <w:noProof/>
          <w:sz w:val="24"/>
        </w:rPr>
        <w:t>[24]</w:t>
      </w:r>
      <w:r>
        <w:rPr>
          <w:sz w:val="24"/>
          <w:szCs w:val="24"/>
          <w:lang w:val="en-US"/>
        </w:rPr>
        <w:fldChar w:fldCharType="end"/>
      </w:r>
      <w:r w:rsidRPr="00D92729">
        <w:rPr>
          <w:sz w:val="24"/>
          <w:szCs w:val="24"/>
          <w:lang w:val="en-US"/>
        </w:rPr>
        <w:t xml:space="preserve">. </w:t>
      </w:r>
    </w:p>
    <w:p w14:paraId="5044EF40" w14:textId="77777777" w:rsidR="00EE23EA" w:rsidRPr="00D92729" w:rsidRDefault="00EE23EA" w:rsidP="00EE23EA">
      <w:pPr>
        <w:tabs>
          <w:tab w:val="left" w:pos="4037"/>
        </w:tabs>
        <w:spacing w:line="480" w:lineRule="auto"/>
        <w:jc w:val="both"/>
        <w:outlineLvl w:val="0"/>
        <w:rPr>
          <w:sz w:val="24"/>
          <w:szCs w:val="24"/>
          <w:lang w:val="en-US"/>
        </w:rPr>
      </w:pPr>
      <w:r w:rsidRPr="00D92729">
        <w:rPr>
          <w:i/>
          <w:sz w:val="24"/>
          <w:szCs w:val="24"/>
          <w:lang w:val="en-US"/>
        </w:rPr>
        <w:t>Exposures and outcomes</w:t>
      </w:r>
    </w:p>
    <w:p w14:paraId="7F9B4E0D" w14:textId="77777777" w:rsidR="00EE23EA" w:rsidRPr="00D92729" w:rsidRDefault="00EE23EA" w:rsidP="00EE23EA">
      <w:pPr>
        <w:spacing w:line="480" w:lineRule="auto"/>
        <w:jc w:val="both"/>
        <w:rPr>
          <w:sz w:val="24"/>
          <w:szCs w:val="24"/>
          <w:lang w:val="en-US"/>
        </w:rPr>
      </w:pPr>
      <w:r w:rsidRPr="00D92729">
        <w:rPr>
          <w:sz w:val="24"/>
          <w:szCs w:val="24"/>
          <w:lang w:val="en-US"/>
        </w:rPr>
        <w:t>Our primary exposure was the simple (uncorrected) AFP:PAPP-A ratio measured at approximately 12 wkGA as a continuous variable and categorized as &gt;10</w:t>
      </w:r>
      <w:r>
        <w:rPr>
          <w:sz w:val="24"/>
          <w:szCs w:val="24"/>
          <w:lang w:val="en-US"/>
        </w:rPr>
        <w:t>, for simplicity</w:t>
      </w:r>
      <w:r w:rsidRPr="00D92729">
        <w:rPr>
          <w:sz w:val="24"/>
          <w:szCs w:val="24"/>
          <w:lang w:val="en-US"/>
        </w:rPr>
        <w:t xml:space="preserve"> (representing</w:t>
      </w:r>
      <w:r>
        <w:rPr>
          <w:sz w:val="24"/>
          <w:szCs w:val="24"/>
          <w:lang w:val="en-US"/>
        </w:rPr>
        <w:t xml:space="preserve"> approximately</w:t>
      </w:r>
      <w:r w:rsidRPr="00D92729">
        <w:rPr>
          <w:sz w:val="24"/>
          <w:szCs w:val="24"/>
          <w:lang w:val="en-US"/>
        </w:rPr>
        <w:t xml:space="preserve"> </w:t>
      </w:r>
      <w:r>
        <w:rPr>
          <w:sz w:val="24"/>
          <w:szCs w:val="24"/>
          <w:lang w:val="en-US"/>
        </w:rPr>
        <w:t>the top decile</w:t>
      </w:r>
      <w:r w:rsidRPr="00D92729">
        <w:rPr>
          <w:sz w:val="24"/>
          <w:szCs w:val="24"/>
          <w:lang w:val="en-US"/>
        </w:rPr>
        <w:t>)</w:t>
      </w:r>
      <w:r>
        <w:rPr>
          <w:sz w:val="24"/>
          <w:szCs w:val="24"/>
          <w:lang w:val="en-US"/>
        </w:rPr>
        <w:t>,</w:t>
      </w:r>
      <w:r w:rsidRPr="00D92729">
        <w:rPr>
          <w:sz w:val="24"/>
          <w:szCs w:val="24"/>
          <w:lang w:val="en-US"/>
        </w:rPr>
        <w:t xml:space="preserve"> or </w:t>
      </w:r>
      <w:r w:rsidRPr="00D92729">
        <w:rPr>
          <w:rFonts w:cstheme="minorHAnsi"/>
          <w:sz w:val="24"/>
          <w:szCs w:val="24"/>
          <w:lang w:val="en-US"/>
        </w:rPr>
        <w:t>≤</w:t>
      </w:r>
      <w:r w:rsidRPr="00D92729">
        <w:rPr>
          <w:sz w:val="24"/>
          <w:szCs w:val="24"/>
          <w:lang w:val="en-US"/>
        </w:rPr>
        <w:t>10</w:t>
      </w:r>
      <w:r>
        <w:rPr>
          <w:sz w:val="24"/>
          <w:szCs w:val="24"/>
          <w:lang w:val="en-US"/>
        </w:rPr>
        <w:t xml:space="preserve">. </w:t>
      </w:r>
      <w:r w:rsidRPr="00D92729">
        <w:rPr>
          <w:sz w:val="24"/>
          <w:szCs w:val="24"/>
          <w:lang w:val="en-US"/>
        </w:rPr>
        <w:t>The results for the AFP:PAPP-A ratio were compared with</w:t>
      </w:r>
      <w:r>
        <w:rPr>
          <w:sz w:val="24"/>
          <w:szCs w:val="24"/>
          <w:lang w:val="en-US"/>
        </w:rPr>
        <w:t xml:space="preserve"> the corresponding</w:t>
      </w:r>
      <w:r w:rsidRPr="00D92729">
        <w:rPr>
          <w:sz w:val="24"/>
          <w:szCs w:val="24"/>
          <w:lang w:val="en-US"/>
        </w:rPr>
        <w:t xml:space="preserve"> AFP or PAPP-A</w:t>
      </w:r>
      <w:r>
        <w:rPr>
          <w:sz w:val="24"/>
          <w:szCs w:val="24"/>
          <w:lang w:val="en-US"/>
        </w:rPr>
        <w:t xml:space="preserve"> values </w:t>
      </w:r>
      <w:r w:rsidRPr="00D92729">
        <w:rPr>
          <w:sz w:val="24"/>
          <w:szCs w:val="24"/>
          <w:lang w:val="en-US"/>
        </w:rPr>
        <w:t>corrected for maternal weight and exact gestation of measurement</w:t>
      </w:r>
      <w:r>
        <w:rPr>
          <w:sz w:val="24"/>
          <w:szCs w:val="24"/>
          <w:lang w:val="en-US"/>
        </w:rPr>
        <w:t xml:space="preserve"> </w:t>
      </w:r>
      <w:r w:rsidRPr="00D92729">
        <w:rPr>
          <w:sz w:val="24"/>
          <w:szCs w:val="24"/>
          <w:lang w:val="en-US"/>
        </w:rPr>
        <w:t>on their own and in combination</w:t>
      </w:r>
      <w:r>
        <w:rPr>
          <w:sz w:val="24"/>
          <w:szCs w:val="24"/>
          <w:lang w:val="en-US"/>
        </w:rPr>
        <w:t>. We also compared the uncorrected ratio</w:t>
      </w:r>
      <w:r w:rsidRPr="00D92729">
        <w:rPr>
          <w:sz w:val="24"/>
          <w:szCs w:val="24"/>
          <w:lang w:val="en-US"/>
        </w:rPr>
        <w:t xml:space="preserve"> with the ratio corrected for</w:t>
      </w:r>
      <w:r>
        <w:rPr>
          <w:sz w:val="24"/>
          <w:szCs w:val="24"/>
          <w:lang w:val="en-US"/>
        </w:rPr>
        <w:t xml:space="preserve"> maternal weight and gestation of measurement</w:t>
      </w:r>
      <w:r w:rsidRPr="00D92729">
        <w:rPr>
          <w:sz w:val="24"/>
          <w:szCs w:val="24"/>
          <w:lang w:val="en-US"/>
        </w:rPr>
        <w:t>.</w:t>
      </w:r>
    </w:p>
    <w:p w14:paraId="040E46D5" w14:textId="77777777" w:rsidR="00EE23EA" w:rsidRDefault="00EE23EA" w:rsidP="00EE23EA">
      <w:pPr>
        <w:spacing w:line="480" w:lineRule="auto"/>
        <w:ind w:firstLine="720"/>
        <w:jc w:val="both"/>
        <w:rPr>
          <w:sz w:val="24"/>
          <w:szCs w:val="24"/>
          <w:lang w:val="en-US"/>
        </w:rPr>
      </w:pPr>
      <w:r w:rsidRPr="00D92729">
        <w:rPr>
          <w:sz w:val="24"/>
          <w:szCs w:val="24"/>
          <w:lang w:val="en-US"/>
        </w:rPr>
        <w:t>Outcomes studied were FGR (birth weight less than the 10</w:t>
      </w:r>
      <w:r w:rsidRPr="00D92729">
        <w:rPr>
          <w:sz w:val="24"/>
          <w:szCs w:val="24"/>
          <w:vertAlign w:val="superscript"/>
          <w:lang w:val="en-US"/>
        </w:rPr>
        <w:t>th</w:t>
      </w:r>
      <w:r w:rsidRPr="00D92729">
        <w:rPr>
          <w:sz w:val="24"/>
          <w:szCs w:val="24"/>
          <w:lang w:val="en-US"/>
        </w:rPr>
        <w:t xml:space="preserve"> percentile, based on a United Kingdom population based reference</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{"citationID":"Imj0zzRd","citationItems":[{"id":"ITEM-1","itemData":{"ISSN":"1468-2044","PMID":"7639543","abstract":"The current reference curves of stature and weight for the UK were first published in 1966 and have been used ever since despite increasing concern that they may not adequately describe the growth of present day British children. Using current data from seven sources new reference curves have been estimated from birth to 20 years for children in 1990. The great majority of the data are nationally representative. The analysis used Cole's LMS method and has produced efficient estimates of the conventional centiles and gives a good fit to the data. These curves differ from the currently used curves at key ages for both stature and weight. In view of the concerns expressed about the current curves and the differences between them and the new curves, it is proposed that the curves presented here should be adopted as the new UK reference curves.","author":[{"dropping-particle":"V","family":"Freeman","given":"J","non-dropping-particle":"","parse-names":false,"suffix":""},{"dropping-particle":"","family":"Cole","given":"T J","non-dropping-particle":"","parse-names":false,"suffix":""},{"dropping-particle":"","family":"Chinn","given":"S","non-dropping-particle":"","parse-names":false,"suffix":""},{"dropping-particle":"","family":"Jones","given":"P R","non-dropping-particle":"","parse-names":false,"suffix":""},{"dropping-particle":"","family":"White","given":"E M","non-dropping-particle":"","parse-names":false,"suffix":""},{"dropping-particle":"","family":"Preece","given":"M A","non-dropping-particle":"","parse-names":false,"suffix":""}],"container-title":"Archives of disease in childhood","id":"ITEM-1","issue":"1","issued":{"date-parts":[["1995","7"]]},"page":"17-24","title":"Cross sectional stature and weight reference curves for the UK, 1990.","type":"article-journal","volume":"73"},"uri":["http://www.mendeley.com/documents/?uuid=766d3017-719f-3306-805c-fd8c6f7efc6b"],"uris":["http://www.mendeley.com/documents/?uuid=766d3017-719f-3306-805c-fd8c6f7efc6b"]}],"mendeley":{"formattedCitation":"[25]","plainTextFormattedCitation":"[25]","previouslyFormattedCitation":"[25]"},"properties":{"formattedCitation":"[25]","noteIndex":0,"plainCitation":"[25]"},"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[25]</w:t>
      </w:r>
      <w:r w:rsidRPr="00D92729">
        <w:rPr>
          <w:sz w:val="24"/>
          <w:szCs w:val="24"/>
          <w:lang w:val="en-US"/>
        </w:rPr>
        <w:fldChar w:fldCharType="end"/>
      </w:r>
      <w:r w:rsidRPr="00D92729">
        <w:rPr>
          <w:sz w:val="24"/>
          <w:szCs w:val="24"/>
          <w:lang w:val="en-US"/>
        </w:rPr>
        <w:t>) with one of the following complications: (i) non-anomalous perinatal death, (ii) any neonatal morbidity (as described in previous work</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{"citationID":"D7SMb2YC","citationItems":[{"id":"ITEM-1","itemData":{"DOI":"10.1016/S0140-6736(15)00131-2","ISSN":"0140-6736","PMID":"26360240","abstract":"&lt;h2&gt;Summary&lt;/h2&gt;&lt;h3&gt;Background&lt;/h3&gt;&lt;p&gt;Fetal growth restriction is a major determinant of adverse perinatal outcome. Screening procedures for fetal growth restriction need to identify small babies and then differentiate between those that are healthy and those that are pathologically small. We sought to determine the diagnostic effectiveness of universal ultrasonic fetal biometry in the third trimester as a screening test for small-for-gestational-age (SGA) infants, and whether the risk of morbidity associated with being small differed in the presence or absence of ultrasonic markers of fetal growth restriction.&lt;/p&gt;&lt;h3&gt;Methods&lt;/h3&gt;&lt;p&gt;The Pregnancy Outcome Prediction (POP) study was a prospective cohort study of nulliparous women with a viable singleton pregnancy at the time of the dating ultrasound scan. Women participating had clinically indicated ultrasonography in the third trimester as per routine clinical care and these results were reported as usual (selective ultrasonography). Additionally, all participants had research ultrasonography, including fetal biometry at 28 and 36 weeks' gestational age. These results were not made available to participants or treating clinicians (universal ultrasonography). We regarded SGA as a birthweight of less than the 10th percentile for gestational age and screen positive for SGA an ultrasonographic estimated fetal weight of less than the 10th percentile for gestational age. Markers of fetal growth restriction included biometric ratios, utero-placental Doppler, and fetal growth velocity. We assessed outcomes for consenting participants who attended research scans and had a livebirth at the Rosie Hospital (Cambridge, UK) after the 28 weeks' research scan.&lt;/p&gt;&lt;h3&gt;Findings&lt;/h3&gt;&lt;p&gt;Between Jan 14, 2008, and July 31, 2012, 4512 women provided written informed consent of whom 3977 (88%) were eligible for analysis. Sensitivity for detection of SGA infants was 20% (95% CI 15–24; 69 of 352 fetuses) for selective ultrasonography and 57% (51–62; 199 of 352 fetuses) for universal ultrasonography (relative sensitivity 2·9, 95% CI 2·4–3·5, p&lt;0·0001). Of the 3977 fetuses, 562 (14·1%) were identified by universal ultrasonography with an estimated fetal weight of less than the 10th percentile and were at an increased risk of neonatal morbidity (relative risk [RR] 1·60, 95% CI 1·22–2·09, p=0·0012). However, estimated fetal weight of less than the 10th percentile was only associated with the risk of neonatal morbidity (p&lt;sub&gt;interact…","author":[{"dropping-particle":"","family":"Sovio","given":"Ulla","non-dropping-particle":"","parse-names":false,"suffix":""},{"dropping-particle":"","family":"White","given":"Ian R","non-dropping-particle":"","parse-names":false,"suffix":""},{"dropping-particle":"","family":"Dacey","given":"Alison","non-dropping-particle":"","parse-names":false,"suffix":""},{"dropping-particle":"","family":"Pasupathy","given":"Dharmintra","non-dropping-particle":"","parse-names":false,"suffix":""},{"dropping-particle":"","family":"Smith","given":"Gordon C S","non-dropping-particle":"","parse-names":false,"suffix":""}],"container-title":"The Lancet","id":"ITEM-1","issue":"10008","issued":{"date-parts":[["2015","11","21"]]},"page":"2089-2097","publisher":"Elsevier","title":"Screening for fetal growth restriction with universal third trimester ultrasonography in nulliparous women in the Pregnancy Outcome Prediction (POP) study: a prospective cohort study","type":"article-journal","volume":"386"},"uri":["http://www.mendeley.com/documents/?uuid=b0095055-57cf-362e-b23c-d80d7f7b12b2"],"uris":["http://www.mendeley.com/documents/?uuid=b0095055-57cf-362e-b23c-d80d7f7b12b2"]}],"mendeley":{"formattedCitation":"[22]","plainTextFormattedCitation":"[22]","previouslyFormattedCitation":"[22]"},"properties":{"formattedCitation":"[22]","noteIndex":0,"plainCitation":"[22]"},"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[22]</w:t>
      </w:r>
      <w:r w:rsidRPr="00D92729">
        <w:rPr>
          <w:sz w:val="24"/>
          <w:szCs w:val="24"/>
          <w:lang w:val="en-US"/>
        </w:rPr>
        <w:fldChar w:fldCharType="end"/>
      </w:r>
      <w:r w:rsidRPr="00D92729">
        <w:rPr>
          <w:sz w:val="24"/>
          <w:szCs w:val="24"/>
          <w:lang w:val="en-US"/>
        </w:rPr>
        <w:t xml:space="preserve">), </w:t>
      </w:r>
      <w:r>
        <w:rPr>
          <w:sz w:val="24"/>
          <w:szCs w:val="24"/>
          <w:lang w:val="en-US"/>
        </w:rPr>
        <w:t>or</w:t>
      </w:r>
      <w:r w:rsidRPr="00D92729">
        <w:rPr>
          <w:sz w:val="24"/>
          <w:szCs w:val="24"/>
          <w:lang w:val="en-US"/>
        </w:rPr>
        <w:t xml:space="preserve"> (iii) maternal PE; severe SGA (birth weight less than the 3</w:t>
      </w:r>
      <w:r w:rsidRPr="00D92729">
        <w:rPr>
          <w:sz w:val="24"/>
          <w:szCs w:val="24"/>
          <w:vertAlign w:val="superscript"/>
          <w:lang w:val="en-US"/>
        </w:rPr>
        <w:t xml:space="preserve">rd </w:t>
      </w:r>
      <w:r w:rsidRPr="00D92729">
        <w:rPr>
          <w:sz w:val="24"/>
          <w:szCs w:val="24"/>
          <w:lang w:val="en-US"/>
        </w:rPr>
        <w:t>population percentile adjusted for gestational age and fetal sex); severe PE (defined according to the 2013 American College of Obstetricians and Gynecologists’ (ACOG) guidelines</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{"citationID":"F2MgIxKq","citationItems":[{"id":"ITEM-1","itemData":{"DOI":"10.1097/01.AOG.0000437382.03963.88","ISSN":"0029-7844","PMID":"24150027","author":[{"dropping-particle":"","family":"American College of Obstetricians and Gynecologists","given":"","non-dropping-particle":"","parse-names":false,"suffix":""},{"dropping-particle":"","family":"Task Force on Hypertension in Pregnancy","given":"","non-dropping-particle":"","parse-names":false,"suffix":""}],"container-title":"Obstetrics &amp; Gynecology","id":"ITEM-1","issue":"5","issued":{"date-parts":[["2013","11"]]},"page":"1122-1131","title":"Hypertension in Pregnancy","type":"article-journal","volume":"122"},"uri":["http://www.mendeley.com/documents/?uuid=d711b2a0-2a5a-34a1-b9eb-ed4a36cc6015"],"uris":["http://www.mendeley.com/documents/?uuid=d711b2a0-2a5a-34a1-b9eb-ed4a36cc6015"]}],"mendeley":{"formattedCitation":"[26]","plainTextFormattedCitation":"[26]","previouslyFormattedCitation":"[26]"},"properties":{"formattedCitation":"[26]","noteIndex":0,"plainCitation":"[26]"},"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[26]</w:t>
      </w:r>
      <w:r w:rsidRPr="00D92729">
        <w:rPr>
          <w:sz w:val="24"/>
          <w:szCs w:val="24"/>
          <w:lang w:val="en-US"/>
        </w:rPr>
        <w:fldChar w:fldCharType="end"/>
      </w:r>
      <w:r w:rsidRPr="00D92729">
        <w:rPr>
          <w:sz w:val="24"/>
          <w:szCs w:val="24"/>
          <w:lang w:val="en-US"/>
        </w:rPr>
        <w:t xml:space="preserve">); PE with PTB (PTB defined as delivery </w:t>
      </w:r>
      <w:r w:rsidRPr="00D92729">
        <w:rPr>
          <w:rFonts w:cstheme="minorHAnsi"/>
          <w:sz w:val="24"/>
          <w:szCs w:val="24"/>
          <w:lang w:val="en-US"/>
        </w:rPr>
        <w:t>≥</w:t>
      </w:r>
      <w:r w:rsidRPr="00D92729">
        <w:rPr>
          <w:sz w:val="24"/>
          <w:szCs w:val="24"/>
          <w:lang w:val="en-US"/>
        </w:rPr>
        <w:t>24 and &lt;37 wkGA); PE with SGA (SGA defined as birth weight less than the 10</w:t>
      </w:r>
      <w:r w:rsidRPr="00D92729">
        <w:rPr>
          <w:sz w:val="24"/>
          <w:szCs w:val="24"/>
          <w:vertAlign w:val="superscript"/>
          <w:lang w:val="en-US"/>
        </w:rPr>
        <w:t xml:space="preserve">th </w:t>
      </w:r>
      <w:r w:rsidRPr="00D92729">
        <w:rPr>
          <w:sz w:val="24"/>
          <w:szCs w:val="24"/>
          <w:lang w:val="en-US"/>
        </w:rPr>
        <w:t xml:space="preserve">population percentile); spontaneous PTB (sPTB); iatrogenic (medically-indicated) PTB (iPTB), pre-viable loss (defined as delivery of an infant with no signs of life at &lt;24 wkGA) and stillbirth (defined as delivery of an infant with no signs of life </w:t>
      </w:r>
      <w:r w:rsidRPr="00D92729">
        <w:rPr>
          <w:rFonts w:cstheme="minorHAnsi"/>
          <w:sz w:val="24"/>
          <w:szCs w:val="24"/>
          <w:lang w:val="en-US"/>
        </w:rPr>
        <w:t>≥</w:t>
      </w:r>
      <w:r w:rsidRPr="00D92729">
        <w:rPr>
          <w:sz w:val="24"/>
          <w:szCs w:val="24"/>
          <w:lang w:val="en-US"/>
        </w:rPr>
        <w:t xml:space="preserve">24 wkGA).  </w:t>
      </w:r>
    </w:p>
    <w:p w14:paraId="32C00177" w14:textId="77777777" w:rsidR="00EE23EA" w:rsidRPr="00D92729" w:rsidRDefault="00EE23EA" w:rsidP="00EE23EA">
      <w:pPr>
        <w:spacing w:line="480" w:lineRule="auto"/>
        <w:jc w:val="both"/>
        <w:outlineLvl w:val="0"/>
        <w:rPr>
          <w:sz w:val="24"/>
          <w:szCs w:val="24"/>
          <w:lang w:val="en-US"/>
        </w:rPr>
      </w:pPr>
      <w:r w:rsidRPr="00D92729">
        <w:rPr>
          <w:i/>
          <w:sz w:val="24"/>
          <w:szCs w:val="24"/>
          <w:lang w:val="en-US"/>
        </w:rPr>
        <w:t>Samples and measurement of AFP and PAPP-A</w:t>
      </w:r>
    </w:p>
    <w:p w14:paraId="0B0512E4" w14:textId="77777777" w:rsidR="00EE23EA" w:rsidRDefault="00EE23EA" w:rsidP="00EE23EA">
      <w:pPr>
        <w:spacing w:line="480" w:lineRule="auto"/>
        <w:jc w:val="both"/>
        <w:rPr>
          <w:sz w:val="24"/>
          <w:szCs w:val="24"/>
          <w:lang w:val="en-US"/>
        </w:rPr>
      </w:pPr>
      <w:r w:rsidRPr="00D92729">
        <w:rPr>
          <w:sz w:val="24"/>
          <w:szCs w:val="24"/>
          <w:lang w:val="en-US"/>
        </w:rPr>
        <w:t>Maternal blood samples were obtained at time of recruitment (median gestational age 12.7 wkGA, inter-quartile range (IQR) 12.1-13.1) and used for analysis in this study. AFP and PAPP-A were measured as previously described</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{"citationID":"iQztu6NJ","citationItems":[{"id":"ITEM-1","itemData":{"DOI":"10.1016/J.PLACENTA.2016.10.011","ISSN":"0143-4004","abstract":"Placental dysfunction is implicated in many major complications of pregnancy associated with adverse maternal and infant outcome, such as preeclampsia, fetal growth restriction and stillbirth. Yet, despite years of intensive research, screening for these complications is still largely based upon clinical grounds rather than ultrasonic and/or biochemical assessment of placental function. One of the few widely employed methods for assessment of risk, low first trimester levels of PAPP-A (Pregnancy Associated Plasma Protein A), was identified through secondary analysis of data collected to identify new methods of screening for Down's syndrome rather than as a purposeful search for screening tests for abnormal placentation. Development of improved methods for population screening requires better mechanistic understanding of the pathways leading to placentally-related complications of human pregnancy. This is in addition to a need for identification of biomarkers which reflect the underlying pathology, while predicting associated disease with high sensitivity and specificity. In this paper, we outline some of the challenges and opportunities in this area. Furthermore, we illustrate how some of these can be addressed in research studies using the example of the Pregnancy Outcome Prediction (POP) study, a prospective cohort study conducted in Cambridge, UK.","author":[{"dropping-particle":"","family":"Gaccioli","given":"Francesca","non-dropping-particle":"","parse-names":false,"suffix":""},{"dropping-particle":"","family":"Lager","given":"Susanne","non-dropping-particle":"","parse-names":false,"suffix":""},{"dropping-particle":"","family":"Sovio","given":"Ulla","non-dropping-particle":"","parse-names":false,"suffix":""},{"dropping-particle":"","family":"Charnock-Jones","given":"D. Stephen","non-dropping-particle":"","parse-names":false,"suffix":""},{"dropping-particle":"","family":"Smith","given":"Gordon C.S.","non-dropping-particle":"","parse-names":false,"suffix":""}],"container-title":"Placenta","id":"ITEM-1","issued":{"date-parts":[["2017","11","1"]]},"page":"S17-S25","publisher":"W.B. Saunders","title":"The pregnancy outcome prediction (POP) study: Investigating the relationship between serial prenatal ultrasonography, biomarkers, placental phenotype and adverse pregnancy outcomes","type":"article-journal","volume":"59"},"uri":["http://www.mendeley.com/documents/?uuid=25f801ea-a14b-311f-b93e-7031ce86d91e"],"uris":["http://www.mendeley.com/documents/?uuid=25f801ea-a14b-311f-b93e-7031ce86d91e"]}],"mendeley":{"formattedCitation":"[27]","plainTextFormattedCitation":"[27]","previouslyFormattedCitation":"[27]"},"properties":{"formattedCitation":"[27]","noteIndex":0,"plainCitation":"[27]"},"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[27]</w:t>
      </w:r>
      <w:r w:rsidRPr="00D92729">
        <w:rPr>
          <w:sz w:val="24"/>
          <w:szCs w:val="24"/>
          <w:lang w:val="en-US"/>
        </w:rPr>
        <w:fldChar w:fldCharType="end"/>
      </w:r>
      <w:r w:rsidRPr="00D92729">
        <w:rPr>
          <w:sz w:val="24"/>
          <w:szCs w:val="24"/>
          <w:lang w:val="en-US"/>
        </w:rPr>
        <w:t xml:space="preserve"> using the Roche Elecsys immunoassay (Cobas e411 analyzer, Roche Diagnostics, Mannheim, Germany)</w:t>
      </w:r>
      <w:r w:rsidRPr="00D92729">
        <w:rPr>
          <w:i/>
          <w:sz w:val="24"/>
          <w:szCs w:val="24"/>
          <w:lang w:val="en-US"/>
        </w:rPr>
        <w:t>.</w:t>
      </w:r>
      <w:r w:rsidRPr="00D92729">
        <w:rPr>
          <w:sz w:val="24"/>
          <w:szCs w:val="24"/>
          <w:lang w:val="en-US"/>
        </w:rPr>
        <w:t xml:space="preserve"> Researchers performing the assays were blinded to the study participants’ clinical information and outcome data. AFP </w:t>
      </w:r>
      <w:r>
        <w:rPr>
          <w:sz w:val="24"/>
          <w:szCs w:val="24"/>
          <w:lang w:val="en-US"/>
        </w:rPr>
        <w:t>has been</w:t>
      </w:r>
      <w:r w:rsidRPr="00D92729">
        <w:rPr>
          <w:sz w:val="24"/>
          <w:szCs w:val="24"/>
          <w:lang w:val="en-US"/>
        </w:rPr>
        <w:t xml:space="preserve"> reported in international units (IU) per L and PAPP-A in IU per mL. These raw values were used to calculate the AFP:PAPP-A ratio. </w:t>
      </w:r>
    </w:p>
    <w:p w14:paraId="5CB27471" w14:textId="77777777" w:rsidR="00EE23EA" w:rsidRDefault="00EE23EA" w:rsidP="00EE23EA">
      <w:pPr>
        <w:spacing w:line="480" w:lineRule="auto"/>
        <w:jc w:val="both"/>
        <w:rPr>
          <w:i/>
          <w:sz w:val="24"/>
          <w:szCs w:val="24"/>
          <w:lang w:val="en-US"/>
        </w:rPr>
      </w:pPr>
    </w:p>
    <w:p w14:paraId="4529F50F" w14:textId="77777777" w:rsidR="00EE23EA" w:rsidRDefault="00EE23EA" w:rsidP="00EE23EA">
      <w:pPr>
        <w:spacing w:line="480" w:lineRule="auto"/>
        <w:jc w:val="both"/>
        <w:rPr>
          <w:i/>
          <w:sz w:val="24"/>
          <w:szCs w:val="24"/>
          <w:lang w:val="en-US"/>
        </w:rPr>
      </w:pPr>
    </w:p>
    <w:p w14:paraId="75AB0A67" w14:textId="77777777" w:rsidR="00EE23EA" w:rsidRPr="000A6382" w:rsidRDefault="00EE23EA" w:rsidP="00EE23EA">
      <w:pPr>
        <w:spacing w:line="480" w:lineRule="auto"/>
        <w:jc w:val="both"/>
        <w:rPr>
          <w:sz w:val="24"/>
          <w:szCs w:val="24"/>
          <w:lang w:val="en-US"/>
        </w:rPr>
      </w:pPr>
      <w:r w:rsidRPr="00D92729">
        <w:rPr>
          <w:i/>
          <w:sz w:val="24"/>
          <w:szCs w:val="24"/>
          <w:lang w:val="en-US"/>
        </w:rPr>
        <w:t>Exclusion criteria</w:t>
      </w:r>
    </w:p>
    <w:p w14:paraId="3DBAF5F9" w14:textId="77777777" w:rsidR="00EE23EA" w:rsidRDefault="00EE23EA" w:rsidP="00EE23EA">
      <w:pPr>
        <w:spacing w:line="480" w:lineRule="auto"/>
        <w:jc w:val="both"/>
        <w:rPr>
          <w:sz w:val="24"/>
          <w:szCs w:val="24"/>
          <w:lang w:val="en-US"/>
        </w:rPr>
      </w:pPr>
      <w:r w:rsidRPr="00D92729">
        <w:rPr>
          <w:sz w:val="24"/>
          <w:szCs w:val="24"/>
          <w:lang w:val="en-US"/>
        </w:rPr>
        <w:t>Women were excluded from the analyses if they had no AFP or PAPP-A measurement at approximately 12 wkGA, had a therapeutic termination of pregnancy, withdrew from study, or had no outcome data.</w:t>
      </w:r>
    </w:p>
    <w:p w14:paraId="487B224E" w14:textId="77777777" w:rsidR="00EE23EA" w:rsidRPr="00D92729" w:rsidRDefault="00EE23EA" w:rsidP="00EE23EA">
      <w:pPr>
        <w:spacing w:line="480" w:lineRule="auto"/>
        <w:jc w:val="both"/>
        <w:outlineLvl w:val="0"/>
        <w:rPr>
          <w:i/>
          <w:sz w:val="24"/>
          <w:szCs w:val="24"/>
          <w:lang w:val="en-US"/>
        </w:rPr>
      </w:pPr>
      <w:r w:rsidRPr="00D92729">
        <w:rPr>
          <w:i/>
          <w:sz w:val="24"/>
          <w:szCs w:val="24"/>
          <w:lang w:val="en-US"/>
        </w:rPr>
        <w:t>Statistical analyses</w:t>
      </w:r>
    </w:p>
    <w:p w14:paraId="36DFE3CD" w14:textId="77777777" w:rsidR="00EE23EA" w:rsidRDefault="00EE23EA" w:rsidP="00EE23EA">
      <w:pPr>
        <w:spacing w:line="480" w:lineRule="auto"/>
        <w:jc w:val="both"/>
        <w:rPr>
          <w:sz w:val="24"/>
          <w:szCs w:val="24"/>
          <w:lang w:val="en-US"/>
        </w:rPr>
      </w:pPr>
      <w:r w:rsidRPr="00D92729">
        <w:rPr>
          <w:sz w:val="24"/>
          <w:szCs w:val="24"/>
          <w:lang w:val="en-US"/>
        </w:rPr>
        <w:t>Standard screening summary statistics and relative risks from two by two tables were calculated from the analyses of elevated (&gt;10) uncorrected AFP:PAPP-A ratio, the top decile of corrected AFP, bottom decile of corrected PAPP-A and women in the top 10% of risk from a predictive model including both corrected AFP and PAPP-A. For the corrected values, we log-transformed the raw values, calculated maternal weight and gestation of measurement-adjusted multiples of the median (MoM), and converted them into standardized Z scores. The discrimination between cases and non-cases was also analyzed using the uncorrected AFP:PAPP-A ratio as a continuous variable by plotting the receiver operating characteristic (ROC) curve and estimating the C statistic, i.e. the area under the ROC curve (AUC). We compared the predictive performance of the uncorrected AFP:PAPP-A ratio against corrected AFP and PAPP-A alone and in combination, using the method of DeLong</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{"citationID":"BNB55TmV","citationItems":[{"id":"ITEM-1","itemData":{"ISSN":"0006-341X","PMID":"3203132","abstract":"Methods of evaluating and comparing the performance of diagnostic tests are of increasing importance as new tests are developed and marketed. When a test is based on an observed variable that lies on a continuous or graded scale, an assessment of the overall value of the test can be made through the use of a receiver operating characteristic (ROC) curve. The curve is constructed by varying the cutpoint used to determine which values of the observed variable will be considered abnormal and then plotting the resulting sensitivities against the corresponding false positive rates. When two or more empirical curves are constructed based on tests performed on the same individuals, statistical analysis on differences between curves must take into account the correlated nature of the data. This paper presents a nonparametric approach to the analysis of areas under correlated ROC curves, by using the theory on generalized U-statistics to generate an estimated covariance matrix.","author":[{"dropping-particle":"","family":"DeLong","given":"E R","non-dropping-particle":"","parse-names":false,"suffix":""},{"dropping-particle":"","family":"DeLong","given":"D M","non-dropping-particle":"","parse-names":false,"suffix":""},{"dropping-particle":"","family":"Clarke-Pearson","given":"D L","non-dropping-particle":"","parse-names":false,"suffix":""}],"container-title":"Biometrics","id":"ITEM-1","issue":"3","issued":{"date-parts":[["1988","9"]]},"page":"837-45","title":"Comparing the areas under two or more correlated receiver operating characteristic curves: a nonparametric approach.","type":"article-journal","volume":"44"},"uri":["http://www.mendeley.com/documents/?uuid=ef9eca31-2262-3518-9e47-53b0d80b884a"],"uris":["http://www.mendeley.com/documents/?uuid=ef9eca31-2262-3518-9e47-53b0d80b884a"]}],"mendeley":{"formattedCitation":"[28]","plainTextFormattedCitation":"[28]","previouslyFormattedCitation":"[28]"},"properties":{"formattedCitation":"[28]","noteIndex":0,"plainCitation":"[28]"},"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[28]</w:t>
      </w:r>
      <w:r w:rsidRPr="00D92729">
        <w:rPr>
          <w:sz w:val="24"/>
          <w:szCs w:val="24"/>
          <w:lang w:val="en-US"/>
        </w:rPr>
        <w:fldChar w:fldCharType="end"/>
      </w:r>
      <w:r w:rsidRPr="00D92729">
        <w:rPr>
          <w:sz w:val="24"/>
          <w:szCs w:val="24"/>
          <w:lang w:val="en-US"/>
        </w:rPr>
        <w:t xml:space="preserve">. Using the same methods, the performance of the AFP:PAPP-A ratio was compared with and without correction for gestational age and maternal weight. For this purpose, the AFP:PAPP-A ratio values were log-transformed to improve normality and turned into a Z score. The corrected AFP:PAPP-A ratios were obtained as standardized residuals from the linear regression analysis between the AFP:PAPP-A Z score (dependent variable) and gestational age and maternal weight (independent variables). All analyses were performed in STATA version 15.1 (StataCorp, College Station, TX). </w:t>
      </w:r>
    </w:p>
    <w:p w14:paraId="463304AB" w14:textId="77777777" w:rsidR="00EE23EA" w:rsidRPr="00D92729" w:rsidRDefault="00EE23EA" w:rsidP="00EE23EA">
      <w:pPr>
        <w:spacing w:line="480" w:lineRule="auto"/>
        <w:jc w:val="both"/>
        <w:outlineLvl w:val="0"/>
        <w:rPr>
          <w:i/>
          <w:sz w:val="24"/>
          <w:szCs w:val="24"/>
          <w:lang w:val="en-US"/>
        </w:rPr>
      </w:pPr>
      <w:r w:rsidRPr="00D92729">
        <w:rPr>
          <w:i/>
          <w:sz w:val="24"/>
          <w:szCs w:val="24"/>
          <w:lang w:val="en-US"/>
        </w:rPr>
        <w:t>Ethics approval and study reporting</w:t>
      </w:r>
    </w:p>
    <w:p w14:paraId="2E46DBC1" w14:textId="77777777" w:rsidR="00EE23EA" w:rsidRDefault="00EE23EA" w:rsidP="00EE23EA">
      <w:pPr>
        <w:spacing w:line="480" w:lineRule="auto"/>
        <w:jc w:val="both"/>
        <w:rPr>
          <w:sz w:val="24"/>
          <w:szCs w:val="24"/>
          <w:lang w:val="en-US"/>
        </w:rPr>
      </w:pPr>
      <w:r w:rsidRPr="00D92729">
        <w:rPr>
          <w:sz w:val="24"/>
          <w:szCs w:val="24"/>
          <w:lang w:val="en-US"/>
        </w:rPr>
        <w:t>Ethics approval for the POP study was obtained from the Cambridgeshire 2 Research Ethics Committee (reference number 07/H0308/163) and written consent was obtained from all study participants. The reporting of this study conforms to the STARD (Standards for Reporting Diagnostic Accuracy) guidelines</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{"citationID":"A16JYUON","citationItems":[{"id":"ITEM-1","itemData":{"ISSN":"1756-1833","author":[{"dropping-particle":"","family":"Bossuyt","given":"Patrick M.","non-dropping-particle":"","parse-names":false,"suffix":""},{"dropping-particle":"","family":"Reitsma","given":"Johannes B.","non-dropping-particle":"","parse-names":false,"suffix":""},{"dropping-particle":"","family":"Bruns","given":"David E.","non-dropping-particle":"","parse-names":false,"suffix":""},{"dropping-particle":"","family":"Gatsonis","given":"Constantine A.","non-dropping-particle":"","parse-names":false,"suffix":""},{"dropping-particle":"","family":"Glasziou","given":"Paul P.","non-dropping-particle":"","parse-names":false,"suffix":""},{"dropping-particle":"","family":"Irwig","given":"Les","non-dropping-particle":"","parse-names":false,"suffix":""},{"dropping-particle":"","family":"Lijmer","given":"Jeroen G.","non-dropping-particle":"","parse-names":false,"suffix":""},{"dropping-particle":"","family":"Moher","given":"David","non-dropping-particle":"","parse-names":false,"suffix":""},{"dropping-particle":"","family":"Rennie","given":"Drummond","non-dropping-particle":"","parse-names":false,"suffix":""},{"dropping-particle":"","family":"Vet","given":"Henrica C. W.","non-dropping-particle":"de","parse-names":false,"suffix":""},{"dropping-particle":"","family":"Kressel","given":"Herbert Y.","non-dropping-particle":"","parse-names":false,"suffix":""},{"dropping-particle":"","family":"Rifai","given":"Nader","non-dropping-particle":"","parse-names":false,"suffix":""},{"dropping-particle":"","family":"Golub","given":"Robert M.","non-dropping-particle":"","parse-names":false,"suffix":""},{"dropping-particle":"","family":"Altman","given":"Douglas G.","non-dropping-particle":"","parse-names":false,"suffix":""},{"dropping-particle":"","family":"Hooft","given":"Lotty","non-dropping-particle":"","parse-names":false,"suffix":""},{"dropping-particle":"","family":"Korevaar","given":"Daniël A.","non-dropping-particle":"","parse-names":false,"suffix":""},{"dropping-particle":"","family":"Cohen","given":"Jérémie F.","non-dropping-particle":"","parse-names":false,"suffix":""}],"container-title":"BMJ (Clinical research ed.)","id":"ITEM-1","issued":{"date-parts":[["2015","10"]]},"language":"eng","page":"h5527","title":"STARD 2015: an updated list of essential items for reporting diagnostic accuracy studies","type":"article-journal","volume":"351"},"uri":["http://www.mendeley.com/documents/?uuid=6f9c5ad7-b4e7-4f82-b702-63f53d7cd8c6"],"uris":["http://www.mendeley.com/documents/?uuid=6f9c5ad7-b4e7-4f82-b702-63f53d7cd8c6"]}],"mendeley":{"formattedCitation":"[29]","plainTextFormattedCitation":"[29]","previouslyFormattedCitation":"[29]"},"properties":{"formattedCitation":"[29]","noteIndex":0,"plainCitation":"[29]"},"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[29]</w:t>
      </w:r>
      <w:r w:rsidRPr="00D92729">
        <w:rPr>
          <w:sz w:val="24"/>
          <w:szCs w:val="24"/>
          <w:lang w:val="en-US"/>
        </w:rPr>
        <w:fldChar w:fldCharType="end"/>
      </w:r>
      <w:r w:rsidRPr="00D92729">
        <w:rPr>
          <w:sz w:val="24"/>
          <w:szCs w:val="24"/>
          <w:lang w:val="en-US"/>
        </w:rPr>
        <w:t>.</w:t>
      </w:r>
      <w:r>
        <w:rPr>
          <w:sz w:val="24"/>
          <w:szCs w:val="24"/>
          <w:lang w:val="en-US"/>
        </w:rPr>
        <w:br w:type="page"/>
      </w:r>
    </w:p>
    <w:p w14:paraId="6F694776" w14:textId="77777777" w:rsidR="00EE23EA" w:rsidRPr="00536A5D" w:rsidRDefault="00EE23EA" w:rsidP="00EE23EA">
      <w:pPr>
        <w:spacing w:line="480" w:lineRule="auto"/>
        <w:jc w:val="both"/>
        <w:outlineLvl w:val="0"/>
        <w:rPr>
          <w:b/>
          <w:sz w:val="24"/>
          <w:szCs w:val="24"/>
          <w:lang w:val="en-US"/>
        </w:rPr>
      </w:pPr>
      <w:r w:rsidRPr="00536A5D">
        <w:rPr>
          <w:b/>
          <w:sz w:val="24"/>
          <w:szCs w:val="24"/>
          <w:lang w:val="en-US"/>
        </w:rPr>
        <w:t>Results</w:t>
      </w:r>
    </w:p>
    <w:p w14:paraId="34E77D98" w14:textId="77777777" w:rsidR="00EE23EA" w:rsidRPr="00D92729" w:rsidRDefault="00EE23EA" w:rsidP="00EE23EA">
      <w:pPr>
        <w:spacing w:line="480" w:lineRule="auto"/>
        <w:jc w:val="both"/>
        <w:outlineLvl w:val="0"/>
        <w:rPr>
          <w:i/>
          <w:sz w:val="24"/>
          <w:szCs w:val="24"/>
          <w:lang w:val="en-US"/>
        </w:rPr>
      </w:pPr>
      <w:r w:rsidRPr="00D92729">
        <w:rPr>
          <w:i/>
          <w:sz w:val="24"/>
          <w:szCs w:val="24"/>
          <w:lang w:val="en-US"/>
        </w:rPr>
        <w:t>Description of study participants</w:t>
      </w:r>
    </w:p>
    <w:p w14:paraId="2FC9F049" w14:textId="77777777" w:rsidR="00EE23EA" w:rsidRDefault="00EE23EA" w:rsidP="00EE23EA">
      <w:pPr>
        <w:spacing w:line="480" w:lineRule="auto"/>
        <w:jc w:val="both"/>
        <w:rPr>
          <w:sz w:val="24"/>
          <w:szCs w:val="24"/>
          <w:lang w:val="en-US"/>
        </w:rPr>
      </w:pPr>
      <w:r w:rsidRPr="00D92729">
        <w:rPr>
          <w:sz w:val="24"/>
          <w:szCs w:val="24"/>
          <w:lang w:val="en-US"/>
        </w:rPr>
        <w:t>Out of the 4512 women recruited to the POP study, 67 women (1.5%) withdrew and 233 (5.7%) delivered elsewhere, leaving 4212 eligible women. There were 4057 women who had biochemical and outcome data</w:t>
      </w:r>
      <w:r>
        <w:rPr>
          <w:sz w:val="24"/>
          <w:szCs w:val="24"/>
          <w:lang w:val="en-US"/>
        </w:rPr>
        <w:t xml:space="preserve"> and they were</w:t>
      </w:r>
      <w:r w:rsidRPr="00D92729">
        <w:rPr>
          <w:sz w:val="24"/>
          <w:szCs w:val="24"/>
          <w:lang w:val="en-US"/>
        </w:rPr>
        <w:t xml:space="preserve"> included in the analysis. Of these, 416 women (10.3%) had one or more of the outcomes described above.</w:t>
      </w:r>
      <w:r>
        <w:rPr>
          <w:sz w:val="24"/>
          <w:szCs w:val="24"/>
          <w:lang w:val="en-US"/>
        </w:rPr>
        <w:t xml:space="preserve"> A table showing pairwise overlaps of the outcomes is provided in Supplemental Table 1. </w:t>
      </w:r>
      <w:r w:rsidRPr="00D92729">
        <w:rPr>
          <w:sz w:val="24"/>
          <w:szCs w:val="24"/>
          <w:lang w:val="en-US"/>
        </w:rPr>
        <w:t>The</w:t>
      </w:r>
      <w:r>
        <w:rPr>
          <w:sz w:val="24"/>
          <w:szCs w:val="24"/>
          <w:lang w:val="en-US"/>
        </w:rPr>
        <w:t xml:space="preserve"> distributions of the individual biomarker values and the AFP:PAPP-A ratio in the study population are given in Supplemental Table 2.</w:t>
      </w:r>
      <w:r w:rsidRPr="00D92729">
        <w:rPr>
          <w:sz w:val="24"/>
          <w:szCs w:val="24"/>
          <w:lang w:val="en-US"/>
        </w:rPr>
        <w:t xml:space="preserve"> The clinical characteristics of </w:t>
      </w:r>
      <w:r>
        <w:rPr>
          <w:sz w:val="24"/>
          <w:szCs w:val="24"/>
          <w:lang w:val="en-US"/>
        </w:rPr>
        <w:t>all</w:t>
      </w:r>
      <w:r w:rsidRPr="00D92729">
        <w:rPr>
          <w:sz w:val="24"/>
          <w:szCs w:val="24"/>
          <w:lang w:val="en-US"/>
        </w:rPr>
        <w:t xml:space="preserve"> women</w:t>
      </w:r>
      <w:r>
        <w:rPr>
          <w:sz w:val="24"/>
          <w:szCs w:val="24"/>
          <w:lang w:val="en-US"/>
        </w:rPr>
        <w:t xml:space="preserve"> analyzed in this study</w:t>
      </w:r>
      <w:r w:rsidRPr="00D92729">
        <w:rPr>
          <w:sz w:val="24"/>
          <w:szCs w:val="24"/>
          <w:lang w:val="en-US"/>
        </w:rPr>
        <w:t xml:space="preserve"> are tabulated </w:t>
      </w:r>
      <w:r w:rsidRPr="00D92729">
        <w:rPr>
          <w:noProof/>
          <w:sz w:val="24"/>
          <w:szCs w:val="24"/>
          <w:lang w:val="en-US" w:eastAsia="en-GB"/>
        </w:rPr>
        <w:t>by adverse outcome status</w:t>
      </w:r>
      <w:r w:rsidRPr="00D92729">
        <w:rPr>
          <w:sz w:val="24"/>
          <w:szCs w:val="24"/>
          <w:lang w:val="en-US"/>
        </w:rPr>
        <w:t xml:space="preserve"> in Table </w:t>
      </w:r>
      <w:r>
        <w:rPr>
          <w:sz w:val="24"/>
          <w:szCs w:val="24"/>
          <w:lang w:val="en-US"/>
        </w:rPr>
        <w:t>1</w:t>
      </w:r>
      <w:r w:rsidRPr="00D92729">
        <w:rPr>
          <w:sz w:val="24"/>
          <w:szCs w:val="24"/>
          <w:lang w:val="en-US"/>
        </w:rPr>
        <w:t xml:space="preserve">. </w:t>
      </w:r>
    </w:p>
    <w:p w14:paraId="7113DF9B" w14:textId="77777777" w:rsidR="00EE23EA" w:rsidRPr="00D92729" w:rsidRDefault="00EE23EA" w:rsidP="00EE23EA">
      <w:pPr>
        <w:spacing w:line="480" w:lineRule="auto"/>
        <w:jc w:val="both"/>
        <w:rPr>
          <w:i/>
          <w:sz w:val="24"/>
          <w:szCs w:val="24"/>
          <w:lang w:val="en-US"/>
        </w:rPr>
      </w:pPr>
      <w:r w:rsidRPr="00D92729">
        <w:rPr>
          <w:i/>
          <w:sz w:val="24"/>
          <w:szCs w:val="24"/>
          <w:lang w:val="en-US"/>
        </w:rPr>
        <w:t>Associations with adverse pregnancy outcomes</w:t>
      </w:r>
      <w:r w:rsidRPr="00AC5FD7">
        <w:rPr>
          <w:i/>
          <w:sz w:val="24"/>
          <w:szCs w:val="24"/>
          <w:lang w:val="en-US"/>
        </w:rPr>
        <w:t xml:space="preserve"> </w:t>
      </w:r>
    </w:p>
    <w:p w14:paraId="22763B44" w14:textId="77777777" w:rsidR="00EE23EA" w:rsidRDefault="00EE23EA" w:rsidP="00EE23EA">
      <w:pPr>
        <w:spacing w:line="480" w:lineRule="auto"/>
        <w:jc w:val="both"/>
        <w:rPr>
          <w:sz w:val="24"/>
          <w:szCs w:val="24"/>
          <w:lang w:val="en-US"/>
        </w:rPr>
      </w:pPr>
      <w:r w:rsidRPr="00D92729">
        <w:rPr>
          <w:sz w:val="24"/>
          <w:szCs w:val="24"/>
          <w:lang w:val="en-US"/>
        </w:rPr>
        <w:t xml:space="preserve">An elevated uncorrected AFP:PAPP-A ratio &gt;10 was statistically significantly associated with several </w:t>
      </w:r>
      <w:r>
        <w:rPr>
          <w:sz w:val="24"/>
          <w:szCs w:val="24"/>
          <w:lang w:val="en-US"/>
        </w:rPr>
        <w:t xml:space="preserve">placentally-related </w:t>
      </w:r>
      <w:r w:rsidRPr="00D92729">
        <w:rPr>
          <w:sz w:val="24"/>
          <w:szCs w:val="24"/>
          <w:lang w:val="en-US"/>
        </w:rPr>
        <w:t xml:space="preserve">adverse outcomes (Figure 1A). The estimated relative risks of FGR, severe SGA, PE with SGA, iPTB, pre-viable loss and stillbirth were about three to fivefold higher in women with an AFP:PAPP-A ratio &gt;10 compared to women with a ratio </w:t>
      </w:r>
      <w:r>
        <w:rPr>
          <w:rFonts w:cstheme="minorHAnsi"/>
          <w:sz w:val="24"/>
          <w:szCs w:val="24"/>
          <w:lang w:val="en-US"/>
        </w:rPr>
        <w:t>≤</w:t>
      </w:r>
      <w:r w:rsidRPr="00D92729">
        <w:rPr>
          <w:sz w:val="24"/>
          <w:szCs w:val="24"/>
          <w:lang w:val="en-US"/>
        </w:rPr>
        <w:t>10. The relative risks for PE with preterm delivery, severe PE, and sPTB were slightly lower at two to threefold.</w:t>
      </w:r>
      <w:r w:rsidRPr="0020244E">
        <w:rPr>
          <w:sz w:val="24"/>
          <w:szCs w:val="24"/>
          <w:lang w:val="en-US"/>
        </w:rPr>
        <w:t xml:space="preserve"> </w:t>
      </w:r>
    </w:p>
    <w:p w14:paraId="2CCC6038" w14:textId="77777777" w:rsidR="00EE23EA" w:rsidRDefault="00EE23EA" w:rsidP="00EE23EA">
      <w:pPr>
        <w:spacing w:line="480" w:lineRule="auto"/>
        <w:ind w:firstLine="720"/>
        <w:jc w:val="both"/>
        <w:rPr>
          <w:sz w:val="24"/>
          <w:szCs w:val="24"/>
          <w:lang w:val="en-US"/>
        </w:rPr>
      </w:pPr>
      <w:r w:rsidRPr="00D92729">
        <w:rPr>
          <w:sz w:val="24"/>
          <w:szCs w:val="24"/>
          <w:lang w:val="en-US"/>
        </w:rPr>
        <w:t xml:space="preserve">The uncorrected AFP:PAPP-A ratio had </w:t>
      </w:r>
      <w:r>
        <w:rPr>
          <w:sz w:val="24"/>
          <w:szCs w:val="24"/>
          <w:lang w:val="en-US"/>
        </w:rPr>
        <w:t xml:space="preserve">comparable </w:t>
      </w:r>
      <w:r w:rsidRPr="00D92729">
        <w:rPr>
          <w:sz w:val="24"/>
          <w:szCs w:val="24"/>
          <w:lang w:val="en-US"/>
        </w:rPr>
        <w:t>risk ratios for adverse outcome with either the top decile of corrected AFP MoM or bottom decile of corrected PAPP-A MoM on their own or in combination (Figure 1). For PE with PTB and stillbirth</w:t>
      </w:r>
      <w:r>
        <w:rPr>
          <w:sz w:val="24"/>
          <w:szCs w:val="24"/>
          <w:lang w:val="en-US"/>
        </w:rPr>
        <w:t>,</w:t>
      </w:r>
      <w:r w:rsidRPr="00D92729">
        <w:rPr>
          <w:sz w:val="24"/>
          <w:szCs w:val="24"/>
          <w:lang w:val="en-US"/>
        </w:rPr>
        <w:t xml:space="preserve"> the risk ratio was significantly associated (</w:t>
      </w:r>
      <w:r w:rsidRPr="000E3E45">
        <w:rPr>
          <w:i/>
          <w:sz w:val="24"/>
          <w:szCs w:val="24"/>
          <w:lang w:val="en-US"/>
        </w:rPr>
        <w:t>P</w:t>
      </w:r>
      <w:r>
        <w:rPr>
          <w:i/>
          <w:sz w:val="24"/>
          <w:szCs w:val="24"/>
          <w:lang w:val="en-US"/>
        </w:rPr>
        <w:t xml:space="preserve"> </w:t>
      </w:r>
      <w:r>
        <w:rPr>
          <w:sz w:val="24"/>
          <w:szCs w:val="24"/>
          <w:lang w:val="en-US"/>
        </w:rPr>
        <w:t xml:space="preserve">value </w:t>
      </w:r>
      <w:r w:rsidRPr="00D92729">
        <w:rPr>
          <w:sz w:val="24"/>
          <w:szCs w:val="24"/>
          <w:lang w:val="en-US"/>
        </w:rPr>
        <w:t xml:space="preserve">&lt;0.05) with the AFP:PAPP-A ratio (Figure 1A), whereas </w:t>
      </w:r>
      <w:r>
        <w:rPr>
          <w:sz w:val="24"/>
          <w:szCs w:val="24"/>
          <w:lang w:val="en-US"/>
        </w:rPr>
        <w:t>there was no statistically significant association with the</w:t>
      </w:r>
      <w:r w:rsidRPr="00D92729">
        <w:rPr>
          <w:sz w:val="24"/>
          <w:szCs w:val="24"/>
          <w:lang w:val="en-US"/>
        </w:rPr>
        <w:t xml:space="preserve"> corrected AFP MoM </w:t>
      </w:r>
      <w:r>
        <w:rPr>
          <w:sz w:val="24"/>
          <w:szCs w:val="24"/>
          <w:lang w:val="en-US"/>
        </w:rPr>
        <w:t>or</w:t>
      </w:r>
      <w:r w:rsidRPr="00D92729">
        <w:rPr>
          <w:sz w:val="24"/>
          <w:szCs w:val="24"/>
          <w:lang w:val="en-US"/>
        </w:rPr>
        <w:t xml:space="preserve"> PAPP-A MoM (Figure 1B and C, respectively). Additionally, a PAPP-A MoM in the bottom decile was not associated with severe PE or pre-viable loss at </w:t>
      </w:r>
      <w:r w:rsidRPr="000E3E45">
        <w:rPr>
          <w:i/>
          <w:sz w:val="24"/>
          <w:szCs w:val="24"/>
          <w:lang w:val="en-US"/>
        </w:rPr>
        <w:t>P</w:t>
      </w:r>
      <w:r>
        <w:rPr>
          <w:i/>
          <w:sz w:val="24"/>
          <w:szCs w:val="24"/>
          <w:lang w:val="en-US"/>
        </w:rPr>
        <w:t xml:space="preserve"> </w:t>
      </w:r>
      <w:r>
        <w:rPr>
          <w:sz w:val="24"/>
          <w:szCs w:val="24"/>
          <w:lang w:val="en-US"/>
        </w:rPr>
        <w:t xml:space="preserve">value </w:t>
      </w:r>
      <w:r w:rsidRPr="00D92729">
        <w:rPr>
          <w:sz w:val="24"/>
          <w:szCs w:val="24"/>
          <w:lang w:val="en-US"/>
        </w:rPr>
        <w:t>&lt;0.05 (Figure 1C). The</w:t>
      </w:r>
      <w:r>
        <w:rPr>
          <w:sz w:val="24"/>
          <w:szCs w:val="24"/>
          <w:lang w:val="en-US"/>
        </w:rPr>
        <w:t xml:space="preserve"> associations between an AFP:PAPP-A ratio&gt; 10 and adverse outcome were similar to the top</w:t>
      </w:r>
      <w:r w:rsidRPr="00D92729">
        <w:rPr>
          <w:sz w:val="24"/>
          <w:szCs w:val="24"/>
          <w:lang w:val="en-US"/>
        </w:rPr>
        <w:t xml:space="preserve"> 10% of predicted risk using a combination of corrected AFP MoM and PAPP-A MoM </w:t>
      </w:r>
      <w:r>
        <w:rPr>
          <w:sz w:val="24"/>
          <w:szCs w:val="24"/>
          <w:lang w:val="en-US"/>
        </w:rPr>
        <w:t>and</w:t>
      </w:r>
      <w:r w:rsidRPr="00D92729">
        <w:rPr>
          <w:sz w:val="24"/>
          <w:szCs w:val="24"/>
          <w:lang w:val="en-US"/>
        </w:rPr>
        <w:t xml:space="preserve"> the 95% CIs overlapped in all cases (Figure 1D)).</w:t>
      </w:r>
    </w:p>
    <w:p w14:paraId="379406E2" w14:textId="77777777" w:rsidR="00EE23EA" w:rsidRPr="00D92729" w:rsidRDefault="00EE23EA" w:rsidP="00EE23EA">
      <w:pPr>
        <w:spacing w:line="480" w:lineRule="auto"/>
        <w:jc w:val="both"/>
        <w:rPr>
          <w:i/>
          <w:sz w:val="24"/>
          <w:szCs w:val="24"/>
          <w:lang w:val="en-US"/>
        </w:rPr>
      </w:pPr>
      <w:r>
        <w:rPr>
          <w:i/>
          <w:sz w:val="24"/>
          <w:szCs w:val="24"/>
          <w:lang w:val="en-US"/>
        </w:rPr>
        <w:t>Screening test performance</w:t>
      </w:r>
    </w:p>
    <w:p w14:paraId="44D8CAF7" w14:textId="77777777" w:rsidR="00EE23EA" w:rsidRPr="00D92729" w:rsidRDefault="00EE23EA" w:rsidP="00EE23EA">
      <w:pPr>
        <w:spacing w:line="480" w:lineRule="auto"/>
        <w:jc w:val="both"/>
        <w:rPr>
          <w:sz w:val="24"/>
          <w:szCs w:val="24"/>
          <w:lang w:val="en-US"/>
        </w:rPr>
      </w:pPr>
      <w:r w:rsidRPr="00D92729">
        <w:rPr>
          <w:sz w:val="24"/>
          <w:szCs w:val="24"/>
          <w:lang w:val="en-US"/>
        </w:rPr>
        <w:t>Standard screening statistics for the AFP:PAPP-A ratio &gt;10 are provided in</w:t>
      </w:r>
      <w:r>
        <w:rPr>
          <w:sz w:val="24"/>
          <w:szCs w:val="24"/>
          <w:lang w:val="en-US"/>
        </w:rPr>
        <w:t xml:space="preserve"> Table 2</w:t>
      </w:r>
      <w:r w:rsidRPr="00D92729">
        <w:rPr>
          <w:sz w:val="24"/>
          <w:szCs w:val="24"/>
          <w:lang w:val="en-US"/>
        </w:rPr>
        <w:t xml:space="preserve">. </w:t>
      </w:r>
      <w:r>
        <w:rPr>
          <w:sz w:val="24"/>
          <w:szCs w:val="24"/>
          <w:lang w:val="en-US"/>
        </w:rPr>
        <w:t>For the outcomes studied, t</w:t>
      </w:r>
      <w:r w:rsidRPr="00D92729">
        <w:rPr>
          <w:sz w:val="24"/>
          <w:szCs w:val="24"/>
          <w:lang w:val="en-US"/>
        </w:rPr>
        <w:t>he AFP:PAPP-A ratio</w:t>
      </w:r>
      <w:r>
        <w:rPr>
          <w:sz w:val="24"/>
          <w:szCs w:val="24"/>
          <w:lang w:val="en-US"/>
        </w:rPr>
        <w:t xml:space="preserve"> had high</w:t>
      </w:r>
      <w:r w:rsidRPr="00D92729">
        <w:rPr>
          <w:sz w:val="24"/>
          <w:szCs w:val="24"/>
          <w:lang w:val="en-US"/>
        </w:rPr>
        <w:t xml:space="preserve"> </w:t>
      </w:r>
      <w:r>
        <w:rPr>
          <w:sz w:val="24"/>
          <w:szCs w:val="24"/>
          <w:lang w:val="en-US"/>
        </w:rPr>
        <w:t>s</w:t>
      </w:r>
      <w:r w:rsidRPr="00D92729">
        <w:rPr>
          <w:sz w:val="24"/>
          <w:szCs w:val="24"/>
          <w:lang w:val="en-US"/>
        </w:rPr>
        <w:t xml:space="preserve">pecificity (range 89.8-90.5%), but </w:t>
      </w:r>
      <w:r>
        <w:rPr>
          <w:sz w:val="24"/>
          <w:szCs w:val="24"/>
          <w:lang w:val="en-US"/>
        </w:rPr>
        <w:t xml:space="preserve">relatively low </w:t>
      </w:r>
      <w:r w:rsidRPr="00D92729">
        <w:rPr>
          <w:sz w:val="24"/>
          <w:szCs w:val="24"/>
          <w:lang w:val="en-US"/>
        </w:rPr>
        <w:t>sensitivity (range 19.4-36.4%). The highest positive likelihood ratio of 3.6 was observed for stillbirth (</w:t>
      </w:r>
      <w:r>
        <w:rPr>
          <w:sz w:val="24"/>
          <w:szCs w:val="24"/>
          <w:lang w:val="en-US"/>
        </w:rPr>
        <w:t>Table 2</w:t>
      </w:r>
      <w:r w:rsidRPr="00D92729">
        <w:rPr>
          <w:sz w:val="24"/>
          <w:szCs w:val="24"/>
          <w:lang w:val="en-US"/>
        </w:rPr>
        <w:t>). The highest AUC of 0.716 was observed for preeclampsia with SGA (Table</w:t>
      </w:r>
      <w:r>
        <w:rPr>
          <w:sz w:val="24"/>
          <w:szCs w:val="24"/>
          <w:lang w:val="en-US"/>
        </w:rPr>
        <w:t>s 2 and</w:t>
      </w:r>
      <w:r w:rsidRPr="00D92729">
        <w:rPr>
          <w:sz w:val="24"/>
          <w:szCs w:val="24"/>
          <w:lang w:val="en-US"/>
        </w:rPr>
        <w:t xml:space="preserve"> </w:t>
      </w:r>
      <w:r>
        <w:rPr>
          <w:sz w:val="24"/>
          <w:szCs w:val="24"/>
          <w:lang w:val="en-US"/>
        </w:rPr>
        <w:t>3</w:t>
      </w:r>
      <w:r w:rsidRPr="00D92729">
        <w:rPr>
          <w:sz w:val="24"/>
          <w:szCs w:val="24"/>
          <w:lang w:val="en-US"/>
        </w:rPr>
        <w:t xml:space="preserve">). Correction of the ratio for gestational age and maternal weight did not make a substantial difference to the discrimination between cases and non-cases (Supplemental Table </w:t>
      </w:r>
      <w:r>
        <w:rPr>
          <w:sz w:val="24"/>
          <w:szCs w:val="24"/>
          <w:lang w:val="en-US"/>
        </w:rPr>
        <w:t>3</w:t>
      </w:r>
      <w:r w:rsidRPr="00D92729">
        <w:rPr>
          <w:sz w:val="24"/>
          <w:szCs w:val="24"/>
          <w:lang w:val="en-US"/>
        </w:rPr>
        <w:t xml:space="preserve">, </w:t>
      </w:r>
      <w:r w:rsidRPr="00D92729">
        <w:rPr>
          <w:i/>
          <w:sz w:val="24"/>
          <w:szCs w:val="24"/>
          <w:lang w:val="en-US"/>
        </w:rPr>
        <w:t>P</w:t>
      </w:r>
      <w:r>
        <w:rPr>
          <w:i/>
          <w:sz w:val="24"/>
          <w:szCs w:val="24"/>
          <w:lang w:val="en-US"/>
        </w:rPr>
        <w:t xml:space="preserve"> </w:t>
      </w:r>
      <w:r>
        <w:rPr>
          <w:sz w:val="24"/>
          <w:szCs w:val="24"/>
          <w:lang w:val="en-US"/>
        </w:rPr>
        <w:t>value</w:t>
      </w:r>
      <w:r w:rsidRPr="00D92729">
        <w:rPr>
          <w:sz w:val="24"/>
          <w:szCs w:val="24"/>
          <w:lang w:val="en-US"/>
        </w:rPr>
        <w:t xml:space="preserve"> &gt;0.05 for all comparisons). </w:t>
      </w:r>
      <w:r>
        <w:rPr>
          <w:sz w:val="24"/>
          <w:szCs w:val="24"/>
          <w:lang w:val="en-US"/>
        </w:rPr>
        <w:t>Moreover, t</w:t>
      </w:r>
      <w:r w:rsidRPr="00D92729">
        <w:rPr>
          <w:sz w:val="24"/>
          <w:szCs w:val="24"/>
          <w:lang w:val="en-US"/>
        </w:rPr>
        <w:t xml:space="preserve">he uncorrected </w:t>
      </w:r>
      <w:r>
        <w:rPr>
          <w:sz w:val="24"/>
          <w:szCs w:val="24"/>
          <w:lang w:val="en-US"/>
        </w:rPr>
        <w:t xml:space="preserve">AFP:PAPP-A ratio had similar </w:t>
      </w:r>
      <w:r w:rsidRPr="00D92729">
        <w:rPr>
          <w:sz w:val="24"/>
          <w:szCs w:val="24"/>
          <w:lang w:val="en-US"/>
        </w:rPr>
        <w:t xml:space="preserve">screening statistics for adverse outcome </w:t>
      </w:r>
      <w:r>
        <w:rPr>
          <w:sz w:val="24"/>
          <w:szCs w:val="24"/>
          <w:lang w:val="en-US"/>
        </w:rPr>
        <w:t>compared to</w:t>
      </w:r>
      <w:r w:rsidRPr="00D92729">
        <w:rPr>
          <w:sz w:val="24"/>
          <w:szCs w:val="24"/>
          <w:lang w:val="en-US"/>
        </w:rPr>
        <w:t xml:space="preserve"> the top decile of corrected AFP MoM or bottom decile of corrected PAPP-A MoM </w:t>
      </w:r>
      <w:r>
        <w:rPr>
          <w:sz w:val="24"/>
          <w:szCs w:val="24"/>
          <w:lang w:val="en-US"/>
        </w:rPr>
        <w:t>alone</w:t>
      </w:r>
      <w:r w:rsidRPr="00D92729">
        <w:rPr>
          <w:sz w:val="24"/>
          <w:szCs w:val="24"/>
          <w:lang w:val="en-US"/>
        </w:rPr>
        <w:t xml:space="preserve"> or in co</w:t>
      </w:r>
      <w:r>
        <w:rPr>
          <w:sz w:val="24"/>
          <w:szCs w:val="24"/>
          <w:lang w:val="en-US"/>
        </w:rPr>
        <w:t>mbination (Supplemental Tables 4 to 6</w:t>
      </w:r>
      <w:r w:rsidRPr="00D92729">
        <w:rPr>
          <w:sz w:val="24"/>
          <w:szCs w:val="24"/>
          <w:lang w:val="en-US"/>
        </w:rPr>
        <w:t>).</w:t>
      </w:r>
    </w:p>
    <w:p w14:paraId="4BEF4EC8" w14:textId="77777777" w:rsidR="00EE23EA" w:rsidRDefault="00EE23EA" w:rsidP="00EE23EA">
      <w:pPr>
        <w:spacing w:line="480" w:lineRule="auto"/>
        <w:ind w:firstLine="720"/>
        <w:jc w:val="both"/>
        <w:rPr>
          <w:sz w:val="24"/>
          <w:szCs w:val="24"/>
          <w:lang w:val="en-US"/>
        </w:rPr>
      </w:pPr>
      <w:r w:rsidRPr="00D92729">
        <w:rPr>
          <w:sz w:val="24"/>
          <w:szCs w:val="24"/>
          <w:lang w:val="en-US"/>
        </w:rPr>
        <w:t xml:space="preserve">When the AUCs were compared, the uncorrected ratio generally had higher AUCs than either corrected AFP MoM or PAPP-A MoM on their own for screening of adverse pregnancy outcomes (Table </w:t>
      </w:r>
      <w:r>
        <w:rPr>
          <w:sz w:val="24"/>
          <w:szCs w:val="24"/>
          <w:lang w:val="en-US"/>
        </w:rPr>
        <w:t>3</w:t>
      </w:r>
      <w:r w:rsidRPr="00D92729">
        <w:rPr>
          <w:sz w:val="24"/>
          <w:szCs w:val="24"/>
          <w:lang w:val="en-US"/>
        </w:rPr>
        <w:t>). In particular, the AUC for sPTB using the uncorrected AFP:PAPP-A ratio was higher than using corrected AFP MoM on its own and for iPTB, using the uncorrected AFP:PAPP-A ratio resulted in a higher AUC than corrected PAPP-A MoM on its own. When corrected AFP MoM and PAPP-A MoM were included in the same predictive model the AUCs were comparable to that of the uncorrected AFP:PAPP-A ratio except for sPTB, where the AUC was higher using the combined corrected measurements.</w:t>
      </w:r>
    </w:p>
    <w:p w14:paraId="36AE1B75" w14:textId="77777777" w:rsidR="00EE23EA" w:rsidRDefault="00EE23EA" w:rsidP="00EE23EA">
      <w:pPr>
        <w:spacing w:line="480" w:lineRule="auto"/>
        <w:jc w:val="both"/>
        <w:rPr>
          <w:i/>
          <w:sz w:val="24"/>
          <w:szCs w:val="24"/>
          <w:lang w:val="en-US"/>
        </w:rPr>
      </w:pPr>
      <w:r>
        <w:rPr>
          <w:i/>
          <w:sz w:val="24"/>
          <w:szCs w:val="24"/>
          <w:lang w:val="en-US"/>
        </w:rPr>
        <w:t>Addition of AFP:PAPP-A to ultrasound findings associated with adverse outcome</w:t>
      </w:r>
    </w:p>
    <w:p w14:paraId="50603850" w14:textId="77777777" w:rsidR="00EE23EA" w:rsidRDefault="00EE23EA" w:rsidP="00EE23EA">
      <w:pPr>
        <w:spacing w:line="480" w:lineRule="auto"/>
        <w:jc w:val="both"/>
        <w:rPr>
          <w:sz w:val="24"/>
          <w:szCs w:val="24"/>
          <w:lang w:val="en-US"/>
        </w:rPr>
      </w:pPr>
      <w:r>
        <w:rPr>
          <w:sz w:val="24"/>
          <w:szCs w:val="24"/>
          <w:lang w:val="en-US"/>
        </w:rPr>
        <w:t>Our previous work has shown that an estimated fetal weight (EFW) &lt;10</w:t>
      </w:r>
      <w:r w:rsidRPr="001D7B5C">
        <w:rPr>
          <w:sz w:val="24"/>
          <w:szCs w:val="24"/>
          <w:vertAlign w:val="superscript"/>
          <w:lang w:val="en-US"/>
        </w:rPr>
        <w:t>th</w:t>
      </w:r>
      <w:r>
        <w:rPr>
          <w:sz w:val="24"/>
          <w:szCs w:val="24"/>
          <w:lang w:val="en-US"/>
        </w:rPr>
        <w:t xml:space="preserve"> percentile with a reduction in growth velocity of the abdominal circumference (ACGV) on ultrasound is associated with most neonatal morbidity </w:t>
      </w:r>
      <w:r>
        <w:rPr>
          <w:sz w:val="24"/>
          <w:szCs w:val="24"/>
          <w:lang w:val="en-US"/>
        </w:rPr>
        <w:fldChar w:fldCharType="begin" w:fldLock="1"/>
      </w:r>
      <w:r>
        <w:rPr>
          <w:sz w:val="24"/>
          <w:szCs w:val="24"/>
          <w:lang w:val="en-US"/>
        </w:rPr>
        <w:instrText>ADDIN CSL_CITATION {"citationItems":[{"id":"ITEM-1","itemData":{"DOI":"10.1016/S0140-6736(15)00131-2","ISSN":"0140-6736","PMID":"26360240","abstract":"&lt;h2&gt;Summary&lt;/h2&gt;&lt;h3&gt;Background&lt;/h3&gt;&lt;p&gt;Fetal growth restriction is a major determinant of adverse perinatal outcome. Screening procedures for fetal growth restriction need to identify small babies and then differentiate between those that are healthy and those that are pathologically small. We sought to determine the diagnostic effectiveness of universal ultrasonic fetal biometry in the third trimester as a screening test for small-for-gestational-age (SGA) infants, and whether the risk of morbidity associated with being small differed in the presence or absence of ultrasonic markers of fetal growth restriction.&lt;/p&gt;&lt;h3&gt;Methods&lt;/h3&gt;&lt;p&gt;The Pregnancy Outcome Prediction (POP) study was a prospective cohort study of nulliparous women with a viable singleton pregnancy at the time of the dating ultrasound scan. Women participating had clinically indicated ultrasonography in the third trimester as per routine clinical care and these results were reported as usual (selective ultrasonography). Additionally, all participants had research ultrasonography, including fetal biometry at 28 and 36 weeks' gestational age. These results were not made available to participants or treating clinicians (universal ultrasonography). We regarded SGA as a birthweight of less than the 10th percentile for gestational age and screen positive for SGA an ultrasonographic estimated fetal weight of less than the 10th percentile for gestational age. Markers of fetal growth restriction included biometric ratios, utero-placental Doppler, and fetal growth velocity. We assessed outcomes for consenting participants who attended research scans and had a livebirth at the Rosie Hospital (Cambridge, UK) after the 28 weeks' research scan.&lt;/p&gt;&lt;h3&gt;Findings&lt;/h3&gt;&lt;p&gt;Between Jan 14, 2008, and July 31, 2012, 4512 women provided written informed consent of whom 3977 (88%) were eligible for analysis. Sensitivity for detection of SGA infants was 20% (95% CI 15–24; 69 of 352 fetuses) for selective ultrasonography and 57% (51–62; 199 of 352 fetuses) for universal ultrasonography (relative sensitivity 2·9, 95% CI 2·4–3·5, p&lt;0·0001). Of the 3977 fetuses, 562 (14·1%) were identified by universal ultrasonography with an estimated fetal weight of less than the 10th percentile and were at an increased risk of neonatal morbidity (relative risk [RR] 1·60, 95% CI 1·22–2·09, p=0·0012). However, estimated fetal weight of less than the 10th percentile was only associated with the risk of neonatal morbidity (p&lt;sub&gt;interact…","author":[{"dropping-particle":"","family":"Sovio","given":"Ulla","non-dropping-particle":"","parse-names":false,"suffix":""},{"dropping-particle":"","family":"White","given":"Ian R","non-dropping-particle":"","parse-names":false,"suffix":""},{"dropping-particle":"","family":"Dacey","given":"Alison","non-dropping-particle":"","parse-names":false,"suffix":""},{"dropping-particle":"","family":"Pasupathy","given":"Dharmintra","non-dropping-particle":"","parse-names":false,"suffix":""},{"dropping-particle":"","family":"Smith","given":"Gordon C S","non-dropping-particle":"","parse-names":false,"suffix":""}],"container-title":"The Lancet","id":"ITEM-1","issue":"10008","issued":{"date-parts":[["2015","11","21"]]},"page":"2089-2097","publisher":"Elsevier","title":"Screening for fetal growth restriction with universal third trimester ultrasonography in nulliparous women in the Pregnancy Outcome Prediction (POP) study: a prospective cohort study","type":"article-journal","volume":"386"},"uris":["http://www.mendeley.com/documents/?uuid=b0095055-57cf-362e-b23c-d80d7f7b12b2"]}],"mendeley":{"formattedCitation":"[22]","plainTextFormattedCitation":"[22]","previouslyFormattedCitation":"[22]"},"properties":{"noteIndex":0},"schema":"https://github.com/citation-style-language/schema/raw/master/csl-citation.json"}</w:instrText>
      </w:r>
      <w:r>
        <w:rPr>
          <w:sz w:val="24"/>
          <w:szCs w:val="24"/>
          <w:lang w:val="en-US"/>
        </w:rPr>
        <w:fldChar w:fldCharType="separate"/>
      </w:r>
      <w:r w:rsidRPr="006E2F9E">
        <w:rPr>
          <w:noProof/>
          <w:sz w:val="24"/>
          <w:szCs w:val="24"/>
          <w:lang w:val="en-US"/>
        </w:rPr>
        <w:t>[22]</w:t>
      </w:r>
      <w:r>
        <w:rPr>
          <w:sz w:val="24"/>
          <w:szCs w:val="24"/>
          <w:lang w:val="en-US"/>
        </w:rPr>
        <w:fldChar w:fldCharType="end"/>
      </w:r>
      <w:r>
        <w:rPr>
          <w:sz w:val="24"/>
          <w:szCs w:val="24"/>
          <w:lang w:val="en-US"/>
        </w:rPr>
        <w:t>. An AFP:PAPP-A &gt;10 in the first trimester or an EFW &lt;10</w:t>
      </w:r>
      <w:r w:rsidRPr="000A6382">
        <w:rPr>
          <w:sz w:val="24"/>
          <w:szCs w:val="24"/>
          <w:vertAlign w:val="superscript"/>
          <w:lang w:val="en-US"/>
        </w:rPr>
        <w:t>th</w:t>
      </w:r>
      <w:r>
        <w:rPr>
          <w:sz w:val="24"/>
          <w:szCs w:val="24"/>
          <w:lang w:val="en-US"/>
        </w:rPr>
        <w:t xml:space="preserve"> percentile with reduced ACGV in the third trimester provided greater sensitivity for adverse outcome than the ultrasound finding on its own, but specificity was lower (Supplemental Table 7). </w:t>
      </w:r>
      <w:r>
        <w:rPr>
          <w:sz w:val="24"/>
          <w:szCs w:val="24"/>
          <w:lang w:val="en-US"/>
        </w:rPr>
        <w:br w:type="page"/>
      </w:r>
    </w:p>
    <w:p w14:paraId="165D229E" w14:textId="77777777" w:rsidR="00EE23EA" w:rsidRPr="00536A5D" w:rsidRDefault="00EE23EA" w:rsidP="00EE23EA">
      <w:pPr>
        <w:spacing w:line="480" w:lineRule="auto"/>
        <w:jc w:val="both"/>
        <w:outlineLvl w:val="0"/>
        <w:rPr>
          <w:b/>
          <w:sz w:val="24"/>
          <w:szCs w:val="24"/>
          <w:lang w:val="en-US"/>
        </w:rPr>
      </w:pPr>
      <w:r w:rsidRPr="00536A5D">
        <w:rPr>
          <w:b/>
          <w:sz w:val="24"/>
          <w:szCs w:val="24"/>
          <w:lang w:val="en-US"/>
        </w:rPr>
        <w:t>Discussion</w:t>
      </w:r>
    </w:p>
    <w:p w14:paraId="0E05BACD" w14:textId="77777777" w:rsidR="00EE23EA" w:rsidRDefault="00EE23EA" w:rsidP="00EE23EA">
      <w:pPr>
        <w:spacing w:line="480" w:lineRule="auto"/>
        <w:jc w:val="both"/>
        <w:rPr>
          <w:sz w:val="24"/>
          <w:szCs w:val="24"/>
          <w:lang w:val="en-US"/>
        </w:rPr>
      </w:pPr>
      <w:r>
        <w:rPr>
          <w:sz w:val="24"/>
          <w:szCs w:val="24"/>
          <w:lang w:val="en-US"/>
        </w:rPr>
        <w:t>The major finding of this</w:t>
      </w:r>
      <w:r w:rsidRPr="00D92729">
        <w:rPr>
          <w:sz w:val="24"/>
          <w:szCs w:val="24"/>
          <w:lang w:val="en-US"/>
        </w:rPr>
        <w:t xml:space="preserve"> study </w:t>
      </w:r>
      <w:r>
        <w:rPr>
          <w:sz w:val="24"/>
          <w:szCs w:val="24"/>
          <w:lang w:val="en-US"/>
        </w:rPr>
        <w:t>is</w:t>
      </w:r>
      <w:r w:rsidRPr="00D92729">
        <w:rPr>
          <w:sz w:val="24"/>
          <w:szCs w:val="24"/>
          <w:lang w:val="en-US"/>
        </w:rPr>
        <w:t xml:space="preserve"> that a </w:t>
      </w:r>
      <w:r>
        <w:rPr>
          <w:sz w:val="24"/>
          <w:szCs w:val="24"/>
          <w:lang w:val="en-US"/>
        </w:rPr>
        <w:t>simple ratio of AFP to PAPP-A</w:t>
      </w:r>
      <w:r w:rsidRPr="00D92729">
        <w:rPr>
          <w:sz w:val="24"/>
          <w:szCs w:val="24"/>
          <w:lang w:val="en-US"/>
        </w:rPr>
        <w:t xml:space="preserve"> &gt;10 in the first trimester </w:t>
      </w:r>
      <w:r>
        <w:rPr>
          <w:sz w:val="24"/>
          <w:szCs w:val="24"/>
          <w:lang w:val="en-US"/>
        </w:rPr>
        <w:t>is</w:t>
      </w:r>
      <w:r w:rsidRPr="00D92729">
        <w:rPr>
          <w:sz w:val="24"/>
          <w:szCs w:val="24"/>
          <w:lang w:val="en-US"/>
        </w:rPr>
        <w:t xml:space="preserve"> associated with</w:t>
      </w:r>
      <w:r>
        <w:rPr>
          <w:sz w:val="24"/>
          <w:szCs w:val="24"/>
          <w:lang w:val="en-US"/>
        </w:rPr>
        <w:t xml:space="preserve"> several important placentally-related</w:t>
      </w:r>
      <w:r w:rsidRPr="00D92729">
        <w:rPr>
          <w:sz w:val="24"/>
          <w:szCs w:val="24"/>
          <w:lang w:val="en-US"/>
        </w:rPr>
        <w:t xml:space="preserve"> adverse pregnancy outcomes, including FGR, PE</w:t>
      </w:r>
      <w:r>
        <w:rPr>
          <w:sz w:val="24"/>
          <w:szCs w:val="24"/>
          <w:lang w:val="en-US"/>
        </w:rPr>
        <w:t xml:space="preserve">, </w:t>
      </w:r>
      <w:r w:rsidRPr="00D92729">
        <w:rPr>
          <w:sz w:val="24"/>
          <w:szCs w:val="24"/>
          <w:lang w:val="en-US"/>
        </w:rPr>
        <w:t>PTB</w:t>
      </w:r>
      <w:r>
        <w:rPr>
          <w:sz w:val="24"/>
          <w:szCs w:val="24"/>
          <w:lang w:val="en-US"/>
        </w:rPr>
        <w:t xml:space="preserve"> and stillbirth. In addition, the ratio does not require correction for maternal weight and gestational age at measurement, simplifying its use as potential screening tool, and may provide more information than either AFP or PAPP-A on their own.</w:t>
      </w:r>
    </w:p>
    <w:p w14:paraId="0CDC152E" w14:textId="77777777" w:rsidR="00EE23EA" w:rsidRDefault="00EE23EA" w:rsidP="00EE23EA">
      <w:pPr>
        <w:spacing w:line="480" w:lineRule="auto"/>
        <w:ind w:firstLine="720"/>
        <w:jc w:val="both"/>
        <w:rPr>
          <w:sz w:val="24"/>
          <w:szCs w:val="24"/>
          <w:lang w:val="en-US"/>
        </w:rPr>
      </w:pPr>
      <w:r>
        <w:rPr>
          <w:sz w:val="24"/>
          <w:szCs w:val="24"/>
          <w:lang w:val="en-US"/>
        </w:rPr>
        <w:t>Whilst AFP and PAPP-A are normally corrected for maternal weight and gestational age to improve their predictive ability for aneuploidy,</w:t>
      </w:r>
      <w:r w:rsidRPr="00D92729">
        <w:rPr>
          <w:sz w:val="24"/>
          <w:szCs w:val="24"/>
          <w:lang w:val="en-US"/>
        </w:rPr>
        <w:t xml:space="preserve"> </w:t>
      </w:r>
      <w:r>
        <w:rPr>
          <w:sz w:val="24"/>
          <w:szCs w:val="24"/>
          <w:lang w:val="en-US"/>
        </w:rPr>
        <w:t>c</w:t>
      </w:r>
      <w:r w:rsidRPr="00D92729">
        <w:rPr>
          <w:sz w:val="24"/>
          <w:szCs w:val="24"/>
          <w:lang w:val="en-US"/>
        </w:rPr>
        <w:t xml:space="preserve">orrecting the ratio for </w:t>
      </w:r>
      <w:r>
        <w:rPr>
          <w:sz w:val="24"/>
          <w:szCs w:val="24"/>
          <w:lang w:val="en-US"/>
        </w:rPr>
        <w:t>these parameters</w:t>
      </w:r>
      <w:r w:rsidRPr="00D92729">
        <w:rPr>
          <w:sz w:val="24"/>
          <w:szCs w:val="24"/>
          <w:lang w:val="en-US"/>
        </w:rPr>
        <w:t xml:space="preserve"> did not substantially influence predictive ability</w:t>
      </w:r>
      <w:r>
        <w:rPr>
          <w:sz w:val="24"/>
          <w:szCs w:val="24"/>
          <w:lang w:val="en-US"/>
        </w:rPr>
        <w:t xml:space="preserve"> for the adverse outcomes analyzed in this study cohort.</w:t>
      </w:r>
      <w:r w:rsidRPr="00D92729">
        <w:rPr>
          <w:sz w:val="24"/>
          <w:szCs w:val="24"/>
          <w:lang w:val="en-US"/>
        </w:rPr>
        <w:t xml:space="preserve"> </w:t>
      </w:r>
      <w:r>
        <w:rPr>
          <w:sz w:val="24"/>
          <w:szCs w:val="24"/>
          <w:lang w:val="en-US"/>
        </w:rPr>
        <w:t>T</w:t>
      </w:r>
      <w:r w:rsidRPr="00D92729">
        <w:rPr>
          <w:sz w:val="24"/>
          <w:szCs w:val="24"/>
          <w:lang w:val="en-US"/>
        </w:rPr>
        <w:t>he maximum improvement in AUC was 0.026 for stillbirth and for five of the nine studied outcomes the AUC was less after correction</w:t>
      </w:r>
      <w:r w:rsidRPr="00D92729">
        <w:rPr>
          <w:i/>
          <w:sz w:val="24"/>
          <w:szCs w:val="24"/>
          <w:lang w:val="en-US"/>
        </w:rPr>
        <w:t>,</w:t>
      </w:r>
      <w:r w:rsidRPr="00D92729">
        <w:rPr>
          <w:sz w:val="24"/>
          <w:szCs w:val="24"/>
          <w:lang w:val="en-US"/>
        </w:rPr>
        <w:t xml:space="preserve"> hence these corrections are unnecessary</w:t>
      </w:r>
      <w:r>
        <w:rPr>
          <w:sz w:val="24"/>
          <w:szCs w:val="24"/>
          <w:lang w:val="en-US"/>
        </w:rPr>
        <w:t xml:space="preserve"> for the ratio.</w:t>
      </w:r>
      <w:r w:rsidRPr="00D92729">
        <w:rPr>
          <w:sz w:val="24"/>
          <w:szCs w:val="24"/>
          <w:lang w:val="en-US"/>
        </w:rPr>
        <w:t xml:space="preserve"> </w:t>
      </w:r>
    </w:p>
    <w:p w14:paraId="72253CDB" w14:textId="77777777" w:rsidR="00EE23EA" w:rsidRPr="00D92729" w:rsidRDefault="00EE23EA" w:rsidP="00EE23EA">
      <w:pPr>
        <w:spacing w:line="480" w:lineRule="auto"/>
        <w:ind w:firstLine="720"/>
        <w:jc w:val="both"/>
        <w:rPr>
          <w:sz w:val="24"/>
          <w:szCs w:val="24"/>
          <w:lang w:val="en-US"/>
        </w:rPr>
      </w:pPr>
      <w:r w:rsidRPr="00D92729">
        <w:rPr>
          <w:sz w:val="24"/>
          <w:szCs w:val="24"/>
          <w:lang w:val="en-US"/>
        </w:rPr>
        <w:t xml:space="preserve">Moreover, there was a trend for the uncorrected ratio to be more strongly associated with adverse outcome than either corrected AFP or PAPP-A on their own. </w:t>
      </w:r>
      <w:r>
        <w:rPr>
          <w:sz w:val="24"/>
          <w:szCs w:val="24"/>
          <w:lang w:val="en-US"/>
        </w:rPr>
        <w:t>T</w:t>
      </w:r>
      <w:r w:rsidRPr="00D92729">
        <w:rPr>
          <w:sz w:val="24"/>
          <w:szCs w:val="24"/>
          <w:lang w:val="en-US"/>
        </w:rPr>
        <w:t>he comparison of AUCs between the uncorrected ratio and the individual corrected measurements was not statistically significant at the 5% level,</w:t>
      </w:r>
      <w:r>
        <w:rPr>
          <w:sz w:val="24"/>
          <w:szCs w:val="24"/>
          <w:lang w:val="en-US"/>
        </w:rPr>
        <w:t xml:space="preserve"> but</w:t>
      </w:r>
      <w:r w:rsidRPr="00D92729">
        <w:rPr>
          <w:sz w:val="24"/>
          <w:szCs w:val="24"/>
          <w:lang w:val="en-US"/>
        </w:rPr>
        <w:t xml:space="preserve"> the DeLong method is conservative</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{"citationID":"B5mfFGtT","citationItems":[{"id":"ITEM-1","itemData":{"DOI":"10.1002/sim.5727","ISSN":"02776715","author":[{"dropping-particle":"","family":"Pepe","given":"Margaret Sullivan","non-dropping-particle":"","parse-names":false,"suffix":""},{"dropping-particle":"","family":"Kerr","given":"Kathleen F.","non-dropping-particle":"","parse-names":false,"suffix":""},{"dropping-particle":"","family":"Longton","given":"Gary","non-dropping-particle":"","parse-names":false,"suffix":""},{"dropping-particle":"","family":"Wang","given":"Zheyu","non-dropping-particle":"","parse-names":false,"suffix":""}],"container-title":"Statistics in Medicine","id":"ITEM-1","issue":"9","issued":{"date-parts":[["2013","4","30"]]},"page":"1467-1482","publisher":"Wiley-Blackwell","title":"Testing for improvement in prediction model performance","type":"article-journal","volume":"32"},"uri":["http://www.mendeley.com/documents/?uuid=2e41afb3-c678-36d3-ae7e-1bda688a55ff"],"uris":["http://www.mendeley.com/documents/?uuid=2e41afb3-c678-36d3-ae7e-1bda688a55ff"]}],"mendeley":{"formattedCitation":"[30]","plainTextFormattedCitation":"[30]","previouslyFormattedCitation":"[30]"},"properties":{"dontUpdate":true,"formattedCitation":"[33]","noteIndex":0,"plainCitation":"[33]"},"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[30]</w:t>
      </w:r>
      <w:r w:rsidRPr="00D92729">
        <w:rPr>
          <w:sz w:val="24"/>
          <w:szCs w:val="24"/>
          <w:lang w:val="en-US"/>
        </w:rPr>
        <w:fldChar w:fldCharType="end"/>
      </w:r>
      <w:r w:rsidRPr="00D92729">
        <w:rPr>
          <w:sz w:val="24"/>
          <w:szCs w:val="24"/>
          <w:lang w:val="en-US"/>
        </w:rPr>
        <w:t xml:space="preserve"> and the greater AUCs could be clinically important. Furthermore, sensitivity</w:t>
      </w:r>
      <w:r>
        <w:rPr>
          <w:sz w:val="24"/>
          <w:szCs w:val="24"/>
          <w:lang w:val="en-US"/>
        </w:rPr>
        <w:t xml:space="preserve"> using the uncorrected AFP:PAPP-A ratio</w:t>
      </w:r>
      <w:r w:rsidRPr="00D92729">
        <w:rPr>
          <w:sz w:val="24"/>
          <w:szCs w:val="24"/>
          <w:lang w:val="en-US"/>
        </w:rPr>
        <w:t xml:space="preserve"> was between 0.9% and 18.4% higher than the commonly used corrected PAPP-A on its own. A corrected AFP in the top decile had the greatest sensitivity for pre-viable loss (42.6%), but otherwise sensitivity was</w:t>
      </w:r>
      <w:r>
        <w:rPr>
          <w:sz w:val="24"/>
          <w:szCs w:val="24"/>
          <w:lang w:val="en-US"/>
        </w:rPr>
        <w:t xml:space="preserve"> the same (for sPTB) or</w:t>
      </w:r>
      <w:r w:rsidRPr="00D92729">
        <w:rPr>
          <w:sz w:val="24"/>
          <w:szCs w:val="24"/>
          <w:lang w:val="en-US"/>
        </w:rPr>
        <w:t xml:space="preserve"> </w:t>
      </w:r>
      <w:r>
        <w:rPr>
          <w:sz w:val="24"/>
          <w:szCs w:val="24"/>
          <w:lang w:val="en-US"/>
        </w:rPr>
        <w:t>better</w:t>
      </w:r>
      <w:r w:rsidRPr="00D92729">
        <w:rPr>
          <w:sz w:val="24"/>
          <w:szCs w:val="24"/>
          <w:lang w:val="en-US"/>
        </w:rPr>
        <w:t xml:space="preserve"> using the uncorrected ratio</w:t>
      </w:r>
      <w:r>
        <w:rPr>
          <w:sz w:val="24"/>
          <w:szCs w:val="24"/>
          <w:lang w:val="en-US"/>
        </w:rPr>
        <w:t xml:space="preserve"> (between 3.9% and 17.2%)</w:t>
      </w:r>
      <w:r w:rsidRPr="00D92729">
        <w:rPr>
          <w:sz w:val="24"/>
          <w:szCs w:val="24"/>
          <w:lang w:val="en-US"/>
        </w:rPr>
        <w:t>.</w:t>
      </w:r>
      <w:r>
        <w:rPr>
          <w:sz w:val="24"/>
          <w:szCs w:val="24"/>
          <w:lang w:val="en-US"/>
        </w:rPr>
        <w:t xml:space="preserve"> In addition,</w:t>
      </w:r>
      <w:r w:rsidRPr="00D92729">
        <w:rPr>
          <w:sz w:val="24"/>
          <w:szCs w:val="24"/>
          <w:lang w:val="en-US"/>
        </w:rPr>
        <w:t xml:space="preserve"> the positive and negative likelihood ratios for PE or SGA using AFP measured in the first trimester were similar to previous studies where it had been measured in the second trimester</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{"citationID":"7KVwU05x","citationItems":[{"id":"ITEM-1","itemData":{"DOI":"10.1186/1471-2393-8-33","ISSN":"1471-2393","abstract":"Background\nReliable antenatal identification of pre-eclampsia and small for gestational age is crucial to judicious allocation of monitoring resources and use of preventative treatment with the prospect of improving maternal/perinatal outcome. The purpose of this systematic review was to determine the accuracy of five serum analytes used in Down's serum screening for prediction of pre-eclampsia and/or small for gestational age.\n\nMethods\nThe data sources included Medline, Embase, Cochrane library, Medion (inception to February 2007), hand searching of relevant journals, reference list checking of included articles, contact with experts. Two reviewers independently selected the articles in which the accuracy of an analyte used in Downs's serum screening before the 25th gestational week was associated with the occurrence of pre-eclampsia and/or small for gestational age without language restrictions. Two authors independently extracted data on study characteristics, quality and results.\n\nResults\nFive serum screening markers were evaluated. 44 studies, testing 169,637 pregnant women (4376 pre-eclampsia cases) and 86 studies, testing 382,005 women (20,339 fetal growth restriction cases) met the selection criteria. The results showed low predictive accuracy overall. For pre-eclampsia the best predictor was inhibin A&gt;2.79MoM positive likelihood ratio 19.52 (8.33,45.79) and negative likelihood ratio 0.30 (0.13,0.68) (single study). For small for gestational age it was AFP&gt;2.0MoM to predict birth weight &lt; 10th centile with birth &lt; 37 weeks positive likelihood ratio 27.96 (8.02,97.48) and negative likelihood ratio 0.78 (0.55,1.11) (single study). A potential clinical application using aspirin as a treatment is given as an example., There were methodological and reporting limitations in the included studies thus studies were heterogeneous giving pooled results with wide confidence intervals.\n\nConclusion\nDown's serum screening analytes have low predictive accuracy for pre-eclampsia and small for gestational age. They may be a useful means of risk assessment or of use in prediction when combined with other tests.","author":[{"dropping-particle":"","family":"Morris","given":"Rachel K","non-dropping-particle":"","parse-names":false,"suffix":""},{"dropping-particle":"","family":"Cnossen","given":"Jeltsje S","non-dropping-particle":"","parse-names":false,"suffix":""},{"dropping-particle":"","family":"Langejans","given":"Marloes","non-dropping-particle":"","parse-names":false,"suffix":""},{"dropping-particle":"","family":"Robson","given":"Stephen C","non-dropping-particle":"","parse-names":false,"suffix":""},{"dropping-particle":"","family":"Kleijnen","given":"Jos","non-dropping-particle":"","parse-names":false,"suffix":""},{"dropping-particle":"","family":"Riet","given":"Gerben","non-dropping-particle":"ter","parse-names":false,"suffix":""},{"dropping-particle":"","family":"Mol","given":"Ben W","non-dropping-particle":"","parse-names":false,"suffix":""},{"dropping-particle":"","family":"Post","given":"Joris AM","non-dropping-particle":"van der","parse-names":false,"suffix":""},{"dropping-particle":"","family":"Khan","given":"Khalid S","non-dropping-particle":"","parse-names":false,"suffix":""}],"container-title":"BMC Pregnancy and Childbirth","id":"ITEM-1","issued":{"date-parts":[["2008","8"]]},"page":"33","title":"Serum screening with Down's syndrome markers to predict pre-eclampsia and small for gestational age: Systematic review and meta-analysis","type":"article-journal","volume":"8"},"uri":["http://www.mendeley.com/documents/?uuid=d10a04e8-6119-4d29-80b5-e2f85ea474ee"],"uris":["http://www.mendeley.com/documents/?uuid=d10a04e8-6119-4d29-80b5-e2f85ea474ee"]}],"mendeley":{"formattedCitation":"[31]","plainTextFormattedCitation":"[31]","previouslyFormattedCitation":"[31]"},"properties":{"dontUpdate":true,"formattedCitation":"[34]","noteIndex":0,"plainCitation":"[34]"},"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[31]</w:t>
      </w:r>
      <w:r w:rsidRPr="00D92729">
        <w:rPr>
          <w:sz w:val="24"/>
          <w:szCs w:val="24"/>
          <w:lang w:val="en-US"/>
        </w:rPr>
        <w:fldChar w:fldCharType="end"/>
      </w:r>
      <w:r w:rsidRPr="00D92729">
        <w:rPr>
          <w:sz w:val="24"/>
          <w:szCs w:val="24"/>
          <w:lang w:val="en-US"/>
        </w:rPr>
        <w:t xml:space="preserve">, supporting the case for </w:t>
      </w:r>
      <w:r>
        <w:rPr>
          <w:sz w:val="24"/>
          <w:szCs w:val="24"/>
          <w:lang w:val="en-US"/>
        </w:rPr>
        <w:t>its utility when measured</w:t>
      </w:r>
      <w:r w:rsidRPr="00D92729">
        <w:rPr>
          <w:sz w:val="24"/>
          <w:szCs w:val="24"/>
          <w:lang w:val="en-US"/>
        </w:rPr>
        <w:t xml:space="preserve"> at an earlier stage of pregnancy.</w:t>
      </w:r>
      <w:r>
        <w:rPr>
          <w:sz w:val="24"/>
          <w:szCs w:val="24"/>
          <w:lang w:val="en-US"/>
        </w:rPr>
        <w:t xml:space="preserve"> </w:t>
      </w:r>
    </w:p>
    <w:p w14:paraId="199C91C6" w14:textId="77777777" w:rsidR="00EE23EA" w:rsidRDefault="00EE23EA" w:rsidP="00EE23EA">
      <w:pPr>
        <w:spacing w:line="480" w:lineRule="auto"/>
        <w:ind w:firstLine="720"/>
        <w:jc w:val="both"/>
        <w:rPr>
          <w:sz w:val="24"/>
          <w:szCs w:val="24"/>
          <w:lang w:val="en-US"/>
        </w:rPr>
      </w:pPr>
      <w:r>
        <w:rPr>
          <w:sz w:val="24"/>
          <w:szCs w:val="24"/>
          <w:lang w:val="en-US"/>
        </w:rPr>
        <w:t xml:space="preserve">The model combining AFP and PAPP-A as corrected measurements resulted in </w:t>
      </w:r>
      <w:r w:rsidRPr="00D92729">
        <w:rPr>
          <w:sz w:val="24"/>
          <w:szCs w:val="24"/>
          <w:lang w:val="en-US"/>
        </w:rPr>
        <w:t>AUCs</w:t>
      </w:r>
      <w:r>
        <w:rPr>
          <w:sz w:val="24"/>
          <w:szCs w:val="24"/>
          <w:lang w:val="en-US"/>
        </w:rPr>
        <w:t xml:space="preserve"> which</w:t>
      </w:r>
      <w:r w:rsidRPr="00D92729">
        <w:rPr>
          <w:sz w:val="24"/>
          <w:szCs w:val="24"/>
          <w:lang w:val="en-US"/>
        </w:rPr>
        <w:t xml:space="preserve"> were </w:t>
      </w:r>
      <w:r>
        <w:rPr>
          <w:sz w:val="24"/>
          <w:szCs w:val="24"/>
          <w:lang w:val="en-US"/>
        </w:rPr>
        <w:t>largely comparable to the uncorrected AFP:PAPP-A ratio. Moreover</w:t>
      </w:r>
      <w:r w:rsidRPr="00D92729">
        <w:rPr>
          <w:sz w:val="24"/>
          <w:szCs w:val="24"/>
          <w:lang w:val="en-US"/>
        </w:rPr>
        <w:t xml:space="preserve">, the lower limit of sensitivity for the model was the same as the simple ratio (19.4%) and there did appear to be a stronger association with stillbirth using the uncorrected ratio, with a relative risk of more than fivefold. </w:t>
      </w:r>
      <w:r>
        <w:rPr>
          <w:sz w:val="24"/>
          <w:szCs w:val="24"/>
          <w:lang w:val="en-US"/>
        </w:rPr>
        <w:t>But, d</w:t>
      </w:r>
      <w:r w:rsidRPr="00D92729">
        <w:rPr>
          <w:sz w:val="24"/>
          <w:szCs w:val="24"/>
          <w:lang w:val="en-US"/>
        </w:rPr>
        <w:t>ue to the rarity of the outcome of stillbirth (n=11) the confidence intervals were wide, and they crossed for this and the remaining outcomes. However, the model was fitted to the specific dataset studied, meaning its performance may not be similar in other populations, whereas the ratio is easier to calculate and likely to be reproducible in other settings.</w:t>
      </w:r>
    </w:p>
    <w:p w14:paraId="26912848" w14:textId="77777777" w:rsidR="00EE23EA" w:rsidRDefault="00EE23EA" w:rsidP="00EE23EA">
      <w:pPr>
        <w:spacing w:line="480" w:lineRule="auto"/>
        <w:ind w:firstLine="720"/>
        <w:jc w:val="both"/>
        <w:rPr>
          <w:i/>
          <w:sz w:val="24"/>
          <w:szCs w:val="24"/>
          <w:lang w:val="en-US"/>
        </w:rPr>
      </w:pPr>
      <w:r w:rsidRPr="00D92729">
        <w:rPr>
          <w:sz w:val="24"/>
          <w:szCs w:val="24"/>
          <w:lang w:val="en-US"/>
        </w:rPr>
        <w:t>A strength of our study was that we were able to assess the utility of a screening test in a low-risk, nulliparous population. This is an advantage as inclusion of multiparous women who have not had the outcome in a previous pregnancy would alter the interpretation of the predictive ability of the ratio, where the positive predictive value would necessarily be lower due to a lower prior odds for the outcome. Furthermore, our definitions of adverse outcomes (e.g. FGR and severe SGA) were likely to represent situations where there is a substantial risk of morbidity. Inclusion of all SGA babies is likely to capture a substantial proportion of constitutionally small babies where there is a low risk of pathology</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{"citationID":"vbYPjVN2","citationItems":[{"id":"ITEM-1","itemData":{"DOI":"10.1016/j.ajog.2017.12.002","ISSN":"1097-6868","PMID":"29275822","abstract":"Fetal growth restriction is a major determinant of perinatal morbidity and mortality. Screening for fetal growth restriction is a key element of prenatal care but it is recognized to be problematic. Screening using clinical risk assessment and targeting ultrasound to high-risk women is the standard of care in the United States and United Kingdom, but the approach is known to have low sensitivity. Systematic reviews of randomized controlled trials do not demonstrate any benefit from universal ultrasound screening for fetal growth restriction in the third trimester, but the evidence base is not strong. Implementation of universal ultrasound screening in low-risk women in France failed to reduce the risk of complications among small-for-gestational-age infants but did appear to cause iatrogenic harm to false positives. One strategy to making progress is to improve screening by developing more sensitive and specific tests with the key goal of differentiating between healthy small fetuses and those that are small through fetal growth restriction. As abnormal placentation is thought to be the major cause of fetal growth restriction, one approach is to combine fetal biometry with an indicator of placental dysfunction. In the past, these indicators were generally ultrasonic measurements, such as Doppler flow velocimetry of the uteroplacental circulation. However, another promising approach is to combine ultrasonic suspicion of small-for-gestational-age infant with a blood test indicating placental dysfunction. Thus far, much of the research on maternal serum biomarkers for fetal growth restriction has involved the secondary analysis of tests performed for other indications, such as fetal aneuploidies. An exemplar of this is pregnancy-associated plasma protein A. This blood test is performed primarily to assess the risk of Down syndrome, but women with low first-trimester levels are now serially scanned in later pregnancy due to associations with placental causes of stillbirth, including fetal growth restriction. The development of \"omic\" technologies presents a huge opportunity to identify novel biomarkers for fetal growth restriction. The hope is that when such markers are measured alongside ultrasonic fetal biometry, the combination would have strong predictive power for fetal growth restriction and its related complications. However, a series of important methodological considerations in assessing the diagnostic effectiveness of new tests will have to be add…","author":[{"dropping-particle":"","family":"Gaccioli","given":"Francesca","non-dropping-particle":"","parse-names":false,"suffix":""},{"dropping-particle":"","family":"Aye","given":"Irving L M H","non-dropping-particle":"","parse-names":false,"suffix":""},{"dropping-particle":"","family":"Sovio","given":"Ulla","non-dropping-particle":"","parse-names":false,"suffix":""},{"dropping-particle":"","family":"Charnock-Jones","given":"D Stephen","non-dropping-particle":"","parse-names":false,"suffix":""},{"dropping-particle":"","family":"Smith","given":"Gordon C S","non-dropping-particle":"","parse-names":false,"suffix":""}],"container-title":"American journal of obstetrics and gynecology","id":"ITEM-1","issue":"2S","issued":{"date-parts":[["2018","2","1"]]},"page":"S725-S737","publisher":"Elsevier","title":"Screening for fetal growth restriction using fetal biometry combined with maternal biomarkers.","type":"article-journal","volume":"218"},"uri":["http://www.mendeley.com/documents/?uuid=92885934-4ad2-39c3-ad21-fc08911bca0d"],"uris":["http://www.mendeley.com/documents/?uuid=92885934-4ad2-39c3-ad21-fc08911bca0d"]}],"mendeley":{"formattedCitation":"[2]","plainTextFormattedCitation":"[2]","previouslyFormattedCitation":"[2]"},"properties":{"dontUpdate":true,"formattedCitation":"[1]","noteIndex":0,"plainCitation":"[1]"},"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[2]</w:t>
      </w:r>
      <w:r w:rsidRPr="00D92729">
        <w:rPr>
          <w:sz w:val="24"/>
          <w:szCs w:val="24"/>
          <w:lang w:val="en-US"/>
        </w:rPr>
        <w:fldChar w:fldCharType="end"/>
      </w:r>
      <w:r w:rsidRPr="00D92729">
        <w:rPr>
          <w:sz w:val="24"/>
          <w:szCs w:val="24"/>
          <w:lang w:val="en-US"/>
        </w:rPr>
        <w:t>, and where a biomarker such as AFP:PAPP-A is unlikely to be altered.</w:t>
      </w:r>
    </w:p>
    <w:p w14:paraId="29C31358" w14:textId="77777777" w:rsidR="00EE23EA" w:rsidRPr="00163463" w:rsidRDefault="00EE23EA" w:rsidP="00EE23EA">
      <w:pPr>
        <w:spacing w:line="480" w:lineRule="auto"/>
        <w:ind w:firstLine="720"/>
        <w:jc w:val="both"/>
        <w:rPr>
          <w:sz w:val="24"/>
          <w:szCs w:val="24"/>
          <w:lang w:val="en-US"/>
        </w:rPr>
      </w:pPr>
      <w:r>
        <w:rPr>
          <w:sz w:val="24"/>
          <w:szCs w:val="24"/>
          <w:lang w:val="en-US"/>
        </w:rPr>
        <w:t>There are weaknesses and limitations to our work. Among the women recruited to the study, 455 (10.1%) did not have complete outcome and biochemical data and could not be analyzed.</w:t>
      </w:r>
      <w:r w:rsidRPr="00163463">
        <w:rPr>
          <w:sz w:val="24"/>
          <w:szCs w:val="24"/>
          <w:lang w:val="en-US"/>
        </w:rPr>
        <w:t xml:space="preserve"> </w:t>
      </w:r>
      <w:r>
        <w:rPr>
          <w:sz w:val="24"/>
          <w:szCs w:val="24"/>
          <w:lang w:val="en-US"/>
        </w:rPr>
        <w:t>W</w:t>
      </w:r>
      <w:r w:rsidRPr="00163463">
        <w:rPr>
          <w:sz w:val="24"/>
          <w:szCs w:val="24"/>
          <w:lang w:val="en-US"/>
        </w:rPr>
        <w:t>e</w:t>
      </w:r>
      <w:r>
        <w:rPr>
          <w:sz w:val="24"/>
          <w:szCs w:val="24"/>
          <w:lang w:val="en-US"/>
        </w:rPr>
        <w:t xml:space="preserve"> also</w:t>
      </w:r>
      <w:r w:rsidRPr="00163463">
        <w:rPr>
          <w:sz w:val="24"/>
          <w:szCs w:val="24"/>
          <w:lang w:val="en-US"/>
        </w:rPr>
        <w:t xml:space="preserve"> studied women predominantly of Northern European ancestry, so our conclusions may be limited to this population. Additional analyses of AFP and PAPP-A should be performed in women of non-Northern European ancestry, as levels have been shown to differ amongst ancestral groups </w:t>
      </w:r>
      <w:r w:rsidRPr="00163463">
        <w:rPr>
          <w:sz w:val="24"/>
          <w:szCs w:val="24"/>
          <w:lang w:val="en-US"/>
        </w:rPr>
        <w:fldChar w:fldCharType="begin" w:fldLock="1"/>
      </w:r>
      <w:r>
        <w:rPr>
          <w:sz w:val="24"/>
          <w:szCs w:val="24"/>
          <w:lang w:val="en-US"/>
        </w:rPr>
        <w:instrText>ADDIN CSL_CITATION {"citationID":"XeMRMZTS","citationItems":[{"id":"ITEM-1","itemData":{"DOI":"10.1177/0969141313486893","abstract":"M aternal weight and ethnic status influence the concentration of serum markers used in antenatal screening for Down's syndrome. These are usually allowed for in screening by adjusting the concentration of the screening marker. For example, the values in light women are, on average, higher, and those in heavy women, on average, lower than values in women of average weight. Adjustment aims to modify the concentration so the average in lighter women and heavier women is similar to that in women of average weight. Women from an ethnic group that typically has lower screening marker concentrations would have these concentrations adjusted upwards. The adjustment can be more complicated because some ethnic groups (for example, South Asians) tend to be lighter, so there is an interaction between a woman's weight and her ethnic status. Previous publications provide adjustment factors for various ethnic groups in either the first or the second trimesters of pregnancy (for example, Watt et al. 1); however, corresponding adjustment factors for second trimester markers are not available for oriental women (women of Chinese, Korean, Japanese or South East Asian origin). Using data collected from the screening programme of the Wolfson Institute of Preventive Medicine, we here provide these, and update results for black and South Asian women previously reported from the programme, 1 using data from a larger number of pregnancies. In this way we provide a comprehensive summary of ethnic status adjustments for all currently used serum screening markers. Data were collected relating to women screened using either first trimester serum markers (free b human chorionic gonadotrophin [hCG] and pregnancy-associated plasma protein-A [PAPP-A]), second trimester serum markers (alphafetoprotein [AFP], unconjugated estriol [uE 3 ], hCG [total or free b] and inhibin-A), or Integrated first and second trimester serum markers, between August 1994 and December 2011. Serum marker values were expressed as multiples of the median (MoM; marker concentration divided by expected concentration for the same gestational age), derived from regressions of median marker concentration against median gestational age in one-week categories of gestational age. Log linear regression was used for first trimester free b-hCG and PAPP-A and second trimester AFP, and negative exponential regression for second trimester total and free b-hCG. 2 Log quadratic regression was used for uE 3 3 and log cubic for i…","author":[{"dropping-particle":"","family":"Bestwick","given":"Jonathan P","non-dropping-particle":"","parse-names":false,"suffix":""},{"dropping-particle":"","family":"Huttly","given":"Wayne J","non-dropping-particle":"","parse-names":false,"suffix":""},{"dropping-particle":"","family":"Wald","given":"Nicholas J","non-dropping-particle":"","parse-names":false,"suffix":""}],"container-title":"Journal of Medical Screening","id":"ITEM-1","issue":"1","issued":{"date-parts":[["2013"]]},"title":"Allowing for ethnic group in antenatal screening for Down's syndrome","type":"article-journal","volume":"20"},"uri":["http://www.mendeley.com/documents/?uuid=cb8ccfd1-8fb5-37ee-80b5-5953b6d90b47"],"uris":["http://www.mendeley.com/documents/?uuid=cb8ccfd1-8fb5-37ee-80b5-5953b6d90b47"]}],"mendeley":{"formattedCitation":"[32]","plainTextFormattedCitation":"[32]","previouslyFormattedCitation":"[32]"},"properties":{"dontUpdate":true,"formattedCitation":"[35]","noteIndex":0,"plainCitation":"[35]"},"schema":"https://github.com/citation-style-language/schema/raw/master/csl-citation.json"}</w:instrText>
      </w:r>
      <w:r w:rsidRPr="00163463">
        <w:rPr>
          <w:sz w:val="24"/>
          <w:szCs w:val="24"/>
          <w:lang w:val="en-US"/>
        </w:rPr>
        <w:fldChar w:fldCharType="separate"/>
      </w:r>
      <w:r w:rsidRPr="006837A3">
        <w:rPr>
          <w:rFonts w:ascii="Calibri" w:hAnsi="Calibri" w:cs="Calibri"/>
          <w:noProof/>
          <w:sz w:val="24"/>
        </w:rPr>
        <w:t>[32]</w:t>
      </w:r>
      <w:r w:rsidRPr="00163463">
        <w:rPr>
          <w:sz w:val="24"/>
          <w:szCs w:val="24"/>
          <w:lang w:val="en-US"/>
        </w:rPr>
        <w:fldChar w:fldCharType="end"/>
      </w:r>
      <w:r w:rsidRPr="00163463">
        <w:rPr>
          <w:sz w:val="24"/>
          <w:szCs w:val="24"/>
          <w:lang w:val="en-US"/>
        </w:rPr>
        <w:t>.</w:t>
      </w:r>
      <w:r>
        <w:rPr>
          <w:sz w:val="24"/>
          <w:szCs w:val="24"/>
          <w:lang w:val="en-US"/>
        </w:rPr>
        <w:t xml:space="preserve"> AFP and PAPP-A levels are also affected by other factors, such as maternal smoking </w:t>
      </w:r>
      <w:r>
        <w:rPr>
          <w:sz w:val="24"/>
          <w:szCs w:val="24"/>
          <w:lang w:val="en-US"/>
        </w:rPr>
        <w:fldChar w:fldCharType="begin" w:fldLock="1"/>
      </w:r>
      <w:r>
        <w:rPr>
          <w:sz w:val="24"/>
          <w:szCs w:val="24"/>
          <w:lang w:val="en-US"/>
        </w:rPr>
        <w:instrText>ADDIN CSL_CITATION {"citationID":"vbe78JFB","citationItems":[{"id":"ITEM-1","itemData":{"ISSN":"0197-3851","PMID":"10589062","abstract":"In an analysis of 3111 singleton pregnancies routinely screened in the first trimester with nuchal translucency, free beta hCG and pregnancy associated plasma protein A (PAPP-A) smoking has been found to occur in 20.8 per cent of pregnant women. When the individual marker levels were assessed in smokers and non-smokers, levels of PAPP-A were reduced in smokers by some 15 per cent. Despite free beta hCG levels being reduced by 10-14 per cent in the second trimester of smoking women, in the first trimester period this is not evident. Simulation studies would suggest that in smokers the detection of trisomy 21 using free beta hCG, PAPP-A and maternal age will be reduced by some 5 to 6 per cent compared with that of the general population.","author":[{"dropping-particle":"","family":"Spencer","given":"K","non-dropping-particle":"","parse-names":false,"suffix":""}],"container-title":"Prenatal diagnosis","id":"ITEM-1","issue":"11","issued":{"date-parts":[["1999","11"]]},"page":"1065-6","title":"The influence of smoking on maternal serum PAPP-A and free beta hCG levels in the first trimester of pregnancy.","type":"article-journal","volume":"19"},"uri":["http://www.mendeley.com/documents/?uuid=ab9a269a-561c-3335-8ee0-e2c9cc107fcd"],"uris":["http://www.mendeley.com/documents/?uuid=ab9a269a-561c-3335-8ee0-e2c9cc107fcd"]},{"id":"ITEM-2","itemData":{"ISSN":"0197-3851","PMID":"11920904","abstract":"OBJECTIVES To study the levels of maternal serum alpha-fetoprotein (AFP) and human chorionic gonadotrophin (hCG) in the second trimester in smokers and non-smokers with unaffected and Down syndrome pregnancies; to examine the rate of smoking in different maternal age groups in a population having routine prenatal screening; and to assess the effect of smoking on the detection rates for Down syndrome and corresponding false-positive rates, both overall and in different maternal age groups. METHODS Information on maternal smoking status, maternal age and serum marker levels was collected from case note searches and the screening programme database on 2272 unaffected singleton pregnancies, 36 unaffected twin pregnancies and 103 singleton Down syndrome pregnancies. RESULTS In unaffected pregnancies the smokers had a median age 3.3 years less than the non-smokers, while in the Down syndrome cases the corresponding age difference was 2.0 years. Median analyte levels in multiples of the median (MoM) in the unaffected singleton pregnancies were, for non-smokers: AFP=0.97, hCG=1.04; and for smokers, AFP=1.04, hCG=0.80. In the Down syndrome pregnancies the medians were, for non-smokers: AFP=0.69, hCG=2.49; and for smokers, AFP=0.70, hCG=1.53. Correction for smoking status gave median MoMs of 1.0 for both AFP and hCG in the unaffected pregnancies in both smokers and non-smokers. In the Down syndrome cases the corrected medians were, for non-smokers: AFP=0.67, hCG=2.29; and for smokers, AFP=0.73, hCG=1.99. Before correction for maternal smoking the overall detection rate for Down syndrome was 66.7% with a false-positive rate of 6.2%. After correction the detection rate was 67.7% with a false-positive rate of 4.9%. Between the smoking and non-smoking groups there was a significant difference in the detection rate (37.5% versus 76.0%) and the false-positive rate (1.8% versus 8.1%), which disappeared after correction for smoking status (detection rate 62.5% versus 69.3%, false-positive rate 3.9% versus 5.4%). No evidence of a lower incidence of Down syndrome in smokers was found. CONCLUSIONS While correcting AFP and hCG results for maternal smoking status will have little impact on the overall detection rate for Down syndrome, it may reduce the false-positive rate and will improve the accuracy of the risks given to individual women.","author":[{"dropping-particle":"","family":"Crossley","given":"J A","non-dropping-particle":"","parse-names":false,"suffix":""},{"dropping-particle":"","family":"Aitken","given":"D A","non-dropping-particle":"","parse-names":false,"suffix":""},{"dropping-particle":"","family":"Waugh","given":"S M L","non-dropping-particle":"","parse-names":false,"suffix":""},{"dropping-particle":"","family":"Kelly","given":"T","non-dropping-particle":"","parse-names":false,"suffix":""},{"dropping-particle":"","family":"Connor","given":"J M","non-dropping-particle":"","parse-names":false,"suffix":""}],"container-title":"Prenatal diagnosis","id":"ITEM-2","issue":"3","issued":{"date-parts":[["2002","3"]]},"page":"247-55","title":"Maternal smoking: age distribution, levels of alpha-fetoprotein and human chorionic gonadotrophin, and effect on detection of Down syndrome pregnancies in second-trimester screening.","type":"article-journal","volume":"22"},"uri":["http://www.mendeley.com/documents/?uuid=72377da9-ef8d-30f7-bb1c-14c4a497d7b3"],"uris":["http://www.mendeley.com/documents/?uuid=72377da9-ef8d-30f7-bb1c-14c4a497d7b3"]}],"mendeley":{"formattedCitation":"[33,34]","plainTextFormattedCitation":"[33,34]","previouslyFormattedCitation":"[33,34]"},"properties":{"formattedCitation":"[33,34]","noteIndex":0,"plainCitation":"[33,34]"},"schema":"https://github.com/citation-style-language/schema/raw/master/csl-citation.json"}</w:instrText>
      </w:r>
      <w:r>
        <w:rPr>
          <w:sz w:val="24"/>
          <w:szCs w:val="24"/>
          <w:lang w:val="en-US"/>
        </w:rPr>
        <w:fldChar w:fldCharType="separate"/>
      </w:r>
      <w:r w:rsidRPr="006837A3">
        <w:rPr>
          <w:rFonts w:ascii="Calibri" w:hAnsi="Calibri" w:cs="Calibri"/>
          <w:noProof/>
          <w:sz w:val="24"/>
        </w:rPr>
        <w:t>[33,34]</w:t>
      </w:r>
      <w:r>
        <w:rPr>
          <w:sz w:val="24"/>
          <w:szCs w:val="24"/>
          <w:lang w:val="en-US"/>
        </w:rPr>
        <w:fldChar w:fldCharType="end"/>
      </w:r>
      <w:r>
        <w:rPr>
          <w:sz w:val="24"/>
          <w:szCs w:val="24"/>
          <w:lang w:val="en-US"/>
        </w:rPr>
        <w:t xml:space="preserve"> and assisted conception </w:t>
      </w:r>
      <w:r>
        <w:rPr>
          <w:sz w:val="24"/>
          <w:szCs w:val="24"/>
          <w:lang w:val="en-US"/>
        </w:rPr>
        <w:fldChar w:fldCharType="begin" w:fldLock="1"/>
      </w:r>
      <w:r>
        <w:rPr>
          <w:sz w:val="24"/>
          <w:szCs w:val="24"/>
          <w:lang w:val="en-US"/>
        </w:rPr>
        <w:instrText>ADDIN CSL_CITATION {"citationID":"jmrB0L9F","citationItems":[{"id":"ITEM-1","itemData":{"DOI":"10.1093/humrep/16.7.1501","ISSN":"14602350","author":[{"dropping-particle":"","family":"Liao","given":"A.W.","non-dropping-particle":"","parse-names":false,"suffix":""},{"dropping-particle":"","family":"Heath","given":"V.","non-dropping-particle":"","parse-names":false,"suffix":""},{"dropping-particle":"","family":"Kametas","given":"N.","non-dropping-particle":"","parse-names":false,"suffix":""},{"dropping-particle":"","family":"Spencer","given":"K.","non-dropping-particle":"","parse-names":false,"suffix":""},{"dropping-particle":"","family":"Nicolaides","given":"K.H.","non-dropping-particle":"","parse-names":false,"suffix":""}],"container-title":"Human Reproduction","id":"ITEM-1","issue":"7","issued":{"date-parts":[["2001","7","1"]]},"page":"1501-1504","publisher":"Oxford University Press","title":"First-trimester screening for trisomy 21 in singleton pregnancies achieved by assisted reproduction","type":"article-journal","volume":"16"},"uri":["http://www.mendeley.com/documents/?uuid=72cd25ef-9e25-34c3-aecb-664eb9bd8457"],"uris":["http://www.mendeley.com/documents/?uuid=72cd25ef-9e25-34c3-aecb-664eb9bd8457"]},{"id":"ITEM-2","itemData":{"DOI":"10.1093/humrep/deg153","ISSN":"14602350","author":[{"dropping-particle":"","family":"Hui","given":"P.W.","non-dropping-particle":"","parse-names":false,"suffix":""},{"dropping-particle":"","family":"Tang","given":"M.H.Y.","non-dropping-particle":"","parse-names":false,"suffix":""},{"dropping-particle":"","family":"Lam","given":"Y.H.","non-dropping-particle":"","parse-names":false,"suffix":""},{"dropping-particle":"","family":"Ng","given":"E.H.Y.","non-dropping-particle":"","parse-names":false,"suffix":""},{"dropping-particle":"","family":"Yeung","given":"W.S.B.","non-dropping-particle":"","parse-names":false,"suffix":""},{"dropping-particle":"","family":"Ho","given":"P.C.","non-dropping-particle":"","parse-names":false,"suffix":""}],"container-title":"Human Reproduction","id":"ITEM-2","issue":"3","issued":{"date-parts":[["2003","3","1"]]},"page":"572-575","publisher":"Oxford University Press","title":"Maternal serum hCG and alpha-fetoprotein levels in pregnancies conceived after IVF or ICSI with fresh and frozen-thawed embryos","type":"article-journal","volume":"18"},"uri":["http://www.mendeley.com/documents/?uuid=0293def4-3fe4-3a7e-9575-53e2dce64e9f"],"uris":["http://www.mendeley.com/documents/?uuid=0293def4-3fe4-3a7e-9575-53e2dce64e9f"]}],"mendeley":{"formattedCitation":"[35,36]","plainTextFormattedCitation":"[35,36]","previouslyFormattedCitation":"[35,36]"},"properties":{"formattedCitation":"[35,36]","noteIndex":0,"plainCitation":"[35,36]"},"schema":"https://github.com/citation-style-language/schema/raw/master/csl-citation.json"}</w:instrText>
      </w:r>
      <w:r>
        <w:rPr>
          <w:sz w:val="24"/>
          <w:szCs w:val="24"/>
          <w:lang w:val="en-US"/>
        </w:rPr>
        <w:fldChar w:fldCharType="separate"/>
      </w:r>
      <w:r w:rsidRPr="006837A3">
        <w:rPr>
          <w:rFonts w:ascii="Calibri" w:hAnsi="Calibri" w:cs="Calibri"/>
          <w:noProof/>
          <w:sz w:val="24"/>
        </w:rPr>
        <w:t>[35,36]</w:t>
      </w:r>
      <w:r>
        <w:rPr>
          <w:sz w:val="24"/>
          <w:szCs w:val="24"/>
          <w:lang w:val="en-US"/>
        </w:rPr>
        <w:fldChar w:fldCharType="end"/>
      </w:r>
      <w:r>
        <w:rPr>
          <w:sz w:val="24"/>
          <w:szCs w:val="24"/>
          <w:lang w:val="en-US"/>
        </w:rPr>
        <w:t>, which could affect the interpretation of the ratio.</w:t>
      </w:r>
      <w:r w:rsidRPr="00163463">
        <w:rPr>
          <w:sz w:val="24"/>
          <w:szCs w:val="24"/>
          <w:lang w:val="en-US"/>
        </w:rPr>
        <w:t xml:space="preserve"> </w:t>
      </w:r>
      <w:r>
        <w:rPr>
          <w:sz w:val="24"/>
          <w:szCs w:val="24"/>
          <w:lang w:val="en-US"/>
        </w:rPr>
        <w:t xml:space="preserve">In addition, the utility of the ratio with both markers measured in the second trimester, which may be relevant to women who book late in pregnancy, was not specifically studied. We have found that the ratio remains positively associated with adverse outcome when measured at 20 wkGA (unpublished data), therefore it is likely that the ratio can be interpreted similarly in women who have it measured up to 20 wkGA. </w:t>
      </w:r>
    </w:p>
    <w:p w14:paraId="3BC9F1DB" w14:textId="77777777" w:rsidR="00EE23EA" w:rsidRPr="00D92729" w:rsidRDefault="00EE23EA" w:rsidP="00EE23EA">
      <w:pPr>
        <w:spacing w:line="480" w:lineRule="auto"/>
        <w:ind w:firstLine="720"/>
        <w:jc w:val="both"/>
        <w:rPr>
          <w:sz w:val="24"/>
          <w:szCs w:val="24"/>
          <w:lang w:val="en-US"/>
        </w:rPr>
      </w:pPr>
      <w:r w:rsidRPr="00D92729">
        <w:rPr>
          <w:sz w:val="24"/>
          <w:szCs w:val="24"/>
          <w:lang w:val="en-US"/>
        </w:rPr>
        <w:t>The combination of low maternal PAPP-A in the first trimester and high AFP levels in the second trimester has previously been shown to be associated with preterm delivery or delivery of an infant with SGA</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{"citationID":"QdB7z4ZH","citationItems":[{"id":"ITEM-1","itemData":{"DOI":"10.1097/01.AOG.0000191302.79560.d8","ISSN":"0029-7844","PMID":"16394054","abstract":"To describe the association between pregnancy associated plasma protein A (PAPP-A), alpha-fetoprotein (AFP) and adverse perinatal outcome.","author":[{"dropping-particle":"","family":"Smith","given":"Gordon C S","non-dropping-particle":"","parse-names":false,"suffix":""},{"dropping-particle":"","family":"Shah","given":"Imran","non-dropping-particle":"","parse-names":false,"suffix":""},{"dropping-particle":"","family":"Crossley","given":"Jennifer A","non-dropping-particle":"","parse-names":false,"suffix":""},{"dropping-particle":"","family":"Aitken","given":"David A","non-dropping-particle":"","parse-names":false,"suffix":""},{"dropping-particle":"","family":"Pell","given":"Jill P","non-dropping-particle":"","parse-names":false,"suffix":""},{"dropping-particle":"","family":"Nelson","given":"Scott M","non-dropping-particle":"","parse-names":false,"suffix":""},{"dropping-particle":"","family":"Cameron","given":"Alan D","non-dropping-particle":"","parse-names":false,"suffix":""},{"dropping-particle":"","family":"Connor","given":"Michael J","non-dropping-particle":"","parse-names":false,"suffix":""},{"dropping-particle":"","family":"Dobbie","given":"Richard","non-dropping-particle":"","parse-names":false,"suffix":""}],"container-title":"Obstetrics and gynecology","id":"ITEM-1","issue":"1","issued":{"date-parts":[["2006"]]},"page":"161-6","title":"Pregnancy-associated plasma protein A and alpha-fetoprotein and prediction of adverse perinatal outcome.","type":"article-journal","volume":"107"},"uri":["http://www.mendeley.com/documents/?uuid=094bf165-664f-3c8e-95d0-385db7c0610f"],"uris":["http://www.mendeley.com/documents/?uuid=094bf165-664f-3c8e-95d0-385db7c0610f"]}],"mendeley":{"formattedCitation":"[5]","plainTextFormattedCitation":"[5]","previouslyFormattedCitation":"[5]"},"properties":{"formattedCitation":"[5]","noteIndex":0,"plainCitation":"[5]"},"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[5]</w:t>
      </w:r>
      <w:r w:rsidRPr="00D92729">
        <w:rPr>
          <w:sz w:val="24"/>
          <w:szCs w:val="24"/>
          <w:lang w:val="en-US"/>
        </w:rPr>
        <w:fldChar w:fldCharType="end"/>
      </w:r>
      <w:r w:rsidRPr="00D92729">
        <w:rPr>
          <w:sz w:val="24"/>
          <w:szCs w:val="24"/>
          <w:lang w:val="en-US"/>
        </w:rPr>
        <w:t>. PAPP-A is commonly measured in the first trimester as part of aneuploidy screening, and is typically corrected for maternal weight and gestation of measurement</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4lwoeqZV","citationItems":[{"id":"ITEM-1","itemData":{"DOI":"10.1002/pd.708","ISSN":"0197-3851","author":[{"dropping-particle":"","family":"Spencer","given":"Kevin","non-dropping-particle":"","parse-names":false,"suffix":""},{"dropping-particle":"","family":"Bindra","given":"Renu","non-dropping-particle":"","parse-names":false,"suffix":""},{"dropping-particle":"","family":"Nicolaides","given":"Kypros H.","non-dropping-particle":"","parse-names":false,"suffix":""}],"container-title":"Prenatal Diagnosis","id":"ITEM-1","issue":"10","issued":{"date-parts":[["2003","10","1"]]},"page":"851-855","publisher":"Wiley-Blackwell","title":"Maternal weight correction of maternal serum PAPP-A and free ?-hCG MoM when screening for trisomy 21 in the first trimester of pregnancy","type":"article-journal","volume":"23"},"uri":["http://www.mendeley.com/documents/?uuid=41802972-0689-3447-a2f6-89cef535f8cf"],"uris":["http://www.mendeley.com/documents/?uuid=41802972-0689-3447-a2f6-89cef535f8cf"]},{"id":"ITEM-2","itemData":{"DOI":"10.1136/jcp.2005.034280","ISSN":"0021-9746","PMID":"16603647","abstract":"BACKGROUND Adjusting maternal serum markers for maternal weight is considered to be a standard practice when screening for pregnancies associated with Down's syndrome. The choice of model for taking maternal weight into account is, however, rarely explicitly evaluated. METHOD The relationship between the maternal serum markers alphafetoprotein (AFP), human chorionic gonadotropin (HCG) and unconjugated oestriol (uE3), determined with the Beckman Coulter access reagents and maternal weight was investigated in a cohort of 752 Belgian women being screened for pregnancy associated with Down's syndrome. Two different models (the log-linear equation and the linear-reciprocal equation) were used to determine the relationship between the serum markers and maternal weight. RESULTS A significant relationship between log(10) multiples of median (MoM) values and weight (kg) was obtained for all markers, and the log-linear model had higher coefficients of determination (r(2)) when compared with the linear-reciprocal model. Weight correction with either method achieved the optimum effect that the correction factor for a woman with a population median weight of 65.5 kg was not significantly different from 1. Simulated weight-corrected MoM values with the two approaches were compared and variation was estimated. The mean difference between the weight-corrected MoM values calculated by the two methods was 7.8% (SD 4.3%) for AFP, 14.0% (4.4%) for HCG and 5.9% (3.2%) for uE3. This resulted in a difference in risk estimate of 1.66-5.34% for Down's syndrome owing to weight correction algorithm differences in women of median weight. CONCLUSION The log-linear weight correction approach was shown to be marginally more effective by a goodness-of-fit analysis. Differences in weight-corrected MoM values estimated with the two approaches are highly significant (p&lt;0.0001, Wilcoxon's paired sample test), but the effect on risk calculation was not significant. It was observed that the changes in risk became significant the more the MoM correction factors deviated from 1.","author":[{"dropping-particle":"","family":"Reynolds","given":"T M","non-dropping-particle":"","parse-names":false,"suffix":""},{"dropping-particle":"","family":"Vranken","given":"G","non-dropping-particle":"","parse-names":false,"suffix":""},{"dropping-particle":"","family":"Nueten","given":"J","non-dropping-particle":"Van","parse-names":false,"suffix":""}],"container-title":"Journal of clinical pathology","id":"ITEM-2","issue":"7","issued":{"date-parts":[["2006","7"]]},"page":"753-8","publisher":"BMJ Publishing Group","title":"Weight correction of MoM values: which method?","type":"article-journal","volume":"59"},"uri":["http://www.mendeley.com/documents/?uuid=796bae13-0890-3c37-8db7-4ace2ebda48e"],"uris":["http://www.mendeley.com/documents/?uuid=796bae13-0890-3c37-8db7-4ace2ebda48e"]}],"mendeley":{"formattedCitation":"[17,18]","plainTextFormattedCitation":"[17,18]","previouslyFormattedCitation":"[17,18]"},"properties":{"formattedCitation":"[17,18]","noteIndex":0,"plainCitation":"[17,18]"},"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[17,18]</w:t>
      </w:r>
      <w:r w:rsidRPr="00D92729">
        <w:rPr>
          <w:sz w:val="24"/>
          <w:szCs w:val="24"/>
          <w:lang w:val="en-US"/>
        </w:rPr>
        <w:fldChar w:fldCharType="end"/>
      </w:r>
      <w:r w:rsidRPr="00D92729">
        <w:rPr>
          <w:sz w:val="24"/>
          <w:szCs w:val="24"/>
          <w:lang w:val="en-US"/>
        </w:rPr>
        <w:t>. Previous studies have shown a low PAPP-A in the first trimester to be associated with SGA, FGR, PE, PTB and stillbirth</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{"citationID":"58ezqM3W","citationItems":[{"id":"ITEM-1","itemData":{"DOI":"10.1001/jama.292.18.2249","ISSN":"0098-7484","PMID":"15536112","abstract":"CONTEXT Preterm birth and low birth weight are determined, at least in part, during the first trimester of pregnancy. However, it is unknown whether the risk of stillbirth is also determined during the first trimester. OBJECTIVE To determine whether the risk of antepartum stillbirth varies in relation to circulating markers of placental function measured during the first trimester of pregnancy. DESIGN, SETTING, AND PARTICIPANTS Multicenter, prospective cohort study (conducted in Scotland from 1998 through 2000) of 7934 women who had singleton births at or after 24 weeks' gestation, who had blood taken during the first 10 weeks after conception, and who were entered into national registries of births and perinatal deaths. MAIN OUTCOME MEASURES Antepartum stillbirths and stillbirths due to specific causes. RESULTS There were 8 stillbirths among the 400 women with levels of pregnancy-associated plasma protein A (PAPP-A) in the lowest fifth percentile compared with 17 among the remaining 7534 women (incidence rate per 10,000 women per week of gestation: 13.4 vs 1.4, respectively; hazard ratio [HR], 9.2 [95% confidence interval [CI], 4.0-21.4]; P&lt;.001). When analyzed by cause of stillbirth, low level of PAPP-A was strongly associated with stillbirth due to placental dysfunction, defined as abruption or unexplained stillbirth associated with growth restriction (incidence rate: 11.7 vs 0.3, respectively; HR, 46.0 [95% CI, 11.9-178.0]; P&lt;.001), but was not associated with other causes of stillbirth (incidence rate: 1.7 vs 1.1, respectively; HR, 1.4 [95% CI, 0.2-10.6]; P = .75). There was no relationship between having a low level of PAPP-A and maternal age, ethnicity, parity, height, body mass index, race, or marital status. Adjustment for maternal factors did not attenuate the strength of associations observed. There was no association between maternal circulating levels of the free beta subunit of human chorionic gonadotropin and stillbirth risk. CONCLUSION The risk of stillbirth in late pregnancy may be determined by placental function in the first 10 weeks after conception.","author":[{"dropping-particle":"","family":"Smith","given":"Gordon C. S.","non-dropping-particle":"","parse-names":false,"suffix":""},{"dropping-particle":"","family":"Crossley","given":"Jennifer A","non-dropping-particle":"","parse-names":false,"suffix":""},{"dropping-particle":"","family":"Aitken","given":"David A","non-dropping-particle":"","parse-names":false,"suffix":""},{"dropping-particle":"","family":"Pell","given":"Jill P","non-dropping-particle":"","parse-names":false,"suffix":""},{"dropping-particle":"","family":"Cameron","given":"Alan D","non-dropping-particle":"","parse-names":false,"suffix":""},{"dropping-particle":"","family":"Connor","given":"J Michael","non-dropping-particle":"","parse-names":false,"suffix":""},{"dropping-particle":"","family":"Dobbie","given":"Richard","non-dropping-particle":"","parse-names":false,"suffix":""}],"container-title":"JAMA","id":"ITEM-1","issue":"18","issued":{"date-parts":[["2004","11","10"]]},"page":"2249","title":"First-Trimester Placentation and the Risk of Antepartum Stillbirth","type":"article-journal","volume":"292"},"uri":["http://www.mendeley.com/documents/?uuid=c823aae8-29de-36f1-9a04-389682b032af"],"uris":["http://www.mendeley.com/documents/?uuid=c823aae8-29de-36f1-9a04-389682b032af"]},{"id":"ITEM-2","itemData":{"DOI":"10.1002/pd.4141","ISSN":"01973851","author":[{"dropping-particle":"","family":"D'Antonio","given":"Francesco","non-dropping-particle":"","parse-names":false,"suffix":""},{"dropping-particle":"","family":"Rijo","given":"Claudia","non-dropping-particle":"","parse-names":false,"suffix":""},{"dropping-particle":"","family":"Thilaganathan","given":"Basky","non-dropping-particle":"","parse-names":false,"suffix":""},{"dropping-particle":"","family":"Akolekar","given":"Ranjit","non-dropping-particle":"","parse-names":false,"suffix":""},{"dropping-particle":"","family":"Khalil","given":"Asma","non-dropping-particle":"","parse-names":false,"suffix":""},{"dropping-particle":"","family":"Papageourgiou","given":"Aris","non-dropping-particle":"","parse-names":false,"suffix":""},{"dropping-particle":"","family":"Bhide","given":"Amar","non-dropping-particle":"","parse-names":false,"suffix":""}],"container-title":"Prenatal Diagnosis","id":"ITEM-2","issue":"9","issued":{"date-parts":[["2013","9"]]},"page":"839-847","publisher":"Wiley-Blackwell","title":"Association between first-trimester maternal serum pregnancy-associated plasma protein-A and obstetric complications","type":"article-journal","volume":"33"},"uri":["http://www.mendeley.com/documents/?uuid=04268072-da0b-3363-9b5d-938ab55322db"],"uris":["http://www.mendeley.com/documents/?uuid=04268072-da0b-3363-9b5d-938ab55322db"]},{"id":"ITEM-3","itemData":{"DOI":"10.1002/pd.5001","ISSN":"01973851","PMID":"28012202","abstract":"OBJECTIVES To determine association, and predictive ability, of first trimester maternal serum pregnancy associated plasma protein A (PAPP-A) with adverse pregnancy outcomes. METHOD Searches of Medline, Embase and CINAHL (inception September 2015) for studies including pregnant women with first trimester PAPP-A and assessment of pregnancy outcomes. Study characteristics, quality and results extracted. Meta-analysis of odds ratios (ORs), and likelihood ratios (LRs) and 95% confidence intervals (CI). RESULTS Thirty-two studies including 175 240 pregnancies. PAPP-A &lt;5th centile had a moderate association with: birth weight &lt;10th centile OR 2.08 (95% CI 1.89-2.29), &lt;5th centile OR 2.83 (95% CI 2.52-3.18); pre-eclampsia OR 1.94 (95% CI 1.63-2.30), preterm birth &lt;37 weeks OR 2.09 (95% CI 1.87-2.33), and composite adverse outcome OR 3.31 (95% CI 1.80-5.11). The predictive ability was poor: Birth weight &lt;10th centile LR + ve 1.96 (95% CI 1.58-2.43), LR-ve 0.93 (95% CI 0.89-0.98); birth weight &lt;5th centile LR + ve 2.65 (95% CI 2.35-2.99), LR-ve 0.85 (95% CI 0.74-0.98); PTB &lt;37 weeks LR + ve 1.84 (95% CI 1.41-2.39), LR-ve 0.92 (95% CI 0.87-0.98). CONCLUSIONS First trimester low maternal serum PAPP-A is associated with adverse pregnancy outcome, but predictive values are poor. Further work should address PAPP-A as a continuous variable in combination with other prognostic markers as a prediction model. © 2016 John Wiley &amp; Sons, Ltd.","author":[{"dropping-particle":"","family":"Morris","given":"R. Katie","non-dropping-particle":"","parse-names":false,"suffix":""},{"dropping-particle":"","family":"Bilagi","given":"Ashwini","non-dropping-particle":"","parse-names":false,"suffix":""},{"dropping-particle":"","family":"Devani","given":"Pooja","non-dropping-particle":"","parse-names":false,"suffix":""},{"dropping-particle":"","family":"Kilby","given":"Mark D.","non-dropping-particle":"","parse-names":false,"suffix":""}],"container-title":"Prenatal Diagnosis","id":"ITEM-3","issue":"3","issued":{"date-parts":[["2017","3"]]},"page":"253-265","title":"Association of serum PAPP-A levels in first trimester with small for gestational age and adverse pregnancy outcomes: systematic review and meta-analysis","type":"article-journal","volume":"37"},"uris":["http://www.mendeley.com/documents/?uuid=f9c65e73-97aa-385e-901e-2e2f5c09cec6"]}],"mendeley":{"formattedCitation":"[7,37,38]","plainTextFormattedCitation":"[7,37,38]","previouslyFormattedCitation":"[7,37,38]"},"properties":{"dontUpdate":true,"formattedCitation":"[7,30]","noteIndex":0,"plainCitation":"[7,30]"},"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[7,37,38]</w:t>
      </w:r>
      <w:r w:rsidRPr="00D92729">
        <w:rPr>
          <w:sz w:val="24"/>
          <w:szCs w:val="24"/>
          <w:lang w:val="en-US"/>
        </w:rPr>
        <w:fldChar w:fldCharType="end"/>
      </w:r>
      <w:r w:rsidRPr="00D92729">
        <w:rPr>
          <w:sz w:val="24"/>
          <w:szCs w:val="24"/>
          <w:lang w:val="en-US"/>
        </w:rPr>
        <w:t xml:space="preserve"> and currently, the Royal College of Obstetricians and Gynaecologists (RCOG) recommend serial ultrasound scans for growth and umbilical artery Dopplers in women who screen positive for low PAPP-A (&lt;0.4 corrected MoMs)</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{"citationID":"7aItnmnd","citationItems":[{"id":"ITEM-1","itemData":{"abstract":"... and partners, who wish to stop smoking should be given support – eg stop-smoking packages, referral to a self-help group.112 vi Neonatal resuscitation: local guidelines should list ... Pattison N ,. McCowan L. Cardiotocography for antepartum fetal assessment ... RCOG Guideline No ...","author":[{"dropping-particle":"","family":"Library","given":"The Cochrane","non-dropping-particle":"","parse-names":false,"suffix":""}],"container-title":"Royal College of Obstetricians and Gynaecologists - Guideline No. 31","id":"ITEM-1","issue":"31","issued":{"date-parts":[["2002"]]},"page":"1-16","title":"the Investigation and Management of the Small-for-Gestational-Age Fetus","type":"article-journal"},"uri":["http://www.mendeley.com/documents/?uuid=0f3d3005-154c-3acc-8e0a-7e88923369e6"],"uris":["http://www.mendeley.com/documents/?uuid=0f3d3005-154c-3acc-8e0a-7e88923369e6"]}],"mendeley":{"formattedCitation":"[39]","plainTextFormattedCitation":"[39]","previouslyFormattedCitation":"[39]"},"properties":{"dontUpdate":true,"formattedCitation":"[31]","noteIndex":0,"plainCitation":"[31]"},"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[39]</w:t>
      </w:r>
      <w:r w:rsidRPr="00D92729">
        <w:rPr>
          <w:sz w:val="24"/>
          <w:szCs w:val="24"/>
          <w:lang w:val="en-US"/>
        </w:rPr>
        <w:fldChar w:fldCharType="end"/>
      </w:r>
      <w:r w:rsidRPr="00D92729">
        <w:rPr>
          <w:sz w:val="24"/>
          <w:szCs w:val="24"/>
          <w:lang w:val="en-US"/>
        </w:rPr>
        <w:t>.</w:t>
      </w:r>
      <w:r>
        <w:rPr>
          <w:sz w:val="24"/>
          <w:szCs w:val="24"/>
          <w:lang w:val="en-US"/>
        </w:rPr>
        <w:t xml:space="preserve"> However, there is no consensus for monitoring based on low PAPP-A in the United States as there is no clear evidence it improves outcomes.</w:t>
      </w:r>
      <w:r w:rsidRPr="00D92729">
        <w:rPr>
          <w:sz w:val="24"/>
          <w:szCs w:val="24"/>
          <w:lang w:val="en-US"/>
        </w:rPr>
        <w:t xml:space="preserve"> A systematic review of studies investigating the associations between PAPP-A and adverse pregnancy outcomes found that a PAPP-A &lt;</w:t>
      </w:r>
      <w:r>
        <w:rPr>
          <w:rFonts w:cstheme="minorHAnsi"/>
          <w:sz w:val="24"/>
          <w:szCs w:val="24"/>
          <w:lang w:val="en-US"/>
        </w:rPr>
        <w:t>~</w:t>
      </w:r>
      <w:r w:rsidRPr="00D92729">
        <w:rPr>
          <w:sz w:val="24"/>
          <w:szCs w:val="24"/>
          <w:lang w:val="en-US"/>
        </w:rPr>
        <w:t>0.4 MoMs had a sensitivity up to 25.7% for all PE and 16.0% for severe SGA (birth weight &lt;3</w:t>
      </w:r>
      <w:r w:rsidRPr="00D92729">
        <w:rPr>
          <w:sz w:val="24"/>
          <w:szCs w:val="24"/>
          <w:vertAlign w:val="superscript"/>
          <w:lang w:val="en-US"/>
        </w:rPr>
        <w:t>rd</w:t>
      </w:r>
      <w:r w:rsidRPr="00D92729">
        <w:rPr>
          <w:sz w:val="24"/>
          <w:szCs w:val="24"/>
          <w:lang w:val="en-US"/>
        </w:rPr>
        <w:t xml:space="preserve"> percentile)</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Qcqt39ph","citationItems":[{"id":"ITEM-1","itemData":{"DOI":"10.1002/pd.4141","ISSN":"01973851","author":[{"dropping-particle":"","family":"D'Antonio","given":"Francesco","non-dropping-particle":"","parse-names":false,"suffix":""},{"dropping-particle":"","family":"Rijo","given":"Claudia","non-dropping-particle":"","parse-names":false,"suffix":""},{"dropping-particle":"","family":"Thilaganathan","given":"Basky","non-dropping-particle":"","parse-names":false,"suffix":""},{"dropping-particle":"","family":"Akolekar","given":"Ranjit","non-dropping-particle":"","parse-names":false,"suffix":""},{"dropping-particle":"","family":"Khalil","given":"Asma","non-dropping-particle":"","parse-names":false,"suffix":""},{"dropping-particle":"","family":"Papageourgiou","given":"Aris","non-dropping-particle":"","parse-names":false,"suffix":""},{"dropping-particle":"","family":"Bhide","given":"Amar","non-dropping-particle":"","parse-names":false,"suffix":""}],"container-title":"Prenatal Diagnosis","id":"ITEM-1","issue":"9","issued":{"date-parts":[["2013","9"]]},"page":"839-847","publisher":"Wiley-Blackwell","title":"Association between first-trimester maternal serum pregnancy-associated plasma protein-A and obstetric complications","type":"article-journal","volume":"33"},"uri":["http://www.mendeley.com/documents/?uuid=04268072-da0b-3363-9b5d-938ab55322db"],"uris":["http://www.mendeley.com/documents/?uuid=04268072-da0b-3363-9b5d-938ab55322db"]}],"mendeley":{"formattedCitation":"[7]","plainTextFormattedCitation":"[7]","previouslyFormattedCitation":"[7]"},"properties":{"formattedCitation":"[7]","noteIndex":0,"plainCitation":"[7]"},"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[7]</w:t>
      </w:r>
      <w:r w:rsidRPr="00D92729">
        <w:rPr>
          <w:sz w:val="24"/>
          <w:szCs w:val="24"/>
          <w:lang w:val="en-US"/>
        </w:rPr>
        <w:fldChar w:fldCharType="end"/>
      </w:r>
      <w:r w:rsidRPr="00D92729">
        <w:rPr>
          <w:sz w:val="24"/>
          <w:szCs w:val="24"/>
          <w:lang w:val="en-US"/>
        </w:rPr>
        <w:t>, and the highest sensitivity for stillbirth has been reported as 15.0%</w:t>
      </w:r>
      <w:r>
        <w:rPr>
          <w:sz w:val="24"/>
          <w:szCs w:val="24"/>
          <w:lang w:val="en-US"/>
        </w:rPr>
        <w:t xml:space="preserve"> </w:t>
      </w:r>
      <w:r w:rsidRPr="00D92729">
        <w:rPr>
          <w:sz w:val="24"/>
          <w:szCs w:val="24"/>
          <w:lang w:val="en-US"/>
        </w:rPr>
        <w:fldChar w:fldCharType="begin" w:fldLock="1"/>
      </w:r>
      <w:r>
        <w:rPr>
          <w:sz w:val="24"/>
          <w:szCs w:val="24"/>
          <w:lang w:val="en-US"/>
        </w:rPr>
        <w:instrText>ADDIN CSL_CITATION {"citationID":"K88rTxK3","citationItems":[{"id":"ITEM-1","itemData":{"DOI":"10.3109/00016349.2010.493195","ISSN":"0001-6349","author":[{"dropping-particle":"","family":"Marttala","given":"Jaana","non-dropping-particle":"","parse-names":false,"suffix":""},{"dropping-particle":"","family":"Peuhkurinen","given":"Sini","non-dropping-particle":"","parse-names":false,"suffix":""},{"dropping-particle":"","family":"Laitinen","given":"Paivi","non-dropping-particle":"","parse-names":false,"suffix":""},{"dropping-particle":"","family":"Gissler","given":"Mika","non-dropping-particle":"","parse-names":false,"suffix":""},{"dropping-particle":"","family":"Nieminen","given":"Pentti","non-dropping-particle":"","parse-names":false,"suffix":""},{"dropping-particle":"","family":"Ryynanen","given":"Markku","non-dropping-particle":"","parse-names":false,"suffix":""}],"container-title":"Acta Obstetricia et Gynecologica Scandinavica","id":"ITEM-1","issue":"9","issued":{"date-parts":[["2010","9"]]},"page":"1226-1228","title":"Low maternal PAPP-A is associated with small-for-gestational age newborns and stillbirths","type":"article-journal","volume":"89"},"uri":["http://www.mendeley.com/documents/?uuid=fb81bd02-3301-37f1-bb09-e45b9320c5cb"],"uris":["http://www.mendeley.com/documents/?uuid=fb81bd02-3301-37f1-bb09-e45b9320c5cb"]}],"mendeley":{"formattedCitation":"[40]","plainTextFormattedCitation":"[40]","previouslyFormattedCitation":"[40]"},"properties":{"dontUpdate":true,"formattedCitation":"[32]","noteIndex":0,"plainCitation":"[32]"},"schema":"https://github.com/citation-style-language/schema/raw/master/csl-citation.json"}</w:instrText>
      </w:r>
      <w:r w:rsidRPr="00D92729">
        <w:rPr>
          <w:sz w:val="24"/>
          <w:szCs w:val="24"/>
          <w:lang w:val="en-US"/>
        </w:rPr>
        <w:fldChar w:fldCharType="separate"/>
      </w:r>
      <w:r w:rsidRPr="006837A3">
        <w:rPr>
          <w:rFonts w:ascii="Calibri" w:hAnsi="Calibri" w:cs="Calibri"/>
          <w:noProof/>
          <w:sz w:val="24"/>
        </w:rPr>
        <w:t>[40]</w:t>
      </w:r>
      <w:r w:rsidRPr="00D92729">
        <w:rPr>
          <w:sz w:val="24"/>
          <w:szCs w:val="24"/>
          <w:lang w:val="en-US"/>
        </w:rPr>
        <w:fldChar w:fldCharType="end"/>
      </w:r>
      <w:r w:rsidRPr="00D92729">
        <w:rPr>
          <w:sz w:val="24"/>
          <w:szCs w:val="24"/>
          <w:lang w:val="en-US"/>
        </w:rPr>
        <w:t>. Therefore, given that PAPP-A is measured almost routinely, an improvement in sensitivity would be welcome.</w:t>
      </w:r>
      <w:r>
        <w:rPr>
          <w:sz w:val="24"/>
          <w:szCs w:val="24"/>
          <w:lang w:val="en-US"/>
        </w:rPr>
        <w:t xml:space="preserve"> The key advantage of the ratio is its simplicity, and a</w:t>
      </w:r>
      <w:r w:rsidRPr="00D92729">
        <w:rPr>
          <w:sz w:val="24"/>
          <w:szCs w:val="24"/>
          <w:lang w:val="en-US"/>
        </w:rPr>
        <w:t>n uncorrected AFP:PAPP-A ratio greater than 10 in the first trimester may alert clinicians to women at increased risk of developing pregnancy complications and who may benefit from closer monitoring. However, the</w:t>
      </w:r>
      <w:r>
        <w:rPr>
          <w:sz w:val="24"/>
          <w:szCs w:val="24"/>
          <w:lang w:val="en-US"/>
        </w:rPr>
        <w:t xml:space="preserve"> ratio did not perform well as a screening test as a single parameter. For every correctly identified case of any adverse outcome there would be about three false positive results, which may prompt unnecessary additional monitoring and maternal anxiety. It may, however, enhance clinical prediction of adverse outcome when added to other measurements and maternal characteristics, as has been shown for PAPP-A and the prediction of early onset preeclampsia </w:t>
      </w:r>
      <w:r>
        <w:rPr>
          <w:sz w:val="24"/>
          <w:szCs w:val="24"/>
          <w:lang w:val="en-US"/>
        </w:rPr>
        <w:fldChar w:fldCharType="begin" w:fldLock="1"/>
      </w:r>
      <w:r>
        <w:rPr>
          <w:sz w:val="24"/>
          <w:szCs w:val="24"/>
          <w:lang w:val="en-US"/>
        </w:rPr>
        <w:instrText>ADDIN CSL_CITATION {"citationID":"6ydzyGNt","citationItems":[{"id":"ITEM-1","itemData":{"DOI":"10.1056/NEJMoa1704559","ISSN":"0028-4793","abstract":"BackgroundPreterm preeclampsia is an important cause of maternal and perinatal death and complications. It is uncertain whether the intake of low-dose aspirin during pregnancy reduces the risk of preterm preeclampsia. MethodsIn this multicenter, double-blind, placebo-controlled trial, we randomly assigned 1776 women with singleton pregnancies who were at high risk for preterm preeclampsia to receive aspirin, at a dose of 150 mg per day, or placebo from 11 to 14 weeks of gestation until 36 weeks of gestation. The primary outcome was delivery with preeclampsia before 37 weeks of gestation. The analysis was performed according to the intention-to-treat principle. ResultsA total of 152 women withdrew consent during the trial, and 4 were lost to follow up, which left 798 participants in the aspirin group and 822 in the placebo group. Preterm preeclampsia occurred in 13 participants (1.6%) in the aspirin group, as compared with 35 (4.3%) in the placebo group (odds ratio in the aspirin group, 0.38; 95% confidenc...","author":[{"dropping-particle":"","family":"Rolnik","given":"Daniel L.","non-dropping-particle":"","parse-names":false,"suffix":""},{"dropping-particle":"","family":"Wright","given":"David","non-dropping-particle":"","parse-names":false,"suffix":""},{"dropping-particle":"","family":"Poon","given":"Liona C.","non-dropping-particle":"","parse-names":false,"suffix":""},{"dropping-particle":"","family":"O’Gorman","given":"Neil","non-dropping-particle":"","parse-names":false,"suffix":""},{"dropping-particle":"","family":"Syngelaki","given":"Argyro","non-dropping-particle":"","parse-names":false,"suffix":""},{"dropping-particle":"","family":"Paco Matallana","given":"Catalina","non-dropping-particle":"de","parse-names":false,"suffix":""},{"dropping-particle":"","family":"Akolekar","given":"Ranjit","non-dropping-particle":"","parse-names":false,"suffix":""},{"dropping-particle":"","family":"Cicero","given":"Simona","non-dropping-particle":"","parse-names":false,"suffix":""},{"dropping-particle":"","family":"Janga","given":"Deepa","non-dropping-particle":"","parse-names":false,"suffix":""},{"dropping-particle":"","family":"Singh","given":"Mandeep","non-dropping-particle":"","parse-names":false,"suffix":""},{"dropping-particle":"","family":"Molina","given":"Francisca S.","non-dropping-particle":"","parse-names":false,"suffix":""},{"dropping-particle":"","family":"Persico","given":"Nicola","non-dropping-particle":"","parse-names":false,"suffix":""},{"dropping-particle":"","family":"Jani","given":"Jacques C.","non-dropping-particle":"","parse-names":false,"suffix":""},{"dropping-particle":"","family":"Plasencia","given":"Walter","non-dropping-particle":"","parse-names":false,"suffix":""},{"dropping-particle":"","family":"Papaioannou","given":"George","non-dropping-particle":"","parse-names":false,"suffix":""},{"dropping-particle":"","family":"Tenenbaum-Gavish","given":"Kinneret","non-dropping-particle":"","parse-names":false,"suffix":""},{"dropping-particle":"","family":"Meiri","given":"Hamutal","non-dropping-particle":"","parse-names":false,"suffix":""},{"dropping-particle":"","family":"Gizurarson","given":"Sveinbjorn","non-dropping-particle":"","parse-names":false,"suffix":""},{"dropping-particle":"","family":"Maclagan","given":"Kate","non-dropping-particle":"","parse-names":false,"suffix":""},{"dropping-particle":"","family":"Nicolaides","given":"Kypros H.","non-dropping-particle":"","parse-names":false,"suffix":""}],"container-title":"New England Journal of Medicine","id":"ITEM-1","issue":"7","issued":{"date-parts":[["2017","8","17"]]},"page":"613-622","publisher":"Massachusetts Medical Society","title":"Aspirin versus Placebo in Pregnancies at High Risk for Preterm Preeclampsia","type":"article-journal","volume":"377"},"uri":["http://www.mendeley.com/documents/?uuid=765b528b-0db1-3ffd-8628-d49f8a6f10b1"],"uris":["http://www.mendeley.com/documents/?uuid=765b528b-0db1-3ffd-8628-d49f8a6f10b1"]}],"mendeley":{"formattedCitation":"[41]","plainTextFormattedCitation":"[41]","previouslyFormattedCitation":"[41]"},"properties":{"formattedCitation":"[40]","noteIndex":0,"plainCitation":"[40]"},"schema":"https://github.com/citation-style-language/schema/raw/master/csl-citation.json"}</w:instrText>
      </w:r>
      <w:r>
        <w:rPr>
          <w:sz w:val="24"/>
          <w:szCs w:val="24"/>
          <w:lang w:val="en-US"/>
        </w:rPr>
        <w:fldChar w:fldCharType="separate"/>
      </w:r>
      <w:r w:rsidRPr="006837A3">
        <w:rPr>
          <w:rFonts w:ascii="Calibri" w:hAnsi="Calibri" w:cs="Calibri"/>
          <w:noProof/>
          <w:sz w:val="24"/>
        </w:rPr>
        <w:t>[41]</w:t>
      </w:r>
      <w:r>
        <w:rPr>
          <w:sz w:val="24"/>
          <w:szCs w:val="24"/>
          <w:lang w:val="en-US"/>
        </w:rPr>
        <w:fldChar w:fldCharType="end"/>
      </w:r>
      <w:r>
        <w:rPr>
          <w:sz w:val="24"/>
          <w:szCs w:val="24"/>
          <w:lang w:val="en-US"/>
        </w:rPr>
        <w:t xml:space="preserve">. Addition of biomarkers to ultrasound data may provide better diagnostic accuracy than either on their own </w:t>
      </w:r>
      <w:r>
        <w:rPr>
          <w:sz w:val="24"/>
          <w:szCs w:val="24"/>
          <w:lang w:val="en-US"/>
        </w:rPr>
        <w:fldChar w:fldCharType="begin" w:fldLock="1"/>
      </w:r>
      <w:r>
        <w:rPr>
          <w:sz w:val="24"/>
          <w:szCs w:val="24"/>
          <w:lang w:val="en-US"/>
        </w:rPr>
        <w:instrText>ADDIN CSL_CITATION {"citationItems":[{"id":"ITEM-1","itemData":{"DOI":"10.1016/S2352-4642(18)30129-9","ISSN":"23524642","PMID":"30119716","abstract":"BACKGROUND Fetal growth restriction is a major determinant of perinatal morbidity and mortality. This condition has no gold standard definition, but a widely used proxy is delivery of a small for gestational age infant (&lt;10th percentile) combined with an adverse pregnancy outcome. Effective screening for fetal growth restriction is an area of unmet clinical need. We aimed to determine the diagnostic effectiveness of a combination of ultrasonic fetal biometry and measurement of the ratio of soluble fms-like tyrosine kinase receptor 1 (sFLT1) to placental growth factor (PlGF) in predicting adverse pregnancy outcomes associated with delivery of a small for gestational age infant. METHODS In this prospective cohort study, using serial antenatal blood sampling and blinded ultrasound scans, we investigated the association between the combination of an elevated sFLT1/PlGF ratio (&gt;85th percentile) and ultrasonically suspected small for gestational age (&lt;10th percentile) at both 28 and 36 weeks of gestational age. The outcome following the 28 week measurement was preterm delivery of a small for gestational age infant. The outcome following the 36 week measurement was subsequent delivery of a small for gestational infant associated with maternal pre-eclampsia or perinatal morbidity or mortality. All definitions of exposure and outcome were predefined before we did our data analysis. FINDINGS Between Jan 14, 2008, and July 31, 2012, we recruited 4512 nulliparous women. 4098 women (91%) had a sFLT1/PlGF ratio measurement and estimated fetal weight at 28 or 36 weeks of gestational age, and outcome data available. 3981 women were analysed for 28 weeks of gestational age measurements and 3747 women were analysed for 36 weeks of gestational age measurements. At 28 weeks, 47 (1%) of 3981 women had the combination of ultrasonic small for gestational age and an elevated sFLT1/PlGF ratio. The positive likelihood ratio for preterm delivery of a small for gestational age infant associated with this combination was 41·1 (95% CI 23·0-73·6), the sensitivity was 38·5% (21·1-59·3), the specificity was 99·1% (98·7-99·3), and the positive predictive value was 21·3% (11·6-35·8). At 36 weeks, 102 (3%) of 3747 women had the combination of ultrasonic small for gestational age and an elevated sFLT1/PlGF ratio. The positive likelihood ratio for delivery of a small for gestational age infant associated with maternal pre-eclampsia or perinatal morbidity or mortality was 17·5 (95% CI 11·8-2…","author":[{"dropping-particle":"","family":"Gaccioli","given":"Francesca","non-dropping-particle":"","parse-names":false,"suffix":""},{"dropping-particle":"","family":"Sovio","given":"Ulla","non-dropping-particle":"","parse-names":false,"suffix":""},{"dropping-particle":"","family":"Cook","given":"Emma","non-dropping-particle":"","parse-names":false,"suffix":""},{"dropping-particle":"","family":"Hund","given":"Martin","non-dropping-particle":"","parse-names":false,"suffix":""},{"dropping-particle":"","family":"Charnock-Jones","given":"D Stephen","non-dropping-particle":"","parse-names":false,"suffix":""},{"dropping-particle":"","family":"Smith","given":"Gordon C S","non-dropping-particle":"","parse-names":false,"suffix":""}],"container-title":"The Lancet Child &amp; Adolescent Health","id":"ITEM-1","issue":"8","issued":{"date-parts":[["2018","8"]]},"page":"569-581","title":"Screening for fetal growth restriction using ultrasound and the sFLT1/PlGF ratio in nulliparous women: a prospective cohort study","type":"article-journal","volume":"2"},"uris":["http://www.mendeley.com/documents/?uuid=b41005aa-3ccc-3ddb-b220-04b584e1cfee"]}],"mendeley":{"formattedCitation":"[42]","plainTextFormattedCitation":"[42]","previouslyFormattedCitation":"[42]"},"properties":{"noteIndex":0},"schema":"https://github.com/citation-style-language/schema/raw/master/csl-citation.json"}</w:instrText>
      </w:r>
      <w:r>
        <w:rPr>
          <w:sz w:val="24"/>
          <w:szCs w:val="24"/>
          <w:lang w:val="en-US"/>
        </w:rPr>
        <w:fldChar w:fldCharType="separate"/>
      </w:r>
      <w:r>
        <w:rPr>
          <w:noProof/>
          <w:sz w:val="24"/>
          <w:szCs w:val="24"/>
          <w:lang w:val="en-US"/>
        </w:rPr>
        <w:t>[42]</w:t>
      </w:r>
      <w:r>
        <w:rPr>
          <w:sz w:val="24"/>
          <w:szCs w:val="24"/>
          <w:lang w:val="en-US"/>
        </w:rPr>
        <w:fldChar w:fldCharType="end"/>
      </w:r>
      <w:r>
        <w:rPr>
          <w:sz w:val="24"/>
          <w:szCs w:val="24"/>
          <w:lang w:val="en-US"/>
        </w:rPr>
        <w:t>, and we found that an AFP:PAPP-A ratio &gt;10 in the first trimester or an EFW &lt;10</w:t>
      </w:r>
      <w:r w:rsidRPr="000A6382">
        <w:rPr>
          <w:sz w:val="24"/>
          <w:szCs w:val="24"/>
          <w:vertAlign w:val="superscript"/>
          <w:lang w:val="en-US"/>
        </w:rPr>
        <w:t>th</w:t>
      </w:r>
      <w:r>
        <w:rPr>
          <w:sz w:val="24"/>
          <w:szCs w:val="24"/>
          <w:lang w:val="en-US"/>
        </w:rPr>
        <w:t xml:space="preserve"> percentile with reduced growth velocity of the abdominal circumference in the third trimester may improve sensitivity for detection of adverse outcome, compared with ultrasound on its own. However, to confirm its suitability as a screening test would require further investigation and analysis, taking into account the challenges associated with developing a multivariable predictive model in Obstetrics </w:t>
      </w:r>
      <w:r>
        <w:rPr>
          <w:sz w:val="24"/>
          <w:szCs w:val="24"/>
          <w:lang w:val="en-US"/>
        </w:rPr>
        <w:fldChar w:fldCharType="begin" w:fldLock="1"/>
      </w:r>
      <w:r>
        <w:rPr>
          <w:sz w:val="24"/>
          <w:szCs w:val="24"/>
          <w:lang w:val="en-US"/>
        </w:rPr>
        <w:instrText>ADDIN CSL_CITATION {"citationItems":[{"id":"ITEM-1","itemData":{"DOI":"10.1016/j.ajog.2015.06.013","ISSN":"00029378","PMID":"26070707","abstract":"Health care provision is increasingly focused on the prediction of patients' individual risk for developing a particular health outcome in planning further tests and treatments. There has been a steady increase in the development and publication of prognostic models for various maternal and fetal outcomes in obstetrics. We undertook a systematic review to give an overview of the current status of available prognostic models in obstetrics in the context of their potential advantages and the process of developing and validating models. Important aspects to consider when assessing a prognostic model are discussed and recommendations on how to proceed on this within the obstetric domain are given. We searched MEDLINE (up to July 2012) for articles developing prognostic models in obstetrics. We identified 177 papers that reported the development of 263 prognostic models for 40 different outcomes. The most frequently predicted outcomes were preeclampsia (n = 69), preterm delivery (n = 63), mode of delivery (n = 22), gestational hypertension (n = 11), and small-for-gestational-age infants (n = 10). The performance of newer models was generally not better than that of older models predicting the same outcome. The most important measures of predictive accuracy (ie, a model's discrimination and calibration) were often (82.9%, 218/263) not both assessed. Very few developed models were validated in data other than the development data (8.7%, 23/263). Only two-thirds of the papers (62.4%, 164/263) presented the model such that validation in other populations was possible, and the clinical applicability was discussed in only 11.0% (29/263). The impact of developed models on clinical practice was unknown. We identified a large number of prognostic models in obstetrics, but there is relatively little evidence about their performance, impact, and usefulness in clinical practice so that at this point, clinical implementation cannot be recommended. New efforts should be directed toward evaluating the performance and impact of the existing models.","author":[{"dropping-particle":"","family":"Kleinrouweler","given":"C. Emily","non-dropping-particle":"","parse-names":false,"suffix":""},{"dropping-particle":"","family":"Cheong-See","given":"Fiona M.","non-dropping-particle":"","parse-names":false,"suffix":""},{"dropping-particle":"","family":"Collins","given":"Gary S.","non-dropping-particle":"","parse-names":false,"suffix":""},{"dropping-particle":"","family":"Kwee","given":"Anneke","non-dropping-particle":"","parse-names":false,"suffix":""},{"dropping-particle":"","family":"Thangaratinam","given":"Shakila","non-dropping-particle":"","parse-names":false,"suffix":""},{"dropping-particle":"","family":"Khan","given":"Khalid S.","non-dropping-particle":"","parse-names":false,"suffix":""},{"dropping-particle":"","family":"Mol","given":"Ben Willem J.","non-dropping-particle":"","parse-names":false,"suffix":""},{"dropping-particle":"","family":"Pajkrt","given":"Eva","non-dropping-particle":"","parse-names":false,"suffix":""},{"dropping-particle":"","family":"Moons","given":"Karel G.M.","non-dropping-particle":"","parse-names":false,"suffix":""},{"dropping-particle":"","family":"Schuit","given":"Ewoud","non-dropping-particle":"","parse-names":false,"suffix":""}],"container-title":"American Journal of Obstetrics and Gynecology","id":"ITEM-1","issue":"1","issued":{"date-parts":[["2016","1"]]},"page":"79-90.e36","title":"Prognostic models in obstetrics: available, but far from applicable","type":"article-journal","volume":"214"},"uris":["http://www.mendeley.com/documents/?uuid=656bc32b-2487-3769-bdad-a1e81ad3eed9"]},{"id":"ITEM-2","itemData":{"DOI":"10.1002/sim.7993","ISSN":"02776715","PMID":"30347470","abstract":"In the medical literature, hundreds of prediction models are being developed to predict health outcomes in individuals. For continuous outcomes, typically a linear regression model is developed to predict an individual's outcome value conditional on values of multiple predictors (covariates). To improve model development and reduce the potential for overfitting, a suitable sample size is required in terms of the number of subjects (n) relative to the number of predictor parameters (p) for potential inclusion. We propose that the minimum value of n should meet the following four key criteria: (i) small optimism in predictor effect estimates as defined by a global shrinkage factor of ≥0.9; (ii) small absolute difference of ≤ 0.05 in the apparent and adjusted R2 ; (iii) precise estimation (a margin of error ≤ 10% of the true value) of the model's residual standard deviation; and similarly, (iv) precise estimation of the mean predicted outcome value (model intercept). The criteria require prespecification of the user's chosen p and the model's anticipated R2 as informed by previous studies. The value of n that meets all four criteria provides the minimum sample size required for model development. In an applied example, a new model to predict lung function in African-American women using 25 predictor parameters requires at least 918 subjects to meet all criteria, corresponding to at least 36.7 subjects per predictor parameter. Even larger sample sizes may be needed to additionally ensure precise estimates of key predictor effects, especially when important categorical predictors have low prevalence in certain categories.","author":[{"dropping-particle":"","family":"Riley","given":"Richard D.","non-dropping-particle":"","parse-names":false,"suffix":""},{"dropping-particle":"","family":"Snell","given":"Kym I.E.","non-dropping-particle":"","parse-names":false,"suffix":""},{"dropping-particle":"","family":"Ensor","given":"Joie","non-dropping-particle":"","parse-names":false,"suffix":""},{"dropping-particle":"","family":"Burke","given":"Danielle L.","non-dropping-particle":"","parse-names":false,"suffix":""},{"dropping-particle":"","family":"Harrell","given":"Frank E.","non-dropping-particle":"","parse-names":false,"suffix":""},{"dropping-particle":"","family":"Moons","given":"Karel G.M.","non-dropping-particle":"","parse-names":false,"suffix":""},{"dropping-particle":"","family":"Collins","given":"Gary S.","non-dropping-particle":"","parse-names":false,"suffix":""}],"container-title":"Statistics in Medicine","id":"ITEM-2","issue":"7","issued":{"date-parts":[["2019","3","30"]]},"page":"1262-1275","title":"Minimum sample size for developing a multivariable prediction model: Part I - Continuous outcomes","type":"article-journal","volume":"38"},"uris":["http://www.mendeley.com/documents/?uuid=ac59b89c-9e00-3612-a696-7466b5c46e70"]},{"id":"ITEM-3","itemData":{"DOI":"10.1002/sim.7992","ISSN":"02776715","author":[{"dropping-particle":"","family":"Riley","given":"Richard D","non-dropping-particle":"","parse-names":false,"suffix":""},{"dropping-particle":"","family":"Snell","given":"Kym IE","non-dropping-particle":"","parse-names":false,"suffix":""},{"dropping-particle":"","family":"Ensor","given":"Joie","non-dropping-particle":"","parse-names":false,"suffix":""},{"dropping-particle":"","family":"Burke","given":"Danielle L","non-dropping-particle":"","parse-names":false,"suffix":""},{"dropping-particle":"","family":"Harrell Jr","given":"Frank E","non-dropping-particle":"","parse-names":false,"suffix":""},{"dropping-particle":"","family":"Moons","given":"Karel GM","non-dropping-particle":"","parse-names":false,"suffix":""},{"dropping-particle":"","family":"Collins","given":"Gary S","non-dropping-particle":"","parse-names":false,"suffix":""}],"container-title":"Statistics in Medicine","id":"ITEM-3","issue":"7","issued":{"date-parts":[["2019","3","30"]]},"page":"1276-1296","title":"Minimum sample size for developing a multivariable prediction model: PART II - binary and time-to-event outcomes","type":"article-journal","volume":"38"},"uris":["http://www.mendeley.com/documents/?uuid=2921264e-d57f-3a98-9b8f-d3fe2fc35263"]}],"mendeley":{"formattedCitation":"[43–45]","plainTextFormattedCitation":"[43–45]","previouslyFormattedCitation":"[43–45]"},"properties":{"noteIndex":0},"schema":"https://github.com/citation-style-language/schema/raw/master/csl-citation.json"}</w:instrText>
      </w:r>
      <w:r>
        <w:rPr>
          <w:sz w:val="24"/>
          <w:szCs w:val="24"/>
          <w:lang w:val="en-US"/>
        </w:rPr>
        <w:fldChar w:fldCharType="separate"/>
      </w:r>
      <w:r w:rsidRPr="00384DC7">
        <w:rPr>
          <w:noProof/>
          <w:sz w:val="24"/>
          <w:szCs w:val="24"/>
          <w:lang w:val="en-US"/>
        </w:rPr>
        <w:t>[43–45]</w:t>
      </w:r>
      <w:r>
        <w:rPr>
          <w:sz w:val="24"/>
          <w:szCs w:val="24"/>
          <w:lang w:val="en-US"/>
        </w:rPr>
        <w:fldChar w:fldCharType="end"/>
      </w:r>
      <w:r>
        <w:rPr>
          <w:sz w:val="24"/>
          <w:szCs w:val="24"/>
          <w:lang w:val="en-US"/>
        </w:rPr>
        <w:t>.</w:t>
      </w:r>
    </w:p>
    <w:p w14:paraId="4D50450F" w14:textId="77777777" w:rsidR="00EE23EA" w:rsidRDefault="00EE23EA" w:rsidP="00EE23EA">
      <w:pPr>
        <w:spacing w:line="480" w:lineRule="auto"/>
        <w:ind w:firstLine="720"/>
        <w:jc w:val="both"/>
        <w:rPr>
          <w:sz w:val="24"/>
          <w:szCs w:val="24"/>
          <w:lang w:val="en-US"/>
        </w:rPr>
      </w:pPr>
      <w:r w:rsidRPr="00D92729">
        <w:rPr>
          <w:sz w:val="24"/>
          <w:szCs w:val="24"/>
          <w:lang w:val="en-US"/>
        </w:rPr>
        <w:t xml:space="preserve"> In summary, an elevated simple AFP:PAPP-A ratio &gt;10 measured in the first trimester is associated with a higher risk for severe adverse pregnancy outcomes and provides a simple alternative to correcting AFP and PAPP-A for maternal weight and exact gestational age of measurement.</w:t>
      </w:r>
      <w:r>
        <w:rPr>
          <w:sz w:val="24"/>
          <w:szCs w:val="24"/>
          <w:lang w:val="en-US"/>
        </w:rPr>
        <w:br w:type="page"/>
      </w:r>
    </w:p>
    <w:p w14:paraId="1B763CDF" w14:textId="77777777" w:rsidR="00EE23EA" w:rsidRPr="00536A5D" w:rsidRDefault="00EE23EA" w:rsidP="00EE23EA">
      <w:pPr>
        <w:spacing w:line="480" w:lineRule="auto"/>
        <w:jc w:val="both"/>
        <w:outlineLvl w:val="0"/>
        <w:rPr>
          <w:b/>
          <w:sz w:val="24"/>
          <w:szCs w:val="24"/>
          <w:lang w:val="en-US"/>
        </w:rPr>
      </w:pPr>
      <w:r w:rsidRPr="00536A5D">
        <w:rPr>
          <w:b/>
          <w:sz w:val="24"/>
          <w:szCs w:val="24"/>
          <w:lang w:val="en-US"/>
        </w:rPr>
        <w:t>Acknowledgements</w:t>
      </w:r>
    </w:p>
    <w:p w14:paraId="220A0A7C" w14:textId="77777777" w:rsidR="00EE23EA" w:rsidRDefault="00EE23EA" w:rsidP="00EE23EA">
      <w:pPr>
        <w:spacing w:line="480" w:lineRule="auto"/>
        <w:jc w:val="both"/>
        <w:rPr>
          <w:sz w:val="24"/>
          <w:szCs w:val="24"/>
          <w:lang w:val="en-US"/>
        </w:rPr>
      </w:pPr>
      <w:r w:rsidRPr="00D92729">
        <w:rPr>
          <w:sz w:val="24"/>
          <w:szCs w:val="24"/>
          <w:lang w:val="en-US"/>
        </w:rPr>
        <w:t xml:space="preserve">We are grateful to the participants </w:t>
      </w:r>
      <w:r>
        <w:rPr>
          <w:sz w:val="24"/>
          <w:szCs w:val="24"/>
          <w:lang w:val="en-US"/>
        </w:rPr>
        <w:t>of</w:t>
      </w:r>
      <w:r w:rsidRPr="00D92729">
        <w:rPr>
          <w:sz w:val="24"/>
          <w:szCs w:val="24"/>
          <w:lang w:val="en-US"/>
        </w:rPr>
        <w:t xml:space="preserve"> the Pregnancy Outcome Prediction study. We would like to thank Leah Bibby, Samudra Ranawaka, Katrina Holmes, Josephine Gill and Ryan Millar</w:t>
      </w:r>
      <w:r>
        <w:rPr>
          <w:sz w:val="24"/>
          <w:szCs w:val="24"/>
          <w:lang w:val="en-US"/>
        </w:rPr>
        <w:t xml:space="preserve"> </w:t>
      </w:r>
      <w:r w:rsidRPr="00D92729">
        <w:rPr>
          <w:sz w:val="24"/>
          <w:szCs w:val="24"/>
          <w:lang w:val="en-US"/>
        </w:rPr>
        <w:t>for technical assistance in performing the biochemical assays.</w:t>
      </w:r>
    </w:p>
    <w:p w14:paraId="7640F7DB" w14:textId="77777777" w:rsidR="00EE23EA" w:rsidRPr="00536A5D" w:rsidRDefault="00EE23EA" w:rsidP="00EE23EA">
      <w:pPr>
        <w:spacing w:line="480" w:lineRule="auto"/>
        <w:jc w:val="both"/>
        <w:rPr>
          <w:b/>
          <w:sz w:val="24"/>
          <w:szCs w:val="24"/>
          <w:lang w:val="en-US"/>
        </w:rPr>
      </w:pPr>
      <w:r w:rsidRPr="00536A5D">
        <w:rPr>
          <w:b/>
          <w:sz w:val="24"/>
          <w:szCs w:val="24"/>
          <w:lang w:val="en-US"/>
        </w:rPr>
        <w:t>Funding</w:t>
      </w:r>
    </w:p>
    <w:p w14:paraId="35719155" w14:textId="77777777" w:rsidR="00EE23EA" w:rsidRDefault="00EE23EA" w:rsidP="00EE23EA">
      <w:pPr>
        <w:spacing w:line="480" w:lineRule="auto"/>
        <w:jc w:val="both"/>
        <w:rPr>
          <w:sz w:val="24"/>
          <w:szCs w:val="24"/>
          <w:lang w:val="en-US"/>
        </w:rPr>
      </w:pPr>
      <w:r w:rsidRPr="00D92729">
        <w:rPr>
          <w:sz w:val="24"/>
          <w:szCs w:val="24"/>
          <w:lang w:val="en-US"/>
        </w:rPr>
        <w:t xml:space="preserve">The POP study was </w:t>
      </w:r>
      <w:r>
        <w:rPr>
          <w:sz w:val="24"/>
          <w:szCs w:val="24"/>
          <w:lang w:val="en-US"/>
        </w:rPr>
        <w:t>supported</w:t>
      </w:r>
      <w:r w:rsidRPr="00D92729">
        <w:rPr>
          <w:sz w:val="24"/>
          <w:szCs w:val="24"/>
          <w:lang w:val="en-US"/>
        </w:rPr>
        <w:t xml:space="preserve"> by the National Institute for Health Research (NIHR) Cambridge Biomedical Research Centre (Women’s Health theme), and project grants from the Medical Research Council (United Kingdom; G1100221) and the Stillbirth and neonatal death society (Sands). The study was also supported by Roche Diagnostics (provision of equipment and reagents for analysis of AFP and PAPP-A), by GE Healthcare (donation of two Voluson i ultrasound systems for the POP study), and by the NIHR Cambridge Clinical Research Facility, where all research visits took place. AEH was an Academic Clinical Fellow funded by NIHR. Funders played no role in the decision to submit this manuscript for publication.</w:t>
      </w:r>
    </w:p>
    <w:p w14:paraId="60E13E9F" w14:textId="77777777" w:rsidR="00EE23EA" w:rsidRPr="00536A5D" w:rsidRDefault="00EE23EA" w:rsidP="00EE23EA">
      <w:pPr>
        <w:spacing w:line="480" w:lineRule="auto"/>
        <w:jc w:val="both"/>
        <w:rPr>
          <w:b/>
          <w:sz w:val="24"/>
          <w:szCs w:val="24"/>
          <w:lang w:val="en-US"/>
        </w:rPr>
      </w:pPr>
      <w:r w:rsidRPr="00536A5D">
        <w:rPr>
          <w:b/>
          <w:sz w:val="24"/>
          <w:szCs w:val="24"/>
          <w:lang w:val="en-US"/>
        </w:rPr>
        <w:t>Author contributions</w:t>
      </w:r>
    </w:p>
    <w:p w14:paraId="3C2C444F" w14:textId="77777777" w:rsidR="00EE23EA" w:rsidRDefault="00EE23EA" w:rsidP="00EE23EA">
      <w:pPr>
        <w:spacing w:line="480" w:lineRule="auto"/>
        <w:jc w:val="both"/>
        <w:rPr>
          <w:sz w:val="24"/>
          <w:szCs w:val="24"/>
          <w:lang w:val="en-US"/>
        </w:rPr>
      </w:pPr>
      <w:r>
        <w:rPr>
          <w:sz w:val="24"/>
          <w:szCs w:val="24"/>
          <w:lang w:val="en-US"/>
        </w:rPr>
        <w:t>GCSS and DSC-J designed the study and managed the teams who collected the data. FG and EC collected the data and supervised the technicians who assisted in performing the biochemical assays. US and AEH performed statistical analysis of the data and AEH, US, FC and GCSS contributed to the interpretation of the data. AEH, US and FC drafted the manuscript and all authors critically revised the work. All authors approved the final version of the manuscript. We confirm that all persons designated as authors qualify for authorship, that all persons who qualify for authorship are listed as authors and we approved the order of authors.</w:t>
      </w:r>
    </w:p>
    <w:p w14:paraId="09456FC8" w14:textId="77777777" w:rsidR="00EE23EA" w:rsidRPr="00536A5D" w:rsidRDefault="00EE23EA" w:rsidP="00EE23EA">
      <w:pPr>
        <w:spacing w:line="480" w:lineRule="auto"/>
        <w:jc w:val="both"/>
        <w:rPr>
          <w:b/>
          <w:sz w:val="24"/>
          <w:szCs w:val="24"/>
          <w:lang w:val="en-US"/>
        </w:rPr>
      </w:pPr>
      <w:r w:rsidRPr="00536A5D">
        <w:rPr>
          <w:b/>
          <w:sz w:val="24"/>
          <w:szCs w:val="24"/>
          <w:lang w:val="en-US"/>
        </w:rPr>
        <w:t xml:space="preserve">Declaration of interest statement </w:t>
      </w:r>
    </w:p>
    <w:p w14:paraId="47DE0068" w14:textId="77777777" w:rsidR="00EE23EA" w:rsidRDefault="00EE23EA" w:rsidP="00EE23EA">
      <w:pPr>
        <w:spacing w:line="480" w:lineRule="auto"/>
        <w:jc w:val="both"/>
        <w:rPr>
          <w:sz w:val="24"/>
          <w:szCs w:val="24"/>
        </w:rPr>
        <w:sectPr w:rsidR="00EE23EA" w:rsidSect="001D3E4B">
          <w:pgSz w:w="11906" w:h="16838"/>
          <w:pgMar w:top="1440" w:right="1440" w:bottom="1440" w:left="1440" w:header="708" w:footer="708" w:gutter="0"/>
          <w:lnNumType w:countBy="1" w:restart="continuous"/>
          <w:cols w:space="708"/>
          <w:docGrid w:linePitch="360"/>
        </w:sectPr>
      </w:pPr>
      <w:bookmarkStart w:id="2" w:name="_Hlk535765320"/>
      <w:r w:rsidRPr="002F6CA2">
        <w:rPr>
          <w:sz w:val="24"/>
          <w:szCs w:val="24"/>
        </w:rPr>
        <w:t>AEH,</w:t>
      </w:r>
      <w:r>
        <w:rPr>
          <w:sz w:val="24"/>
          <w:szCs w:val="24"/>
        </w:rPr>
        <w:t xml:space="preserve"> US,</w:t>
      </w:r>
      <w:r w:rsidRPr="002F6CA2">
        <w:rPr>
          <w:sz w:val="24"/>
          <w:szCs w:val="24"/>
        </w:rPr>
        <w:t xml:space="preserve"> FG, EC, DSC-J and GS report grants from Medical Research Council and the National Institute for Health Research during the conduct of the study. GS and DSC-J received non-financial support from Roche Diagnostics Ltd during the conduct of the study. Funders played no role in analysis of data, the presentation of results, nor writing of the manuscript. DSC-J and GS report grants from GlaxoSmithKline Research and Development Limited and Sera Prognostics Ltd and non-financial support from Illumina Inc outside the submitted work. GS reports personal fees from GlaxoSmithKline Research and Development Limited and Roche Diagnostics Ltd outside the submitted work. In addition, GS and DSCJ have a patent United Kingdom Patent Application No. 1808489.7 ‘Novel Biomarkers’ pending.</w:t>
      </w:r>
      <w:bookmarkEnd w:id="2"/>
    </w:p>
    <w:p w14:paraId="2AC26AD4" w14:textId="77777777" w:rsidR="00EE23EA" w:rsidRPr="00536A5D" w:rsidRDefault="00EE23EA" w:rsidP="00EE23EA">
      <w:pPr>
        <w:spacing w:line="480" w:lineRule="auto"/>
        <w:jc w:val="both"/>
        <w:outlineLvl w:val="0"/>
        <w:rPr>
          <w:b/>
          <w:sz w:val="24"/>
          <w:szCs w:val="24"/>
          <w:lang w:val="en-US"/>
        </w:rPr>
      </w:pPr>
      <w:r w:rsidRPr="00536A5D">
        <w:rPr>
          <w:b/>
          <w:sz w:val="24"/>
          <w:szCs w:val="24"/>
          <w:lang w:val="en-US"/>
        </w:rPr>
        <w:t>References</w:t>
      </w:r>
    </w:p>
    <w:p w14:paraId="7F8900B5"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Pr>
          <w:sz w:val="24"/>
          <w:szCs w:val="24"/>
          <w:lang w:val="en-US"/>
        </w:rPr>
        <w:fldChar w:fldCharType="begin" w:fldLock="1"/>
      </w:r>
      <w:r>
        <w:rPr>
          <w:sz w:val="24"/>
          <w:szCs w:val="24"/>
          <w:lang w:val="en-US"/>
        </w:rPr>
        <w:instrText xml:space="preserve">ADDIN Mendeley Bibliography CSL_BIBLIOGRAPHY </w:instrText>
      </w:r>
      <w:r>
        <w:rPr>
          <w:sz w:val="24"/>
          <w:szCs w:val="24"/>
          <w:lang w:val="en-US"/>
        </w:rPr>
        <w:fldChar w:fldCharType="separate"/>
      </w:r>
      <w:r w:rsidRPr="008D76CD">
        <w:rPr>
          <w:rFonts w:ascii="Calibri" w:hAnsi="Calibri" w:cs="Calibri"/>
          <w:noProof/>
          <w:sz w:val="24"/>
          <w:szCs w:val="24"/>
        </w:rPr>
        <w:t>[1]</w:t>
      </w:r>
      <w:r w:rsidRPr="008D76CD">
        <w:rPr>
          <w:rFonts w:ascii="Calibri" w:hAnsi="Calibri" w:cs="Calibri"/>
          <w:noProof/>
          <w:sz w:val="24"/>
          <w:szCs w:val="24"/>
        </w:rPr>
        <w:tab/>
        <w:t>T. Huang, B. Hoffman, W. Meschino, J. Kingdom, N. Okun, Prediction of adverse pregnancy outcomes by combinations of first and second trimester biochemistry markers used in the routine prenatal screening of Down syndrome, Prenat. Diagn. 30 (2010) 471–477. doi:10.1002/pd.2505.</w:t>
      </w:r>
    </w:p>
    <w:p w14:paraId="45ED1AB6"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w:t>
      </w:r>
      <w:r w:rsidRPr="008D76CD">
        <w:rPr>
          <w:rFonts w:ascii="Calibri" w:hAnsi="Calibri" w:cs="Calibri"/>
          <w:noProof/>
          <w:sz w:val="24"/>
          <w:szCs w:val="24"/>
        </w:rPr>
        <w:tab/>
        <w:t>F. Gaccioli, I.L.M.H. Aye, U. Sovio, D.S. Charnock-Jones, G.C.S. Smith, Screening for fetal growth restriction using fetal biometry combined with maternal biomarkers., Am. J. Obstet. Gynecol. 218 (2018) S725–S737. doi:10.1016/j.ajog.2017.12.002.</w:t>
      </w:r>
    </w:p>
    <w:p w14:paraId="342694CE"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w:t>
      </w:r>
      <w:r w:rsidRPr="008D76CD">
        <w:rPr>
          <w:rFonts w:ascii="Calibri" w:hAnsi="Calibri" w:cs="Calibri"/>
          <w:noProof/>
          <w:sz w:val="24"/>
          <w:szCs w:val="24"/>
        </w:rPr>
        <w:tab/>
        <w:t>L. Dugoff, J.C. Hobbins, F.D. Malone, T.F. Porter, D. Luthy, C.H. Comstock, G. Hankins, R.L. Berkowitz, I. Merkatz, S.D. Craigo, I.E. Timor-Tritsch, S.R. Carr, H.M. Wolfe, J. Vidaver, M.E. D’Alton, First-trimester maternal serum PAPP-A and free-beta subunit human chorionic gonadotropin concentrations and nuchal translucency are associated with obstetric complications: A population-based screening study (The FASTER Trial), Am. J. Obstet. Gynecol. 191 (2004) 1446–1451. doi:10.1016/j.ajog.2004.06.052.</w:t>
      </w:r>
    </w:p>
    <w:p w14:paraId="472770C3"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[4]</w:t>
      </w:r>
      <w:r w:rsidRPr="008D76CD">
        <w:rPr>
          <w:rFonts w:ascii="Calibri" w:hAnsi="Calibri" w:cs="Calibri"/>
          <w:noProof/>
          <w:sz w:val="24"/>
          <w:szCs w:val="24"/>
        </w:rPr>
        <w:tab/>
        <w:t>L. Dugoff, J.C. Hobbins, F.D. Malone, J. Vidaver, L. Sullivan, J.A. Canick, G.M. Lambert-Messerlian, T.F. Porter, D.A. Luthy, C.H. Comstock, G. Saade, K. Eddleman, I.R. Merkatz, S.D. Craigo, I.E. Timor-Tritsch, S.R. Carr, H.M. Wolfe, M.E. D’Alton, Quad screen as a predictor of adverse pregnancy outcome, Obstet. Gynecol. 106 (2005) 260–267. doi:10.1097/01.AOG.0000172419.37410.eb.</w:t>
      </w:r>
    </w:p>
    <w:p w14:paraId="4F1DBF15"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[5]</w:t>
      </w:r>
      <w:r w:rsidRPr="008D76CD">
        <w:rPr>
          <w:rFonts w:ascii="Calibri" w:hAnsi="Calibri" w:cs="Calibri"/>
          <w:noProof/>
          <w:sz w:val="24"/>
          <w:szCs w:val="24"/>
        </w:rPr>
        <w:tab/>
        <w:t>G.C.S. Smith, I. Shah, J.A. Crossley, D.A. Aitken, J.P. Pell, S.M. Nelson, A.D. Cameron, M.J. Connor, R. Dobbie, Pregnancy-associated plasma protein A and alpha-fetoprotein and prediction of adverse perinatal outcome., Obstet. Gynecol. 107 (2006) 161–6. doi:10.1097/01.AOG.0000191302.79560.d8.</w:t>
      </w:r>
    </w:p>
    <w:p w14:paraId="43386517"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[6]</w:t>
      </w:r>
      <w:r w:rsidRPr="008D76CD">
        <w:rPr>
          <w:rFonts w:ascii="Calibri" w:hAnsi="Calibri" w:cs="Calibri"/>
          <w:noProof/>
          <w:sz w:val="24"/>
          <w:szCs w:val="24"/>
        </w:rPr>
        <w:tab/>
        <w:t>G.C.S. Smith, E.J. Stenhouse, J.A. Crossley, D.A. Aitken, A.D. Cameron, J.M. Connor, Early Pregnancy Levels of Pregnancy-Associated Plasma Protein A and the Risk of Intrauterine Growth Restriction, Premature Birth, Preeclampsia, and Stillbirth, J. Clin. Endocrinol. Metab. 87 (2002) 1762–1767. doi:10.1210/jcem.87.4.8430.</w:t>
      </w:r>
    </w:p>
    <w:p w14:paraId="658B02BD"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[7]</w:t>
      </w:r>
      <w:r w:rsidRPr="008D76CD">
        <w:rPr>
          <w:rFonts w:ascii="Calibri" w:hAnsi="Calibri" w:cs="Calibri"/>
          <w:noProof/>
          <w:sz w:val="24"/>
          <w:szCs w:val="24"/>
        </w:rPr>
        <w:tab/>
        <w:t>F. D’Antonio, C. Rijo, B. Thilaganathan, R. Akolekar, A. Khalil, A. Papageourgiou, A. Bhide, Association between first-trimester maternal serum pregnancy-associated plasma protein-A and obstetric complications, Prenat. Diagn. 33 (2013) 839–847. doi:10.1002/pd.4141.</w:t>
      </w:r>
    </w:p>
    <w:p w14:paraId="20F4EF45"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[8]</w:t>
      </w:r>
      <w:r w:rsidRPr="008D76CD">
        <w:rPr>
          <w:rFonts w:ascii="Calibri" w:hAnsi="Calibri" w:cs="Calibri"/>
          <w:noProof/>
          <w:sz w:val="24"/>
          <w:szCs w:val="24"/>
        </w:rPr>
        <w:tab/>
        <w:t>K. Spencer, N.J. Cowans, K. Avgidou, F. Molina, K.H. Nicolaides, First-trimester biochemical markers of aneuploidy and the prediction of small-for-gestational age fetuses, Ultrasound Obstet. Gynecol. Off. J. Int. Soc. Ultrasound Obstet. Gynecol. 31 (2008) 15–19. doi:10.1002/uog.5165.</w:t>
      </w:r>
    </w:p>
    <w:p w14:paraId="6F8BDF0A"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[9]</w:t>
      </w:r>
      <w:r w:rsidRPr="008D76CD">
        <w:rPr>
          <w:rFonts w:ascii="Calibri" w:hAnsi="Calibri" w:cs="Calibri"/>
          <w:noProof/>
          <w:sz w:val="24"/>
          <w:szCs w:val="24"/>
        </w:rPr>
        <w:tab/>
        <w:t>K. Spencer, N.J. Cowans, F. Molina, K.O. Kagan, K.H. Nicolaides, First-trimester ultrasound and biochemical markers of aneuploidy and the prediction of preterm or early preterm delivery, Ultrasound Obstet. Gynecol. Off. J. Int. Soc. Ultrasound Obstet. Gynecol. 31 (2008) 147–152. doi:10.1002/uog.5163.</w:t>
      </w:r>
    </w:p>
    <w:p w14:paraId="63F86C94"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[10]</w:t>
      </w:r>
      <w:r w:rsidRPr="008D76CD">
        <w:rPr>
          <w:rFonts w:ascii="Calibri" w:hAnsi="Calibri" w:cs="Calibri"/>
          <w:noProof/>
          <w:sz w:val="24"/>
          <w:szCs w:val="24"/>
        </w:rPr>
        <w:tab/>
        <w:t>K. Spencer, N.J. Cowans, K.H. Nicolaides, Low levels of maternal serum PAPP-A in the first trimester and the risk of pre-eclampsia, Prenat. Diagn. 28 (2008) 7–10. doi:10.1002/pd.1890.</w:t>
      </w:r>
    </w:p>
    <w:p w14:paraId="4C6A63F9"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[11]</w:t>
      </w:r>
      <w:r w:rsidRPr="008D76CD">
        <w:rPr>
          <w:rFonts w:ascii="Calibri" w:hAnsi="Calibri" w:cs="Calibri"/>
          <w:noProof/>
          <w:sz w:val="24"/>
          <w:szCs w:val="24"/>
        </w:rPr>
        <w:tab/>
        <w:t>C. Lesmes, D.M. Gallo, R. Gonzalez, L.C. Poon, K.H. Nicolaides, Prediction of small-for-gestational-age neonates: screening by maternal serum biochemical markers at 19-24 weeks, Ultrasound Obstet. Gynecol. Off. J. Int. Soc. Ultrasound Obstet. Gynecol. 46 (2015) 341–349. doi:10.1002/uog.14899.</w:t>
      </w:r>
    </w:p>
    <w:p w14:paraId="288A2B1D"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[12]</w:t>
      </w:r>
      <w:r w:rsidRPr="008D76CD">
        <w:rPr>
          <w:rFonts w:ascii="Calibri" w:hAnsi="Calibri" w:cs="Calibri"/>
          <w:noProof/>
          <w:sz w:val="24"/>
          <w:szCs w:val="24"/>
        </w:rPr>
        <w:tab/>
        <w:t>D.K. Waller, L.S. Lustig, G.C. Cunningham, L.B. Feuchtbaum, E.B. Hook, The association between maternal serum alpha-fetoprotein and preterm birth, small for gestational age infants, preeclampsia, and placental complications, Obstet. Gynecol. 88 (1996) 816–822.</w:t>
      </w:r>
    </w:p>
    <w:p w14:paraId="57A4C157"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[13]</w:t>
      </w:r>
      <w:r w:rsidRPr="008D76CD">
        <w:rPr>
          <w:rFonts w:ascii="Calibri" w:hAnsi="Calibri" w:cs="Calibri"/>
          <w:noProof/>
          <w:sz w:val="24"/>
          <w:szCs w:val="24"/>
        </w:rPr>
        <w:tab/>
        <w:t>T.G. Krause, P. Christens, J. Wohlfahrt, U. Lei, T. Westergaard, B. Nørgaard-Pedersen, M. Melbye, Second-trimester maternal serum alpha-fetoprotein and risk of adverse pregnancy outcome(1), Obstet. Gynecol. 97 (2001) 277–282.</w:t>
      </w:r>
    </w:p>
    <w:p w14:paraId="6699FD38"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[14]</w:t>
      </w:r>
      <w:r w:rsidRPr="008D76CD">
        <w:rPr>
          <w:rFonts w:ascii="Calibri" w:hAnsi="Calibri" w:cs="Calibri"/>
          <w:noProof/>
          <w:sz w:val="24"/>
          <w:szCs w:val="24"/>
        </w:rPr>
        <w:tab/>
        <w:t>C.A. Conover, L.K. Bale, M.T. Overgaard, E.W. Johnstone, U.H. Laursen, E.-M. Füchtbauer, C. Oxvig, J. van Deursen, Metalloproteinase pregnancy-associated plasma protein A is a critical growth regulatory factor during fetal development, Development. 131 (2004) 1187–1194. doi:10.1242/dev.00997.</w:t>
      </w:r>
    </w:p>
    <w:p w14:paraId="3C944CA6"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[15]</w:t>
      </w:r>
      <w:r w:rsidRPr="008D76CD">
        <w:rPr>
          <w:rFonts w:ascii="Calibri" w:hAnsi="Calibri" w:cs="Calibri"/>
          <w:noProof/>
          <w:sz w:val="24"/>
          <w:szCs w:val="24"/>
        </w:rPr>
        <w:tab/>
        <w:t>P. Brownbill, D. Edwards, C. Jones, D. Mahendran, D. Owen, C. Sibley, R. Johnson, P. Swanson, D.M. Nelson, Mechanisms of alphafetoprotein transfer in the perfused human placental cotyledon from uncomplicated pregnancy, J. Clin. Invest. 96 (1995) 2220–2226. doi:10.1172/JCI118277.</w:t>
      </w:r>
    </w:p>
    <w:p w14:paraId="204D4716"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[16]</w:t>
      </w:r>
      <w:r w:rsidRPr="008D76CD">
        <w:rPr>
          <w:rFonts w:ascii="Calibri" w:hAnsi="Calibri" w:cs="Calibri"/>
          <w:noProof/>
          <w:sz w:val="24"/>
          <w:szCs w:val="24"/>
        </w:rPr>
        <w:tab/>
        <w:t>F. Olajide, M.J. Kitau, T. Chard, Maternal serum AFP levels in the first trimester of pregnancy, Eur. J. Obstet. Gynecolow Reprod. Biol. 30 (1989) 123–128. https://www.ejog.org/article/0028-2243(89)90058-0/pdf (accessed June 13, 2018).</w:t>
      </w:r>
    </w:p>
    <w:p w14:paraId="4FACD51B"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[17]</w:t>
      </w:r>
      <w:r w:rsidRPr="008D76CD">
        <w:rPr>
          <w:rFonts w:ascii="Calibri" w:hAnsi="Calibri" w:cs="Calibri"/>
          <w:noProof/>
          <w:sz w:val="24"/>
          <w:szCs w:val="24"/>
        </w:rPr>
        <w:tab/>
        <w:t>K. Spencer, R. Bindra, K.H. Nicolaides, Maternal weight correction of maternal serum PAPP-A and free ?-hCG MoM when screening for trisomy 21 in the first trimester of pregnancy, Prenat. Diagn. 23 (2003) 851–855. doi:10.1002/pd.708.</w:t>
      </w:r>
    </w:p>
    <w:p w14:paraId="34785CE7"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[18]</w:t>
      </w:r>
      <w:r w:rsidRPr="008D76CD">
        <w:rPr>
          <w:rFonts w:ascii="Calibri" w:hAnsi="Calibri" w:cs="Calibri"/>
          <w:noProof/>
          <w:sz w:val="24"/>
          <w:szCs w:val="24"/>
        </w:rPr>
        <w:tab/>
        <w:t>T.M. Reynolds, G. Vranken, J. Van Nueten, Weight correction of MoM values: which method?, J. Clin. Pathol. 59 (2006) 753–8. doi:10.1136/jcp.2005.034280.</w:t>
      </w:r>
    </w:p>
    <w:p w14:paraId="0890D992"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[19]</w:t>
      </w:r>
      <w:r w:rsidRPr="008D76CD">
        <w:rPr>
          <w:rFonts w:ascii="Calibri" w:hAnsi="Calibri" w:cs="Calibri"/>
          <w:noProof/>
          <w:sz w:val="24"/>
          <w:szCs w:val="24"/>
        </w:rPr>
        <w:tab/>
        <w:t>H. Zeisler, E. Llurba, F. Chantraine, M. Vatish, A.C. Staff, M. Sennström, M. Olovsson, S.P. Brennecke, H. Stepan, D. Allegranza, P. Dilba, M. Schoedl, M. Hund, S. Verlohren, Predictive Value of the sFlt-1:PlGF Ratio in Women with Suspected Preeclampsia, N. Engl. J. Med. 374 (2016) 13–22. doi:10.1056/NEJMoa1414838.</w:t>
      </w:r>
    </w:p>
    <w:p w14:paraId="37F76CBD"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[20]</w:t>
      </w:r>
      <w:r w:rsidRPr="008D76CD">
        <w:rPr>
          <w:rFonts w:ascii="Calibri" w:hAnsi="Calibri" w:cs="Calibri"/>
          <w:noProof/>
          <w:sz w:val="24"/>
          <w:szCs w:val="24"/>
        </w:rPr>
        <w:tab/>
        <w:t>U. Sovio, F. Gaccioli, E. Cook, M. Hund, D.S. Charnock-Jones, G.C.S. Smith, Prediction of Preeclampsia Using the Soluble fms-Like Tyrosine Kinase 1 to Placental Growth Factor Ratio: A Prospective Cohort Study of Unselected Nulliparous Women., Hypertens. (Dallas, Tex.  1979). 69 (2017) 731–738. doi:10.1161/HYPERTENSIONAHA.116.08620.</w:t>
      </w:r>
    </w:p>
    <w:p w14:paraId="2A135911"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[21]</w:t>
      </w:r>
      <w:r w:rsidRPr="008D76CD">
        <w:rPr>
          <w:rFonts w:ascii="Calibri" w:hAnsi="Calibri" w:cs="Calibri"/>
          <w:noProof/>
          <w:sz w:val="24"/>
          <w:szCs w:val="24"/>
        </w:rPr>
        <w:tab/>
        <w:t>D. Pasupathy, A. Dacey, E. Cook, D.S. Charnock-Jones, I.R. White, G.C. Smith, Study protocol. A prospective cohort study of unselected primiparous women: the pregnancy outcome prediction study, BMC Pregnancy Childbirth. 8 (2008) 51. doi:10.1186/1471-2393-8-51.</w:t>
      </w:r>
    </w:p>
    <w:p w14:paraId="434CA2D0"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[22]</w:t>
      </w:r>
      <w:r w:rsidRPr="008D76CD">
        <w:rPr>
          <w:rFonts w:ascii="Calibri" w:hAnsi="Calibri" w:cs="Calibri"/>
          <w:noProof/>
          <w:sz w:val="24"/>
          <w:szCs w:val="24"/>
        </w:rPr>
        <w:tab/>
        <w:t>U. Sovio, I.R. White, A. Dacey, D. Pasupathy, G.C.S. Smith, Screening for fetal growth restriction with universal third trimester ultrasonography in nulliparous women in the Pregnancy Outcome Prediction (POP) study: a prospective cohort study, Lancet. 386 (2015) 2089–2097. doi:10.1016/S0140-6736(15)00131-2.</w:t>
      </w:r>
    </w:p>
    <w:p w14:paraId="6E0EE3E5"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[23]</w:t>
      </w:r>
      <w:r w:rsidRPr="008D76CD">
        <w:rPr>
          <w:rFonts w:ascii="Calibri" w:hAnsi="Calibri" w:cs="Calibri"/>
          <w:noProof/>
          <w:sz w:val="24"/>
          <w:szCs w:val="24"/>
        </w:rPr>
        <w:tab/>
      </w:r>
      <w:r w:rsidRPr="00086FE4">
        <w:rPr>
          <w:rFonts w:ascii="Calibri" w:hAnsi="Calibri" w:cs="Calibri"/>
          <w:sz w:val="24"/>
        </w:rPr>
        <w:t>M. Noble, D. Mclennan, K. Wilkinson, A. Whitworth, S. Exley, H. Barnes, C. Dibben, The English Indices of</w:t>
      </w:r>
      <w:r>
        <w:rPr>
          <w:rFonts w:ascii="Calibri" w:hAnsi="Calibri" w:cs="Calibri"/>
          <w:sz w:val="24"/>
        </w:rPr>
        <w:t xml:space="preserve"> Deprivation 2007, Department for Communities and Local Government, London, 2008</w:t>
      </w:r>
      <w:r w:rsidRPr="00086FE4">
        <w:rPr>
          <w:rFonts w:ascii="Calibri" w:hAnsi="Calibri" w:cs="Calibri"/>
          <w:sz w:val="24"/>
        </w:rPr>
        <w:t>.</w:t>
      </w:r>
    </w:p>
    <w:p w14:paraId="4C49BC54"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[24]</w:t>
      </w:r>
      <w:r w:rsidRPr="008D76CD">
        <w:rPr>
          <w:rFonts w:ascii="Calibri" w:hAnsi="Calibri" w:cs="Calibri"/>
          <w:noProof/>
          <w:sz w:val="24"/>
          <w:szCs w:val="24"/>
        </w:rPr>
        <w:tab/>
      </w:r>
      <w:r w:rsidRPr="00086FE4">
        <w:rPr>
          <w:rFonts w:ascii="Calibri" w:hAnsi="Calibri" w:cs="Calibri"/>
          <w:sz w:val="24"/>
        </w:rPr>
        <w:t>Antenatal care for unc</w:t>
      </w:r>
      <w:r>
        <w:rPr>
          <w:rFonts w:ascii="Calibri" w:hAnsi="Calibri" w:cs="Calibri"/>
          <w:sz w:val="24"/>
        </w:rPr>
        <w:t>omplicated pregnancies, NICE guidelines [CG602], 2008</w:t>
      </w:r>
      <w:r w:rsidRPr="008D76CD">
        <w:rPr>
          <w:rFonts w:ascii="Calibri" w:hAnsi="Calibri" w:cs="Calibri"/>
          <w:noProof/>
          <w:sz w:val="24"/>
          <w:szCs w:val="24"/>
        </w:rPr>
        <w:t>.</w:t>
      </w:r>
    </w:p>
    <w:p w14:paraId="43CAD156"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[25]</w:t>
      </w:r>
      <w:r w:rsidRPr="008D76CD">
        <w:rPr>
          <w:rFonts w:ascii="Calibri" w:hAnsi="Calibri" w:cs="Calibri"/>
          <w:noProof/>
          <w:sz w:val="24"/>
          <w:szCs w:val="24"/>
        </w:rPr>
        <w:tab/>
        <w:t>J. V Freeman, T.J. Cole, S. Chinn, P.R. Jones, E.M. White, M.A. Preece, Cross sectional stature and weight reference curves for the UK, 1990., Arch. Dis. Child. 73 (1995) 17–24. http://www.ncbi.nlm.nih.gov/pubmed/7639543 (accessed June 14, 2018).</w:t>
      </w:r>
    </w:p>
    <w:p w14:paraId="56CD9C85"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[26]</w:t>
      </w:r>
      <w:r w:rsidRPr="008D76CD">
        <w:rPr>
          <w:rFonts w:ascii="Calibri" w:hAnsi="Calibri" w:cs="Calibri"/>
          <w:noProof/>
          <w:sz w:val="24"/>
          <w:szCs w:val="24"/>
        </w:rPr>
        <w:tab/>
        <w:t>American College of Obstetricians and Gynecologists, Task Force on Hypertension in Pregnancy, Hypertension in Pregnancy, Obstet. Gynecol. 122 (2013) 1122–1131. doi:10.1097/01.AOG.0000437382.03963.88.</w:t>
      </w:r>
    </w:p>
    <w:p w14:paraId="28FA70B6"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[27]</w:t>
      </w:r>
      <w:r w:rsidRPr="008D76CD">
        <w:rPr>
          <w:rFonts w:ascii="Calibri" w:hAnsi="Calibri" w:cs="Calibri"/>
          <w:noProof/>
          <w:sz w:val="24"/>
          <w:szCs w:val="24"/>
        </w:rPr>
        <w:tab/>
        <w:t>F. Gaccioli, S. Lager, U. Sovio, D.S. Charnock-Jones, G.C.S. Smith, The pregnancy outcome prediction (POP) study: Investigating the relationship between serial prenatal ultrasonography, biomarkers, placental phenotype and adverse pregnancy outcomes, Placenta. 59 (2017) S17–S25. doi:10.1016/J.PLACENTA.2016.10.011.</w:t>
      </w:r>
    </w:p>
    <w:p w14:paraId="2AC2BA27"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[28]</w:t>
      </w:r>
      <w:r w:rsidRPr="008D76CD">
        <w:rPr>
          <w:rFonts w:ascii="Calibri" w:hAnsi="Calibri" w:cs="Calibri"/>
          <w:noProof/>
          <w:sz w:val="24"/>
          <w:szCs w:val="24"/>
        </w:rPr>
        <w:tab/>
        <w:t>E.R. DeLong, D.M. DeLong, D.L. Clarke-Pearson, Comparing the areas under two or more correlated receiver operating characteristic curves: a nonparametric approach., Biometrics. 44 (1988) 837–45. http://www.ncbi.nlm.nih.gov/pubmed/3203132 (accessed June 14, 2018).</w:t>
      </w:r>
    </w:p>
    <w:p w14:paraId="0B6C4150"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[29]</w:t>
      </w:r>
      <w:r w:rsidRPr="008D76CD">
        <w:rPr>
          <w:rFonts w:ascii="Calibri" w:hAnsi="Calibri" w:cs="Calibri"/>
          <w:noProof/>
          <w:sz w:val="24"/>
          <w:szCs w:val="24"/>
        </w:rPr>
        <w:tab/>
        <w:t>P.M. Bossuyt, J.B. Reitsma, D.E. Bruns, C.A. Gatsonis, P.P. Glasziou, L. Irwig, J.G. Lijmer, D. Moher, D. Rennie, H.C.W. de Vet, H.Y. Kressel, N. Rifai, R.M. Golub, D.G. Altman, L. Hooft, D.A. Korevaar, J.F. Cohen, STARD 2015: an updated list of essential items for reporting diagnostic accuracy studies, BMJ. 351 (2015) h5527.</w:t>
      </w:r>
    </w:p>
    <w:p w14:paraId="5312570E"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[30]</w:t>
      </w:r>
      <w:r w:rsidRPr="008D76CD">
        <w:rPr>
          <w:rFonts w:ascii="Calibri" w:hAnsi="Calibri" w:cs="Calibri"/>
          <w:noProof/>
          <w:sz w:val="24"/>
          <w:szCs w:val="24"/>
        </w:rPr>
        <w:tab/>
        <w:t>M.S. Pepe, K.F. Kerr, G. Longton, Z. Wang, Testing for improvement in prediction model performance, Stat. Med. 32 (2013) 1467–1482. doi:10.1002/sim.5727.</w:t>
      </w:r>
    </w:p>
    <w:p w14:paraId="01A28862"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[31]</w:t>
      </w:r>
      <w:r w:rsidRPr="008D76CD">
        <w:rPr>
          <w:rFonts w:ascii="Calibri" w:hAnsi="Calibri" w:cs="Calibri"/>
          <w:noProof/>
          <w:sz w:val="24"/>
          <w:szCs w:val="24"/>
        </w:rPr>
        <w:tab/>
        <w:t>R.K. Morris, J.S. Cnossen, M. Langejans, S.C. Robson, J. Kleijnen, G. ter Riet, B.W. Mol, J.A. van der Post, K.S. Khan, Serum screening with Down’s syndrome markers to predict pre-eclampsia and small for gestational age: Systematic review and meta-analysis, BMC Pregnancy Childbirth. 8 (2008) 33. doi:10.1186/1471-2393-8-33.</w:t>
      </w:r>
    </w:p>
    <w:p w14:paraId="5356D857"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[32]</w:t>
      </w:r>
      <w:r w:rsidRPr="008D76CD">
        <w:rPr>
          <w:rFonts w:ascii="Calibri" w:hAnsi="Calibri" w:cs="Calibri"/>
          <w:noProof/>
          <w:sz w:val="24"/>
          <w:szCs w:val="24"/>
        </w:rPr>
        <w:tab/>
        <w:t>J.P. Bestwick, W.J. Huttly, N.J. Wald, Allowing for ethnic group in antenatal screening for Down’s syndrome, J. Med. Screen. 20 (2013). doi:10.1177/0969141313486893.</w:t>
      </w:r>
    </w:p>
    <w:p w14:paraId="45B6590C"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[33]</w:t>
      </w:r>
      <w:r w:rsidRPr="008D76CD">
        <w:rPr>
          <w:rFonts w:ascii="Calibri" w:hAnsi="Calibri" w:cs="Calibri"/>
          <w:noProof/>
          <w:sz w:val="24"/>
          <w:szCs w:val="24"/>
        </w:rPr>
        <w:tab/>
        <w:t>K. Spencer, The influence of smoking on maternal serum PAPP-A and free beta hCG levels in the first trimester of pregnancy., Prenat. Diagn. 19 (1999) 1065–6. http://www.ncbi.nlm.nih.gov/pubmed/10589062 (accessed January 3, 2019).</w:t>
      </w:r>
    </w:p>
    <w:p w14:paraId="7F8305AF"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[34]</w:t>
      </w:r>
      <w:r w:rsidRPr="008D76CD">
        <w:rPr>
          <w:rFonts w:ascii="Calibri" w:hAnsi="Calibri" w:cs="Calibri"/>
          <w:noProof/>
          <w:sz w:val="24"/>
          <w:szCs w:val="24"/>
        </w:rPr>
        <w:tab/>
        <w:t>J.A. Crossley, D.A. Aitken, S.M.L. Waugh, T. Kelly, J.M. Connor, Maternal smoking: age distribution, levels of alpha-fetoprotein and human chorionic gonadotrophin, and effect on detection of Down syndrome pregnancies in second-trimester screening., Prenat. Diagn. 22 (2002) 247–55. http://www.ncbi.nlm.nih.gov/pubmed/11920904 (accessed January 3, 2019).</w:t>
      </w:r>
    </w:p>
    <w:p w14:paraId="607E1318"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[35]</w:t>
      </w:r>
      <w:r w:rsidRPr="008D76CD">
        <w:rPr>
          <w:rFonts w:ascii="Calibri" w:hAnsi="Calibri" w:cs="Calibri"/>
          <w:noProof/>
          <w:sz w:val="24"/>
          <w:szCs w:val="24"/>
        </w:rPr>
        <w:tab/>
        <w:t>A.W. Liao, V. Heath, N. Kametas, K. Spencer, K.H. Nicolaides, First-trimester screening for trisomy 21 in singleton pregnancies achieved by assisted reproduction, Hum. Reprod. 16 (2001) 1501–1504. doi:10.1093/humrep/16.7.1501.</w:t>
      </w:r>
    </w:p>
    <w:p w14:paraId="5FAF57C2"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[36]</w:t>
      </w:r>
      <w:r w:rsidRPr="008D76CD">
        <w:rPr>
          <w:rFonts w:ascii="Calibri" w:hAnsi="Calibri" w:cs="Calibri"/>
          <w:noProof/>
          <w:sz w:val="24"/>
          <w:szCs w:val="24"/>
        </w:rPr>
        <w:tab/>
        <w:t>P.W. Hui, M.H.Y. Tang, Y.H. Lam, E.H.Y. Ng, W.S.B. Yeung, P.C. Ho, Maternal serum hCG and alpha-fetoprotein levels in pregnancies conceived after IVF or ICSI with fresh and frozen-thawed embryos, Hum. Reprod. 18 (2003) 572–575. doi:10.1093/humrep/deg153.</w:t>
      </w:r>
    </w:p>
    <w:p w14:paraId="64C697B9"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[37]</w:t>
      </w:r>
      <w:r w:rsidRPr="008D76CD">
        <w:rPr>
          <w:rFonts w:ascii="Calibri" w:hAnsi="Calibri" w:cs="Calibri"/>
          <w:noProof/>
          <w:sz w:val="24"/>
          <w:szCs w:val="24"/>
        </w:rPr>
        <w:tab/>
        <w:t>G.C.S. Smith, J.A. Crossley, D.A. Aitken, J.P. Pell, A.D. Cameron, J.M. Connor, R. Dobbie, First-Trimester Placentation and the Risk of Antepartum Stillbirth, JAMA. 292 (2004) 2249. doi:10.1001/jama.292.18.2249.</w:t>
      </w:r>
    </w:p>
    <w:p w14:paraId="31B783C7"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[38]</w:t>
      </w:r>
      <w:r w:rsidRPr="008D76CD">
        <w:rPr>
          <w:rFonts w:ascii="Calibri" w:hAnsi="Calibri" w:cs="Calibri"/>
          <w:noProof/>
          <w:sz w:val="24"/>
          <w:szCs w:val="24"/>
        </w:rPr>
        <w:tab/>
        <w:t>R.K. Morris, A. Bilagi, P. Devani, M.D. Kilby, Association of serum PAPP-A levels in first trimester with small for gestational age and adverse pregnancy outcomes: systematic review and meta-analysis, Prenat. Diagn. 37 (2017) 253–265. doi:10.1002/pd.5001.</w:t>
      </w:r>
    </w:p>
    <w:p w14:paraId="68472E86"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[39]</w:t>
      </w:r>
      <w:r w:rsidRPr="008D76CD">
        <w:rPr>
          <w:rFonts w:ascii="Calibri" w:hAnsi="Calibri" w:cs="Calibri"/>
          <w:noProof/>
          <w:sz w:val="24"/>
          <w:szCs w:val="24"/>
        </w:rPr>
        <w:tab/>
      </w:r>
      <w:r w:rsidRPr="000A6382">
        <w:rPr>
          <w:rFonts w:ascii="Calibri" w:hAnsi="Calibri" w:cs="Calibri"/>
          <w:noProof/>
          <w:sz w:val="24"/>
          <w:szCs w:val="24"/>
        </w:rPr>
        <w:t>Investigation and Management of the Small-for-Gestational-Age Fetus, Royal College of Obstetricians and Gynaecologists, Guideline No. 31, 2002.</w:t>
      </w:r>
    </w:p>
    <w:p w14:paraId="0DD0C497"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[40]</w:t>
      </w:r>
      <w:r w:rsidRPr="008D76CD">
        <w:rPr>
          <w:rFonts w:ascii="Calibri" w:hAnsi="Calibri" w:cs="Calibri"/>
          <w:noProof/>
          <w:sz w:val="24"/>
          <w:szCs w:val="24"/>
        </w:rPr>
        <w:tab/>
        <w:t>J. Marttala, S. Peuhkurinen, P. Laitinen, M. Gissler, P. Nieminen, M. Ryynanen, Low maternal PAPP-A is associated with small-for-gestational age newborns and stillbirths, Acta Obstet. Gynecol. Scand. 89 (2010) 1226–1228. doi:10.3109/00016349.2010.493195.</w:t>
      </w:r>
    </w:p>
    <w:p w14:paraId="1D129CA4"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[41]</w:t>
      </w:r>
      <w:r w:rsidRPr="008D76CD">
        <w:rPr>
          <w:rFonts w:ascii="Calibri" w:hAnsi="Calibri" w:cs="Calibri"/>
          <w:noProof/>
          <w:sz w:val="24"/>
          <w:szCs w:val="24"/>
        </w:rPr>
        <w:tab/>
        <w:t>D.L. Rolnik, D. Wright, L.C. Poon, N. O’Gorman, A. Syngelaki, C. de Paco Matallana, R. Akolekar, S. Cicero, D. Janga, M. Singh, F.S. Molina, N. Persico, J.C. Jani, W. Plasencia, G. Papaioannou, K. Tenenbaum-Gavish, H. Meiri, S. Gizurarson, K. Maclagan, K.H. Nicolaides, Aspirin versus Placebo in Pregnancies at High Risk for Preterm Preeclampsia, N. Engl. J. Med. 377 (2017) 613–622. doi:10.1056/NEJMoa1704559.</w:t>
      </w:r>
    </w:p>
    <w:p w14:paraId="6E0FF380"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[42]</w:t>
      </w:r>
      <w:r w:rsidRPr="008D76CD">
        <w:rPr>
          <w:rFonts w:ascii="Calibri" w:hAnsi="Calibri" w:cs="Calibri"/>
          <w:noProof/>
          <w:sz w:val="24"/>
          <w:szCs w:val="24"/>
        </w:rPr>
        <w:tab/>
        <w:t>F. Gaccioli, U. Sovio, E. Cook, M. Hund, D.S. Charnock-Jones, G.C.S. Smith, Screening for fetal growth restriction using ultrasound and the sFLT1/PlGF ratio in nulliparous women: a prospective cohort study, Lancet Child Adolesc. Heal. 2 (2018) 569–581. doi:10.1016/S2352-4642(18)30129-9.</w:t>
      </w:r>
    </w:p>
    <w:p w14:paraId="74FD70FB"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[43]</w:t>
      </w:r>
      <w:r w:rsidRPr="008D76CD">
        <w:rPr>
          <w:rFonts w:ascii="Calibri" w:hAnsi="Calibri" w:cs="Calibri"/>
          <w:noProof/>
          <w:sz w:val="24"/>
          <w:szCs w:val="24"/>
        </w:rPr>
        <w:tab/>
        <w:t>C.E. Kleinrouweler, F.M. Cheong-See, G.S. Collins, A. Kwee, S. Thangaratinam, K.S. Khan, B.W.J. Mol, E. Pajkrt, K.G.M. Moons, E. Schuit, Prognostic models in obstetrics: available, but far from applicable, Am. J. Obstet. Gynecol. 214 (2016) 79–90.e36. doi:10.1016/j.ajog.2015.06.013.</w:t>
      </w:r>
    </w:p>
    <w:p w14:paraId="39E43436"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szCs w:val="24"/>
        </w:rPr>
      </w:pPr>
      <w:r w:rsidRPr="008D76CD">
        <w:rPr>
          <w:rFonts w:ascii="Calibri" w:hAnsi="Calibri" w:cs="Calibri"/>
          <w:noProof/>
          <w:sz w:val="24"/>
          <w:szCs w:val="24"/>
        </w:rPr>
        <w:t>[44]</w:t>
      </w:r>
      <w:r w:rsidRPr="008D76CD">
        <w:rPr>
          <w:rFonts w:ascii="Calibri" w:hAnsi="Calibri" w:cs="Calibri"/>
          <w:noProof/>
          <w:sz w:val="24"/>
          <w:szCs w:val="24"/>
        </w:rPr>
        <w:tab/>
        <w:t>R.D. Riley, K.I.E. Snell, J. Ensor, D.L. Burke, F.E. Harrell, K.G.M. Moons, G.S. Collins, Minimum sample size for developing a multivariable prediction model: Part I - Continuous outcomes, Stat. Med. 38 (2019) 1262–1275. doi:10.1002/sim.7993.</w:t>
      </w:r>
    </w:p>
    <w:p w14:paraId="02B3CC2B" w14:textId="77777777" w:rsidR="00EE23EA" w:rsidRPr="008D76CD" w:rsidRDefault="00EE23EA" w:rsidP="00EE23EA">
      <w:pPr>
        <w:widowControl w:val="0"/>
        <w:autoSpaceDE w:val="0"/>
        <w:autoSpaceDN w:val="0"/>
        <w:adjustRightInd w:val="0"/>
        <w:spacing w:line="480" w:lineRule="auto"/>
        <w:ind w:left="640" w:hanging="640"/>
        <w:rPr>
          <w:rFonts w:ascii="Calibri" w:hAnsi="Calibri" w:cs="Calibri"/>
          <w:noProof/>
          <w:sz w:val="24"/>
        </w:rPr>
      </w:pPr>
      <w:r w:rsidRPr="008D76CD">
        <w:rPr>
          <w:rFonts w:ascii="Calibri" w:hAnsi="Calibri" w:cs="Calibri"/>
          <w:noProof/>
          <w:sz w:val="24"/>
          <w:szCs w:val="24"/>
        </w:rPr>
        <w:t>[45]</w:t>
      </w:r>
      <w:r w:rsidRPr="008D76CD">
        <w:rPr>
          <w:rFonts w:ascii="Calibri" w:hAnsi="Calibri" w:cs="Calibri"/>
          <w:noProof/>
          <w:sz w:val="24"/>
          <w:szCs w:val="24"/>
        </w:rPr>
        <w:tab/>
        <w:t>R.D. Riley, K.I. Snell, J. Ensor, D.L. Burke, F.E. Harrell Jr, K.G. Moons, G.S. Collins, Minimum sample size for developing a multivariable prediction model: PART II - binary and time-to-event outcomes, Stat. Med. 38 (2019) 1276–1296. doi:10.1002/sim.7992.</w:t>
      </w:r>
    </w:p>
    <w:p w14:paraId="14D27C6D" w14:textId="040FFF2A" w:rsidR="00EE23EA" w:rsidRDefault="00EE23EA" w:rsidP="001429E1">
      <w:pPr>
        <w:spacing w:line="480" w:lineRule="auto"/>
        <w:jc w:val="both"/>
        <w:rPr>
          <w:sz w:val="24"/>
          <w:szCs w:val="24"/>
          <w:lang w:val="en-US"/>
        </w:rPr>
      </w:pPr>
      <w:r>
        <w:rPr>
          <w:sz w:val="24"/>
          <w:szCs w:val="24"/>
          <w:lang w:val="en-US"/>
        </w:rPr>
        <w:fldChar w:fldCharType="end"/>
      </w:r>
      <w:bookmarkEnd w:id="1"/>
    </w:p>
    <w:p w14:paraId="13D4E66C" w14:textId="77777777" w:rsidR="00EE23EA" w:rsidRDefault="00EE23EA">
      <w:pPr>
        <w:rPr>
          <w:sz w:val="24"/>
          <w:szCs w:val="24"/>
          <w:lang w:val="en-US"/>
        </w:rPr>
      </w:pPr>
      <w:r>
        <w:rPr>
          <w:sz w:val="24"/>
          <w:szCs w:val="24"/>
          <w:lang w:val="en-US"/>
        </w:rPr>
        <w:br w:type="page"/>
      </w:r>
    </w:p>
    <w:p w14:paraId="6136E4BE" w14:textId="77777777" w:rsidR="001429E1" w:rsidRDefault="001429E1" w:rsidP="001429E1">
      <w:pPr>
        <w:spacing w:line="480" w:lineRule="auto"/>
        <w:jc w:val="both"/>
        <w:rPr>
          <w:sz w:val="24"/>
          <w:szCs w:val="24"/>
          <w:lang w:val="en-US"/>
        </w:rPr>
        <w:sectPr w:rsidR="001429E1" w:rsidSect="00ED15CE">
          <w:footerReference w:type="default" r:id="rId14"/>
          <w:pgSz w:w="11906" w:h="16838"/>
          <w:pgMar w:top="1440" w:right="1440" w:bottom="1440" w:left="1440" w:header="708" w:footer="708" w:gutter="0"/>
          <w:lnNumType w:countBy="1" w:restart="continuous"/>
          <w:cols w:space="708"/>
          <w:docGrid w:linePitch="360"/>
        </w:sectPr>
      </w:pPr>
    </w:p>
    <w:p w14:paraId="58254510" w14:textId="77777777" w:rsidR="001429E1" w:rsidRDefault="001429E1" w:rsidP="001429E1">
      <w:pPr>
        <w:spacing w:line="480" w:lineRule="auto"/>
        <w:jc w:val="both"/>
        <w:outlineLvl w:val="0"/>
        <w:rPr>
          <w:b/>
          <w:sz w:val="24"/>
          <w:szCs w:val="24"/>
          <w:lang w:val="en-US"/>
        </w:rPr>
      </w:pPr>
      <w:r w:rsidRPr="00DC4C81">
        <w:rPr>
          <w:b/>
          <w:sz w:val="24"/>
          <w:szCs w:val="24"/>
          <w:lang w:val="en-US"/>
        </w:rPr>
        <w:t xml:space="preserve">Figure </w:t>
      </w:r>
      <w:r>
        <w:rPr>
          <w:b/>
          <w:sz w:val="24"/>
          <w:szCs w:val="24"/>
          <w:lang w:val="en-US"/>
        </w:rPr>
        <w:t>legends</w:t>
      </w:r>
    </w:p>
    <w:p w14:paraId="6A0F67E0" w14:textId="40D7E971" w:rsidR="001429E1" w:rsidRDefault="001429E1" w:rsidP="001429E1">
      <w:pPr>
        <w:spacing w:line="480" w:lineRule="auto"/>
        <w:jc w:val="center"/>
        <w:outlineLvl w:val="0"/>
        <w:rPr>
          <w:b/>
          <w:sz w:val="24"/>
          <w:szCs w:val="24"/>
          <w:lang w:val="en-US"/>
        </w:rPr>
      </w:pPr>
      <w:r>
        <w:rPr>
          <w:noProof/>
          <w:lang w:eastAsia="en-GB"/>
        </w:rPr>
        <w:drawing>
          <wp:inline distT="0" distB="0" distL="0" distR="0" wp14:anchorId="29A381BB" wp14:editId="1FA46FF1">
            <wp:extent cx="5379701" cy="54959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380865" cy="5497114"/>
                    </a:xfrm>
                    <a:prstGeom prst="rect">
                      <a:avLst/>
                    </a:prstGeom>
                    <a:noFill/>
                    <a:ln>
                      <a:noFill/>
                    </a:ln>
                  </pic:spPr>
                </pic:pic>
              </a:graphicData>
            </a:graphic>
          </wp:inline>
        </w:drawing>
      </w:r>
    </w:p>
    <w:p w14:paraId="61499D0F" w14:textId="28D76376" w:rsidR="001429E1" w:rsidRDefault="001429E1" w:rsidP="001429E1">
      <w:pPr>
        <w:spacing w:line="480" w:lineRule="auto"/>
        <w:jc w:val="both"/>
        <w:outlineLvl w:val="0"/>
        <w:rPr>
          <w:sz w:val="24"/>
          <w:szCs w:val="24"/>
          <w:lang w:val="en-US"/>
        </w:rPr>
      </w:pPr>
      <w:r w:rsidRPr="00D92729">
        <w:rPr>
          <w:b/>
          <w:sz w:val="24"/>
          <w:szCs w:val="24"/>
          <w:lang w:val="en-US"/>
        </w:rPr>
        <w:t xml:space="preserve">Figure 1. </w:t>
      </w:r>
      <w:r w:rsidRPr="00D92729">
        <w:rPr>
          <w:sz w:val="24"/>
          <w:szCs w:val="24"/>
          <w:lang w:val="en-US"/>
        </w:rPr>
        <w:t>Risk ratios with 95% CIs for adverse outcomes according to an uncorrected AFP:PAPP-A ratio &gt;10 (A), top decile AFP MoM (B), bottom decile PAPP-A MoM (C) and top 10% of predicted risk for a model combining AFP MoM and PAPP-A MoM (D). All measurements were performed at approximately 12 wkGA. CI, confidence interval; iPTB, iatrogenic preterm birth; FGR, fetal growth restriction; MoM, multiples of the median; PE, preeclampsia; SGA, small for gestational age; sPTB, spontaneous preterm birth; wkGA, weeks of gestational age.</w:t>
      </w:r>
    </w:p>
    <w:p w14:paraId="1AE8017D" w14:textId="5593A19B" w:rsidR="001429E1" w:rsidRPr="00536A5D" w:rsidRDefault="001429E1" w:rsidP="001429E1">
      <w:pPr>
        <w:spacing w:line="480" w:lineRule="auto"/>
        <w:jc w:val="both"/>
        <w:rPr>
          <w:b/>
          <w:sz w:val="24"/>
          <w:szCs w:val="24"/>
        </w:rPr>
      </w:pPr>
      <w:bookmarkStart w:id="3" w:name="_Hlk5461282"/>
      <w:r w:rsidRPr="00536A5D">
        <w:rPr>
          <w:b/>
          <w:sz w:val="24"/>
          <w:szCs w:val="24"/>
        </w:rPr>
        <w:t xml:space="preserve">Table </w:t>
      </w:r>
      <w:r>
        <w:rPr>
          <w:b/>
          <w:sz w:val="24"/>
          <w:szCs w:val="24"/>
        </w:rPr>
        <w:t>1</w:t>
      </w:r>
      <w:r w:rsidRPr="00536A5D">
        <w:rPr>
          <w:b/>
          <w:sz w:val="24"/>
          <w:szCs w:val="24"/>
        </w:rPr>
        <w:t>. Characteristics of the study participants (n</w:t>
      </w:r>
      <w:r>
        <w:rPr>
          <w:b/>
          <w:sz w:val="24"/>
          <w:szCs w:val="24"/>
        </w:rPr>
        <w:t>=4</w:t>
      </w:r>
      <w:r w:rsidRPr="00536A5D">
        <w:rPr>
          <w:b/>
          <w:sz w:val="24"/>
          <w:szCs w:val="24"/>
        </w:rPr>
        <w:t>057) according to presence or absence of adverse pregnancy outcome.</w:t>
      </w:r>
    </w:p>
    <w:tbl>
      <w:tblPr>
        <w:tblW w:w="0" w:type="auto"/>
        <w:tblCellMar>
          <w:top w:w="57" w:type="dxa"/>
          <w:bottom w:w="57" w:type="dxa"/>
        </w:tblCellMar>
        <w:tblLook w:val="04A0" w:firstRow="1" w:lastRow="0" w:firstColumn="1" w:lastColumn="0" w:noHBand="0" w:noVBand="1"/>
      </w:tblPr>
      <w:tblGrid>
        <w:gridCol w:w="4008"/>
        <w:gridCol w:w="2450"/>
        <w:gridCol w:w="2568"/>
      </w:tblGrid>
      <w:tr w:rsidR="001429E1" w14:paraId="0584407E" w14:textId="77777777" w:rsidTr="001D7B5C">
        <w:tc>
          <w:tcPr>
            <w:tcW w:w="0" w:type="auto"/>
            <w:tcBorders>
              <w:top w:val="single" w:sz="12" w:space="0" w:color="auto"/>
              <w:left w:val="nil"/>
              <w:bottom w:val="single" w:sz="12" w:space="0" w:color="auto"/>
              <w:right w:val="nil"/>
            </w:tcBorders>
            <w:hideMark/>
          </w:tcPr>
          <w:p w14:paraId="518DD840" w14:textId="77777777" w:rsidR="001429E1" w:rsidRDefault="001429E1" w:rsidP="001D7B5C">
            <w:pPr>
              <w:spacing w:after="0" w:line="240" w:lineRule="auto"/>
              <w:rPr>
                <w:b/>
              </w:rPr>
            </w:pPr>
            <w:r>
              <w:rPr>
                <w:b/>
              </w:rPr>
              <w:t>Characteristic</w:t>
            </w:r>
            <w:r>
              <w:rPr>
                <w:b/>
                <w:vertAlign w:val="superscript"/>
              </w:rPr>
              <w:t>a</w:t>
            </w:r>
          </w:p>
        </w:tc>
        <w:tc>
          <w:tcPr>
            <w:tcW w:w="0" w:type="auto"/>
            <w:tcBorders>
              <w:top w:val="single" w:sz="12" w:space="0" w:color="auto"/>
              <w:left w:val="nil"/>
              <w:bottom w:val="single" w:sz="12" w:space="0" w:color="auto"/>
              <w:right w:val="nil"/>
            </w:tcBorders>
            <w:hideMark/>
          </w:tcPr>
          <w:p w14:paraId="49ADDFCC" w14:textId="77777777" w:rsidR="001429E1" w:rsidRDefault="001429E1" w:rsidP="001D7B5C">
            <w:pPr>
              <w:spacing w:after="0" w:line="240" w:lineRule="auto"/>
              <w:jc w:val="center"/>
              <w:rPr>
                <w:b/>
              </w:rPr>
            </w:pPr>
            <w:r>
              <w:rPr>
                <w:b/>
              </w:rPr>
              <w:t>Absence of adverse outcome</w:t>
            </w:r>
          </w:p>
        </w:tc>
        <w:tc>
          <w:tcPr>
            <w:tcW w:w="0" w:type="auto"/>
            <w:tcBorders>
              <w:top w:val="single" w:sz="12" w:space="0" w:color="auto"/>
              <w:left w:val="nil"/>
              <w:bottom w:val="single" w:sz="12" w:space="0" w:color="auto"/>
              <w:right w:val="nil"/>
            </w:tcBorders>
            <w:hideMark/>
          </w:tcPr>
          <w:p w14:paraId="2E6F7911" w14:textId="77777777" w:rsidR="001429E1" w:rsidRDefault="001429E1" w:rsidP="001D7B5C">
            <w:pPr>
              <w:spacing w:after="0" w:line="240" w:lineRule="auto"/>
              <w:jc w:val="center"/>
              <w:rPr>
                <w:b/>
                <w:vertAlign w:val="superscript"/>
              </w:rPr>
            </w:pPr>
            <w:r>
              <w:rPr>
                <w:b/>
              </w:rPr>
              <w:t>Presence of adverse outcome</w:t>
            </w:r>
            <w:r>
              <w:rPr>
                <w:b/>
                <w:vertAlign w:val="superscript"/>
              </w:rPr>
              <w:t>b</w:t>
            </w:r>
          </w:p>
        </w:tc>
      </w:tr>
      <w:tr w:rsidR="001429E1" w14:paraId="7A176856" w14:textId="77777777" w:rsidTr="001D7B5C">
        <w:tc>
          <w:tcPr>
            <w:tcW w:w="0" w:type="auto"/>
            <w:tcBorders>
              <w:top w:val="single" w:sz="12" w:space="0" w:color="auto"/>
              <w:left w:val="nil"/>
              <w:bottom w:val="single" w:sz="2" w:space="0" w:color="D0CECE" w:themeColor="background2" w:themeShade="E6"/>
              <w:right w:val="nil"/>
            </w:tcBorders>
            <w:hideMark/>
          </w:tcPr>
          <w:p w14:paraId="3DAAE7E8" w14:textId="77777777" w:rsidR="001429E1" w:rsidRDefault="001429E1" w:rsidP="001D7B5C">
            <w:pPr>
              <w:spacing w:after="0" w:line="240" w:lineRule="auto"/>
            </w:pPr>
            <w:r>
              <w:t>n (%)</w:t>
            </w:r>
          </w:p>
        </w:tc>
        <w:tc>
          <w:tcPr>
            <w:tcW w:w="0" w:type="auto"/>
            <w:tcBorders>
              <w:top w:val="single" w:sz="12" w:space="0" w:color="auto"/>
              <w:left w:val="nil"/>
              <w:bottom w:val="single" w:sz="2" w:space="0" w:color="D0CECE" w:themeColor="background2" w:themeShade="E6"/>
              <w:right w:val="nil"/>
            </w:tcBorders>
            <w:hideMark/>
          </w:tcPr>
          <w:p w14:paraId="608F89B8" w14:textId="77777777" w:rsidR="001429E1" w:rsidRDefault="001429E1" w:rsidP="001D7B5C">
            <w:pPr>
              <w:spacing w:after="0" w:line="240" w:lineRule="auto"/>
              <w:jc w:val="center"/>
            </w:pPr>
            <w:r>
              <w:t>3641 (89.8%)</w:t>
            </w:r>
          </w:p>
        </w:tc>
        <w:tc>
          <w:tcPr>
            <w:tcW w:w="0" w:type="auto"/>
            <w:tcBorders>
              <w:top w:val="single" w:sz="12" w:space="0" w:color="auto"/>
              <w:left w:val="nil"/>
              <w:bottom w:val="single" w:sz="2" w:space="0" w:color="D0CECE" w:themeColor="background2" w:themeShade="E6"/>
              <w:right w:val="nil"/>
            </w:tcBorders>
            <w:hideMark/>
          </w:tcPr>
          <w:p w14:paraId="7DA33AE5" w14:textId="77777777" w:rsidR="001429E1" w:rsidRDefault="001429E1" w:rsidP="001D7B5C">
            <w:pPr>
              <w:spacing w:after="0" w:line="240" w:lineRule="auto"/>
              <w:jc w:val="center"/>
            </w:pPr>
            <w:r>
              <w:t>416 (10.3%)</w:t>
            </w:r>
          </w:p>
        </w:tc>
      </w:tr>
      <w:tr w:rsidR="001429E1" w14:paraId="061854E8" w14:textId="77777777" w:rsidTr="001D7B5C">
        <w:tc>
          <w:tcPr>
            <w:tcW w:w="0" w:type="auto"/>
            <w:gridSpan w:val="3"/>
            <w:tcBorders>
              <w:top w:val="single" w:sz="2" w:space="0" w:color="D0CECE" w:themeColor="background2" w:themeShade="E6"/>
              <w:left w:val="nil"/>
              <w:bottom w:val="single" w:sz="2" w:space="0" w:color="D0CECE" w:themeColor="background2" w:themeShade="E6"/>
              <w:right w:val="nil"/>
            </w:tcBorders>
            <w:hideMark/>
          </w:tcPr>
          <w:p w14:paraId="6F0AA2E6" w14:textId="77777777" w:rsidR="001429E1" w:rsidRDefault="001429E1" w:rsidP="001D7B5C">
            <w:pPr>
              <w:spacing w:after="0" w:line="240" w:lineRule="auto"/>
              <w:ind w:left="720"/>
              <w:rPr>
                <w:b/>
                <w:i/>
              </w:rPr>
            </w:pPr>
            <w:r>
              <w:rPr>
                <w:b/>
                <w:i/>
              </w:rPr>
              <w:t>Maternal characteristics</w:t>
            </w:r>
          </w:p>
        </w:tc>
      </w:tr>
      <w:tr w:rsidR="001429E1" w14:paraId="4603C1DB"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6E7E0BCA" w14:textId="77777777" w:rsidR="001429E1" w:rsidRDefault="001429E1" w:rsidP="001D7B5C">
            <w:pPr>
              <w:spacing w:after="0" w:line="240" w:lineRule="auto"/>
            </w:pPr>
            <w:r>
              <w:t>Median maternal age in years (IQR)</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74973778" w14:textId="77777777" w:rsidR="001429E1" w:rsidRDefault="001429E1" w:rsidP="001D7B5C">
            <w:pPr>
              <w:spacing w:after="0" w:line="240" w:lineRule="auto"/>
              <w:jc w:val="center"/>
            </w:pPr>
            <w:r>
              <w:t>30 (27-33)</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6837F6CB" w14:textId="77777777" w:rsidR="001429E1" w:rsidRDefault="001429E1" w:rsidP="001D7B5C">
            <w:pPr>
              <w:spacing w:after="0" w:line="240" w:lineRule="auto"/>
              <w:jc w:val="center"/>
            </w:pPr>
            <w:r>
              <w:t>30 (27-34)</w:t>
            </w:r>
          </w:p>
        </w:tc>
      </w:tr>
      <w:tr w:rsidR="001429E1" w14:paraId="1CAD45E7"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1930CEEB" w14:textId="77777777" w:rsidR="001429E1" w:rsidRDefault="001429E1" w:rsidP="001D7B5C">
            <w:pPr>
              <w:spacing w:after="0" w:line="240" w:lineRule="auto"/>
            </w:pPr>
            <w:r>
              <w:t>Median height in cm (IQR)</w:t>
            </w:r>
          </w:p>
          <w:p w14:paraId="007ED77B"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1D1D2F73" w14:textId="77777777" w:rsidR="001429E1" w:rsidRDefault="001429E1" w:rsidP="001D7B5C">
            <w:pPr>
              <w:spacing w:after="0" w:line="240" w:lineRule="auto"/>
              <w:jc w:val="center"/>
            </w:pPr>
            <w:r>
              <w:t>165 (161-170)</w:t>
            </w:r>
          </w:p>
          <w:p w14:paraId="03B2173D" w14:textId="77777777" w:rsidR="001429E1" w:rsidRDefault="001429E1" w:rsidP="001D7B5C">
            <w:pPr>
              <w:spacing w:after="0" w:line="240" w:lineRule="auto"/>
              <w:jc w:val="center"/>
            </w:pPr>
            <w:r>
              <w:t>0 (0.0%)</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62323093" w14:textId="77777777" w:rsidR="001429E1" w:rsidRDefault="001429E1" w:rsidP="001D7B5C">
            <w:pPr>
              <w:spacing w:after="0" w:line="240" w:lineRule="auto"/>
              <w:jc w:val="center"/>
            </w:pPr>
            <w:r>
              <w:t>164 (159-168)</w:t>
            </w:r>
          </w:p>
          <w:p w14:paraId="3A7E5C72" w14:textId="77777777" w:rsidR="001429E1" w:rsidRDefault="001429E1" w:rsidP="001D7B5C">
            <w:pPr>
              <w:spacing w:after="0" w:line="240" w:lineRule="auto"/>
              <w:jc w:val="center"/>
            </w:pPr>
            <w:r>
              <w:t>3 (0.7%)</w:t>
            </w:r>
          </w:p>
        </w:tc>
      </w:tr>
      <w:tr w:rsidR="001429E1" w14:paraId="1DF0EFC0"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3E5F6325" w14:textId="77777777" w:rsidR="001429E1" w:rsidRDefault="001429E1" w:rsidP="001D7B5C">
            <w:pPr>
              <w:spacing w:after="0" w:line="240" w:lineRule="auto"/>
            </w:pPr>
            <w:r>
              <w:t>Median BMI (IQR)</w:t>
            </w:r>
          </w:p>
          <w:p w14:paraId="6C6B4D11"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6B788214" w14:textId="77777777" w:rsidR="001429E1" w:rsidRDefault="001429E1" w:rsidP="001D7B5C">
            <w:pPr>
              <w:spacing w:after="0" w:line="240" w:lineRule="auto"/>
              <w:jc w:val="center"/>
            </w:pPr>
            <w:r>
              <w:t>24.0 (21.8-27.2)</w:t>
            </w:r>
          </w:p>
          <w:p w14:paraId="092331AE" w14:textId="77777777" w:rsidR="001429E1" w:rsidRDefault="001429E1" w:rsidP="001D7B5C">
            <w:pPr>
              <w:spacing w:after="0" w:line="240" w:lineRule="auto"/>
              <w:jc w:val="center"/>
            </w:pPr>
            <w:r>
              <w:t>1 (0.03%)</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26358FCB" w14:textId="77777777" w:rsidR="001429E1" w:rsidRDefault="001429E1" w:rsidP="001D7B5C">
            <w:pPr>
              <w:spacing w:after="0" w:line="240" w:lineRule="auto"/>
              <w:jc w:val="center"/>
            </w:pPr>
            <w:r>
              <w:t>24.7 (22.5-28.1)</w:t>
            </w:r>
          </w:p>
          <w:p w14:paraId="6FDA1F55" w14:textId="77777777" w:rsidR="001429E1" w:rsidRDefault="001429E1" w:rsidP="001D7B5C">
            <w:pPr>
              <w:spacing w:after="0" w:line="240" w:lineRule="auto"/>
              <w:jc w:val="center"/>
            </w:pPr>
            <w:r>
              <w:t>3 (0.7%)</w:t>
            </w:r>
          </w:p>
        </w:tc>
      </w:tr>
      <w:tr w:rsidR="001429E1" w14:paraId="6C92BC9A"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3F2A5392" w14:textId="77777777" w:rsidR="001429E1" w:rsidRDefault="001429E1" w:rsidP="001D7B5C">
            <w:pPr>
              <w:spacing w:after="0" w:line="240" w:lineRule="auto"/>
            </w:pPr>
            <w:r>
              <w:t>Smoker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55D4D211" w14:textId="77777777" w:rsidR="001429E1" w:rsidRDefault="001429E1" w:rsidP="001D7B5C">
            <w:pPr>
              <w:spacing w:after="0" w:line="240" w:lineRule="auto"/>
              <w:jc w:val="center"/>
            </w:pPr>
            <w:r>
              <w:t>161 (4.4%)</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608BC1B2" w14:textId="77777777" w:rsidR="001429E1" w:rsidRDefault="001429E1" w:rsidP="001D7B5C">
            <w:pPr>
              <w:spacing w:after="0" w:line="240" w:lineRule="auto"/>
              <w:jc w:val="center"/>
            </w:pPr>
            <w:r>
              <w:t>38 (9.1%)</w:t>
            </w:r>
          </w:p>
        </w:tc>
      </w:tr>
      <w:tr w:rsidR="001429E1" w14:paraId="6DD5F222"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545A5236" w14:textId="77777777" w:rsidR="001429E1" w:rsidRDefault="001429E1" w:rsidP="001D7B5C">
            <w:pPr>
              <w:spacing w:after="0" w:line="240" w:lineRule="auto"/>
            </w:pPr>
            <w:r>
              <w:t>Alcohol use (%)</w:t>
            </w:r>
          </w:p>
          <w:p w14:paraId="2810BB9C"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24FA08EB" w14:textId="77777777" w:rsidR="001429E1" w:rsidRDefault="001429E1" w:rsidP="001D7B5C">
            <w:pPr>
              <w:spacing w:after="0" w:line="240" w:lineRule="auto"/>
              <w:jc w:val="center"/>
            </w:pPr>
            <w:r>
              <w:t>169 (4.6%)</w:t>
            </w:r>
          </w:p>
          <w:p w14:paraId="2734F085" w14:textId="77777777" w:rsidR="001429E1" w:rsidRDefault="001429E1" w:rsidP="001D7B5C">
            <w:pPr>
              <w:spacing w:after="0" w:line="240" w:lineRule="auto"/>
              <w:jc w:val="center"/>
            </w:pPr>
            <w:r>
              <w:t>2 (0.1%)</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34FBED4B" w14:textId="77777777" w:rsidR="001429E1" w:rsidRDefault="001429E1" w:rsidP="001D7B5C">
            <w:pPr>
              <w:spacing w:after="0" w:line="240" w:lineRule="auto"/>
              <w:jc w:val="center"/>
            </w:pPr>
            <w:r>
              <w:t>13</w:t>
            </w:r>
          </w:p>
          <w:p w14:paraId="3FCB1AF5" w14:textId="77777777" w:rsidR="001429E1" w:rsidRDefault="001429E1" w:rsidP="001D7B5C">
            <w:pPr>
              <w:spacing w:after="0" w:line="240" w:lineRule="auto"/>
              <w:jc w:val="center"/>
            </w:pPr>
            <w:r>
              <w:t>(3.1%)</w:t>
            </w:r>
          </w:p>
        </w:tc>
      </w:tr>
      <w:tr w:rsidR="001429E1" w14:paraId="2EC3CAB1" w14:textId="77777777" w:rsidTr="001D7B5C">
        <w:trPr>
          <w:trHeight w:val="1182"/>
        </w:trPr>
        <w:tc>
          <w:tcPr>
            <w:tcW w:w="0" w:type="auto"/>
            <w:tcBorders>
              <w:top w:val="single" w:sz="2" w:space="0" w:color="D0CECE" w:themeColor="background2" w:themeShade="E6"/>
              <w:left w:val="nil"/>
              <w:bottom w:val="single" w:sz="2" w:space="0" w:color="D0CECE" w:themeColor="background2" w:themeShade="E6"/>
              <w:right w:val="nil"/>
            </w:tcBorders>
            <w:hideMark/>
          </w:tcPr>
          <w:p w14:paraId="43B6E6FB" w14:textId="77777777" w:rsidR="001429E1" w:rsidRDefault="001429E1" w:rsidP="001D7B5C">
            <w:pPr>
              <w:spacing w:after="0" w:line="240" w:lineRule="auto"/>
            </w:pPr>
            <w:r>
              <w:t>Ethnicity (%)</w:t>
            </w:r>
          </w:p>
          <w:p w14:paraId="5AC802EC" w14:textId="77777777" w:rsidR="001429E1" w:rsidRDefault="001429E1" w:rsidP="001D7B5C">
            <w:pPr>
              <w:spacing w:after="0" w:line="240" w:lineRule="auto"/>
            </w:pPr>
            <w:r>
              <w:t>Non-white</w:t>
            </w:r>
          </w:p>
          <w:p w14:paraId="46250C79" w14:textId="77777777" w:rsidR="001429E1" w:rsidRDefault="001429E1" w:rsidP="001D7B5C">
            <w:pPr>
              <w:spacing w:after="0" w:line="240" w:lineRule="auto"/>
            </w:pPr>
            <w:r>
              <w:t>White</w:t>
            </w:r>
          </w:p>
          <w:p w14:paraId="165C57A6"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2" w:space="0" w:color="D0CECE" w:themeColor="background2" w:themeShade="E6"/>
              <w:right w:val="nil"/>
            </w:tcBorders>
          </w:tcPr>
          <w:p w14:paraId="6F9B3F0A" w14:textId="77777777" w:rsidR="001429E1" w:rsidRDefault="001429E1" w:rsidP="001D7B5C">
            <w:pPr>
              <w:spacing w:after="0" w:line="240" w:lineRule="auto"/>
              <w:jc w:val="center"/>
            </w:pPr>
          </w:p>
          <w:p w14:paraId="31CE4444" w14:textId="77777777" w:rsidR="001429E1" w:rsidRDefault="001429E1" w:rsidP="001D7B5C">
            <w:pPr>
              <w:spacing w:after="0" w:line="240" w:lineRule="auto"/>
              <w:jc w:val="center"/>
            </w:pPr>
            <w:r>
              <w:t>206 (5.7%)</w:t>
            </w:r>
          </w:p>
          <w:p w14:paraId="511DB241" w14:textId="77777777" w:rsidR="001429E1" w:rsidRDefault="001429E1" w:rsidP="001D7B5C">
            <w:pPr>
              <w:spacing w:after="0" w:line="240" w:lineRule="auto"/>
              <w:jc w:val="center"/>
            </w:pPr>
            <w:r>
              <w:t>3372 (92.6%)</w:t>
            </w:r>
          </w:p>
          <w:p w14:paraId="7B4C4160" w14:textId="77777777" w:rsidR="001429E1" w:rsidRDefault="001429E1" w:rsidP="001D7B5C">
            <w:pPr>
              <w:spacing w:after="0" w:line="240" w:lineRule="auto"/>
              <w:jc w:val="center"/>
            </w:pPr>
            <w:r>
              <w:t>63 (1.7%)</w:t>
            </w:r>
          </w:p>
        </w:tc>
        <w:tc>
          <w:tcPr>
            <w:tcW w:w="0" w:type="auto"/>
            <w:tcBorders>
              <w:top w:val="single" w:sz="2" w:space="0" w:color="D0CECE" w:themeColor="background2" w:themeShade="E6"/>
              <w:left w:val="nil"/>
              <w:bottom w:val="single" w:sz="2" w:space="0" w:color="D0CECE" w:themeColor="background2" w:themeShade="E6"/>
              <w:right w:val="nil"/>
            </w:tcBorders>
          </w:tcPr>
          <w:p w14:paraId="3774F0F1" w14:textId="77777777" w:rsidR="001429E1" w:rsidRDefault="001429E1" w:rsidP="001D7B5C">
            <w:pPr>
              <w:spacing w:after="0" w:line="240" w:lineRule="auto"/>
              <w:jc w:val="center"/>
            </w:pPr>
          </w:p>
          <w:p w14:paraId="1C4C2B24" w14:textId="77777777" w:rsidR="001429E1" w:rsidRDefault="001429E1" w:rsidP="001D7B5C">
            <w:pPr>
              <w:spacing w:after="0" w:line="240" w:lineRule="auto"/>
              <w:jc w:val="center"/>
            </w:pPr>
            <w:r>
              <w:t>27 (6.5%)</w:t>
            </w:r>
          </w:p>
          <w:p w14:paraId="311FB289" w14:textId="77777777" w:rsidR="001429E1" w:rsidRDefault="001429E1" w:rsidP="001D7B5C">
            <w:pPr>
              <w:spacing w:after="0" w:line="240" w:lineRule="auto"/>
              <w:jc w:val="center"/>
            </w:pPr>
            <w:r>
              <w:t>382 (91.8%)</w:t>
            </w:r>
          </w:p>
          <w:p w14:paraId="2810FCED" w14:textId="77777777" w:rsidR="001429E1" w:rsidRDefault="001429E1" w:rsidP="001D7B5C">
            <w:pPr>
              <w:spacing w:after="0" w:line="240" w:lineRule="auto"/>
              <w:jc w:val="center"/>
            </w:pPr>
            <w:r>
              <w:t>7 (1.7%)</w:t>
            </w:r>
          </w:p>
        </w:tc>
      </w:tr>
      <w:tr w:rsidR="001429E1" w14:paraId="704AA5B2"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2843C3CA" w14:textId="77777777" w:rsidR="001429E1" w:rsidRDefault="001429E1" w:rsidP="001D7B5C">
            <w:pPr>
              <w:spacing w:after="0" w:line="240" w:lineRule="auto"/>
            </w:pPr>
            <w:r>
              <w:t>Socioeconomic deprivation quartile (%)</w:t>
            </w:r>
          </w:p>
          <w:p w14:paraId="4ABAEDE8" w14:textId="77777777" w:rsidR="001429E1" w:rsidRDefault="001429E1" w:rsidP="001D7B5C">
            <w:pPr>
              <w:spacing w:after="0" w:line="240" w:lineRule="auto"/>
            </w:pPr>
            <w:r>
              <w:t>1 (Least deprived)</w:t>
            </w:r>
          </w:p>
          <w:p w14:paraId="0045A8BD" w14:textId="77777777" w:rsidR="001429E1" w:rsidRDefault="001429E1" w:rsidP="001D7B5C">
            <w:pPr>
              <w:spacing w:after="0" w:line="240" w:lineRule="auto"/>
            </w:pPr>
            <w:r>
              <w:t>2</w:t>
            </w:r>
          </w:p>
          <w:p w14:paraId="0B670AC5" w14:textId="77777777" w:rsidR="001429E1" w:rsidRDefault="001429E1" w:rsidP="001D7B5C">
            <w:pPr>
              <w:spacing w:after="0" w:line="240" w:lineRule="auto"/>
            </w:pPr>
            <w:r>
              <w:t>3</w:t>
            </w:r>
          </w:p>
          <w:p w14:paraId="0B14CC36" w14:textId="77777777" w:rsidR="001429E1" w:rsidRDefault="001429E1" w:rsidP="001D7B5C">
            <w:pPr>
              <w:spacing w:after="0" w:line="240" w:lineRule="auto"/>
            </w:pPr>
            <w:r>
              <w:t>4 (Most deprived)</w:t>
            </w:r>
          </w:p>
          <w:p w14:paraId="37EAEEA7" w14:textId="77777777" w:rsidR="001429E1" w:rsidRDefault="001429E1" w:rsidP="001D7B5C">
            <w:pPr>
              <w:spacing w:after="0" w:line="240" w:lineRule="auto"/>
            </w:pPr>
            <w:r>
              <w:t>Missing</w:t>
            </w:r>
          </w:p>
        </w:tc>
        <w:tc>
          <w:tcPr>
            <w:tcW w:w="0" w:type="auto"/>
            <w:tcBorders>
              <w:top w:val="single" w:sz="2" w:space="0" w:color="D0CECE" w:themeColor="background2" w:themeShade="E6"/>
              <w:left w:val="nil"/>
              <w:bottom w:val="single" w:sz="2" w:space="0" w:color="D0CECE" w:themeColor="background2" w:themeShade="E6"/>
              <w:right w:val="nil"/>
            </w:tcBorders>
          </w:tcPr>
          <w:p w14:paraId="4AD24C58" w14:textId="77777777" w:rsidR="001429E1" w:rsidRDefault="001429E1" w:rsidP="001D7B5C">
            <w:pPr>
              <w:spacing w:after="0" w:line="240" w:lineRule="auto"/>
              <w:jc w:val="center"/>
            </w:pPr>
          </w:p>
          <w:p w14:paraId="00C7B074" w14:textId="77777777" w:rsidR="001429E1" w:rsidRDefault="001429E1" w:rsidP="001D7B5C">
            <w:pPr>
              <w:spacing w:after="0" w:line="240" w:lineRule="auto"/>
              <w:jc w:val="center"/>
            </w:pPr>
            <w:r>
              <w:t>873 (24.0%)</w:t>
            </w:r>
          </w:p>
          <w:p w14:paraId="07C8F583" w14:textId="77777777" w:rsidR="001429E1" w:rsidRDefault="001429E1" w:rsidP="001D7B5C">
            <w:pPr>
              <w:spacing w:after="0" w:line="240" w:lineRule="auto"/>
              <w:jc w:val="center"/>
            </w:pPr>
            <w:r>
              <w:t>874 (24.0%)</w:t>
            </w:r>
          </w:p>
          <w:p w14:paraId="437F4BE0" w14:textId="77777777" w:rsidR="001429E1" w:rsidRDefault="001429E1" w:rsidP="001D7B5C">
            <w:pPr>
              <w:spacing w:after="0" w:line="240" w:lineRule="auto"/>
              <w:jc w:val="center"/>
            </w:pPr>
            <w:r>
              <w:t>861 (23.7%)</w:t>
            </w:r>
          </w:p>
          <w:p w14:paraId="058EB8F1" w14:textId="77777777" w:rsidR="001429E1" w:rsidRDefault="001429E1" w:rsidP="001D7B5C">
            <w:pPr>
              <w:spacing w:after="0" w:line="240" w:lineRule="auto"/>
              <w:jc w:val="center"/>
            </w:pPr>
            <w:r>
              <w:t>884 (24.3%)</w:t>
            </w:r>
          </w:p>
          <w:p w14:paraId="4F59A834" w14:textId="77777777" w:rsidR="001429E1" w:rsidRDefault="001429E1" w:rsidP="001D7B5C">
            <w:pPr>
              <w:spacing w:after="0" w:line="240" w:lineRule="auto"/>
              <w:jc w:val="center"/>
            </w:pPr>
            <w:r>
              <w:t>149 (4.1%)</w:t>
            </w:r>
          </w:p>
        </w:tc>
        <w:tc>
          <w:tcPr>
            <w:tcW w:w="0" w:type="auto"/>
            <w:tcBorders>
              <w:top w:val="single" w:sz="2" w:space="0" w:color="D0CECE" w:themeColor="background2" w:themeShade="E6"/>
              <w:left w:val="nil"/>
              <w:bottom w:val="single" w:sz="2" w:space="0" w:color="D0CECE" w:themeColor="background2" w:themeShade="E6"/>
              <w:right w:val="nil"/>
            </w:tcBorders>
          </w:tcPr>
          <w:p w14:paraId="3D96A4A3" w14:textId="77777777" w:rsidR="001429E1" w:rsidRDefault="001429E1" w:rsidP="001D7B5C">
            <w:pPr>
              <w:spacing w:after="0" w:line="240" w:lineRule="auto"/>
              <w:jc w:val="center"/>
            </w:pPr>
          </w:p>
          <w:p w14:paraId="5736E192" w14:textId="77777777" w:rsidR="001429E1" w:rsidRDefault="001429E1" w:rsidP="001D7B5C">
            <w:pPr>
              <w:spacing w:after="0" w:line="240" w:lineRule="auto"/>
              <w:jc w:val="center"/>
            </w:pPr>
            <w:r>
              <w:t>105 (25.2%)</w:t>
            </w:r>
          </w:p>
          <w:p w14:paraId="6F788E81" w14:textId="77777777" w:rsidR="001429E1" w:rsidRDefault="001429E1" w:rsidP="001D7B5C">
            <w:pPr>
              <w:spacing w:after="0" w:line="240" w:lineRule="auto"/>
              <w:jc w:val="center"/>
            </w:pPr>
            <w:r>
              <w:t>91 (21.9%)</w:t>
            </w:r>
          </w:p>
          <w:p w14:paraId="7EFFDD5A" w14:textId="77777777" w:rsidR="001429E1" w:rsidRDefault="001429E1" w:rsidP="001D7B5C">
            <w:pPr>
              <w:spacing w:after="0" w:line="240" w:lineRule="auto"/>
              <w:jc w:val="center"/>
            </w:pPr>
            <w:r>
              <w:t>119 (28.6%)</w:t>
            </w:r>
          </w:p>
          <w:p w14:paraId="38DBB484" w14:textId="77777777" w:rsidR="001429E1" w:rsidRDefault="001429E1" w:rsidP="001D7B5C">
            <w:pPr>
              <w:spacing w:after="0" w:line="240" w:lineRule="auto"/>
              <w:jc w:val="center"/>
            </w:pPr>
            <w:r>
              <w:t>87 (20.9%)</w:t>
            </w:r>
          </w:p>
          <w:p w14:paraId="5FA8F84E" w14:textId="77777777" w:rsidR="001429E1" w:rsidRDefault="001429E1" w:rsidP="001D7B5C">
            <w:pPr>
              <w:spacing w:after="0" w:line="240" w:lineRule="auto"/>
              <w:jc w:val="center"/>
            </w:pPr>
            <w:r>
              <w:t>14 (3.4%)</w:t>
            </w:r>
          </w:p>
        </w:tc>
      </w:tr>
      <w:tr w:rsidR="001429E1" w14:paraId="7A8337C1"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7AC383F0" w14:textId="77777777" w:rsidR="001429E1" w:rsidRDefault="001429E1" w:rsidP="001D7B5C">
            <w:pPr>
              <w:spacing w:after="0" w:line="240" w:lineRule="auto"/>
            </w:pPr>
            <w:r>
              <w:t>Median age stopped FTE in years (IQR)</w:t>
            </w:r>
          </w:p>
          <w:p w14:paraId="39A98C25"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387227F5" w14:textId="77777777" w:rsidR="001429E1" w:rsidRDefault="001429E1" w:rsidP="001D7B5C">
            <w:pPr>
              <w:spacing w:after="0" w:line="240" w:lineRule="auto"/>
              <w:jc w:val="center"/>
            </w:pPr>
            <w:r>
              <w:t>21 (18-23)</w:t>
            </w:r>
          </w:p>
          <w:p w14:paraId="0E73A48B" w14:textId="77777777" w:rsidR="001429E1" w:rsidRDefault="001429E1" w:rsidP="001D7B5C">
            <w:pPr>
              <w:spacing w:after="0" w:line="240" w:lineRule="auto"/>
              <w:jc w:val="center"/>
            </w:pPr>
            <w:r>
              <w:t>109 (3.0%)</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057C275D" w14:textId="77777777" w:rsidR="001429E1" w:rsidRDefault="001429E1" w:rsidP="001D7B5C">
            <w:pPr>
              <w:spacing w:after="0" w:line="240" w:lineRule="auto"/>
              <w:jc w:val="center"/>
            </w:pPr>
            <w:r>
              <w:t>21 (18-23)</w:t>
            </w:r>
          </w:p>
          <w:p w14:paraId="06FEDD7A" w14:textId="77777777" w:rsidR="001429E1" w:rsidRDefault="001429E1" w:rsidP="001D7B5C">
            <w:pPr>
              <w:spacing w:after="0" w:line="240" w:lineRule="auto"/>
              <w:jc w:val="center"/>
            </w:pPr>
            <w:r>
              <w:t>12 (2.9%)</w:t>
            </w:r>
          </w:p>
        </w:tc>
      </w:tr>
      <w:tr w:rsidR="001429E1" w14:paraId="145B2B0B"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16FEEE49" w14:textId="77777777" w:rsidR="001429E1" w:rsidRDefault="001429E1" w:rsidP="001D7B5C">
            <w:pPr>
              <w:spacing w:after="0" w:line="240" w:lineRule="auto"/>
            </w:pPr>
            <w:r>
              <w:t>Married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4D083412" w14:textId="77777777" w:rsidR="001429E1" w:rsidRDefault="001429E1" w:rsidP="001D7B5C">
            <w:pPr>
              <w:spacing w:after="0" w:line="240" w:lineRule="auto"/>
              <w:jc w:val="center"/>
            </w:pPr>
            <w:r>
              <w:t>2473 (67.9%)</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4EC2704D" w14:textId="77777777" w:rsidR="001429E1" w:rsidRDefault="001429E1" w:rsidP="001D7B5C">
            <w:pPr>
              <w:spacing w:after="0" w:line="240" w:lineRule="auto"/>
              <w:jc w:val="center"/>
            </w:pPr>
            <w:r>
              <w:t>286 (68.8%)</w:t>
            </w:r>
          </w:p>
        </w:tc>
      </w:tr>
      <w:tr w:rsidR="001429E1" w14:paraId="4C6CF80C"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088EFC26" w14:textId="77777777" w:rsidR="001429E1" w:rsidRDefault="001429E1" w:rsidP="001D7B5C">
            <w:pPr>
              <w:spacing w:after="0" w:line="240" w:lineRule="auto"/>
              <w:ind w:left="720"/>
              <w:rPr>
                <w:i/>
              </w:rPr>
            </w:pPr>
            <w:r>
              <w:rPr>
                <w:b/>
                <w:i/>
              </w:rPr>
              <w:t>Birth outcomes</w:t>
            </w:r>
          </w:p>
        </w:tc>
        <w:tc>
          <w:tcPr>
            <w:tcW w:w="0" w:type="auto"/>
            <w:tcBorders>
              <w:top w:val="single" w:sz="2" w:space="0" w:color="D0CECE" w:themeColor="background2" w:themeShade="E6"/>
              <w:left w:val="nil"/>
              <w:bottom w:val="single" w:sz="2" w:space="0" w:color="D0CECE" w:themeColor="background2" w:themeShade="E6"/>
              <w:right w:val="nil"/>
            </w:tcBorders>
          </w:tcPr>
          <w:p w14:paraId="706BE54A" w14:textId="77777777" w:rsidR="001429E1" w:rsidRDefault="001429E1" w:rsidP="001D7B5C">
            <w:pPr>
              <w:spacing w:after="0" w:line="240" w:lineRule="auto"/>
              <w:jc w:val="center"/>
            </w:pPr>
          </w:p>
        </w:tc>
        <w:tc>
          <w:tcPr>
            <w:tcW w:w="0" w:type="auto"/>
            <w:tcBorders>
              <w:top w:val="single" w:sz="2" w:space="0" w:color="D0CECE" w:themeColor="background2" w:themeShade="E6"/>
              <w:left w:val="nil"/>
              <w:bottom w:val="single" w:sz="2" w:space="0" w:color="D0CECE" w:themeColor="background2" w:themeShade="E6"/>
              <w:right w:val="nil"/>
            </w:tcBorders>
          </w:tcPr>
          <w:p w14:paraId="76483D84" w14:textId="77777777" w:rsidR="001429E1" w:rsidRDefault="001429E1" w:rsidP="001D7B5C">
            <w:pPr>
              <w:spacing w:after="0" w:line="240" w:lineRule="auto"/>
              <w:jc w:val="center"/>
            </w:pPr>
          </w:p>
        </w:tc>
      </w:tr>
      <w:tr w:rsidR="001429E1" w14:paraId="2E0232C5"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0B74D162" w14:textId="77777777" w:rsidR="001429E1" w:rsidRDefault="001429E1" w:rsidP="001D7B5C">
            <w:pPr>
              <w:spacing w:after="0" w:line="240" w:lineRule="auto"/>
            </w:pPr>
            <w:r>
              <w:t>Median birth weight in grams (IQR)</w:t>
            </w:r>
          </w:p>
          <w:p w14:paraId="1B915B18"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32606DED" w14:textId="77777777" w:rsidR="001429E1" w:rsidRDefault="001429E1" w:rsidP="001D7B5C">
            <w:pPr>
              <w:spacing w:after="0" w:line="240" w:lineRule="auto"/>
              <w:jc w:val="center"/>
            </w:pPr>
            <w:r>
              <w:t>3460 (3170-3760)</w:t>
            </w:r>
          </w:p>
          <w:p w14:paraId="3865FE81" w14:textId="77777777" w:rsidR="001429E1" w:rsidRDefault="001429E1" w:rsidP="001D7B5C">
            <w:pPr>
              <w:spacing w:after="0" w:line="240" w:lineRule="auto"/>
              <w:jc w:val="center"/>
            </w:pPr>
            <w:r>
              <w:t>0 (0.0%)</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3BE179CC" w14:textId="77777777" w:rsidR="001429E1" w:rsidRDefault="001429E1" w:rsidP="001D7B5C">
            <w:pPr>
              <w:spacing w:after="0" w:line="240" w:lineRule="auto"/>
              <w:jc w:val="center"/>
            </w:pPr>
            <w:r>
              <w:t>2670 (2290-3110)</w:t>
            </w:r>
          </w:p>
          <w:p w14:paraId="540A6644" w14:textId="77777777" w:rsidR="001429E1" w:rsidRDefault="001429E1" w:rsidP="001D7B5C">
            <w:pPr>
              <w:spacing w:after="0" w:line="240" w:lineRule="auto"/>
              <w:jc w:val="center"/>
            </w:pPr>
            <w:r>
              <w:t>10 (2.1%)</w:t>
            </w:r>
          </w:p>
        </w:tc>
      </w:tr>
      <w:tr w:rsidR="001429E1" w14:paraId="6D9D80F8"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256270E8" w14:textId="77777777" w:rsidR="001429E1" w:rsidRDefault="001429E1" w:rsidP="001D7B5C">
            <w:pPr>
              <w:spacing w:after="0" w:line="240" w:lineRule="auto"/>
            </w:pPr>
            <w:r>
              <w:t>Median birth weight Z score</w:t>
            </w:r>
            <w:r>
              <w:rPr>
                <w:vertAlign w:val="superscript"/>
              </w:rPr>
              <w:t>c</w:t>
            </w:r>
            <w:r>
              <w:t xml:space="preserve"> (IQR)</w:t>
            </w:r>
          </w:p>
          <w:p w14:paraId="4C9236BE"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204AF549" w14:textId="77777777" w:rsidR="001429E1" w:rsidRDefault="001429E1" w:rsidP="001D7B5C">
            <w:pPr>
              <w:spacing w:after="0" w:line="240" w:lineRule="auto"/>
              <w:jc w:val="center"/>
            </w:pPr>
            <w:r>
              <w:t>-0.13 (-0.64-0.44)</w:t>
            </w:r>
          </w:p>
          <w:p w14:paraId="76B0B853" w14:textId="77777777" w:rsidR="001429E1" w:rsidRDefault="001429E1" w:rsidP="001D7B5C">
            <w:pPr>
              <w:spacing w:after="0" w:line="240" w:lineRule="auto"/>
              <w:jc w:val="center"/>
            </w:pPr>
            <w:r>
              <w:t>0 (0.0%)</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749C3AF1" w14:textId="77777777" w:rsidR="001429E1" w:rsidRDefault="001429E1" w:rsidP="001D7B5C">
            <w:pPr>
              <w:spacing w:after="0" w:line="240" w:lineRule="auto"/>
              <w:jc w:val="center"/>
            </w:pPr>
            <w:r>
              <w:t>-0.52 (-1.79-0.27)</w:t>
            </w:r>
          </w:p>
          <w:p w14:paraId="288E13E2" w14:textId="77777777" w:rsidR="001429E1" w:rsidRDefault="001429E1" w:rsidP="001D7B5C">
            <w:pPr>
              <w:spacing w:after="0" w:line="240" w:lineRule="auto"/>
              <w:jc w:val="center"/>
            </w:pPr>
            <w:r>
              <w:t>13 (3.1%)</w:t>
            </w:r>
          </w:p>
        </w:tc>
      </w:tr>
      <w:tr w:rsidR="001429E1" w14:paraId="55B8EABF"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4E6988F4" w14:textId="77777777" w:rsidR="001429E1" w:rsidRDefault="001429E1" w:rsidP="001D7B5C">
            <w:pPr>
              <w:spacing w:after="0" w:line="240" w:lineRule="auto"/>
            </w:pPr>
            <w:r>
              <w:t>Median birth weight percentile</w:t>
            </w:r>
            <w:r>
              <w:rPr>
                <w:vertAlign w:val="superscript"/>
              </w:rPr>
              <w:t>c</w:t>
            </w:r>
            <w:r>
              <w:t xml:space="preserve"> (IQR)</w:t>
            </w:r>
          </w:p>
          <w:p w14:paraId="41B7D0FB"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43D90CF1" w14:textId="77777777" w:rsidR="001429E1" w:rsidRDefault="001429E1" w:rsidP="001D7B5C">
            <w:pPr>
              <w:spacing w:after="0" w:line="240" w:lineRule="auto"/>
              <w:jc w:val="center"/>
            </w:pPr>
            <w:r>
              <w:t>44.7 (26.0-67.0)</w:t>
            </w:r>
          </w:p>
          <w:p w14:paraId="78D258A2" w14:textId="77777777" w:rsidR="001429E1" w:rsidRDefault="001429E1" w:rsidP="001D7B5C">
            <w:pPr>
              <w:spacing w:after="0" w:line="240" w:lineRule="auto"/>
              <w:jc w:val="center"/>
            </w:pPr>
            <w:r>
              <w:t>0 (0.0%)</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389F2BF3" w14:textId="77777777" w:rsidR="001429E1" w:rsidRDefault="001429E1" w:rsidP="001D7B5C">
            <w:pPr>
              <w:spacing w:after="0" w:line="240" w:lineRule="auto"/>
              <w:jc w:val="center"/>
            </w:pPr>
            <w:r>
              <w:t>30.3 (3.70-60.6)</w:t>
            </w:r>
          </w:p>
          <w:p w14:paraId="4D65CEBC" w14:textId="77777777" w:rsidR="001429E1" w:rsidRDefault="001429E1" w:rsidP="001D7B5C">
            <w:pPr>
              <w:spacing w:after="0" w:line="240" w:lineRule="auto"/>
              <w:jc w:val="center"/>
            </w:pPr>
            <w:r>
              <w:t>13 (3.1%)</w:t>
            </w:r>
          </w:p>
        </w:tc>
      </w:tr>
      <w:tr w:rsidR="001429E1" w14:paraId="67362939"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3212832B" w14:textId="77777777" w:rsidR="001429E1" w:rsidRDefault="001429E1" w:rsidP="001D7B5C">
            <w:pPr>
              <w:spacing w:after="0" w:line="240" w:lineRule="auto"/>
            </w:pPr>
            <w:r>
              <w:t>Median gestational age at delivery in weeks (IQR)</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0B3EE40A" w14:textId="77777777" w:rsidR="001429E1" w:rsidRDefault="001429E1" w:rsidP="001D7B5C">
            <w:pPr>
              <w:spacing w:after="0" w:line="240" w:lineRule="auto"/>
              <w:jc w:val="center"/>
            </w:pPr>
            <w:r>
              <w:t>40 (39-41)</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06BEF7D4" w14:textId="77777777" w:rsidR="001429E1" w:rsidRDefault="001429E1" w:rsidP="001D7B5C">
            <w:pPr>
              <w:spacing w:after="0" w:line="240" w:lineRule="auto"/>
              <w:jc w:val="center"/>
            </w:pPr>
            <w:r>
              <w:t>38 (36-40)</w:t>
            </w:r>
          </w:p>
        </w:tc>
      </w:tr>
      <w:tr w:rsidR="001429E1" w14:paraId="4CE2BE47"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23D86C2A" w14:textId="77777777" w:rsidR="001429E1" w:rsidRDefault="001429E1" w:rsidP="001D7B5C">
            <w:pPr>
              <w:spacing w:after="0" w:line="240" w:lineRule="auto"/>
            </w:pPr>
            <w:r>
              <w:t>Female fetal sex (%)</w:t>
            </w:r>
          </w:p>
          <w:p w14:paraId="40BA55C8"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4779C148" w14:textId="77777777" w:rsidR="001429E1" w:rsidRDefault="001429E1" w:rsidP="001D7B5C">
            <w:pPr>
              <w:spacing w:after="0" w:line="240" w:lineRule="auto"/>
              <w:jc w:val="center"/>
            </w:pPr>
            <w:r>
              <w:t>1826 (50.2%)</w:t>
            </w:r>
          </w:p>
          <w:p w14:paraId="24F8C904" w14:textId="77777777" w:rsidR="001429E1" w:rsidRDefault="001429E1" w:rsidP="001D7B5C">
            <w:pPr>
              <w:spacing w:after="0" w:line="240" w:lineRule="auto"/>
              <w:jc w:val="center"/>
            </w:pPr>
            <w:r>
              <w:t>0 (0.0%)</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77445A78" w14:textId="77777777" w:rsidR="001429E1" w:rsidRDefault="001429E1" w:rsidP="001D7B5C">
            <w:pPr>
              <w:spacing w:after="0" w:line="240" w:lineRule="auto"/>
              <w:jc w:val="center"/>
            </w:pPr>
            <w:r>
              <w:t>188 (45.2%)</w:t>
            </w:r>
          </w:p>
          <w:p w14:paraId="144F9A65" w14:textId="77777777" w:rsidR="001429E1" w:rsidRDefault="001429E1" w:rsidP="001D7B5C">
            <w:pPr>
              <w:spacing w:after="0" w:line="240" w:lineRule="auto"/>
              <w:jc w:val="center"/>
            </w:pPr>
            <w:r>
              <w:t>6 (1.4%)</w:t>
            </w:r>
          </w:p>
        </w:tc>
      </w:tr>
      <w:tr w:rsidR="001429E1" w14:paraId="5BF3FA18" w14:textId="77777777" w:rsidTr="001D7B5C">
        <w:tc>
          <w:tcPr>
            <w:tcW w:w="0" w:type="auto"/>
            <w:tcBorders>
              <w:top w:val="single" w:sz="2" w:space="0" w:color="D0CECE" w:themeColor="background2" w:themeShade="E6"/>
              <w:left w:val="nil"/>
              <w:bottom w:val="single" w:sz="2" w:space="0" w:color="D0CECE" w:themeColor="background2" w:themeShade="E6"/>
              <w:right w:val="nil"/>
            </w:tcBorders>
            <w:hideMark/>
          </w:tcPr>
          <w:p w14:paraId="31AA7C5D" w14:textId="77777777" w:rsidR="001429E1" w:rsidRDefault="001429E1" w:rsidP="001D7B5C">
            <w:pPr>
              <w:spacing w:after="0" w:line="240" w:lineRule="auto"/>
            </w:pPr>
            <w:r>
              <w:t>Induced (%)</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7471DC11" w14:textId="77777777" w:rsidR="001429E1" w:rsidRDefault="001429E1" w:rsidP="001D7B5C">
            <w:pPr>
              <w:spacing w:after="0" w:line="240" w:lineRule="auto"/>
              <w:jc w:val="center"/>
            </w:pPr>
            <w:r>
              <w:t>1158 (31.8%)</w:t>
            </w:r>
          </w:p>
        </w:tc>
        <w:tc>
          <w:tcPr>
            <w:tcW w:w="0" w:type="auto"/>
            <w:tcBorders>
              <w:top w:val="single" w:sz="2" w:space="0" w:color="D0CECE" w:themeColor="background2" w:themeShade="E6"/>
              <w:left w:val="nil"/>
              <w:bottom w:val="single" w:sz="2" w:space="0" w:color="D0CECE" w:themeColor="background2" w:themeShade="E6"/>
              <w:right w:val="nil"/>
            </w:tcBorders>
            <w:hideMark/>
          </w:tcPr>
          <w:p w14:paraId="4F1461AD" w14:textId="77777777" w:rsidR="001429E1" w:rsidRDefault="001429E1" w:rsidP="001D7B5C">
            <w:pPr>
              <w:spacing w:after="0" w:line="240" w:lineRule="auto"/>
              <w:jc w:val="center"/>
            </w:pPr>
            <w:r>
              <w:t>143 (34.4%)</w:t>
            </w:r>
          </w:p>
        </w:tc>
      </w:tr>
      <w:tr w:rsidR="001429E1" w14:paraId="35358DA0" w14:textId="77777777" w:rsidTr="001D7B5C">
        <w:tc>
          <w:tcPr>
            <w:tcW w:w="0" w:type="auto"/>
            <w:tcBorders>
              <w:top w:val="single" w:sz="2" w:space="0" w:color="D0CECE" w:themeColor="background2" w:themeShade="E6"/>
              <w:left w:val="nil"/>
              <w:bottom w:val="single" w:sz="12" w:space="0" w:color="auto"/>
              <w:right w:val="nil"/>
            </w:tcBorders>
            <w:hideMark/>
          </w:tcPr>
          <w:p w14:paraId="39CE592A" w14:textId="77777777" w:rsidR="001429E1" w:rsidRDefault="001429E1" w:rsidP="001D7B5C">
            <w:pPr>
              <w:spacing w:after="0" w:line="240" w:lineRule="auto"/>
            </w:pPr>
            <w:r>
              <w:t>Mode of delivery (%)</w:t>
            </w:r>
          </w:p>
          <w:p w14:paraId="3C3F700F" w14:textId="77777777" w:rsidR="001429E1" w:rsidRDefault="001429E1" w:rsidP="001D7B5C">
            <w:pPr>
              <w:spacing w:after="0" w:line="240" w:lineRule="auto"/>
            </w:pPr>
            <w:r>
              <w:t>Vaginal</w:t>
            </w:r>
          </w:p>
          <w:p w14:paraId="68BAB415" w14:textId="77777777" w:rsidR="001429E1" w:rsidRDefault="001429E1" w:rsidP="001D7B5C">
            <w:pPr>
              <w:spacing w:after="0" w:line="240" w:lineRule="auto"/>
            </w:pPr>
            <w:r>
              <w:t>Assisted vaginal</w:t>
            </w:r>
          </w:p>
          <w:p w14:paraId="5D9B7227" w14:textId="77777777" w:rsidR="001429E1" w:rsidRDefault="001429E1" w:rsidP="001D7B5C">
            <w:pPr>
              <w:spacing w:after="0" w:line="240" w:lineRule="auto"/>
            </w:pPr>
            <w:r>
              <w:t>Intrapartum cesarean</w:t>
            </w:r>
          </w:p>
          <w:p w14:paraId="2F772AEB" w14:textId="77777777" w:rsidR="001429E1" w:rsidRDefault="001429E1" w:rsidP="001D7B5C">
            <w:pPr>
              <w:spacing w:after="0" w:line="240" w:lineRule="auto"/>
            </w:pPr>
            <w:r>
              <w:t>Pre-labour cesarean</w:t>
            </w:r>
          </w:p>
          <w:p w14:paraId="09B650AB" w14:textId="77777777" w:rsidR="001429E1" w:rsidRDefault="001429E1" w:rsidP="001D7B5C">
            <w:pPr>
              <w:spacing w:after="0" w:line="240" w:lineRule="auto"/>
            </w:pPr>
            <w:r>
              <w:t>Missing (%)</w:t>
            </w:r>
          </w:p>
        </w:tc>
        <w:tc>
          <w:tcPr>
            <w:tcW w:w="0" w:type="auto"/>
            <w:tcBorders>
              <w:top w:val="single" w:sz="2" w:space="0" w:color="D0CECE" w:themeColor="background2" w:themeShade="E6"/>
              <w:left w:val="nil"/>
              <w:bottom w:val="single" w:sz="12" w:space="0" w:color="auto"/>
              <w:right w:val="nil"/>
            </w:tcBorders>
          </w:tcPr>
          <w:p w14:paraId="324154B0" w14:textId="77777777" w:rsidR="001429E1" w:rsidRDefault="001429E1" w:rsidP="001D7B5C">
            <w:pPr>
              <w:spacing w:after="0" w:line="240" w:lineRule="auto"/>
              <w:jc w:val="center"/>
            </w:pPr>
          </w:p>
          <w:p w14:paraId="0F5AAFFE" w14:textId="77777777" w:rsidR="001429E1" w:rsidRDefault="001429E1" w:rsidP="001D7B5C">
            <w:pPr>
              <w:spacing w:after="0" w:line="240" w:lineRule="auto"/>
              <w:jc w:val="center"/>
            </w:pPr>
            <w:r>
              <w:t>1798 (49.4%)</w:t>
            </w:r>
          </w:p>
          <w:p w14:paraId="251E64C3" w14:textId="77777777" w:rsidR="001429E1" w:rsidRDefault="001429E1" w:rsidP="001D7B5C">
            <w:pPr>
              <w:spacing w:after="0" w:line="240" w:lineRule="auto"/>
              <w:jc w:val="center"/>
            </w:pPr>
            <w:r>
              <w:t>877 (24.1%)</w:t>
            </w:r>
          </w:p>
          <w:p w14:paraId="1A0C5D3E" w14:textId="77777777" w:rsidR="001429E1" w:rsidRDefault="001429E1" w:rsidP="001D7B5C">
            <w:pPr>
              <w:spacing w:after="0" w:line="240" w:lineRule="auto"/>
              <w:jc w:val="center"/>
            </w:pPr>
            <w:r>
              <w:t>622 (17.1%)</w:t>
            </w:r>
          </w:p>
          <w:p w14:paraId="6761C32D" w14:textId="77777777" w:rsidR="001429E1" w:rsidRDefault="001429E1" w:rsidP="001D7B5C">
            <w:pPr>
              <w:spacing w:after="0" w:line="240" w:lineRule="auto"/>
              <w:jc w:val="center"/>
            </w:pPr>
            <w:r>
              <w:t>335 (9.2%)</w:t>
            </w:r>
          </w:p>
          <w:p w14:paraId="2C898345" w14:textId="77777777" w:rsidR="001429E1" w:rsidRDefault="001429E1" w:rsidP="001D7B5C">
            <w:pPr>
              <w:spacing w:after="0" w:line="240" w:lineRule="auto"/>
              <w:jc w:val="center"/>
            </w:pPr>
            <w:r>
              <w:t>0 (0.3%)</w:t>
            </w:r>
          </w:p>
        </w:tc>
        <w:tc>
          <w:tcPr>
            <w:tcW w:w="0" w:type="auto"/>
            <w:tcBorders>
              <w:top w:val="single" w:sz="2" w:space="0" w:color="D0CECE" w:themeColor="background2" w:themeShade="E6"/>
              <w:left w:val="nil"/>
              <w:bottom w:val="single" w:sz="12" w:space="0" w:color="auto"/>
              <w:right w:val="nil"/>
            </w:tcBorders>
          </w:tcPr>
          <w:p w14:paraId="327DB373" w14:textId="77777777" w:rsidR="001429E1" w:rsidRDefault="001429E1" w:rsidP="001D7B5C">
            <w:pPr>
              <w:spacing w:after="0" w:line="240" w:lineRule="auto"/>
              <w:jc w:val="center"/>
            </w:pPr>
          </w:p>
          <w:p w14:paraId="1B5A2443" w14:textId="77777777" w:rsidR="001429E1" w:rsidRDefault="001429E1" w:rsidP="001D7B5C">
            <w:pPr>
              <w:spacing w:after="0" w:line="240" w:lineRule="auto"/>
              <w:jc w:val="center"/>
            </w:pPr>
            <w:r>
              <w:t>171 (41.1%)</w:t>
            </w:r>
          </w:p>
          <w:p w14:paraId="6C2DDDE0" w14:textId="77777777" w:rsidR="001429E1" w:rsidRDefault="001429E1" w:rsidP="001D7B5C">
            <w:pPr>
              <w:spacing w:after="0" w:line="240" w:lineRule="auto"/>
              <w:jc w:val="center"/>
            </w:pPr>
            <w:r>
              <w:t>84 (20.2%)</w:t>
            </w:r>
          </w:p>
          <w:p w14:paraId="36A5DBC7" w14:textId="77777777" w:rsidR="001429E1" w:rsidRDefault="001429E1" w:rsidP="001D7B5C">
            <w:pPr>
              <w:spacing w:after="0" w:line="240" w:lineRule="auto"/>
              <w:jc w:val="center"/>
            </w:pPr>
            <w:r>
              <w:t>75 (18.0%)</w:t>
            </w:r>
          </w:p>
          <w:p w14:paraId="13ED2F72" w14:textId="77777777" w:rsidR="001429E1" w:rsidRDefault="001429E1" w:rsidP="001D7B5C">
            <w:pPr>
              <w:spacing w:after="0" w:line="240" w:lineRule="auto"/>
              <w:jc w:val="center"/>
            </w:pPr>
            <w:r>
              <w:t>80 (19.2%)</w:t>
            </w:r>
          </w:p>
          <w:p w14:paraId="0D41ED34" w14:textId="77777777" w:rsidR="001429E1" w:rsidRDefault="001429E1" w:rsidP="001D7B5C">
            <w:pPr>
              <w:spacing w:after="0" w:line="240" w:lineRule="auto"/>
              <w:jc w:val="center"/>
            </w:pPr>
            <w:r>
              <w:t>6 (1.4%)</w:t>
            </w:r>
          </w:p>
        </w:tc>
      </w:tr>
    </w:tbl>
    <w:p w14:paraId="628713A1" w14:textId="77777777" w:rsidR="001429E1" w:rsidRPr="00726FD3" w:rsidRDefault="001429E1" w:rsidP="001429E1">
      <w:pPr>
        <w:spacing w:after="0" w:line="240" w:lineRule="auto"/>
        <w:jc w:val="both"/>
        <w:rPr>
          <w:sz w:val="20"/>
          <w:szCs w:val="20"/>
        </w:rPr>
      </w:pPr>
      <w:r w:rsidRPr="00726FD3">
        <w:rPr>
          <w:sz w:val="20"/>
          <w:szCs w:val="20"/>
        </w:rPr>
        <w:t xml:space="preserve">BMI, body mass index; FTE, full time education; IQR, inter-quartile range. </w:t>
      </w:r>
    </w:p>
    <w:p w14:paraId="730905E4" w14:textId="77777777" w:rsidR="001429E1" w:rsidRPr="00726FD3" w:rsidRDefault="001429E1" w:rsidP="001429E1">
      <w:pPr>
        <w:spacing w:after="0" w:line="240" w:lineRule="auto"/>
        <w:jc w:val="both"/>
        <w:rPr>
          <w:sz w:val="20"/>
          <w:szCs w:val="20"/>
          <w:vertAlign w:val="superscript"/>
        </w:rPr>
      </w:pPr>
    </w:p>
    <w:p w14:paraId="3C33E614" w14:textId="77777777" w:rsidR="001429E1" w:rsidRPr="00726FD3" w:rsidRDefault="001429E1" w:rsidP="001429E1">
      <w:pPr>
        <w:spacing w:after="0" w:line="240" w:lineRule="auto"/>
        <w:jc w:val="both"/>
        <w:rPr>
          <w:sz w:val="20"/>
          <w:szCs w:val="20"/>
          <w:vertAlign w:val="superscript"/>
        </w:rPr>
      </w:pPr>
      <w:r w:rsidRPr="00726FD3">
        <w:rPr>
          <w:sz w:val="20"/>
          <w:szCs w:val="20"/>
          <w:vertAlign w:val="superscript"/>
        </w:rPr>
        <w:t>a</w:t>
      </w:r>
      <w:r w:rsidRPr="00726FD3">
        <w:rPr>
          <w:sz w:val="20"/>
          <w:szCs w:val="20"/>
        </w:rPr>
        <w:t>For characteristics where there is no missing category, data was 100% complete.</w:t>
      </w:r>
      <w:r w:rsidRPr="00726FD3">
        <w:rPr>
          <w:sz w:val="20"/>
          <w:szCs w:val="20"/>
          <w:vertAlign w:val="superscript"/>
        </w:rPr>
        <w:t xml:space="preserve"> </w:t>
      </w:r>
    </w:p>
    <w:p w14:paraId="2E0E569F" w14:textId="77777777" w:rsidR="001429E1" w:rsidRPr="00726FD3" w:rsidRDefault="001429E1" w:rsidP="001429E1">
      <w:pPr>
        <w:spacing w:after="0" w:line="240" w:lineRule="auto"/>
        <w:jc w:val="both"/>
        <w:rPr>
          <w:sz w:val="20"/>
          <w:szCs w:val="20"/>
          <w:vertAlign w:val="superscript"/>
        </w:rPr>
      </w:pPr>
      <w:r w:rsidRPr="00726FD3">
        <w:rPr>
          <w:sz w:val="20"/>
          <w:szCs w:val="20"/>
          <w:vertAlign w:val="superscript"/>
        </w:rPr>
        <w:t>b</w:t>
      </w:r>
      <w:r w:rsidRPr="00726FD3">
        <w:rPr>
          <w:sz w:val="20"/>
          <w:szCs w:val="20"/>
        </w:rPr>
        <w:t>Presence of adverse outcome included any one of the adverse outcomes studied (fetal growth restriction, severe small for gestational age, preeclampsia and preterm birth, severe preeclampsia, preeclampsia and small for gestational age, spontaneous preterm birth, iatrogenic preterm birth, pre-viable loss and stillbirth).</w:t>
      </w:r>
      <w:r w:rsidRPr="00726FD3">
        <w:rPr>
          <w:sz w:val="20"/>
          <w:szCs w:val="20"/>
          <w:vertAlign w:val="superscript"/>
        </w:rPr>
        <w:t xml:space="preserve"> </w:t>
      </w:r>
    </w:p>
    <w:p w14:paraId="771DE4EE" w14:textId="77777777" w:rsidR="001429E1" w:rsidRPr="00726FD3" w:rsidRDefault="001429E1" w:rsidP="001429E1">
      <w:pPr>
        <w:spacing w:after="0" w:line="240" w:lineRule="auto"/>
        <w:jc w:val="both"/>
        <w:rPr>
          <w:sz w:val="20"/>
          <w:szCs w:val="20"/>
        </w:rPr>
      </w:pPr>
      <w:r w:rsidRPr="00726FD3">
        <w:rPr>
          <w:sz w:val="20"/>
          <w:szCs w:val="20"/>
          <w:vertAlign w:val="superscript"/>
        </w:rPr>
        <w:t>c</w:t>
      </w:r>
      <w:r w:rsidRPr="00726FD3">
        <w:rPr>
          <w:sz w:val="20"/>
          <w:szCs w:val="20"/>
        </w:rPr>
        <w:t xml:space="preserve">Birth weight percentiles and Z scores were derived from a United Kingdom population-based reference </w:t>
      </w:r>
      <w:r w:rsidRPr="00726FD3">
        <w:rPr>
          <w:sz w:val="20"/>
          <w:szCs w:val="20"/>
        </w:rPr>
        <w:fldChar w:fldCharType="begin" w:fldLock="1"/>
      </w:r>
      <w:r>
        <w:rPr>
          <w:sz w:val="20"/>
          <w:szCs w:val="20"/>
        </w:rPr>
        <w:instrText xml:space="preserve"> ADDIN ZOTERO_ITEM CSL_CITATION {"citationID":"griKKzvi","properties":{"formattedCitation":"[25]","plainCitation":"[25]","noteIndex":0},"citationItems":[{"id":"ZA4wJzfD/3Nmf9T7z","uris":["http://www.mendeley.com/documents/?uuid=766d3017-719f-3306-805c-fd8c6f7efc6b"],"uri":["http://www.mendeley.com/documents/?uuid=766d3017-719f-3306-805c-fd8c6f7efc6b"],"itemData":{"ISSN":"1468-2044","PMID":"7639543","abstract":"The current reference curves of stature and weight for the UK were first published in 1966 and have been used ever since despite increasing concern that they may not adequately describe the growth of present day British children. Using current data from seven sources new reference curves have been estimated from birth to 20 years for children in 1990. The great majority of the data are nationally representative. The analysis used Cole's LMS method and has produced efficient estimates of the conventional centiles and gives a good fit to the data. These curves differ from the currently used curves at key ages for both stature and weight. In view of the concerns expressed about the current curves and the differences between them and the new curves, it is proposed that the curves presented here should be adopted as the new UK reference curves.","author":[{"dropping-particle":"V","family":"Freeman","given":"J","non-dropping-particle":"","parse-names":false,"suffix":""},{"dropping-particle":"","family":"Cole","given":"T J","non-dropping-particle":"","parse-names":false,"suffix":""},{"dropping-particle":"","family":"Chinn","given":"S","non-dropping-particle":"","parse-names":false,"suffix":""},{"dropping-particle":"","family":"Jones","given":"P R","non-dropping-particle":"","parse-names":false,"suffix":""},{"dropping-particle":"","family":"White","given":"E M","non-dropping-particle":"","parse-names":false,"suffix":""},{"dropping-particle":"","family":"Preece","given":"M A","non-dropping-particle":"","parse-names":false,"suffix":""}],"container-title":"Archives of disease in childhood","id":"ITEM-1","issue":"1","issued":{"date-parts":[["1995","7"]]},"page":"17-24","title":"Cross sectional stature and weight reference curves for the UK, 1990.","type":"article-journal","volume":"73"}}],"schema":"https://github.com/citation-style-language/schema/raw/master/csl-citation.json"} </w:instrText>
      </w:r>
      <w:r w:rsidRPr="00726FD3">
        <w:rPr>
          <w:sz w:val="20"/>
          <w:szCs w:val="20"/>
        </w:rPr>
        <w:fldChar w:fldCharType="separate"/>
      </w:r>
      <w:r w:rsidRPr="00726FD3">
        <w:rPr>
          <w:rFonts w:ascii="Calibri" w:hAnsi="Calibri" w:cs="Calibri"/>
          <w:noProof/>
          <w:sz w:val="20"/>
          <w:szCs w:val="20"/>
        </w:rPr>
        <w:t>[25]</w:t>
      </w:r>
      <w:r w:rsidRPr="00726FD3">
        <w:rPr>
          <w:sz w:val="20"/>
          <w:szCs w:val="20"/>
        </w:rPr>
        <w:fldChar w:fldCharType="end"/>
      </w:r>
      <w:r w:rsidRPr="00726FD3">
        <w:rPr>
          <w:sz w:val="20"/>
          <w:szCs w:val="20"/>
        </w:rPr>
        <w:t>.</w:t>
      </w:r>
    </w:p>
    <w:bookmarkEnd w:id="3"/>
    <w:p w14:paraId="42B4DCA5" w14:textId="77777777" w:rsidR="001429E1" w:rsidRDefault="001429E1" w:rsidP="001429E1">
      <w:pPr>
        <w:rPr>
          <w:sz w:val="24"/>
          <w:szCs w:val="24"/>
          <w:lang w:val="en-US"/>
        </w:rPr>
        <w:sectPr w:rsidR="001429E1" w:rsidSect="001429E1">
          <w:footerReference w:type="default" r:id="rId16"/>
          <w:pgSz w:w="11906" w:h="16838"/>
          <w:pgMar w:top="1440" w:right="1440" w:bottom="1440" w:left="1440" w:header="708" w:footer="708" w:gutter="0"/>
          <w:cols w:space="708"/>
          <w:docGrid w:linePitch="360"/>
        </w:sectPr>
      </w:pPr>
    </w:p>
    <w:p w14:paraId="7A87F204" w14:textId="1ADFF7AA" w:rsidR="001429E1" w:rsidRPr="00726FD3" w:rsidRDefault="001429E1" w:rsidP="001429E1">
      <w:pPr>
        <w:rPr>
          <w:rFonts w:ascii="Calibri" w:eastAsia="Calibri" w:hAnsi="Calibri" w:cs="Times New Roman"/>
          <w:b/>
          <w:sz w:val="24"/>
          <w:lang w:val="en-US"/>
        </w:rPr>
      </w:pPr>
      <w:r w:rsidRPr="00726FD3">
        <w:rPr>
          <w:rFonts w:ascii="Calibri" w:eastAsia="Calibri" w:hAnsi="Calibri" w:cs="Times New Roman"/>
          <w:b/>
          <w:sz w:val="24"/>
          <w:lang w:val="en-US"/>
        </w:rPr>
        <w:t xml:space="preserve">Table </w:t>
      </w:r>
      <w:r>
        <w:rPr>
          <w:rFonts w:ascii="Calibri" w:eastAsia="Calibri" w:hAnsi="Calibri" w:cs="Times New Roman"/>
          <w:b/>
          <w:sz w:val="24"/>
          <w:lang w:val="en-US"/>
        </w:rPr>
        <w:t>2</w:t>
      </w:r>
      <w:r w:rsidRPr="00726FD3">
        <w:rPr>
          <w:rFonts w:ascii="Calibri" w:eastAsia="Calibri" w:hAnsi="Calibri" w:cs="Times New Roman"/>
          <w:b/>
          <w:sz w:val="24"/>
          <w:lang w:val="en-US"/>
        </w:rPr>
        <w:t>. Screening statistics of an uncorrected AFP:PAPP-A ratio &gt;10 at approximately 12 wkGA.</w:t>
      </w:r>
    </w:p>
    <w:tbl>
      <w:tblPr>
        <w:tblW w:w="13680" w:type="dxa"/>
        <w:tblBorders>
          <w:top w:val="single" w:sz="12" w:space="0" w:color="auto"/>
          <w:bottom w:val="single" w:sz="12" w:space="0" w:color="auto"/>
        </w:tblBorders>
        <w:tblLook w:val="04A0" w:firstRow="1" w:lastRow="0" w:firstColumn="1" w:lastColumn="0" w:noHBand="0" w:noVBand="1"/>
      </w:tblPr>
      <w:tblGrid>
        <w:gridCol w:w="1666"/>
        <w:gridCol w:w="1703"/>
        <w:gridCol w:w="1082"/>
        <w:gridCol w:w="1841"/>
        <w:gridCol w:w="1134"/>
        <w:gridCol w:w="1417"/>
        <w:gridCol w:w="1330"/>
        <w:gridCol w:w="1134"/>
        <w:gridCol w:w="1559"/>
        <w:gridCol w:w="814"/>
      </w:tblGrid>
      <w:tr w:rsidR="001429E1" w:rsidRPr="00726FD3" w14:paraId="31386701" w14:textId="77777777" w:rsidTr="001D7B5C">
        <w:trPr>
          <w:trHeight w:val="567"/>
        </w:trPr>
        <w:tc>
          <w:tcPr>
            <w:tcW w:w="1666" w:type="dxa"/>
            <w:tcBorders>
              <w:top w:val="single" w:sz="12" w:space="0" w:color="auto"/>
              <w:left w:val="nil"/>
              <w:bottom w:val="single" w:sz="12" w:space="0" w:color="auto"/>
              <w:right w:val="nil"/>
            </w:tcBorders>
            <w:vAlign w:val="center"/>
            <w:hideMark/>
          </w:tcPr>
          <w:p w14:paraId="4C5C7352" w14:textId="77777777" w:rsidR="001429E1" w:rsidRPr="00726FD3" w:rsidRDefault="001429E1" w:rsidP="001D7B5C">
            <w:pPr>
              <w:spacing w:after="0" w:line="240" w:lineRule="auto"/>
              <w:rPr>
                <w:rFonts w:ascii="Calibri" w:eastAsia="Calibri" w:hAnsi="Calibri" w:cs="Times New Roman"/>
                <w:b/>
                <w:lang w:val="en-US"/>
              </w:rPr>
            </w:pPr>
            <w:r w:rsidRPr="00726FD3">
              <w:rPr>
                <w:rFonts w:ascii="Calibri" w:eastAsia="Calibri" w:hAnsi="Calibri" w:cs="Times New Roman"/>
                <w:b/>
                <w:lang w:val="en-US"/>
              </w:rPr>
              <w:t>Outcome</w:t>
            </w:r>
          </w:p>
        </w:tc>
        <w:tc>
          <w:tcPr>
            <w:tcW w:w="1703" w:type="dxa"/>
            <w:tcBorders>
              <w:top w:val="single" w:sz="12" w:space="0" w:color="auto"/>
              <w:left w:val="nil"/>
              <w:bottom w:val="single" w:sz="12" w:space="0" w:color="auto"/>
              <w:right w:val="nil"/>
            </w:tcBorders>
            <w:vAlign w:val="center"/>
            <w:hideMark/>
          </w:tcPr>
          <w:p w14:paraId="11C0F1F9"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TP/FP</w:t>
            </w:r>
          </w:p>
        </w:tc>
        <w:tc>
          <w:tcPr>
            <w:tcW w:w="1082" w:type="dxa"/>
            <w:tcBorders>
              <w:top w:val="single" w:sz="12" w:space="0" w:color="auto"/>
              <w:left w:val="nil"/>
              <w:bottom w:val="single" w:sz="12" w:space="0" w:color="auto"/>
              <w:right w:val="nil"/>
            </w:tcBorders>
            <w:vAlign w:val="center"/>
            <w:hideMark/>
          </w:tcPr>
          <w:p w14:paraId="320FA77D"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TN/FN</w:t>
            </w:r>
          </w:p>
        </w:tc>
        <w:tc>
          <w:tcPr>
            <w:tcW w:w="1841" w:type="dxa"/>
            <w:tcBorders>
              <w:top w:val="single" w:sz="12" w:space="0" w:color="auto"/>
              <w:left w:val="nil"/>
              <w:bottom w:val="single" w:sz="12" w:space="0" w:color="auto"/>
              <w:right w:val="nil"/>
            </w:tcBorders>
            <w:vAlign w:val="center"/>
            <w:hideMark/>
          </w:tcPr>
          <w:p w14:paraId="1D992B92"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Positive</w:t>
            </w:r>
          </w:p>
          <w:p w14:paraId="18294C9E"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LR</w:t>
            </w:r>
          </w:p>
        </w:tc>
        <w:tc>
          <w:tcPr>
            <w:tcW w:w="1134" w:type="dxa"/>
            <w:tcBorders>
              <w:top w:val="single" w:sz="12" w:space="0" w:color="auto"/>
              <w:left w:val="nil"/>
              <w:bottom w:val="single" w:sz="12" w:space="0" w:color="auto"/>
              <w:right w:val="nil"/>
            </w:tcBorders>
            <w:vAlign w:val="center"/>
            <w:hideMark/>
          </w:tcPr>
          <w:p w14:paraId="036D154E"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Negative</w:t>
            </w:r>
          </w:p>
          <w:p w14:paraId="0AD704E4"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LR</w:t>
            </w:r>
          </w:p>
        </w:tc>
        <w:tc>
          <w:tcPr>
            <w:tcW w:w="1417" w:type="dxa"/>
            <w:tcBorders>
              <w:top w:val="single" w:sz="12" w:space="0" w:color="auto"/>
              <w:left w:val="nil"/>
              <w:bottom w:val="single" w:sz="12" w:space="0" w:color="auto"/>
              <w:right w:val="nil"/>
            </w:tcBorders>
            <w:vAlign w:val="center"/>
            <w:hideMark/>
          </w:tcPr>
          <w:p w14:paraId="75E3511A"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Sensitivity</w:t>
            </w:r>
          </w:p>
          <w:p w14:paraId="2CAB4E14"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w:t>
            </w:r>
          </w:p>
        </w:tc>
        <w:tc>
          <w:tcPr>
            <w:tcW w:w="1330" w:type="dxa"/>
            <w:tcBorders>
              <w:top w:val="single" w:sz="12" w:space="0" w:color="auto"/>
              <w:left w:val="nil"/>
              <w:bottom w:val="single" w:sz="12" w:space="0" w:color="auto"/>
              <w:right w:val="nil"/>
            </w:tcBorders>
            <w:vAlign w:val="center"/>
            <w:hideMark/>
          </w:tcPr>
          <w:p w14:paraId="42DF2404"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Specificity</w:t>
            </w:r>
          </w:p>
          <w:p w14:paraId="057583A0"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w:t>
            </w:r>
          </w:p>
        </w:tc>
        <w:tc>
          <w:tcPr>
            <w:tcW w:w="1134" w:type="dxa"/>
            <w:tcBorders>
              <w:top w:val="single" w:sz="12" w:space="0" w:color="auto"/>
              <w:left w:val="nil"/>
              <w:bottom w:val="single" w:sz="12" w:space="0" w:color="auto"/>
              <w:right w:val="nil"/>
            </w:tcBorders>
            <w:vAlign w:val="center"/>
            <w:hideMark/>
          </w:tcPr>
          <w:p w14:paraId="08474042"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PPV</w:t>
            </w:r>
          </w:p>
          <w:p w14:paraId="3078E11F"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w:t>
            </w:r>
          </w:p>
        </w:tc>
        <w:tc>
          <w:tcPr>
            <w:tcW w:w="1559" w:type="dxa"/>
            <w:tcBorders>
              <w:top w:val="single" w:sz="12" w:space="0" w:color="auto"/>
              <w:left w:val="nil"/>
              <w:bottom w:val="single" w:sz="12" w:space="0" w:color="auto"/>
              <w:right w:val="nil"/>
            </w:tcBorders>
            <w:vAlign w:val="center"/>
            <w:hideMark/>
          </w:tcPr>
          <w:p w14:paraId="28611E22"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NPV</w:t>
            </w:r>
          </w:p>
          <w:p w14:paraId="30CDB6D9"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w:t>
            </w:r>
          </w:p>
        </w:tc>
        <w:tc>
          <w:tcPr>
            <w:tcW w:w="814" w:type="dxa"/>
            <w:tcBorders>
              <w:top w:val="single" w:sz="12" w:space="0" w:color="auto"/>
              <w:left w:val="nil"/>
              <w:bottom w:val="single" w:sz="12" w:space="0" w:color="auto"/>
              <w:right w:val="nil"/>
            </w:tcBorders>
            <w:vAlign w:val="center"/>
            <w:hideMark/>
          </w:tcPr>
          <w:p w14:paraId="5EEC7B05" w14:textId="77777777" w:rsidR="001429E1" w:rsidRPr="00726FD3" w:rsidRDefault="001429E1" w:rsidP="001D7B5C">
            <w:pPr>
              <w:spacing w:after="0" w:line="240" w:lineRule="auto"/>
              <w:jc w:val="center"/>
              <w:rPr>
                <w:rFonts w:ascii="Calibri" w:eastAsia="Calibri" w:hAnsi="Calibri" w:cs="Times New Roman"/>
                <w:b/>
                <w:lang w:val="en-US"/>
              </w:rPr>
            </w:pPr>
            <w:r w:rsidRPr="00726FD3">
              <w:rPr>
                <w:rFonts w:ascii="Calibri" w:eastAsia="Calibri" w:hAnsi="Calibri" w:cs="Times New Roman"/>
                <w:b/>
                <w:lang w:val="en-US"/>
              </w:rPr>
              <w:t>AUC</w:t>
            </w:r>
          </w:p>
        </w:tc>
      </w:tr>
      <w:tr w:rsidR="001429E1" w:rsidRPr="00726FD3" w14:paraId="76767E74" w14:textId="77777777" w:rsidTr="001D7B5C">
        <w:trPr>
          <w:trHeight w:val="567"/>
        </w:trPr>
        <w:tc>
          <w:tcPr>
            <w:tcW w:w="1666" w:type="dxa"/>
            <w:tcBorders>
              <w:top w:val="single" w:sz="12" w:space="0" w:color="auto"/>
              <w:left w:val="nil"/>
              <w:bottom w:val="single" w:sz="4" w:space="0" w:color="D9D9D9" w:themeColor="background1" w:themeShade="D9"/>
              <w:right w:val="nil"/>
            </w:tcBorders>
            <w:vAlign w:val="center"/>
            <w:hideMark/>
          </w:tcPr>
          <w:p w14:paraId="5BD45253"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FGR</w:t>
            </w:r>
          </w:p>
        </w:tc>
        <w:tc>
          <w:tcPr>
            <w:tcW w:w="1703" w:type="dxa"/>
            <w:tcBorders>
              <w:top w:val="single" w:sz="12" w:space="0" w:color="auto"/>
              <w:left w:val="nil"/>
              <w:bottom w:val="single" w:sz="4" w:space="0" w:color="D9D9D9" w:themeColor="background1" w:themeShade="D9"/>
              <w:right w:val="nil"/>
            </w:tcBorders>
            <w:vAlign w:val="center"/>
            <w:hideMark/>
          </w:tcPr>
          <w:p w14:paraId="7B67267F"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22/389</w:t>
            </w:r>
          </w:p>
        </w:tc>
        <w:tc>
          <w:tcPr>
            <w:tcW w:w="1082" w:type="dxa"/>
            <w:tcBorders>
              <w:top w:val="single" w:sz="12" w:space="0" w:color="auto"/>
              <w:left w:val="nil"/>
              <w:bottom w:val="single" w:sz="4" w:space="0" w:color="D9D9D9" w:themeColor="background1" w:themeShade="D9"/>
              <w:right w:val="nil"/>
            </w:tcBorders>
            <w:vAlign w:val="center"/>
            <w:hideMark/>
          </w:tcPr>
          <w:p w14:paraId="3F3CC901"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3581/52</w:t>
            </w:r>
          </w:p>
        </w:tc>
        <w:tc>
          <w:tcPr>
            <w:tcW w:w="1841" w:type="dxa"/>
            <w:tcBorders>
              <w:top w:val="single" w:sz="12" w:space="0" w:color="auto"/>
              <w:left w:val="nil"/>
              <w:bottom w:val="single" w:sz="4" w:space="0" w:color="D9D9D9" w:themeColor="background1" w:themeShade="D9"/>
              <w:right w:val="nil"/>
            </w:tcBorders>
            <w:vAlign w:val="center"/>
            <w:hideMark/>
          </w:tcPr>
          <w:p w14:paraId="19F7F060"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3.0</w:t>
            </w:r>
          </w:p>
        </w:tc>
        <w:tc>
          <w:tcPr>
            <w:tcW w:w="1134" w:type="dxa"/>
            <w:tcBorders>
              <w:top w:val="single" w:sz="12" w:space="0" w:color="auto"/>
              <w:left w:val="nil"/>
              <w:bottom w:val="single" w:sz="4" w:space="0" w:color="D9D9D9" w:themeColor="background1" w:themeShade="D9"/>
              <w:right w:val="nil"/>
            </w:tcBorders>
            <w:vAlign w:val="center"/>
            <w:hideMark/>
          </w:tcPr>
          <w:p w14:paraId="57CD5184"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0.78</w:t>
            </w:r>
          </w:p>
        </w:tc>
        <w:tc>
          <w:tcPr>
            <w:tcW w:w="1417" w:type="dxa"/>
            <w:tcBorders>
              <w:top w:val="single" w:sz="12" w:space="0" w:color="auto"/>
              <w:left w:val="nil"/>
              <w:bottom w:val="single" w:sz="4" w:space="0" w:color="D9D9D9" w:themeColor="background1" w:themeShade="D9"/>
              <w:right w:val="nil"/>
            </w:tcBorders>
            <w:vAlign w:val="center"/>
            <w:hideMark/>
          </w:tcPr>
          <w:p w14:paraId="7ABD0918"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29.7</w:t>
            </w:r>
          </w:p>
        </w:tc>
        <w:tc>
          <w:tcPr>
            <w:tcW w:w="1330" w:type="dxa"/>
            <w:tcBorders>
              <w:top w:val="single" w:sz="12" w:space="0" w:color="auto"/>
              <w:left w:val="nil"/>
              <w:bottom w:val="single" w:sz="4" w:space="0" w:color="D9D9D9" w:themeColor="background1" w:themeShade="D9"/>
              <w:right w:val="nil"/>
            </w:tcBorders>
            <w:vAlign w:val="center"/>
            <w:hideMark/>
          </w:tcPr>
          <w:p w14:paraId="4112DD3F"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90.2</w:t>
            </w:r>
          </w:p>
        </w:tc>
        <w:tc>
          <w:tcPr>
            <w:tcW w:w="1134" w:type="dxa"/>
            <w:tcBorders>
              <w:top w:val="single" w:sz="12" w:space="0" w:color="auto"/>
              <w:left w:val="nil"/>
              <w:bottom w:val="single" w:sz="4" w:space="0" w:color="D9D9D9" w:themeColor="background1" w:themeShade="D9"/>
              <w:right w:val="nil"/>
            </w:tcBorders>
            <w:vAlign w:val="center"/>
            <w:hideMark/>
          </w:tcPr>
          <w:p w14:paraId="0BBE99B9"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5.4</w:t>
            </w:r>
          </w:p>
        </w:tc>
        <w:tc>
          <w:tcPr>
            <w:tcW w:w="1559" w:type="dxa"/>
            <w:tcBorders>
              <w:top w:val="single" w:sz="12" w:space="0" w:color="auto"/>
              <w:left w:val="nil"/>
              <w:bottom w:val="single" w:sz="4" w:space="0" w:color="D9D9D9" w:themeColor="background1" w:themeShade="D9"/>
              <w:right w:val="nil"/>
            </w:tcBorders>
            <w:vAlign w:val="center"/>
            <w:hideMark/>
          </w:tcPr>
          <w:p w14:paraId="2A1C0DE6"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98.6</w:t>
            </w:r>
          </w:p>
        </w:tc>
        <w:tc>
          <w:tcPr>
            <w:tcW w:w="814" w:type="dxa"/>
            <w:tcBorders>
              <w:top w:val="single" w:sz="12" w:space="0" w:color="auto"/>
              <w:left w:val="nil"/>
              <w:bottom w:val="single" w:sz="4" w:space="0" w:color="D9D9D9" w:themeColor="background1" w:themeShade="D9"/>
              <w:right w:val="nil"/>
            </w:tcBorders>
            <w:vAlign w:val="center"/>
            <w:hideMark/>
          </w:tcPr>
          <w:p w14:paraId="114DF32B"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0.674</w:t>
            </w:r>
          </w:p>
        </w:tc>
      </w:tr>
      <w:tr w:rsidR="001429E1" w:rsidRPr="00726FD3" w14:paraId="3B45F704" w14:textId="77777777" w:rsidTr="001D7B5C">
        <w:trPr>
          <w:trHeight w:val="567"/>
        </w:trPr>
        <w:tc>
          <w:tcPr>
            <w:tcW w:w="1666" w:type="dxa"/>
            <w:tcBorders>
              <w:top w:val="single" w:sz="4" w:space="0" w:color="D9D9D9" w:themeColor="background1" w:themeShade="D9"/>
              <w:left w:val="nil"/>
              <w:bottom w:val="single" w:sz="4" w:space="0" w:color="D9D9D9" w:themeColor="background1" w:themeShade="D9"/>
              <w:right w:val="nil"/>
            </w:tcBorders>
            <w:vAlign w:val="center"/>
            <w:hideMark/>
          </w:tcPr>
          <w:p w14:paraId="3ADE0D12"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Severe SGA</w:t>
            </w:r>
          </w:p>
        </w:tc>
        <w:tc>
          <w:tcPr>
            <w:tcW w:w="1703" w:type="dxa"/>
            <w:tcBorders>
              <w:top w:val="single" w:sz="4" w:space="0" w:color="D9D9D9" w:themeColor="background1" w:themeShade="D9"/>
              <w:left w:val="nil"/>
              <w:bottom w:val="single" w:sz="4" w:space="0" w:color="D9D9D9" w:themeColor="background1" w:themeShade="D9"/>
              <w:right w:val="nil"/>
            </w:tcBorders>
            <w:vAlign w:val="center"/>
            <w:hideMark/>
          </w:tcPr>
          <w:p w14:paraId="73A838CA"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28/383</w:t>
            </w:r>
          </w:p>
        </w:tc>
        <w:tc>
          <w:tcPr>
            <w:tcW w:w="1082" w:type="dxa"/>
            <w:tcBorders>
              <w:top w:val="single" w:sz="4" w:space="0" w:color="D9D9D9" w:themeColor="background1" w:themeShade="D9"/>
              <w:left w:val="nil"/>
              <w:bottom w:val="single" w:sz="4" w:space="0" w:color="D9D9D9" w:themeColor="background1" w:themeShade="D9"/>
              <w:right w:val="nil"/>
            </w:tcBorders>
            <w:vAlign w:val="center"/>
            <w:hideMark/>
          </w:tcPr>
          <w:p w14:paraId="179781A4"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3567/66</w:t>
            </w:r>
          </w:p>
        </w:tc>
        <w:tc>
          <w:tcPr>
            <w:tcW w:w="1841" w:type="dxa"/>
            <w:tcBorders>
              <w:top w:val="single" w:sz="4" w:space="0" w:color="D9D9D9" w:themeColor="background1" w:themeShade="D9"/>
              <w:left w:val="nil"/>
              <w:bottom w:val="single" w:sz="4" w:space="0" w:color="D9D9D9" w:themeColor="background1" w:themeShade="D9"/>
              <w:right w:val="nil"/>
            </w:tcBorders>
            <w:vAlign w:val="center"/>
            <w:hideMark/>
          </w:tcPr>
          <w:p w14:paraId="2A55258E"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3.1</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1F8E7C2C"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0.78</w:t>
            </w:r>
          </w:p>
        </w:tc>
        <w:tc>
          <w:tcPr>
            <w:tcW w:w="1417" w:type="dxa"/>
            <w:tcBorders>
              <w:top w:val="single" w:sz="4" w:space="0" w:color="D9D9D9" w:themeColor="background1" w:themeShade="D9"/>
              <w:left w:val="nil"/>
              <w:bottom w:val="single" w:sz="4" w:space="0" w:color="D9D9D9" w:themeColor="background1" w:themeShade="D9"/>
              <w:right w:val="nil"/>
            </w:tcBorders>
            <w:vAlign w:val="center"/>
            <w:hideMark/>
          </w:tcPr>
          <w:p w14:paraId="383E77AE"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29.8</w:t>
            </w:r>
          </w:p>
        </w:tc>
        <w:tc>
          <w:tcPr>
            <w:tcW w:w="1330" w:type="dxa"/>
            <w:tcBorders>
              <w:top w:val="single" w:sz="4" w:space="0" w:color="D9D9D9" w:themeColor="background1" w:themeShade="D9"/>
              <w:left w:val="nil"/>
              <w:bottom w:val="single" w:sz="4" w:space="0" w:color="D9D9D9" w:themeColor="background1" w:themeShade="D9"/>
              <w:right w:val="nil"/>
            </w:tcBorders>
            <w:vAlign w:val="center"/>
            <w:hideMark/>
          </w:tcPr>
          <w:p w14:paraId="4F8223EE"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90.3</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4EA93382"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6.8</w:t>
            </w:r>
          </w:p>
        </w:tc>
        <w:tc>
          <w:tcPr>
            <w:tcW w:w="1559" w:type="dxa"/>
            <w:tcBorders>
              <w:top w:val="single" w:sz="4" w:space="0" w:color="D9D9D9" w:themeColor="background1" w:themeShade="D9"/>
              <w:left w:val="nil"/>
              <w:bottom w:val="single" w:sz="4" w:space="0" w:color="D9D9D9" w:themeColor="background1" w:themeShade="D9"/>
              <w:right w:val="nil"/>
            </w:tcBorders>
            <w:vAlign w:val="center"/>
            <w:hideMark/>
          </w:tcPr>
          <w:p w14:paraId="4C29D818"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98.2</w:t>
            </w:r>
          </w:p>
        </w:tc>
        <w:tc>
          <w:tcPr>
            <w:tcW w:w="814" w:type="dxa"/>
            <w:tcBorders>
              <w:top w:val="single" w:sz="4" w:space="0" w:color="D9D9D9" w:themeColor="background1" w:themeShade="D9"/>
              <w:left w:val="nil"/>
              <w:bottom w:val="single" w:sz="4" w:space="0" w:color="D9D9D9" w:themeColor="background1" w:themeShade="D9"/>
              <w:right w:val="nil"/>
            </w:tcBorders>
            <w:vAlign w:val="center"/>
            <w:hideMark/>
          </w:tcPr>
          <w:p w14:paraId="7C53F0B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0.651</w:t>
            </w:r>
          </w:p>
        </w:tc>
      </w:tr>
      <w:tr w:rsidR="001429E1" w:rsidRPr="00726FD3" w14:paraId="0295752B" w14:textId="77777777" w:rsidTr="001D7B5C">
        <w:trPr>
          <w:trHeight w:val="567"/>
        </w:trPr>
        <w:tc>
          <w:tcPr>
            <w:tcW w:w="1666" w:type="dxa"/>
            <w:tcBorders>
              <w:top w:val="single" w:sz="4" w:space="0" w:color="D9D9D9" w:themeColor="background1" w:themeShade="D9"/>
              <w:left w:val="nil"/>
              <w:bottom w:val="single" w:sz="4" w:space="0" w:color="D9D9D9" w:themeColor="background1" w:themeShade="D9"/>
              <w:right w:val="nil"/>
            </w:tcBorders>
            <w:vAlign w:val="center"/>
            <w:hideMark/>
          </w:tcPr>
          <w:p w14:paraId="06223530"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PE+PTB</w:t>
            </w:r>
          </w:p>
        </w:tc>
        <w:tc>
          <w:tcPr>
            <w:tcW w:w="1703" w:type="dxa"/>
            <w:tcBorders>
              <w:top w:val="single" w:sz="4" w:space="0" w:color="D9D9D9" w:themeColor="background1" w:themeShade="D9"/>
              <w:left w:val="nil"/>
              <w:bottom w:val="single" w:sz="4" w:space="0" w:color="D9D9D9" w:themeColor="background1" w:themeShade="D9"/>
              <w:right w:val="nil"/>
            </w:tcBorders>
            <w:vAlign w:val="center"/>
            <w:hideMark/>
          </w:tcPr>
          <w:p w14:paraId="695F3905"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7/404</w:t>
            </w:r>
          </w:p>
        </w:tc>
        <w:tc>
          <w:tcPr>
            <w:tcW w:w="1082" w:type="dxa"/>
            <w:tcBorders>
              <w:top w:val="single" w:sz="4" w:space="0" w:color="D9D9D9" w:themeColor="background1" w:themeShade="D9"/>
              <w:left w:val="nil"/>
              <w:bottom w:val="single" w:sz="4" w:space="0" w:color="D9D9D9" w:themeColor="background1" w:themeShade="D9"/>
              <w:right w:val="nil"/>
            </w:tcBorders>
            <w:vAlign w:val="center"/>
            <w:hideMark/>
          </w:tcPr>
          <w:p w14:paraId="051B52B5"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3611/22</w:t>
            </w:r>
          </w:p>
        </w:tc>
        <w:tc>
          <w:tcPr>
            <w:tcW w:w="1841" w:type="dxa"/>
            <w:tcBorders>
              <w:top w:val="single" w:sz="4" w:space="0" w:color="D9D9D9" w:themeColor="background1" w:themeShade="D9"/>
              <w:left w:val="nil"/>
              <w:bottom w:val="single" w:sz="4" w:space="0" w:color="D9D9D9" w:themeColor="background1" w:themeShade="D9"/>
              <w:right w:val="nil"/>
            </w:tcBorders>
            <w:vAlign w:val="center"/>
            <w:hideMark/>
          </w:tcPr>
          <w:p w14:paraId="04408DB9"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2.4</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3B89ACE0"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0.84</w:t>
            </w:r>
          </w:p>
        </w:tc>
        <w:tc>
          <w:tcPr>
            <w:tcW w:w="1417" w:type="dxa"/>
            <w:tcBorders>
              <w:top w:val="single" w:sz="4" w:space="0" w:color="D9D9D9" w:themeColor="background1" w:themeShade="D9"/>
              <w:left w:val="nil"/>
              <w:bottom w:val="single" w:sz="4" w:space="0" w:color="D9D9D9" w:themeColor="background1" w:themeShade="D9"/>
              <w:right w:val="nil"/>
            </w:tcBorders>
            <w:vAlign w:val="center"/>
            <w:hideMark/>
          </w:tcPr>
          <w:p w14:paraId="2BB9EFD5"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24.1</w:t>
            </w:r>
          </w:p>
        </w:tc>
        <w:tc>
          <w:tcPr>
            <w:tcW w:w="1330" w:type="dxa"/>
            <w:tcBorders>
              <w:top w:val="single" w:sz="4" w:space="0" w:color="D9D9D9" w:themeColor="background1" w:themeShade="D9"/>
              <w:left w:val="nil"/>
              <w:bottom w:val="single" w:sz="4" w:space="0" w:color="D9D9D9" w:themeColor="background1" w:themeShade="D9"/>
              <w:right w:val="nil"/>
            </w:tcBorders>
            <w:vAlign w:val="center"/>
            <w:hideMark/>
          </w:tcPr>
          <w:p w14:paraId="17328BC8"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89.9</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0929437D"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1.7</w:t>
            </w:r>
          </w:p>
        </w:tc>
        <w:tc>
          <w:tcPr>
            <w:tcW w:w="1559" w:type="dxa"/>
            <w:tcBorders>
              <w:top w:val="single" w:sz="4" w:space="0" w:color="D9D9D9" w:themeColor="background1" w:themeShade="D9"/>
              <w:left w:val="nil"/>
              <w:bottom w:val="single" w:sz="4" w:space="0" w:color="D9D9D9" w:themeColor="background1" w:themeShade="D9"/>
              <w:right w:val="nil"/>
            </w:tcBorders>
            <w:vAlign w:val="center"/>
            <w:hideMark/>
          </w:tcPr>
          <w:p w14:paraId="0F0EBEFF"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99.4</w:t>
            </w:r>
          </w:p>
        </w:tc>
        <w:tc>
          <w:tcPr>
            <w:tcW w:w="814" w:type="dxa"/>
            <w:tcBorders>
              <w:top w:val="single" w:sz="4" w:space="0" w:color="D9D9D9" w:themeColor="background1" w:themeShade="D9"/>
              <w:left w:val="nil"/>
              <w:bottom w:val="single" w:sz="4" w:space="0" w:color="D9D9D9" w:themeColor="background1" w:themeShade="D9"/>
              <w:right w:val="nil"/>
            </w:tcBorders>
            <w:vAlign w:val="center"/>
            <w:hideMark/>
          </w:tcPr>
          <w:p w14:paraId="43C1F309"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0.596</w:t>
            </w:r>
          </w:p>
        </w:tc>
      </w:tr>
      <w:tr w:rsidR="001429E1" w:rsidRPr="00726FD3" w14:paraId="40539751" w14:textId="77777777" w:rsidTr="001D7B5C">
        <w:trPr>
          <w:trHeight w:val="567"/>
        </w:trPr>
        <w:tc>
          <w:tcPr>
            <w:tcW w:w="1666" w:type="dxa"/>
            <w:tcBorders>
              <w:top w:val="single" w:sz="4" w:space="0" w:color="D9D9D9" w:themeColor="background1" w:themeShade="D9"/>
              <w:left w:val="nil"/>
              <w:bottom w:val="single" w:sz="4" w:space="0" w:color="D9D9D9" w:themeColor="background1" w:themeShade="D9"/>
              <w:right w:val="nil"/>
            </w:tcBorders>
            <w:vAlign w:val="center"/>
            <w:hideMark/>
          </w:tcPr>
          <w:p w14:paraId="3ABC9E61"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Severe PE</w:t>
            </w:r>
          </w:p>
        </w:tc>
        <w:tc>
          <w:tcPr>
            <w:tcW w:w="1703" w:type="dxa"/>
            <w:tcBorders>
              <w:top w:val="single" w:sz="4" w:space="0" w:color="D9D9D9" w:themeColor="background1" w:themeShade="D9"/>
              <w:left w:val="nil"/>
              <w:bottom w:val="single" w:sz="4" w:space="0" w:color="D9D9D9" w:themeColor="background1" w:themeShade="D9"/>
              <w:right w:val="nil"/>
            </w:tcBorders>
            <w:vAlign w:val="center"/>
            <w:hideMark/>
          </w:tcPr>
          <w:p w14:paraId="7114CC1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25/386</w:t>
            </w:r>
          </w:p>
        </w:tc>
        <w:tc>
          <w:tcPr>
            <w:tcW w:w="1082" w:type="dxa"/>
            <w:tcBorders>
              <w:top w:val="single" w:sz="4" w:space="0" w:color="D9D9D9" w:themeColor="background1" w:themeShade="D9"/>
              <w:left w:val="nil"/>
              <w:bottom w:val="single" w:sz="4" w:space="0" w:color="D9D9D9" w:themeColor="background1" w:themeShade="D9"/>
              <w:right w:val="nil"/>
            </w:tcBorders>
            <w:vAlign w:val="center"/>
            <w:hideMark/>
          </w:tcPr>
          <w:p w14:paraId="45E5E7C4"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3529/104</w:t>
            </w:r>
          </w:p>
        </w:tc>
        <w:tc>
          <w:tcPr>
            <w:tcW w:w="1841" w:type="dxa"/>
            <w:tcBorders>
              <w:top w:val="single" w:sz="4" w:space="0" w:color="D9D9D9" w:themeColor="background1" w:themeShade="D9"/>
              <w:left w:val="nil"/>
              <w:bottom w:val="single" w:sz="4" w:space="0" w:color="D9D9D9" w:themeColor="background1" w:themeShade="D9"/>
              <w:right w:val="nil"/>
            </w:tcBorders>
            <w:vAlign w:val="center"/>
            <w:hideMark/>
          </w:tcPr>
          <w:p w14:paraId="1FF93594"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2.0</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36892D68"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0.89</w:t>
            </w:r>
          </w:p>
        </w:tc>
        <w:tc>
          <w:tcPr>
            <w:tcW w:w="1417" w:type="dxa"/>
            <w:tcBorders>
              <w:top w:val="single" w:sz="4" w:space="0" w:color="D9D9D9" w:themeColor="background1" w:themeShade="D9"/>
              <w:left w:val="nil"/>
              <w:bottom w:val="single" w:sz="4" w:space="0" w:color="D9D9D9" w:themeColor="background1" w:themeShade="D9"/>
              <w:right w:val="nil"/>
            </w:tcBorders>
            <w:vAlign w:val="center"/>
            <w:hideMark/>
          </w:tcPr>
          <w:p w14:paraId="479FC2ED"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19.4</w:t>
            </w:r>
          </w:p>
        </w:tc>
        <w:tc>
          <w:tcPr>
            <w:tcW w:w="1330" w:type="dxa"/>
            <w:tcBorders>
              <w:top w:val="single" w:sz="4" w:space="0" w:color="D9D9D9" w:themeColor="background1" w:themeShade="D9"/>
              <w:left w:val="nil"/>
              <w:bottom w:val="single" w:sz="4" w:space="0" w:color="D9D9D9" w:themeColor="background1" w:themeShade="D9"/>
              <w:right w:val="nil"/>
            </w:tcBorders>
            <w:vAlign w:val="center"/>
            <w:hideMark/>
          </w:tcPr>
          <w:p w14:paraId="5705D74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90.1</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16200507"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6.1</w:t>
            </w:r>
          </w:p>
        </w:tc>
        <w:tc>
          <w:tcPr>
            <w:tcW w:w="1559" w:type="dxa"/>
            <w:tcBorders>
              <w:top w:val="single" w:sz="4" w:space="0" w:color="D9D9D9" w:themeColor="background1" w:themeShade="D9"/>
              <w:left w:val="nil"/>
              <w:bottom w:val="single" w:sz="4" w:space="0" w:color="D9D9D9" w:themeColor="background1" w:themeShade="D9"/>
              <w:right w:val="nil"/>
            </w:tcBorders>
            <w:vAlign w:val="center"/>
            <w:hideMark/>
          </w:tcPr>
          <w:p w14:paraId="656D8F4B"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97.1</w:t>
            </w:r>
          </w:p>
        </w:tc>
        <w:tc>
          <w:tcPr>
            <w:tcW w:w="814" w:type="dxa"/>
            <w:tcBorders>
              <w:top w:val="single" w:sz="4" w:space="0" w:color="D9D9D9" w:themeColor="background1" w:themeShade="D9"/>
              <w:left w:val="nil"/>
              <w:bottom w:val="single" w:sz="4" w:space="0" w:color="D9D9D9" w:themeColor="background1" w:themeShade="D9"/>
              <w:right w:val="nil"/>
            </w:tcBorders>
            <w:vAlign w:val="center"/>
            <w:hideMark/>
          </w:tcPr>
          <w:p w14:paraId="371F2177"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0.597</w:t>
            </w:r>
          </w:p>
        </w:tc>
      </w:tr>
      <w:tr w:rsidR="001429E1" w:rsidRPr="00726FD3" w14:paraId="1EA8FB59" w14:textId="77777777" w:rsidTr="001D7B5C">
        <w:trPr>
          <w:trHeight w:val="567"/>
        </w:trPr>
        <w:tc>
          <w:tcPr>
            <w:tcW w:w="1666" w:type="dxa"/>
            <w:tcBorders>
              <w:top w:val="single" w:sz="4" w:space="0" w:color="D9D9D9" w:themeColor="background1" w:themeShade="D9"/>
              <w:left w:val="nil"/>
              <w:bottom w:val="single" w:sz="4" w:space="0" w:color="D9D9D9" w:themeColor="background1" w:themeShade="D9"/>
              <w:right w:val="nil"/>
            </w:tcBorders>
            <w:vAlign w:val="center"/>
            <w:hideMark/>
          </w:tcPr>
          <w:p w14:paraId="61E0C408"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PE+SGA</w:t>
            </w:r>
          </w:p>
        </w:tc>
        <w:tc>
          <w:tcPr>
            <w:tcW w:w="1703" w:type="dxa"/>
            <w:tcBorders>
              <w:top w:val="single" w:sz="4" w:space="0" w:color="D9D9D9" w:themeColor="background1" w:themeShade="D9"/>
              <w:left w:val="nil"/>
              <w:bottom w:val="single" w:sz="4" w:space="0" w:color="D9D9D9" w:themeColor="background1" w:themeShade="D9"/>
              <w:right w:val="nil"/>
            </w:tcBorders>
            <w:vAlign w:val="center"/>
            <w:hideMark/>
          </w:tcPr>
          <w:p w14:paraId="06CD5D4C"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11/400</w:t>
            </w:r>
          </w:p>
        </w:tc>
        <w:tc>
          <w:tcPr>
            <w:tcW w:w="1082" w:type="dxa"/>
            <w:tcBorders>
              <w:top w:val="single" w:sz="4" w:space="0" w:color="D9D9D9" w:themeColor="background1" w:themeShade="D9"/>
              <w:left w:val="nil"/>
              <w:bottom w:val="single" w:sz="4" w:space="0" w:color="D9D9D9" w:themeColor="background1" w:themeShade="D9"/>
              <w:right w:val="nil"/>
            </w:tcBorders>
            <w:vAlign w:val="center"/>
            <w:hideMark/>
          </w:tcPr>
          <w:p w14:paraId="0F80DFCA"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3612/21</w:t>
            </w:r>
          </w:p>
        </w:tc>
        <w:tc>
          <w:tcPr>
            <w:tcW w:w="1841" w:type="dxa"/>
            <w:tcBorders>
              <w:top w:val="single" w:sz="4" w:space="0" w:color="D9D9D9" w:themeColor="background1" w:themeShade="D9"/>
              <w:left w:val="nil"/>
              <w:bottom w:val="single" w:sz="4" w:space="0" w:color="D9D9D9" w:themeColor="background1" w:themeShade="D9"/>
              <w:right w:val="nil"/>
            </w:tcBorders>
            <w:vAlign w:val="center"/>
            <w:hideMark/>
          </w:tcPr>
          <w:p w14:paraId="5E15FE2E"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3.4</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0CC51497"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0.73</w:t>
            </w:r>
          </w:p>
        </w:tc>
        <w:tc>
          <w:tcPr>
            <w:tcW w:w="1417" w:type="dxa"/>
            <w:tcBorders>
              <w:top w:val="single" w:sz="4" w:space="0" w:color="D9D9D9" w:themeColor="background1" w:themeShade="D9"/>
              <w:left w:val="nil"/>
              <w:bottom w:val="single" w:sz="4" w:space="0" w:color="D9D9D9" w:themeColor="background1" w:themeShade="D9"/>
              <w:right w:val="nil"/>
            </w:tcBorders>
            <w:vAlign w:val="center"/>
            <w:hideMark/>
          </w:tcPr>
          <w:p w14:paraId="7FB38B37"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34.4</w:t>
            </w:r>
          </w:p>
        </w:tc>
        <w:tc>
          <w:tcPr>
            <w:tcW w:w="1330" w:type="dxa"/>
            <w:tcBorders>
              <w:top w:val="single" w:sz="4" w:space="0" w:color="D9D9D9" w:themeColor="background1" w:themeShade="D9"/>
              <w:left w:val="nil"/>
              <w:bottom w:val="single" w:sz="4" w:space="0" w:color="D9D9D9" w:themeColor="background1" w:themeShade="D9"/>
              <w:right w:val="nil"/>
            </w:tcBorders>
            <w:vAlign w:val="center"/>
            <w:hideMark/>
          </w:tcPr>
          <w:p w14:paraId="25F0BD2F"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90.0</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1F9685D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2.7</w:t>
            </w:r>
          </w:p>
        </w:tc>
        <w:tc>
          <w:tcPr>
            <w:tcW w:w="1559" w:type="dxa"/>
            <w:tcBorders>
              <w:top w:val="single" w:sz="4" w:space="0" w:color="D9D9D9" w:themeColor="background1" w:themeShade="D9"/>
              <w:left w:val="nil"/>
              <w:bottom w:val="single" w:sz="4" w:space="0" w:color="D9D9D9" w:themeColor="background1" w:themeShade="D9"/>
              <w:right w:val="nil"/>
            </w:tcBorders>
            <w:vAlign w:val="center"/>
            <w:hideMark/>
          </w:tcPr>
          <w:p w14:paraId="6C98A9A5"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99.4</w:t>
            </w:r>
          </w:p>
        </w:tc>
        <w:tc>
          <w:tcPr>
            <w:tcW w:w="814" w:type="dxa"/>
            <w:tcBorders>
              <w:top w:val="single" w:sz="4" w:space="0" w:color="D9D9D9" w:themeColor="background1" w:themeShade="D9"/>
              <w:left w:val="nil"/>
              <w:bottom w:val="single" w:sz="4" w:space="0" w:color="D9D9D9" w:themeColor="background1" w:themeShade="D9"/>
              <w:right w:val="nil"/>
            </w:tcBorders>
            <w:vAlign w:val="center"/>
            <w:hideMark/>
          </w:tcPr>
          <w:p w14:paraId="37B10F69"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0.716</w:t>
            </w:r>
          </w:p>
        </w:tc>
      </w:tr>
      <w:tr w:rsidR="001429E1" w:rsidRPr="00726FD3" w14:paraId="19720CE7" w14:textId="77777777" w:rsidTr="001D7B5C">
        <w:trPr>
          <w:trHeight w:val="567"/>
        </w:trPr>
        <w:tc>
          <w:tcPr>
            <w:tcW w:w="1666" w:type="dxa"/>
            <w:tcBorders>
              <w:top w:val="single" w:sz="4" w:space="0" w:color="D9D9D9" w:themeColor="background1" w:themeShade="D9"/>
              <w:left w:val="nil"/>
              <w:bottom w:val="single" w:sz="4" w:space="0" w:color="D9D9D9" w:themeColor="background1" w:themeShade="D9"/>
              <w:right w:val="nil"/>
            </w:tcBorders>
            <w:vAlign w:val="center"/>
            <w:hideMark/>
          </w:tcPr>
          <w:p w14:paraId="53BF54C1"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sPTB</w:t>
            </w:r>
          </w:p>
        </w:tc>
        <w:tc>
          <w:tcPr>
            <w:tcW w:w="1703" w:type="dxa"/>
            <w:tcBorders>
              <w:top w:val="single" w:sz="4" w:space="0" w:color="D9D9D9" w:themeColor="background1" w:themeShade="D9"/>
              <w:left w:val="nil"/>
              <w:bottom w:val="single" w:sz="4" w:space="0" w:color="D9D9D9" w:themeColor="background1" w:themeShade="D9"/>
              <w:right w:val="nil"/>
            </w:tcBorders>
            <w:vAlign w:val="center"/>
            <w:hideMark/>
          </w:tcPr>
          <w:p w14:paraId="6E235EA1"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24/367</w:t>
            </w:r>
          </w:p>
        </w:tc>
        <w:tc>
          <w:tcPr>
            <w:tcW w:w="1082" w:type="dxa"/>
            <w:tcBorders>
              <w:top w:val="single" w:sz="4" w:space="0" w:color="D9D9D9" w:themeColor="background1" w:themeShade="D9"/>
              <w:left w:val="nil"/>
              <w:bottom w:val="single" w:sz="4" w:space="0" w:color="D9D9D9" w:themeColor="background1" w:themeShade="D9"/>
              <w:right w:val="nil"/>
            </w:tcBorders>
            <w:vAlign w:val="center"/>
            <w:hideMark/>
          </w:tcPr>
          <w:p w14:paraId="5DF2439E"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3485/87</w:t>
            </w:r>
          </w:p>
        </w:tc>
        <w:tc>
          <w:tcPr>
            <w:tcW w:w="1841" w:type="dxa"/>
            <w:tcBorders>
              <w:top w:val="single" w:sz="4" w:space="0" w:color="D9D9D9" w:themeColor="background1" w:themeShade="D9"/>
              <w:left w:val="nil"/>
              <w:bottom w:val="single" w:sz="4" w:space="0" w:color="D9D9D9" w:themeColor="background1" w:themeShade="D9"/>
              <w:right w:val="nil"/>
            </w:tcBorders>
            <w:vAlign w:val="center"/>
            <w:hideMark/>
          </w:tcPr>
          <w:p w14:paraId="3218EB6D"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2.3</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010C851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0.87</w:t>
            </w:r>
          </w:p>
        </w:tc>
        <w:tc>
          <w:tcPr>
            <w:tcW w:w="1417" w:type="dxa"/>
            <w:tcBorders>
              <w:top w:val="single" w:sz="4" w:space="0" w:color="D9D9D9" w:themeColor="background1" w:themeShade="D9"/>
              <w:left w:val="nil"/>
              <w:bottom w:val="single" w:sz="4" w:space="0" w:color="D9D9D9" w:themeColor="background1" w:themeShade="D9"/>
              <w:right w:val="nil"/>
            </w:tcBorders>
            <w:vAlign w:val="center"/>
            <w:hideMark/>
          </w:tcPr>
          <w:p w14:paraId="5859E086"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21.6</w:t>
            </w:r>
          </w:p>
        </w:tc>
        <w:tc>
          <w:tcPr>
            <w:tcW w:w="1330" w:type="dxa"/>
            <w:tcBorders>
              <w:top w:val="single" w:sz="4" w:space="0" w:color="D9D9D9" w:themeColor="background1" w:themeShade="D9"/>
              <w:left w:val="nil"/>
              <w:bottom w:val="single" w:sz="4" w:space="0" w:color="D9D9D9" w:themeColor="background1" w:themeShade="D9"/>
              <w:right w:val="nil"/>
            </w:tcBorders>
            <w:vAlign w:val="center"/>
            <w:hideMark/>
          </w:tcPr>
          <w:p w14:paraId="0B075E7C"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90.5</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34C065E8"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6.1</w:t>
            </w:r>
          </w:p>
        </w:tc>
        <w:tc>
          <w:tcPr>
            <w:tcW w:w="1559" w:type="dxa"/>
            <w:tcBorders>
              <w:top w:val="single" w:sz="4" w:space="0" w:color="D9D9D9" w:themeColor="background1" w:themeShade="D9"/>
              <w:left w:val="nil"/>
              <w:bottom w:val="single" w:sz="4" w:space="0" w:color="D9D9D9" w:themeColor="background1" w:themeShade="D9"/>
              <w:right w:val="nil"/>
            </w:tcBorders>
            <w:vAlign w:val="center"/>
            <w:hideMark/>
          </w:tcPr>
          <w:p w14:paraId="54124B39"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97.6</w:t>
            </w:r>
          </w:p>
        </w:tc>
        <w:tc>
          <w:tcPr>
            <w:tcW w:w="814" w:type="dxa"/>
            <w:tcBorders>
              <w:top w:val="single" w:sz="4" w:space="0" w:color="D9D9D9" w:themeColor="background1" w:themeShade="D9"/>
              <w:left w:val="nil"/>
              <w:bottom w:val="single" w:sz="4" w:space="0" w:color="D9D9D9" w:themeColor="background1" w:themeShade="D9"/>
              <w:right w:val="nil"/>
            </w:tcBorders>
            <w:vAlign w:val="center"/>
            <w:hideMark/>
          </w:tcPr>
          <w:p w14:paraId="5CDCB0A8"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0.675</w:t>
            </w:r>
          </w:p>
        </w:tc>
      </w:tr>
      <w:tr w:rsidR="001429E1" w:rsidRPr="00726FD3" w14:paraId="18A16BC0" w14:textId="77777777" w:rsidTr="001D7B5C">
        <w:trPr>
          <w:trHeight w:val="567"/>
        </w:trPr>
        <w:tc>
          <w:tcPr>
            <w:tcW w:w="1666" w:type="dxa"/>
            <w:tcBorders>
              <w:top w:val="single" w:sz="4" w:space="0" w:color="D9D9D9" w:themeColor="background1" w:themeShade="D9"/>
              <w:left w:val="nil"/>
              <w:bottom w:val="single" w:sz="4" w:space="0" w:color="D9D9D9" w:themeColor="background1" w:themeShade="D9"/>
              <w:right w:val="nil"/>
            </w:tcBorders>
            <w:vAlign w:val="center"/>
            <w:hideMark/>
          </w:tcPr>
          <w:p w14:paraId="4765B4A9"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iPTB</w:t>
            </w:r>
          </w:p>
        </w:tc>
        <w:tc>
          <w:tcPr>
            <w:tcW w:w="1703" w:type="dxa"/>
            <w:tcBorders>
              <w:top w:val="single" w:sz="4" w:space="0" w:color="D9D9D9" w:themeColor="background1" w:themeShade="D9"/>
              <w:left w:val="nil"/>
              <w:bottom w:val="single" w:sz="4" w:space="0" w:color="D9D9D9" w:themeColor="background1" w:themeShade="D9"/>
              <w:right w:val="nil"/>
            </w:tcBorders>
            <w:vAlign w:val="center"/>
            <w:hideMark/>
          </w:tcPr>
          <w:p w14:paraId="23D0A0D2"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19/367</w:t>
            </w:r>
          </w:p>
        </w:tc>
        <w:tc>
          <w:tcPr>
            <w:tcW w:w="1082" w:type="dxa"/>
            <w:tcBorders>
              <w:top w:val="single" w:sz="4" w:space="0" w:color="D9D9D9" w:themeColor="background1" w:themeShade="D9"/>
              <w:left w:val="nil"/>
              <w:bottom w:val="single" w:sz="4" w:space="0" w:color="D9D9D9" w:themeColor="background1" w:themeShade="D9"/>
              <w:right w:val="nil"/>
            </w:tcBorders>
            <w:vAlign w:val="center"/>
            <w:hideMark/>
          </w:tcPr>
          <w:p w14:paraId="15B66192"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3485/52</w:t>
            </w:r>
          </w:p>
        </w:tc>
        <w:tc>
          <w:tcPr>
            <w:tcW w:w="1841" w:type="dxa"/>
            <w:tcBorders>
              <w:top w:val="single" w:sz="4" w:space="0" w:color="D9D9D9" w:themeColor="background1" w:themeShade="D9"/>
              <w:left w:val="nil"/>
              <w:bottom w:val="single" w:sz="4" w:space="0" w:color="D9D9D9" w:themeColor="background1" w:themeShade="D9"/>
              <w:right w:val="nil"/>
            </w:tcBorders>
            <w:vAlign w:val="center"/>
            <w:hideMark/>
          </w:tcPr>
          <w:p w14:paraId="10C9EA3F"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2.8</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2D2C1BF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0.81</w:t>
            </w:r>
          </w:p>
        </w:tc>
        <w:tc>
          <w:tcPr>
            <w:tcW w:w="1417" w:type="dxa"/>
            <w:tcBorders>
              <w:top w:val="single" w:sz="4" w:space="0" w:color="D9D9D9" w:themeColor="background1" w:themeShade="D9"/>
              <w:left w:val="nil"/>
              <w:bottom w:val="single" w:sz="4" w:space="0" w:color="D9D9D9" w:themeColor="background1" w:themeShade="D9"/>
              <w:right w:val="nil"/>
            </w:tcBorders>
            <w:vAlign w:val="center"/>
            <w:hideMark/>
          </w:tcPr>
          <w:p w14:paraId="10390170"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26.8</w:t>
            </w:r>
          </w:p>
        </w:tc>
        <w:tc>
          <w:tcPr>
            <w:tcW w:w="1330" w:type="dxa"/>
            <w:tcBorders>
              <w:top w:val="single" w:sz="4" w:space="0" w:color="D9D9D9" w:themeColor="background1" w:themeShade="D9"/>
              <w:left w:val="nil"/>
              <w:bottom w:val="single" w:sz="4" w:space="0" w:color="D9D9D9" w:themeColor="background1" w:themeShade="D9"/>
              <w:right w:val="nil"/>
            </w:tcBorders>
            <w:vAlign w:val="center"/>
            <w:hideMark/>
          </w:tcPr>
          <w:p w14:paraId="75F8D617"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90.5</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663A173B"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4.9</w:t>
            </w:r>
          </w:p>
        </w:tc>
        <w:tc>
          <w:tcPr>
            <w:tcW w:w="1559" w:type="dxa"/>
            <w:tcBorders>
              <w:top w:val="single" w:sz="4" w:space="0" w:color="D9D9D9" w:themeColor="background1" w:themeShade="D9"/>
              <w:left w:val="nil"/>
              <w:bottom w:val="single" w:sz="4" w:space="0" w:color="D9D9D9" w:themeColor="background1" w:themeShade="D9"/>
              <w:right w:val="nil"/>
            </w:tcBorders>
            <w:vAlign w:val="center"/>
            <w:hideMark/>
          </w:tcPr>
          <w:p w14:paraId="5D9A1B68"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98.5</w:t>
            </w:r>
          </w:p>
        </w:tc>
        <w:tc>
          <w:tcPr>
            <w:tcW w:w="814" w:type="dxa"/>
            <w:tcBorders>
              <w:top w:val="single" w:sz="4" w:space="0" w:color="D9D9D9" w:themeColor="background1" w:themeShade="D9"/>
              <w:left w:val="nil"/>
              <w:bottom w:val="single" w:sz="4" w:space="0" w:color="D9D9D9" w:themeColor="background1" w:themeShade="D9"/>
              <w:right w:val="nil"/>
            </w:tcBorders>
            <w:vAlign w:val="center"/>
            <w:hideMark/>
          </w:tcPr>
          <w:p w14:paraId="7C1A50F9"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0.637</w:t>
            </w:r>
          </w:p>
        </w:tc>
      </w:tr>
      <w:tr w:rsidR="001429E1" w:rsidRPr="00726FD3" w14:paraId="15ABD9F6" w14:textId="77777777" w:rsidTr="001D7B5C">
        <w:trPr>
          <w:trHeight w:val="567"/>
        </w:trPr>
        <w:tc>
          <w:tcPr>
            <w:tcW w:w="1666" w:type="dxa"/>
            <w:tcBorders>
              <w:top w:val="single" w:sz="4" w:space="0" w:color="D9D9D9" w:themeColor="background1" w:themeShade="D9"/>
              <w:left w:val="nil"/>
              <w:bottom w:val="single" w:sz="4" w:space="0" w:color="D9D9D9" w:themeColor="background1" w:themeShade="D9"/>
              <w:right w:val="nil"/>
            </w:tcBorders>
            <w:vAlign w:val="center"/>
            <w:hideMark/>
          </w:tcPr>
          <w:p w14:paraId="03AF7201"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Pre-viable loss</w:t>
            </w:r>
          </w:p>
        </w:tc>
        <w:tc>
          <w:tcPr>
            <w:tcW w:w="1703" w:type="dxa"/>
            <w:tcBorders>
              <w:top w:val="single" w:sz="4" w:space="0" w:color="D9D9D9" w:themeColor="background1" w:themeShade="D9"/>
              <w:left w:val="nil"/>
              <w:bottom w:val="single" w:sz="4" w:space="0" w:color="D9D9D9" w:themeColor="background1" w:themeShade="D9"/>
              <w:right w:val="nil"/>
            </w:tcBorders>
            <w:vAlign w:val="center"/>
            <w:hideMark/>
          </w:tcPr>
          <w:p w14:paraId="7CB54E40"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4/411</w:t>
            </w:r>
          </w:p>
        </w:tc>
        <w:tc>
          <w:tcPr>
            <w:tcW w:w="1082" w:type="dxa"/>
            <w:tcBorders>
              <w:top w:val="single" w:sz="4" w:space="0" w:color="D9D9D9" w:themeColor="background1" w:themeShade="D9"/>
              <w:left w:val="nil"/>
              <w:bottom w:val="single" w:sz="4" w:space="0" w:color="D9D9D9" w:themeColor="background1" w:themeShade="D9"/>
              <w:right w:val="nil"/>
            </w:tcBorders>
            <w:vAlign w:val="center"/>
            <w:hideMark/>
          </w:tcPr>
          <w:p w14:paraId="5287EECD"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3633/9</w:t>
            </w:r>
          </w:p>
        </w:tc>
        <w:tc>
          <w:tcPr>
            <w:tcW w:w="1841" w:type="dxa"/>
            <w:tcBorders>
              <w:top w:val="single" w:sz="4" w:space="0" w:color="D9D9D9" w:themeColor="background1" w:themeShade="D9"/>
              <w:left w:val="nil"/>
              <w:bottom w:val="single" w:sz="4" w:space="0" w:color="D9D9D9" w:themeColor="background1" w:themeShade="D9"/>
              <w:right w:val="nil"/>
            </w:tcBorders>
            <w:vAlign w:val="center"/>
            <w:hideMark/>
          </w:tcPr>
          <w:p w14:paraId="43E10A8F"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3.0</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2B5EF2DB"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0.77</w:t>
            </w:r>
          </w:p>
        </w:tc>
        <w:tc>
          <w:tcPr>
            <w:tcW w:w="1417" w:type="dxa"/>
            <w:tcBorders>
              <w:top w:val="single" w:sz="4" w:space="0" w:color="D9D9D9" w:themeColor="background1" w:themeShade="D9"/>
              <w:left w:val="nil"/>
              <w:bottom w:val="single" w:sz="4" w:space="0" w:color="D9D9D9" w:themeColor="background1" w:themeShade="D9"/>
              <w:right w:val="nil"/>
            </w:tcBorders>
            <w:vAlign w:val="center"/>
            <w:hideMark/>
          </w:tcPr>
          <w:p w14:paraId="74978C67"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30.8</w:t>
            </w:r>
          </w:p>
        </w:tc>
        <w:tc>
          <w:tcPr>
            <w:tcW w:w="1330" w:type="dxa"/>
            <w:tcBorders>
              <w:top w:val="single" w:sz="4" w:space="0" w:color="D9D9D9" w:themeColor="background1" w:themeShade="D9"/>
              <w:left w:val="nil"/>
              <w:bottom w:val="single" w:sz="4" w:space="0" w:color="D9D9D9" w:themeColor="background1" w:themeShade="D9"/>
              <w:right w:val="nil"/>
            </w:tcBorders>
            <w:vAlign w:val="center"/>
            <w:hideMark/>
          </w:tcPr>
          <w:p w14:paraId="74F24B3E"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89.8</w:t>
            </w:r>
          </w:p>
        </w:tc>
        <w:tc>
          <w:tcPr>
            <w:tcW w:w="1134" w:type="dxa"/>
            <w:tcBorders>
              <w:top w:val="single" w:sz="4" w:space="0" w:color="D9D9D9" w:themeColor="background1" w:themeShade="D9"/>
              <w:left w:val="nil"/>
              <w:bottom w:val="single" w:sz="4" w:space="0" w:color="D9D9D9" w:themeColor="background1" w:themeShade="D9"/>
              <w:right w:val="nil"/>
            </w:tcBorders>
            <w:vAlign w:val="center"/>
            <w:hideMark/>
          </w:tcPr>
          <w:p w14:paraId="0E3D853C"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1.0</w:t>
            </w:r>
          </w:p>
        </w:tc>
        <w:tc>
          <w:tcPr>
            <w:tcW w:w="1559" w:type="dxa"/>
            <w:tcBorders>
              <w:top w:val="single" w:sz="4" w:space="0" w:color="D9D9D9" w:themeColor="background1" w:themeShade="D9"/>
              <w:left w:val="nil"/>
              <w:bottom w:val="single" w:sz="4" w:space="0" w:color="D9D9D9" w:themeColor="background1" w:themeShade="D9"/>
              <w:right w:val="nil"/>
            </w:tcBorders>
            <w:vAlign w:val="center"/>
            <w:hideMark/>
          </w:tcPr>
          <w:p w14:paraId="692CFE1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99.8</w:t>
            </w:r>
          </w:p>
        </w:tc>
        <w:tc>
          <w:tcPr>
            <w:tcW w:w="814" w:type="dxa"/>
            <w:tcBorders>
              <w:top w:val="single" w:sz="4" w:space="0" w:color="D9D9D9" w:themeColor="background1" w:themeShade="D9"/>
              <w:left w:val="nil"/>
              <w:bottom w:val="single" w:sz="4" w:space="0" w:color="D9D9D9" w:themeColor="background1" w:themeShade="D9"/>
              <w:right w:val="nil"/>
            </w:tcBorders>
            <w:vAlign w:val="center"/>
            <w:hideMark/>
          </w:tcPr>
          <w:p w14:paraId="7E1C1057"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0.605</w:t>
            </w:r>
          </w:p>
        </w:tc>
      </w:tr>
      <w:tr w:rsidR="001429E1" w:rsidRPr="00726FD3" w14:paraId="71BB36E8" w14:textId="77777777" w:rsidTr="001D7B5C">
        <w:trPr>
          <w:trHeight w:val="567"/>
        </w:trPr>
        <w:tc>
          <w:tcPr>
            <w:tcW w:w="1666" w:type="dxa"/>
            <w:tcBorders>
              <w:top w:val="single" w:sz="4" w:space="0" w:color="D9D9D9" w:themeColor="background1" w:themeShade="D9"/>
              <w:left w:val="nil"/>
              <w:bottom w:val="single" w:sz="12" w:space="0" w:color="auto"/>
              <w:right w:val="nil"/>
            </w:tcBorders>
            <w:vAlign w:val="center"/>
            <w:hideMark/>
          </w:tcPr>
          <w:p w14:paraId="7CD56BAF"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Stillbirth</w:t>
            </w:r>
          </w:p>
        </w:tc>
        <w:tc>
          <w:tcPr>
            <w:tcW w:w="1703" w:type="dxa"/>
            <w:tcBorders>
              <w:top w:val="single" w:sz="4" w:space="0" w:color="D9D9D9" w:themeColor="background1" w:themeShade="D9"/>
              <w:left w:val="nil"/>
              <w:bottom w:val="single" w:sz="12" w:space="0" w:color="auto"/>
              <w:right w:val="nil"/>
            </w:tcBorders>
            <w:vAlign w:val="center"/>
            <w:hideMark/>
          </w:tcPr>
          <w:p w14:paraId="2291170E"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4/407</w:t>
            </w:r>
          </w:p>
        </w:tc>
        <w:tc>
          <w:tcPr>
            <w:tcW w:w="1082" w:type="dxa"/>
            <w:tcBorders>
              <w:top w:val="single" w:sz="4" w:space="0" w:color="D9D9D9" w:themeColor="background1" w:themeShade="D9"/>
              <w:left w:val="nil"/>
              <w:bottom w:val="single" w:sz="12" w:space="0" w:color="auto"/>
              <w:right w:val="nil"/>
            </w:tcBorders>
            <w:vAlign w:val="center"/>
            <w:hideMark/>
          </w:tcPr>
          <w:p w14:paraId="332E3EF1"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3626/7</w:t>
            </w:r>
          </w:p>
        </w:tc>
        <w:tc>
          <w:tcPr>
            <w:tcW w:w="1841" w:type="dxa"/>
            <w:tcBorders>
              <w:top w:val="single" w:sz="4" w:space="0" w:color="D9D9D9" w:themeColor="background1" w:themeShade="D9"/>
              <w:left w:val="nil"/>
              <w:bottom w:val="single" w:sz="12" w:space="0" w:color="auto"/>
              <w:right w:val="nil"/>
            </w:tcBorders>
            <w:vAlign w:val="center"/>
            <w:hideMark/>
          </w:tcPr>
          <w:p w14:paraId="103168A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3.6</w:t>
            </w:r>
          </w:p>
        </w:tc>
        <w:tc>
          <w:tcPr>
            <w:tcW w:w="1134" w:type="dxa"/>
            <w:tcBorders>
              <w:top w:val="single" w:sz="4" w:space="0" w:color="D9D9D9" w:themeColor="background1" w:themeShade="D9"/>
              <w:left w:val="nil"/>
              <w:bottom w:val="single" w:sz="12" w:space="0" w:color="auto"/>
              <w:right w:val="nil"/>
            </w:tcBorders>
            <w:vAlign w:val="center"/>
            <w:hideMark/>
          </w:tcPr>
          <w:p w14:paraId="5287FAD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0.71</w:t>
            </w:r>
          </w:p>
        </w:tc>
        <w:tc>
          <w:tcPr>
            <w:tcW w:w="1417" w:type="dxa"/>
            <w:tcBorders>
              <w:top w:val="single" w:sz="4" w:space="0" w:color="D9D9D9" w:themeColor="background1" w:themeShade="D9"/>
              <w:left w:val="nil"/>
              <w:bottom w:val="single" w:sz="12" w:space="0" w:color="auto"/>
              <w:right w:val="nil"/>
            </w:tcBorders>
            <w:vAlign w:val="center"/>
            <w:hideMark/>
          </w:tcPr>
          <w:p w14:paraId="45AE40AD"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36.4</w:t>
            </w:r>
          </w:p>
        </w:tc>
        <w:tc>
          <w:tcPr>
            <w:tcW w:w="1330" w:type="dxa"/>
            <w:tcBorders>
              <w:top w:val="single" w:sz="4" w:space="0" w:color="D9D9D9" w:themeColor="background1" w:themeShade="D9"/>
              <w:left w:val="nil"/>
              <w:bottom w:val="single" w:sz="12" w:space="0" w:color="auto"/>
              <w:right w:val="nil"/>
            </w:tcBorders>
            <w:vAlign w:val="center"/>
            <w:hideMark/>
          </w:tcPr>
          <w:p w14:paraId="48F40663"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89.9</w:t>
            </w:r>
          </w:p>
        </w:tc>
        <w:tc>
          <w:tcPr>
            <w:tcW w:w="1134" w:type="dxa"/>
            <w:tcBorders>
              <w:top w:val="single" w:sz="4" w:space="0" w:color="D9D9D9" w:themeColor="background1" w:themeShade="D9"/>
              <w:left w:val="nil"/>
              <w:bottom w:val="single" w:sz="12" w:space="0" w:color="auto"/>
              <w:right w:val="nil"/>
            </w:tcBorders>
            <w:vAlign w:val="center"/>
            <w:hideMark/>
          </w:tcPr>
          <w:p w14:paraId="54A5E020"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1.0</w:t>
            </w:r>
          </w:p>
        </w:tc>
        <w:tc>
          <w:tcPr>
            <w:tcW w:w="1559" w:type="dxa"/>
            <w:tcBorders>
              <w:top w:val="single" w:sz="4" w:space="0" w:color="D9D9D9" w:themeColor="background1" w:themeShade="D9"/>
              <w:left w:val="nil"/>
              <w:bottom w:val="single" w:sz="12" w:space="0" w:color="auto"/>
              <w:right w:val="nil"/>
            </w:tcBorders>
            <w:vAlign w:val="center"/>
            <w:hideMark/>
          </w:tcPr>
          <w:p w14:paraId="7A94157F"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99.8</w:t>
            </w:r>
          </w:p>
        </w:tc>
        <w:tc>
          <w:tcPr>
            <w:tcW w:w="814" w:type="dxa"/>
            <w:tcBorders>
              <w:top w:val="single" w:sz="4" w:space="0" w:color="D9D9D9" w:themeColor="background1" w:themeShade="D9"/>
              <w:left w:val="nil"/>
              <w:bottom w:val="single" w:sz="12" w:space="0" w:color="auto"/>
              <w:right w:val="nil"/>
            </w:tcBorders>
            <w:vAlign w:val="center"/>
            <w:hideMark/>
          </w:tcPr>
          <w:p w14:paraId="1E099C3B" w14:textId="77777777" w:rsidR="001429E1" w:rsidRPr="00726FD3" w:rsidRDefault="001429E1" w:rsidP="001D7B5C">
            <w:pPr>
              <w:spacing w:after="0" w:line="240" w:lineRule="auto"/>
              <w:jc w:val="center"/>
              <w:rPr>
                <w:rFonts w:ascii="Calibri" w:eastAsia="Calibri" w:hAnsi="Calibri" w:cs="Times New Roman"/>
                <w:lang w:val="en-US"/>
              </w:rPr>
            </w:pPr>
            <w:r w:rsidRPr="00726FD3">
              <w:rPr>
                <w:rFonts w:ascii="Calibri" w:eastAsia="Calibri" w:hAnsi="Calibri" w:cs="Times New Roman"/>
                <w:lang w:val="en-US"/>
              </w:rPr>
              <w:t>0.611</w:t>
            </w:r>
          </w:p>
        </w:tc>
      </w:tr>
    </w:tbl>
    <w:p w14:paraId="36365A51" w14:textId="77777777" w:rsidR="001429E1" w:rsidRPr="00726FD3" w:rsidRDefault="001429E1" w:rsidP="001429E1">
      <w:pPr>
        <w:spacing w:after="0" w:line="240" w:lineRule="auto"/>
        <w:jc w:val="both"/>
        <w:rPr>
          <w:rFonts w:ascii="Calibri" w:eastAsia="Calibri" w:hAnsi="Calibri" w:cs="Times New Roman"/>
          <w:sz w:val="20"/>
          <w:szCs w:val="20"/>
          <w:lang w:val="en-US"/>
        </w:rPr>
      </w:pPr>
      <w:r w:rsidRPr="00726FD3">
        <w:rPr>
          <w:rFonts w:ascii="Calibri" w:eastAsia="Calibri" w:hAnsi="Calibri" w:cs="Times New Roman"/>
          <w:sz w:val="20"/>
          <w:szCs w:val="20"/>
          <w:lang w:val="en-US"/>
        </w:rPr>
        <w:t>AFP, alpha fetoprotein; AUC, area under the curve; FGR, fetal growth restriction; FN, false negative; FP, false positive; iPTB, iatrogenic preterm birth; LR, likelihood ratio; NPV, negative predictive value; PAPP-A, pregnancy-associated plasma protein A; PPV, positive predictive value; PTB, preterm birth; SGA, small for gestational age; sPTB, spontaneous preterm birth; TN, true negative; TP, true positive; wkGA, weeks of gestational age.</w:t>
      </w:r>
    </w:p>
    <w:p w14:paraId="5E33AEF7" w14:textId="77777777" w:rsidR="001429E1" w:rsidRDefault="001429E1" w:rsidP="001429E1">
      <w:pPr>
        <w:spacing w:after="0" w:line="240" w:lineRule="auto"/>
        <w:jc w:val="both"/>
        <w:rPr>
          <w:rFonts w:ascii="Calibri" w:eastAsia="Calibri" w:hAnsi="Calibri" w:cs="Times New Roman"/>
          <w:sz w:val="20"/>
          <w:szCs w:val="20"/>
          <w:lang w:val="en-US"/>
        </w:rPr>
      </w:pPr>
    </w:p>
    <w:p w14:paraId="7FCC15E4" w14:textId="77777777" w:rsidR="001429E1" w:rsidRPr="00726FD3" w:rsidRDefault="001429E1" w:rsidP="001429E1">
      <w:pPr>
        <w:spacing w:after="0" w:line="240" w:lineRule="auto"/>
        <w:jc w:val="both"/>
        <w:rPr>
          <w:rFonts w:ascii="Calibri" w:eastAsia="Calibri" w:hAnsi="Calibri" w:cs="Times New Roman"/>
          <w:sz w:val="20"/>
          <w:szCs w:val="20"/>
          <w:lang w:val="en-US"/>
        </w:rPr>
      </w:pPr>
      <w:r w:rsidRPr="00726FD3">
        <w:rPr>
          <w:rFonts w:ascii="Calibri" w:eastAsia="Calibri" w:hAnsi="Calibri" w:cs="Times New Roman"/>
          <w:sz w:val="20"/>
          <w:szCs w:val="20"/>
          <w:lang w:val="en-US"/>
        </w:rPr>
        <w:t xml:space="preserve">All screening statistics were calculated comparing the uncorrected AFP:PAPP-A ratio &gt;10 to an uncorrected AFP:PAPP-A ratio </w:t>
      </w:r>
      <w:r w:rsidRPr="00726FD3">
        <w:rPr>
          <w:rFonts w:ascii="Calibri" w:eastAsia="Calibri" w:hAnsi="Calibri" w:cs="Calibri"/>
          <w:sz w:val="20"/>
          <w:szCs w:val="20"/>
          <w:lang w:val="en-US"/>
        </w:rPr>
        <w:t>≤</w:t>
      </w:r>
      <w:r w:rsidRPr="00726FD3">
        <w:rPr>
          <w:rFonts w:ascii="Calibri" w:eastAsia="Calibri" w:hAnsi="Calibri" w:cs="Times New Roman"/>
          <w:sz w:val="20"/>
          <w:szCs w:val="20"/>
          <w:lang w:val="en-US"/>
        </w:rPr>
        <w:t xml:space="preserve">10 whilst the AUC was calculated using the AFP:PAPP-A ratio as a continuous variable. </w:t>
      </w:r>
    </w:p>
    <w:p w14:paraId="5370B5B3" w14:textId="77777777" w:rsidR="001429E1" w:rsidRPr="00726FD3" w:rsidRDefault="001429E1" w:rsidP="001429E1">
      <w:pPr>
        <w:spacing w:after="0" w:line="240" w:lineRule="auto"/>
        <w:jc w:val="both"/>
        <w:rPr>
          <w:rFonts w:ascii="Calibri" w:eastAsia="Calibri" w:hAnsi="Calibri" w:cs="Times New Roman"/>
          <w:sz w:val="20"/>
          <w:szCs w:val="20"/>
          <w:lang w:val="en-US"/>
        </w:rPr>
      </w:pPr>
    </w:p>
    <w:p w14:paraId="25F78732" w14:textId="77777777" w:rsidR="001429E1" w:rsidRDefault="001429E1" w:rsidP="001429E1"/>
    <w:p w14:paraId="0668C2C4" w14:textId="77777777" w:rsidR="001429E1" w:rsidRDefault="001429E1" w:rsidP="001429E1">
      <w:pPr>
        <w:rPr>
          <w:sz w:val="24"/>
          <w:szCs w:val="24"/>
          <w:lang w:val="en-US"/>
        </w:rPr>
        <w:sectPr w:rsidR="001429E1" w:rsidSect="00CC7304">
          <w:footerReference w:type="default" r:id="rId17"/>
          <w:pgSz w:w="16838" w:h="11906" w:orient="landscape"/>
          <w:pgMar w:top="1440" w:right="1440" w:bottom="1440" w:left="1440" w:header="708" w:footer="708" w:gutter="0"/>
          <w:cols w:space="708"/>
          <w:docGrid w:linePitch="360"/>
        </w:sectPr>
      </w:pPr>
    </w:p>
    <w:p w14:paraId="09B3BFE3" w14:textId="1D2D03A9" w:rsidR="001429E1" w:rsidRPr="00726FD3" w:rsidRDefault="001429E1" w:rsidP="001429E1">
      <w:pPr>
        <w:spacing w:line="360" w:lineRule="auto"/>
        <w:rPr>
          <w:rFonts w:ascii="Calibri" w:eastAsia="Calibri" w:hAnsi="Calibri" w:cs="Times New Roman"/>
          <w:b/>
          <w:sz w:val="24"/>
        </w:rPr>
      </w:pPr>
      <w:r w:rsidRPr="00726FD3">
        <w:rPr>
          <w:rFonts w:ascii="Calibri" w:eastAsia="Calibri" w:hAnsi="Calibri" w:cs="Times New Roman"/>
          <w:b/>
          <w:sz w:val="24"/>
        </w:rPr>
        <w:t xml:space="preserve">Table </w:t>
      </w:r>
      <w:r>
        <w:rPr>
          <w:rFonts w:ascii="Calibri" w:eastAsia="Calibri" w:hAnsi="Calibri" w:cs="Times New Roman"/>
          <w:b/>
          <w:sz w:val="24"/>
        </w:rPr>
        <w:t>3</w:t>
      </w:r>
      <w:r w:rsidRPr="00726FD3">
        <w:rPr>
          <w:rFonts w:ascii="Calibri" w:eastAsia="Calibri" w:hAnsi="Calibri" w:cs="Times New Roman"/>
          <w:b/>
          <w:sz w:val="24"/>
        </w:rPr>
        <w:t xml:space="preserve">. Comparison of uncorrected AFP:PAPP-A ratio </w:t>
      </w:r>
      <w:r w:rsidRPr="00726FD3">
        <w:rPr>
          <w:rFonts w:ascii="Calibri" w:eastAsia="Calibri" w:hAnsi="Calibri" w:cs="Times New Roman"/>
          <w:b/>
          <w:i/>
          <w:sz w:val="24"/>
        </w:rPr>
        <w:t>vs.</w:t>
      </w:r>
      <w:r w:rsidRPr="00726FD3">
        <w:rPr>
          <w:rFonts w:ascii="Calibri" w:eastAsia="Calibri" w:hAnsi="Calibri" w:cs="Times New Roman"/>
          <w:b/>
          <w:sz w:val="24"/>
        </w:rPr>
        <w:t xml:space="preserve"> AFP MoM and PAPP-A MoM corrected for maternal weight and gestation on their own or in combination</w:t>
      </w:r>
      <w:bookmarkStart w:id="4" w:name="_Hlk528253970"/>
      <w:r w:rsidRPr="00726FD3">
        <w:rPr>
          <w:rFonts w:ascii="Calibri" w:eastAsia="Calibri" w:hAnsi="Calibri" w:cs="Times New Roman"/>
          <w:b/>
          <w:sz w:val="24"/>
        </w:rPr>
        <w:t>.</w:t>
      </w:r>
      <w:bookmarkEnd w:id="4"/>
    </w:p>
    <w:tbl>
      <w:tblPr>
        <w:tblW w:w="13155" w:type="dxa"/>
        <w:tblLayout w:type="fixed"/>
        <w:tblLook w:val="04A0" w:firstRow="1" w:lastRow="0" w:firstColumn="1" w:lastColumn="0" w:noHBand="0" w:noVBand="1"/>
      </w:tblPr>
      <w:tblGrid>
        <w:gridCol w:w="1951"/>
        <w:gridCol w:w="2801"/>
        <w:gridCol w:w="2801"/>
        <w:gridCol w:w="2801"/>
        <w:gridCol w:w="2801"/>
      </w:tblGrid>
      <w:tr w:rsidR="001429E1" w:rsidRPr="00726FD3" w14:paraId="50A06D32" w14:textId="77777777" w:rsidTr="001D7B5C">
        <w:trPr>
          <w:trHeight w:val="680"/>
        </w:trPr>
        <w:tc>
          <w:tcPr>
            <w:tcW w:w="1951" w:type="dxa"/>
            <w:tcBorders>
              <w:top w:val="single" w:sz="12" w:space="0" w:color="000000" w:themeColor="text1"/>
              <w:left w:val="nil"/>
              <w:bottom w:val="single" w:sz="12" w:space="0" w:color="000000" w:themeColor="text1"/>
              <w:right w:val="nil"/>
            </w:tcBorders>
            <w:vAlign w:val="center"/>
            <w:hideMark/>
          </w:tcPr>
          <w:p w14:paraId="4FD52894" w14:textId="77777777" w:rsidR="001429E1" w:rsidRPr="00726FD3" w:rsidRDefault="001429E1" w:rsidP="001D7B5C">
            <w:pPr>
              <w:spacing w:after="0" w:line="240" w:lineRule="auto"/>
              <w:rPr>
                <w:rFonts w:ascii="Calibri" w:eastAsia="Calibri" w:hAnsi="Calibri" w:cs="Times New Roman"/>
                <w:b/>
              </w:rPr>
            </w:pPr>
            <w:r w:rsidRPr="00726FD3">
              <w:rPr>
                <w:rFonts w:ascii="Calibri" w:eastAsia="Calibri" w:hAnsi="Calibri" w:cs="Times New Roman"/>
                <w:b/>
              </w:rPr>
              <w:t>Outcome</w:t>
            </w:r>
          </w:p>
        </w:tc>
        <w:tc>
          <w:tcPr>
            <w:tcW w:w="2800" w:type="dxa"/>
            <w:tcBorders>
              <w:top w:val="single" w:sz="12" w:space="0" w:color="000000" w:themeColor="text1"/>
              <w:left w:val="nil"/>
              <w:bottom w:val="single" w:sz="12" w:space="0" w:color="000000" w:themeColor="text1"/>
              <w:right w:val="nil"/>
            </w:tcBorders>
            <w:vAlign w:val="center"/>
            <w:hideMark/>
          </w:tcPr>
          <w:p w14:paraId="3F8289B0" w14:textId="77777777" w:rsidR="001429E1" w:rsidRPr="00726FD3" w:rsidRDefault="001429E1" w:rsidP="001D7B5C">
            <w:pPr>
              <w:spacing w:after="0" w:line="240" w:lineRule="auto"/>
              <w:jc w:val="center"/>
              <w:rPr>
                <w:rFonts w:ascii="Calibri" w:eastAsia="Calibri" w:hAnsi="Calibri" w:cs="Times New Roman"/>
                <w:b/>
              </w:rPr>
            </w:pPr>
            <w:r w:rsidRPr="00726FD3">
              <w:rPr>
                <w:rFonts w:ascii="Calibri" w:eastAsia="Calibri" w:hAnsi="Calibri" w:cs="Times New Roman"/>
                <w:b/>
              </w:rPr>
              <w:t>AFP:PAPP-A</w:t>
            </w:r>
            <w:r w:rsidRPr="00726FD3">
              <w:rPr>
                <w:rFonts w:ascii="Calibri" w:eastAsia="Calibri" w:hAnsi="Calibri" w:cs="Times New Roman"/>
                <w:b/>
                <w:vertAlign w:val="superscript"/>
              </w:rPr>
              <w:t>a</w:t>
            </w:r>
            <w:r w:rsidRPr="00726FD3">
              <w:rPr>
                <w:rFonts w:ascii="Calibri" w:eastAsia="Calibri" w:hAnsi="Calibri" w:cs="Times New Roman"/>
                <w:b/>
              </w:rPr>
              <w:t xml:space="preserve"> AUC (95% CI)</w:t>
            </w:r>
          </w:p>
        </w:tc>
        <w:tc>
          <w:tcPr>
            <w:tcW w:w="2800" w:type="dxa"/>
            <w:tcBorders>
              <w:top w:val="single" w:sz="12" w:space="0" w:color="000000" w:themeColor="text1"/>
              <w:left w:val="nil"/>
              <w:bottom w:val="single" w:sz="12" w:space="0" w:color="000000" w:themeColor="text1"/>
              <w:right w:val="nil"/>
            </w:tcBorders>
            <w:vAlign w:val="center"/>
            <w:hideMark/>
          </w:tcPr>
          <w:p w14:paraId="0DE8E933" w14:textId="77777777" w:rsidR="001429E1" w:rsidRPr="00726FD3" w:rsidRDefault="001429E1" w:rsidP="001D7B5C">
            <w:pPr>
              <w:spacing w:after="0" w:line="240" w:lineRule="auto"/>
              <w:jc w:val="center"/>
              <w:rPr>
                <w:rFonts w:ascii="Calibri" w:eastAsia="Calibri" w:hAnsi="Calibri" w:cs="Times New Roman"/>
                <w:b/>
              </w:rPr>
            </w:pPr>
            <w:r w:rsidRPr="00726FD3">
              <w:rPr>
                <w:rFonts w:ascii="Calibri" w:eastAsia="Calibri" w:hAnsi="Calibri" w:cs="Times New Roman"/>
                <w:b/>
              </w:rPr>
              <w:t>AFP MoM</w:t>
            </w:r>
            <w:r w:rsidRPr="00726FD3">
              <w:rPr>
                <w:rFonts w:ascii="Calibri" w:eastAsia="Calibri" w:hAnsi="Calibri" w:cs="Times New Roman"/>
                <w:b/>
                <w:vertAlign w:val="superscript"/>
              </w:rPr>
              <w:t>b</w:t>
            </w:r>
            <w:r w:rsidRPr="00726FD3">
              <w:rPr>
                <w:rFonts w:ascii="Calibri" w:eastAsia="Calibri" w:hAnsi="Calibri" w:cs="Times New Roman"/>
                <w:b/>
              </w:rPr>
              <w:t xml:space="preserve"> AUC (95% CI)</w:t>
            </w:r>
          </w:p>
          <w:p w14:paraId="3B470F36" w14:textId="77777777" w:rsidR="001429E1" w:rsidRPr="00726FD3" w:rsidRDefault="001429E1" w:rsidP="001D7B5C">
            <w:pPr>
              <w:spacing w:after="0" w:line="240" w:lineRule="auto"/>
              <w:jc w:val="center"/>
              <w:rPr>
                <w:rFonts w:ascii="Calibri" w:eastAsia="Calibri" w:hAnsi="Calibri" w:cs="Times New Roman"/>
                <w:b/>
                <w:vertAlign w:val="superscript"/>
              </w:rPr>
            </w:pPr>
            <w:r w:rsidRPr="00726FD3">
              <w:rPr>
                <w:rFonts w:ascii="Calibri" w:eastAsia="Calibri" w:hAnsi="Calibri" w:cs="Times New Roman"/>
                <w:b/>
                <w:i/>
              </w:rPr>
              <w:t>P</w:t>
            </w:r>
            <w:r w:rsidRPr="00726FD3">
              <w:rPr>
                <w:rFonts w:ascii="Calibri" w:eastAsia="Calibri" w:hAnsi="Calibri" w:cs="Times New Roman"/>
                <w:b/>
              </w:rPr>
              <w:t xml:space="preserve"> value</w:t>
            </w:r>
            <w:r w:rsidRPr="00726FD3">
              <w:rPr>
                <w:rFonts w:ascii="Calibri" w:eastAsia="Calibri" w:hAnsi="Calibri" w:cs="Times New Roman"/>
                <w:b/>
                <w:vertAlign w:val="superscript"/>
              </w:rPr>
              <w:t>d</w:t>
            </w:r>
          </w:p>
        </w:tc>
        <w:tc>
          <w:tcPr>
            <w:tcW w:w="2800" w:type="dxa"/>
            <w:tcBorders>
              <w:top w:val="single" w:sz="12" w:space="0" w:color="000000" w:themeColor="text1"/>
              <w:left w:val="nil"/>
              <w:bottom w:val="single" w:sz="12" w:space="0" w:color="000000" w:themeColor="text1"/>
              <w:right w:val="nil"/>
            </w:tcBorders>
            <w:vAlign w:val="center"/>
            <w:hideMark/>
          </w:tcPr>
          <w:p w14:paraId="301F619C" w14:textId="77777777" w:rsidR="001429E1" w:rsidRPr="00726FD3" w:rsidRDefault="001429E1" w:rsidP="001D7B5C">
            <w:pPr>
              <w:spacing w:after="0" w:line="240" w:lineRule="auto"/>
              <w:jc w:val="center"/>
              <w:rPr>
                <w:rFonts w:ascii="Calibri" w:eastAsia="Calibri" w:hAnsi="Calibri" w:cs="Times New Roman"/>
                <w:b/>
              </w:rPr>
            </w:pPr>
            <w:r w:rsidRPr="00726FD3">
              <w:rPr>
                <w:rFonts w:ascii="Calibri" w:eastAsia="Calibri" w:hAnsi="Calibri" w:cs="Times New Roman"/>
                <w:b/>
              </w:rPr>
              <w:t>PAPP-A MoM</w:t>
            </w:r>
            <w:r w:rsidRPr="00726FD3">
              <w:rPr>
                <w:rFonts w:ascii="Calibri" w:eastAsia="Calibri" w:hAnsi="Calibri" w:cs="Times New Roman"/>
                <w:b/>
                <w:vertAlign w:val="superscript"/>
              </w:rPr>
              <w:t>b</w:t>
            </w:r>
            <w:r w:rsidRPr="00726FD3">
              <w:rPr>
                <w:rFonts w:ascii="Calibri" w:eastAsia="Calibri" w:hAnsi="Calibri" w:cs="Times New Roman"/>
                <w:b/>
              </w:rPr>
              <w:t xml:space="preserve"> AUC (95% CI)</w:t>
            </w:r>
          </w:p>
          <w:p w14:paraId="3EF07317" w14:textId="77777777" w:rsidR="001429E1" w:rsidRPr="00726FD3" w:rsidRDefault="001429E1" w:rsidP="001D7B5C">
            <w:pPr>
              <w:spacing w:after="0" w:line="240" w:lineRule="auto"/>
              <w:jc w:val="center"/>
              <w:rPr>
                <w:rFonts w:ascii="Calibri" w:eastAsia="Calibri" w:hAnsi="Calibri" w:cs="Times New Roman"/>
                <w:b/>
                <w:vertAlign w:val="superscript"/>
              </w:rPr>
            </w:pPr>
            <w:r w:rsidRPr="00726FD3">
              <w:rPr>
                <w:rFonts w:ascii="Calibri" w:eastAsia="Calibri" w:hAnsi="Calibri" w:cs="Times New Roman"/>
                <w:b/>
                <w:i/>
              </w:rPr>
              <w:t>P</w:t>
            </w:r>
            <w:r w:rsidRPr="00726FD3">
              <w:rPr>
                <w:rFonts w:ascii="Calibri" w:eastAsia="Calibri" w:hAnsi="Calibri" w:cs="Times New Roman"/>
                <w:b/>
              </w:rPr>
              <w:t xml:space="preserve"> value</w:t>
            </w:r>
            <w:r w:rsidRPr="00726FD3">
              <w:rPr>
                <w:rFonts w:ascii="Calibri" w:eastAsia="Calibri" w:hAnsi="Calibri" w:cs="Times New Roman"/>
                <w:b/>
                <w:vertAlign w:val="superscript"/>
              </w:rPr>
              <w:t>d</w:t>
            </w:r>
          </w:p>
        </w:tc>
        <w:tc>
          <w:tcPr>
            <w:tcW w:w="2800" w:type="dxa"/>
            <w:tcBorders>
              <w:top w:val="single" w:sz="12" w:space="0" w:color="000000" w:themeColor="text1"/>
              <w:left w:val="nil"/>
              <w:bottom w:val="single" w:sz="12" w:space="0" w:color="000000" w:themeColor="text1"/>
              <w:right w:val="nil"/>
            </w:tcBorders>
            <w:vAlign w:val="center"/>
            <w:hideMark/>
          </w:tcPr>
          <w:p w14:paraId="297C15E5" w14:textId="77777777" w:rsidR="001429E1" w:rsidRPr="00726FD3" w:rsidRDefault="001429E1" w:rsidP="001D7B5C">
            <w:pPr>
              <w:spacing w:after="0" w:line="240" w:lineRule="auto"/>
              <w:jc w:val="center"/>
              <w:rPr>
                <w:rFonts w:ascii="Calibri" w:eastAsia="Calibri" w:hAnsi="Calibri" w:cs="Times New Roman"/>
                <w:b/>
              </w:rPr>
            </w:pPr>
            <w:r w:rsidRPr="00726FD3">
              <w:rPr>
                <w:rFonts w:ascii="Calibri" w:eastAsia="Calibri" w:hAnsi="Calibri" w:cs="Times New Roman"/>
                <w:b/>
              </w:rPr>
              <w:t>Combination</w:t>
            </w:r>
            <w:r w:rsidRPr="00726FD3">
              <w:rPr>
                <w:rFonts w:ascii="Calibri" w:eastAsia="Calibri" w:hAnsi="Calibri" w:cs="Times New Roman"/>
                <w:b/>
                <w:vertAlign w:val="superscript"/>
              </w:rPr>
              <w:t xml:space="preserve">c </w:t>
            </w:r>
            <w:r w:rsidRPr="00726FD3">
              <w:rPr>
                <w:rFonts w:ascii="Calibri" w:eastAsia="Calibri" w:hAnsi="Calibri" w:cs="Times New Roman"/>
                <w:b/>
              </w:rPr>
              <w:t>AUC (95% CI)</w:t>
            </w:r>
          </w:p>
          <w:p w14:paraId="1860B22F" w14:textId="77777777" w:rsidR="001429E1" w:rsidRPr="00726FD3" w:rsidRDefault="001429E1" w:rsidP="001D7B5C">
            <w:pPr>
              <w:spacing w:after="0" w:line="240" w:lineRule="auto"/>
              <w:jc w:val="center"/>
              <w:rPr>
                <w:rFonts w:ascii="Calibri" w:eastAsia="Calibri" w:hAnsi="Calibri" w:cs="Times New Roman"/>
                <w:b/>
                <w:vertAlign w:val="superscript"/>
              </w:rPr>
            </w:pPr>
            <w:r w:rsidRPr="00726FD3">
              <w:rPr>
                <w:rFonts w:ascii="Calibri" w:eastAsia="Calibri" w:hAnsi="Calibri" w:cs="Times New Roman"/>
                <w:b/>
                <w:i/>
              </w:rPr>
              <w:t>P</w:t>
            </w:r>
            <w:r w:rsidRPr="00726FD3">
              <w:rPr>
                <w:rFonts w:ascii="Calibri" w:eastAsia="Calibri" w:hAnsi="Calibri" w:cs="Times New Roman"/>
                <w:b/>
              </w:rPr>
              <w:t xml:space="preserve"> value</w:t>
            </w:r>
            <w:r w:rsidRPr="00726FD3">
              <w:rPr>
                <w:rFonts w:ascii="Calibri" w:eastAsia="Calibri" w:hAnsi="Calibri" w:cs="Times New Roman"/>
                <w:b/>
                <w:vertAlign w:val="superscript"/>
              </w:rPr>
              <w:t>d</w:t>
            </w:r>
          </w:p>
        </w:tc>
      </w:tr>
      <w:tr w:rsidR="001429E1" w:rsidRPr="00726FD3" w14:paraId="468F9F00" w14:textId="77777777" w:rsidTr="001D7B5C">
        <w:trPr>
          <w:trHeight w:val="680"/>
        </w:trPr>
        <w:tc>
          <w:tcPr>
            <w:tcW w:w="1951" w:type="dxa"/>
            <w:tcBorders>
              <w:top w:val="single" w:sz="12" w:space="0" w:color="000000" w:themeColor="text1"/>
              <w:left w:val="nil"/>
              <w:bottom w:val="single" w:sz="4" w:space="0" w:color="D9D9D9" w:themeColor="background1" w:themeShade="D9"/>
              <w:right w:val="nil"/>
            </w:tcBorders>
            <w:vAlign w:val="center"/>
            <w:hideMark/>
          </w:tcPr>
          <w:p w14:paraId="3589F2E1" w14:textId="77777777" w:rsidR="001429E1" w:rsidRPr="00726FD3" w:rsidRDefault="001429E1" w:rsidP="001D7B5C">
            <w:pPr>
              <w:spacing w:after="0" w:line="240" w:lineRule="auto"/>
              <w:rPr>
                <w:rFonts w:ascii="Calibri" w:eastAsia="Calibri" w:hAnsi="Calibri" w:cs="Times New Roman"/>
              </w:rPr>
            </w:pPr>
            <w:r w:rsidRPr="00726FD3">
              <w:rPr>
                <w:rFonts w:ascii="Calibri" w:eastAsia="Calibri" w:hAnsi="Calibri" w:cs="Times New Roman"/>
                <w:lang w:val="en-US"/>
              </w:rPr>
              <w:t>FGR</w:t>
            </w:r>
          </w:p>
        </w:tc>
        <w:tc>
          <w:tcPr>
            <w:tcW w:w="2800" w:type="dxa"/>
            <w:tcBorders>
              <w:top w:val="single" w:sz="12" w:space="0" w:color="000000" w:themeColor="text1"/>
              <w:left w:val="nil"/>
              <w:bottom w:val="single" w:sz="4" w:space="0" w:color="D9D9D9" w:themeColor="background1" w:themeShade="D9"/>
              <w:right w:val="nil"/>
            </w:tcBorders>
            <w:vAlign w:val="center"/>
            <w:hideMark/>
          </w:tcPr>
          <w:p w14:paraId="083761CE" w14:textId="77777777" w:rsidR="001429E1" w:rsidRPr="00726FD3" w:rsidRDefault="001429E1" w:rsidP="001D7B5C">
            <w:pPr>
              <w:spacing w:after="0" w:line="240" w:lineRule="auto"/>
              <w:jc w:val="center"/>
              <w:rPr>
                <w:rFonts w:ascii="Calibri" w:eastAsia="Calibri" w:hAnsi="Calibri" w:cs="Times New Roman"/>
                <w:color w:val="000000"/>
              </w:rPr>
            </w:pPr>
            <w:r w:rsidRPr="00726FD3">
              <w:rPr>
                <w:rFonts w:ascii="Calibri" w:eastAsia="Calibri" w:hAnsi="Calibri" w:cs="Times New Roman"/>
                <w:color w:val="000000"/>
              </w:rPr>
              <w:t>0.674 (0.607-0.740)</w:t>
            </w:r>
          </w:p>
        </w:tc>
        <w:tc>
          <w:tcPr>
            <w:tcW w:w="2800" w:type="dxa"/>
            <w:tcBorders>
              <w:top w:val="single" w:sz="12" w:space="0" w:color="000000" w:themeColor="text1"/>
              <w:left w:val="nil"/>
              <w:bottom w:val="single" w:sz="4" w:space="0" w:color="D9D9D9" w:themeColor="background1" w:themeShade="D9"/>
              <w:right w:val="nil"/>
            </w:tcBorders>
            <w:vAlign w:val="center"/>
            <w:hideMark/>
          </w:tcPr>
          <w:p w14:paraId="4FAFDAED"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0.619 (0.556-0.683)</w:t>
            </w:r>
          </w:p>
          <w:p w14:paraId="286E8DB1"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0.09</w:t>
            </w:r>
          </w:p>
        </w:tc>
        <w:tc>
          <w:tcPr>
            <w:tcW w:w="2800" w:type="dxa"/>
            <w:tcBorders>
              <w:top w:val="single" w:sz="12" w:space="0" w:color="000000" w:themeColor="text1"/>
              <w:left w:val="nil"/>
              <w:bottom w:val="single" w:sz="4" w:space="0" w:color="D9D9D9" w:themeColor="background1" w:themeShade="D9"/>
              <w:right w:val="nil"/>
            </w:tcBorders>
            <w:vAlign w:val="center"/>
            <w:hideMark/>
          </w:tcPr>
          <w:p w14:paraId="343E7FBD"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0.638 (0.567-0.710)</w:t>
            </w:r>
          </w:p>
          <w:p w14:paraId="5CB75797"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0.16</w:t>
            </w:r>
          </w:p>
        </w:tc>
        <w:tc>
          <w:tcPr>
            <w:tcW w:w="2800" w:type="dxa"/>
            <w:tcBorders>
              <w:top w:val="single" w:sz="12" w:space="0" w:color="000000" w:themeColor="text1"/>
              <w:left w:val="nil"/>
              <w:bottom w:val="single" w:sz="4" w:space="0" w:color="D9D9D9" w:themeColor="background1" w:themeShade="D9"/>
              <w:right w:val="nil"/>
            </w:tcBorders>
            <w:vAlign w:val="center"/>
            <w:hideMark/>
          </w:tcPr>
          <w:p w14:paraId="00A82535"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0.684 (0.619-0.750)</w:t>
            </w:r>
          </w:p>
          <w:p w14:paraId="4DA82491"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0.65</w:t>
            </w:r>
          </w:p>
        </w:tc>
      </w:tr>
      <w:tr w:rsidR="001429E1" w:rsidRPr="00726FD3" w14:paraId="3878E3D2" w14:textId="77777777" w:rsidTr="001D7B5C">
        <w:trPr>
          <w:trHeight w:val="680"/>
        </w:trPr>
        <w:tc>
          <w:tcPr>
            <w:tcW w:w="1951" w:type="dxa"/>
            <w:tcBorders>
              <w:top w:val="single" w:sz="4" w:space="0" w:color="D9D9D9" w:themeColor="background1" w:themeShade="D9"/>
              <w:left w:val="nil"/>
              <w:bottom w:val="single" w:sz="4" w:space="0" w:color="D9D9D9" w:themeColor="background1" w:themeShade="D9"/>
              <w:right w:val="nil"/>
            </w:tcBorders>
            <w:vAlign w:val="center"/>
            <w:hideMark/>
          </w:tcPr>
          <w:p w14:paraId="0ED39D84" w14:textId="77777777" w:rsidR="001429E1" w:rsidRPr="00726FD3" w:rsidRDefault="001429E1" w:rsidP="001D7B5C">
            <w:pPr>
              <w:spacing w:after="0" w:line="240" w:lineRule="auto"/>
              <w:rPr>
                <w:rFonts w:ascii="Calibri" w:eastAsia="Calibri" w:hAnsi="Calibri" w:cs="Times New Roman"/>
              </w:rPr>
            </w:pPr>
            <w:r w:rsidRPr="00726FD3">
              <w:rPr>
                <w:rFonts w:ascii="Calibri" w:eastAsia="Calibri" w:hAnsi="Calibri" w:cs="Times New Roman"/>
                <w:lang w:val="en-US"/>
              </w:rPr>
              <w:t>Severe SGA</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674E949C" w14:textId="77777777" w:rsidR="001429E1" w:rsidRPr="00726FD3" w:rsidRDefault="001429E1" w:rsidP="001D7B5C">
            <w:pPr>
              <w:spacing w:after="0" w:line="240" w:lineRule="auto"/>
              <w:jc w:val="center"/>
              <w:rPr>
                <w:rFonts w:ascii="Calibri" w:eastAsia="Calibri" w:hAnsi="Calibri" w:cs="Times New Roman"/>
                <w:color w:val="000000"/>
              </w:rPr>
            </w:pPr>
            <w:r w:rsidRPr="00726FD3">
              <w:rPr>
                <w:rFonts w:ascii="Calibri" w:eastAsia="Calibri" w:hAnsi="Calibri" w:cs="Times New Roman"/>
                <w:color w:val="000000"/>
              </w:rPr>
              <w:t>0.651 (0.589-0.712)</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4CA825B3"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0.599 (0.541-0.657)</w:t>
            </w:r>
          </w:p>
          <w:p w14:paraId="69BB159F"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0.08</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49396D8C"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0.614 (0.545-0.683)</w:t>
            </w:r>
          </w:p>
          <w:p w14:paraId="3B2C6635"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0.11</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3159CAA2"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0.651 (0.589-0.715)</w:t>
            </w:r>
          </w:p>
          <w:p w14:paraId="5CBF7859"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0.92</w:t>
            </w:r>
          </w:p>
        </w:tc>
      </w:tr>
      <w:tr w:rsidR="001429E1" w:rsidRPr="00726FD3" w14:paraId="5F3C45AC" w14:textId="77777777" w:rsidTr="001D7B5C">
        <w:trPr>
          <w:trHeight w:val="680"/>
        </w:trPr>
        <w:tc>
          <w:tcPr>
            <w:tcW w:w="1951" w:type="dxa"/>
            <w:tcBorders>
              <w:top w:val="single" w:sz="4" w:space="0" w:color="D9D9D9" w:themeColor="background1" w:themeShade="D9"/>
              <w:left w:val="nil"/>
              <w:bottom w:val="single" w:sz="4" w:space="0" w:color="D9D9D9" w:themeColor="background1" w:themeShade="D9"/>
              <w:right w:val="nil"/>
            </w:tcBorders>
            <w:vAlign w:val="center"/>
            <w:hideMark/>
          </w:tcPr>
          <w:p w14:paraId="10C8C1F0" w14:textId="77777777" w:rsidR="001429E1" w:rsidRPr="00726FD3" w:rsidRDefault="001429E1" w:rsidP="001D7B5C">
            <w:pPr>
              <w:spacing w:after="0" w:line="240" w:lineRule="auto"/>
              <w:rPr>
                <w:rFonts w:ascii="Calibri" w:eastAsia="Calibri" w:hAnsi="Calibri" w:cs="Times New Roman"/>
              </w:rPr>
            </w:pPr>
            <w:r w:rsidRPr="00726FD3">
              <w:rPr>
                <w:rFonts w:ascii="Calibri" w:eastAsia="Calibri" w:hAnsi="Calibri" w:cs="Times New Roman"/>
                <w:lang w:val="en-US"/>
              </w:rPr>
              <w:t>PE+PTB</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00C4D514" w14:textId="77777777" w:rsidR="001429E1" w:rsidRPr="00726FD3" w:rsidRDefault="001429E1" w:rsidP="001D7B5C">
            <w:pPr>
              <w:spacing w:after="0" w:line="240" w:lineRule="auto"/>
              <w:jc w:val="center"/>
              <w:rPr>
                <w:rFonts w:ascii="Calibri" w:eastAsia="Calibri" w:hAnsi="Calibri" w:cs="Times New Roman"/>
                <w:color w:val="000000"/>
              </w:rPr>
            </w:pPr>
            <w:r w:rsidRPr="00726FD3">
              <w:rPr>
                <w:rFonts w:ascii="Calibri" w:eastAsia="Calibri" w:hAnsi="Calibri" w:cs="Times New Roman"/>
                <w:color w:val="000000"/>
              </w:rPr>
              <w:t>0.596 (0.484-0.708)</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1A2F1F48"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0.511 (0.408-0.613)</w:t>
            </w:r>
          </w:p>
          <w:p w14:paraId="1CCFDDC8"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0.14</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6D7C11B7"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0.586 (0.463-0.710)</w:t>
            </w:r>
          </w:p>
          <w:p w14:paraId="4BC089AF"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0.78</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346EEBE5"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0.595 (0.474-0.716)</w:t>
            </w:r>
          </w:p>
          <w:p w14:paraId="1E5C8A8F"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0.95</w:t>
            </w:r>
          </w:p>
        </w:tc>
      </w:tr>
      <w:tr w:rsidR="001429E1" w:rsidRPr="00726FD3" w14:paraId="779174F8" w14:textId="77777777" w:rsidTr="001D7B5C">
        <w:trPr>
          <w:trHeight w:val="680"/>
        </w:trPr>
        <w:tc>
          <w:tcPr>
            <w:tcW w:w="1951" w:type="dxa"/>
            <w:tcBorders>
              <w:top w:val="single" w:sz="4" w:space="0" w:color="D9D9D9" w:themeColor="background1" w:themeShade="D9"/>
              <w:left w:val="nil"/>
              <w:bottom w:val="single" w:sz="4" w:space="0" w:color="D9D9D9" w:themeColor="background1" w:themeShade="D9"/>
              <w:right w:val="nil"/>
            </w:tcBorders>
            <w:vAlign w:val="center"/>
            <w:hideMark/>
          </w:tcPr>
          <w:p w14:paraId="2649BA64" w14:textId="77777777" w:rsidR="001429E1" w:rsidRPr="00726FD3" w:rsidRDefault="001429E1" w:rsidP="001D7B5C">
            <w:pPr>
              <w:spacing w:after="0" w:line="240" w:lineRule="auto"/>
              <w:rPr>
                <w:rFonts w:ascii="Calibri" w:eastAsia="Calibri" w:hAnsi="Calibri" w:cs="Times New Roman"/>
              </w:rPr>
            </w:pPr>
            <w:r w:rsidRPr="00726FD3">
              <w:rPr>
                <w:rFonts w:ascii="Calibri" w:eastAsia="Calibri" w:hAnsi="Calibri" w:cs="Times New Roman"/>
                <w:lang w:val="en-US"/>
              </w:rPr>
              <w:t>Severe PE</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75805F2C" w14:textId="77777777" w:rsidR="001429E1" w:rsidRPr="00726FD3" w:rsidRDefault="001429E1" w:rsidP="001D7B5C">
            <w:pPr>
              <w:spacing w:after="0" w:line="240" w:lineRule="auto"/>
              <w:jc w:val="center"/>
              <w:rPr>
                <w:rFonts w:ascii="Calibri" w:eastAsia="Calibri" w:hAnsi="Calibri" w:cs="Times New Roman"/>
                <w:color w:val="000000"/>
              </w:rPr>
            </w:pPr>
            <w:r w:rsidRPr="00726FD3">
              <w:rPr>
                <w:rFonts w:ascii="Calibri" w:eastAsia="Calibri" w:hAnsi="Calibri" w:cs="Times New Roman"/>
                <w:color w:val="000000"/>
              </w:rPr>
              <w:t>0.597 (0.546-0.648)</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58D01AD0"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0.564 (0.513-0.615)</w:t>
            </w:r>
          </w:p>
          <w:p w14:paraId="42A172E8"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0.12</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46C203D9"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0.559 (0.509-0.608)</w:t>
            </w:r>
          </w:p>
          <w:p w14:paraId="1C1A864F"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0.08</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409F3C72"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0.590 (0.540-0.640)</w:t>
            </w:r>
          </w:p>
          <w:p w14:paraId="37DEC0A6"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0.36</w:t>
            </w:r>
          </w:p>
        </w:tc>
      </w:tr>
      <w:tr w:rsidR="001429E1" w:rsidRPr="00726FD3" w14:paraId="29D580DD" w14:textId="77777777" w:rsidTr="001D7B5C">
        <w:trPr>
          <w:trHeight w:val="680"/>
        </w:trPr>
        <w:tc>
          <w:tcPr>
            <w:tcW w:w="1951" w:type="dxa"/>
            <w:tcBorders>
              <w:top w:val="single" w:sz="4" w:space="0" w:color="D9D9D9" w:themeColor="background1" w:themeShade="D9"/>
              <w:left w:val="nil"/>
              <w:bottom w:val="single" w:sz="4" w:space="0" w:color="D9D9D9" w:themeColor="background1" w:themeShade="D9"/>
              <w:right w:val="nil"/>
            </w:tcBorders>
            <w:vAlign w:val="center"/>
            <w:hideMark/>
          </w:tcPr>
          <w:p w14:paraId="2241580A"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PE+SGA</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3FDB3A8B" w14:textId="77777777" w:rsidR="001429E1" w:rsidRPr="00726FD3" w:rsidRDefault="001429E1" w:rsidP="001D7B5C">
            <w:pPr>
              <w:spacing w:after="0" w:line="240" w:lineRule="auto"/>
              <w:jc w:val="center"/>
              <w:rPr>
                <w:rFonts w:ascii="Calibri" w:eastAsia="Calibri" w:hAnsi="Calibri" w:cs="Times New Roman"/>
                <w:color w:val="000000"/>
              </w:rPr>
            </w:pPr>
            <w:r w:rsidRPr="00726FD3">
              <w:rPr>
                <w:rFonts w:ascii="Calibri" w:eastAsia="Calibri" w:hAnsi="Calibri" w:cs="Times New Roman"/>
                <w:lang w:val="en-US"/>
              </w:rPr>
              <w:t>0.716 (0.614-0.818)</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5861C834"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0.633 (0.538-0.729)</w:t>
            </w:r>
          </w:p>
          <w:p w14:paraId="3A4A4756"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0.09</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4E9F7CEB"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0.675 (0.572-0.777)</w:t>
            </w:r>
          </w:p>
          <w:p w14:paraId="57881292"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0.15</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1A3D44A8"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0.721 (0.619-0.824)</w:t>
            </w:r>
          </w:p>
          <w:p w14:paraId="3B7F9DCC"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0.69</w:t>
            </w:r>
          </w:p>
        </w:tc>
      </w:tr>
      <w:tr w:rsidR="001429E1" w:rsidRPr="00726FD3" w14:paraId="77B6F310" w14:textId="77777777" w:rsidTr="001D7B5C">
        <w:trPr>
          <w:trHeight w:val="680"/>
        </w:trPr>
        <w:tc>
          <w:tcPr>
            <w:tcW w:w="1951" w:type="dxa"/>
            <w:tcBorders>
              <w:top w:val="single" w:sz="4" w:space="0" w:color="D9D9D9" w:themeColor="background1" w:themeShade="D9"/>
              <w:left w:val="nil"/>
              <w:bottom w:val="single" w:sz="4" w:space="0" w:color="D9D9D9" w:themeColor="background1" w:themeShade="D9"/>
              <w:right w:val="nil"/>
            </w:tcBorders>
            <w:vAlign w:val="center"/>
            <w:hideMark/>
          </w:tcPr>
          <w:p w14:paraId="7EBD6B62"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sPTB</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43CD8B48" w14:textId="77777777" w:rsidR="001429E1" w:rsidRPr="00726FD3" w:rsidRDefault="001429E1" w:rsidP="001D7B5C">
            <w:pPr>
              <w:spacing w:after="0" w:line="240" w:lineRule="auto"/>
              <w:jc w:val="center"/>
              <w:rPr>
                <w:rFonts w:ascii="Calibri" w:eastAsia="Calibri" w:hAnsi="Calibri" w:cs="Times New Roman"/>
                <w:color w:val="000000"/>
              </w:rPr>
            </w:pPr>
            <w:r w:rsidRPr="00726FD3">
              <w:rPr>
                <w:rFonts w:ascii="Calibri" w:eastAsia="Calibri" w:hAnsi="Calibri" w:cs="Times New Roman"/>
                <w:color w:val="000000"/>
              </w:rPr>
              <w:t>0.675 (0.624-0.726)</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3F652C96"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0.605 (0.549-0.661)</w:t>
            </w:r>
          </w:p>
          <w:p w14:paraId="276C51C2"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0.002</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01893C19"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0.643 (0.594-0.691)</w:t>
            </w:r>
          </w:p>
          <w:p w14:paraId="08D33C8A"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0.15</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2AC6291E"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0.689 (0.640-0.738)</w:t>
            </w:r>
          </w:p>
          <w:p w14:paraId="0F241E9C"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0.04</w:t>
            </w:r>
          </w:p>
        </w:tc>
      </w:tr>
      <w:tr w:rsidR="001429E1" w:rsidRPr="00726FD3" w14:paraId="0203E4D8" w14:textId="77777777" w:rsidTr="001D7B5C">
        <w:trPr>
          <w:trHeight w:val="680"/>
        </w:trPr>
        <w:tc>
          <w:tcPr>
            <w:tcW w:w="1951" w:type="dxa"/>
            <w:tcBorders>
              <w:top w:val="single" w:sz="4" w:space="0" w:color="D9D9D9" w:themeColor="background1" w:themeShade="D9"/>
              <w:left w:val="nil"/>
              <w:bottom w:val="single" w:sz="4" w:space="0" w:color="D9D9D9" w:themeColor="background1" w:themeShade="D9"/>
              <w:right w:val="nil"/>
            </w:tcBorders>
            <w:vAlign w:val="center"/>
            <w:hideMark/>
          </w:tcPr>
          <w:p w14:paraId="4097B1B3"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iPTB</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1688EC15" w14:textId="77777777" w:rsidR="001429E1" w:rsidRPr="00726FD3" w:rsidRDefault="001429E1" w:rsidP="001D7B5C">
            <w:pPr>
              <w:spacing w:after="0" w:line="240" w:lineRule="auto"/>
              <w:jc w:val="center"/>
              <w:rPr>
                <w:rFonts w:ascii="Calibri" w:eastAsia="Calibri" w:hAnsi="Calibri" w:cs="Times New Roman"/>
                <w:color w:val="000000"/>
              </w:rPr>
            </w:pPr>
            <w:r w:rsidRPr="00726FD3">
              <w:rPr>
                <w:rFonts w:ascii="Calibri" w:eastAsia="Calibri" w:hAnsi="Calibri" w:cs="Times New Roman"/>
                <w:color w:val="000000"/>
              </w:rPr>
              <w:t>0.637 (0.563-0.710)</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1DD5A31E"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0.599 (0.523-0.668)</w:t>
            </w:r>
          </w:p>
          <w:p w14:paraId="27DF864C"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0.22</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452FE7A1"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0.572 (0.497-0.646)</w:t>
            </w:r>
          </w:p>
          <w:p w14:paraId="59D5D30B"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0.009</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7B0E38BD"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0.623 (0.550-0.696)</w:t>
            </w:r>
          </w:p>
          <w:p w14:paraId="6BA3B281"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0.09</w:t>
            </w:r>
          </w:p>
        </w:tc>
      </w:tr>
      <w:tr w:rsidR="001429E1" w:rsidRPr="00726FD3" w14:paraId="475D962B" w14:textId="77777777" w:rsidTr="001D7B5C">
        <w:trPr>
          <w:trHeight w:val="680"/>
        </w:trPr>
        <w:tc>
          <w:tcPr>
            <w:tcW w:w="1951" w:type="dxa"/>
            <w:tcBorders>
              <w:top w:val="single" w:sz="4" w:space="0" w:color="D9D9D9" w:themeColor="background1" w:themeShade="D9"/>
              <w:left w:val="nil"/>
              <w:bottom w:val="single" w:sz="4" w:space="0" w:color="D9D9D9" w:themeColor="background1" w:themeShade="D9"/>
              <w:right w:val="nil"/>
            </w:tcBorders>
            <w:vAlign w:val="center"/>
            <w:hideMark/>
          </w:tcPr>
          <w:p w14:paraId="6A6EEE2F"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Pre-viable loss</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3CB4785D" w14:textId="77777777" w:rsidR="001429E1" w:rsidRPr="00726FD3" w:rsidRDefault="001429E1" w:rsidP="001D7B5C">
            <w:pPr>
              <w:spacing w:after="0" w:line="240" w:lineRule="auto"/>
              <w:jc w:val="center"/>
              <w:rPr>
                <w:rFonts w:ascii="Calibri" w:eastAsia="Calibri" w:hAnsi="Calibri" w:cs="Times New Roman"/>
                <w:color w:val="000000"/>
              </w:rPr>
            </w:pPr>
            <w:r w:rsidRPr="00726FD3">
              <w:rPr>
                <w:rFonts w:ascii="Calibri" w:eastAsia="Calibri" w:hAnsi="Calibri" w:cs="Times New Roman"/>
                <w:color w:val="000000"/>
              </w:rPr>
              <w:t>0.605 (0.400-0.810)</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727A58DB"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0.660 (0.470-0.851)</w:t>
            </w:r>
          </w:p>
          <w:p w14:paraId="5AAFB7ED"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0.50</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222FEE5E"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0.557 (0.358-0.757)</w:t>
            </w:r>
          </w:p>
          <w:p w14:paraId="23D85BE0"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0.54</w:t>
            </w:r>
          </w:p>
        </w:tc>
        <w:tc>
          <w:tcPr>
            <w:tcW w:w="2800" w:type="dxa"/>
            <w:tcBorders>
              <w:top w:val="single" w:sz="4" w:space="0" w:color="D9D9D9" w:themeColor="background1" w:themeShade="D9"/>
              <w:left w:val="nil"/>
              <w:bottom w:val="single" w:sz="4" w:space="0" w:color="D9D9D9" w:themeColor="background1" w:themeShade="D9"/>
              <w:right w:val="nil"/>
            </w:tcBorders>
            <w:vAlign w:val="center"/>
            <w:hideMark/>
          </w:tcPr>
          <w:p w14:paraId="3E495E0B"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0.644 (0.446-0.843)</w:t>
            </w:r>
          </w:p>
          <w:p w14:paraId="1FA99248"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0.40</w:t>
            </w:r>
          </w:p>
        </w:tc>
      </w:tr>
      <w:tr w:rsidR="001429E1" w:rsidRPr="00726FD3" w14:paraId="0B3FBE0B" w14:textId="77777777" w:rsidTr="001D7B5C">
        <w:trPr>
          <w:trHeight w:val="680"/>
        </w:trPr>
        <w:tc>
          <w:tcPr>
            <w:tcW w:w="1951" w:type="dxa"/>
            <w:tcBorders>
              <w:top w:val="single" w:sz="4" w:space="0" w:color="D9D9D9" w:themeColor="background1" w:themeShade="D9"/>
              <w:left w:val="nil"/>
              <w:bottom w:val="single" w:sz="12" w:space="0" w:color="000000" w:themeColor="text1"/>
              <w:right w:val="nil"/>
            </w:tcBorders>
            <w:vAlign w:val="center"/>
            <w:hideMark/>
          </w:tcPr>
          <w:p w14:paraId="6C56CA6F" w14:textId="77777777" w:rsidR="001429E1" w:rsidRPr="00726FD3" w:rsidRDefault="001429E1" w:rsidP="001D7B5C">
            <w:pPr>
              <w:spacing w:after="0" w:line="240" w:lineRule="auto"/>
              <w:rPr>
                <w:rFonts w:ascii="Calibri" w:eastAsia="Calibri" w:hAnsi="Calibri" w:cs="Times New Roman"/>
                <w:lang w:val="en-US"/>
              </w:rPr>
            </w:pPr>
            <w:r w:rsidRPr="00726FD3">
              <w:rPr>
                <w:rFonts w:ascii="Calibri" w:eastAsia="Calibri" w:hAnsi="Calibri" w:cs="Times New Roman"/>
                <w:lang w:val="en-US"/>
              </w:rPr>
              <w:t>Stillbirth</w:t>
            </w:r>
          </w:p>
        </w:tc>
        <w:tc>
          <w:tcPr>
            <w:tcW w:w="2800" w:type="dxa"/>
            <w:tcBorders>
              <w:top w:val="single" w:sz="4" w:space="0" w:color="D9D9D9" w:themeColor="background1" w:themeShade="D9"/>
              <w:left w:val="nil"/>
              <w:bottom w:val="single" w:sz="12" w:space="0" w:color="000000" w:themeColor="text1"/>
              <w:right w:val="nil"/>
            </w:tcBorders>
            <w:vAlign w:val="center"/>
            <w:hideMark/>
          </w:tcPr>
          <w:p w14:paraId="58A0E3DB" w14:textId="77777777" w:rsidR="001429E1" w:rsidRPr="00726FD3" w:rsidRDefault="001429E1" w:rsidP="001D7B5C">
            <w:pPr>
              <w:spacing w:after="0" w:line="240" w:lineRule="auto"/>
              <w:jc w:val="center"/>
              <w:rPr>
                <w:rFonts w:ascii="Calibri" w:eastAsia="Calibri" w:hAnsi="Calibri" w:cs="Times New Roman"/>
                <w:color w:val="000000"/>
              </w:rPr>
            </w:pPr>
            <w:r w:rsidRPr="00726FD3">
              <w:rPr>
                <w:rFonts w:ascii="Calibri" w:eastAsia="Calibri" w:hAnsi="Calibri" w:cs="Times New Roman"/>
                <w:color w:val="000000"/>
              </w:rPr>
              <w:t>0.611 (0.413-0.809)</w:t>
            </w:r>
          </w:p>
        </w:tc>
        <w:tc>
          <w:tcPr>
            <w:tcW w:w="2800" w:type="dxa"/>
            <w:tcBorders>
              <w:top w:val="single" w:sz="4" w:space="0" w:color="D9D9D9" w:themeColor="background1" w:themeShade="D9"/>
              <w:left w:val="nil"/>
              <w:bottom w:val="single" w:sz="12" w:space="0" w:color="000000" w:themeColor="text1"/>
              <w:right w:val="nil"/>
            </w:tcBorders>
            <w:vAlign w:val="center"/>
            <w:hideMark/>
          </w:tcPr>
          <w:p w14:paraId="2F52392D"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0.623 (0.467-0.779)</w:t>
            </w:r>
          </w:p>
          <w:p w14:paraId="00684D6A"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0.83</w:t>
            </w:r>
          </w:p>
        </w:tc>
        <w:tc>
          <w:tcPr>
            <w:tcW w:w="2800" w:type="dxa"/>
            <w:tcBorders>
              <w:top w:val="single" w:sz="4" w:space="0" w:color="D9D9D9" w:themeColor="background1" w:themeShade="D9"/>
              <w:left w:val="nil"/>
              <w:bottom w:val="single" w:sz="12" w:space="0" w:color="000000" w:themeColor="text1"/>
              <w:right w:val="nil"/>
            </w:tcBorders>
            <w:vAlign w:val="center"/>
            <w:hideMark/>
          </w:tcPr>
          <w:p w14:paraId="3C6E9BB9"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0.563 (0.381-0.745)</w:t>
            </w:r>
          </w:p>
          <w:p w14:paraId="7A58D53B"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0.39</w:t>
            </w:r>
          </w:p>
        </w:tc>
        <w:tc>
          <w:tcPr>
            <w:tcW w:w="2800" w:type="dxa"/>
            <w:tcBorders>
              <w:top w:val="single" w:sz="4" w:space="0" w:color="D9D9D9" w:themeColor="background1" w:themeShade="D9"/>
              <w:left w:val="nil"/>
              <w:bottom w:val="single" w:sz="12" w:space="0" w:color="000000" w:themeColor="text1"/>
              <w:right w:val="nil"/>
            </w:tcBorders>
            <w:vAlign w:val="center"/>
            <w:hideMark/>
          </w:tcPr>
          <w:p w14:paraId="3CF93C88"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0.631 (0.467-0.796)</w:t>
            </w:r>
          </w:p>
          <w:p w14:paraId="4094103D" w14:textId="77777777" w:rsidR="001429E1" w:rsidRPr="00726FD3" w:rsidRDefault="001429E1" w:rsidP="001D7B5C">
            <w:pPr>
              <w:spacing w:after="0" w:line="240" w:lineRule="auto"/>
              <w:jc w:val="center"/>
              <w:rPr>
                <w:rFonts w:ascii="Calibri" w:eastAsia="Calibri" w:hAnsi="Calibri" w:cs="Times New Roman"/>
              </w:rPr>
            </w:pPr>
            <w:r w:rsidRPr="00726FD3">
              <w:rPr>
                <w:rFonts w:ascii="Calibri" w:eastAsia="Calibri" w:hAnsi="Calibri" w:cs="Times New Roman"/>
              </w:rPr>
              <w:t>0.64</w:t>
            </w:r>
          </w:p>
        </w:tc>
      </w:tr>
    </w:tbl>
    <w:p w14:paraId="276A6338" w14:textId="77777777" w:rsidR="001429E1" w:rsidRPr="00726FD3" w:rsidRDefault="001429E1" w:rsidP="001429E1">
      <w:pPr>
        <w:spacing w:after="0" w:line="240" w:lineRule="auto"/>
        <w:jc w:val="both"/>
        <w:rPr>
          <w:rFonts w:ascii="Calibri" w:eastAsia="Calibri" w:hAnsi="Calibri" w:cs="Times New Roman"/>
          <w:sz w:val="20"/>
          <w:szCs w:val="20"/>
          <w:vertAlign w:val="superscript"/>
          <w:lang w:val="en-US"/>
        </w:rPr>
      </w:pPr>
      <w:r w:rsidRPr="00726FD3">
        <w:rPr>
          <w:rFonts w:ascii="Calibri" w:eastAsia="Times New Roman" w:hAnsi="Calibri" w:cs="Times New Roman"/>
          <w:color w:val="000000"/>
          <w:kern w:val="24"/>
          <w:sz w:val="20"/>
          <w:szCs w:val="20"/>
        </w:rPr>
        <w:t>CI, confidence interval; iPTB, iatrogenic preterm birth; FGR, fetal growth restriction; MoM, multiples of the median; PE, preeclampsia; SGA, small for gestational age; sPTB, spontaneous preterm birth; wkGA, weeks of gestational age.</w:t>
      </w:r>
      <w:r w:rsidRPr="00726FD3">
        <w:rPr>
          <w:rFonts w:ascii="Calibri" w:eastAsia="Calibri" w:hAnsi="Calibri" w:cs="Times New Roman"/>
          <w:sz w:val="20"/>
          <w:szCs w:val="20"/>
          <w:vertAlign w:val="superscript"/>
          <w:lang w:val="en-US"/>
        </w:rPr>
        <w:t xml:space="preserve"> </w:t>
      </w:r>
    </w:p>
    <w:p w14:paraId="376D302A" w14:textId="77777777" w:rsidR="001429E1" w:rsidRDefault="001429E1" w:rsidP="001429E1">
      <w:pPr>
        <w:spacing w:after="0" w:line="240" w:lineRule="auto"/>
        <w:jc w:val="both"/>
        <w:rPr>
          <w:rFonts w:ascii="Calibri" w:eastAsia="Calibri" w:hAnsi="Calibri" w:cs="Times New Roman"/>
          <w:sz w:val="20"/>
          <w:szCs w:val="20"/>
          <w:vertAlign w:val="superscript"/>
          <w:lang w:val="en-US"/>
        </w:rPr>
      </w:pPr>
    </w:p>
    <w:p w14:paraId="78084D42" w14:textId="77777777" w:rsidR="001429E1" w:rsidRPr="00265B3B" w:rsidRDefault="001429E1" w:rsidP="001429E1">
      <w:pPr>
        <w:spacing w:after="0" w:line="240" w:lineRule="auto"/>
        <w:outlineLvl w:val="0"/>
        <w:rPr>
          <w:b/>
          <w:sz w:val="24"/>
          <w:szCs w:val="24"/>
          <w:lang w:val="en-US"/>
        </w:rPr>
      </w:pPr>
      <w:r w:rsidRPr="00265B3B">
        <w:rPr>
          <w:b/>
          <w:sz w:val="24"/>
          <w:szCs w:val="24"/>
          <w:lang w:val="en-US"/>
        </w:rPr>
        <w:t>Supplemental tables</w:t>
      </w:r>
    </w:p>
    <w:p w14:paraId="7188CEF1" w14:textId="77777777" w:rsidR="001429E1" w:rsidRPr="00265B3B" w:rsidRDefault="001429E1" w:rsidP="001429E1">
      <w:pPr>
        <w:spacing w:after="0" w:line="240" w:lineRule="auto"/>
        <w:outlineLvl w:val="0"/>
        <w:rPr>
          <w:sz w:val="24"/>
          <w:szCs w:val="24"/>
          <w:u w:val="single"/>
          <w:lang w:val="en-US"/>
        </w:rPr>
      </w:pPr>
    </w:p>
    <w:p w14:paraId="2877D808" w14:textId="77777777" w:rsidR="001429E1" w:rsidRPr="00265B3B" w:rsidRDefault="001429E1" w:rsidP="001429E1">
      <w:pPr>
        <w:spacing w:after="0" w:line="480" w:lineRule="auto"/>
        <w:outlineLvl w:val="0"/>
        <w:rPr>
          <w:b/>
          <w:sz w:val="24"/>
          <w:szCs w:val="24"/>
          <w:lang w:val="en-US"/>
        </w:rPr>
      </w:pPr>
      <w:r w:rsidRPr="00265B3B">
        <w:rPr>
          <w:b/>
          <w:sz w:val="24"/>
          <w:szCs w:val="24"/>
          <w:lang w:val="en-US"/>
        </w:rPr>
        <w:t xml:space="preserve">Supplemental Table 1. </w:t>
      </w:r>
      <w:r>
        <w:rPr>
          <w:b/>
          <w:sz w:val="24"/>
          <w:szCs w:val="24"/>
          <w:lang w:val="en-US"/>
        </w:rPr>
        <w:t>O</w:t>
      </w:r>
      <w:r w:rsidRPr="00265B3B">
        <w:rPr>
          <w:b/>
          <w:sz w:val="24"/>
          <w:szCs w:val="24"/>
          <w:lang w:val="en-US"/>
        </w:rPr>
        <w:t>verlap</w:t>
      </w:r>
      <w:r>
        <w:rPr>
          <w:b/>
          <w:sz w:val="24"/>
          <w:szCs w:val="24"/>
          <w:lang w:val="en-US"/>
        </w:rPr>
        <w:t>s</w:t>
      </w:r>
      <w:r w:rsidRPr="00265B3B">
        <w:rPr>
          <w:b/>
          <w:sz w:val="24"/>
          <w:szCs w:val="24"/>
          <w:lang w:val="en-US"/>
        </w:rPr>
        <w:t xml:space="preserve"> between adverse outcome</w:t>
      </w:r>
      <w:r>
        <w:rPr>
          <w:b/>
          <w:sz w:val="24"/>
          <w:szCs w:val="24"/>
          <w:lang w:val="en-US"/>
        </w:rPr>
        <w:t>s given as a number of women for each pair of outcomes</w:t>
      </w:r>
      <w:r w:rsidRPr="00265B3B">
        <w:rPr>
          <w:b/>
          <w:sz w:val="24"/>
          <w:szCs w:val="24"/>
          <w:lang w:val="en-US"/>
        </w:rPr>
        <w:t>.</w:t>
      </w:r>
    </w:p>
    <w:tbl>
      <w:tblPr>
        <w:tblStyle w:val="TableGrid"/>
        <w:tblpPr w:leftFromText="180" w:rightFromText="180" w:vertAnchor="text" w:horzAnchor="margin" w:tblpY="27"/>
        <w:tblW w:w="0" w:type="auto"/>
        <w:tblLayout w:type="fixed"/>
        <w:tblLook w:val="04A0" w:firstRow="1" w:lastRow="0" w:firstColumn="1" w:lastColumn="0" w:noHBand="0" w:noVBand="1"/>
      </w:tblPr>
      <w:tblGrid>
        <w:gridCol w:w="1309"/>
        <w:gridCol w:w="1309"/>
        <w:gridCol w:w="1309"/>
        <w:gridCol w:w="1308"/>
        <w:gridCol w:w="1309"/>
        <w:gridCol w:w="1309"/>
        <w:gridCol w:w="1308"/>
        <w:gridCol w:w="1309"/>
        <w:gridCol w:w="1309"/>
      </w:tblGrid>
      <w:tr w:rsidR="001429E1" w14:paraId="498743AA" w14:textId="77777777" w:rsidTr="001D7B5C">
        <w:trPr>
          <w:trHeight w:val="412"/>
        </w:trPr>
        <w:tc>
          <w:tcPr>
            <w:tcW w:w="1309" w:type="dxa"/>
            <w:tcBorders>
              <w:top w:val="single" w:sz="12" w:space="0" w:color="auto"/>
              <w:left w:val="nil"/>
              <w:bottom w:val="single" w:sz="12" w:space="0" w:color="auto"/>
              <w:right w:val="single" w:sz="12" w:space="0" w:color="auto"/>
            </w:tcBorders>
            <w:shd w:val="clear" w:color="auto" w:fill="auto"/>
          </w:tcPr>
          <w:p w14:paraId="18A774B7" w14:textId="77777777" w:rsidR="001429E1" w:rsidRPr="00A616C1" w:rsidRDefault="001429E1" w:rsidP="001D7B5C">
            <w:pPr>
              <w:spacing w:line="480" w:lineRule="auto"/>
              <w:outlineLvl w:val="0"/>
              <w:rPr>
                <w:b/>
                <w:lang w:val="en-US"/>
              </w:rPr>
            </w:pPr>
            <w:r w:rsidRPr="00A616C1">
              <w:rPr>
                <w:b/>
                <w:lang w:val="en-US"/>
              </w:rPr>
              <w:t>Adverse outcome</w:t>
            </w:r>
          </w:p>
        </w:tc>
        <w:tc>
          <w:tcPr>
            <w:tcW w:w="1309" w:type="dxa"/>
            <w:tcBorders>
              <w:top w:val="single" w:sz="12" w:space="0" w:color="auto"/>
              <w:left w:val="single" w:sz="12" w:space="0" w:color="auto"/>
              <w:bottom w:val="single" w:sz="12" w:space="0" w:color="auto"/>
            </w:tcBorders>
            <w:shd w:val="clear" w:color="auto" w:fill="auto"/>
          </w:tcPr>
          <w:p w14:paraId="6B3540BB" w14:textId="77777777" w:rsidR="001429E1" w:rsidRPr="00A616C1" w:rsidRDefault="001429E1" w:rsidP="001D7B5C">
            <w:pPr>
              <w:spacing w:line="480" w:lineRule="auto"/>
              <w:jc w:val="center"/>
              <w:outlineLvl w:val="0"/>
              <w:rPr>
                <w:b/>
                <w:lang w:val="en-US"/>
              </w:rPr>
            </w:pPr>
            <w:r w:rsidRPr="00A616C1">
              <w:rPr>
                <w:b/>
                <w:lang w:val="en-US"/>
              </w:rPr>
              <w:t>FGR</w:t>
            </w:r>
          </w:p>
        </w:tc>
        <w:tc>
          <w:tcPr>
            <w:tcW w:w="1309" w:type="dxa"/>
            <w:tcBorders>
              <w:top w:val="single" w:sz="12" w:space="0" w:color="auto"/>
              <w:bottom w:val="single" w:sz="12" w:space="0" w:color="auto"/>
            </w:tcBorders>
            <w:shd w:val="clear" w:color="auto" w:fill="auto"/>
          </w:tcPr>
          <w:p w14:paraId="7501453C" w14:textId="77777777" w:rsidR="001429E1" w:rsidRPr="00A616C1" w:rsidRDefault="001429E1" w:rsidP="001D7B5C">
            <w:pPr>
              <w:spacing w:line="480" w:lineRule="auto"/>
              <w:jc w:val="center"/>
              <w:outlineLvl w:val="0"/>
              <w:rPr>
                <w:b/>
                <w:lang w:val="en-US"/>
              </w:rPr>
            </w:pPr>
            <w:r w:rsidRPr="00A616C1">
              <w:rPr>
                <w:b/>
                <w:lang w:val="en-US"/>
              </w:rPr>
              <w:t>Severe SGA</w:t>
            </w:r>
          </w:p>
        </w:tc>
        <w:tc>
          <w:tcPr>
            <w:tcW w:w="1308" w:type="dxa"/>
            <w:tcBorders>
              <w:top w:val="single" w:sz="12" w:space="0" w:color="auto"/>
              <w:bottom w:val="single" w:sz="12" w:space="0" w:color="auto"/>
            </w:tcBorders>
            <w:shd w:val="clear" w:color="auto" w:fill="auto"/>
          </w:tcPr>
          <w:p w14:paraId="4CCA0003" w14:textId="77777777" w:rsidR="001429E1" w:rsidRPr="00A616C1" w:rsidRDefault="001429E1" w:rsidP="001D7B5C">
            <w:pPr>
              <w:spacing w:line="480" w:lineRule="auto"/>
              <w:jc w:val="center"/>
              <w:outlineLvl w:val="0"/>
              <w:rPr>
                <w:b/>
                <w:lang w:val="en-US"/>
              </w:rPr>
            </w:pPr>
            <w:r w:rsidRPr="00A616C1">
              <w:rPr>
                <w:b/>
                <w:lang w:val="en-US"/>
              </w:rPr>
              <w:t>PE+PTB</w:t>
            </w:r>
          </w:p>
        </w:tc>
        <w:tc>
          <w:tcPr>
            <w:tcW w:w="1309" w:type="dxa"/>
            <w:tcBorders>
              <w:top w:val="single" w:sz="12" w:space="0" w:color="auto"/>
              <w:bottom w:val="single" w:sz="12" w:space="0" w:color="auto"/>
            </w:tcBorders>
            <w:shd w:val="clear" w:color="auto" w:fill="auto"/>
          </w:tcPr>
          <w:p w14:paraId="7C6F5E9C" w14:textId="77777777" w:rsidR="001429E1" w:rsidRPr="00A616C1" w:rsidRDefault="001429E1" w:rsidP="001D7B5C">
            <w:pPr>
              <w:spacing w:line="480" w:lineRule="auto"/>
              <w:jc w:val="center"/>
              <w:outlineLvl w:val="0"/>
              <w:rPr>
                <w:b/>
                <w:lang w:val="en-US"/>
              </w:rPr>
            </w:pPr>
            <w:r w:rsidRPr="00A616C1">
              <w:rPr>
                <w:b/>
                <w:lang w:val="en-US"/>
              </w:rPr>
              <w:t>Severe PE</w:t>
            </w:r>
          </w:p>
        </w:tc>
        <w:tc>
          <w:tcPr>
            <w:tcW w:w="1309" w:type="dxa"/>
            <w:tcBorders>
              <w:top w:val="single" w:sz="12" w:space="0" w:color="auto"/>
              <w:bottom w:val="single" w:sz="12" w:space="0" w:color="auto"/>
            </w:tcBorders>
            <w:shd w:val="clear" w:color="auto" w:fill="auto"/>
          </w:tcPr>
          <w:p w14:paraId="578D799C" w14:textId="77777777" w:rsidR="001429E1" w:rsidRPr="00A616C1" w:rsidRDefault="001429E1" w:rsidP="001D7B5C">
            <w:pPr>
              <w:spacing w:line="480" w:lineRule="auto"/>
              <w:jc w:val="center"/>
              <w:outlineLvl w:val="0"/>
              <w:rPr>
                <w:b/>
                <w:lang w:val="en-US"/>
              </w:rPr>
            </w:pPr>
            <w:r w:rsidRPr="00A616C1">
              <w:rPr>
                <w:b/>
                <w:lang w:val="en-US"/>
              </w:rPr>
              <w:t>PE+SGA</w:t>
            </w:r>
          </w:p>
        </w:tc>
        <w:tc>
          <w:tcPr>
            <w:tcW w:w="1308" w:type="dxa"/>
            <w:tcBorders>
              <w:top w:val="single" w:sz="12" w:space="0" w:color="auto"/>
              <w:bottom w:val="single" w:sz="12" w:space="0" w:color="auto"/>
            </w:tcBorders>
            <w:shd w:val="clear" w:color="auto" w:fill="auto"/>
          </w:tcPr>
          <w:p w14:paraId="697F4816" w14:textId="77777777" w:rsidR="001429E1" w:rsidRPr="00A616C1" w:rsidRDefault="001429E1" w:rsidP="001D7B5C">
            <w:pPr>
              <w:spacing w:line="480" w:lineRule="auto"/>
              <w:jc w:val="center"/>
              <w:outlineLvl w:val="0"/>
              <w:rPr>
                <w:b/>
                <w:lang w:val="en-US"/>
              </w:rPr>
            </w:pPr>
            <w:r w:rsidRPr="00A616C1">
              <w:rPr>
                <w:b/>
                <w:lang w:val="en-US"/>
              </w:rPr>
              <w:t>sPTB</w:t>
            </w:r>
          </w:p>
        </w:tc>
        <w:tc>
          <w:tcPr>
            <w:tcW w:w="1309" w:type="dxa"/>
            <w:tcBorders>
              <w:top w:val="single" w:sz="12" w:space="0" w:color="auto"/>
              <w:bottom w:val="single" w:sz="12" w:space="0" w:color="auto"/>
            </w:tcBorders>
            <w:shd w:val="clear" w:color="auto" w:fill="auto"/>
          </w:tcPr>
          <w:p w14:paraId="52FD5BD8" w14:textId="77777777" w:rsidR="001429E1" w:rsidRPr="00A616C1" w:rsidRDefault="001429E1" w:rsidP="001D7B5C">
            <w:pPr>
              <w:spacing w:line="480" w:lineRule="auto"/>
              <w:jc w:val="center"/>
              <w:outlineLvl w:val="0"/>
              <w:rPr>
                <w:b/>
                <w:lang w:val="en-US"/>
              </w:rPr>
            </w:pPr>
            <w:r w:rsidRPr="00A616C1">
              <w:rPr>
                <w:b/>
                <w:lang w:val="en-US"/>
              </w:rPr>
              <w:t>iPTB</w:t>
            </w:r>
          </w:p>
        </w:tc>
        <w:tc>
          <w:tcPr>
            <w:tcW w:w="1309" w:type="dxa"/>
            <w:tcBorders>
              <w:top w:val="single" w:sz="12" w:space="0" w:color="auto"/>
              <w:bottom w:val="single" w:sz="12" w:space="0" w:color="auto"/>
              <w:right w:val="nil"/>
            </w:tcBorders>
            <w:shd w:val="clear" w:color="auto" w:fill="auto"/>
          </w:tcPr>
          <w:p w14:paraId="5CB93DDE" w14:textId="77777777" w:rsidR="001429E1" w:rsidRPr="00A616C1" w:rsidRDefault="001429E1" w:rsidP="001D7B5C">
            <w:pPr>
              <w:spacing w:line="480" w:lineRule="auto"/>
              <w:jc w:val="center"/>
              <w:outlineLvl w:val="0"/>
              <w:rPr>
                <w:b/>
                <w:lang w:val="en-US"/>
              </w:rPr>
            </w:pPr>
            <w:r w:rsidRPr="00A616C1">
              <w:rPr>
                <w:b/>
                <w:lang w:val="en-US"/>
              </w:rPr>
              <w:t>Stillbirth</w:t>
            </w:r>
          </w:p>
        </w:tc>
      </w:tr>
      <w:tr w:rsidR="001429E1" w14:paraId="5A41D2A1" w14:textId="77777777" w:rsidTr="001D7B5C">
        <w:trPr>
          <w:trHeight w:val="324"/>
        </w:trPr>
        <w:tc>
          <w:tcPr>
            <w:tcW w:w="1309" w:type="dxa"/>
            <w:tcBorders>
              <w:top w:val="single" w:sz="12" w:space="0" w:color="auto"/>
              <w:left w:val="nil"/>
              <w:right w:val="single" w:sz="12" w:space="0" w:color="auto"/>
            </w:tcBorders>
            <w:shd w:val="clear" w:color="auto" w:fill="auto"/>
          </w:tcPr>
          <w:p w14:paraId="653BBEAD" w14:textId="77777777" w:rsidR="001429E1" w:rsidRPr="00A616C1" w:rsidRDefault="001429E1" w:rsidP="001D7B5C">
            <w:pPr>
              <w:spacing w:line="480" w:lineRule="auto"/>
              <w:outlineLvl w:val="0"/>
              <w:rPr>
                <w:b/>
                <w:lang w:val="en-US"/>
              </w:rPr>
            </w:pPr>
            <w:r w:rsidRPr="00A616C1">
              <w:rPr>
                <w:b/>
                <w:lang w:val="en-US"/>
              </w:rPr>
              <w:t>FGR</w:t>
            </w:r>
          </w:p>
        </w:tc>
        <w:tc>
          <w:tcPr>
            <w:tcW w:w="1309" w:type="dxa"/>
            <w:tcBorders>
              <w:top w:val="single" w:sz="12" w:space="0" w:color="auto"/>
              <w:left w:val="single" w:sz="12" w:space="0" w:color="auto"/>
            </w:tcBorders>
            <w:shd w:val="clear" w:color="auto" w:fill="auto"/>
            <w:vAlign w:val="center"/>
          </w:tcPr>
          <w:p w14:paraId="400EDE98" w14:textId="77777777" w:rsidR="001429E1" w:rsidRDefault="001429E1" w:rsidP="001D7B5C">
            <w:pPr>
              <w:spacing w:line="480" w:lineRule="auto"/>
              <w:jc w:val="center"/>
              <w:outlineLvl w:val="0"/>
              <w:rPr>
                <w:lang w:val="en-US"/>
              </w:rPr>
            </w:pPr>
            <w:r>
              <w:rPr>
                <w:lang w:val="en-US"/>
              </w:rPr>
              <w:t>74</w:t>
            </w:r>
          </w:p>
        </w:tc>
        <w:tc>
          <w:tcPr>
            <w:tcW w:w="1309" w:type="dxa"/>
            <w:tcBorders>
              <w:top w:val="single" w:sz="12" w:space="0" w:color="auto"/>
            </w:tcBorders>
            <w:shd w:val="clear" w:color="auto" w:fill="BFBFBF" w:themeFill="background1" w:themeFillShade="BF"/>
            <w:vAlign w:val="center"/>
          </w:tcPr>
          <w:p w14:paraId="157E4EB4" w14:textId="77777777" w:rsidR="001429E1" w:rsidRDefault="001429E1" w:rsidP="001D7B5C">
            <w:pPr>
              <w:spacing w:line="480" w:lineRule="auto"/>
              <w:jc w:val="center"/>
              <w:outlineLvl w:val="0"/>
              <w:rPr>
                <w:lang w:val="en-US"/>
              </w:rPr>
            </w:pPr>
          </w:p>
        </w:tc>
        <w:tc>
          <w:tcPr>
            <w:tcW w:w="1308" w:type="dxa"/>
            <w:tcBorders>
              <w:top w:val="single" w:sz="12" w:space="0" w:color="auto"/>
            </w:tcBorders>
            <w:shd w:val="clear" w:color="auto" w:fill="BFBFBF" w:themeFill="background1" w:themeFillShade="BF"/>
            <w:vAlign w:val="center"/>
          </w:tcPr>
          <w:p w14:paraId="299E0EEE" w14:textId="77777777" w:rsidR="001429E1" w:rsidRDefault="001429E1" w:rsidP="001D7B5C">
            <w:pPr>
              <w:spacing w:line="480" w:lineRule="auto"/>
              <w:jc w:val="center"/>
              <w:outlineLvl w:val="0"/>
              <w:rPr>
                <w:lang w:val="en-US"/>
              </w:rPr>
            </w:pPr>
          </w:p>
        </w:tc>
        <w:tc>
          <w:tcPr>
            <w:tcW w:w="1309" w:type="dxa"/>
            <w:tcBorders>
              <w:top w:val="single" w:sz="12" w:space="0" w:color="auto"/>
            </w:tcBorders>
            <w:shd w:val="clear" w:color="auto" w:fill="BFBFBF" w:themeFill="background1" w:themeFillShade="BF"/>
            <w:vAlign w:val="center"/>
          </w:tcPr>
          <w:p w14:paraId="2FAF9B80" w14:textId="77777777" w:rsidR="001429E1" w:rsidRDefault="001429E1" w:rsidP="001D7B5C">
            <w:pPr>
              <w:spacing w:line="480" w:lineRule="auto"/>
              <w:jc w:val="center"/>
              <w:outlineLvl w:val="0"/>
              <w:rPr>
                <w:lang w:val="en-US"/>
              </w:rPr>
            </w:pPr>
          </w:p>
        </w:tc>
        <w:tc>
          <w:tcPr>
            <w:tcW w:w="1309" w:type="dxa"/>
            <w:tcBorders>
              <w:top w:val="single" w:sz="12" w:space="0" w:color="auto"/>
            </w:tcBorders>
            <w:shd w:val="clear" w:color="auto" w:fill="BFBFBF" w:themeFill="background1" w:themeFillShade="BF"/>
            <w:vAlign w:val="center"/>
          </w:tcPr>
          <w:p w14:paraId="7EED4B92" w14:textId="77777777" w:rsidR="001429E1" w:rsidRDefault="001429E1" w:rsidP="001D7B5C">
            <w:pPr>
              <w:spacing w:line="480" w:lineRule="auto"/>
              <w:jc w:val="center"/>
              <w:outlineLvl w:val="0"/>
              <w:rPr>
                <w:lang w:val="en-US"/>
              </w:rPr>
            </w:pPr>
          </w:p>
        </w:tc>
        <w:tc>
          <w:tcPr>
            <w:tcW w:w="1308" w:type="dxa"/>
            <w:tcBorders>
              <w:top w:val="single" w:sz="12" w:space="0" w:color="auto"/>
            </w:tcBorders>
            <w:shd w:val="clear" w:color="auto" w:fill="BFBFBF" w:themeFill="background1" w:themeFillShade="BF"/>
            <w:vAlign w:val="center"/>
          </w:tcPr>
          <w:p w14:paraId="70792A94" w14:textId="77777777" w:rsidR="001429E1" w:rsidRDefault="001429E1" w:rsidP="001D7B5C">
            <w:pPr>
              <w:spacing w:line="480" w:lineRule="auto"/>
              <w:jc w:val="center"/>
              <w:outlineLvl w:val="0"/>
              <w:rPr>
                <w:lang w:val="en-US"/>
              </w:rPr>
            </w:pPr>
          </w:p>
        </w:tc>
        <w:tc>
          <w:tcPr>
            <w:tcW w:w="1309" w:type="dxa"/>
            <w:tcBorders>
              <w:top w:val="single" w:sz="12" w:space="0" w:color="auto"/>
            </w:tcBorders>
            <w:shd w:val="clear" w:color="auto" w:fill="BFBFBF" w:themeFill="background1" w:themeFillShade="BF"/>
            <w:vAlign w:val="center"/>
          </w:tcPr>
          <w:p w14:paraId="73636A6C" w14:textId="77777777" w:rsidR="001429E1" w:rsidRDefault="001429E1" w:rsidP="001D7B5C">
            <w:pPr>
              <w:spacing w:line="480" w:lineRule="auto"/>
              <w:jc w:val="center"/>
              <w:outlineLvl w:val="0"/>
              <w:rPr>
                <w:lang w:val="en-US"/>
              </w:rPr>
            </w:pPr>
          </w:p>
        </w:tc>
        <w:tc>
          <w:tcPr>
            <w:tcW w:w="1309" w:type="dxa"/>
            <w:tcBorders>
              <w:top w:val="single" w:sz="12" w:space="0" w:color="auto"/>
              <w:right w:val="nil"/>
            </w:tcBorders>
            <w:shd w:val="clear" w:color="auto" w:fill="BFBFBF" w:themeFill="background1" w:themeFillShade="BF"/>
            <w:vAlign w:val="center"/>
          </w:tcPr>
          <w:p w14:paraId="47F69869" w14:textId="77777777" w:rsidR="001429E1" w:rsidRDefault="001429E1" w:rsidP="001D7B5C">
            <w:pPr>
              <w:spacing w:line="480" w:lineRule="auto"/>
              <w:jc w:val="center"/>
              <w:outlineLvl w:val="0"/>
              <w:rPr>
                <w:lang w:val="en-US"/>
              </w:rPr>
            </w:pPr>
          </w:p>
        </w:tc>
      </w:tr>
      <w:tr w:rsidR="001429E1" w14:paraId="48368994" w14:textId="77777777" w:rsidTr="001D7B5C">
        <w:trPr>
          <w:trHeight w:val="344"/>
        </w:trPr>
        <w:tc>
          <w:tcPr>
            <w:tcW w:w="1309" w:type="dxa"/>
            <w:tcBorders>
              <w:left w:val="nil"/>
              <w:right w:val="single" w:sz="12" w:space="0" w:color="auto"/>
            </w:tcBorders>
            <w:shd w:val="clear" w:color="auto" w:fill="auto"/>
          </w:tcPr>
          <w:p w14:paraId="2A3A4634" w14:textId="77777777" w:rsidR="001429E1" w:rsidRPr="00A616C1" w:rsidRDefault="001429E1" w:rsidP="001D7B5C">
            <w:pPr>
              <w:spacing w:line="480" w:lineRule="auto"/>
              <w:outlineLvl w:val="0"/>
              <w:rPr>
                <w:b/>
                <w:lang w:val="en-US"/>
              </w:rPr>
            </w:pPr>
            <w:r w:rsidRPr="00A616C1">
              <w:rPr>
                <w:b/>
                <w:lang w:val="en-US"/>
              </w:rPr>
              <w:t>Severe SGA</w:t>
            </w:r>
          </w:p>
        </w:tc>
        <w:tc>
          <w:tcPr>
            <w:tcW w:w="1309" w:type="dxa"/>
            <w:tcBorders>
              <w:left w:val="single" w:sz="12" w:space="0" w:color="auto"/>
            </w:tcBorders>
            <w:shd w:val="clear" w:color="auto" w:fill="auto"/>
            <w:vAlign w:val="center"/>
          </w:tcPr>
          <w:p w14:paraId="18A3F8F5" w14:textId="77777777" w:rsidR="001429E1" w:rsidRDefault="001429E1" w:rsidP="001D7B5C">
            <w:pPr>
              <w:spacing w:line="480" w:lineRule="auto"/>
              <w:jc w:val="center"/>
              <w:outlineLvl w:val="0"/>
              <w:rPr>
                <w:lang w:val="en-US"/>
              </w:rPr>
            </w:pPr>
            <w:r>
              <w:rPr>
                <w:lang w:val="en-US"/>
              </w:rPr>
              <w:t>35</w:t>
            </w:r>
          </w:p>
        </w:tc>
        <w:tc>
          <w:tcPr>
            <w:tcW w:w="1309" w:type="dxa"/>
            <w:shd w:val="clear" w:color="auto" w:fill="auto"/>
            <w:vAlign w:val="center"/>
          </w:tcPr>
          <w:p w14:paraId="65928E17" w14:textId="77777777" w:rsidR="001429E1" w:rsidRDefault="001429E1" w:rsidP="001D7B5C">
            <w:pPr>
              <w:spacing w:line="480" w:lineRule="auto"/>
              <w:jc w:val="center"/>
              <w:outlineLvl w:val="0"/>
              <w:rPr>
                <w:lang w:val="en-US"/>
              </w:rPr>
            </w:pPr>
            <w:r>
              <w:rPr>
                <w:lang w:val="en-US"/>
              </w:rPr>
              <w:t>94</w:t>
            </w:r>
          </w:p>
        </w:tc>
        <w:tc>
          <w:tcPr>
            <w:tcW w:w="1308" w:type="dxa"/>
            <w:shd w:val="clear" w:color="auto" w:fill="BFBFBF" w:themeFill="background1" w:themeFillShade="BF"/>
            <w:vAlign w:val="center"/>
          </w:tcPr>
          <w:p w14:paraId="4262064F" w14:textId="77777777" w:rsidR="001429E1" w:rsidRDefault="001429E1" w:rsidP="001D7B5C">
            <w:pPr>
              <w:spacing w:line="480" w:lineRule="auto"/>
              <w:jc w:val="center"/>
              <w:outlineLvl w:val="0"/>
              <w:rPr>
                <w:lang w:val="en-US"/>
              </w:rPr>
            </w:pPr>
          </w:p>
        </w:tc>
        <w:tc>
          <w:tcPr>
            <w:tcW w:w="1309" w:type="dxa"/>
            <w:shd w:val="clear" w:color="auto" w:fill="BFBFBF" w:themeFill="background1" w:themeFillShade="BF"/>
            <w:vAlign w:val="center"/>
          </w:tcPr>
          <w:p w14:paraId="4598EB80" w14:textId="77777777" w:rsidR="001429E1" w:rsidRDefault="001429E1" w:rsidP="001D7B5C">
            <w:pPr>
              <w:spacing w:line="480" w:lineRule="auto"/>
              <w:jc w:val="center"/>
              <w:outlineLvl w:val="0"/>
              <w:rPr>
                <w:lang w:val="en-US"/>
              </w:rPr>
            </w:pPr>
          </w:p>
        </w:tc>
        <w:tc>
          <w:tcPr>
            <w:tcW w:w="1309" w:type="dxa"/>
            <w:shd w:val="clear" w:color="auto" w:fill="BFBFBF" w:themeFill="background1" w:themeFillShade="BF"/>
            <w:vAlign w:val="center"/>
          </w:tcPr>
          <w:p w14:paraId="168F6F6F" w14:textId="77777777" w:rsidR="001429E1" w:rsidRDefault="001429E1" w:rsidP="001D7B5C">
            <w:pPr>
              <w:spacing w:line="480" w:lineRule="auto"/>
              <w:jc w:val="center"/>
              <w:outlineLvl w:val="0"/>
              <w:rPr>
                <w:lang w:val="en-US"/>
              </w:rPr>
            </w:pPr>
          </w:p>
        </w:tc>
        <w:tc>
          <w:tcPr>
            <w:tcW w:w="1308" w:type="dxa"/>
            <w:shd w:val="clear" w:color="auto" w:fill="BFBFBF" w:themeFill="background1" w:themeFillShade="BF"/>
            <w:vAlign w:val="center"/>
          </w:tcPr>
          <w:p w14:paraId="17B2B850" w14:textId="77777777" w:rsidR="001429E1" w:rsidRDefault="001429E1" w:rsidP="001D7B5C">
            <w:pPr>
              <w:spacing w:line="480" w:lineRule="auto"/>
              <w:jc w:val="center"/>
              <w:outlineLvl w:val="0"/>
              <w:rPr>
                <w:lang w:val="en-US"/>
              </w:rPr>
            </w:pPr>
          </w:p>
        </w:tc>
        <w:tc>
          <w:tcPr>
            <w:tcW w:w="1309" w:type="dxa"/>
            <w:shd w:val="clear" w:color="auto" w:fill="BFBFBF" w:themeFill="background1" w:themeFillShade="BF"/>
            <w:vAlign w:val="center"/>
          </w:tcPr>
          <w:p w14:paraId="3E559760" w14:textId="77777777" w:rsidR="001429E1" w:rsidRDefault="001429E1" w:rsidP="001D7B5C">
            <w:pPr>
              <w:spacing w:line="480" w:lineRule="auto"/>
              <w:jc w:val="center"/>
              <w:outlineLvl w:val="0"/>
              <w:rPr>
                <w:lang w:val="en-US"/>
              </w:rPr>
            </w:pPr>
          </w:p>
        </w:tc>
        <w:tc>
          <w:tcPr>
            <w:tcW w:w="1309" w:type="dxa"/>
            <w:tcBorders>
              <w:right w:val="nil"/>
            </w:tcBorders>
            <w:shd w:val="clear" w:color="auto" w:fill="BFBFBF" w:themeFill="background1" w:themeFillShade="BF"/>
            <w:vAlign w:val="center"/>
          </w:tcPr>
          <w:p w14:paraId="749D0E32" w14:textId="77777777" w:rsidR="001429E1" w:rsidRDefault="001429E1" w:rsidP="001D7B5C">
            <w:pPr>
              <w:spacing w:line="480" w:lineRule="auto"/>
              <w:jc w:val="center"/>
              <w:outlineLvl w:val="0"/>
              <w:rPr>
                <w:lang w:val="en-US"/>
              </w:rPr>
            </w:pPr>
          </w:p>
        </w:tc>
      </w:tr>
      <w:tr w:rsidR="001429E1" w14:paraId="40C474D4" w14:textId="77777777" w:rsidTr="001D7B5C">
        <w:trPr>
          <w:trHeight w:val="364"/>
        </w:trPr>
        <w:tc>
          <w:tcPr>
            <w:tcW w:w="1309" w:type="dxa"/>
            <w:tcBorders>
              <w:left w:val="nil"/>
              <w:right w:val="single" w:sz="12" w:space="0" w:color="auto"/>
            </w:tcBorders>
            <w:shd w:val="clear" w:color="auto" w:fill="auto"/>
          </w:tcPr>
          <w:p w14:paraId="6F48BE84" w14:textId="77777777" w:rsidR="001429E1" w:rsidRPr="00A616C1" w:rsidRDefault="001429E1" w:rsidP="001D7B5C">
            <w:pPr>
              <w:spacing w:line="480" w:lineRule="auto"/>
              <w:outlineLvl w:val="0"/>
              <w:rPr>
                <w:b/>
                <w:lang w:val="en-US"/>
              </w:rPr>
            </w:pPr>
            <w:r w:rsidRPr="00A616C1">
              <w:rPr>
                <w:b/>
                <w:lang w:val="en-US"/>
              </w:rPr>
              <w:t>PE+PTB</w:t>
            </w:r>
          </w:p>
        </w:tc>
        <w:tc>
          <w:tcPr>
            <w:tcW w:w="1309" w:type="dxa"/>
            <w:tcBorders>
              <w:left w:val="single" w:sz="12" w:space="0" w:color="auto"/>
            </w:tcBorders>
            <w:shd w:val="clear" w:color="auto" w:fill="auto"/>
            <w:vAlign w:val="center"/>
          </w:tcPr>
          <w:p w14:paraId="54C1C04B" w14:textId="77777777" w:rsidR="001429E1" w:rsidRDefault="001429E1" w:rsidP="001D7B5C">
            <w:pPr>
              <w:spacing w:line="480" w:lineRule="auto"/>
              <w:jc w:val="center"/>
              <w:outlineLvl w:val="0"/>
              <w:rPr>
                <w:lang w:val="en-US"/>
              </w:rPr>
            </w:pPr>
            <w:r>
              <w:rPr>
                <w:lang w:val="en-US"/>
              </w:rPr>
              <w:t>8</w:t>
            </w:r>
          </w:p>
        </w:tc>
        <w:tc>
          <w:tcPr>
            <w:tcW w:w="1309" w:type="dxa"/>
            <w:shd w:val="clear" w:color="auto" w:fill="auto"/>
            <w:vAlign w:val="center"/>
          </w:tcPr>
          <w:p w14:paraId="27FADE48" w14:textId="77777777" w:rsidR="001429E1" w:rsidRDefault="001429E1" w:rsidP="001D7B5C">
            <w:pPr>
              <w:spacing w:line="480" w:lineRule="auto"/>
              <w:jc w:val="center"/>
              <w:outlineLvl w:val="0"/>
              <w:rPr>
                <w:lang w:val="en-US"/>
              </w:rPr>
            </w:pPr>
            <w:r>
              <w:rPr>
                <w:lang w:val="en-US"/>
              </w:rPr>
              <w:t>4</w:t>
            </w:r>
          </w:p>
        </w:tc>
        <w:tc>
          <w:tcPr>
            <w:tcW w:w="1308" w:type="dxa"/>
            <w:shd w:val="clear" w:color="auto" w:fill="auto"/>
            <w:vAlign w:val="center"/>
          </w:tcPr>
          <w:p w14:paraId="5E2E2C3F" w14:textId="77777777" w:rsidR="001429E1" w:rsidRDefault="001429E1" w:rsidP="001D7B5C">
            <w:pPr>
              <w:spacing w:line="480" w:lineRule="auto"/>
              <w:jc w:val="center"/>
              <w:outlineLvl w:val="0"/>
              <w:rPr>
                <w:lang w:val="en-US"/>
              </w:rPr>
            </w:pPr>
            <w:r>
              <w:rPr>
                <w:lang w:val="en-US"/>
              </w:rPr>
              <w:t>29</w:t>
            </w:r>
          </w:p>
        </w:tc>
        <w:tc>
          <w:tcPr>
            <w:tcW w:w="1309" w:type="dxa"/>
            <w:shd w:val="clear" w:color="auto" w:fill="BFBFBF" w:themeFill="background1" w:themeFillShade="BF"/>
            <w:vAlign w:val="center"/>
          </w:tcPr>
          <w:p w14:paraId="2C6460A7" w14:textId="77777777" w:rsidR="001429E1" w:rsidRDefault="001429E1" w:rsidP="001D7B5C">
            <w:pPr>
              <w:spacing w:line="480" w:lineRule="auto"/>
              <w:jc w:val="center"/>
              <w:outlineLvl w:val="0"/>
              <w:rPr>
                <w:lang w:val="en-US"/>
              </w:rPr>
            </w:pPr>
          </w:p>
        </w:tc>
        <w:tc>
          <w:tcPr>
            <w:tcW w:w="1309" w:type="dxa"/>
            <w:shd w:val="clear" w:color="auto" w:fill="BFBFBF" w:themeFill="background1" w:themeFillShade="BF"/>
            <w:vAlign w:val="center"/>
          </w:tcPr>
          <w:p w14:paraId="21DCB27F" w14:textId="77777777" w:rsidR="001429E1" w:rsidRDefault="001429E1" w:rsidP="001D7B5C">
            <w:pPr>
              <w:spacing w:line="480" w:lineRule="auto"/>
              <w:jc w:val="center"/>
              <w:outlineLvl w:val="0"/>
              <w:rPr>
                <w:lang w:val="en-US"/>
              </w:rPr>
            </w:pPr>
          </w:p>
        </w:tc>
        <w:tc>
          <w:tcPr>
            <w:tcW w:w="1308" w:type="dxa"/>
            <w:shd w:val="clear" w:color="auto" w:fill="BFBFBF" w:themeFill="background1" w:themeFillShade="BF"/>
            <w:vAlign w:val="center"/>
          </w:tcPr>
          <w:p w14:paraId="2AB88515" w14:textId="77777777" w:rsidR="001429E1" w:rsidRDefault="001429E1" w:rsidP="001D7B5C">
            <w:pPr>
              <w:spacing w:line="480" w:lineRule="auto"/>
              <w:jc w:val="center"/>
              <w:outlineLvl w:val="0"/>
              <w:rPr>
                <w:lang w:val="en-US"/>
              </w:rPr>
            </w:pPr>
          </w:p>
        </w:tc>
        <w:tc>
          <w:tcPr>
            <w:tcW w:w="1309" w:type="dxa"/>
            <w:shd w:val="clear" w:color="auto" w:fill="BFBFBF" w:themeFill="background1" w:themeFillShade="BF"/>
            <w:vAlign w:val="center"/>
          </w:tcPr>
          <w:p w14:paraId="03D65365" w14:textId="77777777" w:rsidR="001429E1" w:rsidRDefault="001429E1" w:rsidP="001D7B5C">
            <w:pPr>
              <w:spacing w:line="480" w:lineRule="auto"/>
              <w:jc w:val="center"/>
              <w:outlineLvl w:val="0"/>
              <w:rPr>
                <w:lang w:val="en-US"/>
              </w:rPr>
            </w:pPr>
          </w:p>
        </w:tc>
        <w:tc>
          <w:tcPr>
            <w:tcW w:w="1309" w:type="dxa"/>
            <w:tcBorders>
              <w:right w:val="nil"/>
            </w:tcBorders>
            <w:shd w:val="clear" w:color="auto" w:fill="BFBFBF" w:themeFill="background1" w:themeFillShade="BF"/>
            <w:vAlign w:val="center"/>
          </w:tcPr>
          <w:p w14:paraId="5049F839" w14:textId="77777777" w:rsidR="001429E1" w:rsidRDefault="001429E1" w:rsidP="001D7B5C">
            <w:pPr>
              <w:spacing w:line="480" w:lineRule="auto"/>
              <w:jc w:val="center"/>
              <w:outlineLvl w:val="0"/>
              <w:rPr>
                <w:lang w:val="en-US"/>
              </w:rPr>
            </w:pPr>
          </w:p>
        </w:tc>
      </w:tr>
      <w:tr w:rsidR="001429E1" w14:paraId="30EA74A1" w14:textId="77777777" w:rsidTr="001D7B5C">
        <w:trPr>
          <w:trHeight w:val="247"/>
        </w:trPr>
        <w:tc>
          <w:tcPr>
            <w:tcW w:w="1309" w:type="dxa"/>
            <w:tcBorders>
              <w:left w:val="nil"/>
              <w:right w:val="single" w:sz="12" w:space="0" w:color="auto"/>
            </w:tcBorders>
            <w:shd w:val="clear" w:color="auto" w:fill="auto"/>
          </w:tcPr>
          <w:p w14:paraId="4BC2C5DA" w14:textId="77777777" w:rsidR="001429E1" w:rsidRPr="00A616C1" w:rsidRDefault="001429E1" w:rsidP="001D7B5C">
            <w:pPr>
              <w:spacing w:line="480" w:lineRule="auto"/>
              <w:outlineLvl w:val="0"/>
              <w:rPr>
                <w:b/>
                <w:lang w:val="en-US"/>
              </w:rPr>
            </w:pPr>
            <w:r w:rsidRPr="00A616C1">
              <w:rPr>
                <w:b/>
                <w:lang w:val="en-US"/>
              </w:rPr>
              <w:t>Severe PE</w:t>
            </w:r>
          </w:p>
        </w:tc>
        <w:tc>
          <w:tcPr>
            <w:tcW w:w="1309" w:type="dxa"/>
            <w:tcBorders>
              <w:left w:val="single" w:sz="12" w:space="0" w:color="auto"/>
            </w:tcBorders>
            <w:shd w:val="clear" w:color="auto" w:fill="auto"/>
            <w:vAlign w:val="center"/>
          </w:tcPr>
          <w:p w14:paraId="0A2D1810" w14:textId="77777777" w:rsidR="001429E1" w:rsidRDefault="001429E1" w:rsidP="001D7B5C">
            <w:pPr>
              <w:spacing w:line="480" w:lineRule="auto"/>
              <w:jc w:val="center"/>
              <w:outlineLvl w:val="0"/>
              <w:rPr>
                <w:lang w:val="en-US"/>
              </w:rPr>
            </w:pPr>
            <w:r>
              <w:rPr>
                <w:lang w:val="en-US"/>
              </w:rPr>
              <w:t>17</w:t>
            </w:r>
          </w:p>
        </w:tc>
        <w:tc>
          <w:tcPr>
            <w:tcW w:w="1309" w:type="dxa"/>
            <w:shd w:val="clear" w:color="auto" w:fill="auto"/>
            <w:vAlign w:val="center"/>
          </w:tcPr>
          <w:p w14:paraId="7F00C572" w14:textId="77777777" w:rsidR="001429E1" w:rsidRDefault="001429E1" w:rsidP="001D7B5C">
            <w:pPr>
              <w:spacing w:line="480" w:lineRule="auto"/>
              <w:jc w:val="center"/>
              <w:outlineLvl w:val="0"/>
              <w:rPr>
                <w:lang w:val="en-US"/>
              </w:rPr>
            </w:pPr>
            <w:r>
              <w:rPr>
                <w:lang w:val="en-US"/>
              </w:rPr>
              <w:t>6</w:t>
            </w:r>
          </w:p>
        </w:tc>
        <w:tc>
          <w:tcPr>
            <w:tcW w:w="1308" w:type="dxa"/>
            <w:shd w:val="clear" w:color="auto" w:fill="auto"/>
            <w:vAlign w:val="center"/>
          </w:tcPr>
          <w:p w14:paraId="5BA3A9FD" w14:textId="77777777" w:rsidR="001429E1" w:rsidRDefault="001429E1" w:rsidP="001D7B5C">
            <w:pPr>
              <w:spacing w:line="480" w:lineRule="auto"/>
              <w:jc w:val="center"/>
              <w:outlineLvl w:val="0"/>
              <w:rPr>
                <w:lang w:val="en-US"/>
              </w:rPr>
            </w:pPr>
            <w:r>
              <w:rPr>
                <w:lang w:val="en-US"/>
              </w:rPr>
              <w:t>21</w:t>
            </w:r>
          </w:p>
        </w:tc>
        <w:tc>
          <w:tcPr>
            <w:tcW w:w="1309" w:type="dxa"/>
            <w:shd w:val="clear" w:color="auto" w:fill="auto"/>
            <w:vAlign w:val="center"/>
          </w:tcPr>
          <w:p w14:paraId="30BD2740" w14:textId="77777777" w:rsidR="001429E1" w:rsidRDefault="001429E1" w:rsidP="001D7B5C">
            <w:pPr>
              <w:spacing w:line="480" w:lineRule="auto"/>
              <w:jc w:val="center"/>
              <w:outlineLvl w:val="0"/>
              <w:rPr>
                <w:lang w:val="en-US"/>
              </w:rPr>
            </w:pPr>
            <w:r>
              <w:rPr>
                <w:lang w:val="en-US"/>
              </w:rPr>
              <w:t>129</w:t>
            </w:r>
          </w:p>
        </w:tc>
        <w:tc>
          <w:tcPr>
            <w:tcW w:w="1309" w:type="dxa"/>
            <w:shd w:val="clear" w:color="auto" w:fill="BFBFBF" w:themeFill="background1" w:themeFillShade="BF"/>
            <w:vAlign w:val="center"/>
          </w:tcPr>
          <w:p w14:paraId="6397A202" w14:textId="77777777" w:rsidR="001429E1" w:rsidRDefault="001429E1" w:rsidP="001D7B5C">
            <w:pPr>
              <w:spacing w:line="480" w:lineRule="auto"/>
              <w:jc w:val="center"/>
              <w:outlineLvl w:val="0"/>
              <w:rPr>
                <w:lang w:val="en-US"/>
              </w:rPr>
            </w:pPr>
          </w:p>
        </w:tc>
        <w:tc>
          <w:tcPr>
            <w:tcW w:w="1308" w:type="dxa"/>
            <w:shd w:val="clear" w:color="auto" w:fill="BFBFBF" w:themeFill="background1" w:themeFillShade="BF"/>
            <w:vAlign w:val="center"/>
          </w:tcPr>
          <w:p w14:paraId="4B2F05CF" w14:textId="77777777" w:rsidR="001429E1" w:rsidRDefault="001429E1" w:rsidP="001D7B5C">
            <w:pPr>
              <w:spacing w:line="480" w:lineRule="auto"/>
              <w:jc w:val="center"/>
              <w:outlineLvl w:val="0"/>
              <w:rPr>
                <w:lang w:val="en-US"/>
              </w:rPr>
            </w:pPr>
          </w:p>
        </w:tc>
        <w:tc>
          <w:tcPr>
            <w:tcW w:w="1309" w:type="dxa"/>
            <w:shd w:val="clear" w:color="auto" w:fill="BFBFBF" w:themeFill="background1" w:themeFillShade="BF"/>
            <w:vAlign w:val="center"/>
          </w:tcPr>
          <w:p w14:paraId="65FEC34B" w14:textId="77777777" w:rsidR="001429E1" w:rsidRDefault="001429E1" w:rsidP="001D7B5C">
            <w:pPr>
              <w:spacing w:line="480" w:lineRule="auto"/>
              <w:jc w:val="center"/>
              <w:outlineLvl w:val="0"/>
              <w:rPr>
                <w:lang w:val="en-US"/>
              </w:rPr>
            </w:pPr>
          </w:p>
        </w:tc>
        <w:tc>
          <w:tcPr>
            <w:tcW w:w="1309" w:type="dxa"/>
            <w:tcBorders>
              <w:right w:val="nil"/>
            </w:tcBorders>
            <w:shd w:val="clear" w:color="auto" w:fill="BFBFBF" w:themeFill="background1" w:themeFillShade="BF"/>
            <w:vAlign w:val="center"/>
          </w:tcPr>
          <w:p w14:paraId="79970011" w14:textId="77777777" w:rsidR="001429E1" w:rsidRDefault="001429E1" w:rsidP="001D7B5C">
            <w:pPr>
              <w:spacing w:line="480" w:lineRule="auto"/>
              <w:jc w:val="center"/>
              <w:outlineLvl w:val="0"/>
              <w:rPr>
                <w:lang w:val="en-US"/>
              </w:rPr>
            </w:pPr>
          </w:p>
        </w:tc>
      </w:tr>
      <w:tr w:rsidR="001429E1" w14:paraId="78E8F3A6" w14:textId="77777777" w:rsidTr="001D7B5C">
        <w:trPr>
          <w:trHeight w:val="402"/>
        </w:trPr>
        <w:tc>
          <w:tcPr>
            <w:tcW w:w="1309" w:type="dxa"/>
            <w:tcBorders>
              <w:left w:val="nil"/>
              <w:right w:val="single" w:sz="12" w:space="0" w:color="auto"/>
            </w:tcBorders>
            <w:shd w:val="clear" w:color="auto" w:fill="auto"/>
          </w:tcPr>
          <w:p w14:paraId="2D89000F" w14:textId="77777777" w:rsidR="001429E1" w:rsidRPr="00A616C1" w:rsidRDefault="001429E1" w:rsidP="001D7B5C">
            <w:pPr>
              <w:spacing w:line="480" w:lineRule="auto"/>
              <w:outlineLvl w:val="0"/>
              <w:rPr>
                <w:b/>
                <w:lang w:val="en-US"/>
              </w:rPr>
            </w:pPr>
            <w:r w:rsidRPr="00A616C1">
              <w:rPr>
                <w:b/>
                <w:lang w:val="en-US"/>
              </w:rPr>
              <w:t>PE+SGA</w:t>
            </w:r>
          </w:p>
        </w:tc>
        <w:tc>
          <w:tcPr>
            <w:tcW w:w="1309" w:type="dxa"/>
            <w:tcBorders>
              <w:left w:val="single" w:sz="12" w:space="0" w:color="auto"/>
            </w:tcBorders>
            <w:shd w:val="clear" w:color="auto" w:fill="auto"/>
            <w:vAlign w:val="center"/>
          </w:tcPr>
          <w:p w14:paraId="7BD4026F" w14:textId="77777777" w:rsidR="001429E1" w:rsidRDefault="001429E1" w:rsidP="001D7B5C">
            <w:pPr>
              <w:spacing w:line="480" w:lineRule="auto"/>
              <w:jc w:val="center"/>
              <w:outlineLvl w:val="0"/>
              <w:rPr>
                <w:lang w:val="en-US"/>
              </w:rPr>
            </w:pPr>
            <w:r>
              <w:rPr>
                <w:lang w:val="en-US"/>
              </w:rPr>
              <w:t>32</w:t>
            </w:r>
          </w:p>
        </w:tc>
        <w:tc>
          <w:tcPr>
            <w:tcW w:w="1309" w:type="dxa"/>
            <w:shd w:val="clear" w:color="auto" w:fill="auto"/>
            <w:vAlign w:val="center"/>
          </w:tcPr>
          <w:p w14:paraId="0F6E4501" w14:textId="77777777" w:rsidR="001429E1" w:rsidRDefault="001429E1" w:rsidP="001D7B5C">
            <w:pPr>
              <w:spacing w:line="480" w:lineRule="auto"/>
              <w:jc w:val="center"/>
              <w:outlineLvl w:val="0"/>
              <w:rPr>
                <w:lang w:val="en-US"/>
              </w:rPr>
            </w:pPr>
            <w:r>
              <w:rPr>
                <w:lang w:val="en-US"/>
              </w:rPr>
              <w:t>12</w:t>
            </w:r>
          </w:p>
        </w:tc>
        <w:tc>
          <w:tcPr>
            <w:tcW w:w="1308" w:type="dxa"/>
            <w:shd w:val="clear" w:color="auto" w:fill="auto"/>
            <w:vAlign w:val="center"/>
          </w:tcPr>
          <w:p w14:paraId="1459E167" w14:textId="77777777" w:rsidR="001429E1" w:rsidRDefault="001429E1" w:rsidP="001D7B5C">
            <w:pPr>
              <w:spacing w:line="480" w:lineRule="auto"/>
              <w:jc w:val="center"/>
              <w:outlineLvl w:val="0"/>
              <w:rPr>
                <w:lang w:val="en-US"/>
              </w:rPr>
            </w:pPr>
            <w:r>
              <w:rPr>
                <w:lang w:val="en-US"/>
              </w:rPr>
              <w:t>8</w:t>
            </w:r>
          </w:p>
        </w:tc>
        <w:tc>
          <w:tcPr>
            <w:tcW w:w="1309" w:type="dxa"/>
            <w:shd w:val="clear" w:color="auto" w:fill="auto"/>
            <w:vAlign w:val="center"/>
          </w:tcPr>
          <w:p w14:paraId="5728DC12" w14:textId="77777777" w:rsidR="001429E1" w:rsidRDefault="001429E1" w:rsidP="001D7B5C">
            <w:pPr>
              <w:spacing w:line="480" w:lineRule="auto"/>
              <w:jc w:val="center"/>
              <w:outlineLvl w:val="0"/>
              <w:rPr>
                <w:lang w:val="en-US"/>
              </w:rPr>
            </w:pPr>
            <w:r>
              <w:rPr>
                <w:lang w:val="en-US"/>
              </w:rPr>
              <w:t>17</w:t>
            </w:r>
          </w:p>
        </w:tc>
        <w:tc>
          <w:tcPr>
            <w:tcW w:w="1309" w:type="dxa"/>
            <w:shd w:val="clear" w:color="auto" w:fill="auto"/>
            <w:vAlign w:val="center"/>
          </w:tcPr>
          <w:p w14:paraId="558F8C75" w14:textId="77777777" w:rsidR="001429E1" w:rsidRDefault="001429E1" w:rsidP="001D7B5C">
            <w:pPr>
              <w:spacing w:line="480" w:lineRule="auto"/>
              <w:jc w:val="center"/>
              <w:outlineLvl w:val="0"/>
              <w:rPr>
                <w:lang w:val="en-US"/>
              </w:rPr>
            </w:pPr>
            <w:r>
              <w:rPr>
                <w:lang w:val="en-US"/>
              </w:rPr>
              <w:t>32</w:t>
            </w:r>
          </w:p>
        </w:tc>
        <w:tc>
          <w:tcPr>
            <w:tcW w:w="1308" w:type="dxa"/>
            <w:shd w:val="clear" w:color="auto" w:fill="BFBFBF" w:themeFill="background1" w:themeFillShade="BF"/>
            <w:vAlign w:val="center"/>
          </w:tcPr>
          <w:p w14:paraId="7F0C503F" w14:textId="77777777" w:rsidR="001429E1" w:rsidRDefault="001429E1" w:rsidP="001D7B5C">
            <w:pPr>
              <w:spacing w:line="480" w:lineRule="auto"/>
              <w:jc w:val="center"/>
              <w:outlineLvl w:val="0"/>
              <w:rPr>
                <w:lang w:val="en-US"/>
              </w:rPr>
            </w:pPr>
          </w:p>
        </w:tc>
        <w:tc>
          <w:tcPr>
            <w:tcW w:w="1309" w:type="dxa"/>
            <w:shd w:val="clear" w:color="auto" w:fill="BFBFBF" w:themeFill="background1" w:themeFillShade="BF"/>
            <w:vAlign w:val="center"/>
          </w:tcPr>
          <w:p w14:paraId="166F88BC" w14:textId="77777777" w:rsidR="001429E1" w:rsidRDefault="001429E1" w:rsidP="001D7B5C">
            <w:pPr>
              <w:spacing w:line="480" w:lineRule="auto"/>
              <w:jc w:val="center"/>
              <w:outlineLvl w:val="0"/>
              <w:rPr>
                <w:lang w:val="en-US"/>
              </w:rPr>
            </w:pPr>
          </w:p>
        </w:tc>
        <w:tc>
          <w:tcPr>
            <w:tcW w:w="1309" w:type="dxa"/>
            <w:tcBorders>
              <w:right w:val="nil"/>
            </w:tcBorders>
            <w:shd w:val="clear" w:color="auto" w:fill="BFBFBF" w:themeFill="background1" w:themeFillShade="BF"/>
            <w:vAlign w:val="center"/>
          </w:tcPr>
          <w:p w14:paraId="4FDD53E9" w14:textId="77777777" w:rsidR="001429E1" w:rsidRDefault="001429E1" w:rsidP="001D7B5C">
            <w:pPr>
              <w:spacing w:line="480" w:lineRule="auto"/>
              <w:jc w:val="center"/>
              <w:outlineLvl w:val="0"/>
              <w:rPr>
                <w:lang w:val="en-US"/>
              </w:rPr>
            </w:pPr>
          </w:p>
        </w:tc>
      </w:tr>
      <w:tr w:rsidR="001429E1" w14:paraId="12F862D0" w14:textId="77777777" w:rsidTr="001D7B5C">
        <w:trPr>
          <w:trHeight w:val="390"/>
        </w:trPr>
        <w:tc>
          <w:tcPr>
            <w:tcW w:w="1309" w:type="dxa"/>
            <w:tcBorders>
              <w:left w:val="nil"/>
              <w:right w:val="single" w:sz="12" w:space="0" w:color="auto"/>
            </w:tcBorders>
            <w:shd w:val="clear" w:color="auto" w:fill="auto"/>
          </w:tcPr>
          <w:p w14:paraId="1BD817A0" w14:textId="77777777" w:rsidR="001429E1" w:rsidRPr="00A616C1" w:rsidRDefault="001429E1" w:rsidP="001D7B5C">
            <w:pPr>
              <w:spacing w:line="480" w:lineRule="auto"/>
              <w:outlineLvl w:val="0"/>
              <w:rPr>
                <w:b/>
                <w:lang w:val="en-US"/>
              </w:rPr>
            </w:pPr>
            <w:r w:rsidRPr="00A616C1">
              <w:rPr>
                <w:b/>
                <w:lang w:val="en-US"/>
              </w:rPr>
              <w:t>sPTB</w:t>
            </w:r>
          </w:p>
        </w:tc>
        <w:tc>
          <w:tcPr>
            <w:tcW w:w="1309" w:type="dxa"/>
            <w:tcBorders>
              <w:left w:val="single" w:sz="12" w:space="0" w:color="auto"/>
            </w:tcBorders>
            <w:shd w:val="clear" w:color="auto" w:fill="auto"/>
            <w:vAlign w:val="center"/>
          </w:tcPr>
          <w:p w14:paraId="4C0F1364" w14:textId="77777777" w:rsidR="001429E1" w:rsidRDefault="001429E1" w:rsidP="001D7B5C">
            <w:pPr>
              <w:spacing w:line="480" w:lineRule="auto"/>
              <w:jc w:val="center"/>
              <w:outlineLvl w:val="0"/>
              <w:rPr>
                <w:lang w:val="en-US"/>
              </w:rPr>
            </w:pPr>
            <w:r>
              <w:rPr>
                <w:lang w:val="en-US"/>
              </w:rPr>
              <w:t>0</w:t>
            </w:r>
          </w:p>
        </w:tc>
        <w:tc>
          <w:tcPr>
            <w:tcW w:w="1309" w:type="dxa"/>
            <w:shd w:val="clear" w:color="auto" w:fill="auto"/>
            <w:vAlign w:val="center"/>
          </w:tcPr>
          <w:p w14:paraId="7967BAFE" w14:textId="77777777" w:rsidR="001429E1" w:rsidRDefault="001429E1" w:rsidP="001D7B5C">
            <w:pPr>
              <w:spacing w:line="480" w:lineRule="auto"/>
              <w:jc w:val="center"/>
              <w:outlineLvl w:val="0"/>
              <w:rPr>
                <w:lang w:val="en-US"/>
              </w:rPr>
            </w:pPr>
            <w:r>
              <w:rPr>
                <w:lang w:val="en-US"/>
              </w:rPr>
              <w:t>1</w:t>
            </w:r>
          </w:p>
        </w:tc>
        <w:tc>
          <w:tcPr>
            <w:tcW w:w="1308" w:type="dxa"/>
            <w:shd w:val="clear" w:color="auto" w:fill="auto"/>
            <w:vAlign w:val="center"/>
          </w:tcPr>
          <w:p w14:paraId="1B7D900C" w14:textId="77777777" w:rsidR="001429E1" w:rsidRDefault="001429E1" w:rsidP="001D7B5C">
            <w:pPr>
              <w:spacing w:line="480" w:lineRule="auto"/>
              <w:jc w:val="center"/>
              <w:outlineLvl w:val="0"/>
              <w:rPr>
                <w:lang w:val="en-US"/>
              </w:rPr>
            </w:pPr>
            <w:r>
              <w:rPr>
                <w:lang w:val="en-US"/>
              </w:rPr>
              <w:t>5</w:t>
            </w:r>
          </w:p>
        </w:tc>
        <w:tc>
          <w:tcPr>
            <w:tcW w:w="1309" w:type="dxa"/>
            <w:shd w:val="clear" w:color="auto" w:fill="auto"/>
            <w:vAlign w:val="center"/>
          </w:tcPr>
          <w:p w14:paraId="3B0BD3E2" w14:textId="77777777" w:rsidR="001429E1" w:rsidRDefault="001429E1" w:rsidP="001D7B5C">
            <w:pPr>
              <w:spacing w:line="480" w:lineRule="auto"/>
              <w:jc w:val="center"/>
              <w:outlineLvl w:val="0"/>
              <w:rPr>
                <w:lang w:val="en-US"/>
              </w:rPr>
            </w:pPr>
            <w:r>
              <w:rPr>
                <w:lang w:val="en-US"/>
              </w:rPr>
              <w:t>4</w:t>
            </w:r>
          </w:p>
        </w:tc>
        <w:tc>
          <w:tcPr>
            <w:tcW w:w="1309" w:type="dxa"/>
            <w:shd w:val="clear" w:color="auto" w:fill="auto"/>
            <w:vAlign w:val="center"/>
          </w:tcPr>
          <w:p w14:paraId="4FCC4F6E" w14:textId="77777777" w:rsidR="001429E1" w:rsidRDefault="001429E1" w:rsidP="001D7B5C">
            <w:pPr>
              <w:spacing w:line="480" w:lineRule="auto"/>
              <w:jc w:val="center"/>
              <w:outlineLvl w:val="0"/>
              <w:rPr>
                <w:lang w:val="en-US"/>
              </w:rPr>
            </w:pPr>
            <w:r>
              <w:rPr>
                <w:lang w:val="en-US"/>
              </w:rPr>
              <w:t>0</w:t>
            </w:r>
          </w:p>
        </w:tc>
        <w:tc>
          <w:tcPr>
            <w:tcW w:w="1308" w:type="dxa"/>
            <w:shd w:val="clear" w:color="auto" w:fill="auto"/>
            <w:vAlign w:val="center"/>
          </w:tcPr>
          <w:p w14:paraId="6C100FFE" w14:textId="77777777" w:rsidR="001429E1" w:rsidRDefault="001429E1" w:rsidP="001D7B5C">
            <w:pPr>
              <w:spacing w:line="480" w:lineRule="auto"/>
              <w:jc w:val="center"/>
              <w:outlineLvl w:val="0"/>
              <w:rPr>
                <w:lang w:val="en-US"/>
              </w:rPr>
            </w:pPr>
            <w:r>
              <w:rPr>
                <w:lang w:val="en-US"/>
              </w:rPr>
              <w:t>111</w:t>
            </w:r>
          </w:p>
        </w:tc>
        <w:tc>
          <w:tcPr>
            <w:tcW w:w="1309" w:type="dxa"/>
            <w:shd w:val="clear" w:color="auto" w:fill="BFBFBF" w:themeFill="background1" w:themeFillShade="BF"/>
            <w:vAlign w:val="center"/>
          </w:tcPr>
          <w:p w14:paraId="3F4265BB" w14:textId="77777777" w:rsidR="001429E1" w:rsidRDefault="001429E1" w:rsidP="001D7B5C">
            <w:pPr>
              <w:spacing w:line="480" w:lineRule="auto"/>
              <w:jc w:val="center"/>
              <w:outlineLvl w:val="0"/>
              <w:rPr>
                <w:lang w:val="en-US"/>
              </w:rPr>
            </w:pPr>
          </w:p>
        </w:tc>
        <w:tc>
          <w:tcPr>
            <w:tcW w:w="1309" w:type="dxa"/>
            <w:tcBorders>
              <w:right w:val="nil"/>
            </w:tcBorders>
            <w:shd w:val="clear" w:color="auto" w:fill="BFBFBF" w:themeFill="background1" w:themeFillShade="BF"/>
            <w:vAlign w:val="center"/>
          </w:tcPr>
          <w:p w14:paraId="7145847B" w14:textId="77777777" w:rsidR="001429E1" w:rsidRDefault="001429E1" w:rsidP="001D7B5C">
            <w:pPr>
              <w:spacing w:line="480" w:lineRule="auto"/>
              <w:jc w:val="center"/>
              <w:outlineLvl w:val="0"/>
              <w:rPr>
                <w:lang w:val="en-US"/>
              </w:rPr>
            </w:pPr>
          </w:p>
        </w:tc>
      </w:tr>
      <w:tr w:rsidR="001429E1" w14:paraId="0D46334C" w14:textId="77777777" w:rsidTr="001D7B5C">
        <w:trPr>
          <w:trHeight w:val="160"/>
        </w:trPr>
        <w:tc>
          <w:tcPr>
            <w:tcW w:w="1309" w:type="dxa"/>
            <w:tcBorders>
              <w:left w:val="nil"/>
              <w:right w:val="single" w:sz="12" w:space="0" w:color="auto"/>
            </w:tcBorders>
            <w:shd w:val="clear" w:color="auto" w:fill="auto"/>
          </w:tcPr>
          <w:p w14:paraId="5DF3906A" w14:textId="77777777" w:rsidR="001429E1" w:rsidRPr="00A616C1" w:rsidRDefault="001429E1" w:rsidP="001D7B5C">
            <w:pPr>
              <w:spacing w:line="480" w:lineRule="auto"/>
              <w:outlineLvl w:val="0"/>
              <w:rPr>
                <w:b/>
                <w:lang w:val="en-US"/>
              </w:rPr>
            </w:pPr>
            <w:r w:rsidRPr="00A616C1">
              <w:rPr>
                <w:b/>
                <w:lang w:val="en-US"/>
              </w:rPr>
              <w:t>iPTB</w:t>
            </w:r>
          </w:p>
        </w:tc>
        <w:tc>
          <w:tcPr>
            <w:tcW w:w="1309" w:type="dxa"/>
            <w:tcBorders>
              <w:left w:val="single" w:sz="12" w:space="0" w:color="auto"/>
            </w:tcBorders>
            <w:shd w:val="clear" w:color="auto" w:fill="auto"/>
            <w:vAlign w:val="center"/>
          </w:tcPr>
          <w:p w14:paraId="63F81DF4" w14:textId="77777777" w:rsidR="001429E1" w:rsidRDefault="001429E1" w:rsidP="001D7B5C">
            <w:pPr>
              <w:spacing w:line="480" w:lineRule="auto"/>
              <w:jc w:val="center"/>
              <w:outlineLvl w:val="0"/>
              <w:rPr>
                <w:lang w:val="en-US"/>
              </w:rPr>
            </w:pPr>
            <w:r>
              <w:rPr>
                <w:lang w:val="en-US"/>
              </w:rPr>
              <w:t>11</w:t>
            </w:r>
          </w:p>
        </w:tc>
        <w:tc>
          <w:tcPr>
            <w:tcW w:w="1309" w:type="dxa"/>
            <w:shd w:val="clear" w:color="auto" w:fill="auto"/>
            <w:vAlign w:val="center"/>
          </w:tcPr>
          <w:p w14:paraId="40A2059D" w14:textId="77777777" w:rsidR="001429E1" w:rsidRDefault="001429E1" w:rsidP="001D7B5C">
            <w:pPr>
              <w:spacing w:line="480" w:lineRule="auto"/>
              <w:jc w:val="center"/>
              <w:outlineLvl w:val="0"/>
              <w:rPr>
                <w:lang w:val="en-US"/>
              </w:rPr>
            </w:pPr>
            <w:r>
              <w:rPr>
                <w:lang w:val="en-US"/>
              </w:rPr>
              <w:t>9</w:t>
            </w:r>
          </w:p>
        </w:tc>
        <w:tc>
          <w:tcPr>
            <w:tcW w:w="1308" w:type="dxa"/>
            <w:shd w:val="clear" w:color="auto" w:fill="auto"/>
            <w:vAlign w:val="center"/>
          </w:tcPr>
          <w:p w14:paraId="22BE2810" w14:textId="77777777" w:rsidR="001429E1" w:rsidRDefault="001429E1" w:rsidP="001D7B5C">
            <w:pPr>
              <w:spacing w:line="480" w:lineRule="auto"/>
              <w:jc w:val="center"/>
              <w:outlineLvl w:val="0"/>
              <w:rPr>
                <w:lang w:val="en-US"/>
              </w:rPr>
            </w:pPr>
            <w:r>
              <w:rPr>
                <w:lang w:val="en-US"/>
              </w:rPr>
              <w:t>24</w:t>
            </w:r>
          </w:p>
        </w:tc>
        <w:tc>
          <w:tcPr>
            <w:tcW w:w="1309" w:type="dxa"/>
            <w:shd w:val="clear" w:color="auto" w:fill="auto"/>
            <w:vAlign w:val="center"/>
          </w:tcPr>
          <w:p w14:paraId="7413A0FC" w14:textId="77777777" w:rsidR="001429E1" w:rsidRDefault="001429E1" w:rsidP="001D7B5C">
            <w:pPr>
              <w:spacing w:line="480" w:lineRule="auto"/>
              <w:jc w:val="center"/>
              <w:outlineLvl w:val="0"/>
              <w:rPr>
                <w:lang w:val="en-US"/>
              </w:rPr>
            </w:pPr>
            <w:r>
              <w:rPr>
                <w:lang w:val="en-US"/>
              </w:rPr>
              <w:t>17</w:t>
            </w:r>
          </w:p>
        </w:tc>
        <w:tc>
          <w:tcPr>
            <w:tcW w:w="1309" w:type="dxa"/>
            <w:shd w:val="clear" w:color="auto" w:fill="auto"/>
            <w:vAlign w:val="center"/>
          </w:tcPr>
          <w:p w14:paraId="3013E613" w14:textId="77777777" w:rsidR="001429E1" w:rsidRDefault="001429E1" w:rsidP="001D7B5C">
            <w:pPr>
              <w:spacing w:line="480" w:lineRule="auto"/>
              <w:jc w:val="center"/>
              <w:outlineLvl w:val="0"/>
              <w:rPr>
                <w:lang w:val="en-US"/>
              </w:rPr>
            </w:pPr>
            <w:r>
              <w:rPr>
                <w:lang w:val="en-US"/>
              </w:rPr>
              <w:t>8</w:t>
            </w:r>
          </w:p>
        </w:tc>
        <w:tc>
          <w:tcPr>
            <w:tcW w:w="1308" w:type="dxa"/>
            <w:shd w:val="clear" w:color="auto" w:fill="auto"/>
            <w:vAlign w:val="center"/>
          </w:tcPr>
          <w:p w14:paraId="066E2A91" w14:textId="77777777" w:rsidR="001429E1" w:rsidRDefault="001429E1" w:rsidP="001D7B5C">
            <w:pPr>
              <w:spacing w:line="480" w:lineRule="auto"/>
              <w:jc w:val="center"/>
              <w:outlineLvl w:val="0"/>
              <w:rPr>
                <w:lang w:val="en-US"/>
              </w:rPr>
            </w:pPr>
            <w:r>
              <w:rPr>
                <w:lang w:val="en-US"/>
              </w:rPr>
              <w:t>0</w:t>
            </w:r>
          </w:p>
        </w:tc>
        <w:tc>
          <w:tcPr>
            <w:tcW w:w="1309" w:type="dxa"/>
            <w:shd w:val="clear" w:color="auto" w:fill="auto"/>
            <w:vAlign w:val="center"/>
          </w:tcPr>
          <w:p w14:paraId="4B63B0FA" w14:textId="77777777" w:rsidR="001429E1" w:rsidRDefault="001429E1" w:rsidP="001D7B5C">
            <w:pPr>
              <w:spacing w:line="480" w:lineRule="auto"/>
              <w:jc w:val="center"/>
              <w:outlineLvl w:val="0"/>
              <w:rPr>
                <w:lang w:val="en-US"/>
              </w:rPr>
            </w:pPr>
            <w:r>
              <w:rPr>
                <w:lang w:val="en-US"/>
              </w:rPr>
              <w:t>71</w:t>
            </w:r>
          </w:p>
        </w:tc>
        <w:tc>
          <w:tcPr>
            <w:tcW w:w="1309" w:type="dxa"/>
            <w:tcBorders>
              <w:right w:val="nil"/>
            </w:tcBorders>
            <w:shd w:val="clear" w:color="auto" w:fill="BFBFBF" w:themeFill="background1" w:themeFillShade="BF"/>
            <w:vAlign w:val="center"/>
          </w:tcPr>
          <w:p w14:paraId="4A89386B" w14:textId="77777777" w:rsidR="001429E1" w:rsidRDefault="001429E1" w:rsidP="001D7B5C">
            <w:pPr>
              <w:spacing w:line="480" w:lineRule="auto"/>
              <w:jc w:val="center"/>
              <w:outlineLvl w:val="0"/>
              <w:rPr>
                <w:lang w:val="en-US"/>
              </w:rPr>
            </w:pPr>
          </w:p>
        </w:tc>
      </w:tr>
      <w:tr w:rsidR="001429E1" w14:paraId="33A71FC5" w14:textId="77777777" w:rsidTr="001D7B5C">
        <w:trPr>
          <w:trHeight w:val="466"/>
        </w:trPr>
        <w:tc>
          <w:tcPr>
            <w:tcW w:w="1309" w:type="dxa"/>
            <w:tcBorders>
              <w:left w:val="nil"/>
              <w:bottom w:val="single" w:sz="12" w:space="0" w:color="auto"/>
              <w:right w:val="single" w:sz="12" w:space="0" w:color="auto"/>
            </w:tcBorders>
            <w:shd w:val="clear" w:color="auto" w:fill="auto"/>
          </w:tcPr>
          <w:p w14:paraId="592A9697" w14:textId="77777777" w:rsidR="001429E1" w:rsidRPr="00A616C1" w:rsidRDefault="001429E1" w:rsidP="001D7B5C">
            <w:pPr>
              <w:spacing w:line="480" w:lineRule="auto"/>
              <w:outlineLvl w:val="0"/>
              <w:rPr>
                <w:b/>
                <w:lang w:val="en-US"/>
              </w:rPr>
            </w:pPr>
            <w:r w:rsidRPr="00A616C1">
              <w:rPr>
                <w:b/>
                <w:lang w:val="en-US"/>
              </w:rPr>
              <w:t>Stillbirth</w:t>
            </w:r>
          </w:p>
        </w:tc>
        <w:tc>
          <w:tcPr>
            <w:tcW w:w="1309" w:type="dxa"/>
            <w:tcBorders>
              <w:left w:val="single" w:sz="12" w:space="0" w:color="auto"/>
              <w:bottom w:val="single" w:sz="12" w:space="0" w:color="auto"/>
            </w:tcBorders>
            <w:shd w:val="clear" w:color="auto" w:fill="auto"/>
            <w:vAlign w:val="center"/>
          </w:tcPr>
          <w:p w14:paraId="51E01099" w14:textId="77777777" w:rsidR="001429E1" w:rsidRDefault="001429E1" w:rsidP="001D7B5C">
            <w:pPr>
              <w:spacing w:line="480" w:lineRule="auto"/>
              <w:jc w:val="center"/>
              <w:outlineLvl w:val="0"/>
              <w:rPr>
                <w:lang w:val="en-US"/>
              </w:rPr>
            </w:pPr>
            <w:r>
              <w:rPr>
                <w:lang w:val="en-US"/>
              </w:rPr>
              <w:t>3</w:t>
            </w:r>
          </w:p>
        </w:tc>
        <w:tc>
          <w:tcPr>
            <w:tcW w:w="1309" w:type="dxa"/>
            <w:tcBorders>
              <w:bottom w:val="single" w:sz="12" w:space="0" w:color="auto"/>
            </w:tcBorders>
            <w:shd w:val="clear" w:color="auto" w:fill="auto"/>
            <w:vAlign w:val="center"/>
          </w:tcPr>
          <w:p w14:paraId="1BE98D15" w14:textId="77777777" w:rsidR="001429E1" w:rsidRDefault="001429E1" w:rsidP="001D7B5C">
            <w:pPr>
              <w:spacing w:line="480" w:lineRule="auto"/>
              <w:jc w:val="center"/>
              <w:outlineLvl w:val="0"/>
              <w:rPr>
                <w:lang w:val="en-US"/>
              </w:rPr>
            </w:pPr>
            <w:r>
              <w:rPr>
                <w:lang w:val="en-US"/>
              </w:rPr>
              <w:t>2</w:t>
            </w:r>
          </w:p>
        </w:tc>
        <w:tc>
          <w:tcPr>
            <w:tcW w:w="1308" w:type="dxa"/>
            <w:tcBorders>
              <w:bottom w:val="single" w:sz="12" w:space="0" w:color="auto"/>
            </w:tcBorders>
            <w:shd w:val="clear" w:color="auto" w:fill="auto"/>
            <w:vAlign w:val="center"/>
          </w:tcPr>
          <w:p w14:paraId="69D62DC0" w14:textId="77777777" w:rsidR="001429E1" w:rsidRDefault="001429E1" w:rsidP="001D7B5C">
            <w:pPr>
              <w:spacing w:line="480" w:lineRule="auto"/>
              <w:jc w:val="center"/>
              <w:outlineLvl w:val="0"/>
              <w:rPr>
                <w:lang w:val="en-US"/>
              </w:rPr>
            </w:pPr>
            <w:r>
              <w:rPr>
                <w:lang w:val="en-US"/>
              </w:rPr>
              <w:t>0</w:t>
            </w:r>
          </w:p>
        </w:tc>
        <w:tc>
          <w:tcPr>
            <w:tcW w:w="1309" w:type="dxa"/>
            <w:tcBorders>
              <w:bottom w:val="single" w:sz="12" w:space="0" w:color="auto"/>
            </w:tcBorders>
            <w:shd w:val="clear" w:color="auto" w:fill="auto"/>
            <w:vAlign w:val="center"/>
          </w:tcPr>
          <w:p w14:paraId="58A617C2" w14:textId="77777777" w:rsidR="001429E1" w:rsidRDefault="001429E1" w:rsidP="001D7B5C">
            <w:pPr>
              <w:spacing w:line="480" w:lineRule="auto"/>
              <w:jc w:val="center"/>
              <w:outlineLvl w:val="0"/>
              <w:rPr>
                <w:lang w:val="en-US"/>
              </w:rPr>
            </w:pPr>
            <w:r>
              <w:rPr>
                <w:lang w:val="en-US"/>
              </w:rPr>
              <w:t>0</w:t>
            </w:r>
          </w:p>
        </w:tc>
        <w:tc>
          <w:tcPr>
            <w:tcW w:w="1309" w:type="dxa"/>
            <w:tcBorders>
              <w:bottom w:val="single" w:sz="12" w:space="0" w:color="auto"/>
            </w:tcBorders>
            <w:shd w:val="clear" w:color="auto" w:fill="auto"/>
            <w:vAlign w:val="center"/>
          </w:tcPr>
          <w:p w14:paraId="76EA54BA" w14:textId="77777777" w:rsidR="001429E1" w:rsidRDefault="001429E1" w:rsidP="001D7B5C">
            <w:pPr>
              <w:spacing w:line="480" w:lineRule="auto"/>
              <w:jc w:val="center"/>
              <w:outlineLvl w:val="0"/>
              <w:rPr>
                <w:lang w:val="en-US"/>
              </w:rPr>
            </w:pPr>
            <w:r>
              <w:rPr>
                <w:lang w:val="en-US"/>
              </w:rPr>
              <w:t>0</w:t>
            </w:r>
          </w:p>
        </w:tc>
        <w:tc>
          <w:tcPr>
            <w:tcW w:w="1308" w:type="dxa"/>
            <w:tcBorders>
              <w:bottom w:val="single" w:sz="12" w:space="0" w:color="auto"/>
            </w:tcBorders>
            <w:shd w:val="clear" w:color="auto" w:fill="auto"/>
            <w:vAlign w:val="center"/>
          </w:tcPr>
          <w:p w14:paraId="16C148F3" w14:textId="77777777" w:rsidR="001429E1" w:rsidRDefault="001429E1" w:rsidP="001D7B5C">
            <w:pPr>
              <w:spacing w:line="480" w:lineRule="auto"/>
              <w:jc w:val="center"/>
              <w:outlineLvl w:val="0"/>
              <w:rPr>
                <w:lang w:val="en-US"/>
              </w:rPr>
            </w:pPr>
            <w:r>
              <w:rPr>
                <w:lang w:val="en-US"/>
              </w:rPr>
              <w:t>1</w:t>
            </w:r>
          </w:p>
        </w:tc>
        <w:tc>
          <w:tcPr>
            <w:tcW w:w="1309" w:type="dxa"/>
            <w:tcBorders>
              <w:bottom w:val="single" w:sz="12" w:space="0" w:color="auto"/>
            </w:tcBorders>
            <w:shd w:val="clear" w:color="auto" w:fill="auto"/>
            <w:vAlign w:val="center"/>
          </w:tcPr>
          <w:p w14:paraId="101862FA" w14:textId="77777777" w:rsidR="001429E1" w:rsidRDefault="001429E1" w:rsidP="001D7B5C">
            <w:pPr>
              <w:spacing w:line="480" w:lineRule="auto"/>
              <w:jc w:val="center"/>
              <w:outlineLvl w:val="0"/>
              <w:rPr>
                <w:lang w:val="en-US"/>
              </w:rPr>
            </w:pPr>
            <w:r>
              <w:rPr>
                <w:lang w:val="en-US"/>
              </w:rPr>
              <w:t>3</w:t>
            </w:r>
          </w:p>
        </w:tc>
        <w:tc>
          <w:tcPr>
            <w:tcW w:w="1309" w:type="dxa"/>
            <w:tcBorders>
              <w:bottom w:val="single" w:sz="12" w:space="0" w:color="auto"/>
              <w:right w:val="nil"/>
            </w:tcBorders>
            <w:shd w:val="clear" w:color="auto" w:fill="auto"/>
            <w:vAlign w:val="center"/>
          </w:tcPr>
          <w:p w14:paraId="1299DC5A" w14:textId="77777777" w:rsidR="001429E1" w:rsidRDefault="001429E1" w:rsidP="001D7B5C">
            <w:pPr>
              <w:spacing w:line="480" w:lineRule="auto"/>
              <w:jc w:val="center"/>
              <w:outlineLvl w:val="0"/>
              <w:rPr>
                <w:lang w:val="en-US"/>
              </w:rPr>
            </w:pPr>
            <w:r>
              <w:rPr>
                <w:lang w:val="en-US"/>
              </w:rPr>
              <w:t>11</w:t>
            </w:r>
          </w:p>
        </w:tc>
      </w:tr>
    </w:tbl>
    <w:p w14:paraId="2D7A8F73" w14:textId="77777777" w:rsidR="001429E1" w:rsidRPr="00A1626D" w:rsidRDefault="001429E1" w:rsidP="001429E1">
      <w:pPr>
        <w:spacing w:after="0" w:line="480" w:lineRule="auto"/>
        <w:outlineLvl w:val="0"/>
        <w:rPr>
          <w:lang w:val="en-US"/>
        </w:rPr>
      </w:pPr>
    </w:p>
    <w:p w14:paraId="51DE022C" w14:textId="77777777" w:rsidR="001429E1" w:rsidRDefault="001429E1" w:rsidP="001429E1">
      <w:pPr>
        <w:spacing w:after="200" w:line="276" w:lineRule="auto"/>
        <w:rPr>
          <w:u w:val="single"/>
          <w:lang w:val="en-US"/>
        </w:rPr>
      </w:pPr>
    </w:p>
    <w:p w14:paraId="4D063231" w14:textId="77777777" w:rsidR="001429E1" w:rsidRPr="00A1626D" w:rsidRDefault="001429E1" w:rsidP="001429E1">
      <w:pPr>
        <w:rPr>
          <w:lang w:val="en-US"/>
        </w:rPr>
      </w:pPr>
    </w:p>
    <w:p w14:paraId="01C06456" w14:textId="77777777" w:rsidR="001429E1" w:rsidRPr="00A1626D" w:rsidRDefault="001429E1" w:rsidP="001429E1">
      <w:pPr>
        <w:rPr>
          <w:lang w:val="en-US"/>
        </w:rPr>
      </w:pPr>
    </w:p>
    <w:p w14:paraId="4CD5E53F" w14:textId="77777777" w:rsidR="001429E1" w:rsidRPr="00A1626D" w:rsidRDefault="001429E1" w:rsidP="001429E1">
      <w:pPr>
        <w:rPr>
          <w:lang w:val="en-US"/>
        </w:rPr>
      </w:pPr>
    </w:p>
    <w:p w14:paraId="44C88FF5" w14:textId="77777777" w:rsidR="001429E1" w:rsidRPr="00A1626D" w:rsidRDefault="001429E1" w:rsidP="001429E1">
      <w:pPr>
        <w:rPr>
          <w:lang w:val="en-US"/>
        </w:rPr>
      </w:pPr>
    </w:p>
    <w:p w14:paraId="5D479453" w14:textId="77777777" w:rsidR="001429E1" w:rsidRPr="00A1626D" w:rsidRDefault="001429E1" w:rsidP="001429E1">
      <w:pPr>
        <w:rPr>
          <w:lang w:val="en-US"/>
        </w:rPr>
      </w:pPr>
    </w:p>
    <w:p w14:paraId="1E122AB1" w14:textId="77777777" w:rsidR="001429E1" w:rsidRPr="00A1626D" w:rsidRDefault="001429E1" w:rsidP="001429E1">
      <w:pPr>
        <w:rPr>
          <w:lang w:val="en-US"/>
        </w:rPr>
      </w:pPr>
    </w:p>
    <w:p w14:paraId="39FC896A" w14:textId="77777777" w:rsidR="001429E1" w:rsidRPr="00A1626D" w:rsidRDefault="001429E1" w:rsidP="001429E1">
      <w:pPr>
        <w:rPr>
          <w:lang w:val="en-US"/>
        </w:rPr>
      </w:pPr>
    </w:p>
    <w:p w14:paraId="28307B6E" w14:textId="77777777" w:rsidR="001429E1" w:rsidRPr="00A1626D" w:rsidRDefault="001429E1" w:rsidP="001429E1">
      <w:pPr>
        <w:rPr>
          <w:lang w:val="en-US"/>
        </w:rPr>
      </w:pPr>
    </w:p>
    <w:p w14:paraId="66FBEF38" w14:textId="77777777" w:rsidR="001429E1" w:rsidRPr="00A1626D" w:rsidRDefault="001429E1" w:rsidP="001429E1">
      <w:pPr>
        <w:rPr>
          <w:lang w:val="en-US"/>
        </w:rPr>
      </w:pPr>
    </w:p>
    <w:p w14:paraId="6A152363" w14:textId="77777777" w:rsidR="001429E1" w:rsidRPr="00A1626D" w:rsidRDefault="001429E1" w:rsidP="001429E1">
      <w:pPr>
        <w:rPr>
          <w:lang w:val="en-US"/>
        </w:rPr>
      </w:pPr>
    </w:p>
    <w:p w14:paraId="47FB8A52" w14:textId="77777777" w:rsidR="001429E1" w:rsidRPr="00A1626D" w:rsidRDefault="001429E1" w:rsidP="001429E1">
      <w:pPr>
        <w:rPr>
          <w:lang w:val="en-US"/>
        </w:rPr>
      </w:pPr>
      <w:r>
        <w:rPr>
          <w:lang w:val="en-US"/>
        </w:rPr>
        <w:br/>
      </w:r>
      <w:r w:rsidRPr="00F022FE">
        <w:rPr>
          <w:sz w:val="20"/>
          <w:szCs w:val="20"/>
          <w:lang w:val="en-US"/>
        </w:rPr>
        <w:t>FGR, fetal growth restriction; iPTB</w:t>
      </w:r>
      <w:r>
        <w:rPr>
          <w:sz w:val="20"/>
          <w:szCs w:val="20"/>
          <w:lang w:val="en-US"/>
        </w:rPr>
        <w:t xml:space="preserve">, iatrogenic preterm birth; PE, preeclampsia; </w:t>
      </w:r>
      <w:r w:rsidRPr="00F022FE">
        <w:rPr>
          <w:sz w:val="20"/>
          <w:szCs w:val="20"/>
          <w:lang w:val="en-US"/>
        </w:rPr>
        <w:t xml:space="preserve">PTB, preterm birth; SGA, small for gestational age; </w:t>
      </w:r>
      <w:r>
        <w:rPr>
          <w:sz w:val="20"/>
          <w:szCs w:val="20"/>
          <w:lang w:val="en-US"/>
        </w:rPr>
        <w:t>sPTB, spontaneous preterm birth</w:t>
      </w:r>
    </w:p>
    <w:p w14:paraId="17F64136" w14:textId="77777777" w:rsidR="001429E1" w:rsidRDefault="001429E1" w:rsidP="001429E1">
      <w:pPr>
        <w:rPr>
          <w:sz w:val="20"/>
          <w:szCs w:val="20"/>
          <w:lang w:val="en-US"/>
        </w:rPr>
      </w:pPr>
      <w:r w:rsidRPr="00E374B1">
        <w:rPr>
          <w:sz w:val="20"/>
          <w:szCs w:val="20"/>
          <w:lang w:val="en-US"/>
        </w:rPr>
        <w:t xml:space="preserve">Cases of pre-viable loss </w:t>
      </w:r>
      <w:r>
        <w:rPr>
          <w:sz w:val="20"/>
          <w:szCs w:val="20"/>
          <w:lang w:val="en-US"/>
        </w:rPr>
        <w:t xml:space="preserve">(n=13) </w:t>
      </w:r>
      <w:r w:rsidRPr="00E374B1">
        <w:rPr>
          <w:sz w:val="20"/>
          <w:szCs w:val="20"/>
          <w:lang w:val="en-US"/>
        </w:rPr>
        <w:t>were excluded as all other outcomes were recorded after viability</w:t>
      </w:r>
      <w:r>
        <w:rPr>
          <w:sz w:val="20"/>
          <w:szCs w:val="20"/>
          <w:lang w:val="en-US"/>
        </w:rPr>
        <w:t xml:space="preserve">. The total number of women for each outcome is given on the diagonal. </w:t>
      </w:r>
    </w:p>
    <w:p w14:paraId="5D306ACA" w14:textId="77777777" w:rsidR="001429E1" w:rsidRDefault="001429E1" w:rsidP="001429E1">
      <w:pPr>
        <w:spacing w:after="200" w:line="276" w:lineRule="auto"/>
        <w:rPr>
          <w:sz w:val="20"/>
          <w:szCs w:val="20"/>
          <w:lang w:val="en-US"/>
        </w:rPr>
      </w:pPr>
    </w:p>
    <w:p w14:paraId="257DADBD" w14:textId="77777777" w:rsidR="001429E1" w:rsidRDefault="001429E1" w:rsidP="001429E1">
      <w:pPr>
        <w:spacing w:after="200" w:line="276" w:lineRule="auto"/>
        <w:rPr>
          <w:sz w:val="20"/>
          <w:szCs w:val="20"/>
          <w:lang w:val="en-US"/>
        </w:rPr>
      </w:pPr>
      <w:r>
        <w:rPr>
          <w:sz w:val="20"/>
          <w:szCs w:val="20"/>
          <w:lang w:val="en-US"/>
        </w:rPr>
        <w:br w:type="page"/>
      </w:r>
    </w:p>
    <w:p w14:paraId="617EE3C8" w14:textId="77777777" w:rsidR="001429E1" w:rsidRPr="00536A5D" w:rsidRDefault="001429E1" w:rsidP="001429E1">
      <w:pPr>
        <w:spacing w:line="480" w:lineRule="auto"/>
        <w:outlineLvl w:val="0"/>
        <w:rPr>
          <w:sz w:val="24"/>
          <w:szCs w:val="24"/>
        </w:rPr>
      </w:pPr>
      <w:r>
        <w:rPr>
          <w:b/>
          <w:sz w:val="24"/>
          <w:szCs w:val="24"/>
        </w:rPr>
        <w:t xml:space="preserve">Supplemental </w:t>
      </w:r>
      <w:r w:rsidRPr="00536A5D">
        <w:rPr>
          <w:b/>
          <w:sz w:val="24"/>
          <w:szCs w:val="24"/>
        </w:rPr>
        <w:t xml:space="preserve">Table </w:t>
      </w:r>
      <w:r>
        <w:rPr>
          <w:b/>
          <w:sz w:val="24"/>
          <w:szCs w:val="24"/>
        </w:rPr>
        <w:t>2</w:t>
      </w:r>
      <w:r w:rsidRPr="00536A5D">
        <w:rPr>
          <w:b/>
          <w:sz w:val="24"/>
          <w:szCs w:val="24"/>
        </w:rPr>
        <w:t>. Uncorrected maternal AFP, PAPP-A and AFP:PAPP-A ratio values at 1</w:t>
      </w:r>
      <w:r>
        <w:rPr>
          <w:b/>
          <w:sz w:val="24"/>
          <w:szCs w:val="24"/>
        </w:rPr>
        <w:t>2 wkGA in the study cohort (n=4</w:t>
      </w:r>
      <w:r w:rsidRPr="00536A5D">
        <w:rPr>
          <w:b/>
          <w:sz w:val="24"/>
          <w:szCs w:val="24"/>
        </w:rPr>
        <w:t>057).</w:t>
      </w:r>
    </w:p>
    <w:tbl>
      <w:tblPr>
        <w:tblW w:w="0" w:type="auto"/>
        <w:tblBorders>
          <w:top w:val="single" w:sz="12" w:space="0" w:color="auto"/>
          <w:bottom w:val="single" w:sz="12" w:space="0" w:color="auto"/>
        </w:tblBorders>
        <w:tblLook w:val="04A0" w:firstRow="1" w:lastRow="0" w:firstColumn="1" w:lastColumn="0" w:noHBand="0" w:noVBand="1"/>
      </w:tblPr>
      <w:tblGrid>
        <w:gridCol w:w="222"/>
        <w:gridCol w:w="1612"/>
        <w:gridCol w:w="222"/>
        <w:gridCol w:w="1515"/>
        <w:gridCol w:w="718"/>
        <w:gridCol w:w="886"/>
        <w:gridCol w:w="2140"/>
        <w:gridCol w:w="2776"/>
      </w:tblGrid>
      <w:tr w:rsidR="001429E1" w:rsidRPr="00F022FE" w14:paraId="19571C0F" w14:textId="77777777" w:rsidTr="001D7B5C">
        <w:trPr>
          <w:trHeight w:val="415"/>
        </w:trPr>
        <w:tc>
          <w:tcPr>
            <w:tcW w:w="0" w:type="auto"/>
            <w:tcBorders>
              <w:top w:val="single" w:sz="12" w:space="0" w:color="auto"/>
              <w:bottom w:val="single" w:sz="12" w:space="0" w:color="auto"/>
            </w:tcBorders>
          </w:tcPr>
          <w:p w14:paraId="5BF54B5E" w14:textId="77777777" w:rsidR="001429E1" w:rsidRPr="00F022FE" w:rsidRDefault="001429E1" w:rsidP="001D7B5C">
            <w:pPr>
              <w:spacing w:after="0" w:line="480" w:lineRule="auto"/>
              <w:rPr>
                <w:b/>
                <w:lang w:val="en-US"/>
              </w:rPr>
            </w:pPr>
          </w:p>
        </w:tc>
        <w:tc>
          <w:tcPr>
            <w:tcW w:w="0" w:type="auto"/>
            <w:tcBorders>
              <w:top w:val="single" w:sz="12" w:space="0" w:color="auto"/>
              <w:bottom w:val="single" w:sz="12" w:space="0" w:color="auto"/>
            </w:tcBorders>
          </w:tcPr>
          <w:p w14:paraId="6C593B93" w14:textId="77777777" w:rsidR="001429E1" w:rsidRPr="00F022FE" w:rsidRDefault="001429E1" w:rsidP="001D7B5C">
            <w:pPr>
              <w:spacing w:after="0" w:line="480" w:lineRule="auto"/>
              <w:rPr>
                <w:b/>
                <w:lang w:val="en-US"/>
              </w:rPr>
            </w:pPr>
            <w:r w:rsidRPr="00F022FE">
              <w:rPr>
                <w:b/>
                <w:lang w:val="en-US"/>
              </w:rPr>
              <w:t>Biomarker</w:t>
            </w:r>
          </w:p>
        </w:tc>
        <w:tc>
          <w:tcPr>
            <w:tcW w:w="0" w:type="auto"/>
            <w:tcBorders>
              <w:top w:val="single" w:sz="12" w:space="0" w:color="auto"/>
              <w:bottom w:val="single" w:sz="12" w:space="0" w:color="auto"/>
            </w:tcBorders>
          </w:tcPr>
          <w:p w14:paraId="364F5BDB" w14:textId="77777777" w:rsidR="001429E1" w:rsidRPr="00F022FE" w:rsidRDefault="001429E1" w:rsidP="001D7B5C">
            <w:pPr>
              <w:spacing w:after="0" w:line="480" w:lineRule="auto"/>
              <w:rPr>
                <w:b/>
                <w:lang w:val="en-US"/>
              </w:rPr>
            </w:pPr>
          </w:p>
        </w:tc>
        <w:tc>
          <w:tcPr>
            <w:tcW w:w="0" w:type="auto"/>
            <w:tcBorders>
              <w:top w:val="single" w:sz="12" w:space="0" w:color="auto"/>
              <w:bottom w:val="single" w:sz="12" w:space="0" w:color="auto"/>
            </w:tcBorders>
          </w:tcPr>
          <w:p w14:paraId="1D83B84D" w14:textId="77777777" w:rsidR="001429E1" w:rsidRPr="00F022FE" w:rsidRDefault="001429E1" w:rsidP="001D7B5C">
            <w:pPr>
              <w:spacing w:after="0" w:line="480" w:lineRule="auto"/>
              <w:jc w:val="center"/>
              <w:rPr>
                <w:b/>
                <w:lang w:val="en-US"/>
              </w:rPr>
            </w:pPr>
            <w:r w:rsidRPr="00F022FE">
              <w:rPr>
                <w:b/>
                <w:lang w:val="en-US"/>
              </w:rPr>
              <w:t>Mean (SD)</w:t>
            </w:r>
          </w:p>
        </w:tc>
        <w:tc>
          <w:tcPr>
            <w:tcW w:w="0" w:type="auto"/>
            <w:tcBorders>
              <w:top w:val="single" w:sz="12" w:space="0" w:color="auto"/>
              <w:bottom w:val="single" w:sz="12" w:space="0" w:color="auto"/>
            </w:tcBorders>
          </w:tcPr>
          <w:p w14:paraId="61423059" w14:textId="77777777" w:rsidR="001429E1" w:rsidRPr="00F022FE" w:rsidRDefault="001429E1" w:rsidP="001D7B5C">
            <w:pPr>
              <w:spacing w:after="0" w:line="480" w:lineRule="auto"/>
              <w:jc w:val="center"/>
              <w:rPr>
                <w:b/>
                <w:lang w:val="en-US"/>
              </w:rPr>
            </w:pPr>
            <w:r w:rsidRPr="00F022FE">
              <w:rPr>
                <w:b/>
                <w:lang w:val="en-US"/>
              </w:rPr>
              <w:t>Min</w:t>
            </w:r>
          </w:p>
        </w:tc>
        <w:tc>
          <w:tcPr>
            <w:tcW w:w="0" w:type="auto"/>
            <w:tcBorders>
              <w:top w:val="single" w:sz="12" w:space="0" w:color="auto"/>
              <w:bottom w:val="single" w:sz="12" w:space="0" w:color="auto"/>
            </w:tcBorders>
          </w:tcPr>
          <w:p w14:paraId="4345A005" w14:textId="77777777" w:rsidR="001429E1" w:rsidRPr="00F022FE" w:rsidRDefault="001429E1" w:rsidP="001D7B5C">
            <w:pPr>
              <w:spacing w:after="0" w:line="480" w:lineRule="auto"/>
              <w:jc w:val="center"/>
              <w:rPr>
                <w:b/>
                <w:lang w:val="en-US"/>
              </w:rPr>
            </w:pPr>
            <w:r w:rsidRPr="00F022FE">
              <w:rPr>
                <w:b/>
                <w:lang w:val="en-US"/>
              </w:rPr>
              <w:t>Max</w:t>
            </w:r>
          </w:p>
        </w:tc>
        <w:tc>
          <w:tcPr>
            <w:tcW w:w="0" w:type="auto"/>
            <w:tcBorders>
              <w:top w:val="single" w:sz="12" w:space="0" w:color="auto"/>
              <w:bottom w:val="single" w:sz="12" w:space="0" w:color="auto"/>
            </w:tcBorders>
          </w:tcPr>
          <w:p w14:paraId="6118C9EA" w14:textId="77777777" w:rsidR="001429E1" w:rsidRPr="00F022FE" w:rsidRDefault="001429E1" w:rsidP="001D7B5C">
            <w:pPr>
              <w:spacing w:after="0" w:line="480" w:lineRule="auto"/>
              <w:jc w:val="center"/>
              <w:rPr>
                <w:b/>
                <w:lang w:val="en-US"/>
              </w:rPr>
            </w:pPr>
            <w:r w:rsidRPr="00F022FE">
              <w:rPr>
                <w:b/>
                <w:lang w:val="en-US"/>
              </w:rPr>
              <w:t>Median (IQR)</w:t>
            </w:r>
          </w:p>
        </w:tc>
        <w:tc>
          <w:tcPr>
            <w:tcW w:w="0" w:type="auto"/>
            <w:tcBorders>
              <w:top w:val="single" w:sz="12" w:space="0" w:color="auto"/>
              <w:bottom w:val="single" w:sz="12" w:space="0" w:color="auto"/>
            </w:tcBorders>
          </w:tcPr>
          <w:p w14:paraId="0F06F7A5" w14:textId="77777777" w:rsidR="001429E1" w:rsidRPr="00F022FE" w:rsidRDefault="001429E1" w:rsidP="001D7B5C">
            <w:pPr>
              <w:spacing w:after="0" w:line="480" w:lineRule="auto"/>
              <w:jc w:val="center"/>
              <w:rPr>
                <w:b/>
                <w:lang w:val="en-US"/>
              </w:rPr>
            </w:pPr>
            <w:r>
              <w:rPr>
                <w:b/>
                <w:lang w:val="en-US"/>
              </w:rPr>
              <w:t>Extreme</w:t>
            </w:r>
            <w:r w:rsidRPr="00F022FE">
              <w:rPr>
                <w:b/>
                <w:lang w:val="en-US"/>
              </w:rPr>
              <w:t xml:space="preserve"> decile cut-off value</w:t>
            </w:r>
          </w:p>
        </w:tc>
      </w:tr>
      <w:tr w:rsidR="001429E1" w:rsidRPr="00F022FE" w14:paraId="10DACE7B" w14:textId="77777777" w:rsidTr="001D7B5C">
        <w:trPr>
          <w:trHeight w:val="392"/>
        </w:trPr>
        <w:tc>
          <w:tcPr>
            <w:tcW w:w="0" w:type="auto"/>
          </w:tcPr>
          <w:p w14:paraId="3DDC17E2" w14:textId="77777777" w:rsidR="001429E1" w:rsidRPr="00F022FE" w:rsidRDefault="001429E1" w:rsidP="001D7B5C">
            <w:pPr>
              <w:spacing w:after="0" w:line="480" w:lineRule="auto"/>
              <w:rPr>
                <w:lang w:val="en-US"/>
              </w:rPr>
            </w:pPr>
          </w:p>
        </w:tc>
        <w:tc>
          <w:tcPr>
            <w:tcW w:w="0" w:type="auto"/>
            <w:tcBorders>
              <w:top w:val="nil"/>
              <w:bottom w:val="single" w:sz="2" w:space="0" w:color="auto"/>
            </w:tcBorders>
          </w:tcPr>
          <w:p w14:paraId="3F8D07ED" w14:textId="77777777" w:rsidR="001429E1" w:rsidRPr="00F022FE" w:rsidRDefault="001429E1" w:rsidP="001D7B5C">
            <w:pPr>
              <w:spacing w:after="0" w:line="480" w:lineRule="auto"/>
              <w:rPr>
                <w:lang w:val="en-US"/>
              </w:rPr>
            </w:pPr>
            <w:r w:rsidRPr="00F022FE">
              <w:rPr>
                <w:lang w:val="en-US"/>
              </w:rPr>
              <w:t>AFP (IU/L)</w:t>
            </w:r>
          </w:p>
        </w:tc>
        <w:tc>
          <w:tcPr>
            <w:tcW w:w="0" w:type="auto"/>
            <w:tcBorders>
              <w:top w:val="nil"/>
              <w:bottom w:val="single" w:sz="2" w:space="0" w:color="auto"/>
            </w:tcBorders>
          </w:tcPr>
          <w:p w14:paraId="2075EC3C" w14:textId="77777777" w:rsidR="001429E1" w:rsidRPr="00F022FE" w:rsidRDefault="001429E1" w:rsidP="001D7B5C">
            <w:pPr>
              <w:spacing w:after="0" w:line="480" w:lineRule="auto"/>
              <w:rPr>
                <w:lang w:val="en-US"/>
              </w:rPr>
            </w:pPr>
          </w:p>
        </w:tc>
        <w:tc>
          <w:tcPr>
            <w:tcW w:w="0" w:type="auto"/>
            <w:tcBorders>
              <w:top w:val="nil"/>
              <w:bottom w:val="single" w:sz="2" w:space="0" w:color="auto"/>
            </w:tcBorders>
          </w:tcPr>
          <w:p w14:paraId="66F48B2B" w14:textId="77777777" w:rsidR="001429E1" w:rsidRPr="00F022FE" w:rsidRDefault="001429E1" w:rsidP="001D7B5C">
            <w:pPr>
              <w:spacing w:after="0" w:line="480" w:lineRule="auto"/>
              <w:jc w:val="center"/>
              <w:rPr>
                <w:lang w:val="en-US"/>
              </w:rPr>
            </w:pPr>
            <w:r>
              <w:rPr>
                <w:lang w:val="en-US"/>
              </w:rPr>
              <w:t>16895 (11</w:t>
            </w:r>
            <w:r w:rsidRPr="00F022FE">
              <w:rPr>
                <w:lang w:val="en-US"/>
              </w:rPr>
              <w:t>140)</w:t>
            </w:r>
          </w:p>
        </w:tc>
        <w:tc>
          <w:tcPr>
            <w:tcW w:w="0" w:type="auto"/>
            <w:tcBorders>
              <w:top w:val="nil"/>
              <w:bottom w:val="single" w:sz="2" w:space="0" w:color="auto"/>
            </w:tcBorders>
          </w:tcPr>
          <w:p w14:paraId="4E8BD480" w14:textId="77777777" w:rsidR="001429E1" w:rsidRPr="00F022FE" w:rsidRDefault="001429E1" w:rsidP="001D7B5C">
            <w:pPr>
              <w:spacing w:after="0" w:line="480" w:lineRule="auto"/>
              <w:jc w:val="center"/>
              <w:rPr>
                <w:lang w:val="en-US"/>
              </w:rPr>
            </w:pPr>
            <w:r w:rsidRPr="00F022FE">
              <w:rPr>
                <w:lang w:val="en-US"/>
              </w:rPr>
              <w:t>2250</w:t>
            </w:r>
          </w:p>
        </w:tc>
        <w:tc>
          <w:tcPr>
            <w:tcW w:w="0" w:type="auto"/>
            <w:tcBorders>
              <w:top w:val="nil"/>
              <w:bottom w:val="single" w:sz="2" w:space="0" w:color="auto"/>
            </w:tcBorders>
          </w:tcPr>
          <w:p w14:paraId="65641135" w14:textId="77777777" w:rsidR="001429E1" w:rsidRPr="00F022FE" w:rsidRDefault="001429E1" w:rsidP="001D7B5C">
            <w:pPr>
              <w:spacing w:after="0" w:line="480" w:lineRule="auto"/>
              <w:jc w:val="center"/>
              <w:rPr>
                <w:lang w:val="en-US"/>
              </w:rPr>
            </w:pPr>
            <w:r>
              <w:rPr>
                <w:lang w:val="en-US"/>
              </w:rPr>
              <w:t>266</w:t>
            </w:r>
            <w:r w:rsidRPr="00F022FE">
              <w:rPr>
                <w:lang w:val="en-US"/>
              </w:rPr>
              <w:t>600</w:t>
            </w:r>
          </w:p>
        </w:tc>
        <w:tc>
          <w:tcPr>
            <w:tcW w:w="0" w:type="auto"/>
            <w:tcBorders>
              <w:top w:val="nil"/>
              <w:bottom w:val="single" w:sz="2" w:space="0" w:color="auto"/>
            </w:tcBorders>
          </w:tcPr>
          <w:p w14:paraId="4AF50EDF" w14:textId="77777777" w:rsidR="001429E1" w:rsidRPr="00F022FE" w:rsidRDefault="001429E1" w:rsidP="001D7B5C">
            <w:pPr>
              <w:spacing w:after="0" w:line="480" w:lineRule="auto"/>
              <w:jc w:val="center"/>
              <w:rPr>
                <w:lang w:val="en-US"/>
              </w:rPr>
            </w:pPr>
            <w:r>
              <w:rPr>
                <w:lang w:val="en-US"/>
              </w:rPr>
              <w:t>14560 (10005-20</w:t>
            </w:r>
            <w:r w:rsidRPr="00F022FE">
              <w:rPr>
                <w:lang w:val="en-US"/>
              </w:rPr>
              <w:t>930)</w:t>
            </w:r>
          </w:p>
        </w:tc>
        <w:tc>
          <w:tcPr>
            <w:tcW w:w="0" w:type="auto"/>
            <w:tcBorders>
              <w:top w:val="nil"/>
              <w:bottom w:val="single" w:sz="2" w:space="0" w:color="auto"/>
            </w:tcBorders>
          </w:tcPr>
          <w:p w14:paraId="36485B14" w14:textId="77777777" w:rsidR="001429E1" w:rsidRPr="00F022FE" w:rsidRDefault="001429E1" w:rsidP="001D7B5C">
            <w:pPr>
              <w:spacing w:after="0" w:line="480" w:lineRule="auto"/>
              <w:jc w:val="center"/>
              <w:rPr>
                <w:lang w:val="en-US"/>
              </w:rPr>
            </w:pPr>
            <w:r>
              <w:rPr>
                <w:lang w:val="en-US"/>
              </w:rPr>
              <w:t>28</w:t>
            </w:r>
            <w:r w:rsidRPr="00F022FE">
              <w:rPr>
                <w:lang w:val="en-US"/>
              </w:rPr>
              <w:t>830</w:t>
            </w:r>
          </w:p>
        </w:tc>
      </w:tr>
      <w:tr w:rsidR="001429E1" w:rsidRPr="00F022FE" w14:paraId="0B978746" w14:textId="77777777" w:rsidTr="001D7B5C">
        <w:trPr>
          <w:trHeight w:val="436"/>
        </w:trPr>
        <w:tc>
          <w:tcPr>
            <w:tcW w:w="0" w:type="auto"/>
          </w:tcPr>
          <w:p w14:paraId="353011B6" w14:textId="77777777" w:rsidR="001429E1" w:rsidRPr="00F022FE" w:rsidRDefault="001429E1" w:rsidP="001D7B5C">
            <w:pPr>
              <w:spacing w:after="0" w:line="480" w:lineRule="auto"/>
              <w:rPr>
                <w:lang w:val="en-US"/>
              </w:rPr>
            </w:pPr>
          </w:p>
        </w:tc>
        <w:tc>
          <w:tcPr>
            <w:tcW w:w="0" w:type="auto"/>
            <w:tcBorders>
              <w:top w:val="single" w:sz="2" w:space="0" w:color="auto"/>
              <w:bottom w:val="single" w:sz="2" w:space="0" w:color="auto"/>
            </w:tcBorders>
          </w:tcPr>
          <w:p w14:paraId="10244278" w14:textId="77777777" w:rsidR="001429E1" w:rsidRPr="00F022FE" w:rsidRDefault="001429E1" w:rsidP="001D7B5C">
            <w:pPr>
              <w:spacing w:after="0" w:line="480" w:lineRule="auto"/>
              <w:rPr>
                <w:lang w:val="en-US"/>
              </w:rPr>
            </w:pPr>
            <w:r w:rsidRPr="00F022FE">
              <w:rPr>
                <w:lang w:val="en-US"/>
              </w:rPr>
              <w:t>PAPP-A (IU/mL)</w:t>
            </w:r>
          </w:p>
        </w:tc>
        <w:tc>
          <w:tcPr>
            <w:tcW w:w="0" w:type="auto"/>
            <w:tcBorders>
              <w:top w:val="single" w:sz="2" w:space="0" w:color="auto"/>
              <w:bottom w:val="single" w:sz="2" w:space="0" w:color="auto"/>
            </w:tcBorders>
          </w:tcPr>
          <w:p w14:paraId="5A16B6C8" w14:textId="77777777" w:rsidR="001429E1" w:rsidRPr="00F022FE" w:rsidRDefault="001429E1" w:rsidP="001D7B5C">
            <w:pPr>
              <w:spacing w:after="0" w:line="480" w:lineRule="auto"/>
              <w:rPr>
                <w:lang w:val="en-US"/>
              </w:rPr>
            </w:pPr>
          </w:p>
        </w:tc>
        <w:tc>
          <w:tcPr>
            <w:tcW w:w="0" w:type="auto"/>
            <w:tcBorders>
              <w:top w:val="single" w:sz="2" w:space="0" w:color="auto"/>
              <w:bottom w:val="single" w:sz="2" w:space="0" w:color="auto"/>
            </w:tcBorders>
          </w:tcPr>
          <w:p w14:paraId="346EF18C" w14:textId="77777777" w:rsidR="001429E1" w:rsidRPr="00F022FE" w:rsidRDefault="001429E1" w:rsidP="001D7B5C">
            <w:pPr>
              <w:spacing w:after="0" w:line="480" w:lineRule="auto"/>
              <w:jc w:val="center"/>
              <w:rPr>
                <w:lang w:val="en-US"/>
              </w:rPr>
            </w:pPr>
            <w:r w:rsidRPr="00F022FE">
              <w:rPr>
                <w:lang w:val="en-US"/>
              </w:rPr>
              <w:t>4321 (3418)</w:t>
            </w:r>
          </w:p>
        </w:tc>
        <w:tc>
          <w:tcPr>
            <w:tcW w:w="0" w:type="auto"/>
            <w:tcBorders>
              <w:top w:val="single" w:sz="2" w:space="0" w:color="auto"/>
              <w:bottom w:val="single" w:sz="2" w:space="0" w:color="auto"/>
            </w:tcBorders>
          </w:tcPr>
          <w:p w14:paraId="1F354800" w14:textId="77777777" w:rsidR="001429E1" w:rsidRPr="00F022FE" w:rsidRDefault="001429E1" w:rsidP="001D7B5C">
            <w:pPr>
              <w:spacing w:after="0" w:line="480" w:lineRule="auto"/>
              <w:jc w:val="center"/>
              <w:rPr>
                <w:lang w:val="en-US"/>
              </w:rPr>
            </w:pPr>
            <w:r w:rsidRPr="00F022FE">
              <w:rPr>
                <w:lang w:val="en-US"/>
              </w:rPr>
              <w:t>311.7</w:t>
            </w:r>
          </w:p>
        </w:tc>
        <w:tc>
          <w:tcPr>
            <w:tcW w:w="0" w:type="auto"/>
            <w:tcBorders>
              <w:top w:val="single" w:sz="2" w:space="0" w:color="auto"/>
              <w:bottom w:val="single" w:sz="2" w:space="0" w:color="auto"/>
            </w:tcBorders>
          </w:tcPr>
          <w:p w14:paraId="5A17EE0F" w14:textId="77777777" w:rsidR="001429E1" w:rsidRPr="00F022FE" w:rsidRDefault="001429E1" w:rsidP="001D7B5C">
            <w:pPr>
              <w:spacing w:after="0" w:line="480" w:lineRule="auto"/>
              <w:jc w:val="center"/>
              <w:rPr>
                <w:lang w:val="en-US"/>
              </w:rPr>
            </w:pPr>
            <w:r w:rsidRPr="00F022FE">
              <w:rPr>
                <w:lang w:val="en-US"/>
              </w:rPr>
              <w:t>96154</w:t>
            </w:r>
          </w:p>
        </w:tc>
        <w:tc>
          <w:tcPr>
            <w:tcW w:w="0" w:type="auto"/>
            <w:tcBorders>
              <w:top w:val="single" w:sz="2" w:space="0" w:color="auto"/>
              <w:bottom w:val="single" w:sz="2" w:space="0" w:color="auto"/>
            </w:tcBorders>
          </w:tcPr>
          <w:p w14:paraId="631488EB" w14:textId="77777777" w:rsidR="001429E1" w:rsidRPr="00F022FE" w:rsidRDefault="001429E1" w:rsidP="001D7B5C">
            <w:pPr>
              <w:spacing w:after="0" w:line="480" w:lineRule="auto"/>
              <w:jc w:val="center"/>
              <w:rPr>
                <w:lang w:val="en-US"/>
              </w:rPr>
            </w:pPr>
            <w:r w:rsidRPr="00F022FE">
              <w:rPr>
                <w:lang w:val="en-US"/>
              </w:rPr>
              <w:t>3600 (2328-5403)</w:t>
            </w:r>
          </w:p>
        </w:tc>
        <w:tc>
          <w:tcPr>
            <w:tcW w:w="0" w:type="auto"/>
            <w:tcBorders>
              <w:top w:val="single" w:sz="2" w:space="0" w:color="auto"/>
              <w:bottom w:val="single" w:sz="2" w:space="0" w:color="auto"/>
            </w:tcBorders>
          </w:tcPr>
          <w:p w14:paraId="25D5868D" w14:textId="77777777" w:rsidR="001429E1" w:rsidRPr="00F022FE" w:rsidRDefault="001429E1" w:rsidP="001D7B5C">
            <w:pPr>
              <w:spacing w:after="0" w:line="480" w:lineRule="auto"/>
              <w:jc w:val="center"/>
              <w:rPr>
                <w:lang w:val="en-US"/>
              </w:rPr>
            </w:pPr>
            <w:r>
              <w:rPr>
                <w:lang w:val="en-US"/>
              </w:rPr>
              <w:t>1586</w:t>
            </w:r>
          </w:p>
        </w:tc>
      </w:tr>
      <w:tr w:rsidR="001429E1" w:rsidRPr="00F022FE" w14:paraId="57042714" w14:textId="77777777" w:rsidTr="001D7B5C">
        <w:trPr>
          <w:trHeight w:val="436"/>
        </w:trPr>
        <w:tc>
          <w:tcPr>
            <w:tcW w:w="0" w:type="auto"/>
          </w:tcPr>
          <w:p w14:paraId="4F2D36CF" w14:textId="77777777" w:rsidR="001429E1" w:rsidRPr="00F022FE" w:rsidRDefault="001429E1" w:rsidP="001D7B5C">
            <w:pPr>
              <w:spacing w:after="0" w:line="480" w:lineRule="auto"/>
              <w:rPr>
                <w:lang w:val="en-US"/>
              </w:rPr>
            </w:pPr>
          </w:p>
        </w:tc>
        <w:tc>
          <w:tcPr>
            <w:tcW w:w="0" w:type="auto"/>
            <w:tcBorders>
              <w:top w:val="single" w:sz="2" w:space="0" w:color="auto"/>
              <w:bottom w:val="single" w:sz="12" w:space="0" w:color="auto"/>
            </w:tcBorders>
          </w:tcPr>
          <w:p w14:paraId="149C8DC0" w14:textId="77777777" w:rsidR="001429E1" w:rsidRPr="00F022FE" w:rsidRDefault="001429E1" w:rsidP="001D7B5C">
            <w:pPr>
              <w:spacing w:after="0" w:line="480" w:lineRule="auto"/>
              <w:rPr>
                <w:lang w:val="en-US"/>
              </w:rPr>
            </w:pPr>
            <w:r w:rsidRPr="00F022FE">
              <w:rPr>
                <w:lang w:val="en-US"/>
              </w:rPr>
              <w:t>AFP:PAPP-A</w:t>
            </w:r>
          </w:p>
        </w:tc>
        <w:tc>
          <w:tcPr>
            <w:tcW w:w="0" w:type="auto"/>
            <w:tcBorders>
              <w:top w:val="single" w:sz="2" w:space="0" w:color="auto"/>
              <w:bottom w:val="single" w:sz="12" w:space="0" w:color="auto"/>
            </w:tcBorders>
          </w:tcPr>
          <w:p w14:paraId="54F6BD77" w14:textId="77777777" w:rsidR="001429E1" w:rsidRPr="00F022FE" w:rsidRDefault="001429E1" w:rsidP="001D7B5C">
            <w:pPr>
              <w:spacing w:after="0" w:line="480" w:lineRule="auto"/>
              <w:rPr>
                <w:lang w:val="en-US"/>
              </w:rPr>
            </w:pPr>
          </w:p>
        </w:tc>
        <w:tc>
          <w:tcPr>
            <w:tcW w:w="0" w:type="auto"/>
            <w:tcBorders>
              <w:top w:val="single" w:sz="2" w:space="0" w:color="auto"/>
              <w:bottom w:val="single" w:sz="12" w:space="0" w:color="auto"/>
            </w:tcBorders>
          </w:tcPr>
          <w:p w14:paraId="18CF5959" w14:textId="77777777" w:rsidR="001429E1" w:rsidRPr="00F022FE" w:rsidRDefault="001429E1" w:rsidP="001D7B5C">
            <w:pPr>
              <w:spacing w:after="0" w:line="480" w:lineRule="auto"/>
              <w:jc w:val="center"/>
              <w:rPr>
                <w:lang w:val="en-US"/>
              </w:rPr>
            </w:pPr>
            <w:r w:rsidRPr="00F022FE">
              <w:rPr>
                <w:lang w:val="en-US"/>
              </w:rPr>
              <w:t>5.30 (5.09)</w:t>
            </w:r>
          </w:p>
        </w:tc>
        <w:tc>
          <w:tcPr>
            <w:tcW w:w="0" w:type="auto"/>
            <w:tcBorders>
              <w:top w:val="single" w:sz="2" w:space="0" w:color="auto"/>
              <w:bottom w:val="single" w:sz="12" w:space="0" w:color="auto"/>
            </w:tcBorders>
          </w:tcPr>
          <w:p w14:paraId="65A35A03" w14:textId="77777777" w:rsidR="001429E1" w:rsidRPr="00F022FE" w:rsidRDefault="001429E1" w:rsidP="001D7B5C">
            <w:pPr>
              <w:spacing w:after="0" w:line="480" w:lineRule="auto"/>
              <w:jc w:val="center"/>
              <w:rPr>
                <w:lang w:val="en-US"/>
              </w:rPr>
            </w:pPr>
            <w:r w:rsidRPr="00F022FE">
              <w:rPr>
                <w:lang w:val="en-US"/>
              </w:rPr>
              <w:t>0.55</w:t>
            </w:r>
          </w:p>
        </w:tc>
        <w:tc>
          <w:tcPr>
            <w:tcW w:w="0" w:type="auto"/>
            <w:tcBorders>
              <w:top w:val="single" w:sz="2" w:space="0" w:color="auto"/>
              <w:bottom w:val="single" w:sz="12" w:space="0" w:color="auto"/>
            </w:tcBorders>
          </w:tcPr>
          <w:p w14:paraId="46C10526" w14:textId="77777777" w:rsidR="001429E1" w:rsidRPr="00F022FE" w:rsidRDefault="001429E1" w:rsidP="001D7B5C">
            <w:pPr>
              <w:spacing w:after="0" w:line="480" w:lineRule="auto"/>
              <w:jc w:val="center"/>
              <w:rPr>
                <w:lang w:val="en-US"/>
              </w:rPr>
            </w:pPr>
            <w:r w:rsidRPr="00F022FE">
              <w:rPr>
                <w:lang w:val="en-US"/>
              </w:rPr>
              <w:t>120.9</w:t>
            </w:r>
          </w:p>
        </w:tc>
        <w:tc>
          <w:tcPr>
            <w:tcW w:w="0" w:type="auto"/>
            <w:tcBorders>
              <w:top w:val="single" w:sz="2" w:space="0" w:color="auto"/>
              <w:bottom w:val="single" w:sz="12" w:space="0" w:color="auto"/>
            </w:tcBorders>
          </w:tcPr>
          <w:p w14:paraId="75EF5765" w14:textId="77777777" w:rsidR="001429E1" w:rsidRPr="00F022FE" w:rsidRDefault="001429E1" w:rsidP="001D7B5C">
            <w:pPr>
              <w:spacing w:after="0" w:line="480" w:lineRule="auto"/>
              <w:jc w:val="center"/>
              <w:rPr>
                <w:lang w:val="en-US"/>
              </w:rPr>
            </w:pPr>
            <w:r w:rsidRPr="00F022FE">
              <w:rPr>
                <w:lang w:val="en-US"/>
              </w:rPr>
              <w:t>3.93 (2.52-6.38)</w:t>
            </w:r>
          </w:p>
        </w:tc>
        <w:tc>
          <w:tcPr>
            <w:tcW w:w="0" w:type="auto"/>
            <w:tcBorders>
              <w:top w:val="single" w:sz="2" w:space="0" w:color="auto"/>
              <w:bottom w:val="single" w:sz="12" w:space="0" w:color="auto"/>
            </w:tcBorders>
          </w:tcPr>
          <w:p w14:paraId="79F8C0AA" w14:textId="77777777" w:rsidR="001429E1" w:rsidRPr="00F022FE" w:rsidRDefault="001429E1" w:rsidP="001D7B5C">
            <w:pPr>
              <w:spacing w:after="0" w:line="480" w:lineRule="auto"/>
              <w:jc w:val="center"/>
              <w:rPr>
                <w:lang w:val="en-US"/>
              </w:rPr>
            </w:pPr>
            <w:r w:rsidRPr="00F022FE">
              <w:rPr>
                <w:lang w:val="en-US"/>
              </w:rPr>
              <w:t>10.09</w:t>
            </w:r>
          </w:p>
        </w:tc>
      </w:tr>
    </w:tbl>
    <w:p w14:paraId="555C04B4" w14:textId="77777777" w:rsidR="001429E1" w:rsidRPr="00FD3927" w:rsidRDefault="001429E1" w:rsidP="001429E1">
      <w:pPr>
        <w:spacing w:after="0" w:line="240" w:lineRule="auto"/>
        <w:rPr>
          <w:sz w:val="20"/>
          <w:szCs w:val="20"/>
          <w:lang w:val="en-US"/>
        </w:rPr>
      </w:pPr>
      <w:r>
        <w:rPr>
          <w:sz w:val="20"/>
          <w:szCs w:val="20"/>
          <w:lang w:val="en-US"/>
        </w:rPr>
        <w:t xml:space="preserve">The extreme decile is defined as the top decile for AFP and AFP:PAPP-A and as the bottom decile for PAPP-A. </w:t>
      </w:r>
      <w:r w:rsidRPr="00FD3927">
        <w:rPr>
          <w:sz w:val="20"/>
          <w:szCs w:val="20"/>
          <w:lang w:val="en-US"/>
        </w:rPr>
        <w:t>AFP, alpha fetoprotein; IQR, interquartile range; PAPP-A, pregnancy-associated plasma protein A; SD, standard deviation; wkGA, weeks of gestational age</w:t>
      </w:r>
    </w:p>
    <w:p w14:paraId="462D5072" w14:textId="77777777" w:rsidR="001429E1" w:rsidRDefault="001429E1" w:rsidP="001429E1">
      <w:pPr>
        <w:spacing w:after="200" w:line="276" w:lineRule="auto"/>
        <w:rPr>
          <w:sz w:val="20"/>
          <w:szCs w:val="20"/>
          <w:lang w:val="en-US"/>
        </w:rPr>
      </w:pPr>
      <w:r>
        <w:rPr>
          <w:sz w:val="20"/>
          <w:szCs w:val="20"/>
          <w:lang w:val="en-US"/>
        </w:rPr>
        <w:br w:type="page"/>
      </w:r>
    </w:p>
    <w:p w14:paraId="53740433" w14:textId="77777777" w:rsidR="001429E1" w:rsidRPr="00E374B1" w:rsidRDefault="001429E1" w:rsidP="001429E1">
      <w:pPr>
        <w:rPr>
          <w:sz w:val="20"/>
          <w:szCs w:val="20"/>
          <w:lang w:val="en-US"/>
        </w:rPr>
        <w:sectPr w:rsidR="001429E1" w:rsidRPr="00E374B1" w:rsidSect="00C771A4">
          <w:footerReference w:type="default" r:id="rId18"/>
          <w:pgSz w:w="16838" w:h="11906" w:orient="landscape"/>
          <w:pgMar w:top="1440" w:right="1440" w:bottom="1440" w:left="1440" w:header="708" w:footer="708" w:gutter="0"/>
          <w:cols w:space="708"/>
          <w:docGrid w:linePitch="360"/>
        </w:sectPr>
      </w:pPr>
    </w:p>
    <w:p w14:paraId="24D1E9C0" w14:textId="62F22822" w:rsidR="001429E1" w:rsidRPr="00265B3B" w:rsidRDefault="001429E1" w:rsidP="001429E1">
      <w:pPr>
        <w:spacing w:after="200" w:line="480" w:lineRule="auto"/>
        <w:rPr>
          <w:sz w:val="24"/>
          <w:szCs w:val="24"/>
          <w:u w:val="single"/>
          <w:lang w:val="en-US"/>
        </w:rPr>
      </w:pPr>
      <w:r w:rsidRPr="00265B3B">
        <w:rPr>
          <w:b/>
          <w:sz w:val="24"/>
          <w:szCs w:val="24"/>
        </w:rPr>
        <w:t xml:space="preserve">Supplemental Table </w:t>
      </w:r>
      <w:r>
        <w:rPr>
          <w:b/>
          <w:sz w:val="24"/>
          <w:szCs w:val="24"/>
        </w:rPr>
        <w:t>3</w:t>
      </w:r>
      <w:r w:rsidRPr="00265B3B">
        <w:rPr>
          <w:b/>
          <w:sz w:val="24"/>
          <w:szCs w:val="24"/>
        </w:rPr>
        <w:t>.</w:t>
      </w:r>
      <w:r w:rsidRPr="00265B3B">
        <w:rPr>
          <w:sz w:val="24"/>
          <w:szCs w:val="24"/>
        </w:rPr>
        <w:t xml:space="preserve"> </w:t>
      </w:r>
      <w:r w:rsidRPr="00265B3B">
        <w:rPr>
          <w:b/>
          <w:sz w:val="24"/>
          <w:szCs w:val="24"/>
        </w:rPr>
        <w:t>ROC curve analysis of AFP:PAPP-A ratio with and without correction for the exact gestational age and maternal weight at the 12 wkGA appointment.</w:t>
      </w:r>
    </w:p>
    <w:tbl>
      <w:tblPr>
        <w:tblW w:w="0" w:type="auto"/>
        <w:tblBorders>
          <w:top w:val="single" w:sz="12" w:space="0" w:color="auto"/>
          <w:bottom w:val="single" w:sz="12" w:space="0" w:color="auto"/>
        </w:tblBorders>
        <w:tblLook w:val="04A0" w:firstRow="1" w:lastRow="0" w:firstColumn="1" w:lastColumn="0" w:noHBand="0" w:noVBand="1"/>
      </w:tblPr>
      <w:tblGrid>
        <w:gridCol w:w="1613"/>
        <w:gridCol w:w="2638"/>
        <w:gridCol w:w="2835"/>
        <w:gridCol w:w="948"/>
      </w:tblGrid>
      <w:tr w:rsidR="001429E1" w:rsidRPr="00BC5D55" w14:paraId="35AA4FCA" w14:textId="77777777" w:rsidTr="001D7B5C">
        <w:trPr>
          <w:trHeight w:val="557"/>
        </w:trPr>
        <w:tc>
          <w:tcPr>
            <w:tcW w:w="1613" w:type="dxa"/>
            <w:tcBorders>
              <w:top w:val="single" w:sz="12" w:space="0" w:color="auto"/>
              <w:bottom w:val="single" w:sz="12" w:space="0" w:color="auto"/>
            </w:tcBorders>
            <w:vAlign w:val="center"/>
          </w:tcPr>
          <w:p w14:paraId="240140B2" w14:textId="77777777" w:rsidR="001429E1" w:rsidRPr="00F02400" w:rsidRDefault="001429E1" w:rsidP="001D7B5C">
            <w:pPr>
              <w:spacing w:after="0" w:line="240" w:lineRule="auto"/>
              <w:rPr>
                <w:b/>
                <w:lang w:val="en-US"/>
              </w:rPr>
            </w:pPr>
            <w:r w:rsidRPr="00F02400">
              <w:rPr>
                <w:b/>
                <w:lang w:val="en-US"/>
              </w:rPr>
              <w:t>Outcome</w:t>
            </w:r>
          </w:p>
        </w:tc>
        <w:tc>
          <w:tcPr>
            <w:tcW w:w="2638" w:type="dxa"/>
            <w:tcBorders>
              <w:top w:val="single" w:sz="12" w:space="0" w:color="auto"/>
              <w:bottom w:val="single" w:sz="12" w:space="0" w:color="auto"/>
            </w:tcBorders>
            <w:vAlign w:val="center"/>
          </w:tcPr>
          <w:p w14:paraId="5F1BAD40" w14:textId="77777777" w:rsidR="001429E1" w:rsidRPr="00F02400" w:rsidRDefault="001429E1" w:rsidP="001D7B5C">
            <w:pPr>
              <w:spacing w:after="0" w:line="240" w:lineRule="auto"/>
              <w:jc w:val="center"/>
              <w:rPr>
                <w:b/>
                <w:lang w:val="en-US"/>
              </w:rPr>
            </w:pPr>
            <w:r w:rsidRPr="00F02400">
              <w:rPr>
                <w:b/>
                <w:lang w:val="en-US"/>
              </w:rPr>
              <w:t>Uncorrected ratio</w:t>
            </w:r>
            <w:r w:rsidRPr="00F02400">
              <w:rPr>
                <w:b/>
                <w:lang w:val="en-US"/>
              </w:rPr>
              <w:br/>
              <w:t>AUC (95% CI)</w:t>
            </w:r>
          </w:p>
        </w:tc>
        <w:tc>
          <w:tcPr>
            <w:tcW w:w="2835" w:type="dxa"/>
            <w:tcBorders>
              <w:top w:val="single" w:sz="12" w:space="0" w:color="auto"/>
              <w:bottom w:val="single" w:sz="12" w:space="0" w:color="auto"/>
            </w:tcBorders>
            <w:vAlign w:val="center"/>
          </w:tcPr>
          <w:p w14:paraId="43D2601E" w14:textId="77777777" w:rsidR="001429E1" w:rsidRPr="00F02400" w:rsidRDefault="001429E1" w:rsidP="001D7B5C">
            <w:pPr>
              <w:spacing w:after="0" w:line="240" w:lineRule="auto"/>
              <w:jc w:val="center"/>
              <w:rPr>
                <w:b/>
                <w:lang w:val="en-US"/>
              </w:rPr>
            </w:pPr>
            <w:r w:rsidRPr="00F02400">
              <w:rPr>
                <w:b/>
                <w:lang w:val="en-US"/>
              </w:rPr>
              <w:t>Corrected ratio</w:t>
            </w:r>
            <w:r w:rsidRPr="00F02400">
              <w:rPr>
                <w:b/>
                <w:lang w:val="en-US"/>
              </w:rPr>
              <w:br/>
              <w:t>AUC (95% CI)</w:t>
            </w:r>
          </w:p>
        </w:tc>
        <w:tc>
          <w:tcPr>
            <w:tcW w:w="0" w:type="auto"/>
            <w:tcBorders>
              <w:top w:val="single" w:sz="12" w:space="0" w:color="auto"/>
              <w:bottom w:val="single" w:sz="12" w:space="0" w:color="auto"/>
            </w:tcBorders>
            <w:vAlign w:val="center"/>
          </w:tcPr>
          <w:p w14:paraId="78BE4001" w14:textId="77777777" w:rsidR="001429E1" w:rsidRPr="00BA1A5A" w:rsidRDefault="001429E1" w:rsidP="001D7B5C">
            <w:pPr>
              <w:spacing w:after="0" w:line="240" w:lineRule="auto"/>
              <w:jc w:val="center"/>
              <w:rPr>
                <w:b/>
                <w:vertAlign w:val="superscript"/>
                <w:lang w:val="en-US"/>
              </w:rPr>
            </w:pPr>
            <w:r w:rsidRPr="00F02400">
              <w:rPr>
                <w:b/>
                <w:i/>
                <w:lang w:val="en-US"/>
              </w:rPr>
              <w:t>P</w:t>
            </w:r>
            <w:r>
              <w:rPr>
                <w:b/>
                <w:lang w:val="en-US"/>
              </w:rPr>
              <w:t xml:space="preserve"> value</w:t>
            </w:r>
            <w:r>
              <w:rPr>
                <w:b/>
                <w:vertAlign w:val="superscript"/>
                <w:lang w:val="en-US"/>
              </w:rPr>
              <w:t>a</w:t>
            </w:r>
          </w:p>
        </w:tc>
      </w:tr>
      <w:tr w:rsidR="001429E1" w:rsidRPr="00BC5D55" w14:paraId="442EC90E" w14:textId="77777777" w:rsidTr="001D7B5C">
        <w:trPr>
          <w:trHeight w:val="567"/>
        </w:trPr>
        <w:tc>
          <w:tcPr>
            <w:tcW w:w="1613" w:type="dxa"/>
            <w:tcBorders>
              <w:top w:val="single" w:sz="12" w:space="0" w:color="auto"/>
              <w:bottom w:val="single" w:sz="4" w:space="0" w:color="BFBFBF" w:themeColor="background1" w:themeShade="BF"/>
            </w:tcBorders>
            <w:vAlign w:val="center"/>
          </w:tcPr>
          <w:p w14:paraId="61C3C1BC" w14:textId="77777777" w:rsidR="001429E1" w:rsidRPr="00F022FE" w:rsidRDefault="001429E1" w:rsidP="001D7B5C">
            <w:pPr>
              <w:spacing w:after="0" w:line="240" w:lineRule="auto"/>
              <w:rPr>
                <w:lang w:val="en-US"/>
              </w:rPr>
            </w:pPr>
            <w:r w:rsidRPr="00F022FE">
              <w:rPr>
                <w:lang w:val="en-US"/>
              </w:rPr>
              <w:t>FGR</w:t>
            </w:r>
          </w:p>
        </w:tc>
        <w:tc>
          <w:tcPr>
            <w:tcW w:w="2638" w:type="dxa"/>
            <w:tcBorders>
              <w:top w:val="single" w:sz="12" w:space="0" w:color="auto"/>
              <w:bottom w:val="single" w:sz="4" w:space="0" w:color="BFBFBF" w:themeColor="background1" w:themeShade="BF"/>
            </w:tcBorders>
            <w:vAlign w:val="center"/>
          </w:tcPr>
          <w:p w14:paraId="2DEC42D5" w14:textId="77777777" w:rsidR="001429E1" w:rsidRPr="00F022FE" w:rsidRDefault="001429E1" w:rsidP="001D7B5C">
            <w:pPr>
              <w:spacing w:after="0" w:line="240" w:lineRule="auto"/>
              <w:jc w:val="center"/>
              <w:rPr>
                <w:color w:val="000000"/>
              </w:rPr>
            </w:pPr>
            <w:r w:rsidRPr="00F022FE">
              <w:rPr>
                <w:color w:val="000000"/>
              </w:rPr>
              <w:t>0.674 (0.607</w:t>
            </w:r>
            <w:r>
              <w:rPr>
                <w:color w:val="000000"/>
              </w:rPr>
              <w:t>-</w:t>
            </w:r>
            <w:r w:rsidRPr="00F022FE">
              <w:rPr>
                <w:color w:val="000000"/>
              </w:rPr>
              <w:t>0.740)</w:t>
            </w:r>
          </w:p>
        </w:tc>
        <w:tc>
          <w:tcPr>
            <w:tcW w:w="2835" w:type="dxa"/>
            <w:tcBorders>
              <w:top w:val="single" w:sz="12" w:space="0" w:color="auto"/>
              <w:bottom w:val="single" w:sz="4" w:space="0" w:color="BFBFBF" w:themeColor="background1" w:themeShade="BF"/>
            </w:tcBorders>
            <w:vAlign w:val="center"/>
          </w:tcPr>
          <w:p w14:paraId="5BCCB0AE" w14:textId="77777777" w:rsidR="001429E1" w:rsidRPr="00F022FE" w:rsidRDefault="001429E1" w:rsidP="001D7B5C">
            <w:pPr>
              <w:spacing w:after="0" w:line="240" w:lineRule="auto"/>
              <w:jc w:val="center"/>
              <w:rPr>
                <w:color w:val="000000"/>
              </w:rPr>
            </w:pPr>
            <w:r w:rsidRPr="00F022FE">
              <w:rPr>
                <w:color w:val="000000"/>
              </w:rPr>
              <w:t>0.685 (0.621</w:t>
            </w:r>
            <w:r>
              <w:rPr>
                <w:color w:val="000000"/>
              </w:rPr>
              <w:t>-</w:t>
            </w:r>
            <w:r w:rsidRPr="00F022FE">
              <w:rPr>
                <w:color w:val="000000"/>
              </w:rPr>
              <w:t>0.749)</w:t>
            </w:r>
          </w:p>
        </w:tc>
        <w:tc>
          <w:tcPr>
            <w:tcW w:w="0" w:type="auto"/>
            <w:tcBorders>
              <w:top w:val="single" w:sz="12" w:space="0" w:color="auto"/>
              <w:bottom w:val="single" w:sz="4" w:space="0" w:color="BFBFBF" w:themeColor="background1" w:themeShade="BF"/>
            </w:tcBorders>
            <w:vAlign w:val="center"/>
          </w:tcPr>
          <w:p w14:paraId="56A2F21B" w14:textId="77777777" w:rsidR="001429E1" w:rsidRPr="00F022FE" w:rsidRDefault="001429E1" w:rsidP="001D7B5C">
            <w:pPr>
              <w:spacing w:after="0" w:line="240" w:lineRule="auto"/>
              <w:jc w:val="center"/>
              <w:rPr>
                <w:color w:val="000000"/>
              </w:rPr>
            </w:pPr>
            <w:r w:rsidRPr="00F022FE">
              <w:rPr>
                <w:color w:val="000000"/>
              </w:rPr>
              <w:t>0.071</w:t>
            </w:r>
          </w:p>
        </w:tc>
      </w:tr>
      <w:tr w:rsidR="001429E1" w:rsidRPr="00BC5D55" w14:paraId="42DD19EB" w14:textId="77777777" w:rsidTr="001D7B5C">
        <w:trPr>
          <w:trHeight w:val="567"/>
        </w:trPr>
        <w:tc>
          <w:tcPr>
            <w:tcW w:w="1613" w:type="dxa"/>
            <w:tcBorders>
              <w:top w:val="single" w:sz="4" w:space="0" w:color="BFBFBF" w:themeColor="background1" w:themeShade="BF"/>
              <w:bottom w:val="single" w:sz="4" w:space="0" w:color="BFBFBF" w:themeColor="background1" w:themeShade="BF"/>
            </w:tcBorders>
            <w:vAlign w:val="center"/>
          </w:tcPr>
          <w:p w14:paraId="51E3F05B" w14:textId="77777777" w:rsidR="001429E1" w:rsidRPr="00F022FE" w:rsidRDefault="001429E1" w:rsidP="001D7B5C">
            <w:pPr>
              <w:spacing w:after="0" w:line="240" w:lineRule="auto"/>
              <w:rPr>
                <w:lang w:val="en-US"/>
              </w:rPr>
            </w:pPr>
            <w:r w:rsidRPr="00F022FE">
              <w:rPr>
                <w:lang w:val="en-US"/>
              </w:rPr>
              <w:t>Severe SGA</w:t>
            </w:r>
          </w:p>
        </w:tc>
        <w:tc>
          <w:tcPr>
            <w:tcW w:w="2638" w:type="dxa"/>
            <w:tcBorders>
              <w:top w:val="single" w:sz="4" w:space="0" w:color="BFBFBF" w:themeColor="background1" w:themeShade="BF"/>
              <w:bottom w:val="single" w:sz="4" w:space="0" w:color="BFBFBF" w:themeColor="background1" w:themeShade="BF"/>
            </w:tcBorders>
            <w:vAlign w:val="center"/>
          </w:tcPr>
          <w:p w14:paraId="3088BDD5" w14:textId="77777777" w:rsidR="001429E1" w:rsidRPr="00F022FE" w:rsidRDefault="001429E1" w:rsidP="001D7B5C">
            <w:pPr>
              <w:spacing w:after="0" w:line="240" w:lineRule="auto"/>
              <w:jc w:val="center"/>
              <w:rPr>
                <w:color w:val="000000"/>
              </w:rPr>
            </w:pPr>
            <w:r w:rsidRPr="00F022FE">
              <w:rPr>
                <w:color w:val="000000"/>
              </w:rPr>
              <w:t>0.651 (0.589</w:t>
            </w:r>
            <w:r>
              <w:rPr>
                <w:color w:val="000000"/>
              </w:rPr>
              <w:t>-</w:t>
            </w:r>
            <w:r w:rsidRPr="00F022FE">
              <w:rPr>
                <w:color w:val="000000"/>
              </w:rPr>
              <w:t>0.712)</w:t>
            </w:r>
          </w:p>
        </w:tc>
        <w:tc>
          <w:tcPr>
            <w:tcW w:w="2835" w:type="dxa"/>
            <w:tcBorders>
              <w:top w:val="single" w:sz="4" w:space="0" w:color="BFBFBF" w:themeColor="background1" w:themeShade="BF"/>
              <w:bottom w:val="single" w:sz="4" w:space="0" w:color="BFBFBF" w:themeColor="background1" w:themeShade="BF"/>
            </w:tcBorders>
            <w:vAlign w:val="center"/>
          </w:tcPr>
          <w:p w14:paraId="08E76801" w14:textId="77777777" w:rsidR="001429E1" w:rsidRPr="00F022FE" w:rsidRDefault="001429E1" w:rsidP="001D7B5C">
            <w:pPr>
              <w:spacing w:after="0" w:line="240" w:lineRule="auto"/>
              <w:jc w:val="center"/>
              <w:rPr>
                <w:color w:val="000000"/>
              </w:rPr>
            </w:pPr>
            <w:r w:rsidRPr="00F022FE">
              <w:rPr>
                <w:color w:val="000000"/>
              </w:rPr>
              <w:t>0.658 (0.598</w:t>
            </w:r>
            <w:r>
              <w:rPr>
                <w:color w:val="000000"/>
              </w:rPr>
              <w:t>-</w:t>
            </w:r>
            <w:r w:rsidRPr="00F022FE">
              <w:rPr>
                <w:color w:val="000000"/>
              </w:rPr>
              <w:t>0.719)</w:t>
            </w:r>
          </w:p>
        </w:tc>
        <w:tc>
          <w:tcPr>
            <w:tcW w:w="0" w:type="auto"/>
            <w:tcBorders>
              <w:top w:val="single" w:sz="4" w:space="0" w:color="BFBFBF" w:themeColor="background1" w:themeShade="BF"/>
              <w:bottom w:val="single" w:sz="4" w:space="0" w:color="BFBFBF" w:themeColor="background1" w:themeShade="BF"/>
            </w:tcBorders>
            <w:vAlign w:val="center"/>
          </w:tcPr>
          <w:p w14:paraId="308D96C0" w14:textId="77777777" w:rsidR="001429E1" w:rsidRPr="00F022FE" w:rsidRDefault="001429E1" w:rsidP="001D7B5C">
            <w:pPr>
              <w:spacing w:after="0" w:line="240" w:lineRule="auto"/>
              <w:jc w:val="center"/>
              <w:rPr>
                <w:color w:val="000000"/>
              </w:rPr>
            </w:pPr>
            <w:r w:rsidRPr="00F022FE">
              <w:rPr>
                <w:color w:val="000000"/>
              </w:rPr>
              <w:t>0.078</w:t>
            </w:r>
          </w:p>
        </w:tc>
      </w:tr>
      <w:tr w:rsidR="001429E1" w:rsidRPr="00BC5D55" w14:paraId="3DDD4F41" w14:textId="77777777" w:rsidTr="001D7B5C">
        <w:trPr>
          <w:trHeight w:val="567"/>
        </w:trPr>
        <w:tc>
          <w:tcPr>
            <w:tcW w:w="1613" w:type="dxa"/>
            <w:tcBorders>
              <w:top w:val="single" w:sz="4" w:space="0" w:color="BFBFBF" w:themeColor="background1" w:themeShade="BF"/>
              <w:bottom w:val="single" w:sz="4" w:space="0" w:color="BFBFBF" w:themeColor="background1" w:themeShade="BF"/>
            </w:tcBorders>
            <w:vAlign w:val="center"/>
          </w:tcPr>
          <w:p w14:paraId="373821DD" w14:textId="77777777" w:rsidR="001429E1" w:rsidRPr="00F022FE" w:rsidRDefault="001429E1" w:rsidP="001D7B5C">
            <w:pPr>
              <w:spacing w:after="0" w:line="240" w:lineRule="auto"/>
              <w:rPr>
                <w:lang w:val="en-US"/>
              </w:rPr>
            </w:pPr>
            <w:r w:rsidRPr="00F022FE">
              <w:rPr>
                <w:lang w:val="en-US"/>
              </w:rPr>
              <w:t>PE+PTB</w:t>
            </w:r>
          </w:p>
        </w:tc>
        <w:tc>
          <w:tcPr>
            <w:tcW w:w="2638" w:type="dxa"/>
            <w:tcBorders>
              <w:top w:val="single" w:sz="4" w:space="0" w:color="BFBFBF" w:themeColor="background1" w:themeShade="BF"/>
              <w:bottom w:val="single" w:sz="4" w:space="0" w:color="BFBFBF" w:themeColor="background1" w:themeShade="BF"/>
            </w:tcBorders>
            <w:vAlign w:val="center"/>
          </w:tcPr>
          <w:p w14:paraId="7F77FEC9" w14:textId="77777777" w:rsidR="001429E1" w:rsidRPr="00F022FE" w:rsidRDefault="001429E1" w:rsidP="001D7B5C">
            <w:pPr>
              <w:spacing w:after="0" w:line="240" w:lineRule="auto"/>
              <w:jc w:val="center"/>
              <w:rPr>
                <w:lang w:val="en-US"/>
              </w:rPr>
            </w:pPr>
            <w:r w:rsidRPr="00F022FE">
              <w:rPr>
                <w:color w:val="000000"/>
              </w:rPr>
              <w:t>0.596 (0.484</w:t>
            </w:r>
            <w:r>
              <w:rPr>
                <w:color w:val="000000"/>
              </w:rPr>
              <w:t>-</w:t>
            </w:r>
            <w:r w:rsidRPr="00F022FE">
              <w:rPr>
                <w:color w:val="000000"/>
              </w:rPr>
              <w:t>0.708)</w:t>
            </w:r>
          </w:p>
        </w:tc>
        <w:tc>
          <w:tcPr>
            <w:tcW w:w="2835" w:type="dxa"/>
            <w:tcBorders>
              <w:top w:val="single" w:sz="4" w:space="0" w:color="BFBFBF" w:themeColor="background1" w:themeShade="BF"/>
              <w:bottom w:val="single" w:sz="4" w:space="0" w:color="BFBFBF" w:themeColor="background1" w:themeShade="BF"/>
            </w:tcBorders>
            <w:vAlign w:val="center"/>
          </w:tcPr>
          <w:p w14:paraId="39766D9D" w14:textId="77777777" w:rsidR="001429E1" w:rsidRPr="00F022FE" w:rsidRDefault="001429E1" w:rsidP="001D7B5C">
            <w:pPr>
              <w:spacing w:after="0" w:line="240" w:lineRule="auto"/>
              <w:jc w:val="center"/>
              <w:rPr>
                <w:lang w:val="en-US"/>
              </w:rPr>
            </w:pPr>
            <w:r w:rsidRPr="00F022FE">
              <w:rPr>
                <w:color w:val="000000"/>
              </w:rPr>
              <w:t>0.579 (0.471</w:t>
            </w:r>
            <w:r>
              <w:rPr>
                <w:color w:val="000000"/>
              </w:rPr>
              <w:t>-</w:t>
            </w:r>
            <w:r w:rsidRPr="00F022FE">
              <w:rPr>
                <w:color w:val="000000"/>
              </w:rPr>
              <w:t>0.686)</w:t>
            </w:r>
          </w:p>
        </w:tc>
        <w:tc>
          <w:tcPr>
            <w:tcW w:w="0" w:type="auto"/>
            <w:tcBorders>
              <w:top w:val="single" w:sz="4" w:space="0" w:color="BFBFBF" w:themeColor="background1" w:themeShade="BF"/>
              <w:bottom w:val="single" w:sz="4" w:space="0" w:color="BFBFBF" w:themeColor="background1" w:themeShade="BF"/>
            </w:tcBorders>
            <w:vAlign w:val="center"/>
          </w:tcPr>
          <w:p w14:paraId="0F57FEF9" w14:textId="77777777" w:rsidR="001429E1" w:rsidRPr="00F022FE" w:rsidRDefault="001429E1" w:rsidP="001D7B5C">
            <w:pPr>
              <w:spacing w:after="0" w:line="240" w:lineRule="auto"/>
              <w:jc w:val="center"/>
              <w:rPr>
                <w:lang w:val="en-US"/>
              </w:rPr>
            </w:pPr>
            <w:r w:rsidRPr="00F022FE">
              <w:rPr>
                <w:lang w:val="en-US"/>
              </w:rPr>
              <w:t>0.21</w:t>
            </w:r>
          </w:p>
        </w:tc>
      </w:tr>
      <w:tr w:rsidR="001429E1" w:rsidRPr="00BC5D55" w14:paraId="295379C6" w14:textId="77777777" w:rsidTr="001D7B5C">
        <w:trPr>
          <w:trHeight w:val="567"/>
        </w:trPr>
        <w:tc>
          <w:tcPr>
            <w:tcW w:w="1613" w:type="dxa"/>
            <w:tcBorders>
              <w:top w:val="single" w:sz="4" w:space="0" w:color="BFBFBF" w:themeColor="background1" w:themeShade="BF"/>
              <w:bottom w:val="single" w:sz="4" w:space="0" w:color="BFBFBF" w:themeColor="background1" w:themeShade="BF"/>
            </w:tcBorders>
            <w:vAlign w:val="center"/>
          </w:tcPr>
          <w:p w14:paraId="6E363E50" w14:textId="77777777" w:rsidR="001429E1" w:rsidRPr="00F022FE" w:rsidRDefault="001429E1" w:rsidP="001D7B5C">
            <w:pPr>
              <w:spacing w:after="0" w:line="240" w:lineRule="auto"/>
              <w:rPr>
                <w:lang w:val="en-US"/>
              </w:rPr>
            </w:pPr>
            <w:r w:rsidRPr="00F022FE">
              <w:rPr>
                <w:lang w:val="en-US"/>
              </w:rPr>
              <w:t>Severe PE</w:t>
            </w:r>
          </w:p>
        </w:tc>
        <w:tc>
          <w:tcPr>
            <w:tcW w:w="2638" w:type="dxa"/>
            <w:tcBorders>
              <w:top w:val="single" w:sz="4" w:space="0" w:color="BFBFBF" w:themeColor="background1" w:themeShade="BF"/>
              <w:bottom w:val="single" w:sz="4" w:space="0" w:color="BFBFBF" w:themeColor="background1" w:themeShade="BF"/>
            </w:tcBorders>
            <w:vAlign w:val="center"/>
          </w:tcPr>
          <w:p w14:paraId="32016AC4" w14:textId="77777777" w:rsidR="001429E1" w:rsidRPr="00F022FE" w:rsidRDefault="001429E1" w:rsidP="001D7B5C">
            <w:pPr>
              <w:spacing w:after="0" w:line="240" w:lineRule="auto"/>
              <w:jc w:val="center"/>
              <w:rPr>
                <w:lang w:val="en-US"/>
              </w:rPr>
            </w:pPr>
            <w:r w:rsidRPr="00F022FE">
              <w:rPr>
                <w:color w:val="000000"/>
              </w:rPr>
              <w:t>0.597 (0.546</w:t>
            </w:r>
            <w:r>
              <w:rPr>
                <w:color w:val="000000"/>
              </w:rPr>
              <w:t>-</w:t>
            </w:r>
            <w:r w:rsidRPr="00F022FE">
              <w:rPr>
                <w:color w:val="000000"/>
              </w:rPr>
              <w:t>0.648)</w:t>
            </w:r>
          </w:p>
        </w:tc>
        <w:tc>
          <w:tcPr>
            <w:tcW w:w="2835" w:type="dxa"/>
            <w:tcBorders>
              <w:top w:val="single" w:sz="4" w:space="0" w:color="BFBFBF" w:themeColor="background1" w:themeShade="BF"/>
              <w:bottom w:val="single" w:sz="4" w:space="0" w:color="BFBFBF" w:themeColor="background1" w:themeShade="BF"/>
            </w:tcBorders>
            <w:vAlign w:val="center"/>
          </w:tcPr>
          <w:p w14:paraId="7B69A3A9" w14:textId="77777777" w:rsidR="001429E1" w:rsidRPr="00F022FE" w:rsidRDefault="001429E1" w:rsidP="001D7B5C">
            <w:pPr>
              <w:spacing w:after="0" w:line="240" w:lineRule="auto"/>
              <w:jc w:val="center"/>
              <w:rPr>
                <w:lang w:val="en-US"/>
              </w:rPr>
            </w:pPr>
            <w:r w:rsidRPr="00F022FE">
              <w:rPr>
                <w:color w:val="000000"/>
              </w:rPr>
              <w:t>0.585 (0.535</w:t>
            </w:r>
            <w:r>
              <w:rPr>
                <w:color w:val="000000"/>
              </w:rPr>
              <w:t>-</w:t>
            </w:r>
            <w:r w:rsidRPr="00F022FE">
              <w:rPr>
                <w:color w:val="000000"/>
              </w:rPr>
              <w:t>0.635)</w:t>
            </w:r>
          </w:p>
        </w:tc>
        <w:tc>
          <w:tcPr>
            <w:tcW w:w="0" w:type="auto"/>
            <w:tcBorders>
              <w:top w:val="single" w:sz="4" w:space="0" w:color="BFBFBF" w:themeColor="background1" w:themeShade="BF"/>
              <w:bottom w:val="single" w:sz="4" w:space="0" w:color="BFBFBF" w:themeColor="background1" w:themeShade="BF"/>
            </w:tcBorders>
            <w:vAlign w:val="center"/>
          </w:tcPr>
          <w:p w14:paraId="1EB88F05" w14:textId="77777777" w:rsidR="001429E1" w:rsidRPr="00F022FE" w:rsidRDefault="001429E1" w:rsidP="001D7B5C">
            <w:pPr>
              <w:spacing w:after="0" w:line="240" w:lineRule="auto"/>
              <w:jc w:val="center"/>
              <w:rPr>
                <w:lang w:val="en-US"/>
              </w:rPr>
            </w:pPr>
            <w:r w:rsidRPr="00F022FE">
              <w:rPr>
                <w:lang w:val="en-US"/>
              </w:rPr>
              <w:t>0.075</w:t>
            </w:r>
          </w:p>
        </w:tc>
      </w:tr>
      <w:tr w:rsidR="001429E1" w:rsidRPr="00BC5D55" w14:paraId="7BF9288E" w14:textId="77777777" w:rsidTr="001D7B5C">
        <w:trPr>
          <w:trHeight w:val="567"/>
        </w:trPr>
        <w:tc>
          <w:tcPr>
            <w:tcW w:w="1613" w:type="dxa"/>
            <w:tcBorders>
              <w:top w:val="single" w:sz="4" w:space="0" w:color="BFBFBF" w:themeColor="background1" w:themeShade="BF"/>
              <w:bottom w:val="single" w:sz="4" w:space="0" w:color="BFBFBF" w:themeColor="background1" w:themeShade="BF"/>
            </w:tcBorders>
            <w:vAlign w:val="center"/>
          </w:tcPr>
          <w:p w14:paraId="02737B4C" w14:textId="77777777" w:rsidR="001429E1" w:rsidRPr="00F022FE" w:rsidRDefault="001429E1" w:rsidP="001D7B5C">
            <w:pPr>
              <w:spacing w:after="0" w:line="240" w:lineRule="auto"/>
              <w:rPr>
                <w:lang w:val="en-US"/>
              </w:rPr>
            </w:pPr>
            <w:r w:rsidRPr="00F022FE">
              <w:rPr>
                <w:lang w:val="en-US"/>
              </w:rPr>
              <w:t>PE+SGA</w:t>
            </w:r>
          </w:p>
        </w:tc>
        <w:tc>
          <w:tcPr>
            <w:tcW w:w="2638" w:type="dxa"/>
            <w:tcBorders>
              <w:top w:val="single" w:sz="4" w:space="0" w:color="BFBFBF" w:themeColor="background1" w:themeShade="BF"/>
              <w:bottom w:val="single" w:sz="4" w:space="0" w:color="BFBFBF" w:themeColor="background1" w:themeShade="BF"/>
            </w:tcBorders>
            <w:vAlign w:val="center"/>
          </w:tcPr>
          <w:p w14:paraId="234DC856" w14:textId="77777777" w:rsidR="001429E1" w:rsidRPr="00F022FE" w:rsidRDefault="001429E1" w:rsidP="001D7B5C">
            <w:pPr>
              <w:spacing w:after="0" w:line="240" w:lineRule="auto"/>
              <w:jc w:val="center"/>
              <w:rPr>
                <w:lang w:val="en-US"/>
              </w:rPr>
            </w:pPr>
            <w:r w:rsidRPr="00F022FE">
              <w:rPr>
                <w:lang w:val="en-US"/>
              </w:rPr>
              <w:t>0.716 (0.614</w:t>
            </w:r>
            <w:r>
              <w:rPr>
                <w:lang w:val="en-US"/>
              </w:rPr>
              <w:t>-</w:t>
            </w:r>
            <w:r w:rsidRPr="00F022FE">
              <w:rPr>
                <w:lang w:val="en-US"/>
              </w:rPr>
              <w:t>0.818)</w:t>
            </w:r>
          </w:p>
        </w:tc>
        <w:tc>
          <w:tcPr>
            <w:tcW w:w="2835" w:type="dxa"/>
            <w:tcBorders>
              <w:top w:val="single" w:sz="4" w:space="0" w:color="BFBFBF" w:themeColor="background1" w:themeShade="BF"/>
              <w:bottom w:val="single" w:sz="4" w:space="0" w:color="BFBFBF" w:themeColor="background1" w:themeShade="BF"/>
            </w:tcBorders>
            <w:vAlign w:val="center"/>
          </w:tcPr>
          <w:p w14:paraId="7A0B47C9" w14:textId="77777777" w:rsidR="001429E1" w:rsidRPr="00F022FE" w:rsidRDefault="001429E1" w:rsidP="001D7B5C">
            <w:pPr>
              <w:spacing w:after="0" w:line="240" w:lineRule="auto"/>
              <w:jc w:val="center"/>
              <w:rPr>
                <w:lang w:val="en-US"/>
              </w:rPr>
            </w:pPr>
            <w:r w:rsidRPr="00F022FE">
              <w:rPr>
                <w:lang w:val="en-US"/>
              </w:rPr>
              <w:t>0.715 (0.615</w:t>
            </w:r>
            <w:r>
              <w:rPr>
                <w:lang w:val="en-US"/>
              </w:rPr>
              <w:t>-</w:t>
            </w:r>
            <w:r w:rsidRPr="00F022FE">
              <w:rPr>
                <w:lang w:val="en-US"/>
              </w:rPr>
              <w:t>0.814)</w:t>
            </w:r>
          </w:p>
        </w:tc>
        <w:tc>
          <w:tcPr>
            <w:tcW w:w="0" w:type="auto"/>
            <w:tcBorders>
              <w:top w:val="single" w:sz="4" w:space="0" w:color="BFBFBF" w:themeColor="background1" w:themeShade="BF"/>
              <w:bottom w:val="single" w:sz="4" w:space="0" w:color="BFBFBF" w:themeColor="background1" w:themeShade="BF"/>
            </w:tcBorders>
            <w:vAlign w:val="center"/>
          </w:tcPr>
          <w:p w14:paraId="1DCDD1DF" w14:textId="77777777" w:rsidR="001429E1" w:rsidRPr="00F022FE" w:rsidRDefault="001429E1" w:rsidP="001D7B5C">
            <w:pPr>
              <w:spacing w:after="0" w:line="240" w:lineRule="auto"/>
              <w:jc w:val="center"/>
              <w:rPr>
                <w:lang w:val="en-US"/>
              </w:rPr>
            </w:pPr>
            <w:r w:rsidRPr="00F022FE">
              <w:rPr>
                <w:lang w:val="en-US"/>
              </w:rPr>
              <w:t>0.91</w:t>
            </w:r>
          </w:p>
        </w:tc>
      </w:tr>
      <w:tr w:rsidR="001429E1" w:rsidRPr="00325981" w14:paraId="54E76BD5" w14:textId="77777777" w:rsidTr="001D7B5C">
        <w:trPr>
          <w:trHeight w:val="567"/>
        </w:trPr>
        <w:tc>
          <w:tcPr>
            <w:tcW w:w="1613" w:type="dxa"/>
            <w:tcBorders>
              <w:top w:val="single" w:sz="4" w:space="0" w:color="BFBFBF" w:themeColor="background1" w:themeShade="BF"/>
              <w:bottom w:val="single" w:sz="4" w:space="0" w:color="BFBFBF" w:themeColor="background1" w:themeShade="BF"/>
            </w:tcBorders>
            <w:vAlign w:val="center"/>
          </w:tcPr>
          <w:p w14:paraId="2095D9E8" w14:textId="77777777" w:rsidR="001429E1" w:rsidRPr="00F022FE" w:rsidRDefault="001429E1" w:rsidP="001D7B5C">
            <w:pPr>
              <w:spacing w:after="0" w:line="240" w:lineRule="auto"/>
              <w:rPr>
                <w:lang w:val="en-US"/>
              </w:rPr>
            </w:pPr>
            <w:r w:rsidRPr="00F022FE">
              <w:rPr>
                <w:lang w:val="en-US"/>
              </w:rPr>
              <w:t>sPTB</w:t>
            </w:r>
          </w:p>
        </w:tc>
        <w:tc>
          <w:tcPr>
            <w:tcW w:w="2638" w:type="dxa"/>
            <w:tcBorders>
              <w:top w:val="single" w:sz="4" w:space="0" w:color="BFBFBF" w:themeColor="background1" w:themeShade="BF"/>
              <w:bottom w:val="single" w:sz="4" w:space="0" w:color="BFBFBF" w:themeColor="background1" w:themeShade="BF"/>
            </w:tcBorders>
            <w:vAlign w:val="center"/>
          </w:tcPr>
          <w:p w14:paraId="2FD558BF" w14:textId="77777777" w:rsidR="001429E1" w:rsidRPr="00F022FE" w:rsidRDefault="001429E1" w:rsidP="001D7B5C">
            <w:pPr>
              <w:spacing w:after="0" w:line="240" w:lineRule="auto"/>
              <w:jc w:val="center"/>
              <w:rPr>
                <w:color w:val="000000"/>
              </w:rPr>
            </w:pPr>
            <w:r w:rsidRPr="00F022FE">
              <w:rPr>
                <w:color w:val="000000"/>
              </w:rPr>
              <w:t>0.675 (0.624</w:t>
            </w:r>
            <w:r>
              <w:rPr>
                <w:color w:val="000000"/>
              </w:rPr>
              <w:t>-</w:t>
            </w:r>
            <w:r w:rsidRPr="00F022FE">
              <w:rPr>
                <w:color w:val="000000"/>
              </w:rPr>
              <w:t>0.726)</w:t>
            </w:r>
          </w:p>
        </w:tc>
        <w:tc>
          <w:tcPr>
            <w:tcW w:w="2835" w:type="dxa"/>
            <w:tcBorders>
              <w:top w:val="single" w:sz="4" w:space="0" w:color="BFBFBF" w:themeColor="background1" w:themeShade="BF"/>
              <w:bottom w:val="single" w:sz="4" w:space="0" w:color="BFBFBF" w:themeColor="background1" w:themeShade="BF"/>
            </w:tcBorders>
            <w:vAlign w:val="center"/>
          </w:tcPr>
          <w:p w14:paraId="26BA6B75" w14:textId="77777777" w:rsidR="001429E1" w:rsidRPr="00F022FE" w:rsidRDefault="001429E1" w:rsidP="001D7B5C">
            <w:pPr>
              <w:spacing w:after="0" w:line="240" w:lineRule="auto"/>
              <w:jc w:val="center"/>
              <w:rPr>
                <w:lang w:val="en-US"/>
              </w:rPr>
            </w:pPr>
            <w:r w:rsidRPr="00F022FE">
              <w:rPr>
                <w:color w:val="000000"/>
              </w:rPr>
              <w:t>0.684 (0.633</w:t>
            </w:r>
            <w:r>
              <w:rPr>
                <w:color w:val="000000"/>
              </w:rPr>
              <w:t>-</w:t>
            </w:r>
            <w:r w:rsidRPr="00F022FE">
              <w:rPr>
                <w:color w:val="000000"/>
              </w:rPr>
              <w:t>0.734)</w:t>
            </w:r>
          </w:p>
        </w:tc>
        <w:tc>
          <w:tcPr>
            <w:tcW w:w="0" w:type="auto"/>
            <w:tcBorders>
              <w:top w:val="single" w:sz="4" w:space="0" w:color="BFBFBF" w:themeColor="background1" w:themeShade="BF"/>
              <w:bottom w:val="single" w:sz="4" w:space="0" w:color="BFBFBF" w:themeColor="background1" w:themeShade="BF"/>
            </w:tcBorders>
            <w:vAlign w:val="center"/>
          </w:tcPr>
          <w:p w14:paraId="58B939B3" w14:textId="77777777" w:rsidR="001429E1" w:rsidRPr="00F022FE" w:rsidRDefault="001429E1" w:rsidP="001D7B5C">
            <w:pPr>
              <w:spacing w:after="0" w:line="240" w:lineRule="auto"/>
              <w:jc w:val="center"/>
              <w:rPr>
                <w:lang w:val="en-US"/>
              </w:rPr>
            </w:pPr>
            <w:r w:rsidRPr="00F022FE">
              <w:rPr>
                <w:lang w:val="en-US"/>
              </w:rPr>
              <w:t>0.075</w:t>
            </w:r>
          </w:p>
        </w:tc>
      </w:tr>
      <w:tr w:rsidR="001429E1" w:rsidRPr="00BC5D55" w14:paraId="637839F4" w14:textId="77777777" w:rsidTr="001D7B5C">
        <w:trPr>
          <w:trHeight w:val="567"/>
        </w:trPr>
        <w:tc>
          <w:tcPr>
            <w:tcW w:w="1613" w:type="dxa"/>
            <w:tcBorders>
              <w:top w:val="single" w:sz="4" w:space="0" w:color="BFBFBF" w:themeColor="background1" w:themeShade="BF"/>
              <w:bottom w:val="single" w:sz="4" w:space="0" w:color="BFBFBF" w:themeColor="background1" w:themeShade="BF"/>
            </w:tcBorders>
            <w:vAlign w:val="center"/>
          </w:tcPr>
          <w:p w14:paraId="4D20A21F" w14:textId="77777777" w:rsidR="001429E1" w:rsidRPr="00F022FE" w:rsidRDefault="001429E1" w:rsidP="001D7B5C">
            <w:pPr>
              <w:spacing w:after="0" w:line="240" w:lineRule="auto"/>
              <w:rPr>
                <w:lang w:val="en-US"/>
              </w:rPr>
            </w:pPr>
            <w:r w:rsidRPr="00F022FE">
              <w:rPr>
                <w:lang w:val="en-US"/>
              </w:rPr>
              <w:t>iPTB</w:t>
            </w:r>
          </w:p>
        </w:tc>
        <w:tc>
          <w:tcPr>
            <w:tcW w:w="2638" w:type="dxa"/>
            <w:tcBorders>
              <w:top w:val="single" w:sz="4" w:space="0" w:color="BFBFBF" w:themeColor="background1" w:themeShade="BF"/>
              <w:bottom w:val="single" w:sz="4" w:space="0" w:color="BFBFBF" w:themeColor="background1" w:themeShade="BF"/>
            </w:tcBorders>
            <w:vAlign w:val="center"/>
          </w:tcPr>
          <w:p w14:paraId="77F84DA2" w14:textId="77777777" w:rsidR="001429E1" w:rsidRPr="00F022FE" w:rsidRDefault="001429E1" w:rsidP="001D7B5C">
            <w:pPr>
              <w:spacing w:after="0" w:line="240" w:lineRule="auto"/>
              <w:jc w:val="center"/>
              <w:rPr>
                <w:color w:val="000000"/>
              </w:rPr>
            </w:pPr>
            <w:r w:rsidRPr="00F022FE">
              <w:rPr>
                <w:color w:val="000000"/>
              </w:rPr>
              <w:t>0.637 (0.563</w:t>
            </w:r>
            <w:r>
              <w:rPr>
                <w:color w:val="000000"/>
              </w:rPr>
              <w:t>-</w:t>
            </w:r>
            <w:r w:rsidRPr="00F022FE">
              <w:rPr>
                <w:color w:val="000000"/>
              </w:rPr>
              <w:t>0.710)</w:t>
            </w:r>
          </w:p>
        </w:tc>
        <w:tc>
          <w:tcPr>
            <w:tcW w:w="2835" w:type="dxa"/>
            <w:tcBorders>
              <w:top w:val="single" w:sz="4" w:space="0" w:color="BFBFBF" w:themeColor="background1" w:themeShade="BF"/>
              <w:bottom w:val="single" w:sz="4" w:space="0" w:color="BFBFBF" w:themeColor="background1" w:themeShade="BF"/>
            </w:tcBorders>
            <w:vAlign w:val="center"/>
          </w:tcPr>
          <w:p w14:paraId="0BC73FE8" w14:textId="77777777" w:rsidR="001429E1" w:rsidRPr="00F022FE" w:rsidRDefault="001429E1" w:rsidP="001D7B5C">
            <w:pPr>
              <w:spacing w:after="0" w:line="240" w:lineRule="auto"/>
              <w:jc w:val="center"/>
              <w:rPr>
                <w:lang w:val="en-US"/>
              </w:rPr>
            </w:pPr>
            <w:r w:rsidRPr="00F022FE">
              <w:rPr>
                <w:color w:val="000000"/>
              </w:rPr>
              <w:t>0.624 (0.551</w:t>
            </w:r>
            <w:r>
              <w:rPr>
                <w:color w:val="000000"/>
              </w:rPr>
              <w:t>-</w:t>
            </w:r>
            <w:r w:rsidRPr="00F022FE">
              <w:rPr>
                <w:color w:val="000000"/>
              </w:rPr>
              <w:t>0.698)</w:t>
            </w:r>
          </w:p>
        </w:tc>
        <w:tc>
          <w:tcPr>
            <w:tcW w:w="0" w:type="auto"/>
            <w:tcBorders>
              <w:top w:val="single" w:sz="4" w:space="0" w:color="BFBFBF" w:themeColor="background1" w:themeShade="BF"/>
              <w:bottom w:val="single" w:sz="4" w:space="0" w:color="BFBFBF" w:themeColor="background1" w:themeShade="BF"/>
            </w:tcBorders>
            <w:vAlign w:val="center"/>
          </w:tcPr>
          <w:p w14:paraId="75EB6B17" w14:textId="77777777" w:rsidR="001429E1" w:rsidRPr="00F022FE" w:rsidRDefault="001429E1" w:rsidP="001D7B5C">
            <w:pPr>
              <w:spacing w:after="0" w:line="240" w:lineRule="auto"/>
              <w:jc w:val="center"/>
              <w:rPr>
                <w:lang w:val="en-US"/>
              </w:rPr>
            </w:pPr>
            <w:r w:rsidRPr="00F022FE">
              <w:rPr>
                <w:lang w:val="en-US"/>
              </w:rPr>
              <w:t>0.087</w:t>
            </w:r>
          </w:p>
        </w:tc>
      </w:tr>
      <w:tr w:rsidR="001429E1" w:rsidRPr="00BC5D55" w14:paraId="780226DC" w14:textId="77777777" w:rsidTr="001D7B5C">
        <w:trPr>
          <w:trHeight w:val="567"/>
        </w:trPr>
        <w:tc>
          <w:tcPr>
            <w:tcW w:w="1613" w:type="dxa"/>
            <w:tcBorders>
              <w:top w:val="single" w:sz="4" w:space="0" w:color="BFBFBF" w:themeColor="background1" w:themeShade="BF"/>
              <w:bottom w:val="single" w:sz="4" w:space="0" w:color="BFBFBF" w:themeColor="background1" w:themeShade="BF"/>
            </w:tcBorders>
            <w:vAlign w:val="center"/>
          </w:tcPr>
          <w:p w14:paraId="1654355D" w14:textId="77777777" w:rsidR="001429E1" w:rsidRPr="00F022FE" w:rsidRDefault="001429E1" w:rsidP="001D7B5C">
            <w:pPr>
              <w:spacing w:after="0" w:line="240" w:lineRule="auto"/>
              <w:rPr>
                <w:lang w:val="en-US"/>
              </w:rPr>
            </w:pPr>
            <w:r w:rsidRPr="00F022FE">
              <w:rPr>
                <w:lang w:val="en-US"/>
              </w:rPr>
              <w:t>Pre-viable loss</w:t>
            </w:r>
          </w:p>
        </w:tc>
        <w:tc>
          <w:tcPr>
            <w:tcW w:w="2638" w:type="dxa"/>
            <w:tcBorders>
              <w:top w:val="single" w:sz="4" w:space="0" w:color="BFBFBF" w:themeColor="background1" w:themeShade="BF"/>
              <w:bottom w:val="single" w:sz="4" w:space="0" w:color="BFBFBF" w:themeColor="background1" w:themeShade="BF"/>
            </w:tcBorders>
            <w:vAlign w:val="center"/>
          </w:tcPr>
          <w:p w14:paraId="378FDD98" w14:textId="77777777" w:rsidR="001429E1" w:rsidRPr="00F022FE" w:rsidRDefault="001429E1" w:rsidP="001D7B5C">
            <w:pPr>
              <w:spacing w:after="0" w:line="240" w:lineRule="auto"/>
              <w:jc w:val="center"/>
              <w:rPr>
                <w:color w:val="000000"/>
              </w:rPr>
            </w:pPr>
            <w:r w:rsidRPr="00F022FE">
              <w:rPr>
                <w:color w:val="000000"/>
              </w:rPr>
              <w:t>0.605 (0.400</w:t>
            </w:r>
            <w:r>
              <w:rPr>
                <w:color w:val="000000"/>
              </w:rPr>
              <w:t>-</w:t>
            </w:r>
            <w:r w:rsidRPr="00F022FE">
              <w:rPr>
                <w:color w:val="000000"/>
              </w:rPr>
              <w:t>0.810)</w:t>
            </w:r>
          </w:p>
        </w:tc>
        <w:tc>
          <w:tcPr>
            <w:tcW w:w="2835" w:type="dxa"/>
            <w:tcBorders>
              <w:top w:val="single" w:sz="4" w:space="0" w:color="BFBFBF" w:themeColor="background1" w:themeShade="BF"/>
              <w:bottom w:val="single" w:sz="4" w:space="0" w:color="BFBFBF" w:themeColor="background1" w:themeShade="BF"/>
            </w:tcBorders>
            <w:vAlign w:val="center"/>
          </w:tcPr>
          <w:p w14:paraId="2534DB86" w14:textId="77777777" w:rsidR="001429E1" w:rsidRPr="00F022FE" w:rsidRDefault="001429E1" w:rsidP="001D7B5C">
            <w:pPr>
              <w:spacing w:after="0" w:line="240" w:lineRule="auto"/>
              <w:jc w:val="center"/>
              <w:rPr>
                <w:lang w:val="en-US"/>
              </w:rPr>
            </w:pPr>
            <w:r w:rsidRPr="00F022FE">
              <w:rPr>
                <w:color w:val="000000"/>
              </w:rPr>
              <w:t>0.598 (0.395</w:t>
            </w:r>
            <w:r>
              <w:rPr>
                <w:color w:val="000000"/>
              </w:rPr>
              <w:t>-</w:t>
            </w:r>
            <w:r w:rsidRPr="00F022FE">
              <w:rPr>
                <w:color w:val="000000"/>
              </w:rPr>
              <w:t>0.801)</w:t>
            </w:r>
          </w:p>
        </w:tc>
        <w:tc>
          <w:tcPr>
            <w:tcW w:w="0" w:type="auto"/>
            <w:tcBorders>
              <w:top w:val="single" w:sz="4" w:space="0" w:color="BFBFBF" w:themeColor="background1" w:themeShade="BF"/>
              <w:bottom w:val="single" w:sz="4" w:space="0" w:color="BFBFBF" w:themeColor="background1" w:themeShade="BF"/>
            </w:tcBorders>
            <w:vAlign w:val="center"/>
          </w:tcPr>
          <w:p w14:paraId="77D66C35" w14:textId="77777777" w:rsidR="001429E1" w:rsidRPr="00F022FE" w:rsidRDefault="001429E1" w:rsidP="001D7B5C">
            <w:pPr>
              <w:spacing w:after="0" w:line="240" w:lineRule="auto"/>
              <w:jc w:val="center"/>
              <w:rPr>
                <w:lang w:val="en-US"/>
              </w:rPr>
            </w:pPr>
            <w:r w:rsidRPr="00F022FE">
              <w:rPr>
                <w:lang w:val="en-US"/>
              </w:rPr>
              <w:t>0.49</w:t>
            </w:r>
          </w:p>
        </w:tc>
      </w:tr>
      <w:tr w:rsidR="001429E1" w:rsidRPr="00BC5D55" w14:paraId="5213DDDE" w14:textId="77777777" w:rsidTr="001D7B5C">
        <w:trPr>
          <w:trHeight w:val="567"/>
        </w:trPr>
        <w:tc>
          <w:tcPr>
            <w:tcW w:w="1613" w:type="dxa"/>
            <w:tcBorders>
              <w:top w:val="single" w:sz="4" w:space="0" w:color="BFBFBF" w:themeColor="background1" w:themeShade="BF"/>
              <w:bottom w:val="single" w:sz="12" w:space="0" w:color="auto"/>
            </w:tcBorders>
            <w:vAlign w:val="center"/>
          </w:tcPr>
          <w:p w14:paraId="0599BEA3" w14:textId="77777777" w:rsidR="001429E1" w:rsidRPr="00F022FE" w:rsidRDefault="001429E1" w:rsidP="001D7B5C">
            <w:pPr>
              <w:spacing w:after="0" w:line="240" w:lineRule="auto"/>
              <w:rPr>
                <w:lang w:val="en-US"/>
              </w:rPr>
            </w:pPr>
            <w:r w:rsidRPr="00F022FE">
              <w:rPr>
                <w:lang w:val="en-US"/>
              </w:rPr>
              <w:t>Stillbirth</w:t>
            </w:r>
          </w:p>
        </w:tc>
        <w:tc>
          <w:tcPr>
            <w:tcW w:w="2638" w:type="dxa"/>
            <w:tcBorders>
              <w:top w:val="single" w:sz="4" w:space="0" w:color="BFBFBF" w:themeColor="background1" w:themeShade="BF"/>
              <w:bottom w:val="single" w:sz="12" w:space="0" w:color="auto"/>
            </w:tcBorders>
            <w:vAlign w:val="center"/>
          </w:tcPr>
          <w:p w14:paraId="7633184D" w14:textId="77777777" w:rsidR="001429E1" w:rsidRPr="00F022FE" w:rsidRDefault="001429E1" w:rsidP="001D7B5C">
            <w:pPr>
              <w:spacing w:after="0" w:line="240" w:lineRule="auto"/>
              <w:jc w:val="center"/>
              <w:rPr>
                <w:color w:val="000000"/>
              </w:rPr>
            </w:pPr>
            <w:r w:rsidRPr="00F022FE">
              <w:rPr>
                <w:color w:val="000000"/>
              </w:rPr>
              <w:t>0.611 (0.413</w:t>
            </w:r>
            <w:r>
              <w:rPr>
                <w:color w:val="000000"/>
              </w:rPr>
              <w:t>-</w:t>
            </w:r>
            <w:r w:rsidRPr="00F022FE">
              <w:rPr>
                <w:color w:val="000000"/>
              </w:rPr>
              <w:t>0.809)</w:t>
            </w:r>
          </w:p>
        </w:tc>
        <w:tc>
          <w:tcPr>
            <w:tcW w:w="2835" w:type="dxa"/>
            <w:tcBorders>
              <w:top w:val="single" w:sz="4" w:space="0" w:color="BFBFBF" w:themeColor="background1" w:themeShade="BF"/>
              <w:bottom w:val="single" w:sz="12" w:space="0" w:color="auto"/>
            </w:tcBorders>
            <w:vAlign w:val="center"/>
          </w:tcPr>
          <w:p w14:paraId="21383ECE" w14:textId="77777777" w:rsidR="001429E1" w:rsidRPr="00F022FE" w:rsidRDefault="001429E1" w:rsidP="001D7B5C">
            <w:pPr>
              <w:spacing w:after="0" w:line="240" w:lineRule="auto"/>
              <w:jc w:val="center"/>
              <w:rPr>
                <w:lang w:val="en-US"/>
              </w:rPr>
            </w:pPr>
            <w:r w:rsidRPr="00F022FE">
              <w:rPr>
                <w:color w:val="000000"/>
              </w:rPr>
              <w:t>0.637 (0.450</w:t>
            </w:r>
            <w:r>
              <w:rPr>
                <w:color w:val="000000"/>
              </w:rPr>
              <w:t>-</w:t>
            </w:r>
            <w:r w:rsidRPr="00F022FE">
              <w:rPr>
                <w:color w:val="000000"/>
              </w:rPr>
              <w:t>0.823)</w:t>
            </w:r>
          </w:p>
        </w:tc>
        <w:tc>
          <w:tcPr>
            <w:tcW w:w="0" w:type="auto"/>
            <w:tcBorders>
              <w:top w:val="single" w:sz="4" w:space="0" w:color="BFBFBF" w:themeColor="background1" w:themeShade="BF"/>
              <w:bottom w:val="single" w:sz="12" w:space="0" w:color="auto"/>
            </w:tcBorders>
            <w:vAlign w:val="center"/>
          </w:tcPr>
          <w:p w14:paraId="05CE2FFE" w14:textId="77777777" w:rsidR="001429E1" w:rsidRPr="00F022FE" w:rsidRDefault="001429E1" w:rsidP="001D7B5C">
            <w:pPr>
              <w:spacing w:after="0" w:line="240" w:lineRule="auto"/>
              <w:jc w:val="center"/>
              <w:rPr>
                <w:lang w:val="en-US"/>
              </w:rPr>
            </w:pPr>
            <w:r w:rsidRPr="00F022FE">
              <w:rPr>
                <w:lang w:val="en-US"/>
              </w:rPr>
              <w:t>0.15</w:t>
            </w:r>
          </w:p>
        </w:tc>
      </w:tr>
    </w:tbl>
    <w:p w14:paraId="5F336922" w14:textId="77777777" w:rsidR="001429E1" w:rsidRDefault="001429E1" w:rsidP="001429E1">
      <w:pPr>
        <w:spacing w:after="0" w:line="240" w:lineRule="auto"/>
        <w:jc w:val="both"/>
        <w:rPr>
          <w:sz w:val="20"/>
          <w:szCs w:val="20"/>
          <w:lang w:val="en-US"/>
        </w:rPr>
      </w:pPr>
      <w:bookmarkStart w:id="5" w:name="_Hlk4772756"/>
      <w:r w:rsidRPr="000465DD">
        <w:rPr>
          <w:sz w:val="20"/>
          <w:szCs w:val="20"/>
          <w:lang w:val="en-US"/>
        </w:rPr>
        <w:t>AFP, alpha fetoprotein; AUC, area under the curve; FGR, fetal growth restriction; iPTB, iatrogenic preterm birth; PAPP-A, pregnancy-associated plasma protein A;</w:t>
      </w:r>
      <w:r>
        <w:rPr>
          <w:sz w:val="20"/>
          <w:szCs w:val="20"/>
          <w:lang w:val="en-US"/>
        </w:rPr>
        <w:t xml:space="preserve"> PE, preeclampsia;</w:t>
      </w:r>
      <w:r w:rsidRPr="000465DD">
        <w:rPr>
          <w:sz w:val="20"/>
          <w:szCs w:val="20"/>
          <w:lang w:val="en-US"/>
        </w:rPr>
        <w:t xml:space="preserve"> PTB, preterm birth; SGA, small for gestational age; sPTB, spontaneous preterm birth.</w:t>
      </w:r>
      <w:bookmarkEnd w:id="5"/>
    </w:p>
    <w:p w14:paraId="5255353C" w14:textId="77777777" w:rsidR="001429E1" w:rsidRDefault="001429E1" w:rsidP="001429E1">
      <w:pPr>
        <w:spacing w:after="0" w:line="240" w:lineRule="auto"/>
        <w:jc w:val="both"/>
        <w:rPr>
          <w:sz w:val="20"/>
          <w:szCs w:val="20"/>
          <w:lang w:val="en-US"/>
        </w:rPr>
      </w:pPr>
    </w:p>
    <w:p w14:paraId="29E8309D" w14:textId="77777777" w:rsidR="001429E1" w:rsidRPr="00D57111" w:rsidRDefault="001429E1" w:rsidP="001429E1">
      <w:pPr>
        <w:spacing w:after="0" w:line="240" w:lineRule="auto"/>
        <w:jc w:val="both"/>
        <w:rPr>
          <w:sz w:val="20"/>
          <w:szCs w:val="20"/>
          <w:lang w:val="en-US"/>
        </w:rPr>
      </w:pPr>
      <w:r w:rsidRPr="000465DD">
        <w:rPr>
          <w:sz w:val="20"/>
          <w:szCs w:val="20"/>
          <w:vertAlign w:val="superscript"/>
        </w:rPr>
        <w:t>a</w:t>
      </w:r>
      <w:r w:rsidRPr="000465DD">
        <w:rPr>
          <w:i/>
          <w:sz w:val="20"/>
          <w:szCs w:val="20"/>
        </w:rPr>
        <w:t>P</w:t>
      </w:r>
      <w:r w:rsidRPr="000465DD">
        <w:rPr>
          <w:sz w:val="20"/>
          <w:szCs w:val="20"/>
        </w:rPr>
        <w:t xml:space="preserve"> value for comparison of AUCs with and without correction for maternal characteristics.</w:t>
      </w:r>
    </w:p>
    <w:p w14:paraId="4B9DCD81" w14:textId="77777777" w:rsidR="001429E1" w:rsidRDefault="001429E1" w:rsidP="001429E1">
      <w:pPr>
        <w:spacing w:after="0" w:line="240" w:lineRule="auto"/>
        <w:jc w:val="both"/>
        <w:rPr>
          <w:sz w:val="20"/>
          <w:szCs w:val="20"/>
          <w:lang w:val="en-US"/>
        </w:rPr>
      </w:pPr>
    </w:p>
    <w:p w14:paraId="7FE198DD" w14:textId="77777777" w:rsidR="001429E1" w:rsidRDefault="001429E1" w:rsidP="001429E1">
      <w:pPr>
        <w:spacing w:line="240" w:lineRule="auto"/>
        <w:jc w:val="both"/>
        <w:rPr>
          <w:sz w:val="20"/>
          <w:szCs w:val="20"/>
          <w:vertAlign w:val="superscript"/>
        </w:rPr>
      </w:pPr>
    </w:p>
    <w:p w14:paraId="0CB24FAC" w14:textId="77777777" w:rsidR="001429E1" w:rsidRDefault="001429E1" w:rsidP="001429E1">
      <w:pPr>
        <w:sectPr w:rsidR="001429E1" w:rsidSect="00CA38C8">
          <w:pgSz w:w="11906" w:h="16838"/>
          <w:pgMar w:top="1440" w:right="1440" w:bottom="1440" w:left="1440" w:header="708" w:footer="708" w:gutter="0"/>
          <w:cols w:space="708"/>
          <w:docGrid w:linePitch="360"/>
        </w:sectPr>
      </w:pPr>
    </w:p>
    <w:p w14:paraId="2FA736DA" w14:textId="7EFA93F6" w:rsidR="001429E1" w:rsidRPr="00265B3B" w:rsidRDefault="001429E1" w:rsidP="001429E1">
      <w:pPr>
        <w:spacing w:after="0" w:line="480" w:lineRule="auto"/>
        <w:rPr>
          <w:sz w:val="24"/>
          <w:szCs w:val="24"/>
          <w:lang w:val="en-US"/>
        </w:rPr>
      </w:pPr>
      <w:r w:rsidRPr="00265B3B">
        <w:rPr>
          <w:b/>
          <w:sz w:val="24"/>
          <w:szCs w:val="24"/>
          <w:lang w:val="en-US"/>
        </w:rPr>
        <w:t xml:space="preserve">Supplemental Table </w:t>
      </w:r>
      <w:r>
        <w:rPr>
          <w:b/>
          <w:sz w:val="24"/>
          <w:szCs w:val="24"/>
          <w:lang w:val="en-US"/>
        </w:rPr>
        <w:t>4</w:t>
      </w:r>
      <w:r w:rsidRPr="00265B3B">
        <w:rPr>
          <w:b/>
          <w:sz w:val="24"/>
          <w:szCs w:val="24"/>
          <w:lang w:val="en-US"/>
        </w:rPr>
        <w:t>.</w:t>
      </w:r>
      <w:r w:rsidRPr="00265B3B">
        <w:rPr>
          <w:sz w:val="24"/>
          <w:szCs w:val="24"/>
          <w:lang w:val="en-US"/>
        </w:rPr>
        <w:t xml:space="preserve"> </w:t>
      </w:r>
      <w:r w:rsidRPr="00265B3B">
        <w:rPr>
          <w:b/>
          <w:sz w:val="24"/>
          <w:szCs w:val="24"/>
          <w:lang w:val="en-US"/>
        </w:rPr>
        <w:t>Screening statistics for adverse outcomes with an AFP MoM (corrected for maternal weight and gestation at measurement) in the top decile at approximately 12wkGA.</w:t>
      </w:r>
    </w:p>
    <w:tbl>
      <w:tblPr>
        <w:tblW w:w="0" w:type="auto"/>
        <w:tblBorders>
          <w:top w:val="single" w:sz="12" w:space="0" w:color="auto"/>
          <w:bottom w:val="single" w:sz="12" w:space="0" w:color="auto"/>
        </w:tblBorders>
        <w:tblLayout w:type="fixed"/>
        <w:tblLook w:val="04A0" w:firstRow="1" w:lastRow="0" w:firstColumn="1" w:lastColumn="0" w:noHBand="0" w:noVBand="1"/>
      </w:tblPr>
      <w:tblGrid>
        <w:gridCol w:w="1758"/>
        <w:gridCol w:w="1134"/>
        <w:gridCol w:w="1327"/>
        <w:gridCol w:w="1134"/>
        <w:gridCol w:w="1701"/>
        <w:gridCol w:w="1160"/>
        <w:gridCol w:w="1675"/>
        <w:gridCol w:w="992"/>
        <w:gridCol w:w="851"/>
        <w:gridCol w:w="1234"/>
      </w:tblGrid>
      <w:tr w:rsidR="001429E1" w:rsidRPr="00372AB4" w14:paraId="4DE1F006" w14:textId="77777777" w:rsidTr="001D7B5C">
        <w:trPr>
          <w:trHeight w:val="269"/>
        </w:trPr>
        <w:tc>
          <w:tcPr>
            <w:tcW w:w="1758" w:type="dxa"/>
            <w:tcBorders>
              <w:top w:val="single" w:sz="12" w:space="0" w:color="auto"/>
              <w:bottom w:val="single" w:sz="12" w:space="0" w:color="auto"/>
            </w:tcBorders>
          </w:tcPr>
          <w:p w14:paraId="3CF019F8" w14:textId="77777777" w:rsidR="001429E1" w:rsidRPr="00372AB4" w:rsidRDefault="001429E1" w:rsidP="001D7B5C">
            <w:pPr>
              <w:spacing w:after="0" w:line="240" w:lineRule="auto"/>
              <w:rPr>
                <w:b/>
                <w:lang w:val="en-US"/>
              </w:rPr>
            </w:pPr>
            <w:r w:rsidRPr="00372AB4">
              <w:rPr>
                <w:b/>
                <w:lang w:val="en-US"/>
              </w:rPr>
              <w:t>Outcome</w:t>
            </w:r>
          </w:p>
        </w:tc>
        <w:tc>
          <w:tcPr>
            <w:tcW w:w="1134" w:type="dxa"/>
            <w:tcBorders>
              <w:top w:val="single" w:sz="12" w:space="0" w:color="auto"/>
              <w:bottom w:val="single" w:sz="12" w:space="0" w:color="auto"/>
            </w:tcBorders>
          </w:tcPr>
          <w:p w14:paraId="62211197" w14:textId="77777777" w:rsidR="001429E1" w:rsidRPr="00372AB4" w:rsidRDefault="001429E1" w:rsidP="001D7B5C">
            <w:pPr>
              <w:spacing w:after="0" w:line="240" w:lineRule="auto"/>
              <w:jc w:val="center"/>
              <w:rPr>
                <w:b/>
                <w:lang w:val="en-US"/>
              </w:rPr>
            </w:pPr>
            <w:r w:rsidRPr="00372AB4">
              <w:rPr>
                <w:b/>
                <w:lang w:val="en-US"/>
              </w:rPr>
              <w:t>TP/FP</w:t>
            </w:r>
          </w:p>
        </w:tc>
        <w:tc>
          <w:tcPr>
            <w:tcW w:w="1327" w:type="dxa"/>
            <w:tcBorders>
              <w:top w:val="single" w:sz="12" w:space="0" w:color="auto"/>
              <w:bottom w:val="single" w:sz="12" w:space="0" w:color="auto"/>
            </w:tcBorders>
          </w:tcPr>
          <w:p w14:paraId="29ACA72C" w14:textId="77777777" w:rsidR="001429E1" w:rsidRPr="00372AB4" w:rsidRDefault="001429E1" w:rsidP="001D7B5C">
            <w:pPr>
              <w:spacing w:after="0" w:line="240" w:lineRule="auto"/>
              <w:jc w:val="center"/>
              <w:rPr>
                <w:b/>
                <w:lang w:val="en-US"/>
              </w:rPr>
            </w:pPr>
            <w:r w:rsidRPr="00372AB4">
              <w:rPr>
                <w:b/>
                <w:lang w:val="en-US"/>
              </w:rPr>
              <w:t>TN/FN</w:t>
            </w:r>
          </w:p>
        </w:tc>
        <w:tc>
          <w:tcPr>
            <w:tcW w:w="1134" w:type="dxa"/>
            <w:tcBorders>
              <w:top w:val="single" w:sz="12" w:space="0" w:color="auto"/>
              <w:bottom w:val="single" w:sz="12" w:space="0" w:color="auto"/>
            </w:tcBorders>
          </w:tcPr>
          <w:p w14:paraId="5F960A3D" w14:textId="77777777" w:rsidR="001429E1" w:rsidRDefault="001429E1" w:rsidP="001D7B5C">
            <w:pPr>
              <w:spacing w:after="0" w:line="240" w:lineRule="auto"/>
              <w:jc w:val="center"/>
              <w:rPr>
                <w:b/>
                <w:lang w:val="en-US"/>
              </w:rPr>
            </w:pPr>
            <w:r w:rsidRPr="00372AB4">
              <w:rPr>
                <w:b/>
                <w:lang w:val="en-US"/>
              </w:rPr>
              <w:t xml:space="preserve">Positive </w:t>
            </w:r>
          </w:p>
          <w:p w14:paraId="1A13BC66" w14:textId="77777777" w:rsidR="001429E1" w:rsidRPr="00372AB4" w:rsidRDefault="001429E1" w:rsidP="001D7B5C">
            <w:pPr>
              <w:spacing w:after="0" w:line="240" w:lineRule="auto"/>
              <w:jc w:val="center"/>
              <w:rPr>
                <w:b/>
                <w:lang w:val="en-US"/>
              </w:rPr>
            </w:pPr>
            <w:r w:rsidRPr="00372AB4">
              <w:rPr>
                <w:b/>
                <w:lang w:val="en-US"/>
              </w:rPr>
              <w:t>LR</w:t>
            </w:r>
          </w:p>
        </w:tc>
        <w:tc>
          <w:tcPr>
            <w:tcW w:w="1701" w:type="dxa"/>
            <w:tcBorders>
              <w:top w:val="single" w:sz="12" w:space="0" w:color="auto"/>
              <w:bottom w:val="single" w:sz="12" w:space="0" w:color="auto"/>
            </w:tcBorders>
          </w:tcPr>
          <w:p w14:paraId="022F60A9" w14:textId="77777777" w:rsidR="001429E1" w:rsidRDefault="001429E1" w:rsidP="001D7B5C">
            <w:pPr>
              <w:spacing w:after="0" w:line="240" w:lineRule="auto"/>
              <w:jc w:val="center"/>
              <w:rPr>
                <w:b/>
                <w:lang w:val="en-US"/>
              </w:rPr>
            </w:pPr>
            <w:r w:rsidRPr="00372AB4">
              <w:rPr>
                <w:b/>
                <w:lang w:val="en-US"/>
              </w:rPr>
              <w:t xml:space="preserve">Negative </w:t>
            </w:r>
          </w:p>
          <w:p w14:paraId="6E9BF16F" w14:textId="77777777" w:rsidR="001429E1" w:rsidRPr="00372AB4" w:rsidRDefault="001429E1" w:rsidP="001D7B5C">
            <w:pPr>
              <w:spacing w:after="0" w:line="240" w:lineRule="auto"/>
              <w:jc w:val="center"/>
              <w:rPr>
                <w:b/>
                <w:lang w:val="en-US"/>
              </w:rPr>
            </w:pPr>
            <w:r w:rsidRPr="00372AB4">
              <w:rPr>
                <w:b/>
                <w:lang w:val="en-US"/>
              </w:rPr>
              <w:t>LR</w:t>
            </w:r>
          </w:p>
        </w:tc>
        <w:tc>
          <w:tcPr>
            <w:tcW w:w="1160" w:type="dxa"/>
            <w:tcBorders>
              <w:top w:val="single" w:sz="12" w:space="0" w:color="auto"/>
              <w:bottom w:val="single" w:sz="12" w:space="0" w:color="auto"/>
            </w:tcBorders>
          </w:tcPr>
          <w:p w14:paraId="6F8A1873" w14:textId="77777777" w:rsidR="001429E1" w:rsidRDefault="001429E1" w:rsidP="001D7B5C">
            <w:pPr>
              <w:spacing w:after="0" w:line="240" w:lineRule="auto"/>
              <w:jc w:val="center"/>
              <w:rPr>
                <w:b/>
                <w:lang w:val="en-US"/>
              </w:rPr>
            </w:pPr>
            <w:r w:rsidRPr="00372AB4">
              <w:rPr>
                <w:b/>
                <w:lang w:val="en-US"/>
              </w:rPr>
              <w:t xml:space="preserve">Sensitivity </w:t>
            </w:r>
          </w:p>
          <w:p w14:paraId="1FD8DE8D" w14:textId="77777777" w:rsidR="001429E1" w:rsidRPr="00372AB4" w:rsidRDefault="001429E1" w:rsidP="001D7B5C">
            <w:pPr>
              <w:spacing w:after="0" w:line="240" w:lineRule="auto"/>
              <w:jc w:val="center"/>
              <w:rPr>
                <w:b/>
                <w:lang w:val="en-US"/>
              </w:rPr>
            </w:pPr>
            <w:r w:rsidRPr="00372AB4">
              <w:rPr>
                <w:b/>
                <w:lang w:val="en-US"/>
              </w:rPr>
              <w:t>(%)</w:t>
            </w:r>
          </w:p>
        </w:tc>
        <w:tc>
          <w:tcPr>
            <w:tcW w:w="1675" w:type="dxa"/>
            <w:tcBorders>
              <w:top w:val="single" w:sz="12" w:space="0" w:color="auto"/>
              <w:bottom w:val="single" w:sz="12" w:space="0" w:color="auto"/>
            </w:tcBorders>
          </w:tcPr>
          <w:p w14:paraId="5DDE9AEB" w14:textId="77777777" w:rsidR="001429E1" w:rsidRDefault="001429E1" w:rsidP="001D7B5C">
            <w:pPr>
              <w:spacing w:after="0" w:line="240" w:lineRule="auto"/>
              <w:jc w:val="center"/>
              <w:rPr>
                <w:b/>
                <w:lang w:val="en-US"/>
              </w:rPr>
            </w:pPr>
            <w:r w:rsidRPr="00372AB4">
              <w:rPr>
                <w:b/>
                <w:lang w:val="en-US"/>
              </w:rPr>
              <w:t xml:space="preserve">Specificity </w:t>
            </w:r>
          </w:p>
          <w:p w14:paraId="3FE9FF17" w14:textId="77777777" w:rsidR="001429E1" w:rsidRPr="00372AB4" w:rsidRDefault="001429E1" w:rsidP="001D7B5C">
            <w:pPr>
              <w:spacing w:after="0" w:line="240" w:lineRule="auto"/>
              <w:jc w:val="center"/>
              <w:rPr>
                <w:b/>
                <w:lang w:val="en-US"/>
              </w:rPr>
            </w:pPr>
            <w:r w:rsidRPr="00372AB4">
              <w:rPr>
                <w:b/>
                <w:lang w:val="en-US"/>
              </w:rPr>
              <w:t>(%)</w:t>
            </w:r>
          </w:p>
        </w:tc>
        <w:tc>
          <w:tcPr>
            <w:tcW w:w="992" w:type="dxa"/>
            <w:tcBorders>
              <w:top w:val="single" w:sz="12" w:space="0" w:color="auto"/>
              <w:bottom w:val="single" w:sz="12" w:space="0" w:color="auto"/>
            </w:tcBorders>
          </w:tcPr>
          <w:p w14:paraId="0EEBE768" w14:textId="77777777" w:rsidR="001429E1" w:rsidRDefault="001429E1" w:rsidP="001D7B5C">
            <w:pPr>
              <w:spacing w:after="0" w:line="240" w:lineRule="auto"/>
              <w:jc w:val="center"/>
              <w:rPr>
                <w:b/>
                <w:lang w:val="en-US"/>
              </w:rPr>
            </w:pPr>
            <w:r w:rsidRPr="00372AB4">
              <w:rPr>
                <w:b/>
                <w:lang w:val="en-US"/>
              </w:rPr>
              <w:t xml:space="preserve">PPV </w:t>
            </w:r>
          </w:p>
          <w:p w14:paraId="0B19304A" w14:textId="77777777" w:rsidR="001429E1" w:rsidRPr="00372AB4" w:rsidRDefault="001429E1" w:rsidP="001D7B5C">
            <w:pPr>
              <w:spacing w:after="0" w:line="240" w:lineRule="auto"/>
              <w:jc w:val="center"/>
              <w:rPr>
                <w:b/>
                <w:lang w:val="en-US"/>
              </w:rPr>
            </w:pPr>
            <w:r w:rsidRPr="00372AB4">
              <w:rPr>
                <w:b/>
                <w:lang w:val="en-US"/>
              </w:rPr>
              <w:t>(%)</w:t>
            </w:r>
          </w:p>
        </w:tc>
        <w:tc>
          <w:tcPr>
            <w:tcW w:w="851" w:type="dxa"/>
            <w:tcBorders>
              <w:top w:val="single" w:sz="12" w:space="0" w:color="auto"/>
              <w:bottom w:val="single" w:sz="12" w:space="0" w:color="auto"/>
            </w:tcBorders>
          </w:tcPr>
          <w:p w14:paraId="605E4080" w14:textId="77777777" w:rsidR="001429E1" w:rsidRDefault="001429E1" w:rsidP="001D7B5C">
            <w:pPr>
              <w:spacing w:after="0" w:line="240" w:lineRule="auto"/>
              <w:jc w:val="center"/>
              <w:rPr>
                <w:b/>
                <w:lang w:val="en-US"/>
              </w:rPr>
            </w:pPr>
            <w:r w:rsidRPr="00372AB4">
              <w:rPr>
                <w:b/>
                <w:lang w:val="en-US"/>
              </w:rPr>
              <w:t xml:space="preserve">NPV </w:t>
            </w:r>
          </w:p>
          <w:p w14:paraId="1ADD627E" w14:textId="77777777" w:rsidR="001429E1" w:rsidRPr="00372AB4" w:rsidRDefault="001429E1" w:rsidP="001D7B5C">
            <w:pPr>
              <w:spacing w:after="0" w:line="240" w:lineRule="auto"/>
              <w:jc w:val="center"/>
              <w:rPr>
                <w:b/>
                <w:lang w:val="en-US"/>
              </w:rPr>
            </w:pPr>
            <w:r w:rsidRPr="00372AB4">
              <w:rPr>
                <w:b/>
                <w:lang w:val="en-US"/>
              </w:rPr>
              <w:t>(%)</w:t>
            </w:r>
          </w:p>
        </w:tc>
        <w:tc>
          <w:tcPr>
            <w:tcW w:w="1234" w:type="dxa"/>
            <w:tcBorders>
              <w:top w:val="single" w:sz="12" w:space="0" w:color="auto"/>
              <w:bottom w:val="single" w:sz="12" w:space="0" w:color="auto"/>
            </w:tcBorders>
          </w:tcPr>
          <w:p w14:paraId="3A183625" w14:textId="77777777" w:rsidR="001429E1" w:rsidRPr="00372AB4" w:rsidRDefault="001429E1" w:rsidP="001D7B5C">
            <w:pPr>
              <w:spacing w:after="0" w:line="240" w:lineRule="auto"/>
              <w:jc w:val="center"/>
              <w:rPr>
                <w:b/>
                <w:lang w:val="en-US"/>
              </w:rPr>
            </w:pPr>
            <w:r w:rsidRPr="00372AB4">
              <w:rPr>
                <w:b/>
                <w:lang w:val="en-US"/>
              </w:rPr>
              <w:t>AUC</w:t>
            </w:r>
          </w:p>
        </w:tc>
      </w:tr>
      <w:tr w:rsidR="001429E1" w:rsidRPr="00372AB4" w14:paraId="6FDFEF24" w14:textId="77777777" w:rsidTr="001D7B5C">
        <w:trPr>
          <w:trHeight w:val="567"/>
        </w:trPr>
        <w:tc>
          <w:tcPr>
            <w:tcW w:w="1758" w:type="dxa"/>
            <w:tcBorders>
              <w:top w:val="single" w:sz="12" w:space="0" w:color="auto"/>
              <w:bottom w:val="single" w:sz="4" w:space="0" w:color="BFBFBF" w:themeColor="background1" w:themeShade="BF"/>
            </w:tcBorders>
            <w:vAlign w:val="center"/>
          </w:tcPr>
          <w:p w14:paraId="6FC1F410" w14:textId="77777777" w:rsidR="001429E1" w:rsidRPr="00372AB4" w:rsidRDefault="001429E1" w:rsidP="001D7B5C">
            <w:pPr>
              <w:spacing w:after="0" w:line="240" w:lineRule="auto"/>
              <w:rPr>
                <w:lang w:val="en-US"/>
              </w:rPr>
            </w:pPr>
            <w:r w:rsidRPr="00372AB4">
              <w:rPr>
                <w:lang w:val="en-US"/>
              </w:rPr>
              <w:t>FGR</w:t>
            </w:r>
          </w:p>
        </w:tc>
        <w:tc>
          <w:tcPr>
            <w:tcW w:w="1134" w:type="dxa"/>
            <w:tcBorders>
              <w:top w:val="single" w:sz="12" w:space="0" w:color="auto"/>
              <w:bottom w:val="single" w:sz="4" w:space="0" w:color="BFBFBF" w:themeColor="background1" w:themeShade="BF"/>
            </w:tcBorders>
            <w:vAlign w:val="center"/>
          </w:tcPr>
          <w:p w14:paraId="7EBCFA80" w14:textId="77777777" w:rsidR="001429E1" w:rsidRPr="00372AB4" w:rsidRDefault="001429E1" w:rsidP="001D7B5C">
            <w:pPr>
              <w:spacing w:after="0" w:line="240" w:lineRule="auto"/>
              <w:jc w:val="center"/>
              <w:rPr>
                <w:lang w:val="en-US"/>
              </w:rPr>
            </w:pPr>
            <w:r w:rsidRPr="00372AB4">
              <w:rPr>
                <w:lang w:val="en-US"/>
              </w:rPr>
              <w:t>18/381</w:t>
            </w:r>
          </w:p>
        </w:tc>
        <w:tc>
          <w:tcPr>
            <w:tcW w:w="1327" w:type="dxa"/>
            <w:tcBorders>
              <w:top w:val="single" w:sz="12" w:space="0" w:color="auto"/>
              <w:bottom w:val="single" w:sz="4" w:space="0" w:color="BFBFBF" w:themeColor="background1" w:themeShade="BF"/>
            </w:tcBorders>
            <w:vAlign w:val="center"/>
          </w:tcPr>
          <w:p w14:paraId="32E307E6" w14:textId="77777777" w:rsidR="001429E1" w:rsidRPr="00372AB4" w:rsidRDefault="001429E1" w:rsidP="001D7B5C">
            <w:pPr>
              <w:spacing w:after="0" w:line="240" w:lineRule="auto"/>
              <w:jc w:val="center"/>
              <w:rPr>
                <w:lang w:val="en-US"/>
              </w:rPr>
            </w:pPr>
            <w:r w:rsidRPr="00372AB4">
              <w:rPr>
                <w:lang w:val="en-US"/>
              </w:rPr>
              <w:t>3589/56</w:t>
            </w:r>
          </w:p>
        </w:tc>
        <w:tc>
          <w:tcPr>
            <w:tcW w:w="1134" w:type="dxa"/>
            <w:tcBorders>
              <w:top w:val="single" w:sz="12" w:space="0" w:color="auto"/>
              <w:bottom w:val="single" w:sz="4" w:space="0" w:color="BFBFBF" w:themeColor="background1" w:themeShade="BF"/>
            </w:tcBorders>
            <w:vAlign w:val="center"/>
          </w:tcPr>
          <w:p w14:paraId="4AB2BEB9" w14:textId="77777777" w:rsidR="001429E1" w:rsidRPr="00372AB4" w:rsidRDefault="001429E1" w:rsidP="001D7B5C">
            <w:pPr>
              <w:spacing w:after="0" w:line="240" w:lineRule="auto"/>
              <w:jc w:val="center"/>
              <w:rPr>
                <w:lang w:val="en-US"/>
              </w:rPr>
            </w:pPr>
            <w:r w:rsidRPr="00372AB4">
              <w:rPr>
                <w:lang w:val="en-US"/>
              </w:rPr>
              <w:t>2.5</w:t>
            </w:r>
          </w:p>
        </w:tc>
        <w:tc>
          <w:tcPr>
            <w:tcW w:w="1701" w:type="dxa"/>
            <w:tcBorders>
              <w:top w:val="single" w:sz="12" w:space="0" w:color="auto"/>
              <w:bottom w:val="single" w:sz="4" w:space="0" w:color="BFBFBF" w:themeColor="background1" w:themeShade="BF"/>
            </w:tcBorders>
            <w:vAlign w:val="center"/>
          </w:tcPr>
          <w:p w14:paraId="464B9394" w14:textId="77777777" w:rsidR="001429E1" w:rsidRPr="00372AB4" w:rsidRDefault="001429E1" w:rsidP="001D7B5C">
            <w:pPr>
              <w:spacing w:after="0" w:line="240" w:lineRule="auto"/>
              <w:jc w:val="center"/>
              <w:rPr>
                <w:lang w:val="en-US"/>
              </w:rPr>
            </w:pPr>
            <w:r w:rsidRPr="00372AB4">
              <w:rPr>
                <w:lang w:val="en-US"/>
              </w:rPr>
              <w:t>0.84</w:t>
            </w:r>
          </w:p>
        </w:tc>
        <w:tc>
          <w:tcPr>
            <w:tcW w:w="1160" w:type="dxa"/>
            <w:tcBorders>
              <w:top w:val="single" w:sz="12" w:space="0" w:color="auto"/>
              <w:bottom w:val="single" w:sz="4" w:space="0" w:color="BFBFBF" w:themeColor="background1" w:themeShade="BF"/>
            </w:tcBorders>
            <w:vAlign w:val="center"/>
          </w:tcPr>
          <w:p w14:paraId="5C695C78" w14:textId="77777777" w:rsidR="001429E1" w:rsidRPr="00372AB4" w:rsidRDefault="001429E1" w:rsidP="001D7B5C">
            <w:pPr>
              <w:spacing w:after="0" w:line="240" w:lineRule="auto"/>
              <w:jc w:val="center"/>
              <w:rPr>
                <w:lang w:val="en-US"/>
              </w:rPr>
            </w:pPr>
            <w:r w:rsidRPr="00372AB4">
              <w:rPr>
                <w:lang w:val="en-US"/>
              </w:rPr>
              <w:t>24.3</w:t>
            </w:r>
          </w:p>
        </w:tc>
        <w:tc>
          <w:tcPr>
            <w:tcW w:w="1675" w:type="dxa"/>
            <w:tcBorders>
              <w:top w:val="single" w:sz="12" w:space="0" w:color="auto"/>
              <w:bottom w:val="single" w:sz="4" w:space="0" w:color="BFBFBF" w:themeColor="background1" w:themeShade="BF"/>
            </w:tcBorders>
            <w:vAlign w:val="center"/>
          </w:tcPr>
          <w:p w14:paraId="510D6147" w14:textId="77777777" w:rsidR="001429E1" w:rsidRPr="00372AB4" w:rsidRDefault="001429E1" w:rsidP="001D7B5C">
            <w:pPr>
              <w:spacing w:after="0" w:line="240" w:lineRule="auto"/>
              <w:jc w:val="center"/>
              <w:rPr>
                <w:lang w:val="en-US"/>
              </w:rPr>
            </w:pPr>
            <w:r w:rsidRPr="00372AB4">
              <w:rPr>
                <w:lang w:val="en-US"/>
              </w:rPr>
              <w:t>90.4</w:t>
            </w:r>
          </w:p>
        </w:tc>
        <w:tc>
          <w:tcPr>
            <w:tcW w:w="992" w:type="dxa"/>
            <w:tcBorders>
              <w:top w:val="single" w:sz="12" w:space="0" w:color="auto"/>
              <w:bottom w:val="single" w:sz="4" w:space="0" w:color="BFBFBF" w:themeColor="background1" w:themeShade="BF"/>
            </w:tcBorders>
            <w:vAlign w:val="center"/>
          </w:tcPr>
          <w:p w14:paraId="0959BA09" w14:textId="77777777" w:rsidR="001429E1" w:rsidRPr="00372AB4" w:rsidRDefault="001429E1" w:rsidP="001D7B5C">
            <w:pPr>
              <w:spacing w:after="0" w:line="240" w:lineRule="auto"/>
              <w:jc w:val="center"/>
              <w:rPr>
                <w:lang w:val="en-US"/>
              </w:rPr>
            </w:pPr>
            <w:r w:rsidRPr="00372AB4">
              <w:rPr>
                <w:lang w:val="en-US"/>
              </w:rPr>
              <w:t>4.5</w:t>
            </w:r>
          </w:p>
        </w:tc>
        <w:tc>
          <w:tcPr>
            <w:tcW w:w="851" w:type="dxa"/>
            <w:tcBorders>
              <w:top w:val="single" w:sz="12" w:space="0" w:color="auto"/>
              <w:bottom w:val="single" w:sz="4" w:space="0" w:color="BFBFBF" w:themeColor="background1" w:themeShade="BF"/>
            </w:tcBorders>
            <w:vAlign w:val="center"/>
          </w:tcPr>
          <w:p w14:paraId="5242AB8F" w14:textId="77777777" w:rsidR="001429E1" w:rsidRPr="00372AB4" w:rsidRDefault="001429E1" w:rsidP="001D7B5C">
            <w:pPr>
              <w:spacing w:after="0" w:line="240" w:lineRule="auto"/>
              <w:jc w:val="center"/>
              <w:rPr>
                <w:lang w:val="en-US"/>
              </w:rPr>
            </w:pPr>
            <w:r w:rsidRPr="00372AB4">
              <w:rPr>
                <w:lang w:val="en-US"/>
              </w:rPr>
              <w:t>98.5</w:t>
            </w:r>
          </w:p>
        </w:tc>
        <w:tc>
          <w:tcPr>
            <w:tcW w:w="1234" w:type="dxa"/>
            <w:tcBorders>
              <w:top w:val="single" w:sz="12" w:space="0" w:color="auto"/>
              <w:bottom w:val="single" w:sz="4" w:space="0" w:color="BFBFBF" w:themeColor="background1" w:themeShade="BF"/>
            </w:tcBorders>
            <w:vAlign w:val="center"/>
          </w:tcPr>
          <w:p w14:paraId="62BC60F1" w14:textId="77777777" w:rsidR="001429E1" w:rsidRPr="00372AB4" w:rsidRDefault="001429E1" w:rsidP="001D7B5C">
            <w:pPr>
              <w:spacing w:after="0" w:line="240" w:lineRule="auto"/>
              <w:jc w:val="center"/>
              <w:rPr>
                <w:lang w:val="en-US"/>
              </w:rPr>
            </w:pPr>
            <w:r w:rsidRPr="00372AB4">
              <w:rPr>
                <w:lang w:val="en-US"/>
              </w:rPr>
              <w:t>0.619</w:t>
            </w:r>
          </w:p>
        </w:tc>
      </w:tr>
      <w:tr w:rsidR="001429E1" w:rsidRPr="00372AB4" w14:paraId="3FB142E8" w14:textId="77777777" w:rsidTr="001D7B5C">
        <w:trPr>
          <w:trHeight w:val="567"/>
        </w:trPr>
        <w:tc>
          <w:tcPr>
            <w:tcW w:w="1758" w:type="dxa"/>
            <w:tcBorders>
              <w:top w:val="single" w:sz="4" w:space="0" w:color="BFBFBF" w:themeColor="background1" w:themeShade="BF"/>
              <w:bottom w:val="single" w:sz="4" w:space="0" w:color="BFBFBF" w:themeColor="background1" w:themeShade="BF"/>
            </w:tcBorders>
            <w:vAlign w:val="center"/>
          </w:tcPr>
          <w:p w14:paraId="7CE62000" w14:textId="77777777" w:rsidR="001429E1" w:rsidRPr="00372AB4" w:rsidRDefault="001429E1" w:rsidP="001D7B5C">
            <w:pPr>
              <w:spacing w:after="0" w:line="240" w:lineRule="auto"/>
              <w:rPr>
                <w:lang w:val="en-US"/>
              </w:rPr>
            </w:pPr>
            <w:r w:rsidRPr="00372AB4">
              <w:rPr>
                <w:lang w:val="en-US"/>
              </w:rPr>
              <w:t>Severe SGA</w:t>
            </w:r>
          </w:p>
        </w:tc>
        <w:tc>
          <w:tcPr>
            <w:tcW w:w="1134" w:type="dxa"/>
            <w:tcBorders>
              <w:top w:val="single" w:sz="4" w:space="0" w:color="BFBFBF" w:themeColor="background1" w:themeShade="BF"/>
              <w:bottom w:val="single" w:sz="4" w:space="0" w:color="BFBFBF" w:themeColor="background1" w:themeShade="BF"/>
            </w:tcBorders>
            <w:vAlign w:val="center"/>
          </w:tcPr>
          <w:p w14:paraId="23669DCF" w14:textId="77777777" w:rsidR="001429E1" w:rsidRPr="00372AB4" w:rsidRDefault="001429E1" w:rsidP="001D7B5C">
            <w:pPr>
              <w:spacing w:after="0" w:line="240" w:lineRule="auto"/>
              <w:jc w:val="center"/>
              <w:rPr>
                <w:lang w:val="en-US"/>
              </w:rPr>
            </w:pPr>
            <w:r w:rsidRPr="00372AB4">
              <w:rPr>
                <w:lang w:val="en-US"/>
              </w:rPr>
              <w:t>16/383</w:t>
            </w:r>
          </w:p>
        </w:tc>
        <w:tc>
          <w:tcPr>
            <w:tcW w:w="1327" w:type="dxa"/>
            <w:tcBorders>
              <w:top w:val="single" w:sz="4" w:space="0" w:color="BFBFBF" w:themeColor="background1" w:themeShade="BF"/>
              <w:bottom w:val="single" w:sz="4" w:space="0" w:color="BFBFBF" w:themeColor="background1" w:themeShade="BF"/>
            </w:tcBorders>
            <w:vAlign w:val="center"/>
          </w:tcPr>
          <w:p w14:paraId="32C0C0C7" w14:textId="77777777" w:rsidR="001429E1" w:rsidRPr="00372AB4" w:rsidRDefault="001429E1" w:rsidP="001D7B5C">
            <w:pPr>
              <w:spacing w:after="0" w:line="240" w:lineRule="auto"/>
              <w:jc w:val="center"/>
              <w:rPr>
                <w:lang w:val="en-US"/>
              </w:rPr>
            </w:pPr>
            <w:r w:rsidRPr="00372AB4">
              <w:rPr>
                <w:lang w:val="en-US"/>
              </w:rPr>
              <w:t>3567/78</w:t>
            </w:r>
          </w:p>
        </w:tc>
        <w:tc>
          <w:tcPr>
            <w:tcW w:w="1134" w:type="dxa"/>
            <w:tcBorders>
              <w:top w:val="single" w:sz="4" w:space="0" w:color="BFBFBF" w:themeColor="background1" w:themeShade="BF"/>
              <w:bottom w:val="single" w:sz="4" w:space="0" w:color="BFBFBF" w:themeColor="background1" w:themeShade="BF"/>
            </w:tcBorders>
            <w:vAlign w:val="center"/>
          </w:tcPr>
          <w:p w14:paraId="27B05D13" w14:textId="77777777" w:rsidR="001429E1" w:rsidRPr="00372AB4" w:rsidRDefault="001429E1" w:rsidP="001D7B5C">
            <w:pPr>
              <w:spacing w:after="0" w:line="240" w:lineRule="auto"/>
              <w:jc w:val="center"/>
              <w:rPr>
                <w:lang w:val="en-US"/>
              </w:rPr>
            </w:pPr>
            <w:r w:rsidRPr="00372AB4">
              <w:rPr>
                <w:lang w:val="en-US"/>
              </w:rPr>
              <w:t>1.8</w:t>
            </w:r>
          </w:p>
        </w:tc>
        <w:tc>
          <w:tcPr>
            <w:tcW w:w="1701" w:type="dxa"/>
            <w:tcBorders>
              <w:top w:val="single" w:sz="4" w:space="0" w:color="BFBFBF" w:themeColor="background1" w:themeShade="BF"/>
              <w:bottom w:val="single" w:sz="4" w:space="0" w:color="BFBFBF" w:themeColor="background1" w:themeShade="BF"/>
            </w:tcBorders>
            <w:vAlign w:val="center"/>
          </w:tcPr>
          <w:p w14:paraId="33EF6005" w14:textId="77777777" w:rsidR="001429E1" w:rsidRPr="00372AB4" w:rsidRDefault="001429E1" w:rsidP="001D7B5C">
            <w:pPr>
              <w:spacing w:after="0" w:line="240" w:lineRule="auto"/>
              <w:jc w:val="center"/>
              <w:rPr>
                <w:lang w:val="en-US"/>
              </w:rPr>
            </w:pPr>
            <w:r w:rsidRPr="00372AB4">
              <w:rPr>
                <w:lang w:val="en-US"/>
              </w:rPr>
              <w:t>0.92</w:t>
            </w:r>
          </w:p>
        </w:tc>
        <w:tc>
          <w:tcPr>
            <w:tcW w:w="1160" w:type="dxa"/>
            <w:tcBorders>
              <w:top w:val="single" w:sz="4" w:space="0" w:color="BFBFBF" w:themeColor="background1" w:themeShade="BF"/>
              <w:bottom w:val="single" w:sz="4" w:space="0" w:color="BFBFBF" w:themeColor="background1" w:themeShade="BF"/>
            </w:tcBorders>
            <w:vAlign w:val="center"/>
          </w:tcPr>
          <w:p w14:paraId="0143698D" w14:textId="77777777" w:rsidR="001429E1" w:rsidRPr="00372AB4" w:rsidRDefault="001429E1" w:rsidP="001D7B5C">
            <w:pPr>
              <w:spacing w:after="0" w:line="240" w:lineRule="auto"/>
              <w:jc w:val="center"/>
              <w:rPr>
                <w:lang w:val="en-US"/>
              </w:rPr>
            </w:pPr>
            <w:r w:rsidRPr="00372AB4">
              <w:rPr>
                <w:lang w:val="en-US"/>
              </w:rPr>
              <w:t>17.0</w:t>
            </w:r>
          </w:p>
        </w:tc>
        <w:tc>
          <w:tcPr>
            <w:tcW w:w="1675" w:type="dxa"/>
            <w:tcBorders>
              <w:top w:val="single" w:sz="4" w:space="0" w:color="BFBFBF" w:themeColor="background1" w:themeShade="BF"/>
              <w:bottom w:val="single" w:sz="4" w:space="0" w:color="BFBFBF" w:themeColor="background1" w:themeShade="BF"/>
            </w:tcBorders>
            <w:vAlign w:val="center"/>
          </w:tcPr>
          <w:p w14:paraId="1234EF83" w14:textId="77777777" w:rsidR="001429E1" w:rsidRPr="00372AB4" w:rsidRDefault="001429E1" w:rsidP="001D7B5C">
            <w:pPr>
              <w:spacing w:after="0" w:line="240" w:lineRule="auto"/>
              <w:jc w:val="center"/>
              <w:rPr>
                <w:lang w:val="en-US"/>
              </w:rPr>
            </w:pPr>
            <w:r w:rsidRPr="00372AB4">
              <w:rPr>
                <w:lang w:val="en-US"/>
              </w:rPr>
              <w:t>90.3</w:t>
            </w:r>
          </w:p>
        </w:tc>
        <w:tc>
          <w:tcPr>
            <w:tcW w:w="992" w:type="dxa"/>
            <w:tcBorders>
              <w:top w:val="single" w:sz="4" w:space="0" w:color="BFBFBF" w:themeColor="background1" w:themeShade="BF"/>
              <w:bottom w:val="single" w:sz="4" w:space="0" w:color="BFBFBF" w:themeColor="background1" w:themeShade="BF"/>
            </w:tcBorders>
            <w:vAlign w:val="center"/>
          </w:tcPr>
          <w:p w14:paraId="13D52B4B" w14:textId="77777777" w:rsidR="001429E1" w:rsidRPr="00372AB4" w:rsidRDefault="001429E1" w:rsidP="001D7B5C">
            <w:pPr>
              <w:spacing w:after="0" w:line="240" w:lineRule="auto"/>
              <w:jc w:val="center"/>
              <w:rPr>
                <w:lang w:val="en-US"/>
              </w:rPr>
            </w:pPr>
            <w:r w:rsidRPr="00372AB4">
              <w:rPr>
                <w:lang w:val="en-US"/>
              </w:rPr>
              <w:t>4.0</w:t>
            </w:r>
          </w:p>
        </w:tc>
        <w:tc>
          <w:tcPr>
            <w:tcW w:w="851" w:type="dxa"/>
            <w:tcBorders>
              <w:top w:val="single" w:sz="4" w:space="0" w:color="BFBFBF" w:themeColor="background1" w:themeShade="BF"/>
              <w:bottom w:val="single" w:sz="4" w:space="0" w:color="BFBFBF" w:themeColor="background1" w:themeShade="BF"/>
            </w:tcBorders>
            <w:vAlign w:val="center"/>
          </w:tcPr>
          <w:p w14:paraId="73EA8BC9" w14:textId="77777777" w:rsidR="001429E1" w:rsidRPr="00372AB4" w:rsidRDefault="001429E1" w:rsidP="001D7B5C">
            <w:pPr>
              <w:spacing w:after="0" w:line="240" w:lineRule="auto"/>
              <w:jc w:val="center"/>
              <w:rPr>
                <w:lang w:val="en-US"/>
              </w:rPr>
            </w:pPr>
            <w:r w:rsidRPr="00372AB4">
              <w:rPr>
                <w:lang w:val="en-US"/>
              </w:rPr>
              <w:t>97.9</w:t>
            </w:r>
          </w:p>
        </w:tc>
        <w:tc>
          <w:tcPr>
            <w:tcW w:w="1234" w:type="dxa"/>
            <w:tcBorders>
              <w:top w:val="single" w:sz="4" w:space="0" w:color="BFBFBF" w:themeColor="background1" w:themeShade="BF"/>
              <w:bottom w:val="single" w:sz="4" w:space="0" w:color="BFBFBF" w:themeColor="background1" w:themeShade="BF"/>
            </w:tcBorders>
            <w:vAlign w:val="center"/>
          </w:tcPr>
          <w:p w14:paraId="080194AC" w14:textId="77777777" w:rsidR="001429E1" w:rsidRPr="00372AB4" w:rsidRDefault="001429E1" w:rsidP="001D7B5C">
            <w:pPr>
              <w:spacing w:after="0" w:line="240" w:lineRule="auto"/>
              <w:jc w:val="center"/>
              <w:rPr>
                <w:lang w:val="en-US"/>
              </w:rPr>
            </w:pPr>
            <w:r w:rsidRPr="00372AB4">
              <w:rPr>
                <w:lang w:val="en-US"/>
              </w:rPr>
              <w:t>0.599</w:t>
            </w:r>
          </w:p>
        </w:tc>
      </w:tr>
      <w:tr w:rsidR="001429E1" w:rsidRPr="00372AB4" w14:paraId="62F7B89A" w14:textId="77777777" w:rsidTr="001D7B5C">
        <w:trPr>
          <w:trHeight w:val="567"/>
        </w:trPr>
        <w:tc>
          <w:tcPr>
            <w:tcW w:w="1758" w:type="dxa"/>
            <w:tcBorders>
              <w:top w:val="single" w:sz="4" w:space="0" w:color="BFBFBF" w:themeColor="background1" w:themeShade="BF"/>
              <w:bottom w:val="single" w:sz="4" w:space="0" w:color="BFBFBF" w:themeColor="background1" w:themeShade="BF"/>
            </w:tcBorders>
            <w:vAlign w:val="center"/>
          </w:tcPr>
          <w:p w14:paraId="0E608F82" w14:textId="77777777" w:rsidR="001429E1" w:rsidRPr="00372AB4" w:rsidRDefault="001429E1" w:rsidP="001D7B5C">
            <w:pPr>
              <w:spacing w:after="0" w:line="240" w:lineRule="auto"/>
              <w:rPr>
                <w:lang w:val="en-US"/>
              </w:rPr>
            </w:pPr>
            <w:r w:rsidRPr="00372AB4">
              <w:rPr>
                <w:lang w:val="en-US"/>
              </w:rPr>
              <w:t>PE+PTB</w:t>
            </w:r>
          </w:p>
        </w:tc>
        <w:tc>
          <w:tcPr>
            <w:tcW w:w="1134" w:type="dxa"/>
            <w:tcBorders>
              <w:top w:val="single" w:sz="4" w:space="0" w:color="BFBFBF" w:themeColor="background1" w:themeShade="BF"/>
              <w:bottom w:val="single" w:sz="4" w:space="0" w:color="BFBFBF" w:themeColor="background1" w:themeShade="BF"/>
            </w:tcBorders>
            <w:vAlign w:val="center"/>
          </w:tcPr>
          <w:p w14:paraId="296E1DCF" w14:textId="77777777" w:rsidR="001429E1" w:rsidRPr="00372AB4" w:rsidRDefault="001429E1" w:rsidP="001D7B5C">
            <w:pPr>
              <w:spacing w:after="0" w:line="240" w:lineRule="auto"/>
              <w:jc w:val="center"/>
              <w:rPr>
                <w:lang w:val="en-US"/>
              </w:rPr>
            </w:pPr>
            <w:r w:rsidRPr="00372AB4">
              <w:rPr>
                <w:lang w:val="en-US"/>
              </w:rPr>
              <w:t>2/397</w:t>
            </w:r>
          </w:p>
        </w:tc>
        <w:tc>
          <w:tcPr>
            <w:tcW w:w="1327" w:type="dxa"/>
            <w:tcBorders>
              <w:top w:val="single" w:sz="4" w:space="0" w:color="BFBFBF" w:themeColor="background1" w:themeShade="BF"/>
              <w:bottom w:val="single" w:sz="4" w:space="0" w:color="BFBFBF" w:themeColor="background1" w:themeShade="BF"/>
            </w:tcBorders>
            <w:vAlign w:val="center"/>
          </w:tcPr>
          <w:p w14:paraId="007A4ECB" w14:textId="77777777" w:rsidR="001429E1" w:rsidRPr="00372AB4" w:rsidRDefault="001429E1" w:rsidP="001D7B5C">
            <w:pPr>
              <w:spacing w:after="0" w:line="240" w:lineRule="auto"/>
              <w:jc w:val="center"/>
              <w:rPr>
                <w:lang w:val="en-US"/>
              </w:rPr>
            </w:pPr>
            <w:r w:rsidRPr="00372AB4">
              <w:rPr>
                <w:lang w:val="en-US"/>
              </w:rPr>
              <w:t>3618/27</w:t>
            </w:r>
          </w:p>
        </w:tc>
        <w:tc>
          <w:tcPr>
            <w:tcW w:w="1134" w:type="dxa"/>
            <w:tcBorders>
              <w:top w:val="single" w:sz="4" w:space="0" w:color="BFBFBF" w:themeColor="background1" w:themeShade="BF"/>
              <w:bottom w:val="single" w:sz="4" w:space="0" w:color="BFBFBF" w:themeColor="background1" w:themeShade="BF"/>
            </w:tcBorders>
            <w:vAlign w:val="center"/>
          </w:tcPr>
          <w:p w14:paraId="6F2D64E3" w14:textId="77777777" w:rsidR="001429E1" w:rsidRPr="00372AB4" w:rsidRDefault="001429E1" w:rsidP="001D7B5C">
            <w:pPr>
              <w:spacing w:after="0" w:line="240" w:lineRule="auto"/>
              <w:jc w:val="center"/>
              <w:rPr>
                <w:lang w:val="en-US"/>
              </w:rPr>
            </w:pPr>
            <w:r w:rsidRPr="00372AB4">
              <w:rPr>
                <w:lang w:val="en-US"/>
              </w:rPr>
              <w:t>0.7</w:t>
            </w:r>
          </w:p>
        </w:tc>
        <w:tc>
          <w:tcPr>
            <w:tcW w:w="1701" w:type="dxa"/>
            <w:tcBorders>
              <w:top w:val="single" w:sz="4" w:space="0" w:color="BFBFBF" w:themeColor="background1" w:themeShade="BF"/>
              <w:bottom w:val="single" w:sz="4" w:space="0" w:color="BFBFBF" w:themeColor="background1" w:themeShade="BF"/>
            </w:tcBorders>
            <w:vAlign w:val="center"/>
          </w:tcPr>
          <w:p w14:paraId="3B843993" w14:textId="77777777" w:rsidR="001429E1" w:rsidRPr="00372AB4" w:rsidRDefault="001429E1" w:rsidP="001D7B5C">
            <w:pPr>
              <w:spacing w:after="0" w:line="240" w:lineRule="auto"/>
              <w:jc w:val="center"/>
              <w:rPr>
                <w:lang w:val="en-US"/>
              </w:rPr>
            </w:pPr>
            <w:r w:rsidRPr="00372AB4">
              <w:rPr>
                <w:lang w:val="en-US"/>
              </w:rPr>
              <w:t>1.03</w:t>
            </w:r>
          </w:p>
        </w:tc>
        <w:tc>
          <w:tcPr>
            <w:tcW w:w="1160" w:type="dxa"/>
            <w:tcBorders>
              <w:top w:val="single" w:sz="4" w:space="0" w:color="BFBFBF" w:themeColor="background1" w:themeShade="BF"/>
              <w:bottom w:val="single" w:sz="4" w:space="0" w:color="BFBFBF" w:themeColor="background1" w:themeShade="BF"/>
            </w:tcBorders>
            <w:vAlign w:val="center"/>
          </w:tcPr>
          <w:p w14:paraId="5AA18B00" w14:textId="77777777" w:rsidR="001429E1" w:rsidRPr="00372AB4" w:rsidRDefault="001429E1" w:rsidP="001D7B5C">
            <w:pPr>
              <w:spacing w:after="0" w:line="240" w:lineRule="auto"/>
              <w:jc w:val="center"/>
              <w:rPr>
                <w:lang w:val="en-US"/>
              </w:rPr>
            </w:pPr>
            <w:r w:rsidRPr="00372AB4">
              <w:rPr>
                <w:lang w:val="en-US"/>
              </w:rPr>
              <w:t>6.9</w:t>
            </w:r>
          </w:p>
        </w:tc>
        <w:tc>
          <w:tcPr>
            <w:tcW w:w="1675" w:type="dxa"/>
            <w:tcBorders>
              <w:top w:val="single" w:sz="4" w:space="0" w:color="BFBFBF" w:themeColor="background1" w:themeShade="BF"/>
              <w:bottom w:val="single" w:sz="4" w:space="0" w:color="BFBFBF" w:themeColor="background1" w:themeShade="BF"/>
            </w:tcBorders>
            <w:vAlign w:val="center"/>
          </w:tcPr>
          <w:p w14:paraId="025E6D99" w14:textId="77777777" w:rsidR="001429E1" w:rsidRPr="00372AB4" w:rsidRDefault="001429E1" w:rsidP="001D7B5C">
            <w:pPr>
              <w:spacing w:after="0" w:line="240" w:lineRule="auto"/>
              <w:jc w:val="center"/>
              <w:rPr>
                <w:lang w:val="en-US"/>
              </w:rPr>
            </w:pPr>
            <w:r w:rsidRPr="00372AB4">
              <w:rPr>
                <w:lang w:val="en-US"/>
              </w:rPr>
              <w:t>90.1</w:t>
            </w:r>
          </w:p>
        </w:tc>
        <w:tc>
          <w:tcPr>
            <w:tcW w:w="992" w:type="dxa"/>
            <w:tcBorders>
              <w:top w:val="single" w:sz="4" w:space="0" w:color="BFBFBF" w:themeColor="background1" w:themeShade="BF"/>
              <w:bottom w:val="single" w:sz="4" w:space="0" w:color="BFBFBF" w:themeColor="background1" w:themeShade="BF"/>
            </w:tcBorders>
            <w:vAlign w:val="center"/>
          </w:tcPr>
          <w:p w14:paraId="7B9F3DF3" w14:textId="77777777" w:rsidR="001429E1" w:rsidRPr="00372AB4" w:rsidRDefault="001429E1" w:rsidP="001D7B5C">
            <w:pPr>
              <w:spacing w:after="0" w:line="240" w:lineRule="auto"/>
              <w:jc w:val="center"/>
              <w:rPr>
                <w:lang w:val="en-US"/>
              </w:rPr>
            </w:pPr>
            <w:r w:rsidRPr="00372AB4">
              <w:rPr>
                <w:lang w:val="en-US"/>
              </w:rPr>
              <w:t>0.5</w:t>
            </w:r>
          </w:p>
        </w:tc>
        <w:tc>
          <w:tcPr>
            <w:tcW w:w="851" w:type="dxa"/>
            <w:tcBorders>
              <w:top w:val="single" w:sz="4" w:space="0" w:color="BFBFBF" w:themeColor="background1" w:themeShade="BF"/>
              <w:bottom w:val="single" w:sz="4" w:space="0" w:color="BFBFBF" w:themeColor="background1" w:themeShade="BF"/>
            </w:tcBorders>
            <w:vAlign w:val="center"/>
          </w:tcPr>
          <w:p w14:paraId="27189C66" w14:textId="77777777" w:rsidR="001429E1" w:rsidRPr="00372AB4" w:rsidRDefault="001429E1" w:rsidP="001D7B5C">
            <w:pPr>
              <w:spacing w:after="0" w:line="240" w:lineRule="auto"/>
              <w:jc w:val="center"/>
              <w:rPr>
                <w:lang w:val="en-US"/>
              </w:rPr>
            </w:pPr>
            <w:r w:rsidRPr="00372AB4">
              <w:rPr>
                <w:lang w:val="en-US"/>
              </w:rPr>
              <w:t>99.3</w:t>
            </w:r>
          </w:p>
        </w:tc>
        <w:tc>
          <w:tcPr>
            <w:tcW w:w="1234" w:type="dxa"/>
            <w:tcBorders>
              <w:top w:val="single" w:sz="4" w:space="0" w:color="BFBFBF" w:themeColor="background1" w:themeShade="BF"/>
              <w:bottom w:val="single" w:sz="4" w:space="0" w:color="BFBFBF" w:themeColor="background1" w:themeShade="BF"/>
            </w:tcBorders>
            <w:vAlign w:val="center"/>
          </w:tcPr>
          <w:p w14:paraId="7634CF0A" w14:textId="77777777" w:rsidR="001429E1" w:rsidRPr="00372AB4" w:rsidRDefault="001429E1" w:rsidP="001D7B5C">
            <w:pPr>
              <w:spacing w:after="0" w:line="240" w:lineRule="auto"/>
              <w:jc w:val="center"/>
              <w:rPr>
                <w:lang w:val="en-US"/>
              </w:rPr>
            </w:pPr>
            <w:r w:rsidRPr="00372AB4">
              <w:rPr>
                <w:lang w:val="en-US"/>
              </w:rPr>
              <w:t>0.511</w:t>
            </w:r>
          </w:p>
        </w:tc>
      </w:tr>
      <w:tr w:rsidR="001429E1" w:rsidRPr="00372AB4" w14:paraId="3FD0E3B6" w14:textId="77777777" w:rsidTr="001D7B5C">
        <w:trPr>
          <w:trHeight w:val="567"/>
        </w:trPr>
        <w:tc>
          <w:tcPr>
            <w:tcW w:w="1758" w:type="dxa"/>
            <w:tcBorders>
              <w:top w:val="single" w:sz="4" w:space="0" w:color="BFBFBF" w:themeColor="background1" w:themeShade="BF"/>
              <w:bottom w:val="single" w:sz="4" w:space="0" w:color="BFBFBF" w:themeColor="background1" w:themeShade="BF"/>
            </w:tcBorders>
            <w:vAlign w:val="center"/>
          </w:tcPr>
          <w:p w14:paraId="5471E374" w14:textId="77777777" w:rsidR="001429E1" w:rsidRPr="00372AB4" w:rsidRDefault="001429E1" w:rsidP="001D7B5C">
            <w:pPr>
              <w:spacing w:after="0" w:line="240" w:lineRule="auto"/>
              <w:rPr>
                <w:lang w:val="en-US"/>
              </w:rPr>
            </w:pPr>
            <w:r w:rsidRPr="00372AB4">
              <w:rPr>
                <w:lang w:val="en-US"/>
              </w:rPr>
              <w:t>Severe PE</w:t>
            </w:r>
          </w:p>
        </w:tc>
        <w:tc>
          <w:tcPr>
            <w:tcW w:w="1134" w:type="dxa"/>
            <w:tcBorders>
              <w:top w:val="single" w:sz="4" w:space="0" w:color="BFBFBF" w:themeColor="background1" w:themeShade="BF"/>
              <w:bottom w:val="single" w:sz="4" w:space="0" w:color="BFBFBF" w:themeColor="background1" w:themeShade="BF"/>
            </w:tcBorders>
            <w:vAlign w:val="center"/>
          </w:tcPr>
          <w:p w14:paraId="302FCE7B" w14:textId="77777777" w:rsidR="001429E1" w:rsidRPr="00372AB4" w:rsidRDefault="001429E1" w:rsidP="001D7B5C">
            <w:pPr>
              <w:spacing w:after="0" w:line="240" w:lineRule="auto"/>
              <w:jc w:val="center"/>
              <w:rPr>
                <w:lang w:val="en-US"/>
              </w:rPr>
            </w:pPr>
            <w:r w:rsidRPr="00372AB4">
              <w:rPr>
                <w:lang w:val="en-US"/>
              </w:rPr>
              <w:t>20/379</w:t>
            </w:r>
          </w:p>
        </w:tc>
        <w:tc>
          <w:tcPr>
            <w:tcW w:w="1327" w:type="dxa"/>
            <w:tcBorders>
              <w:top w:val="single" w:sz="4" w:space="0" w:color="BFBFBF" w:themeColor="background1" w:themeShade="BF"/>
              <w:bottom w:val="single" w:sz="4" w:space="0" w:color="BFBFBF" w:themeColor="background1" w:themeShade="BF"/>
            </w:tcBorders>
            <w:vAlign w:val="center"/>
          </w:tcPr>
          <w:p w14:paraId="35110965" w14:textId="77777777" w:rsidR="001429E1" w:rsidRPr="00372AB4" w:rsidRDefault="001429E1" w:rsidP="001D7B5C">
            <w:pPr>
              <w:spacing w:after="0" w:line="240" w:lineRule="auto"/>
              <w:jc w:val="center"/>
              <w:rPr>
                <w:lang w:val="en-US"/>
              </w:rPr>
            </w:pPr>
            <w:r w:rsidRPr="00372AB4">
              <w:rPr>
                <w:lang w:val="en-US"/>
              </w:rPr>
              <w:t>3536/109</w:t>
            </w:r>
          </w:p>
        </w:tc>
        <w:tc>
          <w:tcPr>
            <w:tcW w:w="1134" w:type="dxa"/>
            <w:tcBorders>
              <w:top w:val="single" w:sz="4" w:space="0" w:color="BFBFBF" w:themeColor="background1" w:themeShade="BF"/>
              <w:bottom w:val="single" w:sz="4" w:space="0" w:color="BFBFBF" w:themeColor="background1" w:themeShade="BF"/>
            </w:tcBorders>
            <w:vAlign w:val="center"/>
          </w:tcPr>
          <w:p w14:paraId="69A230D2" w14:textId="77777777" w:rsidR="001429E1" w:rsidRPr="00372AB4" w:rsidRDefault="001429E1" w:rsidP="001D7B5C">
            <w:pPr>
              <w:spacing w:after="0" w:line="240" w:lineRule="auto"/>
              <w:jc w:val="center"/>
              <w:rPr>
                <w:lang w:val="en-US"/>
              </w:rPr>
            </w:pPr>
            <w:r w:rsidRPr="00372AB4">
              <w:rPr>
                <w:lang w:val="en-US"/>
              </w:rPr>
              <w:t>1.6</w:t>
            </w:r>
          </w:p>
        </w:tc>
        <w:tc>
          <w:tcPr>
            <w:tcW w:w="1701" w:type="dxa"/>
            <w:tcBorders>
              <w:top w:val="single" w:sz="4" w:space="0" w:color="BFBFBF" w:themeColor="background1" w:themeShade="BF"/>
              <w:bottom w:val="single" w:sz="4" w:space="0" w:color="BFBFBF" w:themeColor="background1" w:themeShade="BF"/>
            </w:tcBorders>
            <w:vAlign w:val="center"/>
          </w:tcPr>
          <w:p w14:paraId="0E37CCEC" w14:textId="77777777" w:rsidR="001429E1" w:rsidRPr="00372AB4" w:rsidRDefault="001429E1" w:rsidP="001D7B5C">
            <w:pPr>
              <w:spacing w:after="0" w:line="240" w:lineRule="auto"/>
              <w:jc w:val="center"/>
              <w:rPr>
                <w:lang w:val="en-US"/>
              </w:rPr>
            </w:pPr>
            <w:r w:rsidRPr="00372AB4">
              <w:rPr>
                <w:lang w:val="en-US"/>
              </w:rPr>
              <w:t>0.94</w:t>
            </w:r>
          </w:p>
        </w:tc>
        <w:tc>
          <w:tcPr>
            <w:tcW w:w="1160" w:type="dxa"/>
            <w:tcBorders>
              <w:top w:val="single" w:sz="4" w:space="0" w:color="BFBFBF" w:themeColor="background1" w:themeShade="BF"/>
              <w:bottom w:val="single" w:sz="4" w:space="0" w:color="BFBFBF" w:themeColor="background1" w:themeShade="BF"/>
            </w:tcBorders>
            <w:vAlign w:val="center"/>
          </w:tcPr>
          <w:p w14:paraId="0DBD2B0A" w14:textId="77777777" w:rsidR="001429E1" w:rsidRPr="00372AB4" w:rsidRDefault="001429E1" w:rsidP="001D7B5C">
            <w:pPr>
              <w:spacing w:after="0" w:line="240" w:lineRule="auto"/>
              <w:jc w:val="center"/>
              <w:rPr>
                <w:lang w:val="en-US"/>
              </w:rPr>
            </w:pPr>
            <w:r w:rsidRPr="00372AB4">
              <w:rPr>
                <w:lang w:val="en-US"/>
              </w:rPr>
              <w:t>15.5</w:t>
            </w:r>
          </w:p>
        </w:tc>
        <w:tc>
          <w:tcPr>
            <w:tcW w:w="1675" w:type="dxa"/>
            <w:tcBorders>
              <w:top w:val="single" w:sz="4" w:space="0" w:color="BFBFBF" w:themeColor="background1" w:themeShade="BF"/>
              <w:bottom w:val="single" w:sz="4" w:space="0" w:color="BFBFBF" w:themeColor="background1" w:themeShade="BF"/>
            </w:tcBorders>
            <w:vAlign w:val="center"/>
          </w:tcPr>
          <w:p w14:paraId="2D28E60A" w14:textId="77777777" w:rsidR="001429E1" w:rsidRPr="00372AB4" w:rsidRDefault="001429E1" w:rsidP="001D7B5C">
            <w:pPr>
              <w:spacing w:after="0" w:line="240" w:lineRule="auto"/>
              <w:jc w:val="center"/>
              <w:rPr>
                <w:lang w:val="en-US"/>
              </w:rPr>
            </w:pPr>
            <w:r w:rsidRPr="00372AB4">
              <w:rPr>
                <w:lang w:val="en-US"/>
              </w:rPr>
              <w:t>90.3</w:t>
            </w:r>
          </w:p>
        </w:tc>
        <w:tc>
          <w:tcPr>
            <w:tcW w:w="992" w:type="dxa"/>
            <w:tcBorders>
              <w:top w:val="single" w:sz="4" w:space="0" w:color="BFBFBF" w:themeColor="background1" w:themeShade="BF"/>
              <w:bottom w:val="single" w:sz="4" w:space="0" w:color="BFBFBF" w:themeColor="background1" w:themeShade="BF"/>
            </w:tcBorders>
            <w:vAlign w:val="center"/>
          </w:tcPr>
          <w:p w14:paraId="150DEB72" w14:textId="77777777" w:rsidR="001429E1" w:rsidRPr="00372AB4" w:rsidRDefault="001429E1" w:rsidP="001D7B5C">
            <w:pPr>
              <w:spacing w:after="0" w:line="240" w:lineRule="auto"/>
              <w:jc w:val="center"/>
              <w:rPr>
                <w:lang w:val="en-US"/>
              </w:rPr>
            </w:pPr>
            <w:r w:rsidRPr="00372AB4">
              <w:rPr>
                <w:lang w:val="en-US"/>
              </w:rPr>
              <w:t>5.0</w:t>
            </w:r>
          </w:p>
        </w:tc>
        <w:tc>
          <w:tcPr>
            <w:tcW w:w="851" w:type="dxa"/>
            <w:tcBorders>
              <w:top w:val="single" w:sz="4" w:space="0" w:color="BFBFBF" w:themeColor="background1" w:themeShade="BF"/>
              <w:bottom w:val="single" w:sz="4" w:space="0" w:color="BFBFBF" w:themeColor="background1" w:themeShade="BF"/>
            </w:tcBorders>
            <w:vAlign w:val="center"/>
          </w:tcPr>
          <w:p w14:paraId="520E37C6" w14:textId="77777777" w:rsidR="001429E1" w:rsidRPr="00372AB4" w:rsidRDefault="001429E1" w:rsidP="001D7B5C">
            <w:pPr>
              <w:spacing w:after="0" w:line="240" w:lineRule="auto"/>
              <w:jc w:val="center"/>
              <w:rPr>
                <w:lang w:val="en-US"/>
              </w:rPr>
            </w:pPr>
            <w:r w:rsidRPr="00372AB4">
              <w:rPr>
                <w:lang w:val="en-US"/>
              </w:rPr>
              <w:t>97.0</w:t>
            </w:r>
          </w:p>
        </w:tc>
        <w:tc>
          <w:tcPr>
            <w:tcW w:w="1234" w:type="dxa"/>
            <w:tcBorders>
              <w:top w:val="single" w:sz="4" w:space="0" w:color="BFBFBF" w:themeColor="background1" w:themeShade="BF"/>
              <w:bottom w:val="single" w:sz="4" w:space="0" w:color="BFBFBF" w:themeColor="background1" w:themeShade="BF"/>
            </w:tcBorders>
            <w:vAlign w:val="center"/>
          </w:tcPr>
          <w:p w14:paraId="067E8C16" w14:textId="77777777" w:rsidR="001429E1" w:rsidRPr="00372AB4" w:rsidRDefault="001429E1" w:rsidP="001D7B5C">
            <w:pPr>
              <w:spacing w:after="0" w:line="240" w:lineRule="auto"/>
              <w:jc w:val="center"/>
              <w:rPr>
                <w:lang w:val="en-US"/>
              </w:rPr>
            </w:pPr>
            <w:r w:rsidRPr="00372AB4">
              <w:rPr>
                <w:lang w:val="en-US"/>
              </w:rPr>
              <w:t>0.564</w:t>
            </w:r>
          </w:p>
        </w:tc>
      </w:tr>
      <w:tr w:rsidR="001429E1" w:rsidRPr="00372AB4" w14:paraId="7BE16498" w14:textId="77777777" w:rsidTr="001D7B5C">
        <w:trPr>
          <w:trHeight w:val="567"/>
        </w:trPr>
        <w:tc>
          <w:tcPr>
            <w:tcW w:w="1758" w:type="dxa"/>
            <w:tcBorders>
              <w:top w:val="single" w:sz="4" w:space="0" w:color="BFBFBF" w:themeColor="background1" w:themeShade="BF"/>
              <w:bottom w:val="single" w:sz="4" w:space="0" w:color="BFBFBF" w:themeColor="background1" w:themeShade="BF"/>
            </w:tcBorders>
            <w:vAlign w:val="center"/>
          </w:tcPr>
          <w:p w14:paraId="4BBC8E0A" w14:textId="77777777" w:rsidR="001429E1" w:rsidRPr="00372AB4" w:rsidRDefault="001429E1" w:rsidP="001D7B5C">
            <w:pPr>
              <w:spacing w:after="0" w:line="240" w:lineRule="auto"/>
              <w:rPr>
                <w:lang w:val="en-US"/>
              </w:rPr>
            </w:pPr>
            <w:r w:rsidRPr="00372AB4">
              <w:rPr>
                <w:lang w:val="en-US"/>
              </w:rPr>
              <w:t>PE+SGA</w:t>
            </w:r>
          </w:p>
        </w:tc>
        <w:tc>
          <w:tcPr>
            <w:tcW w:w="1134" w:type="dxa"/>
            <w:tcBorders>
              <w:top w:val="single" w:sz="4" w:space="0" w:color="BFBFBF" w:themeColor="background1" w:themeShade="BF"/>
              <w:bottom w:val="single" w:sz="4" w:space="0" w:color="BFBFBF" w:themeColor="background1" w:themeShade="BF"/>
            </w:tcBorders>
            <w:vAlign w:val="center"/>
          </w:tcPr>
          <w:p w14:paraId="1BA1F611" w14:textId="77777777" w:rsidR="001429E1" w:rsidRPr="00372AB4" w:rsidRDefault="001429E1" w:rsidP="001D7B5C">
            <w:pPr>
              <w:spacing w:after="0" w:line="240" w:lineRule="auto"/>
              <w:jc w:val="center"/>
              <w:rPr>
                <w:lang w:val="en-US"/>
              </w:rPr>
            </w:pPr>
            <w:r w:rsidRPr="00372AB4">
              <w:rPr>
                <w:lang w:val="en-US"/>
              </w:rPr>
              <w:t>9/390</w:t>
            </w:r>
          </w:p>
        </w:tc>
        <w:tc>
          <w:tcPr>
            <w:tcW w:w="1327" w:type="dxa"/>
            <w:tcBorders>
              <w:top w:val="single" w:sz="4" w:space="0" w:color="BFBFBF" w:themeColor="background1" w:themeShade="BF"/>
              <w:bottom w:val="single" w:sz="4" w:space="0" w:color="BFBFBF" w:themeColor="background1" w:themeShade="BF"/>
            </w:tcBorders>
            <w:vAlign w:val="center"/>
          </w:tcPr>
          <w:p w14:paraId="2F69BB40" w14:textId="77777777" w:rsidR="001429E1" w:rsidRPr="00372AB4" w:rsidRDefault="001429E1" w:rsidP="001D7B5C">
            <w:pPr>
              <w:spacing w:after="0" w:line="240" w:lineRule="auto"/>
              <w:jc w:val="center"/>
              <w:rPr>
                <w:lang w:val="en-US"/>
              </w:rPr>
            </w:pPr>
            <w:r w:rsidRPr="00372AB4">
              <w:rPr>
                <w:lang w:val="en-US"/>
              </w:rPr>
              <w:t>3622/23</w:t>
            </w:r>
          </w:p>
        </w:tc>
        <w:tc>
          <w:tcPr>
            <w:tcW w:w="1134" w:type="dxa"/>
            <w:tcBorders>
              <w:top w:val="single" w:sz="4" w:space="0" w:color="BFBFBF" w:themeColor="background1" w:themeShade="BF"/>
              <w:bottom w:val="single" w:sz="4" w:space="0" w:color="BFBFBF" w:themeColor="background1" w:themeShade="BF"/>
            </w:tcBorders>
            <w:vAlign w:val="center"/>
          </w:tcPr>
          <w:p w14:paraId="06414E43" w14:textId="77777777" w:rsidR="001429E1" w:rsidRPr="00372AB4" w:rsidRDefault="001429E1" w:rsidP="001D7B5C">
            <w:pPr>
              <w:spacing w:after="0" w:line="240" w:lineRule="auto"/>
              <w:jc w:val="center"/>
              <w:rPr>
                <w:lang w:val="en-US"/>
              </w:rPr>
            </w:pPr>
            <w:r w:rsidRPr="00372AB4">
              <w:rPr>
                <w:lang w:val="en-US"/>
              </w:rPr>
              <w:t>2.9</w:t>
            </w:r>
          </w:p>
        </w:tc>
        <w:tc>
          <w:tcPr>
            <w:tcW w:w="1701" w:type="dxa"/>
            <w:tcBorders>
              <w:top w:val="single" w:sz="4" w:space="0" w:color="BFBFBF" w:themeColor="background1" w:themeShade="BF"/>
              <w:bottom w:val="single" w:sz="4" w:space="0" w:color="BFBFBF" w:themeColor="background1" w:themeShade="BF"/>
            </w:tcBorders>
            <w:vAlign w:val="center"/>
          </w:tcPr>
          <w:p w14:paraId="126402CF" w14:textId="77777777" w:rsidR="001429E1" w:rsidRPr="00372AB4" w:rsidRDefault="001429E1" w:rsidP="001D7B5C">
            <w:pPr>
              <w:spacing w:after="0" w:line="240" w:lineRule="auto"/>
              <w:jc w:val="center"/>
              <w:rPr>
                <w:lang w:val="en-US"/>
              </w:rPr>
            </w:pPr>
            <w:r w:rsidRPr="00372AB4">
              <w:rPr>
                <w:lang w:val="en-US"/>
              </w:rPr>
              <w:t>0.80</w:t>
            </w:r>
          </w:p>
        </w:tc>
        <w:tc>
          <w:tcPr>
            <w:tcW w:w="1160" w:type="dxa"/>
            <w:tcBorders>
              <w:top w:val="single" w:sz="4" w:space="0" w:color="BFBFBF" w:themeColor="background1" w:themeShade="BF"/>
              <w:bottom w:val="single" w:sz="4" w:space="0" w:color="BFBFBF" w:themeColor="background1" w:themeShade="BF"/>
            </w:tcBorders>
            <w:vAlign w:val="center"/>
          </w:tcPr>
          <w:p w14:paraId="21CC87F5" w14:textId="77777777" w:rsidR="001429E1" w:rsidRPr="00372AB4" w:rsidRDefault="001429E1" w:rsidP="001D7B5C">
            <w:pPr>
              <w:spacing w:after="0" w:line="240" w:lineRule="auto"/>
              <w:jc w:val="center"/>
              <w:rPr>
                <w:lang w:val="en-US"/>
              </w:rPr>
            </w:pPr>
            <w:r w:rsidRPr="00372AB4">
              <w:rPr>
                <w:lang w:val="en-US"/>
              </w:rPr>
              <w:t>28.1</w:t>
            </w:r>
          </w:p>
        </w:tc>
        <w:tc>
          <w:tcPr>
            <w:tcW w:w="1675" w:type="dxa"/>
            <w:tcBorders>
              <w:top w:val="single" w:sz="4" w:space="0" w:color="BFBFBF" w:themeColor="background1" w:themeShade="BF"/>
              <w:bottom w:val="single" w:sz="4" w:space="0" w:color="BFBFBF" w:themeColor="background1" w:themeShade="BF"/>
            </w:tcBorders>
            <w:vAlign w:val="center"/>
          </w:tcPr>
          <w:p w14:paraId="3E8883CB" w14:textId="77777777" w:rsidR="001429E1" w:rsidRPr="00372AB4" w:rsidRDefault="001429E1" w:rsidP="001D7B5C">
            <w:pPr>
              <w:spacing w:after="0" w:line="240" w:lineRule="auto"/>
              <w:jc w:val="center"/>
              <w:rPr>
                <w:lang w:val="en-US"/>
              </w:rPr>
            </w:pPr>
            <w:r w:rsidRPr="00372AB4">
              <w:rPr>
                <w:lang w:val="en-US"/>
              </w:rPr>
              <w:t>90.3</w:t>
            </w:r>
          </w:p>
        </w:tc>
        <w:tc>
          <w:tcPr>
            <w:tcW w:w="992" w:type="dxa"/>
            <w:tcBorders>
              <w:top w:val="single" w:sz="4" w:space="0" w:color="BFBFBF" w:themeColor="background1" w:themeShade="BF"/>
              <w:bottom w:val="single" w:sz="4" w:space="0" w:color="BFBFBF" w:themeColor="background1" w:themeShade="BF"/>
            </w:tcBorders>
            <w:vAlign w:val="center"/>
          </w:tcPr>
          <w:p w14:paraId="1634C8A8" w14:textId="77777777" w:rsidR="001429E1" w:rsidRPr="00372AB4" w:rsidRDefault="001429E1" w:rsidP="001D7B5C">
            <w:pPr>
              <w:spacing w:after="0" w:line="240" w:lineRule="auto"/>
              <w:jc w:val="center"/>
              <w:rPr>
                <w:lang w:val="en-US"/>
              </w:rPr>
            </w:pPr>
            <w:r w:rsidRPr="00372AB4">
              <w:rPr>
                <w:lang w:val="en-US"/>
              </w:rPr>
              <w:t>2.3</w:t>
            </w:r>
          </w:p>
        </w:tc>
        <w:tc>
          <w:tcPr>
            <w:tcW w:w="851" w:type="dxa"/>
            <w:tcBorders>
              <w:top w:val="single" w:sz="4" w:space="0" w:color="BFBFBF" w:themeColor="background1" w:themeShade="BF"/>
              <w:bottom w:val="single" w:sz="4" w:space="0" w:color="BFBFBF" w:themeColor="background1" w:themeShade="BF"/>
            </w:tcBorders>
            <w:vAlign w:val="center"/>
          </w:tcPr>
          <w:p w14:paraId="02029A92" w14:textId="77777777" w:rsidR="001429E1" w:rsidRPr="00372AB4" w:rsidRDefault="001429E1" w:rsidP="001D7B5C">
            <w:pPr>
              <w:spacing w:after="0" w:line="240" w:lineRule="auto"/>
              <w:jc w:val="center"/>
              <w:rPr>
                <w:lang w:val="en-US"/>
              </w:rPr>
            </w:pPr>
            <w:r w:rsidRPr="00372AB4">
              <w:rPr>
                <w:lang w:val="en-US"/>
              </w:rPr>
              <w:t>99.4</w:t>
            </w:r>
          </w:p>
        </w:tc>
        <w:tc>
          <w:tcPr>
            <w:tcW w:w="1234" w:type="dxa"/>
            <w:tcBorders>
              <w:top w:val="single" w:sz="4" w:space="0" w:color="BFBFBF" w:themeColor="background1" w:themeShade="BF"/>
              <w:bottom w:val="single" w:sz="4" w:space="0" w:color="BFBFBF" w:themeColor="background1" w:themeShade="BF"/>
            </w:tcBorders>
            <w:vAlign w:val="center"/>
          </w:tcPr>
          <w:p w14:paraId="38F075BB" w14:textId="77777777" w:rsidR="001429E1" w:rsidRPr="00372AB4" w:rsidRDefault="001429E1" w:rsidP="001D7B5C">
            <w:pPr>
              <w:spacing w:after="0" w:line="240" w:lineRule="auto"/>
              <w:jc w:val="center"/>
              <w:rPr>
                <w:lang w:val="en-US"/>
              </w:rPr>
            </w:pPr>
            <w:r w:rsidRPr="00372AB4">
              <w:rPr>
                <w:lang w:val="en-US"/>
              </w:rPr>
              <w:t>0.633</w:t>
            </w:r>
          </w:p>
        </w:tc>
      </w:tr>
      <w:tr w:rsidR="001429E1" w:rsidRPr="00372AB4" w14:paraId="42378946" w14:textId="77777777" w:rsidTr="001D7B5C">
        <w:trPr>
          <w:trHeight w:val="567"/>
        </w:trPr>
        <w:tc>
          <w:tcPr>
            <w:tcW w:w="1758" w:type="dxa"/>
            <w:tcBorders>
              <w:top w:val="single" w:sz="4" w:space="0" w:color="BFBFBF" w:themeColor="background1" w:themeShade="BF"/>
              <w:bottom w:val="single" w:sz="4" w:space="0" w:color="BFBFBF" w:themeColor="background1" w:themeShade="BF"/>
            </w:tcBorders>
            <w:vAlign w:val="center"/>
          </w:tcPr>
          <w:p w14:paraId="10DD0E03" w14:textId="77777777" w:rsidR="001429E1" w:rsidRPr="00372AB4" w:rsidRDefault="001429E1" w:rsidP="001D7B5C">
            <w:pPr>
              <w:spacing w:after="0" w:line="240" w:lineRule="auto"/>
              <w:rPr>
                <w:lang w:val="en-US"/>
              </w:rPr>
            </w:pPr>
            <w:r w:rsidRPr="00372AB4">
              <w:rPr>
                <w:lang w:val="en-US"/>
              </w:rPr>
              <w:t>sPTB</w:t>
            </w:r>
          </w:p>
        </w:tc>
        <w:tc>
          <w:tcPr>
            <w:tcW w:w="1134" w:type="dxa"/>
            <w:tcBorders>
              <w:top w:val="single" w:sz="4" w:space="0" w:color="BFBFBF" w:themeColor="background1" w:themeShade="BF"/>
              <w:bottom w:val="single" w:sz="4" w:space="0" w:color="BFBFBF" w:themeColor="background1" w:themeShade="BF"/>
            </w:tcBorders>
            <w:vAlign w:val="center"/>
          </w:tcPr>
          <w:p w14:paraId="0B6F470F" w14:textId="77777777" w:rsidR="001429E1" w:rsidRPr="00372AB4" w:rsidRDefault="001429E1" w:rsidP="001D7B5C">
            <w:pPr>
              <w:spacing w:after="0" w:line="240" w:lineRule="auto"/>
              <w:jc w:val="center"/>
              <w:rPr>
                <w:lang w:val="en-US"/>
              </w:rPr>
            </w:pPr>
            <w:r w:rsidRPr="00372AB4">
              <w:rPr>
                <w:lang w:val="en-US"/>
              </w:rPr>
              <w:t>24/362</w:t>
            </w:r>
          </w:p>
        </w:tc>
        <w:tc>
          <w:tcPr>
            <w:tcW w:w="1327" w:type="dxa"/>
            <w:tcBorders>
              <w:top w:val="single" w:sz="4" w:space="0" w:color="BFBFBF" w:themeColor="background1" w:themeShade="BF"/>
              <w:bottom w:val="single" w:sz="4" w:space="0" w:color="BFBFBF" w:themeColor="background1" w:themeShade="BF"/>
            </w:tcBorders>
            <w:vAlign w:val="center"/>
          </w:tcPr>
          <w:p w14:paraId="4705C63E" w14:textId="77777777" w:rsidR="001429E1" w:rsidRPr="00372AB4" w:rsidRDefault="001429E1" w:rsidP="001D7B5C">
            <w:pPr>
              <w:spacing w:after="0" w:line="240" w:lineRule="auto"/>
              <w:jc w:val="center"/>
              <w:rPr>
                <w:lang w:val="en-US"/>
              </w:rPr>
            </w:pPr>
            <w:r w:rsidRPr="00372AB4">
              <w:rPr>
                <w:lang w:val="en-US"/>
              </w:rPr>
              <w:t>3490/87</w:t>
            </w:r>
          </w:p>
        </w:tc>
        <w:tc>
          <w:tcPr>
            <w:tcW w:w="1134" w:type="dxa"/>
            <w:tcBorders>
              <w:top w:val="single" w:sz="4" w:space="0" w:color="BFBFBF" w:themeColor="background1" w:themeShade="BF"/>
              <w:bottom w:val="single" w:sz="4" w:space="0" w:color="BFBFBF" w:themeColor="background1" w:themeShade="BF"/>
            </w:tcBorders>
            <w:vAlign w:val="center"/>
          </w:tcPr>
          <w:p w14:paraId="4393106A" w14:textId="77777777" w:rsidR="001429E1" w:rsidRPr="00372AB4" w:rsidRDefault="001429E1" w:rsidP="001D7B5C">
            <w:pPr>
              <w:spacing w:after="0" w:line="240" w:lineRule="auto"/>
              <w:jc w:val="center"/>
              <w:rPr>
                <w:lang w:val="en-US"/>
              </w:rPr>
            </w:pPr>
            <w:r w:rsidRPr="00372AB4">
              <w:rPr>
                <w:lang w:val="en-US"/>
              </w:rPr>
              <w:t>2.3</w:t>
            </w:r>
          </w:p>
        </w:tc>
        <w:tc>
          <w:tcPr>
            <w:tcW w:w="1701" w:type="dxa"/>
            <w:tcBorders>
              <w:top w:val="single" w:sz="4" w:space="0" w:color="BFBFBF" w:themeColor="background1" w:themeShade="BF"/>
              <w:bottom w:val="single" w:sz="4" w:space="0" w:color="BFBFBF" w:themeColor="background1" w:themeShade="BF"/>
            </w:tcBorders>
            <w:vAlign w:val="center"/>
          </w:tcPr>
          <w:p w14:paraId="7BE98ED1" w14:textId="77777777" w:rsidR="001429E1" w:rsidRPr="00372AB4" w:rsidRDefault="001429E1" w:rsidP="001D7B5C">
            <w:pPr>
              <w:spacing w:after="0" w:line="240" w:lineRule="auto"/>
              <w:jc w:val="center"/>
              <w:rPr>
                <w:lang w:val="en-US"/>
              </w:rPr>
            </w:pPr>
            <w:r w:rsidRPr="00372AB4">
              <w:rPr>
                <w:lang w:val="en-US"/>
              </w:rPr>
              <w:t>0.87</w:t>
            </w:r>
          </w:p>
        </w:tc>
        <w:tc>
          <w:tcPr>
            <w:tcW w:w="1160" w:type="dxa"/>
            <w:tcBorders>
              <w:top w:val="single" w:sz="4" w:space="0" w:color="BFBFBF" w:themeColor="background1" w:themeShade="BF"/>
              <w:bottom w:val="single" w:sz="4" w:space="0" w:color="BFBFBF" w:themeColor="background1" w:themeShade="BF"/>
            </w:tcBorders>
            <w:vAlign w:val="center"/>
          </w:tcPr>
          <w:p w14:paraId="4A18DFBC" w14:textId="77777777" w:rsidR="001429E1" w:rsidRPr="00372AB4" w:rsidRDefault="001429E1" w:rsidP="001D7B5C">
            <w:pPr>
              <w:spacing w:after="0" w:line="240" w:lineRule="auto"/>
              <w:jc w:val="center"/>
              <w:rPr>
                <w:lang w:val="en-US"/>
              </w:rPr>
            </w:pPr>
            <w:r w:rsidRPr="00372AB4">
              <w:rPr>
                <w:lang w:val="en-US"/>
              </w:rPr>
              <w:t>21.6</w:t>
            </w:r>
          </w:p>
        </w:tc>
        <w:tc>
          <w:tcPr>
            <w:tcW w:w="1675" w:type="dxa"/>
            <w:tcBorders>
              <w:top w:val="single" w:sz="4" w:space="0" w:color="BFBFBF" w:themeColor="background1" w:themeShade="BF"/>
              <w:bottom w:val="single" w:sz="4" w:space="0" w:color="BFBFBF" w:themeColor="background1" w:themeShade="BF"/>
            </w:tcBorders>
            <w:vAlign w:val="center"/>
          </w:tcPr>
          <w:p w14:paraId="374C1A38" w14:textId="77777777" w:rsidR="001429E1" w:rsidRPr="00372AB4" w:rsidRDefault="001429E1" w:rsidP="001D7B5C">
            <w:pPr>
              <w:spacing w:after="0" w:line="240" w:lineRule="auto"/>
              <w:jc w:val="center"/>
              <w:rPr>
                <w:lang w:val="en-US"/>
              </w:rPr>
            </w:pPr>
            <w:r w:rsidRPr="00372AB4">
              <w:rPr>
                <w:lang w:val="en-US"/>
              </w:rPr>
              <w:t>90.6</w:t>
            </w:r>
          </w:p>
        </w:tc>
        <w:tc>
          <w:tcPr>
            <w:tcW w:w="992" w:type="dxa"/>
            <w:tcBorders>
              <w:top w:val="single" w:sz="4" w:space="0" w:color="BFBFBF" w:themeColor="background1" w:themeShade="BF"/>
              <w:bottom w:val="single" w:sz="4" w:space="0" w:color="BFBFBF" w:themeColor="background1" w:themeShade="BF"/>
            </w:tcBorders>
            <w:vAlign w:val="center"/>
          </w:tcPr>
          <w:p w14:paraId="7D96B7E6" w14:textId="77777777" w:rsidR="001429E1" w:rsidRPr="00372AB4" w:rsidRDefault="001429E1" w:rsidP="001D7B5C">
            <w:pPr>
              <w:spacing w:after="0" w:line="240" w:lineRule="auto"/>
              <w:jc w:val="center"/>
              <w:rPr>
                <w:lang w:val="en-US"/>
              </w:rPr>
            </w:pPr>
            <w:r w:rsidRPr="00372AB4">
              <w:rPr>
                <w:lang w:val="en-US"/>
              </w:rPr>
              <w:t>6.2</w:t>
            </w:r>
          </w:p>
        </w:tc>
        <w:tc>
          <w:tcPr>
            <w:tcW w:w="851" w:type="dxa"/>
            <w:tcBorders>
              <w:top w:val="single" w:sz="4" w:space="0" w:color="BFBFBF" w:themeColor="background1" w:themeShade="BF"/>
              <w:bottom w:val="single" w:sz="4" w:space="0" w:color="BFBFBF" w:themeColor="background1" w:themeShade="BF"/>
            </w:tcBorders>
            <w:vAlign w:val="center"/>
          </w:tcPr>
          <w:p w14:paraId="1A19DF6E" w14:textId="77777777" w:rsidR="001429E1" w:rsidRPr="00372AB4" w:rsidRDefault="001429E1" w:rsidP="001D7B5C">
            <w:pPr>
              <w:spacing w:after="0" w:line="240" w:lineRule="auto"/>
              <w:jc w:val="center"/>
              <w:rPr>
                <w:lang w:val="en-US"/>
              </w:rPr>
            </w:pPr>
            <w:r w:rsidRPr="00372AB4">
              <w:rPr>
                <w:lang w:val="en-US"/>
              </w:rPr>
              <w:t>97.6</w:t>
            </w:r>
          </w:p>
        </w:tc>
        <w:tc>
          <w:tcPr>
            <w:tcW w:w="1234" w:type="dxa"/>
            <w:tcBorders>
              <w:top w:val="single" w:sz="4" w:space="0" w:color="BFBFBF" w:themeColor="background1" w:themeShade="BF"/>
              <w:bottom w:val="single" w:sz="4" w:space="0" w:color="BFBFBF" w:themeColor="background1" w:themeShade="BF"/>
            </w:tcBorders>
            <w:vAlign w:val="center"/>
          </w:tcPr>
          <w:p w14:paraId="6D9D2F96" w14:textId="77777777" w:rsidR="001429E1" w:rsidRPr="00372AB4" w:rsidRDefault="001429E1" w:rsidP="001D7B5C">
            <w:pPr>
              <w:spacing w:after="0" w:line="240" w:lineRule="auto"/>
              <w:jc w:val="center"/>
              <w:rPr>
                <w:lang w:val="en-US"/>
              </w:rPr>
            </w:pPr>
            <w:r w:rsidRPr="00372AB4">
              <w:rPr>
                <w:lang w:val="en-US"/>
              </w:rPr>
              <w:t>0.605</w:t>
            </w:r>
          </w:p>
        </w:tc>
      </w:tr>
      <w:tr w:rsidR="001429E1" w:rsidRPr="00372AB4" w14:paraId="42DEE65C" w14:textId="77777777" w:rsidTr="001D7B5C">
        <w:trPr>
          <w:trHeight w:val="567"/>
        </w:trPr>
        <w:tc>
          <w:tcPr>
            <w:tcW w:w="1758" w:type="dxa"/>
            <w:tcBorders>
              <w:top w:val="single" w:sz="4" w:space="0" w:color="BFBFBF" w:themeColor="background1" w:themeShade="BF"/>
              <w:bottom w:val="single" w:sz="4" w:space="0" w:color="BFBFBF" w:themeColor="background1" w:themeShade="BF"/>
            </w:tcBorders>
            <w:vAlign w:val="center"/>
          </w:tcPr>
          <w:p w14:paraId="679A1EF7" w14:textId="77777777" w:rsidR="001429E1" w:rsidRPr="00372AB4" w:rsidRDefault="001429E1" w:rsidP="001D7B5C">
            <w:pPr>
              <w:spacing w:after="0" w:line="240" w:lineRule="auto"/>
              <w:rPr>
                <w:lang w:val="en-US"/>
              </w:rPr>
            </w:pPr>
            <w:r w:rsidRPr="00372AB4">
              <w:rPr>
                <w:lang w:val="en-US"/>
              </w:rPr>
              <w:t>iPTB</w:t>
            </w:r>
          </w:p>
        </w:tc>
        <w:tc>
          <w:tcPr>
            <w:tcW w:w="1134" w:type="dxa"/>
            <w:tcBorders>
              <w:top w:val="single" w:sz="4" w:space="0" w:color="BFBFBF" w:themeColor="background1" w:themeShade="BF"/>
              <w:bottom w:val="single" w:sz="4" w:space="0" w:color="BFBFBF" w:themeColor="background1" w:themeShade="BF"/>
            </w:tcBorders>
            <w:vAlign w:val="center"/>
          </w:tcPr>
          <w:p w14:paraId="1EA2D016" w14:textId="77777777" w:rsidR="001429E1" w:rsidRPr="00372AB4" w:rsidRDefault="001429E1" w:rsidP="001D7B5C">
            <w:pPr>
              <w:spacing w:after="0" w:line="240" w:lineRule="auto"/>
              <w:jc w:val="center"/>
              <w:rPr>
                <w:lang w:val="en-US"/>
              </w:rPr>
            </w:pPr>
            <w:r w:rsidRPr="00372AB4">
              <w:rPr>
                <w:lang w:val="en-US"/>
              </w:rPr>
              <w:t>13/362</w:t>
            </w:r>
          </w:p>
        </w:tc>
        <w:tc>
          <w:tcPr>
            <w:tcW w:w="1327" w:type="dxa"/>
            <w:tcBorders>
              <w:top w:val="single" w:sz="4" w:space="0" w:color="BFBFBF" w:themeColor="background1" w:themeShade="BF"/>
              <w:bottom w:val="single" w:sz="4" w:space="0" w:color="BFBFBF" w:themeColor="background1" w:themeShade="BF"/>
            </w:tcBorders>
            <w:vAlign w:val="center"/>
          </w:tcPr>
          <w:p w14:paraId="6715941D" w14:textId="77777777" w:rsidR="001429E1" w:rsidRPr="00372AB4" w:rsidRDefault="001429E1" w:rsidP="001D7B5C">
            <w:pPr>
              <w:spacing w:after="0" w:line="240" w:lineRule="auto"/>
              <w:jc w:val="center"/>
              <w:rPr>
                <w:lang w:val="en-US"/>
              </w:rPr>
            </w:pPr>
            <w:r w:rsidRPr="00372AB4">
              <w:rPr>
                <w:lang w:val="en-US"/>
              </w:rPr>
              <w:t>3490/58</w:t>
            </w:r>
          </w:p>
        </w:tc>
        <w:tc>
          <w:tcPr>
            <w:tcW w:w="1134" w:type="dxa"/>
            <w:tcBorders>
              <w:top w:val="single" w:sz="4" w:space="0" w:color="BFBFBF" w:themeColor="background1" w:themeShade="BF"/>
              <w:bottom w:val="single" w:sz="4" w:space="0" w:color="BFBFBF" w:themeColor="background1" w:themeShade="BF"/>
            </w:tcBorders>
            <w:vAlign w:val="center"/>
          </w:tcPr>
          <w:p w14:paraId="41DFF83F" w14:textId="77777777" w:rsidR="001429E1" w:rsidRPr="00372AB4" w:rsidRDefault="001429E1" w:rsidP="001D7B5C">
            <w:pPr>
              <w:spacing w:after="0" w:line="240" w:lineRule="auto"/>
              <w:jc w:val="center"/>
              <w:rPr>
                <w:lang w:val="en-US"/>
              </w:rPr>
            </w:pPr>
            <w:r w:rsidRPr="00372AB4">
              <w:rPr>
                <w:lang w:val="en-US"/>
              </w:rPr>
              <w:t>1.9</w:t>
            </w:r>
          </w:p>
        </w:tc>
        <w:tc>
          <w:tcPr>
            <w:tcW w:w="1701" w:type="dxa"/>
            <w:tcBorders>
              <w:top w:val="single" w:sz="4" w:space="0" w:color="BFBFBF" w:themeColor="background1" w:themeShade="BF"/>
              <w:bottom w:val="single" w:sz="4" w:space="0" w:color="BFBFBF" w:themeColor="background1" w:themeShade="BF"/>
            </w:tcBorders>
            <w:vAlign w:val="center"/>
          </w:tcPr>
          <w:p w14:paraId="48436F50" w14:textId="77777777" w:rsidR="001429E1" w:rsidRPr="00372AB4" w:rsidRDefault="001429E1" w:rsidP="001D7B5C">
            <w:pPr>
              <w:spacing w:after="0" w:line="240" w:lineRule="auto"/>
              <w:jc w:val="center"/>
              <w:rPr>
                <w:lang w:val="en-US"/>
              </w:rPr>
            </w:pPr>
            <w:r w:rsidRPr="00372AB4">
              <w:rPr>
                <w:lang w:val="en-US"/>
              </w:rPr>
              <w:t>0.90</w:t>
            </w:r>
          </w:p>
        </w:tc>
        <w:tc>
          <w:tcPr>
            <w:tcW w:w="1160" w:type="dxa"/>
            <w:tcBorders>
              <w:top w:val="single" w:sz="4" w:space="0" w:color="BFBFBF" w:themeColor="background1" w:themeShade="BF"/>
              <w:bottom w:val="single" w:sz="4" w:space="0" w:color="BFBFBF" w:themeColor="background1" w:themeShade="BF"/>
            </w:tcBorders>
            <w:vAlign w:val="center"/>
          </w:tcPr>
          <w:p w14:paraId="5E123584" w14:textId="77777777" w:rsidR="001429E1" w:rsidRPr="00372AB4" w:rsidRDefault="001429E1" w:rsidP="001D7B5C">
            <w:pPr>
              <w:spacing w:after="0" w:line="240" w:lineRule="auto"/>
              <w:jc w:val="center"/>
              <w:rPr>
                <w:lang w:val="en-US"/>
              </w:rPr>
            </w:pPr>
            <w:r w:rsidRPr="00372AB4">
              <w:rPr>
                <w:lang w:val="en-US"/>
              </w:rPr>
              <w:t>18.3</w:t>
            </w:r>
          </w:p>
        </w:tc>
        <w:tc>
          <w:tcPr>
            <w:tcW w:w="1675" w:type="dxa"/>
            <w:tcBorders>
              <w:top w:val="single" w:sz="4" w:space="0" w:color="BFBFBF" w:themeColor="background1" w:themeShade="BF"/>
              <w:bottom w:val="single" w:sz="4" w:space="0" w:color="BFBFBF" w:themeColor="background1" w:themeShade="BF"/>
            </w:tcBorders>
            <w:vAlign w:val="center"/>
          </w:tcPr>
          <w:p w14:paraId="7B9BE08A" w14:textId="77777777" w:rsidR="001429E1" w:rsidRPr="00372AB4" w:rsidRDefault="001429E1" w:rsidP="001D7B5C">
            <w:pPr>
              <w:spacing w:after="0" w:line="240" w:lineRule="auto"/>
              <w:jc w:val="center"/>
              <w:rPr>
                <w:lang w:val="en-US"/>
              </w:rPr>
            </w:pPr>
            <w:r w:rsidRPr="00372AB4">
              <w:rPr>
                <w:lang w:val="en-US"/>
              </w:rPr>
              <w:t>90.6</w:t>
            </w:r>
          </w:p>
        </w:tc>
        <w:tc>
          <w:tcPr>
            <w:tcW w:w="992" w:type="dxa"/>
            <w:tcBorders>
              <w:top w:val="single" w:sz="4" w:space="0" w:color="BFBFBF" w:themeColor="background1" w:themeShade="BF"/>
              <w:bottom w:val="single" w:sz="4" w:space="0" w:color="BFBFBF" w:themeColor="background1" w:themeShade="BF"/>
            </w:tcBorders>
            <w:vAlign w:val="center"/>
          </w:tcPr>
          <w:p w14:paraId="26021B4D" w14:textId="77777777" w:rsidR="001429E1" w:rsidRPr="00372AB4" w:rsidRDefault="001429E1" w:rsidP="001D7B5C">
            <w:pPr>
              <w:spacing w:after="0" w:line="240" w:lineRule="auto"/>
              <w:jc w:val="center"/>
              <w:rPr>
                <w:lang w:val="en-US"/>
              </w:rPr>
            </w:pPr>
            <w:r w:rsidRPr="00372AB4">
              <w:rPr>
                <w:lang w:val="en-US"/>
              </w:rPr>
              <w:t>3.5</w:t>
            </w:r>
          </w:p>
        </w:tc>
        <w:tc>
          <w:tcPr>
            <w:tcW w:w="851" w:type="dxa"/>
            <w:tcBorders>
              <w:top w:val="single" w:sz="4" w:space="0" w:color="BFBFBF" w:themeColor="background1" w:themeShade="BF"/>
              <w:bottom w:val="single" w:sz="4" w:space="0" w:color="BFBFBF" w:themeColor="background1" w:themeShade="BF"/>
            </w:tcBorders>
            <w:vAlign w:val="center"/>
          </w:tcPr>
          <w:p w14:paraId="39DE148B" w14:textId="77777777" w:rsidR="001429E1" w:rsidRPr="00372AB4" w:rsidRDefault="001429E1" w:rsidP="001D7B5C">
            <w:pPr>
              <w:spacing w:after="0" w:line="240" w:lineRule="auto"/>
              <w:jc w:val="center"/>
              <w:rPr>
                <w:lang w:val="en-US"/>
              </w:rPr>
            </w:pPr>
            <w:r w:rsidRPr="00372AB4">
              <w:rPr>
                <w:lang w:val="en-US"/>
              </w:rPr>
              <w:t>98.4</w:t>
            </w:r>
          </w:p>
        </w:tc>
        <w:tc>
          <w:tcPr>
            <w:tcW w:w="1234" w:type="dxa"/>
            <w:tcBorders>
              <w:top w:val="single" w:sz="4" w:space="0" w:color="BFBFBF" w:themeColor="background1" w:themeShade="BF"/>
              <w:bottom w:val="single" w:sz="4" w:space="0" w:color="BFBFBF" w:themeColor="background1" w:themeShade="BF"/>
            </w:tcBorders>
            <w:vAlign w:val="center"/>
          </w:tcPr>
          <w:p w14:paraId="17C6DB7C" w14:textId="77777777" w:rsidR="001429E1" w:rsidRPr="00372AB4" w:rsidRDefault="001429E1" w:rsidP="001D7B5C">
            <w:pPr>
              <w:spacing w:after="0" w:line="240" w:lineRule="auto"/>
              <w:jc w:val="center"/>
              <w:rPr>
                <w:lang w:val="en-US"/>
              </w:rPr>
            </w:pPr>
            <w:r w:rsidRPr="00372AB4">
              <w:rPr>
                <w:lang w:val="en-US"/>
              </w:rPr>
              <w:t>0.599</w:t>
            </w:r>
          </w:p>
        </w:tc>
      </w:tr>
      <w:tr w:rsidR="001429E1" w:rsidRPr="00372AB4" w14:paraId="711DD655" w14:textId="77777777" w:rsidTr="001D7B5C">
        <w:trPr>
          <w:trHeight w:val="567"/>
        </w:trPr>
        <w:tc>
          <w:tcPr>
            <w:tcW w:w="1758" w:type="dxa"/>
            <w:tcBorders>
              <w:top w:val="single" w:sz="4" w:space="0" w:color="BFBFBF" w:themeColor="background1" w:themeShade="BF"/>
              <w:bottom w:val="single" w:sz="4" w:space="0" w:color="BFBFBF" w:themeColor="background1" w:themeShade="BF"/>
            </w:tcBorders>
            <w:vAlign w:val="center"/>
          </w:tcPr>
          <w:p w14:paraId="7C3827BE" w14:textId="77777777" w:rsidR="001429E1" w:rsidRPr="00372AB4" w:rsidRDefault="001429E1" w:rsidP="001D7B5C">
            <w:pPr>
              <w:spacing w:after="0" w:line="240" w:lineRule="auto"/>
              <w:rPr>
                <w:lang w:val="en-US"/>
              </w:rPr>
            </w:pPr>
            <w:r w:rsidRPr="00372AB4">
              <w:rPr>
                <w:lang w:val="en-US"/>
              </w:rPr>
              <w:t>Pre-viable loss</w:t>
            </w:r>
          </w:p>
        </w:tc>
        <w:tc>
          <w:tcPr>
            <w:tcW w:w="1134" w:type="dxa"/>
            <w:tcBorders>
              <w:top w:val="single" w:sz="4" w:space="0" w:color="BFBFBF" w:themeColor="background1" w:themeShade="BF"/>
              <w:bottom w:val="single" w:sz="4" w:space="0" w:color="BFBFBF" w:themeColor="background1" w:themeShade="BF"/>
            </w:tcBorders>
            <w:vAlign w:val="center"/>
          </w:tcPr>
          <w:p w14:paraId="11599970" w14:textId="77777777" w:rsidR="001429E1" w:rsidRPr="00372AB4" w:rsidRDefault="001429E1" w:rsidP="001D7B5C">
            <w:pPr>
              <w:spacing w:after="0" w:line="240" w:lineRule="auto"/>
              <w:jc w:val="center"/>
              <w:rPr>
                <w:lang w:val="en-US"/>
              </w:rPr>
            </w:pPr>
            <w:r w:rsidRPr="00372AB4">
              <w:rPr>
                <w:lang w:val="en-US"/>
              </w:rPr>
              <w:t>6/399</w:t>
            </w:r>
          </w:p>
        </w:tc>
        <w:tc>
          <w:tcPr>
            <w:tcW w:w="1327" w:type="dxa"/>
            <w:tcBorders>
              <w:top w:val="single" w:sz="4" w:space="0" w:color="BFBFBF" w:themeColor="background1" w:themeShade="BF"/>
              <w:bottom w:val="single" w:sz="4" w:space="0" w:color="BFBFBF" w:themeColor="background1" w:themeShade="BF"/>
            </w:tcBorders>
            <w:vAlign w:val="center"/>
          </w:tcPr>
          <w:p w14:paraId="35602971" w14:textId="77777777" w:rsidR="001429E1" w:rsidRPr="00372AB4" w:rsidRDefault="001429E1" w:rsidP="001D7B5C">
            <w:pPr>
              <w:spacing w:after="0" w:line="240" w:lineRule="auto"/>
              <w:jc w:val="center"/>
              <w:rPr>
                <w:lang w:val="en-US"/>
              </w:rPr>
            </w:pPr>
            <w:r w:rsidRPr="00372AB4">
              <w:rPr>
                <w:lang w:val="en-US"/>
              </w:rPr>
              <w:t>3645/7</w:t>
            </w:r>
          </w:p>
        </w:tc>
        <w:tc>
          <w:tcPr>
            <w:tcW w:w="1134" w:type="dxa"/>
            <w:tcBorders>
              <w:top w:val="single" w:sz="4" w:space="0" w:color="BFBFBF" w:themeColor="background1" w:themeShade="BF"/>
              <w:bottom w:val="single" w:sz="4" w:space="0" w:color="BFBFBF" w:themeColor="background1" w:themeShade="BF"/>
            </w:tcBorders>
            <w:vAlign w:val="center"/>
          </w:tcPr>
          <w:p w14:paraId="4522A007" w14:textId="77777777" w:rsidR="001429E1" w:rsidRPr="00372AB4" w:rsidRDefault="001429E1" w:rsidP="001D7B5C">
            <w:pPr>
              <w:spacing w:after="0" w:line="240" w:lineRule="auto"/>
              <w:jc w:val="center"/>
              <w:rPr>
                <w:lang w:val="en-US"/>
              </w:rPr>
            </w:pPr>
            <w:r w:rsidRPr="00372AB4">
              <w:rPr>
                <w:lang w:val="en-US"/>
              </w:rPr>
              <w:t>4.7</w:t>
            </w:r>
          </w:p>
        </w:tc>
        <w:tc>
          <w:tcPr>
            <w:tcW w:w="1701" w:type="dxa"/>
            <w:tcBorders>
              <w:top w:val="single" w:sz="4" w:space="0" w:color="BFBFBF" w:themeColor="background1" w:themeShade="BF"/>
              <w:bottom w:val="single" w:sz="4" w:space="0" w:color="BFBFBF" w:themeColor="background1" w:themeShade="BF"/>
            </w:tcBorders>
            <w:vAlign w:val="center"/>
          </w:tcPr>
          <w:p w14:paraId="5C620D6D" w14:textId="77777777" w:rsidR="001429E1" w:rsidRPr="00372AB4" w:rsidRDefault="001429E1" w:rsidP="001D7B5C">
            <w:pPr>
              <w:spacing w:after="0" w:line="240" w:lineRule="auto"/>
              <w:jc w:val="center"/>
              <w:rPr>
                <w:lang w:val="en-US"/>
              </w:rPr>
            </w:pPr>
            <w:r w:rsidRPr="00372AB4">
              <w:rPr>
                <w:lang w:val="en-US"/>
              </w:rPr>
              <w:t>0.60</w:t>
            </w:r>
          </w:p>
        </w:tc>
        <w:tc>
          <w:tcPr>
            <w:tcW w:w="1160" w:type="dxa"/>
            <w:tcBorders>
              <w:top w:val="single" w:sz="4" w:space="0" w:color="BFBFBF" w:themeColor="background1" w:themeShade="BF"/>
              <w:bottom w:val="single" w:sz="4" w:space="0" w:color="BFBFBF" w:themeColor="background1" w:themeShade="BF"/>
            </w:tcBorders>
            <w:vAlign w:val="center"/>
          </w:tcPr>
          <w:p w14:paraId="38A9E31E" w14:textId="77777777" w:rsidR="001429E1" w:rsidRPr="00372AB4" w:rsidRDefault="001429E1" w:rsidP="001D7B5C">
            <w:pPr>
              <w:spacing w:after="0" w:line="240" w:lineRule="auto"/>
              <w:jc w:val="center"/>
              <w:rPr>
                <w:lang w:val="en-US"/>
              </w:rPr>
            </w:pPr>
            <w:r w:rsidRPr="00372AB4">
              <w:rPr>
                <w:lang w:val="en-US"/>
              </w:rPr>
              <w:t>46.2</w:t>
            </w:r>
          </w:p>
        </w:tc>
        <w:tc>
          <w:tcPr>
            <w:tcW w:w="1675" w:type="dxa"/>
            <w:tcBorders>
              <w:top w:val="single" w:sz="4" w:space="0" w:color="BFBFBF" w:themeColor="background1" w:themeShade="BF"/>
              <w:bottom w:val="single" w:sz="4" w:space="0" w:color="BFBFBF" w:themeColor="background1" w:themeShade="BF"/>
            </w:tcBorders>
            <w:vAlign w:val="center"/>
          </w:tcPr>
          <w:p w14:paraId="687ACB8A" w14:textId="77777777" w:rsidR="001429E1" w:rsidRPr="00372AB4" w:rsidRDefault="001429E1" w:rsidP="001D7B5C">
            <w:pPr>
              <w:spacing w:after="0" w:line="240" w:lineRule="auto"/>
              <w:jc w:val="center"/>
              <w:rPr>
                <w:lang w:val="en-US"/>
              </w:rPr>
            </w:pPr>
            <w:r w:rsidRPr="00372AB4">
              <w:rPr>
                <w:lang w:val="en-US"/>
              </w:rPr>
              <w:t>90.1</w:t>
            </w:r>
          </w:p>
        </w:tc>
        <w:tc>
          <w:tcPr>
            <w:tcW w:w="992" w:type="dxa"/>
            <w:tcBorders>
              <w:top w:val="single" w:sz="4" w:space="0" w:color="BFBFBF" w:themeColor="background1" w:themeShade="BF"/>
              <w:bottom w:val="single" w:sz="4" w:space="0" w:color="BFBFBF" w:themeColor="background1" w:themeShade="BF"/>
            </w:tcBorders>
            <w:vAlign w:val="center"/>
          </w:tcPr>
          <w:p w14:paraId="49DF5E93" w14:textId="77777777" w:rsidR="001429E1" w:rsidRPr="00372AB4" w:rsidRDefault="001429E1" w:rsidP="001D7B5C">
            <w:pPr>
              <w:spacing w:after="0" w:line="240" w:lineRule="auto"/>
              <w:jc w:val="center"/>
              <w:rPr>
                <w:lang w:val="en-US"/>
              </w:rPr>
            </w:pPr>
            <w:r w:rsidRPr="00372AB4">
              <w:rPr>
                <w:lang w:val="en-US"/>
              </w:rPr>
              <w:t>1.5</w:t>
            </w:r>
          </w:p>
        </w:tc>
        <w:tc>
          <w:tcPr>
            <w:tcW w:w="851" w:type="dxa"/>
            <w:tcBorders>
              <w:top w:val="single" w:sz="4" w:space="0" w:color="BFBFBF" w:themeColor="background1" w:themeShade="BF"/>
              <w:bottom w:val="single" w:sz="4" w:space="0" w:color="BFBFBF" w:themeColor="background1" w:themeShade="BF"/>
            </w:tcBorders>
            <w:vAlign w:val="center"/>
          </w:tcPr>
          <w:p w14:paraId="193C0765" w14:textId="77777777" w:rsidR="001429E1" w:rsidRPr="00372AB4" w:rsidRDefault="001429E1" w:rsidP="001D7B5C">
            <w:pPr>
              <w:spacing w:after="0" w:line="240" w:lineRule="auto"/>
              <w:jc w:val="center"/>
              <w:rPr>
                <w:lang w:val="en-US"/>
              </w:rPr>
            </w:pPr>
            <w:r w:rsidRPr="00372AB4">
              <w:rPr>
                <w:lang w:val="en-US"/>
              </w:rPr>
              <w:t>99.8</w:t>
            </w:r>
          </w:p>
        </w:tc>
        <w:tc>
          <w:tcPr>
            <w:tcW w:w="1234" w:type="dxa"/>
            <w:tcBorders>
              <w:top w:val="single" w:sz="4" w:space="0" w:color="BFBFBF" w:themeColor="background1" w:themeShade="BF"/>
              <w:bottom w:val="single" w:sz="4" w:space="0" w:color="BFBFBF" w:themeColor="background1" w:themeShade="BF"/>
            </w:tcBorders>
            <w:vAlign w:val="center"/>
          </w:tcPr>
          <w:p w14:paraId="2EF466F0" w14:textId="77777777" w:rsidR="001429E1" w:rsidRPr="00372AB4" w:rsidRDefault="001429E1" w:rsidP="001D7B5C">
            <w:pPr>
              <w:spacing w:after="0" w:line="240" w:lineRule="auto"/>
              <w:jc w:val="center"/>
              <w:rPr>
                <w:lang w:val="en-US"/>
              </w:rPr>
            </w:pPr>
            <w:r w:rsidRPr="00372AB4">
              <w:rPr>
                <w:lang w:val="en-US"/>
              </w:rPr>
              <w:t>0.660</w:t>
            </w:r>
          </w:p>
        </w:tc>
      </w:tr>
      <w:tr w:rsidR="001429E1" w:rsidRPr="00372AB4" w14:paraId="4298E483" w14:textId="77777777" w:rsidTr="001D7B5C">
        <w:trPr>
          <w:trHeight w:val="567"/>
        </w:trPr>
        <w:tc>
          <w:tcPr>
            <w:tcW w:w="1758" w:type="dxa"/>
            <w:tcBorders>
              <w:top w:val="single" w:sz="4" w:space="0" w:color="BFBFBF" w:themeColor="background1" w:themeShade="BF"/>
              <w:bottom w:val="single" w:sz="12" w:space="0" w:color="auto"/>
            </w:tcBorders>
            <w:vAlign w:val="center"/>
          </w:tcPr>
          <w:p w14:paraId="20B47038" w14:textId="77777777" w:rsidR="001429E1" w:rsidRPr="00372AB4" w:rsidRDefault="001429E1" w:rsidP="001D7B5C">
            <w:pPr>
              <w:spacing w:after="0" w:line="240" w:lineRule="auto"/>
              <w:rPr>
                <w:lang w:val="en-US"/>
              </w:rPr>
            </w:pPr>
            <w:r w:rsidRPr="00372AB4">
              <w:rPr>
                <w:lang w:val="en-US"/>
              </w:rPr>
              <w:t>Stillbirth</w:t>
            </w:r>
          </w:p>
        </w:tc>
        <w:tc>
          <w:tcPr>
            <w:tcW w:w="1134" w:type="dxa"/>
            <w:tcBorders>
              <w:top w:val="single" w:sz="4" w:space="0" w:color="BFBFBF" w:themeColor="background1" w:themeShade="BF"/>
              <w:bottom w:val="single" w:sz="12" w:space="0" w:color="auto"/>
            </w:tcBorders>
            <w:vAlign w:val="center"/>
          </w:tcPr>
          <w:p w14:paraId="4541D934" w14:textId="77777777" w:rsidR="001429E1" w:rsidRPr="00372AB4" w:rsidRDefault="001429E1" w:rsidP="001D7B5C">
            <w:pPr>
              <w:spacing w:after="0" w:line="240" w:lineRule="auto"/>
              <w:jc w:val="center"/>
              <w:rPr>
                <w:lang w:val="en-US"/>
              </w:rPr>
            </w:pPr>
            <w:r w:rsidRPr="00372AB4">
              <w:rPr>
                <w:lang w:val="en-US"/>
              </w:rPr>
              <w:t>2/397</w:t>
            </w:r>
          </w:p>
        </w:tc>
        <w:tc>
          <w:tcPr>
            <w:tcW w:w="1327" w:type="dxa"/>
            <w:tcBorders>
              <w:top w:val="single" w:sz="4" w:space="0" w:color="BFBFBF" w:themeColor="background1" w:themeShade="BF"/>
              <w:bottom w:val="single" w:sz="12" w:space="0" w:color="auto"/>
            </w:tcBorders>
            <w:vAlign w:val="center"/>
          </w:tcPr>
          <w:p w14:paraId="0A3676F6" w14:textId="77777777" w:rsidR="001429E1" w:rsidRPr="00372AB4" w:rsidRDefault="001429E1" w:rsidP="001D7B5C">
            <w:pPr>
              <w:spacing w:after="0" w:line="240" w:lineRule="auto"/>
              <w:jc w:val="center"/>
              <w:rPr>
                <w:lang w:val="en-US"/>
              </w:rPr>
            </w:pPr>
            <w:r w:rsidRPr="00372AB4">
              <w:rPr>
                <w:lang w:val="en-US"/>
              </w:rPr>
              <w:t>3636/9</w:t>
            </w:r>
          </w:p>
        </w:tc>
        <w:tc>
          <w:tcPr>
            <w:tcW w:w="1134" w:type="dxa"/>
            <w:tcBorders>
              <w:top w:val="single" w:sz="4" w:space="0" w:color="BFBFBF" w:themeColor="background1" w:themeShade="BF"/>
              <w:bottom w:val="single" w:sz="12" w:space="0" w:color="auto"/>
            </w:tcBorders>
            <w:vAlign w:val="center"/>
          </w:tcPr>
          <w:p w14:paraId="667E7163" w14:textId="77777777" w:rsidR="001429E1" w:rsidRPr="00372AB4" w:rsidRDefault="001429E1" w:rsidP="001D7B5C">
            <w:pPr>
              <w:spacing w:after="0" w:line="240" w:lineRule="auto"/>
              <w:jc w:val="center"/>
              <w:rPr>
                <w:lang w:val="en-US"/>
              </w:rPr>
            </w:pPr>
            <w:r w:rsidRPr="00372AB4">
              <w:rPr>
                <w:lang w:val="en-US"/>
              </w:rPr>
              <w:t>1.8</w:t>
            </w:r>
          </w:p>
        </w:tc>
        <w:tc>
          <w:tcPr>
            <w:tcW w:w="1701" w:type="dxa"/>
            <w:tcBorders>
              <w:top w:val="single" w:sz="4" w:space="0" w:color="BFBFBF" w:themeColor="background1" w:themeShade="BF"/>
              <w:bottom w:val="single" w:sz="12" w:space="0" w:color="auto"/>
            </w:tcBorders>
            <w:vAlign w:val="center"/>
          </w:tcPr>
          <w:p w14:paraId="1BD0E1BF" w14:textId="77777777" w:rsidR="001429E1" w:rsidRPr="00372AB4" w:rsidRDefault="001429E1" w:rsidP="001D7B5C">
            <w:pPr>
              <w:spacing w:after="0" w:line="240" w:lineRule="auto"/>
              <w:jc w:val="center"/>
              <w:rPr>
                <w:lang w:val="en-US"/>
              </w:rPr>
            </w:pPr>
            <w:r w:rsidRPr="00372AB4">
              <w:rPr>
                <w:lang w:val="en-US"/>
              </w:rPr>
              <w:t>0.91</w:t>
            </w:r>
          </w:p>
        </w:tc>
        <w:tc>
          <w:tcPr>
            <w:tcW w:w="1160" w:type="dxa"/>
            <w:tcBorders>
              <w:top w:val="single" w:sz="4" w:space="0" w:color="BFBFBF" w:themeColor="background1" w:themeShade="BF"/>
              <w:bottom w:val="single" w:sz="12" w:space="0" w:color="auto"/>
            </w:tcBorders>
            <w:vAlign w:val="center"/>
          </w:tcPr>
          <w:p w14:paraId="37711CC0" w14:textId="77777777" w:rsidR="001429E1" w:rsidRPr="00372AB4" w:rsidRDefault="001429E1" w:rsidP="001D7B5C">
            <w:pPr>
              <w:spacing w:after="0" w:line="240" w:lineRule="auto"/>
              <w:jc w:val="center"/>
              <w:rPr>
                <w:lang w:val="en-US"/>
              </w:rPr>
            </w:pPr>
            <w:r w:rsidRPr="00372AB4">
              <w:rPr>
                <w:lang w:val="en-US"/>
              </w:rPr>
              <w:t>18.2</w:t>
            </w:r>
          </w:p>
        </w:tc>
        <w:tc>
          <w:tcPr>
            <w:tcW w:w="1675" w:type="dxa"/>
            <w:tcBorders>
              <w:top w:val="single" w:sz="4" w:space="0" w:color="BFBFBF" w:themeColor="background1" w:themeShade="BF"/>
              <w:bottom w:val="single" w:sz="12" w:space="0" w:color="auto"/>
            </w:tcBorders>
            <w:vAlign w:val="center"/>
          </w:tcPr>
          <w:p w14:paraId="0968CCB7" w14:textId="77777777" w:rsidR="001429E1" w:rsidRPr="00372AB4" w:rsidRDefault="001429E1" w:rsidP="001D7B5C">
            <w:pPr>
              <w:spacing w:after="0" w:line="240" w:lineRule="auto"/>
              <w:jc w:val="center"/>
              <w:rPr>
                <w:lang w:val="en-US"/>
              </w:rPr>
            </w:pPr>
            <w:r w:rsidRPr="00372AB4">
              <w:rPr>
                <w:lang w:val="en-US"/>
              </w:rPr>
              <w:t>90.2</w:t>
            </w:r>
          </w:p>
        </w:tc>
        <w:tc>
          <w:tcPr>
            <w:tcW w:w="992" w:type="dxa"/>
            <w:tcBorders>
              <w:top w:val="single" w:sz="4" w:space="0" w:color="BFBFBF" w:themeColor="background1" w:themeShade="BF"/>
              <w:bottom w:val="single" w:sz="12" w:space="0" w:color="auto"/>
            </w:tcBorders>
            <w:vAlign w:val="center"/>
          </w:tcPr>
          <w:p w14:paraId="14824F97" w14:textId="77777777" w:rsidR="001429E1" w:rsidRPr="00372AB4" w:rsidRDefault="001429E1" w:rsidP="001D7B5C">
            <w:pPr>
              <w:spacing w:after="0" w:line="240" w:lineRule="auto"/>
              <w:jc w:val="center"/>
              <w:rPr>
                <w:lang w:val="en-US"/>
              </w:rPr>
            </w:pPr>
            <w:r w:rsidRPr="00372AB4">
              <w:rPr>
                <w:lang w:val="en-US"/>
              </w:rPr>
              <w:t>0.5</w:t>
            </w:r>
          </w:p>
        </w:tc>
        <w:tc>
          <w:tcPr>
            <w:tcW w:w="851" w:type="dxa"/>
            <w:tcBorders>
              <w:top w:val="single" w:sz="4" w:space="0" w:color="BFBFBF" w:themeColor="background1" w:themeShade="BF"/>
              <w:bottom w:val="single" w:sz="12" w:space="0" w:color="auto"/>
            </w:tcBorders>
            <w:vAlign w:val="center"/>
          </w:tcPr>
          <w:p w14:paraId="663415CA" w14:textId="77777777" w:rsidR="001429E1" w:rsidRPr="00372AB4" w:rsidRDefault="001429E1" w:rsidP="001D7B5C">
            <w:pPr>
              <w:spacing w:after="0" w:line="240" w:lineRule="auto"/>
              <w:jc w:val="center"/>
              <w:rPr>
                <w:lang w:val="en-US"/>
              </w:rPr>
            </w:pPr>
            <w:r w:rsidRPr="00372AB4">
              <w:rPr>
                <w:lang w:val="en-US"/>
              </w:rPr>
              <w:t>99.8</w:t>
            </w:r>
          </w:p>
        </w:tc>
        <w:tc>
          <w:tcPr>
            <w:tcW w:w="1234" w:type="dxa"/>
            <w:tcBorders>
              <w:top w:val="single" w:sz="4" w:space="0" w:color="BFBFBF" w:themeColor="background1" w:themeShade="BF"/>
              <w:bottom w:val="single" w:sz="12" w:space="0" w:color="auto"/>
            </w:tcBorders>
            <w:vAlign w:val="center"/>
          </w:tcPr>
          <w:p w14:paraId="7734E096" w14:textId="77777777" w:rsidR="001429E1" w:rsidRPr="00372AB4" w:rsidRDefault="001429E1" w:rsidP="001D7B5C">
            <w:pPr>
              <w:spacing w:after="0" w:line="240" w:lineRule="auto"/>
              <w:jc w:val="center"/>
              <w:rPr>
                <w:lang w:val="en-US"/>
              </w:rPr>
            </w:pPr>
            <w:r w:rsidRPr="00372AB4">
              <w:rPr>
                <w:lang w:val="en-US"/>
              </w:rPr>
              <w:t>0.620</w:t>
            </w:r>
          </w:p>
        </w:tc>
      </w:tr>
    </w:tbl>
    <w:p w14:paraId="7E833F8A" w14:textId="77777777" w:rsidR="001429E1" w:rsidRDefault="001429E1" w:rsidP="001429E1">
      <w:pPr>
        <w:spacing w:line="240" w:lineRule="auto"/>
        <w:rPr>
          <w:sz w:val="20"/>
          <w:szCs w:val="20"/>
          <w:lang w:val="en-US"/>
        </w:rPr>
      </w:pPr>
      <w:r w:rsidRPr="00A616C1">
        <w:rPr>
          <w:sz w:val="20"/>
          <w:szCs w:val="20"/>
          <w:lang w:val="en-US"/>
        </w:rPr>
        <w:t>AFP, alpha fetoprotein; AUC, area under the curve; FGR, fetal growth restriction; FN, false negative; FP, false positive; iPTB, iatrogenic preterm birth; LR, likelihood ratio; NPV, negative predictive value; PPV, positive predictive value; PTB, preterm birth; SGA, small for gestational age; sPTB, spontaneous preterm birth; TN, true negative; TP, true positive; wkGA, weeks of gestational age.</w:t>
      </w:r>
    </w:p>
    <w:p w14:paraId="0C299C0E" w14:textId="77777777" w:rsidR="001429E1" w:rsidRDefault="001429E1" w:rsidP="001429E1">
      <w:pPr>
        <w:spacing w:line="240" w:lineRule="auto"/>
        <w:rPr>
          <w:sz w:val="20"/>
          <w:szCs w:val="20"/>
          <w:lang w:val="en-US"/>
        </w:rPr>
      </w:pPr>
      <w:r w:rsidRPr="00A616C1">
        <w:rPr>
          <w:sz w:val="20"/>
          <w:szCs w:val="20"/>
          <w:lang w:val="en-US"/>
        </w:rPr>
        <w:t>All screening statistics were calculated comparing AFP MoM in the top decile vs AFP MoM in deciles 1-9 whilst the AUC was calculated using AFP MoM as a continuous variable.</w:t>
      </w:r>
      <w:r w:rsidRPr="00A616C1">
        <w:rPr>
          <w:sz w:val="20"/>
          <w:szCs w:val="20"/>
          <w:vertAlign w:val="superscript"/>
          <w:lang w:val="en-US"/>
        </w:rPr>
        <w:t xml:space="preserve"> </w:t>
      </w:r>
      <w:r w:rsidRPr="00A616C1">
        <w:rPr>
          <w:sz w:val="20"/>
          <w:szCs w:val="20"/>
          <w:lang w:val="en-US"/>
        </w:rPr>
        <w:t xml:space="preserve">AFP was log-transformed, converted into multiples of the median and corrected for maternal weight and gestation of measurement before categorizing into </w:t>
      </w:r>
      <w:r>
        <w:rPr>
          <w:sz w:val="20"/>
          <w:szCs w:val="20"/>
          <w:lang w:val="en-US"/>
        </w:rPr>
        <w:t>deciles.</w:t>
      </w:r>
      <w:r w:rsidRPr="00A616C1">
        <w:rPr>
          <w:sz w:val="20"/>
          <w:szCs w:val="20"/>
          <w:lang w:val="en-US"/>
        </w:rPr>
        <w:t xml:space="preserve"> </w:t>
      </w:r>
      <w:r w:rsidRPr="00A616C1">
        <w:rPr>
          <w:sz w:val="20"/>
          <w:szCs w:val="20"/>
          <w:lang w:val="en-US"/>
        </w:rPr>
        <w:br w:type="page"/>
      </w:r>
    </w:p>
    <w:p w14:paraId="33546F92" w14:textId="6E0B4EFB" w:rsidR="001429E1" w:rsidRPr="00265B3B" w:rsidRDefault="001429E1" w:rsidP="001429E1">
      <w:pPr>
        <w:spacing w:line="480" w:lineRule="auto"/>
        <w:rPr>
          <w:sz w:val="24"/>
          <w:szCs w:val="24"/>
          <w:lang w:val="en-US"/>
        </w:rPr>
      </w:pPr>
      <w:r w:rsidRPr="00265B3B">
        <w:rPr>
          <w:b/>
          <w:sz w:val="24"/>
          <w:szCs w:val="24"/>
          <w:lang w:val="en-US"/>
        </w:rPr>
        <w:t xml:space="preserve">Supplemental Table </w:t>
      </w:r>
      <w:r>
        <w:rPr>
          <w:b/>
          <w:sz w:val="24"/>
          <w:szCs w:val="24"/>
          <w:lang w:val="en-US"/>
        </w:rPr>
        <w:t>5</w:t>
      </w:r>
      <w:r w:rsidRPr="00265B3B">
        <w:rPr>
          <w:b/>
          <w:sz w:val="24"/>
          <w:szCs w:val="24"/>
          <w:lang w:val="en-US"/>
        </w:rPr>
        <w:t>.</w:t>
      </w:r>
      <w:r w:rsidRPr="00265B3B">
        <w:rPr>
          <w:sz w:val="24"/>
          <w:szCs w:val="24"/>
          <w:lang w:val="en-US"/>
        </w:rPr>
        <w:t xml:space="preserve"> </w:t>
      </w:r>
      <w:r w:rsidRPr="00265B3B">
        <w:rPr>
          <w:b/>
          <w:sz w:val="24"/>
          <w:szCs w:val="24"/>
          <w:lang w:val="en-US"/>
        </w:rPr>
        <w:t>Screening statistics for adverse outcomes with PAPP-A MoM (corrected for maternal weight and gestation at measurement) in the bottom decile at approximately 12 wkGA.</w:t>
      </w:r>
    </w:p>
    <w:tbl>
      <w:tblPr>
        <w:tblW w:w="0" w:type="auto"/>
        <w:tblBorders>
          <w:top w:val="single" w:sz="12" w:space="0" w:color="auto"/>
          <w:bottom w:val="single" w:sz="12" w:space="0" w:color="auto"/>
        </w:tblBorders>
        <w:tblLayout w:type="fixed"/>
        <w:tblLook w:val="04A0" w:firstRow="1" w:lastRow="0" w:firstColumn="1" w:lastColumn="0" w:noHBand="0" w:noVBand="1"/>
      </w:tblPr>
      <w:tblGrid>
        <w:gridCol w:w="1503"/>
        <w:gridCol w:w="1582"/>
        <w:gridCol w:w="1134"/>
        <w:gridCol w:w="1626"/>
        <w:gridCol w:w="1134"/>
        <w:gridCol w:w="1842"/>
        <w:gridCol w:w="1146"/>
        <w:gridCol w:w="1198"/>
        <w:gridCol w:w="1022"/>
        <w:gridCol w:w="980"/>
      </w:tblGrid>
      <w:tr w:rsidR="001429E1" w:rsidRPr="00372AB4" w14:paraId="6AE65476" w14:textId="77777777" w:rsidTr="001D7B5C">
        <w:trPr>
          <w:trHeight w:val="567"/>
        </w:trPr>
        <w:tc>
          <w:tcPr>
            <w:tcW w:w="1503" w:type="dxa"/>
            <w:tcBorders>
              <w:top w:val="single" w:sz="12" w:space="0" w:color="auto"/>
              <w:bottom w:val="single" w:sz="12" w:space="0" w:color="auto"/>
            </w:tcBorders>
            <w:vAlign w:val="center"/>
          </w:tcPr>
          <w:p w14:paraId="49490D81" w14:textId="77777777" w:rsidR="001429E1" w:rsidRPr="00372AB4" w:rsidRDefault="001429E1" w:rsidP="001D7B5C">
            <w:pPr>
              <w:spacing w:after="0" w:line="240" w:lineRule="auto"/>
              <w:rPr>
                <w:b/>
                <w:lang w:val="en-US"/>
              </w:rPr>
            </w:pPr>
            <w:r w:rsidRPr="00372AB4">
              <w:rPr>
                <w:b/>
                <w:lang w:val="en-US"/>
              </w:rPr>
              <w:t>Outcome</w:t>
            </w:r>
          </w:p>
        </w:tc>
        <w:tc>
          <w:tcPr>
            <w:tcW w:w="1582" w:type="dxa"/>
            <w:tcBorders>
              <w:top w:val="single" w:sz="12" w:space="0" w:color="auto"/>
              <w:bottom w:val="single" w:sz="12" w:space="0" w:color="auto"/>
            </w:tcBorders>
            <w:vAlign w:val="center"/>
          </w:tcPr>
          <w:p w14:paraId="1297E30F" w14:textId="77777777" w:rsidR="001429E1" w:rsidRPr="00372AB4" w:rsidRDefault="001429E1" w:rsidP="001D7B5C">
            <w:pPr>
              <w:spacing w:after="0" w:line="240" w:lineRule="auto"/>
              <w:jc w:val="center"/>
              <w:rPr>
                <w:b/>
                <w:lang w:val="en-US"/>
              </w:rPr>
            </w:pPr>
            <w:r w:rsidRPr="00372AB4">
              <w:rPr>
                <w:b/>
                <w:lang w:val="en-US"/>
              </w:rPr>
              <w:t>TP/FP</w:t>
            </w:r>
          </w:p>
        </w:tc>
        <w:tc>
          <w:tcPr>
            <w:tcW w:w="1134" w:type="dxa"/>
            <w:tcBorders>
              <w:top w:val="single" w:sz="12" w:space="0" w:color="auto"/>
              <w:bottom w:val="single" w:sz="12" w:space="0" w:color="auto"/>
            </w:tcBorders>
            <w:vAlign w:val="center"/>
          </w:tcPr>
          <w:p w14:paraId="67EE7E14" w14:textId="77777777" w:rsidR="001429E1" w:rsidRPr="00372AB4" w:rsidRDefault="001429E1" w:rsidP="001D7B5C">
            <w:pPr>
              <w:spacing w:after="0" w:line="240" w:lineRule="auto"/>
              <w:jc w:val="center"/>
              <w:rPr>
                <w:b/>
                <w:lang w:val="en-US"/>
              </w:rPr>
            </w:pPr>
            <w:r w:rsidRPr="00372AB4">
              <w:rPr>
                <w:b/>
                <w:lang w:val="en-US"/>
              </w:rPr>
              <w:t>TN/FN</w:t>
            </w:r>
          </w:p>
        </w:tc>
        <w:tc>
          <w:tcPr>
            <w:tcW w:w="1626" w:type="dxa"/>
            <w:tcBorders>
              <w:top w:val="single" w:sz="12" w:space="0" w:color="auto"/>
              <w:bottom w:val="single" w:sz="12" w:space="0" w:color="auto"/>
            </w:tcBorders>
            <w:vAlign w:val="center"/>
          </w:tcPr>
          <w:p w14:paraId="4367B7FB" w14:textId="77777777" w:rsidR="001429E1" w:rsidRDefault="001429E1" w:rsidP="001D7B5C">
            <w:pPr>
              <w:spacing w:after="0" w:line="240" w:lineRule="auto"/>
              <w:jc w:val="center"/>
              <w:rPr>
                <w:b/>
                <w:lang w:val="en-US"/>
              </w:rPr>
            </w:pPr>
            <w:r w:rsidRPr="00372AB4">
              <w:rPr>
                <w:b/>
                <w:lang w:val="en-US"/>
              </w:rPr>
              <w:t xml:space="preserve">Positive </w:t>
            </w:r>
          </w:p>
          <w:p w14:paraId="7D09F58A" w14:textId="77777777" w:rsidR="001429E1" w:rsidRPr="00372AB4" w:rsidRDefault="001429E1" w:rsidP="001D7B5C">
            <w:pPr>
              <w:spacing w:after="0" w:line="240" w:lineRule="auto"/>
              <w:jc w:val="center"/>
              <w:rPr>
                <w:b/>
                <w:lang w:val="en-US"/>
              </w:rPr>
            </w:pPr>
            <w:r w:rsidRPr="00372AB4">
              <w:rPr>
                <w:b/>
                <w:lang w:val="en-US"/>
              </w:rPr>
              <w:t>LR</w:t>
            </w:r>
          </w:p>
        </w:tc>
        <w:tc>
          <w:tcPr>
            <w:tcW w:w="1134" w:type="dxa"/>
            <w:tcBorders>
              <w:top w:val="single" w:sz="12" w:space="0" w:color="auto"/>
              <w:bottom w:val="single" w:sz="12" w:space="0" w:color="auto"/>
            </w:tcBorders>
            <w:vAlign w:val="center"/>
          </w:tcPr>
          <w:p w14:paraId="021DBBC7" w14:textId="77777777" w:rsidR="001429E1" w:rsidRDefault="001429E1" w:rsidP="001D7B5C">
            <w:pPr>
              <w:spacing w:after="0" w:line="240" w:lineRule="auto"/>
              <w:jc w:val="center"/>
              <w:rPr>
                <w:b/>
                <w:lang w:val="en-US"/>
              </w:rPr>
            </w:pPr>
            <w:r w:rsidRPr="00372AB4">
              <w:rPr>
                <w:b/>
                <w:lang w:val="en-US"/>
              </w:rPr>
              <w:t xml:space="preserve">Negative </w:t>
            </w:r>
          </w:p>
          <w:p w14:paraId="49B97285" w14:textId="77777777" w:rsidR="001429E1" w:rsidRPr="00372AB4" w:rsidRDefault="001429E1" w:rsidP="001D7B5C">
            <w:pPr>
              <w:spacing w:after="0" w:line="240" w:lineRule="auto"/>
              <w:jc w:val="center"/>
              <w:rPr>
                <w:b/>
                <w:lang w:val="en-US"/>
              </w:rPr>
            </w:pPr>
            <w:r w:rsidRPr="00372AB4">
              <w:rPr>
                <w:b/>
                <w:lang w:val="en-US"/>
              </w:rPr>
              <w:t>LR</w:t>
            </w:r>
          </w:p>
        </w:tc>
        <w:tc>
          <w:tcPr>
            <w:tcW w:w="1842" w:type="dxa"/>
            <w:tcBorders>
              <w:top w:val="single" w:sz="12" w:space="0" w:color="auto"/>
              <w:bottom w:val="single" w:sz="12" w:space="0" w:color="auto"/>
            </w:tcBorders>
            <w:vAlign w:val="center"/>
          </w:tcPr>
          <w:p w14:paraId="6A6B3F1E" w14:textId="77777777" w:rsidR="001429E1" w:rsidRDefault="001429E1" w:rsidP="001D7B5C">
            <w:pPr>
              <w:spacing w:after="0" w:line="240" w:lineRule="auto"/>
              <w:jc w:val="center"/>
              <w:rPr>
                <w:b/>
                <w:lang w:val="en-US"/>
              </w:rPr>
            </w:pPr>
            <w:r w:rsidRPr="00372AB4">
              <w:rPr>
                <w:b/>
                <w:lang w:val="en-US"/>
              </w:rPr>
              <w:t xml:space="preserve">Sensitivity </w:t>
            </w:r>
          </w:p>
          <w:p w14:paraId="2F615AD6" w14:textId="77777777" w:rsidR="001429E1" w:rsidRPr="00372AB4" w:rsidRDefault="001429E1" w:rsidP="001D7B5C">
            <w:pPr>
              <w:spacing w:after="0" w:line="240" w:lineRule="auto"/>
              <w:jc w:val="center"/>
              <w:rPr>
                <w:b/>
                <w:lang w:val="en-US"/>
              </w:rPr>
            </w:pPr>
            <w:r w:rsidRPr="00372AB4">
              <w:rPr>
                <w:b/>
                <w:lang w:val="en-US"/>
              </w:rPr>
              <w:t>(%)</w:t>
            </w:r>
          </w:p>
        </w:tc>
        <w:tc>
          <w:tcPr>
            <w:tcW w:w="1146" w:type="dxa"/>
            <w:tcBorders>
              <w:top w:val="single" w:sz="12" w:space="0" w:color="auto"/>
              <w:bottom w:val="single" w:sz="12" w:space="0" w:color="auto"/>
            </w:tcBorders>
            <w:vAlign w:val="center"/>
          </w:tcPr>
          <w:p w14:paraId="44E67DA9" w14:textId="77777777" w:rsidR="001429E1" w:rsidRDefault="001429E1" w:rsidP="001D7B5C">
            <w:pPr>
              <w:spacing w:after="0" w:line="240" w:lineRule="auto"/>
              <w:jc w:val="center"/>
              <w:rPr>
                <w:b/>
                <w:lang w:val="en-US"/>
              </w:rPr>
            </w:pPr>
            <w:r w:rsidRPr="00372AB4">
              <w:rPr>
                <w:b/>
                <w:lang w:val="en-US"/>
              </w:rPr>
              <w:t xml:space="preserve">Specificity </w:t>
            </w:r>
          </w:p>
          <w:p w14:paraId="596FA5E4" w14:textId="77777777" w:rsidR="001429E1" w:rsidRPr="00372AB4" w:rsidRDefault="001429E1" w:rsidP="001D7B5C">
            <w:pPr>
              <w:spacing w:after="0" w:line="240" w:lineRule="auto"/>
              <w:jc w:val="center"/>
              <w:rPr>
                <w:b/>
                <w:lang w:val="en-US"/>
              </w:rPr>
            </w:pPr>
            <w:r w:rsidRPr="00372AB4">
              <w:rPr>
                <w:b/>
                <w:lang w:val="en-US"/>
              </w:rPr>
              <w:t>(%)</w:t>
            </w:r>
          </w:p>
        </w:tc>
        <w:tc>
          <w:tcPr>
            <w:tcW w:w="1198" w:type="dxa"/>
            <w:tcBorders>
              <w:top w:val="single" w:sz="12" w:space="0" w:color="auto"/>
              <w:bottom w:val="single" w:sz="12" w:space="0" w:color="auto"/>
            </w:tcBorders>
            <w:vAlign w:val="center"/>
          </w:tcPr>
          <w:p w14:paraId="2B3C1271" w14:textId="77777777" w:rsidR="001429E1" w:rsidRDefault="001429E1" w:rsidP="001D7B5C">
            <w:pPr>
              <w:spacing w:after="0" w:line="240" w:lineRule="auto"/>
              <w:jc w:val="center"/>
              <w:rPr>
                <w:b/>
                <w:lang w:val="en-US"/>
              </w:rPr>
            </w:pPr>
            <w:r w:rsidRPr="00372AB4">
              <w:rPr>
                <w:b/>
                <w:lang w:val="en-US"/>
              </w:rPr>
              <w:t xml:space="preserve">PPV </w:t>
            </w:r>
          </w:p>
          <w:p w14:paraId="3A9C4122" w14:textId="77777777" w:rsidR="001429E1" w:rsidRPr="00372AB4" w:rsidRDefault="001429E1" w:rsidP="001D7B5C">
            <w:pPr>
              <w:spacing w:after="0" w:line="240" w:lineRule="auto"/>
              <w:jc w:val="center"/>
              <w:rPr>
                <w:b/>
                <w:lang w:val="en-US"/>
              </w:rPr>
            </w:pPr>
            <w:r w:rsidRPr="00372AB4">
              <w:rPr>
                <w:b/>
                <w:lang w:val="en-US"/>
              </w:rPr>
              <w:t>(%)</w:t>
            </w:r>
          </w:p>
        </w:tc>
        <w:tc>
          <w:tcPr>
            <w:tcW w:w="1022" w:type="dxa"/>
            <w:tcBorders>
              <w:top w:val="single" w:sz="12" w:space="0" w:color="auto"/>
              <w:bottom w:val="single" w:sz="12" w:space="0" w:color="auto"/>
            </w:tcBorders>
            <w:vAlign w:val="center"/>
          </w:tcPr>
          <w:p w14:paraId="177B8527" w14:textId="77777777" w:rsidR="001429E1" w:rsidRDefault="001429E1" w:rsidP="001D7B5C">
            <w:pPr>
              <w:spacing w:after="0" w:line="240" w:lineRule="auto"/>
              <w:jc w:val="center"/>
              <w:rPr>
                <w:b/>
                <w:lang w:val="en-US"/>
              </w:rPr>
            </w:pPr>
            <w:r w:rsidRPr="00372AB4">
              <w:rPr>
                <w:b/>
                <w:lang w:val="en-US"/>
              </w:rPr>
              <w:t xml:space="preserve">NPV </w:t>
            </w:r>
          </w:p>
          <w:p w14:paraId="78AFEDCD" w14:textId="77777777" w:rsidR="001429E1" w:rsidRPr="00372AB4" w:rsidRDefault="001429E1" w:rsidP="001D7B5C">
            <w:pPr>
              <w:spacing w:after="0" w:line="240" w:lineRule="auto"/>
              <w:jc w:val="center"/>
              <w:rPr>
                <w:b/>
                <w:lang w:val="en-US"/>
              </w:rPr>
            </w:pPr>
            <w:r w:rsidRPr="00372AB4">
              <w:rPr>
                <w:b/>
                <w:lang w:val="en-US"/>
              </w:rPr>
              <w:t>(%)</w:t>
            </w:r>
          </w:p>
        </w:tc>
        <w:tc>
          <w:tcPr>
            <w:tcW w:w="980" w:type="dxa"/>
            <w:tcBorders>
              <w:top w:val="single" w:sz="12" w:space="0" w:color="auto"/>
              <w:bottom w:val="single" w:sz="12" w:space="0" w:color="auto"/>
            </w:tcBorders>
            <w:vAlign w:val="center"/>
          </w:tcPr>
          <w:p w14:paraId="1042BA00" w14:textId="77777777" w:rsidR="001429E1" w:rsidRPr="00372AB4" w:rsidRDefault="001429E1" w:rsidP="001D7B5C">
            <w:pPr>
              <w:spacing w:after="0" w:line="240" w:lineRule="auto"/>
              <w:jc w:val="center"/>
              <w:rPr>
                <w:b/>
                <w:lang w:val="en-US"/>
              </w:rPr>
            </w:pPr>
            <w:r w:rsidRPr="00372AB4">
              <w:rPr>
                <w:b/>
                <w:lang w:val="en-US"/>
              </w:rPr>
              <w:t>AUC</w:t>
            </w:r>
          </w:p>
        </w:tc>
      </w:tr>
      <w:tr w:rsidR="001429E1" w:rsidRPr="00372AB4" w14:paraId="65386C76" w14:textId="77777777" w:rsidTr="001D7B5C">
        <w:trPr>
          <w:trHeight w:val="567"/>
        </w:trPr>
        <w:tc>
          <w:tcPr>
            <w:tcW w:w="1503" w:type="dxa"/>
            <w:tcBorders>
              <w:top w:val="single" w:sz="12" w:space="0" w:color="auto"/>
              <w:bottom w:val="single" w:sz="4" w:space="0" w:color="BFBFBF" w:themeColor="background1" w:themeShade="BF"/>
            </w:tcBorders>
            <w:vAlign w:val="center"/>
          </w:tcPr>
          <w:p w14:paraId="21431121" w14:textId="77777777" w:rsidR="001429E1" w:rsidRPr="00372AB4" w:rsidRDefault="001429E1" w:rsidP="001D7B5C">
            <w:pPr>
              <w:spacing w:after="0" w:line="240" w:lineRule="auto"/>
              <w:rPr>
                <w:lang w:val="en-US"/>
              </w:rPr>
            </w:pPr>
            <w:r w:rsidRPr="00372AB4">
              <w:rPr>
                <w:lang w:val="en-US"/>
              </w:rPr>
              <w:t>FGR</w:t>
            </w:r>
          </w:p>
        </w:tc>
        <w:tc>
          <w:tcPr>
            <w:tcW w:w="1582" w:type="dxa"/>
            <w:tcBorders>
              <w:top w:val="single" w:sz="12" w:space="0" w:color="auto"/>
              <w:bottom w:val="single" w:sz="4" w:space="0" w:color="BFBFBF" w:themeColor="background1" w:themeShade="BF"/>
            </w:tcBorders>
            <w:vAlign w:val="center"/>
          </w:tcPr>
          <w:p w14:paraId="24F4E5F3" w14:textId="77777777" w:rsidR="001429E1" w:rsidRPr="00372AB4" w:rsidRDefault="001429E1" w:rsidP="001D7B5C">
            <w:pPr>
              <w:spacing w:after="0" w:line="240" w:lineRule="auto"/>
              <w:jc w:val="center"/>
              <w:rPr>
                <w:lang w:val="en-US"/>
              </w:rPr>
            </w:pPr>
            <w:r w:rsidRPr="00372AB4">
              <w:rPr>
                <w:lang w:val="en-US"/>
              </w:rPr>
              <w:t>19/385</w:t>
            </w:r>
          </w:p>
        </w:tc>
        <w:tc>
          <w:tcPr>
            <w:tcW w:w="1134" w:type="dxa"/>
            <w:tcBorders>
              <w:top w:val="single" w:sz="12" w:space="0" w:color="auto"/>
              <w:bottom w:val="single" w:sz="4" w:space="0" w:color="BFBFBF" w:themeColor="background1" w:themeShade="BF"/>
            </w:tcBorders>
            <w:vAlign w:val="center"/>
          </w:tcPr>
          <w:p w14:paraId="62264F47" w14:textId="77777777" w:rsidR="001429E1" w:rsidRPr="00372AB4" w:rsidRDefault="001429E1" w:rsidP="001D7B5C">
            <w:pPr>
              <w:spacing w:after="0" w:line="240" w:lineRule="auto"/>
              <w:jc w:val="center"/>
              <w:rPr>
                <w:lang w:val="en-US"/>
              </w:rPr>
            </w:pPr>
            <w:r w:rsidRPr="00372AB4">
              <w:rPr>
                <w:lang w:val="en-US"/>
              </w:rPr>
              <w:t>3585/55</w:t>
            </w:r>
          </w:p>
        </w:tc>
        <w:tc>
          <w:tcPr>
            <w:tcW w:w="1626" w:type="dxa"/>
            <w:tcBorders>
              <w:top w:val="single" w:sz="12" w:space="0" w:color="auto"/>
              <w:bottom w:val="single" w:sz="4" w:space="0" w:color="BFBFBF" w:themeColor="background1" w:themeShade="BF"/>
            </w:tcBorders>
            <w:vAlign w:val="center"/>
          </w:tcPr>
          <w:p w14:paraId="72BC32E1" w14:textId="77777777" w:rsidR="001429E1" w:rsidRPr="00372AB4" w:rsidRDefault="001429E1" w:rsidP="001D7B5C">
            <w:pPr>
              <w:spacing w:after="0" w:line="240" w:lineRule="auto"/>
              <w:jc w:val="center"/>
              <w:rPr>
                <w:lang w:val="en-US"/>
              </w:rPr>
            </w:pPr>
            <w:r w:rsidRPr="00372AB4">
              <w:rPr>
                <w:lang w:val="en-US"/>
              </w:rPr>
              <w:t>2.6</w:t>
            </w:r>
          </w:p>
        </w:tc>
        <w:tc>
          <w:tcPr>
            <w:tcW w:w="1134" w:type="dxa"/>
            <w:tcBorders>
              <w:top w:val="single" w:sz="12" w:space="0" w:color="auto"/>
              <w:bottom w:val="single" w:sz="4" w:space="0" w:color="BFBFBF" w:themeColor="background1" w:themeShade="BF"/>
            </w:tcBorders>
            <w:vAlign w:val="center"/>
          </w:tcPr>
          <w:p w14:paraId="38F8C4A5" w14:textId="77777777" w:rsidR="001429E1" w:rsidRPr="00372AB4" w:rsidRDefault="001429E1" w:rsidP="001D7B5C">
            <w:pPr>
              <w:spacing w:after="0" w:line="240" w:lineRule="auto"/>
              <w:jc w:val="center"/>
              <w:rPr>
                <w:lang w:val="en-US"/>
              </w:rPr>
            </w:pPr>
            <w:r w:rsidRPr="00372AB4">
              <w:rPr>
                <w:lang w:val="en-US"/>
              </w:rPr>
              <w:t>0.82</w:t>
            </w:r>
          </w:p>
        </w:tc>
        <w:tc>
          <w:tcPr>
            <w:tcW w:w="1842" w:type="dxa"/>
            <w:tcBorders>
              <w:top w:val="single" w:sz="12" w:space="0" w:color="auto"/>
              <w:bottom w:val="single" w:sz="4" w:space="0" w:color="BFBFBF" w:themeColor="background1" w:themeShade="BF"/>
            </w:tcBorders>
            <w:vAlign w:val="center"/>
          </w:tcPr>
          <w:p w14:paraId="3A9CBECA" w14:textId="77777777" w:rsidR="001429E1" w:rsidRPr="00372AB4" w:rsidRDefault="001429E1" w:rsidP="001D7B5C">
            <w:pPr>
              <w:spacing w:after="0" w:line="240" w:lineRule="auto"/>
              <w:jc w:val="center"/>
              <w:rPr>
                <w:lang w:val="en-US"/>
              </w:rPr>
            </w:pPr>
            <w:r w:rsidRPr="00372AB4">
              <w:rPr>
                <w:lang w:val="en-US"/>
              </w:rPr>
              <w:t>25.7</w:t>
            </w:r>
          </w:p>
        </w:tc>
        <w:tc>
          <w:tcPr>
            <w:tcW w:w="1146" w:type="dxa"/>
            <w:tcBorders>
              <w:top w:val="single" w:sz="12" w:space="0" w:color="auto"/>
              <w:bottom w:val="single" w:sz="4" w:space="0" w:color="BFBFBF" w:themeColor="background1" w:themeShade="BF"/>
            </w:tcBorders>
            <w:vAlign w:val="center"/>
          </w:tcPr>
          <w:p w14:paraId="2A5024D9" w14:textId="77777777" w:rsidR="001429E1" w:rsidRPr="00372AB4" w:rsidRDefault="001429E1" w:rsidP="001D7B5C">
            <w:pPr>
              <w:spacing w:after="0" w:line="240" w:lineRule="auto"/>
              <w:jc w:val="center"/>
              <w:rPr>
                <w:lang w:val="en-US"/>
              </w:rPr>
            </w:pPr>
            <w:r w:rsidRPr="00372AB4">
              <w:rPr>
                <w:lang w:val="en-US"/>
              </w:rPr>
              <w:t>90.3</w:t>
            </w:r>
          </w:p>
        </w:tc>
        <w:tc>
          <w:tcPr>
            <w:tcW w:w="1198" w:type="dxa"/>
            <w:tcBorders>
              <w:top w:val="single" w:sz="12" w:space="0" w:color="auto"/>
              <w:bottom w:val="single" w:sz="4" w:space="0" w:color="BFBFBF" w:themeColor="background1" w:themeShade="BF"/>
            </w:tcBorders>
            <w:vAlign w:val="center"/>
          </w:tcPr>
          <w:p w14:paraId="5FA26E06" w14:textId="77777777" w:rsidR="001429E1" w:rsidRPr="00372AB4" w:rsidRDefault="001429E1" w:rsidP="001D7B5C">
            <w:pPr>
              <w:spacing w:after="0" w:line="240" w:lineRule="auto"/>
              <w:jc w:val="center"/>
              <w:rPr>
                <w:lang w:val="en-US"/>
              </w:rPr>
            </w:pPr>
            <w:r w:rsidRPr="00372AB4">
              <w:rPr>
                <w:lang w:val="en-US"/>
              </w:rPr>
              <w:t>4.7</w:t>
            </w:r>
          </w:p>
        </w:tc>
        <w:tc>
          <w:tcPr>
            <w:tcW w:w="1022" w:type="dxa"/>
            <w:tcBorders>
              <w:top w:val="single" w:sz="12" w:space="0" w:color="auto"/>
              <w:bottom w:val="single" w:sz="4" w:space="0" w:color="BFBFBF" w:themeColor="background1" w:themeShade="BF"/>
            </w:tcBorders>
            <w:vAlign w:val="center"/>
          </w:tcPr>
          <w:p w14:paraId="7563CA2C" w14:textId="77777777" w:rsidR="001429E1" w:rsidRPr="00372AB4" w:rsidRDefault="001429E1" w:rsidP="001D7B5C">
            <w:pPr>
              <w:spacing w:after="0" w:line="240" w:lineRule="auto"/>
              <w:jc w:val="center"/>
              <w:rPr>
                <w:lang w:val="en-US"/>
              </w:rPr>
            </w:pPr>
            <w:r w:rsidRPr="00372AB4">
              <w:rPr>
                <w:lang w:val="en-US"/>
              </w:rPr>
              <w:t>98.5</w:t>
            </w:r>
          </w:p>
        </w:tc>
        <w:tc>
          <w:tcPr>
            <w:tcW w:w="980" w:type="dxa"/>
            <w:tcBorders>
              <w:top w:val="single" w:sz="12" w:space="0" w:color="auto"/>
              <w:left w:val="nil"/>
              <w:bottom w:val="single" w:sz="4" w:space="0" w:color="BFBFBF" w:themeColor="background1" w:themeShade="BF"/>
              <w:right w:val="nil"/>
            </w:tcBorders>
            <w:vAlign w:val="center"/>
          </w:tcPr>
          <w:p w14:paraId="104FECB4" w14:textId="77777777" w:rsidR="001429E1" w:rsidRPr="00372AB4" w:rsidRDefault="001429E1" w:rsidP="001D7B5C">
            <w:pPr>
              <w:spacing w:after="0" w:line="240" w:lineRule="auto"/>
              <w:jc w:val="center"/>
              <w:rPr>
                <w:lang w:val="en-US"/>
              </w:rPr>
            </w:pPr>
            <w:r w:rsidRPr="00372AB4">
              <w:t>0.638</w:t>
            </w:r>
          </w:p>
        </w:tc>
      </w:tr>
      <w:tr w:rsidR="001429E1" w:rsidRPr="00372AB4" w14:paraId="11C3D4AB" w14:textId="77777777" w:rsidTr="001D7B5C">
        <w:trPr>
          <w:trHeight w:val="567"/>
        </w:trPr>
        <w:tc>
          <w:tcPr>
            <w:tcW w:w="1503" w:type="dxa"/>
            <w:tcBorders>
              <w:top w:val="single" w:sz="4" w:space="0" w:color="BFBFBF" w:themeColor="background1" w:themeShade="BF"/>
              <w:bottom w:val="single" w:sz="4" w:space="0" w:color="BFBFBF" w:themeColor="background1" w:themeShade="BF"/>
            </w:tcBorders>
            <w:vAlign w:val="center"/>
          </w:tcPr>
          <w:p w14:paraId="40A5D81D" w14:textId="77777777" w:rsidR="001429E1" w:rsidRPr="00372AB4" w:rsidRDefault="001429E1" w:rsidP="001D7B5C">
            <w:pPr>
              <w:spacing w:after="0" w:line="240" w:lineRule="auto"/>
              <w:rPr>
                <w:lang w:val="en-US"/>
              </w:rPr>
            </w:pPr>
            <w:r w:rsidRPr="00372AB4">
              <w:rPr>
                <w:lang w:val="en-US"/>
              </w:rPr>
              <w:t>Severe SGA</w:t>
            </w:r>
          </w:p>
        </w:tc>
        <w:tc>
          <w:tcPr>
            <w:tcW w:w="1582" w:type="dxa"/>
            <w:tcBorders>
              <w:top w:val="single" w:sz="4" w:space="0" w:color="BFBFBF" w:themeColor="background1" w:themeShade="BF"/>
              <w:bottom w:val="single" w:sz="4" w:space="0" w:color="BFBFBF" w:themeColor="background1" w:themeShade="BF"/>
            </w:tcBorders>
            <w:vAlign w:val="center"/>
          </w:tcPr>
          <w:p w14:paraId="3560A3EE" w14:textId="77777777" w:rsidR="001429E1" w:rsidRPr="00372AB4" w:rsidRDefault="001429E1" w:rsidP="001D7B5C">
            <w:pPr>
              <w:spacing w:after="0" w:line="240" w:lineRule="auto"/>
              <w:jc w:val="center"/>
              <w:rPr>
                <w:lang w:val="en-US"/>
              </w:rPr>
            </w:pPr>
            <w:r w:rsidRPr="00372AB4">
              <w:rPr>
                <w:lang w:val="en-US"/>
              </w:rPr>
              <w:t>28/376</w:t>
            </w:r>
          </w:p>
        </w:tc>
        <w:tc>
          <w:tcPr>
            <w:tcW w:w="1134" w:type="dxa"/>
            <w:tcBorders>
              <w:top w:val="single" w:sz="4" w:space="0" w:color="BFBFBF" w:themeColor="background1" w:themeShade="BF"/>
              <w:bottom w:val="single" w:sz="4" w:space="0" w:color="BFBFBF" w:themeColor="background1" w:themeShade="BF"/>
            </w:tcBorders>
            <w:vAlign w:val="center"/>
          </w:tcPr>
          <w:p w14:paraId="577DC1AB" w14:textId="77777777" w:rsidR="001429E1" w:rsidRPr="00372AB4" w:rsidRDefault="001429E1" w:rsidP="001D7B5C">
            <w:pPr>
              <w:spacing w:after="0" w:line="240" w:lineRule="auto"/>
              <w:jc w:val="center"/>
              <w:rPr>
                <w:lang w:val="en-US"/>
              </w:rPr>
            </w:pPr>
            <w:r w:rsidRPr="00372AB4">
              <w:rPr>
                <w:lang w:val="en-US"/>
              </w:rPr>
              <w:t>3574/66</w:t>
            </w:r>
          </w:p>
        </w:tc>
        <w:tc>
          <w:tcPr>
            <w:tcW w:w="1626" w:type="dxa"/>
            <w:tcBorders>
              <w:top w:val="single" w:sz="4" w:space="0" w:color="BFBFBF" w:themeColor="background1" w:themeShade="BF"/>
              <w:bottom w:val="single" w:sz="4" w:space="0" w:color="BFBFBF" w:themeColor="background1" w:themeShade="BF"/>
            </w:tcBorders>
            <w:vAlign w:val="center"/>
          </w:tcPr>
          <w:p w14:paraId="0E7B9FA8" w14:textId="77777777" w:rsidR="001429E1" w:rsidRPr="00372AB4" w:rsidRDefault="001429E1" w:rsidP="001D7B5C">
            <w:pPr>
              <w:spacing w:after="0" w:line="240" w:lineRule="auto"/>
              <w:jc w:val="center"/>
              <w:rPr>
                <w:lang w:val="en-US"/>
              </w:rPr>
            </w:pPr>
            <w:r w:rsidRPr="00372AB4">
              <w:rPr>
                <w:lang w:val="en-US"/>
              </w:rPr>
              <w:t>3.1</w:t>
            </w:r>
          </w:p>
        </w:tc>
        <w:tc>
          <w:tcPr>
            <w:tcW w:w="1134" w:type="dxa"/>
            <w:tcBorders>
              <w:top w:val="single" w:sz="4" w:space="0" w:color="BFBFBF" w:themeColor="background1" w:themeShade="BF"/>
              <w:bottom w:val="single" w:sz="4" w:space="0" w:color="BFBFBF" w:themeColor="background1" w:themeShade="BF"/>
            </w:tcBorders>
            <w:vAlign w:val="center"/>
          </w:tcPr>
          <w:p w14:paraId="37A89E0A" w14:textId="77777777" w:rsidR="001429E1" w:rsidRPr="00372AB4" w:rsidRDefault="001429E1" w:rsidP="001D7B5C">
            <w:pPr>
              <w:spacing w:after="0" w:line="240" w:lineRule="auto"/>
              <w:jc w:val="center"/>
              <w:rPr>
                <w:lang w:val="en-US"/>
              </w:rPr>
            </w:pPr>
            <w:r w:rsidRPr="00372AB4">
              <w:rPr>
                <w:lang w:val="en-US"/>
              </w:rPr>
              <w:t>0.78</w:t>
            </w:r>
          </w:p>
        </w:tc>
        <w:tc>
          <w:tcPr>
            <w:tcW w:w="1842" w:type="dxa"/>
            <w:tcBorders>
              <w:top w:val="single" w:sz="4" w:space="0" w:color="BFBFBF" w:themeColor="background1" w:themeShade="BF"/>
              <w:bottom w:val="single" w:sz="4" w:space="0" w:color="BFBFBF" w:themeColor="background1" w:themeShade="BF"/>
            </w:tcBorders>
            <w:vAlign w:val="center"/>
          </w:tcPr>
          <w:p w14:paraId="5AC3AD56" w14:textId="77777777" w:rsidR="001429E1" w:rsidRPr="00372AB4" w:rsidRDefault="001429E1" w:rsidP="001D7B5C">
            <w:pPr>
              <w:spacing w:after="0" w:line="240" w:lineRule="auto"/>
              <w:jc w:val="center"/>
              <w:rPr>
                <w:lang w:val="en-US"/>
              </w:rPr>
            </w:pPr>
            <w:r w:rsidRPr="00372AB4">
              <w:rPr>
                <w:lang w:val="en-US"/>
              </w:rPr>
              <w:t>29.8</w:t>
            </w:r>
          </w:p>
        </w:tc>
        <w:tc>
          <w:tcPr>
            <w:tcW w:w="1146" w:type="dxa"/>
            <w:tcBorders>
              <w:top w:val="single" w:sz="4" w:space="0" w:color="BFBFBF" w:themeColor="background1" w:themeShade="BF"/>
              <w:bottom w:val="single" w:sz="4" w:space="0" w:color="BFBFBF" w:themeColor="background1" w:themeShade="BF"/>
            </w:tcBorders>
            <w:vAlign w:val="center"/>
          </w:tcPr>
          <w:p w14:paraId="1FDDB5EE" w14:textId="77777777" w:rsidR="001429E1" w:rsidRPr="00372AB4" w:rsidRDefault="001429E1" w:rsidP="001D7B5C">
            <w:pPr>
              <w:spacing w:after="0" w:line="240" w:lineRule="auto"/>
              <w:jc w:val="center"/>
              <w:rPr>
                <w:lang w:val="en-US"/>
              </w:rPr>
            </w:pPr>
            <w:r w:rsidRPr="00372AB4">
              <w:rPr>
                <w:lang w:val="en-US"/>
              </w:rPr>
              <w:t>90.5</w:t>
            </w:r>
          </w:p>
        </w:tc>
        <w:tc>
          <w:tcPr>
            <w:tcW w:w="1198" w:type="dxa"/>
            <w:tcBorders>
              <w:top w:val="single" w:sz="4" w:space="0" w:color="BFBFBF" w:themeColor="background1" w:themeShade="BF"/>
              <w:bottom w:val="single" w:sz="4" w:space="0" w:color="BFBFBF" w:themeColor="background1" w:themeShade="BF"/>
            </w:tcBorders>
            <w:vAlign w:val="center"/>
          </w:tcPr>
          <w:p w14:paraId="17991E57" w14:textId="77777777" w:rsidR="001429E1" w:rsidRPr="00372AB4" w:rsidRDefault="001429E1" w:rsidP="001D7B5C">
            <w:pPr>
              <w:spacing w:after="0" w:line="240" w:lineRule="auto"/>
              <w:jc w:val="center"/>
              <w:rPr>
                <w:lang w:val="en-US"/>
              </w:rPr>
            </w:pPr>
            <w:r w:rsidRPr="00372AB4">
              <w:rPr>
                <w:lang w:val="en-US"/>
              </w:rPr>
              <w:t>6.9</w:t>
            </w:r>
          </w:p>
        </w:tc>
        <w:tc>
          <w:tcPr>
            <w:tcW w:w="1022" w:type="dxa"/>
            <w:tcBorders>
              <w:top w:val="single" w:sz="4" w:space="0" w:color="BFBFBF" w:themeColor="background1" w:themeShade="BF"/>
              <w:bottom w:val="single" w:sz="4" w:space="0" w:color="BFBFBF" w:themeColor="background1" w:themeShade="BF"/>
            </w:tcBorders>
            <w:vAlign w:val="center"/>
          </w:tcPr>
          <w:p w14:paraId="682DAFE4" w14:textId="77777777" w:rsidR="001429E1" w:rsidRPr="00372AB4" w:rsidRDefault="001429E1" w:rsidP="001D7B5C">
            <w:pPr>
              <w:spacing w:after="0" w:line="240" w:lineRule="auto"/>
              <w:jc w:val="center"/>
              <w:rPr>
                <w:lang w:val="en-US"/>
              </w:rPr>
            </w:pPr>
            <w:r w:rsidRPr="00372AB4">
              <w:rPr>
                <w:lang w:val="en-US"/>
              </w:rPr>
              <w:t>98.2</w:t>
            </w:r>
          </w:p>
        </w:tc>
        <w:tc>
          <w:tcPr>
            <w:tcW w:w="980" w:type="dxa"/>
            <w:tcBorders>
              <w:top w:val="single" w:sz="4" w:space="0" w:color="BFBFBF" w:themeColor="background1" w:themeShade="BF"/>
              <w:left w:val="nil"/>
              <w:bottom w:val="single" w:sz="4" w:space="0" w:color="BFBFBF" w:themeColor="background1" w:themeShade="BF"/>
              <w:right w:val="nil"/>
            </w:tcBorders>
            <w:vAlign w:val="center"/>
          </w:tcPr>
          <w:p w14:paraId="3BC1B830" w14:textId="77777777" w:rsidR="001429E1" w:rsidRPr="00372AB4" w:rsidRDefault="001429E1" w:rsidP="001D7B5C">
            <w:pPr>
              <w:spacing w:after="0" w:line="240" w:lineRule="auto"/>
              <w:jc w:val="center"/>
              <w:rPr>
                <w:lang w:val="en-US"/>
              </w:rPr>
            </w:pPr>
            <w:r w:rsidRPr="00372AB4">
              <w:t>0.614</w:t>
            </w:r>
          </w:p>
        </w:tc>
      </w:tr>
      <w:tr w:rsidR="001429E1" w:rsidRPr="00372AB4" w14:paraId="745920F2" w14:textId="77777777" w:rsidTr="001D7B5C">
        <w:trPr>
          <w:trHeight w:val="567"/>
        </w:trPr>
        <w:tc>
          <w:tcPr>
            <w:tcW w:w="1503" w:type="dxa"/>
            <w:tcBorders>
              <w:top w:val="single" w:sz="4" w:space="0" w:color="BFBFBF" w:themeColor="background1" w:themeShade="BF"/>
              <w:bottom w:val="single" w:sz="4" w:space="0" w:color="BFBFBF" w:themeColor="background1" w:themeShade="BF"/>
            </w:tcBorders>
            <w:vAlign w:val="center"/>
          </w:tcPr>
          <w:p w14:paraId="20C265B0" w14:textId="77777777" w:rsidR="001429E1" w:rsidRPr="00372AB4" w:rsidRDefault="001429E1" w:rsidP="001D7B5C">
            <w:pPr>
              <w:spacing w:after="0" w:line="240" w:lineRule="auto"/>
              <w:rPr>
                <w:lang w:val="en-US"/>
              </w:rPr>
            </w:pPr>
            <w:r w:rsidRPr="00372AB4">
              <w:rPr>
                <w:lang w:val="en-US"/>
              </w:rPr>
              <w:t>PE+PTB</w:t>
            </w:r>
          </w:p>
        </w:tc>
        <w:tc>
          <w:tcPr>
            <w:tcW w:w="1582" w:type="dxa"/>
            <w:tcBorders>
              <w:top w:val="single" w:sz="4" w:space="0" w:color="BFBFBF" w:themeColor="background1" w:themeShade="BF"/>
              <w:bottom w:val="single" w:sz="4" w:space="0" w:color="BFBFBF" w:themeColor="background1" w:themeShade="BF"/>
            </w:tcBorders>
            <w:vAlign w:val="center"/>
          </w:tcPr>
          <w:p w14:paraId="5CC3C1F0" w14:textId="77777777" w:rsidR="001429E1" w:rsidRPr="00372AB4" w:rsidRDefault="001429E1" w:rsidP="001D7B5C">
            <w:pPr>
              <w:spacing w:after="0" w:line="240" w:lineRule="auto"/>
              <w:jc w:val="center"/>
              <w:rPr>
                <w:lang w:val="en-US"/>
              </w:rPr>
            </w:pPr>
            <w:r w:rsidRPr="00372AB4">
              <w:rPr>
                <w:lang w:val="en-US"/>
              </w:rPr>
              <w:t>6/398</w:t>
            </w:r>
          </w:p>
        </w:tc>
        <w:tc>
          <w:tcPr>
            <w:tcW w:w="1134" w:type="dxa"/>
            <w:tcBorders>
              <w:top w:val="single" w:sz="4" w:space="0" w:color="BFBFBF" w:themeColor="background1" w:themeShade="BF"/>
              <w:bottom w:val="single" w:sz="4" w:space="0" w:color="BFBFBF" w:themeColor="background1" w:themeShade="BF"/>
            </w:tcBorders>
            <w:vAlign w:val="center"/>
          </w:tcPr>
          <w:p w14:paraId="5CF40C72" w14:textId="77777777" w:rsidR="001429E1" w:rsidRPr="00372AB4" w:rsidRDefault="001429E1" w:rsidP="001D7B5C">
            <w:pPr>
              <w:spacing w:after="0" w:line="240" w:lineRule="auto"/>
              <w:jc w:val="center"/>
              <w:rPr>
                <w:lang w:val="en-US"/>
              </w:rPr>
            </w:pPr>
            <w:r w:rsidRPr="00372AB4">
              <w:rPr>
                <w:lang w:val="en-US"/>
              </w:rPr>
              <w:t>3617/23</w:t>
            </w:r>
          </w:p>
        </w:tc>
        <w:tc>
          <w:tcPr>
            <w:tcW w:w="1626" w:type="dxa"/>
            <w:tcBorders>
              <w:top w:val="single" w:sz="4" w:space="0" w:color="BFBFBF" w:themeColor="background1" w:themeShade="BF"/>
              <w:bottom w:val="single" w:sz="4" w:space="0" w:color="BFBFBF" w:themeColor="background1" w:themeShade="BF"/>
            </w:tcBorders>
            <w:vAlign w:val="center"/>
          </w:tcPr>
          <w:p w14:paraId="198E5FB6" w14:textId="77777777" w:rsidR="001429E1" w:rsidRPr="00372AB4" w:rsidRDefault="001429E1" w:rsidP="001D7B5C">
            <w:pPr>
              <w:spacing w:after="0" w:line="240" w:lineRule="auto"/>
              <w:jc w:val="center"/>
              <w:rPr>
                <w:lang w:val="en-US"/>
              </w:rPr>
            </w:pPr>
            <w:r w:rsidRPr="00372AB4">
              <w:rPr>
                <w:lang w:val="en-US"/>
              </w:rPr>
              <w:t>2.1</w:t>
            </w:r>
          </w:p>
        </w:tc>
        <w:tc>
          <w:tcPr>
            <w:tcW w:w="1134" w:type="dxa"/>
            <w:tcBorders>
              <w:top w:val="single" w:sz="4" w:space="0" w:color="BFBFBF" w:themeColor="background1" w:themeShade="BF"/>
              <w:bottom w:val="single" w:sz="4" w:space="0" w:color="BFBFBF" w:themeColor="background1" w:themeShade="BF"/>
            </w:tcBorders>
            <w:vAlign w:val="center"/>
          </w:tcPr>
          <w:p w14:paraId="05FA8AFC" w14:textId="77777777" w:rsidR="001429E1" w:rsidRPr="00372AB4" w:rsidRDefault="001429E1" w:rsidP="001D7B5C">
            <w:pPr>
              <w:spacing w:after="0" w:line="240" w:lineRule="auto"/>
              <w:jc w:val="center"/>
              <w:rPr>
                <w:lang w:val="en-US"/>
              </w:rPr>
            </w:pPr>
            <w:r w:rsidRPr="00372AB4">
              <w:rPr>
                <w:lang w:val="en-US"/>
              </w:rPr>
              <w:t>0.88</w:t>
            </w:r>
          </w:p>
        </w:tc>
        <w:tc>
          <w:tcPr>
            <w:tcW w:w="1842" w:type="dxa"/>
            <w:tcBorders>
              <w:top w:val="single" w:sz="4" w:space="0" w:color="BFBFBF" w:themeColor="background1" w:themeShade="BF"/>
              <w:bottom w:val="single" w:sz="4" w:space="0" w:color="BFBFBF" w:themeColor="background1" w:themeShade="BF"/>
            </w:tcBorders>
            <w:vAlign w:val="center"/>
          </w:tcPr>
          <w:p w14:paraId="77B28C0F" w14:textId="77777777" w:rsidR="001429E1" w:rsidRPr="00372AB4" w:rsidRDefault="001429E1" w:rsidP="001D7B5C">
            <w:pPr>
              <w:spacing w:after="0" w:line="240" w:lineRule="auto"/>
              <w:jc w:val="center"/>
              <w:rPr>
                <w:lang w:val="en-US"/>
              </w:rPr>
            </w:pPr>
            <w:r w:rsidRPr="00372AB4">
              <w:rPr>
                <w:lang w:val="en-US"/>
              </w:rPr>
              <w:t>20.7</w:t>
            </w:r>
          </w:p>
        </w:tc>
        <w:tc>
          <w:tcPr>
            <w:tcW w:w="1146" w:type="dxa"/>
            <w:tcBorders>
              <w:top w:val="single" w:sz="4" w:space="0" w:color="BFBFBF" w:themeColor="background1" w:themeShade="BF"/>
              <w:bottom w:val="single" w:sz="4" w:space="0" w:color="BFBFBF" w:themeColor="background1" w:themeShade="BF"/>
            </w:tcBorders>
            <w:vAlign w:val="center"/>
          </w:tcPr>
          <w:p w14:paraId="17B4033A" w14:textId="77777777" w:rsidR="001429E1" w:rsidRPr="00372AB4" w:rsidRDefault="001429E1" w:rsidP="001D7B5C">
            <w:pPr>
              <w:spacing w:after="0" w:line="240" w:lineRule="auto"/>
              <w:jc w:val="center"/>
              <w:rPr>
                <w:lang w:val="en-US"/>
              </w:rPr>
            </w:pPr>
            <w:r w:rsidRPr="00372AB4">
              <w:rPr>
                <w:lang w:val="en-US"/>
              </w:rPr>
              <w:t>90.1</w:t>
            </w:r>
          </w:p>
        </w:tc>
        <w:tc>
          <w:tcPr>
            <w:tcW w:w="1198" w:type="dxa"/>
            <w:tcBorders>
              <w:top w:val="single" w:sz="4" w:space="0" w:color="BFBFBF" w:themeColor="background1" w:themeShade="BF"/>
              <w:bottom w:val="single" w:sz="4" w:space="0" w:color="BFBFBF" w:themeColor="background1" w:themeShade="BF"/>
            </w:tcBorders>
            <w:vAlign w:val="center"/>
          </w:tcPr>
          <w:p w14:paraId="6FEC9193" w14:textId="77777777" w:rsidR="001429E1" w:rsidRPr="00372AB4" w:rsidRDefault="001429E1" w:rsidP="001D7B5C">
            <w:pPr>
              <w:spacing w:after="0" w:line="240" w:lineRule="auto"/>
              <w:jc w:val="center"/>
              <w:rPr>
                <w:lang w:val="en-US"/>
              </w:rPr>
            </w:pPr>
            <w:r w:rsidRPr="00372AB4">
              <w:rPr>
                <w:lang w:val="en-US"/>
              </w:rPr>
              <w:t>1.5</w:t>
            </w:r>
          </w:p>
        </w:tc>
        <w:tc>
          <w:tcPr>
            <w:tcW w:w="1022" w:type="dxa"/>
            <w:tcBorders>
              <w:top w:val="single" w:sz="4" w:space="0" w:color="BFBFBF" w:themeColor="background1" w:themeShade="BF"/>
              <w:bottom w:val="single" w:sz="4" w:space="0" w:color="BFBFBF" w:themeColor="background1" w:themeShade="BF"/>
            </w:tcBorders>
            <w:vAlign w:val="center"/>
          </w:tcPr>
          <w:p w14:paraId="61999582" w14:textId="77777777" w:rsidR="001429E1" w:rsidRPr="00372AB4" w:rsidRDefault="001429E1" w:rsidP="001D7B5C">
            <w:pPr>
              <w:spacing w:after="0" w:line="240" w:lineRule="auto"/>
              <w:jc w:val="center"/>
              <w:rPr>
                <w:lang w:val="en-US"/>
              </w:rPr>
            </w:pPr>
            <w:r w:rsidRPr="00372AB4">
              <w:rPr>
                <w:lang w:val="en-US"/>
              </w:rPr>
              <w:t>99.4</w:t>
            </w:r>
          </w:p>
        </w:tc>
        <w:tc>
          <w:tcPr>
            <w:tcW w:w="980" w:type="dxa"/>
            <w:tcBorders>
              <w:top w:val="single" w:sz="4" w:space="0" w:color="BFBFBF" w:themeColor="background1" w:themeShade="BF"/>
              <w:left w:val="nil"/>
              <w:bottom w:val="single" w:sz="4" w:space="0" w:color="BFBFBF" w:themeColor="background1" w:themeShade="BF"/>
              <w:right w:val="nil"/>
            </w:tcBorders>
            <w:vAlign w:val="center"/>
          </w:tcPr>
          <w:p w14:paraId="5C0985A6" w14:textId="77777777" w:rsidR="001429E1" w:rsidRPr="00372AB4" w:rsidRDefault="001429E1" w:rsidP="001D7B5C">
            <w:pPr>
              <w:spacing w:after="0" w:line="240" w:lineRule="auto"/>
              <w:jc w:val="center"/>
              <w:rPr>
                <w:lang w:val="en-US"/>
              </w:rPr>
            </w:pPr>
            <w:r w:rsidRPr="00372AB4">
              <w:t>0.586</w:t>
            </w:r>
          </w:p>
        </w:tc>
      </w:tr>
      <w:tr w:rsidR="001429E1" w:rsidRPr="00372AB4" w14:paraId="7B334489" w14:textId="77777777" w:rsidTr="001D7B5C">
        <w:trPr>
          <w:trHeight w:val="567"/>
        </w:trPr>
        <w:tc>
          <w:tcPr>
            <w:tcW w:w="1503" w:type="dxa"/>
            <w:tcBorders>
              <w:top w:val="single" w:sz="4" w:space="0" w:color="BFBFBF" w:themeColor="background1" w:themeShade="BF"/>
              <w:bottom w:val="single" w:sz="4" w:space="0" w:color="BFBFBF" w:themeColor="background1" w:themeShade="BF"/>
            </w:tcBorders>
            <w:vAlign w:val="center"/>
          </w:tcPr>
          <w:p w14:paraId="1A51D67B" w14:textId="77777777" w:rsidR="001429E1" w:rsidRPr="00372AB4" w:rsidRDefault="001429E1" w:rsidP="001D7B5C">
            <w:pPr>
              <w:spacing w:after="0" w:line="240" w:lineRule="auto"/>
              <w:rPr>
                <w:lang w:val="en-US"/>
              </w:rPr>
            </w:pPr>
            <w:r w:rsidRPr="00372AB4">
              <w:rPr>
                <w:lang w:val="en-US"/>
              </w:rPr>
              <w:t>Severe PE</w:t>
            </w:r>
          </w:p>
        </w:tc>
        <w:tc>
          <w:tcPr>
            <w:tcW w:w="1582" w:type="dxa"/>
            <w:tcBorders>
              <w:top w:val="single" w:sz="4" w:space="0" w:color="BFBFBF" w:themeColor="background1" w:themeShade="BF"/>
              <w:bottom w:val="single" w:sz="4" w:space="0" w:color="BFBFBF" w:themeColor="background1" w:themeShade="BF"/>
            </w:tcBorders>
            <w:vAlign w:val="center"/>
          </w:tcPr>
          <w:p w14:paraId="509DFC2F" w14:textId="77777777" w:rsidR="001429E1" w:rsidRPr="00372AB4" w:rsidRDefault="001429E1" w:rsidP="001D7B5C">
            <w:pPr>
              <w:spacing w:after="0" w:line="240" w:lineRule="auto"/>
              <w:jc w:val="center"/>
              <w:rPr>
                <w:lang w:val="en-US"/>
              </w:rPr>
            </w:pPr>
            <w:r w:rsidRPr="00372AB4">
              <w:rPr>
                <w:lang w:val="en-US"/>
              </w:rPr>
              <w:t>19/385</w:t>
            </w:r>
          </w:p>
        </w:tc>
        <w:tc>
          <w:tcPr>
            <w:tcW w:w="1134" w:type="dxa"/>
            <w:tcBorders>
              <w:top w:val="single" w:sz="4" w:space="0" w:color="BFBFBF" w:themeColor="background1" w:themeShade="BF"/>
              <w:bottom w:val="single" w:sz="4" w:space="0" w:color="BFBFBF" w:themeColor="background1" w:themeShade="BF"/>
            </w:tcBorders>
            <w:vAlign w:val="center"/>
          </w:tcPr>
          <w:p w14:paraId="57E06633" w14:textId="77777777" w:rsidR="001429E1" w:rsidRPr="00372AB4" w:rsidRDefault="001429E1" w:rsidP="001D7B5C">
            <w:pPr>
              <w:spacing w:after="0" w:line="240" w:lineRule="auto"/>
              <w:jc w:val="center"/>
              <w:rPr>
                <w:lang w:val="en-US"/>
              </w:rPr>
            </w:pPr>
            <w:r w:rsidRPr="00372AB4">
              <w:rPr>
                <w:lang w:val="en-US"/>
              </w:rPr>
              <w:t>3530/110</w:t>
            </w:r>
          </w:p>
        </w:tc>
        <w:tc>
          <w:tcPr>
            <w:tcW w:w="1626" w:type="dxa"/>
            <w:tcBorders>
              <w:top w:val="single" w:sz="4" w:space="0" w:color="BFBFBF" w:themeColor="background1" w:themeShade="BF"/>
              <w:bottom w:val="single" w:sz="4" w:space="0" w:color="BFBFBF" w:themeColor="background1" w:themeShade="BF"/>
            </w:tcBorders>
            <w:vAlign w:val="center"/>
          </w:tcPr>
          <w:p w14:paraId="56BD852C" w14:textId="77777777" w:rsidR="001429E1" w:rsidRPr="00372AB4" w:rsidRDefault="001429E1" w:rsidP="001D7B5C">
            <w:pPr>
              <w:spacing w:after="0" w:line="240" w:lineRule="auto"/>
              <w:jc w:val="center"/>
              <w:rPr>
                <w:lang w:val="en-US"/>
              </w:rPr>
            </w:pPr>
            <w:r w:rsidRPr="00372AB4">
              <w:rPr>
                <w:lang w:val="en-US"/>
              </w:rPr>
              <w:t>1.5</w:t>
            </w:r>
          </w:p>
        </w:tc>
        <w:tc>
          <w:tcPr>
            <w:tcW w:w="1134" w:type="dxa"/>
            <w:tcBorders>
              <w:top w:val="single" w:sz="4" w:space="0" w:color="BFBFBF" w:themeColor="background1" w:themeShade="BF"/>
              <w:bottom w:val="single" w:sz="4" w:space="0" w:color="BFBFBF" w:themeColor="background1" w:themeShade="BF"/>
            </w:tcBorders>
            <w:vAlign w:val="center"/>
          </w:tcPr>
          <w:p w14:paraId="3FAAD03C" w14:textId="77777777" w:rsidR="001429E1" w:rsidRPr="00372AB4" w:rsidRDefault="001429E1" w:rsidP="001D7B5C">
            <w:pPr>
              <w:spacing w:after="0" w:line="240" w:lineRule="auto"/>
              <w:jc w:val="center"/>
              <w:rPr>
                <w:lang w:val="en-US"/>
              </w:rPr>
            </w:pPr>
            <w:r w:rsidRPr="00372AB4">
              <w:rPr>
                <w:lang w:val="en-US"/>
              </w:rPr>
              <w:t>0.95</w:t>
            </w:r>
          </w:p>
        </w:tc>
        <w:tc>
          <w:tcPr>
            <w:tcW w:w="1842" w:type="dxa"/>
            <w:tcBorders>
              <w:top w:val="single" w:sz="4" w:space="0" w:color="BFBFBF" w:themeColor="background1" w:themeShade="BF"/>
              <w:bottom w:val="single" w:sz="4" w:space="0" w:color="BFBFBF" w:themeColor="background1" w:themeShade="BF"/>
            </w:tcBorders>
            <w:vAlign w:val="center"/>
          </w:tcPr>
          <w:p w14:paraId="1703732D" w14:textId="77777777" w:rsidR="001429E1" w:rsidRPr="00372AB4" w:rsidRDefault="001429E1" w:rsidP="001D7B5C">
            <w:pPr>
              <w:spacing w:after="0" w:line="240" w:lineRule="auto"/>
              <w:jc w:val="center"/>
              <w:rPr>
                <w:lang w:val="en-US"/>
              </w:rPr>
            </w:pPr>
            <w:r w:rsidRPr="00372AB4">
              <w:rPr>
                <w:lang w:val="en-US"/>
              </w:rPr>
              <w:t>14.7</w:t>
            </w:r>
          </w:p>
        </w:tc>
        <w:tc>
          <w:tcPr>
            <w:tcW w:w="1146" w:type="dxa"/>
            <w:tcBorders>
              <w:top w:val="single" w:sz="4" w:space="0" w:color="BFBFBF" w:themeColor="background1" w:themeShade="BF"/>
              <w:bottom w:val="single" w:sz="4" w:space="0" w:color="BFBFBF" w:themeColor="background1" w:themeShade="BF"/>
            </w:tcBorders>
            <w:vAlign w:val="center"/>
          </w:tcPr>
          <w:p w14:paraId="7A6655F8" w14:textId="77777777" w:rsidR="001429E1" w:rsidRPr="00372AB4" w:rsidRDefault="001429E1" w:rsidP="001D7B5C">
            <w:pPr>
              <w:spacing w:after="0" w:line="240" w:lineRule="auto"/>
              <w:jc w:val="center"/>
              <w:rPr>
                <w:lang w:val="en-US"/>
              </w:rPr>
            </w:pPr>
            <w:r w:rsidRPr="00372AB4">
              <w:rPr>
                <w:lang w:val="en-US"/>
              </w:rPr>
              <w:t>90.2</w:t>
            </w:r>
          </w:p>
        </w:tc>
        <w:tc>
          <w:tcPr>
            <w:tcW w:w="1198" w:type="dxa"/>
            <w:tcBorders>
              <w:top w:val="single" w:sz="4" w:space="0" w:color="BFBFBF" w:themeColor="background1" w:themeShade="BF"/>
              <w:bottom w:val="single" w:sz="4" w:space="0" w:color="BFBFBF" w:themeColor="background1" w:themeShade="BF"/>
            </w:tcBorders>
            <w:vAlign w:val="center"/>
          </w:tcPr>
          <w:p w14:paraId="42FCF604" w14:textId="77777777" w:rsidR="001429E1" w:rsidRPr="00372AB4" w:rsidRDefault="001429E1" w:rsidP="001D7B5C">
            <w:pPr>
              <w:spacing w:after="0" w:line="240" w:lineRule="auto"/>
              <w:jc w:val="center"/>
              <w:rPr>
                <w:lang w:val="en-US"/>
              </w:rPr>
            </w:pPr>
            <w:r w:rsidRPr="00372AB4">
              <w:rPr>
                <w:lang w:val="en-US"/>
              </w:rPr>
              <w:t>4.7</w:t>
            </w:r>
          </w:p>
        </w:tc>
        <w:tc>
          <w:tcPr>
            <w:tcW w:w="1022" w:type="dxa"/>
            <w:tcBorders>
              <w:top w:val="single" w:sz="4" w:space="0" w:color="BFBFBF" w:themeColor="background1" w:themeShade="BF"/>
              <w:bottom w:val="single" w:sz="4" w:space="0" w:color="BFBFBF" w:themeColor="background1" w:themeShade="BF"/>
            </w:tcBorders>
            <w:vAlign w:val="center"/>
          </w:tcPr>
          <w:p w14:paraId="7D76D915" w14:textId="77777777" w:rsidR="001429E1" w:rsidRPr="00372AB4" w:rsidRDefault="001429E1" w:rsidP="001D7B5C">
            <w:pPr>
              <w:spacing w:after="0" w:line="240" w:lineRule="auto"/>
              <w:jc w:val="center"/>
              <w:rPr>
                <w:lang w:val="en-US"/>
              </w:rPr>
            </w:pPr>
            <w:r w:rsidRPr="00372AB4">
              <w:rPr>
                <w:lang w:val="en-US"/>
              </w:rPr>
              <w:t>97.0</w:t>
            </w:r>
          </w:p>
        </w:tc>
        <w:tc>
          <w:tcPr>
            <w:tcW w:w="980" w:type="dxa"/>
            <w:tcBorders>
              <w:top w:val="single" w:sz="4" w:space="0" w:color="BFBFBF" w:themeColor="background1" w:themeShade="BF"/>
              <w:left w:val="nil"/>
              <w:bottom w:val="single" w:sz="4" w:space="0" w:color="BFBFBF" w:themeColor="background1" w:themeShade="BF"/>
              <w:right w:val="nil"/>
            </w:tcBorders>
            <w:vAlign w:val="center"/>
          </w:tcPr>
          <w:p w14:paraId="5372EE78" w14:textId="77777777" w:rsidR="001429E1" w:rsidRPr="00372AB4" w:rsidRDefault="001429E1" w:rsidP="001D7B5C">
            <w:pPr>
              <w:spacing w:after="0" w:line="240" w:lineRule="auto"/>
              <w:jc w:val="center"/>
              <w:rPr>
                <w:lang w:val="en-US"/>
              </w:rPr>
            </w:pPr>
            <w:r w:rsidRPr="00372AB4">
              <w:t>0.559</w:t>
            </w:r>
          </w:p>
        </w:tc>
      </w:tr>
      <w:tr w:rsidR="001429E1" w:rsidRPr="00372AB4" w14:paraId="6EAC6099" w14:textId="77777777" w:rsidTr="001D7B5C">
        <w:trPr>
          <w:trHeight w:val="567"/>
        </w:trPr>
        <w:tc>
          <w:tcPr>
            <w:tcW w:w="1503" w:type="dxa"/>
            <w:tcBorders>
              <w:top w:val="single" w:sz="4" w:space="0" w:color="BFBFBF" w:themeColor="background1" w:themeShade="BF"/>
              <w:bottom w:val="single" w:sz="4" w:space="0" w:color="BFBFBF" w:themeColor="background1" w:themeShade="BF"/>
            </w:tcBorders>
            <w:vAlign w:val="center"/>
          </w:tcPr>
          <w:p w14:paraId="78D93EE4" w14:textId="77777777" w:rsidR="001429E1" w:rsidRPr="00372AB4" w:rsidRDefault="001429E1" w:rsidP="001D7B5C">
            <w:pPr>
              <w:spacing w:after="0" w:line="240" w:lineRule="auto"/>
              <w:rPr>
                <w:lang w:val="en-US"/>
              </w:rPr>
            </w:pPr>
            <w:r w:rsidRPr="00372AB4">
              <w:rPr>
                <w:lang w:val="en-US"/>
              </w:rPr>
              <w:t>PE+SGA</w:t>
            </w:r>
          </w:p>
        </w:tc>
        <w:tc>
          <w:tcPr>
            <w:tcW w:w="1582" w:type="dxa"/>
            <w:tcBorders>
              <w:top w:val="single" w:sz="4" w:space="0" w:color="BFBFBF" w:themeColor="background1" w:themeShade="BF"/>
              <w:bottom w:val="single" w:sz="4" w:space="0" w:color="BFBFBF" w:themeColor="background1" w:themeShade="BF"/>
            </w:tcBorders>
            <w:vAlign w:val="center"/>
          </w:tcPr>
          <w:p w14:paraId="414EAC3C" w14:textId="77777777" w:rsidR="001429E1" w:rsidRPr="00372AB4" w:rsidRDefault="001429E1" w:rsidP="001D7B5C">
            <w:pPr>
              <w:spacing w:after="0" w:line="240" w:lineRule="auto"/>
              <w:jc w:val="center"/>
              <w:rPr>
                <w:lang w:val="en-US"/>
              </w:rPr>
            </w:pPr>
            <w:r w:rsidRPr="00372AB4">
              <w:rPr>
                <w:lang w:val="en-US"/>
              </w:rPr>
              <w:t>9/395</w:t>
            </w:r>
          </w:p>
        </w:tc>
        <w:tc>
          <w:tcPr>
            <w:tcW w:w="1134" w:type="dxa"/>
            <w:tcBorders>
              <w:top w:val="single" w:sz="4" w:space="0" w:color="BFBFBF" w:themeColor="background1" w:themeShade="BF"/>
              <w:bottom w:val="single" w:sz="4" w:space="0" w:color="BFBFBF" w:themeColor="background1" w:themeShade="BF"/>
            </w:tcBorders>
            <w:vAlign w:val="center"/>
          </w:tcPr>
          <w:p w14:paraId="023259EF" w14:textId="77777777" w:rsidR="001429E1" w:rsidRPr="00372AB4" w:rsidRDefault="001429E1" w:rsidP="001D7B5C">
            <w:pPr>
              <w:spacing w:after="0" w:line="240" w:lineRule="auto"/>
              <w:jc w:val="center"/>
              <w:rPr>
                <w:lang w:val="en-US"/>
              </w:rPr>
            </w:pPr>
            <w:r w:rsidRPr="00372AB4">
              <w:rPr>
                <w:lang w:val="en-US"/>
              </w:rPr>
              <w:t>3617/23</w:t>
            </w:r>
          </w:p>
        </w:tc>
        <w:tc>
          <w:tcPr>
            <w:tcW w:w="1626" w:type="dxa"/>
            <w:tcBorders>
              <w:top w:val="single" w:sz="4" w:space="0" w:color="BFBFBF" w:themeColor="background1" w:themeShade="BF"/>
              <w:bottom w:val="single" w:sz="4" w:space="0" w:color="BFBFBF" w:themeColor="background1" w:themeShade="BF"/>
            </w:tcBorders>
            <w:vAlign w:val="center"/>
          </w:tcPr>
          <w:p w14:paraId="60B0DB06" w14:textId="77777777" w:rsidR="001429E1" w:rsidRPr="00372AB4" w:rsidRDefault="001429E1" w:rsidP="001D7B5C">
            <w:pPr>
              <w:spacing w:after="0" w:line="240" w:lineRule="auto"/>
              <w:jc w:val="center"/>
              <w:rPr>
                <w:lang w:val="en-US"/>
              </w:rPr>
            </w:pPr>
            <w:r w:rsidRPr="00372AB4">
              <w:rPr>
                <w:lang w:val="en-US"/>
              </w:rPr>
              <w:t>2.9</w:t>
            </w:r>
          </w:p>
        </w:tc>
        <w:tc>
          <w:tcPr>
            <w:tcW w:w="1134" w:type="dxa"/>
            <w:tcBorders>
              <w:top w:val="single" w:sz="4" w:space="0" w:color="BFBFBF" w:themeColor="background1" w:themeShade="BF"/>
              <w:bottom w:val="single" w:sz="4" w:space="0" w:color="BFBFBF" w:themeColor="background1" w:themeShade="BF"/>
            </w:tcBorders>
            <w:vAlign w:val="center"/>
          </w:tcPr>
          <w:p w14:paraId="7BCF4DAB" w14:textId="77777777" w:rsidR="001429E1" w:rsidRPr="00372AB4" w:rsidRDefault="001429E1" w:rsidP="001D7B5C">
            <w:pPr>
              <w:spacing w:after="0" w:line="240" w:lineRule="auto"/>
              <w:jc w:val="center"/>
              <w:rPr>
                <w:lang w:val="en-US"/>
              </w:rPr>
            </w:pPr>
            <w:r w:rsidRPr="00372AB4">
              <w:rPr>
                <w:lang w:val="en-US"/>
              </w:rPr>
              <w:t>0.80</w:t>
            </w:r>
          </w:p>
        </w:tc>
        <w:tc>
          <w:tcPr>
            <w:tcW w:w="1842" w:type="dxa"/>
            <w:tcBorders>
              <w:top w:val="single" w:sz="4" w:space="0" w:color="BFBFBF" w:themeColor="background1" w:themeShade="BF"/>
              <w:bottom w:val="single" w:sz="4" w:space="0" w:color="BFBFBF" w:themeColor="background1" w:themeShade="BF"/>
            </w:tcBorders>
            <w:vAlign w:val="center"/>
          </w:tcPr>
          <w:p w14:paraId="5AE39DD1" w14:textId="77777777" w:rsidR="001429E1" w:rsidRPr="00372AB4" w:rsidRDefault="001429E1" w:rsidP="001D7B5C">
            <w:pPr>
              <w:spacing w:after="0" w:line="240" w:lineRule="auto"/>
              <w:jc w:val="center"/>
              <w:rPr>
                <w:lang w:val="en-US"/>
              </w:rPr>
            </w:pPr>
            <w:r w:rsidRPr="00372AB4">
              <w:rPr>
                <w:lang w:val="en-US"/>
              </w:rPr>
              <w:t>28.1</w:t>
            </w:r>
          </w:p>
        </w:tc>
        <w:tc>
          <w:tcPr>
            <w:tcW w:w="1146" w:type="dxa"/>
            <w:tcBorders>
              <w:top w:val="single" w:sz="4" w:space="0" w:color="BFBFBF" w:themeColor="background1" w:themeShade="BF"/>
              <w:bottom w:val="single" w:sz="4" w:space="0" w:color="BFBFBF" w:themeColor="background1" w:themeShade="BF"/>
            </w:tcBorders>
            <w:vAlign w:val="center"/>
          </w:tcPr>
          <w:p w14:paraId="692A4F23" w14:textId="77777777" w:rsidR="001429E1" w:rsidRPr="00372AB4" w:rsidRDefault="001429E1" w:rsidP="001D7B5C">
            <w:pPr>
              <w:spacing w:after="0" w:line="240" w:lineRule="auto"/>
              <w:jc w:val="center"/>
              <w:rPr>
                <w:lang w:val="en-US"/>
              </w:rPr>
            </w:pPr>
            <w:r w:rsidRPr="00372AB4">
              <w:rPr>
                <w:lang w:val="en-US"/>
              </w:rPr>
              <w:t>90.2</w:t>
            </w:r>
          </w:p>
        </w:tc>
        <w:tc>
          <w:tcPr>
            <w:tcW w:w="1198" w:type="dxa"/>
            <w:tcBorders>
              <w:top w:val="single" w:sz="4" w:space="0" w:color="BFBFBF" w:themeColor="background1" w:themeShade="BF"/>
              <w:bottom w:val="single" w:sz="4" w:space="0" w:color="BFBFBF" w:themeColor="background1" w:themeShade="BF"/>
            </w:tcBorders>
            <w:vAlign w:val="center"/>
          </w:tcPr>
          <w:p w14:paraId="172AE75B" w14:textId="77777777" w:rsidR="001429E1" w:rsidRPr="00372AB4" w:rsidRDefault="001429E1" w:rsidP="001D7B5C">
            <w:pPr>
              <w:spacing w:after="0" w:line="240" w:lineRule="auto"/>
              <w:jc w:val="center"/>
              <w:rPr>
                <w:lang w:val="en-US"/>
              </w:rPr>
            </w:pPr>
            <w:r w:rsidRPr="00372AB4">
              <w:rPr>
                <w:lang w:val="en-US"/>
              </w:rPr>
              <w:t>2.2</w:t>
            </w:r>
          </w:p>
        </w:tc>
        <w:tc>
          <w:tcPr>
            <w:tcW w:w="1022" w:type="dxa"/>
            <w:tcBorders>
              <w:top w:val="single" w:sz="4" w:space="0" w:color="BFBFBF" w:themeColor="background1" w:themeShade="BF"/>
              <w:bottom w:val="single" w:sz="4" w:space="0" w:color="BFBFBF" w:themeColor="background1" w:themeShade="BF"/>
            </w:tcBorders>
            <w:vAlign w:val="center"/>
          </w:tcPr>
          <w:p w14:paraId="63FA4847" w14:textId="77777777" w:rsidR="001429E1" w:rsidRPr="00372AB4" w:rsidRDefault="001429E1" w:rsidP="001D7B5C">
            <w:pPr>
              <w:spacing w:after="0" w:line="240" w:lineRule="auto"/>
              <w:jc w:val="center"/>
              <w:rPr>
                <w:lang w:val="en-US"/>
              </w:rPr>
            </w:pPr>
            <w:r w:rsidRPr="00372AB4">
              <w:rPr>
                <w:lang w:val="en-US"/>
              </w:rPr>
              <w:t>99.4</w:t>
            </w:r>
          </w:p>
        </w:tc>
        <w:tc>
          <w:tcPr>
            <w:tcW w:w="980" w:type="dxa"/>
            <w:tcBorders>
              <w:top w:val="single" w:sz="4" w:space="0" w:color="BFBFBF" w:themeColor="background1" w:themeShade="BF"/>
              <w:left w:val="nil"/>
              <w:bottom w:val="single" w:sz="4" w:space="0" w:color="BFBFBF" w:themeColor="background1" w:themeShade="BF"/>
              <w:right w:val="nil"/>
            </w:tcBorders>
            <w:vAlign w:val="center"/>
          </w:tcPr>
          <w:p w14:paraId="13B3AACE" w14:textId="77777777" w:rsidR="001429E1" w:rsidRPr="00372AB4" w:rsidRDefault="001429E1" w:rsidP="001D7B5C">
            <w:pPr>
              <w:spacing w:after="0" w:line="240" w:lineRule="auto"/>
              <w:jc w:val="center"/>
              <w:rPr>
                <w:lang w:val="en-US"/>
              </w:rPr>
            </w:pPr>
            <w:r w:rsidRPr="00372AB4">
              <w:t>0.675</w:t>
            </w:r>
          </w:p>
        </w:tc>
      </w:tr>
      <w:tr w:rsidR="001429E1" w:rsidRPr="00372AB4" w14:paraId="4709B441" w14:textId="77777777" w:rsidTr="001D7B5C">
        <w:trPr>
          <w:trHeight w:val="567"/>
        </w:trPr>
        <w:tc>
          <w:tcPr>
            <w:tcW w:w="1503" w:type="dxa"/>
            <w:tcBorders>
              <w:top w:val="single" w:sz="4" w:space="0" w:color="BFBFBF" w:themeColor="background1" w:themeShade="BF"/>
              <w:bottom w:val="single" w:sz="4" w:space="0" w:color="BFBFBF" w:themeColor="background1" w:themeShade="BF"/>
            </w:tcBorders>
            <w:vAlign w:val="center"/>
          </w:tcPr>
          <w:p w14:paraId="6602BD86" w14:textId="77777777" w:rsidR="001429E1" w:rsidRPr="00372AB4" w:rsidRDefault="001429E1" w:rsidP="001D7B5C">
            <w:pPr>
              <w:spacing w:after="0" w:line="240" w:lineRule="auto"/>
              <w:rPr>
                <w:lang w:val="en-US"/>
              </w:rPr>
            </w:pPr>
            <w:r w:rsidRPr="00372AB4">
              <w:rPr>
                <w:lang w:val="en-US"/>
              </w:rPr>
              <w:t>sPTB</w:t>
            </w:r>
          </w:p>
        </w:tc>
        <w:tc>
          <w:tcPr>
            <w:tcW w:w="1582" w:type="dxa"/>
            <w:tcBorders>
              <w:top w:val="single" w:sz="4" w:space="0" w:color="BFBFBF" w:themeColor="background1" w:themeShade="BF"/>
              <w:bottom w:val="single" w:sz="4" w:space="0" w:color="BFBFBF" w:themeColor="background1" w:themeShade="BF"/>
            </w:tcBorders>
            <w:vAlign w:val="center"/>
          </w:tcPr>
          <w:p w14:paraId="122DA5E8" w14:textId="77777777" w:rsidR="001429E1" w:rsidRPr="00372AB4" w:rsidRDefault="001429E1" w:rsidP="001D7B5C">
            <w:pPr>
              <w:spacing w:after="0" w:line="240" w:lineRule="auto"/>
              <w:jc w:val="center"/>
              <w:rPr>
                <w:lang w:val="en-US"/>
              </w:rPr>
            </w:pPr>
            <w:r w:rsidRPr="00372AB4">
              <w:rPr>
                <w:lang w:val="en-US"/>
              </w:rPr>
              <w:t>23/365</w:t>
            </w:r>
          </w:p>
        </w:tc>
        <w:tc>
          <w:tcPr>
            <w:tcW w:w="1134" w:type="dxa"/>
            <w:tcBorders>
              <w:top w:val="single" w:sz="4" w:space="0" w:color="BFBFBF" w:themeColor="background1" w:themeShade="BF"/>
              <w:bottom w:val="single" w:sz="4" w:space="0" w:color="BFBFBF" w:themeColor="background1" w:themeShade="BF"/>
            </w:tcBorders>
            <w:vAlign w:val="center"/>
          </w:tcPr>
          <w:p w14:paraId="7C428228" w14:textId="77777777" w:rsidR="001429E1" w:rsidRPr="00372AB4" w:rsidRDefault="001429E1" w:rsidP="001D7B5C">
            <w:pPr>
              <w:spacing w:after="0" w:line="240" w:lineRule="auto"/>
              <w:jc w:val="center"/>
              <w:rPr>
                <w:lang w:val="en-US"/>
              </w:rPr>
            </w:pPr>
            <w:r w:rsidRPr="00372AB4">
              <w:rPr>
                <w:lang w:val="en-US"/>
              </w:rPr>
              <w:t>3487/88</w:t>
            </w:r>
          </w:p>
        </w:tc>
        <w:tc>
          <w:tcPr>
            <w:tcW w:w="1626" w:type="dxa"/>
            <w:tcBorders>
              <w:top w:val="single" w:sz="4" w:space="0" w:color="BFBFBF" w:themeColor="background1" w:themeShade="BF"/>
              <w:bottom w:val="single" w:sz="4" w:space="0" w:color="BFBFBF" w:themeColor="background1" w:themeShade="BF"/>
            </w:tcBorders>
            <w:vAlign w:val="center"/>
          </w:tcPr>
          <w:p w14:paraId="1E88204F" w14:textId="77777777" w:rsidR="001429E1" w:rsidRPr="00372AB4" w:rsidRDefault="001429E1" w:rsidP="001D7B5C">
            <w:pPr>
              <w:spacing w:after="0" w:line="240" w:lineRule="auto"/>
              <w:jc w:val="center"/>
              <w:rPr>
                <w:lang w:val="en-US"/>
              </w:rPr>
            </w:pPr>
            <w:r w:rsidRPr="00372AB4">
              <w:rPr>
                <w:lang w:val="en-US"/>
              </w:rPr>
              <w:t>2.2</w:t>
            </w:r>
          </w:p>
        </w:tc>
        <w:tc>
          <w:tcPr>
            <w:tcW w:w="1134" w:type="dxa"/>
            <w:tcBorders>
              <w:top w:val="single" w:sz="4" w:space="0" w:color="BFBFBF" w:themeColor="background1" w:themeShade="BF"/>
              <w:bottom w:val="single" w:sz="4" w:space="0" w:color="BFBFBF" w:themeColor="background1" w:themeShade="BF"/>
            </w:tcBorders>
            <w:vAlign w:val="center"/>
          </w:tcPr>
          <w:p w14:paraId="674C4034" w14:textId="77777777" w:rsidR="001429E1" w:rsidRPr="00372AB4" w:rsidRDefault="001429E1" w:rsidP="001D7B5C">
            <w:pPr>
              <w:spacing w:after="0" w:line="240" w:lineRule="auto"/>
              <w:jc w:val="center"/>
              <w:rPr>
                <w:lang w:val="en-US"/>
              </w:rPr>
            </w:pPr>
            <w:r w:rsidRPr="00372AB4">
              <w:rPr>
                <w:lang w:val="en-US"/>
              </w:rPr>
              <w:t>0.88</w:t>
            </w:r>
          </w:p>
        </w:tc>
        <w:tc>
          <w:tcPr>
            <w:tcW w:w="1842" w:type="dxa"/>
            <w:tcBorders>
              <w:top w:val="single" w:sz="4" w:space="0" w:color="BFBFBF" w:themeColor="background1" w:themeShade="BF"/>
              <w:bottom w:val="single" w:sz="4" w:space="0" w:color="BFBFBF" w:themeColor="background1" w:themeShade="BF"/>
            </w:tcBorders>
            <w:vAlign w:val="center"/>
          </w:tcPr>
          <w:p w14:paraId="7347EBFF" w14:textId="77777777" w:rsidR="001429E1" w:rsidRPr="00372AB4" w:rsidRDefault="001429E1" w:rsidP="001D7B5C">
            <w:pPr>
              <w:spacing w:after="0" w:line="240" w:lineRule="auto"/>
              <w:jc w:val="center"/>
              <w:rPr>
                <w:lang w:val="en-US"/>
              </w:rPr>
            </w:pPr>
            <w:r w:rsidRPr="00372AB4">
              <w:rPr>
                <w:lang w:val="en-US"/>
              </w:rPr>
              <w:t>20.7</w:t>
            </w:r>
          </w:p>
        </w:tc>
        <w:tc>
          <w:tcPr>
            <w:tcW w:w="1146" w:type="dxa"/>
            <w:tcBorders>
              <w:top w:val="single" w:sz="4" w:space="0" w:color="BFBFBF" w:themeColor="background1" w:themeShade="BF"/>
              <w:bottom w:val="single" w:sz="4" w:space="0" w:color="BFBFBF" w:themeColor="background1" w:themeShade="BF"/>
            </w:tcBorders>
            <w:vAlign w:val="center"/>
          </w:tcPr>
          <w:p w14:paraId="29357F10" w14:textId="77777777" w:rsidR="001429E1" w:rsidRPr="00372AB4" w:rsidRDefault="001429E1" w:rsidP="001D7B5C">
            <w:pPr>
              <w:spacing w:after="0" w:line="240" w:lineRule="auto"/>
              <w:jc w:val="center"/>
              <w:rPr>
                <w:lang w:val="en-US"/>
              </w:rPr>
            </w:pPr>
            <w:r w:rsidRPr="00372AB4">
              <w:rPr>
                <w:lang w:val="en-US"/>
              </w:rPr>
              <w:t>90.5</w:t>
            </w:r>
          </w:p>
        </w:tc>
        <w:tc>
          <w:tcPr>
            <w:tcW w:w="1198" w:type="dxa"/>
            <w:tcBorders>
              <w:top w:val="single" w:sz="4" w:space="0" w:color="BFBFBF" w:themeColor="background1" w:themeShade="BF"/>
              <w:bottom w:val="single" w:sz="4" w:space="0" w:color="BFBFBF" w:themeColor="background1" w:themeShade="BF"/>
            </w:tcBorders>
            <w:vAlign w:val="center"/>
          </w:tcPr>
          <w:p w14:paraId="0458522C" w14:textId="77777777" w:rsidR="001429E1" w:rsidRPr="00372AB4" w:rsidRDefault="001429E1" w:rsidP="001D7B5C">
            <w:pPr>
              <w:spacing w:after="0" w:line="240" w:lineRule="auto"/>
              <w:jc w:val="center"/>
              <w:rPr>
                <w:lang w:val="en-US"/>
              </w:rPr>
            </w:pPr>
            <w:r w:rsidRPr="00372AB4">
              <w:rPr>
                <w:lang w:val="en-US"/>
              </w:rPr>
              <w:t>5.9</w:t>
            </w:r>
          </w:p>
        </w:tc>
        <w:tc>
          <w:tcPr>
            <w:tcW w:w="1022" w:type="dxa"/>
            <w:tcBorders>
              <w:top w:val="single" w:sz="4" w:space="0" w:color="BFBFBF" w:themeColor="background1" w:themeShade="BF"/>
              <w:bottom w:val="single" w:sz="4" w:space="0" w:color="BFBFBF" w:themeColor="background1" w:themeShade="BF"/>
            </w:tcBorders>
            <w:vAlign w:val="center"/>
          </w:tcPr>
          <w:p w14:paraId="4B550ECB" w14:textId="77777777" w:rsidR="001429E1" w:rsidRPr="00372AB4" w:rsidRDefault="001429E1" w:rsidP="001D7B5C">
            <w:pPr>
              <w:spacing w:after="0" w:line="240" w:lineRule="auto"/>
              <w:jc w:val="center"/>
              <w:rPr>
                <w:lang w:val="en-US"/>
              </w:rPr>
            </w:pPr>
            <w:r w:rsidRPr="00372AB4">
              <w:rPr>
                <w:lang w:val="en-US"/>
              </w:rPr>
              <w:t>97.5</w:t>
            </w:r>
          </w:p>
        </w:tc>
        <w:tc>
          <w:tcPr>
            <w:tcW w:w="980" w:type="dxa"/>
            <w:tcBorders>
              <w:top w:val="single" w:sz="4" w:space="0" w:color="BFBFBF" w:themeColor="background1" w:themeShade="BF"/>
              <w:left w:val="nil"/>
              <w:bottom w:val="single" w:sz="4" w:space="0" w:color="BFBFBF" w:themeColor="background1" w:themeShade="BF"/>
              <w:right w:val="nil"/>
            </w:tcBorders>
            <w:vAlign w:val="center"/>
          </w:tcPr>
          <w:p w14:paraId="19254D0D" w14:textId="77777777" w:rsidR="001429E1" w:rsidRPr="00372AB4" w:rsidRDefault="001429E1" w:rsidP="001D7B5C">
            <w:pPr>
              <w:spacing w:after="0" w:line="240" w:lineRule="auto"/>
              <w:jc w:val="center"/>
              <w:rPr>
                <w:lang w:val="en-US"/>
              </w:rPr>
            </w:pPr>
            <w:r w:rsidRPr="00372AB4">
              <w:t>0.643</w:t>
            </w:r>
          </w:p>
        </w:tc>
      </w:tr>
      <w:tr w:rsidR="001429E1" w:rsidRPr="00372AB4" w14:paraId="5369D0BE" w14:textId="77777777" w:rsidTr="001D7B5C">
        <w:trPr>
          <w:trHeight w:val="567"/>
        </w:trPr>
        <w:tc>
          <w:tcPr>
            <w:tcW w:w="1503" w:type="dxa"/>
            <w:tcBorders>
              <w:top w:val="single" w:sz="4" w:space="0" w:color="BFBFBF" w:themeColor="background1" w:themeShade="BF"/>
              <w:bottom w:val="single" w:sz="4" w:space="0" w:color="BFBFBF" w:themeColor="background1" w:themeShade="BF"/>
            </w:tcBorders>
            <w:vAlign w:val="center"/>
          </w:tcPr>
          <w:p w14:paraId="5A54F4DB" w14:textId="77777777" w:rsidR="001429E1" w:rsidRPr="00372AB4" w:rsidRDefault="001429E1" w:rsidP="001D7B5C">
            <w:pPr>
              <w:spacing w:after="0" w:line="240" w:lineRule="auto"/>
              <w:rPr>
                <w:lang w:val="en-US"/>
              </w:rPr>
            </w:pPr>
            <w:r w:rsidRPr="00372AB4">
              <w:rPr>
                <w:lang w:val="en-US"/>
              </w:rPr>
              <w:t>iPTB</w:t>
            </w:r>
          </w:p>
        </w:tc>
        <w:tc>
          <w:tcPr>
            <w:tcW w:w="1582" w:type="dxa"/>
            <w:tcBorders>
              <w:top w:val="single" w:sz="4" w:space="0" w:color="BFBFBF" w:themeColor="background1" w:themeShade="BF"/>
              <w:bottom w:val="single" w:sz="4" w:space="0" w:color="BFBFBF" w:themeColor="background1" w:themeShade="BF"/>
            </w:tcBorders>
            <w:vAlign w:val="center"/>
          </w:tcPr>
          <w:p w14:paraId="08426E32" w14:textId="77777777" w:rsidR="001429E1" w:rsidRPr="00372AB4" w:rsidRDefault="001429E1" w:rsidP="001D7B5C">
            <w:pPr>
              <w:spacing w:after="0" w:line="240" w:lineRule="auto"/>
              <w:jc w:val="center"/>
              <w:rPr>
                <w:lang w:val="en-US"/>
              </w:rPr>
            </w:pPr>
            <w:r w:rsidRPr="00372AB4">
              <w:rPr>
                <w:lang w:val="en-US"/>
              </w:rPr>
              <w:t>14/365</w:t>
            </w:r>
          </w:p>
        </w:tc>
        <w:tc>
          <w:tcPr>
            <w:tcW w:w="1134" w:type="dxa"/>
            <w:tcBorders>
              <w:top w:val="single" w:sz="4" w:space="0" w:color="BFBFBF" w:themeColor="background1" w:themeShade="BF"/>
              <w:bottom w:val="single" w:sz="4" w:space="0" w:color="BFBFBF" w:themeColor="background1" w:themeShade="BF"/>
            </w:tcBorders>
            <w:vAlign w:val="center"/>
          </w:tcPr>
          <w:p w14:paraId="778A3892" w14:textId="77777777" w:rsidR="001429E1" w:rsidRPr="00372AB4" w:rsidRDefault="001429E1" w:rsidP="001D7B5C">
            <w:pPr>
              <w:spacing w:after="0" w:line="240" w:lineRule="auto"/>
              <w:jc w:val="center"/>
              <w:rPr>
                <w:lang w:val="en-US"/>
              </w:rPr>
            </w:pPr>
            <w:r w:rsidRPr="00372AB4">
              <w:rPr>
                <w:lang w:val="en-US"/>
              </w:rPr>
              <w:t>3487/57</w:t>
            </w:r>
          </w:p>
        </w:tc>
        <w:tc>
          <w:tcPr>
            <w:tcW w:w="1626" w:type="dxa"/>
            <w:tcBorders>
              <w:top w:val="single" w:sz="4" w:space="0" w:color="BFBFBF" w:themeColor="background1" w:themeShade="BF"/>
              <w:bottom w:val="single" w:sz="4" w:space="0" w:color="BFBFBF" w:themeColor="background1" w:themeShade="BF"/>
            </w:tcBorders>
            <w:vAlign w:val="center"/>
          </w:tcPr>
          <w:p w14:paraId="0CA93307" w14:textId="77777777" w:rsidR="001429E1" w:rsidRPr="00372AB4" w:rsidRDefault="001429E1" w:rsidP="001D7B5C">
            <w:pPr>
              <w:spacing w:after="0" w:line="240" w:lineRule="auto"/>
              <w:jc w:val="center"/>
              <w:rPr>
                <w:lang w:val="en-US"/>
              </w:rPr>
            </w:pPr>
            <w:r w:rsidRPr="00372AB4">
              <w:rPr>
                <w:lang w:val="en-US"/>
              </w:rPr>
              <w:t>2.1</w:t>
            </w:r>
          </w:p>
        </w:tc>
        <w:tc>
          <w:tcPr>
            <w:tcW w:w="1134" w:type="dxa"/>
            <w:tcBorders>
              <w:top w:val="single" w:sz="4" w:space="0" w:color="BFBFBF" w:themeColor="background1" w:themeShade="BF"/>
              <w:bottom w:val="single" w:sz="4" w:space="0" w:color="BFBFBF" w:themeColor="background1" w:themeShade="BF"/>
            </w:tcBorders>
            <w:vAlign w:val="center"/>
          </w:tcPr>
          <w:p w14:paraId="52173BEE" w14:textId="77777777" w:rsidR="001429E1" w:rsidRPr="00372AB4" w:rsidRDefault="001429E1" w:rsidP="001D7B5C">
            <w:pPr>
              <w:spacing w:after="0" w:line="240" w:lineRule="auto"/>
              <w:jc w:val="center"/>
              <w:rPr>
                <w:lang w:val="en-US"/>
              </w:rPr>
            </w:pPr>
            <w:r w:rsidRPr="00372AB4">
              <w:rPr>
                <w:lang w:val="en-US"/>
              </w:rPr>
              <w:t>0.89</w:t>
            </w:r>
          </w:p>
        </w:tc>
        <w:tc>
          <w:tcPr>
            <w:tcW w:w="1842" w:type="dxa"/>
            <w:tcBorders>
              <w:top w:val="single" w:sz="4" w:space="0" w:color="BFBFBF" w:themeColor="background1" w:themeShade="BF"/>
              <w:bottom w:val="single" w:sz="4" w:space="0" w:color="BFBFBF" w:themeColor="background1" w:themeShade="BF"/>
            </w:tcBorders>
            <w:vAlign w:val="center"/>
          </w:tcPr>
          <w:p w14:paraId="6062EFA0" w14:textId="77777777" w:rsidR="001429E1" w:rsidRPr="00372AB4" w:rsidRDefault="001429E1" w:rsidP="001D7B5C">
            <w:pPr>
              <w:spacing w:after="0" w:line="240" w:lineRule="auto"/>
              <w:jc w:val="center"/>
              <w:rPr>
                <w:lang w:val="en-US"/>
              </w:rPr>
            </w:pPr>
            <w:r w:rsidRPr="00372AB4">
              <w:rPr>
                <w:lang w:val="en-US"/>
              </w:rPr>
              <w:t>19.7</w:t>
            </w:r>
          </w:p>
        </w:tc>
        <w:tc>
          <w:tcPr>
            <w:tcW w:w="1146" w:type="dxa"/>
            <w:tcBorders>
              <w:top w:val="single" w:sz="4" w:space="0" w:color="BFBFBF" w:themeColor="background1" w:themeShade="BF"/>
              <w:bottom w:val="single" w:sz="4" w:space="0" w:color="BFBFBF" w:themeColor="background1" w:themeShade="BF"/>
            </w:tcBorders>
            <w:vAlign w:val="center"/>
          </w:tcPr>
          <w:p w14:paraId="4E8FC8FB" w14:textId="77777777" w:rsidR="001429E1" w:rsidRPr="00372AB4" w:rsidRDefault="001429E1" w:rsidP="001D7B5C">
            <w:pPr>
              <w:spacing w:after="0" w:line="240" w:lineRule="auto"/>
              <w:jc w:val="center"/>
              <w:rPr>
                <w:lang w:val="en-US"/>
              </w:rPr>
            </w:pPr>
            <w:r w:rsidRPr="00372AB4">
              <w:rPr>
                <w:lang w:val="en-US"/>
              </w:rPr>
              <w:t>90.5</w:t>
            </w:r>
          </w:p>
        </w:tc>
        <w:tc>
          <w:tcPr>
            <w:tcW w:w="1198" w:type="dxa"/>
            <w:tcBorders>
              <w:top w:val="single" w:sz="4" w:space="0" w:color="BFBFBF" w:themeColor="background1" w:themeShade="BF"/>
              <w:bottom w:val="single" w:sz="4" w:space="0" w:color="BFBFBF" w:themeColor="background1" w:themeShade="BF"/>
            </w:tcBorders>
            <w:vAlign w:val="center"/>
          </w:tcPr>
          <w:p w14:paraId="7D1E28AF" w14:textId="77777777" w:rsidR="001429E1" w:rsidRPr="00372AB4" w:rsidRDefault="001429E1" w:rsidP="001D7B5C">
            <w:pPr>
              <w:spacing w:after="0" w:line="240" w:lineRule="auto"/>
              <w:jc w:val="center"/>
              <w:rPr>
                <w:lang w:val="en-US"/>
              </w:rPr>
            </w:pPr>
            <w:r w:rsidRPr="00372AB4">
              <w:rPr>
                <w:lang w:val="en-US"/>
              </w:rPr>
              <w:t>3.7</w:t>
            </w:r>
          </w:p>
        </w:tc>
        <w:tc>
          <w:tcPr>
            <w:tcW w:w="1022" w:type="dxa"/>
            <w:tcBorders>
              <w:top w:val="single" w:sz="4" w:space="0" w:color="BFBFBF" w:themeColor="background1" w:themeShade="BF"/>
              <w:bottom w:val="single" w:sz="4" w:space="0" w:color="BFBFBF" w:themeColor="background1" w:themeShade="BF"/>
            </w:tcBorders>
            <w:vAlign w:val="center"/>
          </w:tcPr>
          <w:p w14:paraId="090BCA2C" w14:textId="77777777" w:rsidR="001429E1" w:rsidRPr="00372AB4" w:rsidRDefault="001429E1" w:rsidP="001D7B5C">
            <w:pPr>
              <w:spacing w:after="0" w:line="240" w:lineRule="auto"/>
              <w:jc w:val="center"/>
              <w:rPr>
                <w:lang w:val="en-US"/>
              </w:rPr>
            </w:pPr>
            <w:r w:rsidRPr="00372AB4">
              <w:rPr>
                <w:lang w:val="en-US"/>
              </w:rPr>
              <w:t>98.4</w:t>
            </w:r>
          </w:p>
        </w:tc>
        <w:tc>
          <w:tcPr>
            <w:tcW w:w="980" w:type="dxa"/>
            <w:tcBorders>
              <w:top w:val="single" w:sz="4" w:space="0" w:color="BFBFBF" w:themeColor="background1" w:themeShade="BF"/>
              <w:left w:val="nil"/>
              <w:bottom w:val="single" w:sz="4" w:space="0" w:color="BFBFBF" w:themeColor="background1" w:themeShade="BF"/>
              <w:right w:val="nil"/>
            </w:tcBorders>
            <w:vAlign w:val="center"/>
          </w:tcPr>
          <w:p w14:paraId="2457B28F" w14:textId="77777777" w:rsidR="001429E1" w:rsidRPr="00372AB4" w:rsidRDefault="001429E1" w:rsidP="001D7B5C">
            <w:pPr>
              <w:spacing w:after="0" w:line="240" w:lineRule="auto"/>
              <w:jc w:val="center"/>
              <w:rPr>
                <w:lang w:val="en-US"/>
              </w:rPr>
            </w:pPr>
            <w:r w:rsidRPr="00372AB4">
              <w:t>0.572</w:t>
            </w:r>
          </w:p>
        </w:tc>
      </w:tr>
      <w:tr w:rsidR="001429E1" w:rsidRPr="00372AB4" w14:paraId="4841015E" w14:textId="77777777" w:rsidTr="001D7B5C">
        <w:trPr>
          <w:trHeight w:val="567"/>
        </w:trPr>
        <w:tc>
          <w:tcPr>
            <w:tcW w:w="1503" w:type="dxa"/>
            <w:tcBorders>
              <w:top w:val="single" w:sz="4" w:space="0" w:color="BFBFBF" w:themeColor="background1" w:themeShade="BF"/>
              <w:bottom w:val="single" w:sz="4" w:space="0" w:color="BFBFBF" w:themeColor="background1" w:themeShade="BF"/>
            </w:tcBorders>
            <w:vAlign w:val="center"/>
          </w:tcPr>
          <w:p w14:paraId="1D79FD17" w14:textId="77777777" w:rsidR="001429E1" w:rsidRPr="00372AB4" w:rsidRDefault="001429E1" w:rsidP="001D7B5C">
            <w:pPr>
              <w:spacing w:after="0" w:line="240" w:lineRule="auto"/>
              <w:rPr>
                <w:lang w:val="en-US"/>
              </w:rPr>
            </w:pPr>
            <w:r w:rsidRPr="00372AB4">
              <w:rPr>
                <w:lang w:val="en-US"/>
              </w:rPr>
              <w:t>Pre-viable loss</w:t>
            </w:r>
          </w:p>
        </w:tc>
        <w:tc>
          <w:tcPr>
            <w:tcW w:w="1582" w:type="dxa"/>
            <w:tcBorders>
              <w:top w:val="single" w:sz="4" w:space="0" w:color="BFBFBF" w:themeColor="background1" w:themeShade="BF"/>
              <w:bottom w:val="single" w:sz="4" w:space="0" w:color="BFBFBF" w:themeColor="background1" w:themeShade="BF"/>
            </w:tcBorders>
            <w:vAlign w:val="center"/>
          </w:tcPr>
          <w:p w14:paraId="6BEF1CB1" w14:textId="77777777" w:rsidR="001429E1" w:rsidRPr="00372AB4" w:rsidRDefault="001429E1" w:rsidP="001D7B5C">
            <w:pPr>
              <w:spacing w:after="0" w:line="240" w:lineRule="auto"/>
              <w:jc w:val="center"/>
              <w:rPr>
                <w:lang w:val="en-US"/>
              </w:rPr>
            </w:pPr>
            <w:r w:rsidRPr="00372AB4">
              <w:rPr>
                <w:lang w:val="en-US"/>
              </w:rPr>
              <w:t>2/404</w:t>
            </w:r>
          </w:p>
        </w:tc>
        <w:tc>
          <w:tcPr>
            <w:tcW w:w="1134" w:type="dxa"/>
            <w:tcBorders>
              <w:top w:val="single" w:sz="4" w:space="0" w:color="BFBFBF" w:themeColor="background1" w:themeShade="BF"/>
              <w:bottom w:val="single" w:sz="4" w:space="0" w:color="BFBFBF" w:themeColor="background1" w:themeShade="BF"/>
            </w:tcBorders>
            <w:vAlign w:val="center"/>
          </w:tcPr>
          <w:p w14:paraId="4F2C9B20" w14:textId="77777777" w:rsidR="001429E1" w:rsidRPr="00372AB4" w:rsidRDefault="001429E1" w:rsidP="001D7B5C">
            <w:pPr>
              <w:spacing w:after="0" w:line="240" w:lineRule="auto"/>
              <w:jc w:val="center"/>
              <w:rPr>
                <w:lang w:val="en-US"/>
              </w:rPr>
            </w:pPr>
            <w:r w:rsidRPr="00372AB4">
              <w:rPr>
                <w:lang w:val="en-US"/>
              </w:rPr>
              <w:t>3640/11</w:t>
            </w:r>
          </w:p>
        </w:tc>
        <w:tc>
          <w:tcPr>
            <w:tcW w:w="1626" w:type="dxa"/>
            <w:tcBorders>
              <w:top w:val="single" w:sz="4" w:space="0" w:color="BFBFBF" w:themeColor="background1" w:themeShade="BF"/>
              <w:bottom w:val="single" w:sz="4" w:space="0" w:color="BFBFBF" w:themeColor="background1" w:themeShade="BF"/>
            </w:tcBorders>
            <w:vAlign w:val="center"/>
          </w:tcPr>
          <w:p w14:paraId="7D47F8F5" w14:textId="77777777" w:rsidR="001429E1" w:rsidRPr="00372AB4" w:rsidRDefault="001429E1" w:rsidP="001D7B5C">
            <w:pPr>
              <w:spacing w:after="0" w:line="240" w:lineRule="auto"/>
              <w:jc w:val="center"/>
              <w:rPr>
                <w:lang w:val="en-US"/>
              </w:rPr>
            </w:pPr>
            <w:r w:rsidRPr="00372AB4">
              <w:rPr>
                <w:lang w:val="en-US"/>
              </w:rPr>
              <w:t>1.5</w:t>
            </w:r>
          </w:p>
        </w:tc>
        <w:tc>
          <w:tcPr>
            <w:tcW w:w="1134" w:type="dxa"/>
            <w:tcBorders>
              <w:top w:val="single" w:sz="4" w:space="0" w:color="BFBFBF" w:themeColor="background1" w:themeShade="BF"/>
              <w:bottom w:val="single" w:sz="4" w:space="0" w:color="BFBFBF" w:themeColor="background1" w:themeShade="BF"/>
            </w:tcBorders>
            <w:vAlign w:val="center"/>
          </w:tcPr>
          <w:p w14:paraId="4D26C324" w14:textId="77777777" w:rsidR="001429E1" w:rsidRPr="00372AB4" w:rsidRDefault="001429E1" w:rsidP="001D7B5C">
            <w:pPr>
              <w:spacing w:after="0" w:line="240" w:lineRule="auto"/>
              <w:jc w:val="center"/>
              <w:rPr>
                <w:lang w:val="en-US"/>
              </w:rPr>
            </w:pPr>
            <w:r w:rsidRPr="00372AB4">
              <w:rPr>
                <w:lang w:val="en-US"/>
              </w:rPr>
              <w:t>0.94</w:t>
            </w:r>
          </w:p>
        </w:tc>
        <w:tc>
          <w:tcPr>
            <w:tcW w:w="1842" w:type="dxa"/>
            <w:tcBorders>
              <w:top w:val="single" w:sz="4" w:space="0" w:color="BFBFBF" w:themeColor="background1" w:themeShade="BF"/>
              <w:bottom w:val="single" w:sz="4" w:space="0" w:color="BFBFBF" w:themeColor="background1" w:themeShade="BF"/>
            </w:tcBorders>
            <w:vAlign w:val="center"/>
          </w:tcPr>
          <w:p w14:paraId="63192AE5" w14:textId="77777777" w:rsidR="001429E1" w:rsidRPr="00372AB4" w:rsidRDefault="001429E1" w:rsidP="001D7B5C">
            <w:pPr>
              <w:spacing w:after="0" w:line="240" w:lineRule="auto"/>
              <w:jc w:val="center"/>
              <w:rPr>
                <w:lang w:val="en-US"/>
              </w:rPr>
            </w:pPr>
            <w:r w:rsidRPr="00372AB4">
              <w:rPr>
                <w:lang w:val="en-US"/>
              </w:rPr>
              <w:t>15.4</w:t>
            </w:r>
          </w:p>
        </w:tc>
        <w:tc>
          <w:tcPr>
            <w:tcW w:w="1146" w:type="dxa"/>
            <w:tcBorders>
              <w:top w:val="single" w:sz="4" w:space="0" w:color="BFBFBF" w:themeColor="background1" w:themeShade="BF"/>
              <w:bottom w:val="single" w:sz="4" w:space="0" w:color="BFBFBF" w:themeColor="background1" w:themeShade="BF"/>
            </w:tcBorders>
            <w:vAlign w:val="center"/>
          </w:tcPr>
          <w:p w14:paraId="578F85D5" w14:textId="77777777" w:rsidR="001429E1" w:rsidRPr="00372AB4" w:rsidRDefault="001429E1" w:rsidP="001D7B5C">
            <w:pPr>
              <w:spacing w:after="0" w:line="240" w:lineRule="auto"/>
              <w:jc w:val="center"/>
              <w:rPr>
                <w:lang w:val="en-US"/>
              </w:rPr>
            </w:pPr>
            <w:r w:rsidRPr="00372AB4">
              <w:rPr>
                <w:lang w:val="en-US"/>
              </w:rPr>
              <w:t>90.0</w:t>
            </w:r>
          </w:p>
        </w:tc>
        <w:tc>
          <w:tcPr>
            <w:tcW w:w="1198" w:type="dxa"/>
            <w:tcBorders>
              <w:top w:val="single" w:sz="4" w:space="0" w:color="BFBFBF" w:themeColor="background1" w:themeShade="BF"/>
              <w:bottom w:val="single" w:sz="4" w:space="0" w:color="BFBFBF" w:themeColor="background1" w:themeShade="BF"/>
            </w:tcBorders>
            <w:vAlign w:val="center"/>
          </w:tcPr>
          <w:p w14:paraId="380E12C6" w14:textId="77777777" w:rsidR="001429E1" w:rsidRPr="00372AB4" w:rsidRDefault="001429E1" w:rsidP="001D7B5C">
            <w:pPr>
              <w:spacing w:after="0" w:line="240" w:lineRule="auto"/>
              <w:jc w:val="center"/>
              <w:rPr>
                <w:lang w:val="en-US"/>
              </w:rPr>
            </w:pPr>
            <w:r w:rsidRPr="00372AB4">
              <w:rPr>
                <w:lang w:val="en-US"/>
              </w:rPr>
              <w:t>0.5</w:t>
            </w:r>
          </w:p>
        </w:tc>
        <w:tc>
          <w:tcPr>
            <w:tcW w:w="1022" w:type="dxa"/>
            <w:tcBorders>
              <w:top w:val="single" w:sz="4" w:space="0" w:color="BFBFBF" w:themeColor="background1" w:themeShade="BF"/>
              <w:bottom w:val="single" w:sz="4" w:space="0" w:color="BFBFBF" w:themeColor="background1" w:themeShade="BF"/>
            </w:tcBorders>
            <w:vAlign w:val="center"/>
          </w:tcPr>
          <w:p w14:paraId="0EF2F9F8" w14:textId="77777777" w:rsidR="001429E1" w:rsidRPr="00372AB4" w:rsidRDefault="001429E1" w:rsidP="001D7B5C">
            <w:pPr>
              <w:spacing w:after="0" w:line="240" w:lineRule="auto"/>
              <w:jc w:val="center"/>
              <w:rPr>
                <w:lang w:val="en-US"/>
              </w:rPr>
            </w:pPr>
            <w:r w:rsidRPr="00372AB4">
              <w:rPr>
                <w:lang w:val="en-US"/>
              </w:rPr>
              <w:t>99.7</w:t>
            </w:r>
          </w:p>
        </w:tc>
        <w:tc>
          <w:tcPr>
            <w:tcW w:w="980" w:type="dxa"/>
            <w:tcBorders>
              <w:top w:val="single" w:sz="4" w:space="0" w:color="BFBFBF" w:themeColor="background1" w:themeShade="BF"/>
              <w:left w:val="nil"/>
              <w:bottom w:val="single" w:sz="4" w:space="0" w:color="BFBFBF" w:themeColor="background1" w:themeShade="BF"/>
              <w:right w:val="nil"/>
            </w:tcBorders>
            <w:vAlign w:val="center"/>
          </w:tcPr>
          <w:p w14:paraId="1A6C4FE0" w14:textId="77777777" w:rsidR="001429E1" w:rsidRPr="00372AB4" w:rsidRDefault="001429E1" w:rsidP="001D7B5C">
            <w:pPr>
              <w:spacing w:after="0" w:line="240" w:lineRule="auto"/>
              <w:jc w:val="center"/>
              <w:rPr>
                <w:lang w:val="en-US"/>
              </w:rPr>
            </w:pPr>
            <w:r w:rsidRPr="00372AB4">
              <w:t>0.557</w:t>
            </w:r>
          </w:p>
        </w:tc>
      </w:tr>
      <w:tr w:rsidR="001429E1" w:rsidRPr="00372AB4" w14:paraId="53A3A463" w14:textId="77777777" w:rsidTr="001D7B5C">
        <w:trPr>
          <w:trHeight w:val="567"/>
        </w:trPr>
        <w:tc>
          <w:tcPr>
            <w:tcW w:w="1503" w:type="dxa"/>
            <w:tcBorders>
              <w:top w:val="single" w:sz="4" w:space="0" w:color="BFBFBF" w:themeColor="background1" w:themeShade="BF"/>
              <w:bottom w:val="single" w:sz="12" w:space="0" w:color="auto"/>
            </w:tcBorders>
            <w:vAlign w:val="center"/>
          </w:tcPr>
          <w:p w14:paraId="00DE4772" w14:textId="77777777" w:rsidR="001429E1" w:rsidRPr="00372AB4" w:rsidRDefault="001429E1" w:rsidP="001D7B5C">
            <w:pPr>
              <w:spacing w:after="0" w:line="240" w:lineRule="auto"/>
              <w:rPr>
                <w:lang w:val="en-US"/>
              </w:rPr>
            </w:pPr>
            <w:r w:rsidRPr="00372AB4">
              <w:rPr>
                <w:lang w:val="en-US"/>
              </w:rPr>
              <w:t>Stillbirth</w:t>
            </w:r>
          </w:p>
        </w:tc>
        <w:tc>
          <w:tcPr>
            <w:tcW w:w="1582" w:type="dxa"/>
            <w:tcBorders>
              <w:top w:val="single" w:sz="4" w:space="0" w:color="BFBFBF" w:themeColor="background1" w:themeShade="BF"/>
              <w:bottom w:val="single" w:sz="12" w:space="0" w:color="auto"/>
            </w:tcBorders>
            <w:vAlign w:val="center"/>
          </w:tcPr>
          <w:p w14:paraId="6A67A126" w14:textId="77777777" w:rsidR="001429E1" w:rsidRPr="00372AB4" w:rsidRDefault="001429E1" w:rsidP="001D7B5C">
            <w:pPr>
              <w:spacing w:after="0" w:line="240" w:lineRule="auto"/>
              <w:jc w:val="center"/>
              <w:rPr>
                <w:lang w:val="en-US"/>
              </w:rPr>
            </w:pPr>
            <w:r w:rsidRPr="00372AB4">
              <w:rPr>
                <w:lang w:val="en-US"/>
              </w:rPr>
              <w:t>2/402</w:t>
            </w:r>
          </w:p>
        </w:tc>
        <w:tc>
          <w:tcPr>
            <w:tcW w:w="1134" w:type="dxa"/>
            <w:tcBorders>
              <w:top w:val="single" w:sz="4" w:space="0" w:color="BFBFBF" w:themeColor="background1" w:themeShade="BF"/>
              <w:bottom w:val="single" w:sz="12" w:space="0" w:color="auto"/>
            </w:tcBorders>
            <w:vAlign w:val="center"/>
          </w:tcPr>
          <w:p w14:paraId="249E2C9D" w14:textId="77777777" w:rsidR="001429E1" w:rsidRPr="00372AB4" w:rsidRDefault="001429E1" w:rsidP="001D7B5C">
            <w:pPr>
              <w:spacing w:after="0" w:line="240" w:lineRule="auto"/>
              <w:jc w:val="center"/>
              <w:rPr>
                <w:lang w:val="en-US"/>
              </w:rPr>
            </w:pPr>
            <w:r w:rsidRPr="00372AB4">
              <w:rPr>
                <w:lang w:val="en-US"/>
              </w:rPr>
              <w:t>3631/9</w:t>
            </w:r>
          </w:p>
        </w:tc>
        <w:tc>
          <w:tcPr>
            <w:tcW w:w="1626" w:type="dxa"/>
            <w:tcBorders>
              <w:top w:val="single" w:sz="4" w:space="0" w:color="BFBFBF" w:themeColor="background1" w:themeShade="BF"/>
              <w:bottom w:val="single" w:sz="12" w:space="0" w:color="auto"/>
            </w:tcBorders>
            <w:vAlign w:val="center"/>
          </w:tcPr>
          <w:p w14:paraId="63224100" w14:textId="77777777" w:rsidR="001429E1" w:rsidRPr="00372AB4" w:rsidRDefault="001429E1" w:rsidP="001D7B5C">
            <w:pPr>
              <w:spacing w:after="0" w:line="240" w:lineRule="auto"/>
              <w:jc w:val="center"/>
              <w:rPr>
                <w:lang w:val="en-US"/>
              </w:rPr>
            </w:pPr>
            <w:r w:rsidRPr="00372AB4">
              <w:rPr>
                <w:lang w:val="en-US"/>
              </w:rPr>
              <w:t>1.8</w:t>
            </w:r>
          </w:p>
        </w:tc>
        <w:tc>
          <w:tcPr>
            <w:tcW w:w="1134" w:type="dxa"/>
            <w:tcBorders>
              <w:top w:val="single" w:sz="4" w:space="0" w:color="BFBFBF" w:themeColor="background1" w:themeShade="BF"/>
              <w:bottom w:val="single" w:sz="12" w:space="0" w:color="auto"/>
            </w:tcBorders>
            <w:vAlign w:val="center"/>
          </w:tcPr>
          <w:p w14:paraId="34247F28" w14:textId="77777777" w:rsidR="001429E1" w:rsidRPr="00372AB4" w:rsidRDefault="001429E1" w:rsidP="001D7B5C">
            <w:pPr>
              <w:spacing w:after="0" w:line="240" w:lineRule="auto"/>
              <w:jc w:val="center"/>
              <w:rPr>
                <w:lang w:val="en-US"/>
              </w:rPr>
            </w:pPr>
            <w:r w:rsidRPr="00372AB4">
              <w:rPr>
                <w:lang w:val="en-US"/>
              </w:rPr>
              <w:t>0.91</w:t>
            </w:r>
          </w:p>
        </w:tc>
        <w:tc>
          <w:tcPr>
            <w:tcW w:w="1842" w:type="dxa"/>
            <w:tcBorders>
              <w:top w:val="single" w:sz="4" w:space="0" w:color="BFBFBF" w:themeColor="background1" w:themeShade="BF"/>
              <w:bottom w:val="single" w:sz="12" w:space="0" w:color="auto"/>
            </w:tcBorders>
            <w:vAlign w:val="center"/>
          </w:tcPr>
          <w:p w14:paraId="772EF96B" w14:textId="77777777" w:rsidR="001429E1" w:rsidRPr="00372AB4" w:rsidRDefault="001429E1" w:rsidP="001D7B5C">
            <w:pPr>
              <w:spacing w:after="0" w:line="240" w:lineRule="auto"/>
              <w:jc w:val="center"/>
              <w:rPr>
                <w:lang w:val="en-US"/>
              </w:rPr>
            </w:pPr>
            <w:r w:rsidRPr="00372AB4">
              <w:rPr>
                <w:lang w:val="en-US"/>
              </w:rPr>
              <w:t>18.2</w:t>
            </w:r>
          </w:p>
        </w:tc>
        <w:tc>
          <w:tcPr>
            <w:tcW w:w="1146" w:type="dxa"/>
            <w:tcBorders>
              <w:top w:val="single" w:sz="4" w:space="0" w:color="BFBFBF" w:themeColor="background1" w:themeShade="BF"/>
              <w:bottom w:val="single" w:sz="12" w:space="0" w:color="auto"/>
            </w:tcBorders>
            <w:vAlign w:val="center"/>
          </w:tcPr>
          <w:p w14:paraId="6023808B" w14:textId="77777777" w:rsidR="001429E1" w:rsidRPr="00372AB4" w:rsidRDefault="001429E1" w:rsidP="001D7B5C">
            <w:pPr>
              <w:spacing w:after="0" w:line="240" w:lineRule="auto"/>
              <w:jc w:val="center"/>
              <w:rPr>
                <w:lang w:val="en-US"/>
              </w:rPr>
            </w:pPr>
            <w:r w:rsidRPr="00372AB4">
              <w:rPr>
                <w:lang w:val="en-US"/>
              </w:rPr>
              <w:t>90.0</w:t>
            </w:r>
          </w:p>
        </w:tc>
        <w:tc>
          <w:tcPr>
            <w:tcW w:w="1198" w:type="dxa"/>
            <w:tcBorders>
              <w:top w:val="single" w:sz="4" w:space="0" w:color="BFBFBF" w:themeColor="background1" w:themeShade="BF"/>
              <w:bottom w:val="single" w:sz="12" w:space="0" w:color="auto"/>
            </w:tcBorders>
            <w:vAlign w:val="center"/>
          </w:tcPr>
          <w:p w14:paraId="4D074C4E" w14:textId="77777777" w:rsidR="001429E1" w:rsidRPr="00372AB4" w:rsidRDefault="001429E1" w:rsidP="001D7B5C">
            <w:pPr>
              <w:spacing w:after="0" w:line="240" w:lineRule="auto"/>
              <w:jc w:val="center"/>
              <w:rPr>
                <w:lang w:val="en-US"/>
              </w:rPr>
            </w:pPr>
            <w:r w:rsidRPr="00372AB4">
              <w:rPr>
                <w:lang w:val="en-US"/>
              </w:rPr>
              <w:t>0.5</w:t>
            </w:r>
          </w:p>
        </w:tc>
        <w:tc>
          <w:tcPr>
            <w:tcW w:w="1022" w:type="dxa"/>
            <w:tcBorders>
              <w:top w:val="single" w:sz="4" w:space="0" w:color="BFBFBF" w:themeColor="background1" w:themeShade="BF"/>
              <w:bottom w:val="single" w:sz="12" w:space="0" w:color="auto"/>
            </w:tcBorders>
            <w:vAlign w:val="center"/>
          </w:tcPr>
          <w:p w14:paraId="2C07372F" w14:textId="77777777" w:rsidR="001429E1" w:rsidRPr="00372AB4" w:rsidRDefault="001429E1" w:rsidP="001D7B5C">
            <w:pPr>
              <w:spacing w:after="0" w:line="240" w:lineRule="auto"/>
              <w:jc w:val="center"/>
              <w:rPr>
                <w:lang w:val="en-US"/>
              </w:rPr>
            </w:pPr>
            <w:r w:rsidRPr="00372AB4">
              <w:rPr>
                <w:lang w:val="en-US"/>
              </w:rPr>
              <w:t>99.8</w:t>
            </w:r>
          </w:p>
        </w:tc>
        <w:tc>
          <w:tcPr>
            <w:tcW w:w="980" w:type="dxa"/>
            <w:tcBorders>
              <w:top w:val="single" w:sz="4" w:space="0" w:color="BFBFBF" w:themeColor="background1" w:themeShade="BF"/>
              <w:left w:val="nil"/>
              <w:bottom w:val="single" w:sz="12" w:space="0" w:color="auto"/>
              <w:right w:val="nil"/>
            </w:tcBorders>
            <w:vAlign w:val="center"/>
          </w:tcPr>
          <w:p w14:paraId="2BDCE0AA" w14:textId="77777777" w:rsidR="001429E1" w:rsidRPr="00372AB4" w:rsidRDefault="001429E1" w:rsidP="001D7B5C">
            <w:pPr>
              <w:spacing w:after="0" w:line="240" w:lineRule="auto"/>
              <w:jc w:val="center"/>
              <w:rPr>
                <w:lang w:val="en-US"/>
              </w:rPr>
            </w:pPr>
            <w:r w:rsidRPr="00372AB4">
              <w:t>0.563</w:t>
            </w:r>
          </w:p>
        </w:tc>
      </w:tr>
    </w:tbl>
    <w:p w14:paraId="47E64082" w14:textId="77777777" w:rsidR="001429E1" w:rsidRPr="00A616C1" w:rsidRDefault="001429E1" w:rsidP="001429E1">
      <w:pPr>
        <w:spacing w:after="0" w:line="240" w:lineRule="auto"/>
        <w:jc w:val="both"/>
        <w:rPr>
          <w:sz w:val="20"/>
          <w:szCs w:val="20"/>
          <w:lang w:val="en-US"/>
        </w:rPr>
      </w:pPr>
      <w:r w:rsidRPr="00A616C1">
        <w:rPr>
          <w:sz w:val="20"/>
          <w:szCs w:val="20"/>
          <w:lang w:val="en-US"/>
        </w:rPr>
        <w:t>AUC, area under the curve; FGR, fetal growth restriction; FN, false negative; FP, false positive; iPTB, iatrogenic preterm birth; LR, likelihood ratio; NPV, negative predictive value; PAPP-A, pregnancy-associated plasma protein A; PPV, positive predictive value; PTB, preterm birth; SGA, small for gestational age; sPTB, spontaneous preterm birth; TN, true negative; TP, true positive; wkGA, weeks of gestational age.</w:t>
      </w:r>
    </w:p>
    <w:p w14:paraId="67458D32" w14:textId="77777777" w:rsidR="001429E1" w:rsidRDefault="001429E1" w:rsidP="001429E1">
      <w:pPr>
        <w:spacing w:after="0" w:line="240" w:lineRule="auto"/>
        <w:jc w:val="both"/>
        <w:rPr>
          <w:sz w:val="20"/>
          <w:szCs w:val="20"/>
          <w:lang w:val="en-US"/>
        </w:rPr>
      </w:pPr>
    </w:p>
    <w:p w14:paraId="7246AC6D" w14:textId="77777777" w:rsidR="001429E1" w:rsidRDefault="001429E1" w:rsidP="001429E1">
      <w:pPr>
        <w:spacing w:after="0" w:line="240" w:lineRule="auto"/>
        <w:jc w:val="both"/>
        <w:rPr>
          <w:sz w:val="20"/>
          <w:szCs w:val="20"/>
          <w:lang w:val="en-US"/>
        </w:rPr>
      </w:pPr>
      <w:r w:rsidRPr="00A616C1">
        <w:rPr>
          <w:sz w:val="20"/>
          <w:szCs w:val="20"/>
          <w:lang w:val="en-US"/>
        </w:rPr>
        <w:t>All screening statistics were calculated comparing PAPP-A MoM in the bottom decile vs PAPP-A MoM in deciles 2-10 whilst the AUC was calculated using PAPP-A MoM as a continuous variable.</w:t>
      </w:r>
      <w:r w:rsidRPr="00A616C1">
        <w:rPr>
          <w:sz w:val="20"/>
          <w:szCs w:val="20"/>
          <w:vertAlign w:val="superscript"/>
          <w:lang w:val="en-US"/>
        </w:rPr>
        <w:t xml:space="preserve"> </w:t>
      </w:r>
      <w:r w:rsidRPr="00A616C1">
        <w:rPr>
          <w:sz w:val="20"/>
          <w:szCs w:val="20"/>
          <w:lang w:val="en-US"/>
        </w:rPr>
        <w:t xml:space="preserve">PAPP-A was log-transformed, converted into multiples of the median and corrected for maternal weight and gestation of measurement before categorizing into deciles. </w:t>
      </w:r>
    </w:p>
    <w:p w14:paraId="1C51B5B4" w14:textId="42E1F4E2" w:rsidR="001429E1" w:rsidRPr="001C317B" w:rsidRDefault="001429E1" w:rsidP="001429E1">
      <w:pPr>
        <w:spacing w:after="0" w:line="480" w:lineRule="auto"/>
        <w:rPr>
          <w:sz w:val="24"/>
          <w:szCs w:val="24"/>
          <w:lang w:val="en-US"/>
        </w:rPr>
      </w:pPr>
      <w:r w:rsidRPr="001C317B">
        <w:rPr>
          <w:b/>
          <w:sz w:val="24"/>
          <w:szCs w:val="24"/>
          <w:lang w:val="en-US"/>
        </w:rPr>
        <w:t xml:space="preserve">Supplemental Table </w:t>
      </w:r>
      <w:r>
        <w:rPr>
          <w:b/>
          <w:sz w:val="24"/>
          <w:szCs w:val="24"/>
          <w:lang w:val="en-US"/>
        </w:rPr>
        <w:t>6</w:t>
      </w:r>
      <w:r w:rsidRPr="001C317B">
        <w:rPr>
          <w:b/>
          <w:sz w:val="24"/>
          <w:szCs w:val="24"/>
          <w:lang w:val="en-US"/>
        </w:rPr>
        <w:t>.</w:t>
      </w:r>
      <w:r w:rsidRPr="001C317B">
        <w:rPr>
          <w:sz w:val="24"/>
          <w:szCs w:val="24"/>
          <w:lang w:val="en-US"/>
        </w:rPr>
        <w:t xml:space="preserve"> </w:t>
      </w:r>
      <w:r w:rsidRPr="001C317B">
        <w:rPr>
          <w:b/>
          <w:sz w:val="24"/>
          <w:szCs w:val="24"/>
          <w:lang w:val="en-US"/>
        </w:rPr>
        <w:t xml:space="preserve">Screening statistics for adverse outcomes by </w:t>
      </w:r>
      <w:r w:rsidRPr="001C317B">
        <w:rPr>
          <w:b/>
          <w:sz w:val="24"/>
          <w:szCs w:val="24"/>
        </w:rPr>
        <w:t>top 10% of predicted risk from the model including AFP MoM and PAPP-A MoM corrected for maternal weight and gestational age at measurement</w:t>
      </w:r>
      <w:r w:rsidRPr="001C317B">
        <w:rPr>
          <w:b/>
          <w:sz w:val="24"/>
          <w:szCs w:val="24"/>
          <w:lang w:val="en-US"/>
        </w:rPr>
        <w:t>. Both AFP and PAPP-A were measured at approximately 12 wkGA.</w:t>
      </w:r>
    </w:p>
    <w:tbl>
      <w:tblPr>
        <w:tblW w:w="13099" w:type="dxa"/>
        <w:tblBorders>
          <w:top w:val="single" w:sz="12" w:space="0" w:color="auto"/>
          <w:bottom w:val="single" w:sz="12" w:space="0" w:color="auto"/>
        </w:tblBorders>
        <w:tblLook w:val="04A0" w:firstRow="1" w:lastRow="0" w:firstColumn="1" w:lastColumn="0" w:noHBand="0" w:noVBand="1"/>
      </w:tblPr>
      <w:tblGrid>
        <w:gridCol w:w="1375"/>
        <w:gridCol w:w="1657"/>
        <w:gridCol w:w="1082"/>
        <w:gridCol w:w="1448"/>
        <w:gridCol w:w="1464"/>
        <w:gridCol w:w="1499"/>
        <w:gridCol w:w="1811"/>
        <w:gridCol w:w="682"/>
        <w:gridCol w:w="1363"/>
        <w:gridCol w:w="718"/>
      </w:tblGrid>
      <w:tr w:rsidR="001429E1" w:rsidRPr="00372AB4" w14:paraId="7141B60F" w14:textId="77777777" w:rsidTr="001D7B5C">
        <w:trPr>
          <w:trHeight w:val="560"/>
        </w:trPr>
        <w:tc>
          <w:tcPr>
            <w:tcW w:w="0" w:type="auto"/>
            <w:tcBorders>
              <w:top w:val="single" w:sz="12" w:space="0" w:color="auto"/>
              <w:left w:val="nil"/>
              <w:bottom w:val="single" w:sz="12" w:space="0" w:color="auto"/>
              <w:right w:val="nil"/>
            </w:tcBorders>
            <w:vAlign w:val="center"/>
            <w:hideMark/>
          </w:tcPr>
          <w:p w14:paraId="05B487A5" w14:textId="77777777" w:rsidR="001429E1" w:rsidRPr="00372AB4" w:rsidRDefault="001429E1" w:rsidP="001D7B5C">
            <w:pPr>
              <w:spacing w:after="0" w:line="240" w:lineRule="auto"/>
              <w:rPr>
                <w:b/>
                <w:lang w:val="en-US"/>
              </w:rPr>
            </w:pPr>
            <w:bookmarkStart w:id="6" w:name="_Hlk4772529"/>
            <w:r w:rsidRPr="00372AB4">
              <w:rPr>
                <w:b/>
                <w:lang w:val="en-US"/>
              </w:rPr>
              <w:t>Outcome</w:t>
            </w:r>
          </w:p>
        </w:tc>
        <w:tc>
          <w:tcPr>
            <w:tcW w:w="1657" w:type="dxa"/>
            <w:tcBorders>
              <w:top w:val="single" w:sz="12" w:space="0" w:color="auto"/>
              <w:left w:val="nil"/>
              <w:bottom w:val="single" w:sz="12" w:space="0" w:color="auto"/>
              <w:right w:val="nil"/>
            </w:tcBorders>
            <w:vAlign w:val="center"/>
            <w:hideMark/>
          </w:tcPr>
          <w:p w14:paraId="79C482D4" w14:textId="77777777" w:rsidR="001429E1" w:rsidRPr="00372AB4" w:rsidRDefault="001429E1" w:rsidP="001D7B5C">
            <w:pPr>
              <w:spacing w:after="0" w:line="240" w:lineRule="auto"/>
              <w:jc w:val="center"/>
              <w:rPr>
                <w:b/>
                <w:lang w:val="en-US"/>
              </w:rPr>
            </w:pPr>
            <w:r w:rsidRPr="00372AB4">
              <w:rPr>
                <w:b/>
                <w:lang w:val="en-US"/>
              </w:rPr>
              <w:t>TP/FP</w:t>
            </w:r>
          </w:p>
        </w:tc>
        <w:tc>
          <w:tcPr>
            <w:tcW w:w="1082" w:type="dxa"/>
            <w:tcBorders>
              <w:top w:val="single" w:sz="12" w:space="0" w:color="auto"/>
              <w:left w:val="nil"/>
              <w:bottom w:val="single" w:sz="12" w:space="0" w:color="auto"/>
              <w:right w:val="nil"/>
            </w:tcBorders>
            <w:vAlign w:val="center"/>
            <w:hideMark/>
          </w:tcPr>
          <w:p w14:paraId="02DC0092" w14:textId="77777777" w:rsidR="001429E1" w:rsidRPr="00372AB4" w:rsidRDefault="001429E1" w:rsidP="001D7B5C">
            <w:pPr>
              <w:spacing w:after="0" w:line="240" w:lineRule="auto"/>
              <w:jc w:val="center"/>
              <w:rPr>
                <w:b/>
                <w:lang w:val="en-US"/>
              </w:rPr>
            </w:pPr>
            <w:r w:rsidRPr="00372AB4">
              <w:rPr>
                <w:b/>
                <w:lang w:val="en-US"/>
              </w:rPr>
              <w:t>TN/FN</w:t>
            </w:r>
          </w:p>
        </w:tc>
        <w:tc>
          <w:tcPr>
            <w:tcW w:w="1448" w:type="dxa"/>
            <w:tcBorders>
              <w:top w:val="single" w:sz="12" w:space="0" w:color="auto"/>
              <w:left w:val="nil"/>
              <w:bottom w:val="single" w:sz="12" w:space="0" w:color="auto"/>
              <w:right w:val="nil"/>
            </w:tcBorders>
            <w:vAlign w:val="center"/>
            <w:hideMark/>
          </w:tcPr>
          <w:p w14:paraId="4D0E96C3" w14:textId="77777777" w:rsidR="001429E1" w:rsidRDefault="001429E1" w:rsidP="001D7B5C">
            <w:pPr>
              <w:spacing w:after="0" w:line="240" w:lineRule="auto"/>
              <w:jc w:val="center"/>
              <w:rPr>
                <w:b/>
                <w:lang w:val="en-US"/>
              </w:rPr>
            </w:pPr>
            <w:r w:rsidRPr="00372AB4">
              <w:rPr>
                <w:b/>
                <w:lang w:val="en-US"/>
              </w:rPr>
              <w:t xml:space="preserve">Positive </w:t>
            </w:r>
          </w:p>
          <w:p w14:paraId="43BA99BF" w14:textId="77777777" w:rsidR="001429E1" w:rsidRPr="00372AB4" w:rsidRDefault="001429E1" w:rsidP="001D7B5C">
            <w:pPr>
              <w:spacing w:after="0" w:line="240" w:lineRule="auto"/>
              <w:jc w:val="center"/>
              <w:rPr>
                <w:b/>
                <w:lang w:val="en-US"/>
              </w:rPr>
            </w:pPr>
            <w:r w:rsidRPr="00372AB4">
              <w:rPr>
                <w:b/>
                <w:lang w:val="en-US"/>
              </w:rPr>
              <w:t>LR</w:t>
            </w:r>
          </w:p>
        </w:tc>
        <w:tc>
          <w:tcPr>
            <w:tcW w:w="1464" w:type="dxa"/>
            <w:tcBorders>
              <w:top w:val="single" w:sz="12" w:space="0" w:color="auto"/>
              <w:left w:val="nil"/>
              <w:bottom w:val="single" w:sz="12" w:space="0" w:color="auto"/>
              <w:right w:val="nil"/>
            </w:tcBorders>
            <w:vAlign w:val="center"/>
            <w:hideMark/>
          </w:tcPr>
          <w:p w14:paraId="68A91C3C" w14:textId="77777777" w:rsidR="001429E1" w:rsidRDefault="001429E1" w:rsidP="001D7B5C">
            <w:pPr>
              <w:spacing w:after="0" w:line="240" w:lineRule="auto"/>
              <w:jc w:val="center"/>
              <w:rPr>
                <w:b/>
                <w:lang w:val="en-US"/>
              </w:rPr>
            </w:pPr>
            <w:r w:rsidRPr="00372AB4">
              <w:rPr>
                <w:b/>
                <w:lang w:val="en-US"/>
              </w:rPr>
              <w:t xml:space="preserve">Negative </w:t>
            </w:r>
          </w:p>
          <w:p w14:paraId="3AAD208F" w14:textId="77777777" w:rsidR="001429E1" w:rsidRPr="00372AB4" w:rsidRDefault="001429E1" w:rsidP="001D7B5C">
            <w:pPr>
              <w:spacing w:after="0" w:line="240" w:lineRule="auto"/>
              <w:jc w:val="center"/>
              <w:rPr>
                <w:b/>
                <w:lang w:val="en-US"/>
              </w:rPr>
            </w:pPr>
            <w:r w:rsidRPr="00372AB4">
              <w:rPr>
                <w:b/>
                <w:lang w:val="en-US"/>
              </w:rPr>
              <w:t>LR</w:t>
            </w:r>
          </w:p>
        </w:tc>
        <w:tc>
          <w:tcPr>
            <w:tcW w:w="1499" w:type="dxa"/>
            <w:tcBorders>
              <w:top w:val="single" w:sz="12" w:space="0" w:color="auto"/>
              <w:left w:val="nil"/>
              <w:bottom w:val="single" w:sz="12" w:space="0" w:color="auto"/>
              <w:right w:val="nil"/>
            </w:tcBorders>
            <w:vAlign w:val="center"/>
            <w:hideMark/>
          </w:tcPr>
          <w:p w14:paraId="1EC6E3F8" w14:textId="77777777" w:rsidR="001429E1" w:rsidRDefault="001429E1" w:rsidP="001D7B5C">
            <w:pPr>
              <w:spacing w:after="0" w:line="240" w:lineRule="auto"/>
              <w:jc w:val="center"/>
              <w:rPr>
                <w:b/>
                <w:lang w:val="en-US"/>
              </w:rPr>
            </w:pPr>
            <w:r w:rsidRPr="00372AB4">
              <w:rPr>
                <w:b/>
                <w:lang w:val="en-US"/>
              </w:rPr>
              <w:t xml:space="preserve">Sensitivity </w:t>
            </w:r>
          </w:p>
          <w:p w14:paraId="4F2468A6" w14:textId="77777777" w:rsidR="001429E1" w:rsidRPr="00372AB4" w:rsidRDefault="001429E1" w:rsidP="001D7B5C">
            <w:pPr>
              <w:spacing w:after="0" w:line="240" w:lineRule="auto"/>
              <w:jc w:val="center"/>
              <w:rPr>
                <w:b/>
                <w:lang w:val="en-US"/>
              </w:rPr>
            </w:pPr>
            <w:r w:rsidRPr="00372AB4">
              <w:rPr>
                <w:b/>
                <w:lang w:val="en-US"/>
              </w:rPr>
              <w:t>(%)</w:t>
            </w:r>
          </w:p>
        </w:tc>
        <w:tc>
          <w:tcPr>
            <w:tcW w:w="1811" w:type="dxa"/>
            <w:tcBorders>
              <w:top w:val="single" w:sz="12" w:space="0" w:color="auto"/>
              <w:left w:val="nil"/>
              <w:bottom w:val="single" w:sz="12" w:space="0" w:color="auto"/>
              <w:right w:val="nil"/>
            </w:tcBorders>
            <w:vAlign w:val="center"/>
            <w:hideMark/>
          </w:tcPr>
          <w:p w14:paraId="42CF940D" w14:textId="77777777" w:rsidR="001429E1" w:rsidRDefault="001429E1" w:rsidP="001D7B5C">
            <w:pPr>
              <w:spacing w:after="0" w:line="240" w:lineRule="auto"/>
              <w:jc w:val="center"/>
              <w:rPr>
                <w:b/>
                <w:lang w:val="en-US"/>
              </w:rPr>
            </w:pPr>
            <w:r w:rsidRPr="00372AB4">
              <w:rPr>
                <w:b/>
                <w:lang w:val="en-US"/>
              </w:rPr>
              <w:t xml:space="preserve">Specificity </w:t>
            </w:r>
          </w:p>
          <w:p w14:paraId="306F9835" w14:textId="77777777" w:rsidR="001429E1" w:rsidRPr="00372AB4" w:rsidRDefault="001429E1" w:rsidP="001D7B5C">
            <w:pPr>
              <w:spacing w:after="0" w:line="240" w:lineRule="auto"/>
              <w:jc w:val="center"/>
              <w:rPr>
                <w:b/>
                <w:lang w:val="en-US"/>
              </w:rPr>
            </w:pPr>
            <w:r w:rsidRPr="00372AB4">
              <w:rPr>
                <w:b/>
                <w:lang w:val="en-US"/>
              </w:rPr>
              <w:t>(%)</w:t>
            </w:r>
          </w:p>
        </w:tc>
        <w:tc>
          <w:tcPr>
            <w:tcW w:w="682" w:type="dxa"/>
            <w:tcBorders>
              <w:top w:val="single" w:sz="12" w:space="0" w:color="auto"/>
              <w:left w:val="nil"/>
              <w:bottom w:val="single" w:sz="12" w:space="0" w:color="auto"/>
              <w:right w:val="nil"/>
            </w:tcBorders>
            <w:vAlign w:val="center"/>
            <w:hideMark/>
          </w:tcPr>
          <w:p w14:paraId="442EE8CB" w14:textId="77777777" w:rsidR="001429E1" w:rsidRDefault="001429E1" w:rsidP="001D7B5C">
            <w:pPr>
              <w:spacing w:after="0" w:line="240" w:lineRule="auto"/>
              <w:jc w:val="center"/>
              <w:rPr>
                <w:b/>
                <w:lang w:val="en-US"/>
              </w:rPr>
            </w:pPr>
            <w:r w:rsidRPr="00372AB4">
              <w:rPr>
                <w:b/>
                <w:lang w:val="en-US"/>
              </w:rPr>
              <w:t xml:space="preserve">PPV </w:t>
            </w:r>
          </w:p>
          <w:p w14:paraId="56A58EC8" w14:textId="77777777" w:rsidR="001429E1" w:rsidRPr="00372AB4" w:rsidRDefault="001429E1" w:rsidP="001D7B5C">
            <w:pPr>
              <w:spacing w:after="0" w:line="240" w:lineRule="auto"/>
              <w:jc w:val="center"/>
              <w:rPr>
                <w:b/>
                <w:lang w:val="en-US"/>
              </w:rPr>
            </w:pPr>
            <w:r w:rsidRPr="00372AB4">
              <w:rPr>
                <w:b/>
                <w:lang w:val="en-US"/>
              </w:rPr>
              <w:t>(%)</w:t>
            </w:r>
          </w:p>
        </w:tc>
        <w:tc>
          <w:tcPr>
            <w:tcW w:w="1363" w:type="dxa"/>
            <w:tcBorders>
              <w:top w:val="single" w:sz="12" w:space="0" w:color="auto"/>
              <w:left w:val="nil"/>
              <w:bottom w:val="single" w:sz="12" w:space="0" w:color="auto"/>
              <w:right w:val="nil"/>
            </w:tcBorders>
            <w:vAlign w:val="center"/>
            <w:hideMark/>
          </w:tcPr>
          <w:p w14:paraId="28638319" w14:textId="77777777" w:rsidR="001429E1" w:rsidRDefault="001429E1" w:rsidP="001D7B5C">
            <w:pPr>
              <w:spacing w:after="0" w:line="240" w:lineRule="auto"/>
              <w:jc w:val="center"/>
              <w:rPr>
                <w:b/>
                <w:lang w:val="en-US"/>
              </w:rPr>
            </w:pPr>
            <w:r w:rsidRPr="00372AB4">
              <w:rPr>
                <w:b/>
                <w:lang w:val="en-US"/>
              </w:rPr>
              <w:t xml:space="preserve">NPV </w:t>
            </w:r>
          </w:p>
          <w:p w14:paraId="0CA913E7" w14:textId="77777777" w:rsidR="001429E1" w:rsidRPr="00372AB4" w:rsidRDefault="001429E1" w:rsidP="001D7B5C">
            <w:pPr>
              <w:spacing w:after="0" w:line="240" w:lineRule="auto"/>
              <w:jc w:val="center"/>
              <w:rPr>
                <w:b/>
                <w:lang w:val="en-US"/>
              </w:rPr>
            </w:pPr>
            <w:r w:rsidRPr="00372AB4">
              <w:rPr>
                <w:b/>
                <w:lang w:val="en-US"/>
              </w:rPr>
              <w:t>(%)</w:t>
            </w:r>
          </w:p>
        </w:tc>
        <w:tc>
          <w:tcPr>
            <w:tcW w:w="0" w:type="auto"/>
            <w:tcBorders>
              <w:top w:val="single" w:sz="12" w:space="0" w:color="auto"/>
              <w:left w:val="nil"/>
              <w:bottom w:val="single" w:sz="12" w:space="0" w:color="auto"/>
              <w:right w:val="nil"/>
            </w:tcBorders>
            <w:vAlign w:val="center"/>
            <w:hideMark/>
          </w:tcPr>
          <w:p w14:paraId="4D6D32C6" w14:textId="77777777" w:rsidR="001429E1" w:rsidRPr="00372AB4" w:rsidRDefault="001429E1" w:rsidP="001D7B5C">
            <w:pPr>
              <w:spacing w:after="0" w:line="240" w:lineRule="auto"/>
              <w:jc w:val="center"/>
              <w:rPr>
                <w:b/>
                <w:lang w:val="en-US"/>
              </w:rPr>
            </w:pPr>
            <w:r w:rsidRPr="00372AB4">
              <w:rPr>
                <w:b/>
                <w:lang w:val="en-US"/>
              </w:rPr>
              <w:t>AUC</w:t>
            </w:r>
          </w:p>
        </w:tc>
      </w:tr>
      <w:tr w:rsidR="001429E1" w:rsidRPr="00372AB4" w14:paraId="3FE19753" w14:textId="77777777" w:rsidTr="001D7B5C">
        <w:trPr>
          <w:trHeight w:val="560"/>
        </w:trPr>
        <w:tc>
          <w:tcPr>
            <w:tcW w:w="0" w:type="auto"/>
            <w:tcBorders>
              <w:top w:val="single" w:sz="12" w:space="0" w:color="auto"/>
              <w:left w:val="nil"/>
              <w:bottom w:val="single" w:sz="4" w:space="0" w:color="BFBFBF" w:themeColor="background1" w:themeShade="BF"/>
              <w:right w:val="nil"/>
            </w:tcBorders>
            <w:vAlign w:val="center"/>
            <w:hideMark/>
          </w:tcPr>
          <w:p w14:paraId="00F25F61" w14:textId="77777777" w:rsidR="001429E1" w:rsidRPr="00372AB4" w:rsidRDefault="001429E1" w:rsidP="001D7B5C">
            <w:pPr>
              <w:spacing w:after="0" w:line="240" w:lineRule="auto"/>
              <w:rPr>
                <w:lang w:val="en-US"/>
              </w:rPr>
            </w:pPr>
            <w:r w:rsidRPr="00372AB4">
              <w:rPr>
                <w:lang w:val="en-US"/>
              </w:rPr>
              <w:t>FGR</w:t>
            </w:r>
          </w:p>
        </w:tc>
        <w:tc>
          <w:tcPr>
            <w:tcW w:w="1657" w:type="dxa"/>
            <w:tcBorders>
              <w:top w:val="single" w:sz="12" w:space="0" w:color="auto"/>
              <w:left w:val="nil"/>
              <w:bottom w:val="single" w:sz="4" w:space="0" w:color="BFBFBF" w:themeColor="background1" w:themeShade="BF"/>
              <w:right w:val="nil"/>
            </w:tcBorders>
            <w:vAlign w:val="center"/>
            <w:hideMark/>
          </w:tcPr>
          <w:p w14:paraId="6D41BE83" w14:textId="77777777" w:rsidR="001429E1" w:rsidRPr="00372AB4" w:rsidRDefault="001429E1" w:rsidP="001D7B5C">
            <w:pPr>
              <w:spacing w:after="0" w:line="240" w:lineRule="auto"/>
              <w:jc w:val="center"/>
              <w:rPr>
                <w:lang w:val="en-US"/>
              </w:rPr>
            </w:pPr>
            <w:r w:rsidRPr="00372AB4">
              <w:rPr>
                <w:lang w:val="en-US"/>
              </w:rPr>
              <w:t>26/378</w:t>
            </w:r>
          </w:p>
        </w:tc>
        <w:tc>
          <w:tcPr>
            <w:tcW w:w="1082" w:type="dxa"/>
            <w:tcBorders>
              <w:top w:val="single" w:sz="12" w:space="0" w:color="auto"/>
              <w:left w:val="nil"/>
              <w:bottom w:val="single" w:sz="4" w:space="0" w:color="BFBFBF" w:themeColor="background1" w:themeShade="BF"/>
              <w:right w:val="nil"/>
            </w:tcBorders>
            <w:vAlign w:val="center"/>
            <w:hideMark/>
          </w:tcPr>
          <w:p w14:paraId="0E36A33A" w14:textId="77777777" w:rsidR="001429E1" w:rsidRPr="00372AB4" w:rsidRDefault="001429E1" w:rsidP="001D7B5C">
            <w:pPr>
              <w:spacing w:after="0" w:line="240" w:lineRule="auto"/>
              <w:jc w:val="center"/>
              <w:rPr>
                <w:lang w:val="en-US"/>
              </w:rPr>
            </w:pPr>
            <w:r w:rsidRPr="00372AB4">
              <w:rPr>
                <w:lang w:val="en-US"/>
              </w:rPr>
              <w:t>3592/48</w:t>
            </w:r>
          </w:p>
        </w:tc>
        <w:tc>
          <w:tcPr>
            <w:tcW w:w="1448" w:type="dxa"/>
            <w:tcBorders>
              <w:top w:val="single" w:sz="12" w:space="0" w:color="auto"/>
              <w:left w:val="nil"/>
              <w:bottom w:val="single" w:sz="4" w:space="0" w:color="BFBFBF" w:themeColor="background1" w:themeShade="BF"/>
              <w:right w:val="nil"/>
            </w:tcBorders>
            <w:vAlign w:val="center"/>
            <w:hideMark/>
          </w:tcPr>
          <w:p w14:paraId="61209BD8" w14:textId="77777777" w:rsidR="001429E1" w:rsidRPr="00372AB4" w:rsidRDefault="001429E1" w:rsidP="001D7B5C">
            <w:pPr>
              <w:spacing w:after="0" w:line="240" w:lineRule="auto"/>
              <w:jc w:val="center"/>
              <w:rPr>
                <w:lang w:val="en-US"/>
              </w:rPr>
            </w:pPr>
            <w:r w:rsidRPr="00372AB4">
              <w:rPr>
                <w:lang w:val="en-US"/>
              </w:rPr>
              <w:t>3.7</w:t>
            </w:r>
          </w:p>
        </w:tc>
        <w:tc>
          <w:tcPr>
            <w:tcW w:w="1464" w:type="dxa"/>
            <w:tcBorders>
              <w:top w:val="single" w:sz="12" w:space="0" w:color="auto"/>
              <w:left w:val="nil"/>
              <w:bottom w:val="single" w:sz="4" w:space="0" w:color="BFBFBF" w:themeColor="background1" w:themeShade="BF"/>
              <w:right w:val="nil"/>
            </w:tcBorders>
            <w:vAlign w:val="center"/>
            <w:hideMark/>
          </w:tcPr>
          <w:p w14:paraId="3B079B04" w14:textId="77777777" w:rsidR="001429E1" w:rsidRPr="00372AB4" w:rsidRDefault="001429E1" w:rsidP="001D7B5C">
            <w:pPr>
              <w:spacing w:after="0" w:line="240" w:lineRule="auto"/>
              <w:jc w:val="center"/>
              <w:rPr>
                <w:lang w:val="en-US"/>
              </w:rPr>
            </w:pPr>
            <w:r w:rsidRPr="00372AB4">
              <w:rPr>
                <w:lang w:val="en-US"/>
              </w:rPr>
              <w:t>0.72</w:t>
            </w:r>
          </w:p>
        </w:tc>
        <w:tc>
          <w:tcPr>
            <w:tcW w:w="1499" w:type="dxa"/>
            <w:tcBorders>
              <w:top w:val="single" w:sz="12" w:space="0" w:color="auto"/>
              <w:left w:val="nil"/>
              <w:bottom w:val="single" w:sz="4" w:space="0" w:color="BFBFBF" w:themeColor="background1" w:themeShade="BF"/>
              <w:right w:val="nil"/>
            </w:tcBorders>
            <w:vAlign w:val="center"/>
            <w:hideMark/>
          </w:tcPr>
          <w:p w14:paraId="2DD2B15C" w14:textId="77777777" w:rsidR="001429E1" w:rsidRPr="00372AB4" w:rsidRDefault="001429E1" w:rsidP="001D7B5C">
            <w:pPr>
              <w:spacing w:after="0" w:line="240" w:lineRule="auto"/>
              <w:jc w:val="center"/>
              <w:rPr>
                <w:lang w:val="en-US"/>
              </w:rPr>
            </w:pPr>
            <w:r w:rsidRPr="00372AB4">
              <w:rPr>
                <w:lang w:val="en-US"/>
              </w:rPr>
              <w:t>35.1</w:t>
            </w:r>
          </w:p>
        </w:tc>
        <w:tc>
          <w:tcPr>
            <w:tcW w:w="1811" w:type="dxa"/>
            <w:tcBorders>
              <w:top w:val="single" w:sz="12" w:space="0" w:color="auto"/>
              <w:left w:val="nil"/>
              <w:bottom w:val="single" w:sz="4" w:space="0" w:color="BFBFBF" w:themeColor="background1" w:themeShade="BF"/>
              <w:right w:val="nil"/>
            </w:tcBorders>
            <w:vAlign w:val="center"/>
            <w:hideMark/>
          </w:tcPr>
          <w:p w14:paraId="06EAE626" w14:textId="77777777" w:rsidR="001429E1" w:rsidRPr="00372AB4" w:rsidRDefault="001429E1" w:rsidP="001D7B5C">
            <w:pPr>
              <w:spacing w:after="0" w:line="240" w:lineRule="auto"/>
              <w:jc w:val="center"/>
              <w:rPr>
                <w:lang w:val="en-US"/>
              </w:rPr>
            </w:pPr>
            <w:r w:rsidRPr="00372AB4">
              <w:rPr>
                <w:lang w:val="en-US"/>
              </w:rPr>
              <w:t>90.5</w:t>
            </w:r>
          </w:p>
        </w:tc>
        <w:tc>
          <w:tcPr>
            <w:tcW w:w="682" w:type="dxa"/>
            <w:tcBorders>
              <w:top w:val="single" w:sz="12" w:space="0" w:color="auto"/>
              <w:left w:val="nil"/>
              <w:bottom w:val="single" w:sz="4" w:space="0" w:color="BFBFBF" w:themeColor="background1" w:themeShade="BF"/>
              <w:right w:val="nil"/>
            </w:tcBorders>
            <w:vAlign w:val="center"/>
            <w:hideMark/>
          </w:tcPr>
          <w:p w14:paraId="7C8BFD78" w14:textId="77777777" w:rsidR="001429E1" w:rsidRPr="00372AB4" w:rsidRDefault="001429E1" w:rsidP="001D7B5C">
            <w:pPr>
              <w:spacing w:after="0" w:line="240" w:lineRule="auto"/>
              <w:jc w:val="center"/>
              <w:rPr>
                <w:lang w:val="en-US"/>
              </w:rPr>
            </w:pPr>
            <w:r w:rsidRPr="00372AB4">
              <w:rPr>
                <w:lang w:val="en-US"/>
              </w:rPr>
              <w:t>6.4</w:t>
            </w:r>
          </w:p>
        </w:tc>
        <w:tc>
          <w:tcPr>
            <w:tcW w:w="1363" w:type="dxa"/>
            <w:tcBorders>
              <w:top w:val="single" w:sz="12" w:space="0" w:color="auto"/>
              <w:left w:val="nil"/>
              <w:bottom w:val="single" w:sz="4" w:space="0" w:color="BFBFBF" w:themeColor="background1" w:themeShade="BF"/>
              <w:right w:val="nil"/>
            </w:tcBorders>
            <w:vAlign w:val="center"/>
            <w:hideMark/>
          </w:tcPr>
          <w:p w14:paraId="2187D13E" w14:textId="77777777" w:rsidR="001429E1" w:rsidRPr="00372AB4" w:rsidRDefault="001429E1" w:rsidP="001D7B5C">
            <w:pPr>
              <w:spacing w:after="0" w:line="240" w:lineRule="auto"/>
              <w:jc w:val="center"/>
              <w:rPr>
                <w:lang w:val="en-US"/>
              </w:rPr>
            </w:pPr>
            <w:r w:rsidRPr="00372AB4">
              <w:rPr>
                <w:lang w:val="en-US"/>
              </w:rPr>
              <w:t>98.7</w:t>
            </w:r>
          </w:p>
        </w:tc>
        <w:tc>
          <w:tcPr>
            <w:tcW w:w="0" w:type="auto"/>
            <w:tcBorders>
              <w:top w:val="single" w:sz="12" w:space="0" w:color="auto"/>
              <w:left w:val="nil"/>
              <w:bottom w:val="single" w:sz="4" w:space="0" w:color="BFBFBF" w:themeColor="background1" w:themeShade="BF"/>
              <w:right w:val="nil"/>
            </w:tcBorders>
            <w:vAlign w:val="center"/>
            <w:hideMark/>
          </w:tcPr>
          <w:p w14:paraId="7272F9AF" w14:textId="77777777" w:rsidR="001429E1" w:rsidRPr="00372AB4" w:rsidRDefault="001429E1" w:rsidP="001D7B5C">
            <w:pPr>
              <w:spacing w:after="0" w:line="240" w:lineRule="auto"/>
              <w:jc w:val="center"/>
              <w:rPr>
                <w:lang w:val="en-US"/>
              </w:rPr>
            </w:pPr>
            <w:r w:rsidRPr="00372AB4">
              <w:rPr>
                <w:lang w:val="en-US"/>
              </w:rPr>
              <w:t>0.684</w:t>
            </w:r>
          </w:p>
        </w:tc>
      </w:tr>
      <w:tr w:rsidR="001429E1" w:rsidRPr="00372AB4" w14:paraId="740370D1" w14:textId="77777777" w:rsidTr="001D7B5C">
        <w:trPr>
          <w:trHeight w:val="560"/>
        </w:trPr>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4C772298" w14:textId="77777777" w:rsidR="001429E1" w:rsidRPr="00372AB4" w:rsidRDefault="001429E1" w:rsidP="001D7B5C">
            <w:pPr>
              <w:spacing w:after="0" w:line="240" w:lineRule="auto"/>
              <w:rPr>
                <w:lang w:val="en-US"/>
              </w:rPr>
            </w:pPr>
            <w:r w:rsidRPr="00372AB4">
              <w:rPr>
                <w:lang w:val="en-US"/>
              </w:rPr>
              <w:t>Severe SGA</w:t>
            </w:r>
          </w:p>
        </w:tc>
        <w:tc>
          <w:tcPr>
            <w:tcW w:w="1657" w:type="dxa"/>
            <w:tcBorders>
              <w:top w:val="single" w:sz="4" w:space="0" w:color="BFBFBF" w:themeColor="background1" w:themeShade="BF"/>
              <w:left w:val="nil"/>
              <w:bottom w:val="single" w:sz="4" w:space="0" w:color="BFBFBF" w:themeColor="background1" w:themeShade="BF"/>
              <w:right w:val="nil"/>
            </w:tcBorders>
            <w:vAlign w:val="center"/>
            <w:hideMark/>
          </w:tcPr>
          <w:p w14:paraId="1176FA16" w14:textId="77777777" w:rsidR="001429E1" w:rsidRPr="00372AB4" w:rsidRDefault="001429E1" w:rsidP="001D7B5C">
            <w:pPr>
              <w:spacing w:after="0" w:line="240" w:lineRule="auto"/>
              <w:jc w:val="center"/>
              <w:rPr>
                <w:lang w:val="en-US"/>
              </w:rPr>
            </w:pPr>
            <w:r w:rsidRPr="00372AB4">
              <w:rPr>
                <w:lang w:val="en-US"/>
              </w:rPr>
              <w:t>31/373</w:t>
            </w:r>
          </w:p>
        </w:tc>
        <w:tc>
          <w:tcPr>
            <w:tcW w:w="1082" w:type="dxa"/>
            <w:tcBorders>
              <w:top w:val="single" w:sz="4" w:space="0" w:color="BFBFBF" w:themeColor="background1" w:themeShade="BF"/>
              <w:left w:val="nil"/>
              <w:bottom w:val="single" w:sz="4" w:space="0" w:color="BFBFBF" w:themeColor="background1" w:themeShade="BF"/>
              <w:right w:val="nil"/>
            </w:tcBorders>
            <w:vAlign w:val="center"/>
            <w:hideMark/>
          </w:tcPr>
          <w:p w14:paraId="1C64E1CE" w14:textId="77777777" w:rsidR="001429E1" w:rsidRPr="00372AB4" w:rsidRDefault="001429E1" w:rsidP="001D7B5C">
            <w:pPr>
              <w:spacing w:after="0" w:line="240" w:lineRule="auto"/>
              <w:jc w:val="center"/>
              <w:rPr>
                <w:lang w:val="en-US"/>
              </w:rPr>
            </w:pPr>
            <w:r w:rsidRPr="00372AB4">
              <w:rPr>
                <w:lang w:val="en-US"/>
              </w:rPr>
              <w:t>3577/63</w:t>
            </w:r>
          </w:p>
        </w:tc>
        <w:tc>
          <w:tcPr>
            <w:tcW w:w="1448" w:type="dxa"/>
            <w:tcBorders>
              <w:top w:val="single" w:sz="4" w:space="0" w:color="BFBFBF" w:themeColor="background1" w:themeShade="BF"/>
              <w:left w:val="nil"/>
              <w:bottom w:val="single" w:sz="4" w:space="0" w:color="BFBFBF" w:themeColor="background1" w:themeShade="BF"/>
              <w:right w:val="nil"/>
            </w:tcBorders>
            <w:vAlign w:val="center"/>
            <w:hideMark/>
          </w:tcPr>
          <w:p w14:paraId="65375E12" w14:textId="77777777" w:rsidR="001429E1" w:rsidRPr="00372AB4" w:rsidRDefault="001429E1" w:rsidP="001D7B5C">
            <w:pPr>
              <w:spacing w:after="0" w:line="240" w:lineRule="auto"/>
              <w:jc w:val="center"/>
              <w:rPr>
                <w:lang w:val="en-US"/>
              </w:rPr>
            </w:pPr>
            <w:r w:rsidRPr="00372AB4">
              <w:rPr>
                <w:lang w:val="en-US"/>
              </w:rPr>
              <w:t>3.5</w:t>
            </w:r>
          </w:p>
        </w:tc>
        <w:tc>
          <w:tcPr>
            <w:tcW w:w="1464" w:type="dxa"/>
            <w:tcBorders>
              <w:top w:val="single" w:sz="4" w:space="0" w:color="BFBFBF" w:themeColor="background1" w:themeShade="BF"/>
              <w:left w:val="nil"/>
              <w:bottom w:val="single" w:sz="4" w:space="0" w:color="BFBFBF" w:themeColor="background1" w:themeShade="BF"/>
              <w:right w:val="nil"/>
            </w:tcBorders>
            <w:vAlign w:val="center"/>
            <w:hideMark/>
          </w:tcPr>
          <w:p w14:paraId="1820C843" w14:textId="77777777" w:rsidR="001429E1" w:rsidRPr="00372AB4" w:rsidRDefault="001429E1" w:rsidP="001D7B5C">
            <w:pPr>
              <w:spacing w:after="0" w:line="240" w:lineRule="auto"/>
              <w:jc w:val="center"/>
              <w:rPr>
                <w:lang w:val="en-US"/>
              </w:rPr>
            </w:pPr>
            <w:r w:rsidRPr="00372AB4">
              <w:rPr>
                <w:lang w:val="en-US"/>
              </w:rPr>
              <w:t>0.74</w:t>
            </w:r>
          </w:p>
        </w:tc>
        <w:tc>
          <w:tcPr>
            <w:tcW w:w="1499" w:type="dxa"/>
            <w:tcBorders>
              <w:top w:val="single" w:sz="4" w:space="0" w:color="BFBFBF" w:themeColor="background1" w:themeShade="BF"/>
              <w:left w:val="nil"/>
              <w:bottom w:val="single" w:sz="4" w:space="0" w:color="BFBFBF" w:themeColor="background1" w:themeShade="BF"/>
              <w:right w:val="nil"/>
            </w:tcBorders>
            <w:vAlign w:val="center"/>
            <w:hideMark/>
          </w:tcPr>
          <w:p w14:paraId="3CAF5F26" w14:textId="77777777" w:rsidR="001429E1" w:rsidRPr="00372AB4" w:rsidRDefault="001429E1" w:rsidP="001D7B5C">
            <w:pPr>
              <w:spacing w:after="0" w:line="240" w:lineRule="auto"/>
              <w:jc w:val="center"/>
              <w:rPr>
                <w:lang w:val="en-US"/>
              </w:rPr>
            </w:pPr>
            <w:r w:rsidRPr="00372AB4">
              <w:rPr>
                <w:lang w:val="en-US"/>
              </w:rPr>
              <w:t>33.0</w:t>
            </w:r>
          </w:p>
        </w:tc>
        <w:tc>
          <w:tcPr>
            <w:tcW w:w="1811" w:type="dxa"/>
            <w:tcBorders>
              <w:top w:val="single" w:sz="4" w:space="0" w:color="BFBFBF" w:themeColor="background1" w:themeShade="BF"/>
              <w:left w:val="nil"/>
              <w:bottom w:val="single" w:sz="4" w:space="0" w:color="BFBFBF" w:themeColor="background1" w:themeShade="BF"/>
              <w:right w:val="nil"/>
            </w:tcBorders>
            <w:vAlign w:val="center"/>
            <w:hideMark/>
          </w:tcPr>
          <w:p w14:paraId="2EE2001C" w14:textId="77777777" w:rsidR="001429E1" w:rsidRPr="00372AB4" w:rsidRDefault="001429E1" w:rsidP="001D7B5C">
            <w:pPr>
              <w:spacing w:after="0" w:line="240" w:lineRule="auto"/>
              <w:jc w:val="center"/>
              <w:rPr>
                <w:lang w:val="en-US"/>
              </w:rPr>
            </w:pPr>
            <w:r w:rsidRPr="00372AB4">
              <w:rPr>
                <w:lang w:val="en-US"/>
              </w:rPr>
              <w:t>90.6</w:t>
            </w:r>
          </w:p>
        </w:tc>
        <w:tc>
          <w:tcPr>
            <w:tcW w:w="682" w:type="dxa"/>
            <w:tcBorders>
              <w:top w:val="single" w:sz="4" w:space="0" w:color="BFBFBF" w:themeColor="background1" w:themeShade="BF"/>
              <w:left w:val="nil"/>
              <w:bottom w:val="single" w:sz="4" w:space="0" w:color="BFBFBF" w:themeColor="background1" w:themeShade="BF"/>
              <w:right w:val="nil"/>
            </w:tcBorders>
            <w:vAlign w:val="center"/>
            <w:hideMark/>
          </w:tcPr>
          <w:p w14:paraId="2F2AFAB4" w14:textId="77777777" w:rsidR="001429E1" w:rsidRPr="00372AB4" w:rsidRDefault="001429E1" w:rsidP="001D7B5C">
            <w:pPr>
              <w:spacing w:after="0" w:line="240" w:lineRule="auto"/>
              <w:jc w:val="center"/>
              <w:rPr>
                <w:lang w:val="en-US"/>
              </w:rPr>
            </w:pPr>
            <w:r w:rsidRPr="00372AB4">
              <w:rPr>
                <w:lang w:val="en-US"/>
              </w:rPr>
              <w:t>7.7</w:t>
            </w:r>
          </w:p>
        </w:tc>
        <w:tc>
          <w:tcPr>
            <w:tcW w:w="1363" w:type="dxa"/>
            <w:tcBorders>
              <w:top w:val="single" w:sz="4" w:space="0" w:color="BFBFBF" w:themeColor="background1" w:themeShade="BF"/>
              <w:left w:val="nil"/>
              <w:bottom w:val="single" w:sz="4" w:space="0" w:color="BFBFBF" w:themeColor="background1" w:themeShade="BF"/>
              <w:right w:val="nil"/>
            </w:tcBorders>
            <w:vAlign w:val="center"/>
            <w:hideMark/>
          </w:tcPr>
          <w:p w14:paraId="1EE09EA3" w14:textId="77777777" w:rsidR="001429E1" w:rsidRPr="00372AB4" w:rsidRDefault="001429E1" w:rsidP="001D7B5C">
            <w:pPr>
              <w:spacing w:after="0" w:line="240" w:lineRule="auto"/>
              <w:jc w:val="center"/>
              <w:rPr>
                <w:lang w:val="en-US"/>
              </w:rPr>
            </w:pPr>
            <w:r w:rsidRPr="00372AB4">
              <w:rPr>
                <w:lang w:val="en-US"/>
              </w:rPr>
              <w:t>98.3</w:t>
            </w:r>
          </w:p>
        </w:tc>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2A32A57D" w14:textId="77777777" w:rsidR="001429E1" w:rsidRPr="00372AB4" w:rsidRDefault="001429E1" w:rsidP="001D7B5C">
            <w:pPr>
              <w:spacing w:after="0" w:line="240" w:lineRule="auto"/>
              <w:jc w:val="center"/>
              <w:rPr>
                <w:lang w:val="en-US"/>
              </w:rPr>
            </w:pPr>
            <w:r w:rsidRPr="00372AB4">
              <w:rPr>
                <w:lang w:val="en-US"/>
              </w:rPr>
              <w:t>0.651</w:t>
            </w:r>
          </w:p>
        </w:tc>
      </w:tr>
      <w:tr w:rsidR="001429E1" w:rsidRPr="00372AB4" w14:paraId="4AB54D29" w14:textId="77777777" w:rsidTr="001D7B5C">
        <w:trPr>
          <w:trHeight w:val="560"/>
        </w:trPr>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430BFBE9" w14:textId="77777777" w:rsidR="001429E1" w:rsidRPr="00372AB4" w:rsidRDefault="001429E1" w:rsidP="001D7B5C">
            <w:pPr>
              <w:spacing w:after="0" w:line="240" w:lineRule="auto"/>
              <w:rPr>
                <w:lang w:val="en-US"/>
              </w:rPr>
            </w:pPr>
            <w:r w:rsidRPr="00372AB4">
              <w:rPr>
                <w:lang w:val="en-US"/>
              </w:rPr>
              <w:t>PE+PTB</w:t>
            </w:r>
          </w:p>
        </w:tc>
        <w:tc>
          <w:tcPr>
            <w:tcW w:w="1657" w:type="dxa"/>
            <w:tcBorders>
              <w:top w:val="single" w:sz="4" w:space="0" w:color="BFBFBF" w:themeColor="background1" w:themeShade="BF"/>
              <w:left w:val="nil"/>
              <w:bottom w:val="single" w:sz="4" w:space="0" w:color="BFBFBF" w:themeColor="background1" w:themeShade="BF"/>
              <w:right w:val="nil"/>
            </w:tcBorders>
            <w:vAlign w:val="center"/>
            <w:hideMark/>
          </w:tcPr>
          <w:p w14:paraId="3DCBE865" w14:textId="77777777" w:rsidR="001429E1" w:rsidRPr="00372AB4" w:rsidRDefault="001429E1" w:rsidP="001D7B5C">
            <w:pPr>
              <w:spacing w:after="0" w:line="240" w:lineRule="auto"/>
              <w:jc w:val="center"/>
              <w:rPr>
                <w:lang w:val="en-US"/>
              </w:rPr>
            </w:pPr>
            <w:r w:rsidRPr="00372AB4">
              <w:rPr>
                <w:lang w:val="en-US"/>
              </w:rPr>
              <w:t>8/396</w:t>
            </w:r>
          </w:p>
        </w:tc>
        <w:tc>
          <w:tcPr>
            <w:tcW w:w="1082" w:type="dxa"/>
            <w:tcBorders>
              <w:top w:val="single" w:sz="4" w:space="0" w:color="BFBFBF" w:themeColor="background1" w:themeShade="BF"/>
              <w:left w:val="nil"/>
              <w:bottom w:val="single" w:sz="4" w:space="0" w:color="BFBFBF" w:themeColor="background1" w:themeShade="BF"/>
              <w:right w:val="nil"/>
            </w:tcBorders>
            <w:vAlign w:val="center"/>
            <w:hideMark/>
          </w:tcPr>
          <w:p w14:paraId="529F40DC" w14:textId="77777777" w:rsidR="001429E1" w:rsidRPr="00372AB4" w:rsidRDefault="001429E1" w:rsidP="001D7B5C">
            <w:pPr>
              <w:spacing w:after="0" w:line="240" w:lineRule="auto"/>
              <w:jc w:val="center"/>
              <w:rPr>
                <w:lang w:val="en-US"/>
              </w:rPr>
            </w:pPr>
            <w:r w:rsidRPr="00372AB4">
              <w:rPr>
                <w:lang w:val="en-US"/>
              </w:rPr>
              <w:t>3619/21</w:t>
            </w:r>
          </w:p>
        </w:tc>
        <w:tc>
          <w:tcPr>
            <w:tcW w:w="1448" w:type="dxa"/>
            <w:tcBorders>
              <w:top w:val="single" w:sz="4" w:space="0" w:color="BFBFBF" w:themeColor="background1" w:themeShade="BF"/>
              <w:left w:val="nil"/>
              <w:bottom w:val="single" w:sz="4" w:space="0" w:color="BFBFBF" w:themeColor="background1" w:themeShade="BF"/>
              <w:right w:val="nil"/>
            </w:tcBorders>
            <w:vAlign w:val="center"/>
            <w:hideMark/>
          </w:tcPr>
          <w:p w14:paraId="42880D6A" w14:textId="77777777" w:rsidR="001429E1" w:rsidRPr="00372AB4" w:rsidRDefault="001429E1" w:rsidP="001D7B5C">
            <w:pPr>
              <w:spacing w:after="0" w:line="240" w:lineRule="auto"/>
              <w:jc w:val="center"/>
              <w:rPr>
                <w:lang w:val="en-US"/>
              </w:rPr>
            </w:pPr>
            <w:r w:rsidRPr="00372AB4">
              <w:rPr>
                <w:lang w:val="en-US"/>
              </w:rPr>
              <w:t>2.8</w:t>
            </w:r>
          </w:p>
        </w:tc>
        <w:tc>
          <w:tcPr>
            <w:tcW w:w="1464" w:type="dxa"/>
            <w:tcBorders>
              <w:top w:val="single" w:sz="4" w:space="0" w:color="BFBFBF" w:themeColor="background1" w:themeShade="BF"/>
              <w:left w:val="nil"/>
              <w:bottom w:val="single" w:sz="4" w:space="0" w:color="BFBFBF" w:themeColor="background1" w:themeShade="BF"/>
              <w:right w:val="nil"/>
            </w:tcBorders>
            <w:vAlign w:val="center"/>
            <w:hideMark/>
          </w:tcPr>
          <w:p w14:paraId="78777F02" w14:textId="77777777" w:rsidR="001429E1" w:rsidRPr="00372AB4" w:rsidRDefault="001429E1" w:rsidP="001D7B5C">
            <w:pPr>
              <w:spacing w:after="0" w:line="240" w:lineRule="auto"/>
              <w:jc w:val="center"/>
              <w:rPr>
                <w:lang w:val="en-US"/>
              </w:rPr>
            </w:pPr>
            <w:r w:rsidRPr="00372AB4">
              <w:rPr>
                <w:lang w:val="en-US"/>
              </w:rPr>
              <w:t>0.80</w:t>
            </w:r>
          </w:p>
        </w:tc>
        <w:tc>
          <w:tcPr>
            <w:tcW w:w="1499" w:type="dxa"/>
            <w:tcBorders>
              <w:top w:val="single" w:sz="4" w:space="0" w:color="BFBFBF" w:themeColor="background1" w:themeShade="BF"/>
              <w:left w:val="nil"/>
              <w:bottom w:val="single" w:sz="4" w:space="0" w:color="BFBFBF" w:themeColor="background1" w:themeShade="BF"/>
              <w:right w:val="nil"/>
            </w:tcBorders>
            <w:vAlign w:val="center"/>
            <w:hideMark/>
          </w:tcPr>
          <w:p w14:paraId="1B507853" w14:textId="77777777" w:rsidR="001429E1" w:rsidRPr="00372AB4" w:rsidRDefault="001429E1" w:rsidP="001D7B5C">
            <w:pPr>
              <w:spacing w:after="0" w:line="240" w:lineRule="auto"/>
              <w:jc w:val="center"/>
              <w:rPr>
                <w:lang w:val="en-US"/>
              </w:rPr>
            </w:pPr>
            <w:r w:rsidRPr="00372AB4">
              <w:rPr>
                <w:lang w:val="en-US"/>
              </w:rPr>
              <w:t>27.6</w:t>
            </w:r>
          </w:p>
        </w:tc>
        <w:tc>
          <w:tcPr>
            <w:tcW w:w="1811" w:type="dxa"/>
            <w:tcBorders>
              <w:top w:val="single" w:sz="4" w:space="0" w:color="BFBFBF" w:themeColor="background1" w:themeShade="BF"/>
              <w:left w:val="nil"/>
              <w:bottom w:val="single" w:sz="4" w:space="0" w:color="BFBFBF" w:themeColor="background1" w:themeShade="BF"/>
              <w:right w:val="nil"/>
            </w:tcBorders>
            <w:vAlign w:val="center"/>
            <w:hideMark/>
          </w:tcPr>
          <w:p w14:paraId="7924C0B8" w14:textId="77777777" w:rsidR="001429E1" w:rsidRPr="00372AB4" w:rsidRDefault="001429E1" w:rsidP="001D7B5C">
            <w:pPr>
              <w:spacing w:after="0" w:line="240" w:lineRule="auto"/>
              <w:jc w:val="center"/>
              <w:rPr>
                <w:lang w:val="en-US"/>
              </w:rPr>
            </w:pPr>
            <w:r w:rsidRPr="00372AB4">
              <w:rPr>
                <w:lang w:val="en-US"/>
              </w:rPr>
              <w:t>90.1</w:t>
            </w:r>
          </w:p>
        </w:tc>
        <w:tc>
          <w:tcPr>
            <w:tcW w:w="682" w:type="dxa"/>
            <w:tcBorders>
              <w:top w:val="single" w:sz="4" w:space="0" w:color="BFBFBF" w:themeColor="background1" w:themeShade="BF"/>
              <w:left w:val="nil"/>
              <w:bottom w:val="single" w:sz="4" w:space="0" w:color="BFBFBF" w:themeColor="background1" w:themeShade="BF"/>
              <w:right w:val="nil"/>
            </w:tcBorders>
            <w:vAlign w:val="center"/>
            <w:hideMark/>
          </w:tcPr>
          <w:p w14:paraId="1202585E" w14:textId="77777777" w:rsidR="001429E1" w:rsidRPr="00372AB4" w:rsidRDefault="001429E1" w:rsidP="001D7B5C">
            <w:pPr>
              <w:spacing w:after="0" w:line="240" w:lineRule="auto"/>
              <w:jc w:val="center"/>
              <w:rPr>
                <w:lang w:val="en-US"/>
              </w:rPr>
            </w:pPr>
            <w:r w:rsidRPr="00372AB4">
              <w:rPr>
                <w:lang w:val="en-US"/>
              </w:rPr>
              <w:t>2.0</w:t>
            </w:r>
          </w:p>
        </w:tc>
        <w:tc>
          <w:tcPr>
            <w:tcW w:w="1363" w:type="dxa"/>
            <w:tcBorders>
              <w:top w:val="single" w:sz="4" w:space="0" w:color="BFBFBF" w:themeColor="background1" w:themeShade="BF"/>
              <w:left w:val="nil"/>
              <w:bottom w:val="single" w:sz="4" w:space="0" w:color="BFBFBF" w:themeColor="background1" w:themeShade="BF"/>
              <w:right w:val="nil"/>
            </w:tcBorders>
            <w:vAlign w:val="center"/>
            <w:hideMark/>
          </w:tcPr>
          <w:p w14:paraId="7F04DBFF" w14:textId="77777777" w:rsidR="001429E1" w:rsidRPr="00372AB4" w:rsidRDefault="001429E1" w:rsidP="001D7B5C">
            <w:pPr>
              <w:spacing w:after="0" w:line="240" w:lineRule="auto"/>
              <w:jc w:val="center"/>
              <w:rPr>
                <w:lang w:val="en-US"/>
              </w:rPr>
            </w:pPr>
            <w:r w:rsidRPr="00372AB4">
              <w:rPr>
                <w:lang w:val="en-US"/>
              </w:rPr>
              <w:t>99.4</w:t>
            </w:r>
          </w:p>
        </w:tc>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7878BB45" w14:textId="77777777" w:rsidR="001429E1" w:rsidRPr="00372AB4" w:rsidRDefault="001429E1" w:rsidP="001D7B5C">
            <w:pPr>
              <w:spacing w:after="0" w:line="240" w:lineRule="auto"/>
              <w:jc w:val="center"/>
              <w:rPr>
                <w:lang w:val="en-US"/>
              </w:rPr>
            </w:pPr>
            <w:r w:rsidRPr="00372AB4">
              <w:rPr>
                <w:lang w:val="en-US"/>
              </w:rPr>
              <w:t>0.595</w:t>
            </w:r>
          </w:p>
        </w:tc>
      </w:tr>
      <w:tr w:rsidR="001429E1" w:rsidRPr="00372AB4" w14:paraId="59900B41" w14:textId="77777777" w:rsidTr="001D7B5C">
        <w:trPr>
          <w:trHeight w:val="560"/>
        </w:trPr>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285E0AEB" w14:textId="77777777" w:rsidR="001429E1" w:rsidRPr="00372AB4" w:rsidRDefault="001429E1" w:rsidP="001D7B5C">
            <w:pPr>
              <w:spacing w:after="0" w:line="240" w:lineRule="auto"/>
              <w:rPr>
                <w:lang w:val="en-US"/>
              </w:rPr>
            </w:pPr>
            <w:r w:rsidRPr="00372AB4">
              <w:rPr>
                <w:lang w:val="en-US"/>
              </w:rPr>
              <w:t>Severe PE</w:t>
            </w:r>
          </w:p>
        </w:tc>
        <w:tc>
          <w:tcPr>
            <w:tcW w:w="1657" w:type="dxa"/>
            <w:tcBorders>
              <w:top w:val="single" w:sz="4" w:space="0" w:color="BFBFBF" w:themeColor="background1" w:themeShade="BF"/>
              <w:left w:val="nil"/>
              <w:bottom w:val="single" w:sz="4" w:space="0" w:color="BFBFBF" w:themeColor="background1" w:themeShade="BF"/>
              <w:right w:val="nil"/>
            </w:tcBorders>
            <w:vAlign w:val="center"/>
            <w:hideMark/>
          </w:tcPr>
          <w:p w14:paraId="3AD597DD" w14:textId="77777777" w:rsidR="001429E1" w:rsidRPr="00372AB4" w:rsidRDefault="001429E1" w:rsidP="001D7B5C">
            <w:pPr>
              <w:spacing w:after="0" w:line="240" w:lineRule="auto"/>
              <w:jc w:val="center"/>
              <w:rPr>
                <w:lang w:val="en-US"/>
              </w:rPr>
            </w:pPr>
            <w:r w:rsidRPr="00372AB4">
              <w:rPr>
                <w:lang w:val="en-US"/>
              </w:rPr>
              <w:t>25/379</w:t>
            </w:r>
          </w:p>
        </w:tc>
        <w:tc>
          <w:tcPr>
            <w:tcW w:w="1082" w:type="dxa"/>
            <w:tcBorders>
              <w:top w:val="single" w:sz="4" w:space="0" w:color="BFBFBF" w:themeColor="background1" w:themeShade="BF"/>
              <w:left w:val="nil"/>
              <w:bottom w:val="single" w:sz="4" w:space="0" w:color="BFBFBF" w:themeColor="background1" w:themeShade="BF"/>
              <w:right w:val="nil"/>
            </w:tcBorders>
            <w:vAlign w:val="center"/>
            <w:hideMark/>
          </w:tcPr>
          <w:p w14:paraId="2F2FBF7F" w14:textId="77777777" w:rsidR="001429E1" w:rsidRPr="00372AB4" w:rsidRDefault="001429E1" w:rsidP="001D7B5C">
            <w:pPr>
              <w:spacing w:after="0" w:line="240" w:lineRule="auto"/>
              <w:jc w:val="center"/>
              <w:rPr>
                <w:lang w:val="en-US"/>
              </w:rPr>
            </w:pPr>
            <w:r w:rsidRPr="00372AB4">
              <w:rPr>
                <w:lang w:val="en-US"/>
              </w:rPr>
              <w:t>3536/104</w:t>
            </w:r>
          </w:p>
        </w:tc>
        <w:tc>
          <w:tcPr>
            <w:tcW w:w="1448" w:type="dxa"/>
            <w:tcBorders>
              <w:top w:val="single" w:sz="4" w:space="0" w:color="BFBFBF" w:themeColor="background1" w:themeShade="BF"/>
              <w:left w:val="nil"/>
              <w:bottom w:val="single" w:sz="4" w:space="0" w:color="BFBFBF" w:themeColor="background1" w:themeShade="BF"/>
              <w:right w:val="nil"/>
            </w:tcBorders>
            <w:vAlign w:val="center"/>
            <w:hideMark/>
          </w:tcPr>
          <w:p w14:paraId="55D2262E" w14:textId="77777777" w:rsidR="001429E1" w:rsidRPr="00372AB4" w:rsidRDefault="001429E1" w:rsidP="001D7B5C">
            <w:pPr>
              <w:spacing w:after="0" w:line="240" w:lineRule="auto"/>
              <w:jc w:val="center"/>
              <w:rPr>
                <w:lang w:val="en-US"/>
              </w:rPr>
            </w:pPr>
            <w:r w:rsidRPr="00372AB4">
              <w:rPr>
                <w:lang w:val="en-US"/>
              </w:rPr>
              <w:t>2.0</w:t>
            </w:r>
          </w:p>
        </w:tc>
        <w:tc>
          <w:tcPr>
            <w:tcW w:w="1464" w:type="dxa"/>
            <w:tcBorders>
              <w:top w:val="single" w:sz="4" w:space="0" w:color="BFBFBF" w:themeColor="background1" w:themeShade="BF"/>
              <w:left w:val="nil"/>
              <w:bottom w:val="single" w:sz="4" w:space="0" w:color="BFBFBF" w:themeColor="background1" w:themeShade="BF"/>
              <w:right w:val="nil"/>
            </w:tcBorders>
            <w:vAlign w:val="center"/>
            <w:hideMark/>
          </w:tcPr>
          <w:p w14:paraId="7A0F91A4" w14:textId="77777777" w:rsidR="001429E1" w:rsidRPr="00372AB4" w:rsidRDefault="001429E1" w:rsidP="001D7B5C">
            <w:pPr>
              <w:spacing w:after="0" w:line="240" w:lineRule="auto"/>
              <w:jc w:val="center"/>
              <w:rPr>
                <w:lang w:val="en-US"/>
              </w:rPr>
            </w:pPr>
            <w:r w:rsidRPr="00372AB4">
              <w:rPr>
                <w:lang w:val="en-US"/>
              </w:rPr>
              <w:t>0.89</w:t>
            </w:r>
          </w:p>
        </w:tc>
        <w:tc>
          <w:tcPr>
            <w:tcW w:w="1499" w:type="dxa"/>
            <w:tcBorders>
              <w:top w:val="single" w:sz="4" w:space="0" w:color="BFBFBF" w:themeColor="background1" w:themeShade="BF"/>
              <w:left w:val="nil"/>
              <w:bottom w:val="single" w:sz="4" w:space="0" w:color="BFBFBF" w:themeColor="background1" w:themeShade="BF"/>
              <w:right w:val="nil"/>
            </w:tcBorders>
            <w:vAlign w:val="center"/>
            <w:hideMark/>
          </w:tcPr>
          <w:p w14:paraId="4253461A" w14:textId="77777777" w:rsidR="001429E1" w:rsidRPr="00372AB4" w:rsidRDefault="001429E1" w:rsidP="001D7B5C">
            <w:pPr>
              <w:spacing w:after="0" w:line="240" w:lineRule="auto"/>
              <w:jc w:val="center"/>
              <w:rPr>
                <w:lang w:val="en-US"/>
              </w:rPr>
            </w:pPr>
            <w:r w:rsidRPr="00372AB4">
              <w:rPr>
                <w:lang w:val="en-US"/>
              </w:rPr>
              <w:t>19.4</w:t>
            </w:r>
          </w:p>
        </w:tc>
        <w:tc>
          <w:tcPr>
            <w:tcW w:w="1811" w:type="dxa"/>
            <w:tcBorders>
              <w:top w:val="single" w:sz="4" w:space="0" w:color="BFBFBF" w:themeColor="background1" w:themeShade="BF"/>
              <w:left w:val="nil"/>
              <w:bottom w:val="single" w:sz="4" w:space="0" w:color="BFBFBF" w:themeColor="background1" w:themeShade="BF"/>
              <w:right w:val="nil"/>
            </w:tcBorders>
            <w:vAlign w:val="center"/>
            <w:hideMark/>
          </w:tcPr>
          <w:p w14:paraId="0FB5214D" w14:textId="77777777" w:rsidR="001429E1" w:rsidRPr="00372AB4" w:rsidRDefault="001429E1" w:rsidP="001D7B5C">
            <w:pPr>
              <w:spacing w:after="0" w:line="240" w:lineRule="auto"/>
              <w:jc w:val="center"/>
              <w:rPr>
                <w:lang w:val="en-US"/>
              </w:rPr>
            </w:pPr>
            <w:r w:rsidRPr="00372AB4">
              <w:rPr>
                <w:lang w:val="en-US"/>
              </w:rPr>
              <w:t>90.3</w:t>
            </w:r>
          </w:p>
        </w:tc>
        <w:tc>
          <w:tcPr>
            <w:tcW w:w="682" w:type="dxa"/>
            <w:tcBorders>
              <w:top w:val="single" w:sz="4" w:space="0" w:color="BFBFBF" w:themeColor="background1" w:themeShade="BF"/>
              <w:left w:val="nil"/>
              <w:bottom w:val="single" w:sz="4" w:space="0" w:color="BFBFBF" w:themeColor="background1" w:themeShade="BF"/>
              <w:right w:val="nil"/>
            </w:tcBorders>
            <w:vAlign w:val="center"/>
            <w:hideMark/>
          </w:tcPr>
          <w:p w14:paraId="32CB2FE2" w14:textId="77777777" w:rsidR="001429E1" w:rsidRPr="00372AB4" w:rsidRDefault="001429E1" w:rsidP="001D7B5C">
            <w:pPr>
              <w:spacing w:after="0" w:line="240" w:lineRule="auto"/>
              <w:jc w:val="center"/>
              <w:rPr>
                <w:lang w:val="en-US"/>
              </w:rPr>
            </w:pPr>
            <w:r w:rsidRPr="00372AB4">
              <w:rPr>
                <w:lang w:val="en-US"/>
              </w:rPr>
              <w:t>6.2</w:t>
            </w:r>
          </w:p>
        </w:tc>
        <w:tc>
          <w:tcPr>
            <w:tcW w:w="1363" w:type="dxa"/>
            <w:tcBorders>
              <w:top w:val="single" w:sz="4" w:space="0" w:color="BFBFBF" w:themeColor="background1" w:themeShade="BF"/>
              <w:left w:val="nil"/>
              <w:bottom w:val="single" w:sz="4" w:space="0" w:color="BFBFBF" w:themeColor="background1" w:themeShade="BF"/>
              <w:right w:val="nil"/>
            </w:tcBorders>
            <w:vAlign w:val="center"/>
            <w:hideMark/>
          </w:tcPr>
          <w:p w14:paraId="37F8D1AF" w14:textId="77777777" w:rsidR="001429E1" w:rsidRPr="00372AB4" w:rsidRDefault="001429E1" w:rsidP="001D7B5C">
            <w:pPr>
              <w:spacing w:after="0" w:line="240" w:lineRule="auto"/>
              <w:jc w:val="center"/>
              <w:rPr>
                <w:lang w:val="en-US"/>
              </w:rPr>
            </w:pPr>
            <w:r w:rsidRPr="00372AB4">
              <w:rPr>
                <w:lang w:val="en-US"/>
              </w:rPr>
              <w:t>97.1</w:t>
            </w:r>
          </w:p>
        </w:tc>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5F910595" w14:textId="77777777" w:rsidR="001429E1" w:rsidRPr="00372AB4" w:rsidRDefault="001429E1" w:rsidP="001D7B5C">
            <w:pPr>
              <w:spacing w:after="0" w:line="240" w:lineRule="auto"/>
              <w:jc w:val="center"/>
              <w:rPr>
                <w:lang w:val="en-US"/>
              </w:rPr>
            </w:pPr>
            <w:r w:rsidRPr="00372AB4">
              <w:rPr>
                <w:lang w:val="en-US"/>
              </w:rPr>
              <w:t>0.590</w:t>
            </w:r>
          </w:p>
        </w:tc>
      </w:tr>
      <w:tr w:rsidR="001429E1" w:rsidRPr="00372AB4" w14:paraId="32BD6D62" w14:textId="77777777" w:rsidTr="001D7B5C">
        <w:trPr>
          <w:trHeight w:val="560"/>
        </w:trPr>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060CAC8F" w14:textId="77777777" w:rsidR="001429E1" w:rsidRPr="00372AB4" w:rsidRDefault="001429E1" w:rsidP="001D7B5C">
            <w:pPr>
              <w:spacing w:after="0" w:line="240" w:lineRule="auto"/>
              <w:rPr>
                <w:lang w:val="en-US"/>
              </w:rPr>
            </w:pPr>
            <w:r w:rsidRPr="00372AB4">
              <w:rPr>
                <w:lang w:val="en-US"/>
              </w:rPr>
              <w:t>PE+SGA</w:t>
            </w:r>
          </w:p>
        </w:tc>
        <w:tc>
          <w:tcPr>
            <w:tcW w:w="1657" w:type="dxa"/>
            <w:tcBorders>
              <w:top w:val="single" w:sz="4" w:space="0" w:color="BFBFBF" w:themeColor="background1" w:themeShade="BF"/>
              <w:left w:val="nil"/>
              <w:bottom w:val="single" w:sz="4" w:space="0" w:color="BFBFBF" w:themeColor="background1" w:themeShade="BF"/>
              <w:right w:val="nil"/>
            </w:tcBorders>
            <w:vAlign w:val="center"/>
            <w:hideMark/>
          </w:tcPr>
          <w:p w14:paraId="2F44ABAA" w14:textId="77777777" w:rsidR="001429E1" w:rsidRPr="00372AB4" w:rsidRDefault="001429E1" w:rsidP="001D7B5C">
            <w:pPr>
              <w:spacing w:after="0" w:line="240" w:lineRule="auto"/>
              <w:jc w:val="center"/>
              <w:rPr>
                <w:lang w:val="en-US"/>
              </w:rPr>
            </w:pPr>
            <w:r w:rsidRPr="00372AB4">
              <w:rPr>
                <w:lang w:val="en-US"/>
              </w:rPr>
              <w:t>13/391</w:t>
            </w:r>
          </w:p>
        </w:tc>
        <w:tc>
          <w:tcPr>
            <w:tcW w:w="1082" w:type="dxa"/>
            <w:tcBorders>
              <w:top w:val="single" w:sz="4" w:space="0" w:color="BFBFBF" w:themeColor="background1" w:themeShade="BF"/>
              <w:left w:val="nil"/>
              <w:bottom w:val="single" w:sz="4" w:space="0" w:color="BFBFBF" w:themeColor="background1" w:themeShade="BF"/>
              <w:right w:val="nil"/>
            </w:tcBorders>
            <w:vAlign w:val="center"/>
            <w:hideMark/>
          </w:tcPr>
          <w:p w14:paraId="787A57B2" w14:textId="77777777" w:rsidR="001429E1" w:rsidRPr="00372AB4" w:rsidRDefault="001429E1" w:rsidP="001D7B5C">
            <w:pPr>
              <w:spacing w:after="0" w:line="240" w:lineRule="auto"/>
              <w:jc w:val="center"/>
              <w:rPr>
                <w:lang w:val="en-US"/>
              </w:rPr>
            </w:pPr>
            <w:r w:rsidRPr="00372AB4">
              <w:rPr>
                <w:lang w:val="en-US"/>
              </w:rPr>
              <w:t>3621/19</w:t>
            </w:r>
          </w:p>
        </w:tc>
        <w:tc>
          <w:tcPr>
            <w:tcW w:w="1448" w:type="dxa"/>
            <w:tcBorders>
              <w:top w:val="single" w:sz="4" w:space="0" w:color="BFBFBF" w:themeColor="background1" w:themeShade="BF"/>
              <w:left w:val="nil"/>
              <w:bottom w:val="single" w:sz="4" w:space="0" w:color="BFBFBF" w:themeColor="background1" w:themeShade="BF"/>
              <w:right w:val="nil"/>
            </w:tcBorders>
            <w:vAlign w:val="center"/>
            <w:hideMark/>
          </w:tcPr>
          <w:p w14:paraId="088337B0" w14:textId="77777777" w:rsidR="001429E1" w:rsidRPr="00372AB4" w:rsidRDefault="001429E1" w:rsidP="001D7B5C">
            <w:pPr>
              <w:spacing w:after="0" w:line="240" w:lineRule="auto"/>
              <w:jc w:val="center"/>
              <w:rPr>
                <w:lang w:val="en-US"/>
              </w:rPr>
            </w:pPr>
            <w:r w:rsidRPr="00372AB4">
              <w:rPr>
                <w:lang w:val="en-US"/>
              </w:rPr>
              <w:t>4.2</w:t>
            </w:r>
          </w:p>
        </w:tc>
        <w:tc>
          <w:tcPr>
            <w:tcW w:w="1464" w:type="dxa"/>
            <w:tcBorders>
              <w:top w:val="single" w:sz="4" w:space="0" w:color="BFBFBF" w:themeColor="background1" w:themeShade="BF"/>
              <w:left w:val="nil"/>
              <w:bottom w:val="single" w:sz="4" w:space="0" w:color="BFBFBF" w:themeColor="background1" w:themeShade="BF"/>
              <w:right w:val="nil"/>
            </w:tcBorders>
            <w:vAlign w:val="center"/>
            <w:hideMark/>
          </w:tcPr>
          <w:p w14:paraId="2CFBFD55" w14:textId="77777777" w:rsidR="001429E1" w:rsidRPr="00372AB4" w:rsidRDefault="001429E1" w:rsidP="001D7B5C">
            <w:pPr>
              <w:spacing w:after="0" w:line="240" w:lineRule="auto"/>
              <w:jc w:val="center"/>
              <w:rPr>
                <w:lang w:val="en-US"/>
              </w:rPr>
            </w:pPr>
            <w:r w:rsidRPr="00372AB4">
              <w:rPr>
                <w:lang w:val="en-US"/>
              </w:rPr>
              <w:t>0.66</w:t>
            </w:r>
          </w:p>
        </w:tc>
        <w:tc>
          <w:tcPr>
            <w:tcW w:w="1499" w:type="dxa"/>
            <w:tcBorders>
              <w:top w:val="single" w:sz="4" w:space="0" w:color="BFBFBF" w:themeColor="background1" w:themeShade="BF"/>
              <w:left w:val="nil"/>
              <w:bottom w:val="single" w:sz="4" w:space="0" w:color="BFBFBF" w:themeColor="background1" w:themeShade="BF"/>
              <w:right w:val="nil"/>
            </w:tcBorders>
            <w:vAlign w:val="center"/>
            <w:hideMark/>
          </w:tcPr>
          <w:p w14:paraId="5A3267AA" w14:textId="77777777" w:rsidR="001429E1" w:rsidRPr="00372AB4" w:rsidRDefault="001429E1" w:rsidP="001D7B5C">
            <w:pPr>
              <w:spacing w:after="0" w:line="240" w:lineRule="auto"/>
              <w:jc w:val="center"/>
              <w:rPr>
                <w:lang w:val="en-US"/>
              </w:rPr>
            </w:pPr>
            <w:r w:rsidRPr="00372AB4">
              <w:rPr>
                <w:lang w:val="en-US"/>
              </w:rPr>
              <w:t>40.6</w:t>
            </w:r>
          </w:p>
        </w:tc>
        <w:tc>
          <w:tcPr>
            <w:tcW w:w="1811" w:type="dxa"/>
            <w:tcBorders>
              <w:top w:val="single" w:sz="4" w:space="0" w:color="BFBFBF" w:themeColor="background1" w:themeShade="BF"/>
              <w:left w:val="nil"/>
              <w:bottom w:val="single" w:sz="4" w:space="0" w:color="BFBFBF" w:themeColor="background1" w:themeShade="BF"/>
              <w:right w:val="nil"/>
            </w:tcBorders>
            <w:vAlign w:val="center"/>
            <w:hideMark/>
          </w:tcPr>
          <w:p w14:paraId="5ABFD107" w14:textId="77777777" w:rsidR="001429E1" w:rsidRPr="00372AB4" w:rsidRDefault="001429E1" w:rsidP="001D7B5C">
            <w:pPr>
              <w:spacing w:after="0" w:line="240" w:lineRule="auto"/>
              <w:jc w:val="center"/>
              <w:rPr>
                <w:lang w:val="en-US"/>
              </w:rPr>
            </w:pPr>
            <w:r w:rsidRPr="00372AB4">
              <w:rPr>
                <w:lang w:val="en-US"/>
              </w:rPr>
              <w:t>90.3</w:t>
            </w:r>
          </w:p>
        </w:tc>
        <w:tc>
          <w:tcPr>
            <w:tcW w:w="682" w:type="dxa"/>
            <w:tcBorders>
              <w:top w:val="single" w:sz="4" w:space="0" w:color="BFBFBF" w:themeColor="background1" w:themeShade="BF"/>
              <w:left w:val="nil"/>
              <w:bottom w:val="single" w:sz="4" w:space="0" w:color="BFBFBF" w:themeColor="background1" w:themeShade="BF"/>
              <w:right w:val="nil"/>
            </w:tcBorders>
            <w:vAlign w:val="center"/>
            <w:hideMark/>
          </w:tcPr>
          <w:p w14:paraId="0BC2E571" w14:textId="77777777" w:rsidR="001429E1" w:rsidRPr="00372AB4" w:rsidRDefault="001429E1" w:rsidP="001D7B5C">
            <w:pPr>
              <w:spacing w:after="0" w:line="240" w:lineRule="auto"/>
              <w:jc w:val="center"/>
              <w:rPr>
                <w:lang w:val="en-US"/>
              </w:rPr>
            </w:pPr>
            <w:r w:rsidRPr="00372AB4">
              <w:rPr>
                <w:lang w:val="en-US"/>
              </w:rPr>
              <w:t>3.2</w:t>
            </w:r>
          </w:p>
        </w:tc>
        <w:tc>
          <w:tcPr>
            <w:tcW w:w="1363" w:type="dxa"/>
            <w:tcBorders>
              <w:top w:val="single" w:sz="4" w:space="0" w:color="BFBFBF" w:themeColor="background1" w:themeShade="BF"/>
              <w:left w:val="nil"/>
              <w:bottom w:val="single" w:sz="4" w:space="0" w:color="BFBFBF" w:themeColor="background1" w:themeShade="BF"/>
              <w:right w:val="nil"/>
            </w:tcBorders>
            <w:vAlign w:val="center"/>
            <w:hideMark/>
          </w:tcPr>
          <w:p w14:paraId="4EE8E91B" w14:textId="77777777" w:rsidR="001429E1" w:rsidRPr="00372AB4" w:rsidRDefault="001429E1" w:rsidP="001D7B5C">
            <w:pPr>
              <w:spacing w:after="0" w:line="240" w:lineRule="auto"/>
              <w:jc w:val="center"/>
              <w:rPr>
                <w:lang w:val="en-US"/>
              </w:rPr>
            </w:pPr>
            <w:r w:rsidRPr="00372AB4">
              <w:rPr>
                <w:lang w:val="en-US"/>
              </w:rPr>
              <w:t>99.5</w:t>
            </w:r>
          </w:p>
        </w:tc>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58438E78" w14:textId="77777777" w:rsidR="001429E1" w:rsidRPr="00372AB4" w:rsidRDefault="001429E1" w:rsidP="001D7B5C">
            <w:pPr>
              <w:spacing w:after="0" w:line="240" w:lineRule="auto"/>
              <w:jc w:val="center"/>
              <w:rPr>
                <w:lang w:val="en-US"/>
              </w:rPr>
            </w:pPr>
            <w:r w:rsidRPr="00372AB4">
              <w:rPr>
                <w:lang w:val="en-US"/>
              </w:rPr>
              <w:t>0.721</w:t>
            </w:r>
          </w:p>
        </w:tc>
      </w:tr>
      <w:tr w:rsidR="001429E1" w:rsidRPr="00372AB4" w14:paraId="616B389C" w14:textId="77777777" w:rsidTr="001D7B5C">
        <w:trPr>
          <w:trHeight w:val="560"/>
        </w:trPr>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281A0FA3" w14:textId="77777777" w:rsidR="001429E1" w:rsidRPr="00372AB4" w:rsidRDefault="001429E1" w:rsidP="001D7B5C">
            <w:pPr>
              <w:spacing w:after="0" w:line="240" w:lineRule="auto"/>
              <w:rPr>
                <w:lang w:val="en-US"/>
              </w:rPr>
            </w:pPr>
            <w:r w:rsidRPr="00372AB4">
              <w:rPr>
                <w:lang w:val="en-US"/>
              </w:rPr>
              <w:t>sPTB</w:t>
            </w:r>
          </w:p>
        </w:tc>
        <w:tc>
          <w:tcPr>
            <w:tcW w:w="1657" w:type="dxa"/>
            <w:tcBorders>
              <w:top w:val="single" w:sz="4" w:space="0" w:color="BFBFBF" w:themeColor="background1" w:themeShade="BF"/>
              <w:left w:val="nil"/>
              <w:bottom w:val="single" w:sz="4" w:space="0" w:color="BFBFBF" w:themeColor="background1" w:themeShade="BF"/>
              <w:right w:val="nil"/>
            </w:tcBorders>
            <w:vAlign w:val="center"/>
            <w:hideMark/>
          </w:tcPr>
          <w:p w14:paraId="0AD69B30" w14:textId="77777777" w:rsidR="001429E1" w:rsidRPr="00372AB4" w:rsidRDefault="001429E1" w:rsidP="001D7B5C">
            <w:pPr>
              <w:spacing w:after="0" w:line="240" w:lineRule="auto"/>
              <w:jc w:val="center"/>
              <w:rPr>
                <w:lang w:val="en-US"/>
              </w:rPr>
            </w:pPr>
            <w:r w:rsidRPr="00372AB4">
              <w:rPr>
                <w:lang w:val="en-US"/>
              </w:rPr>
              <w:t>25/371</w:t>
            </w:r>
          </w:p>
        </w:tc>
        <w:tc>
          <w:tcPr>
            <w:tcW w:w="1082" w:type="dxa"/>
            <w:tcBorders>
              <w:top w:val="single" w:sz="4" w:space="0" w:color="BFBFBF" w:themeColor="background1" w:themeShade="BF"/>
              <w:left w:val="nil"/>
              <w:bottom w:val="single" w:sz="4" w:space="0" w:color="BFBFBF" w:themeColor="background1" w:themeShade="BF"/>
              <w:right w:val="nil"/>
            </w:tcBorders>
            <w:vAlign w:val="center"/>
            <w:hideMark/>
          </w:tcPr>
          <w:p w14:paraId="660C320A" w14:textId="77777777" w:rsidR="001429E1" w:rsidRPr="00372AB4" w:rsidRDefault="001429E1" w:rsidP="001D7B5C">
            <w:pPr>
              <w:spacing w:after="0" w:line="240" w:lineRule="auto"/>
              <w:jc w:val="center"/>
              <w:rPr>
                <w:lang w:val="en-US"/>
              </w:rPr>
            </w:pPr>
            <w:r w:rsidRPr="00372AB4">
              <w:rPr>
                <w:lang w:val="en-US"/>
              </w:rPr>
              <w:t>3481/86</w:t>
            </w:r>
          </w:p>
        </w:tc>
        <w:tc>
          <w:tcPr>
            <w:tcW w:w="1448" w:type="dxa"/>
            <w:tcBorders>
              <w:top w:val="single" w:sz="4" w:space="0" w:color="BFBFBF" w:themeColor="background1" w:themeShade="BF"/>
              <w:left w:val="nil"/>
              <w:bottom w:val="single" w:sz="4" w:space="0" w:color="BFBFBF" w:themeColor="background1" w:themeShade="BF"/>
              <w:right w:val="nil"/>
            </w:tcBorders>
            <w:vAlign w:val="center"/>
            <w:hideMark/>
          </w:tcPr>
          <w:p w14:paraId="7CE88CE9" w14:textId="77777777" w:rsidR="001429E1" w:rsidRPr="00372AB4" w:rsidRDefault="001429E1" w:rsidP="001D7B5C">
            <w:pPr>
              <w:spacing w:after="0" w:line="240" w:lineRule="auto"/>
              <w:jc w:val="center"/>
              <w:rPr>
                <w:lang w:val="en-US"/>
              </w:rPr>
            </w:pPr>
            <w:r w:rsidRPr="00372AB4">
              <w:rPr>
                <w:lang w:val="en-US"/>
              </w:rPr>
              <w:t>2.3</w:t>
            </w:r>
          </w:p>
        </w:tc>
        <w:tc>
          <w:tcPr>
            <w:tcW w:w="1464" w:type="dxa"/>
            <w:tcBorders>
              <w:top w:val="single" w:sz="4" w:space="0" w:color="BFBFBF" w:themeColor="background1" w:themeShade="BF"/>
              <w:left w:val="nil"/>
              <w:bottom w:val="single" w:sz="4" w:space="0" w:color="BFBFBF" w:themeColor="background1" w:themeShade="BF"/>
              <w:right w:val="nil"/>
            </w:tcBorders>
            <w:vAlign w:val="center"/>
            <w:hideMark/>
          </w:tcPr>
          <w:p w14:paraId="0072BA57" w14:textId="77777777" w:rsidR="001429E1" w:rsidRPr="00372AB4" w:rsidRDefault="001429E1" w:rsidP="001D7B5C">
            <w:pPr>
              <w:spacing w:after="0" w:line="240" w:lineRule="auto"/>
              <w:jc w:val="center"/>
              <w:rPr>
                <w:lang w:val="en-US"/>
              </w:rPr>
            </w:pPr>
            <w:r w:rsidRPr="00372AB4">
              <w:rPr>
                <w:lang w:val="en-US"/>
              </w:rPr>
              <w:t>0.86</w:t>
            </w:r>
          </w:p>
        </w:tc>
        <w:tc>
          <w:tcPr>
            <w:tcW w:w="1499" w:type="dxa"/>
            <w:tcBorders>
              <w:top w:val="single" w:sz="4" w:space="0" w:color="BFBFBF" w:themeColor="background1" w:themeShade="BF"/>
              <w:left w:val="nil"/>
              <w:bottom w:val="single" w:sz="4" w:space="0" w:color="BFBFBF" w:themeColor="background1" w:themeShade="BF"/>
              <w:right w:val="nil"/>
            </w:tcBorders>
            <w:vAlign w:val="center"/>
            <w:hideMark/>
          </w:tcPr>
          <w:p w14:paraId="4C633A1A" w14:textId="77777777" w:rsidR="001429E1" w:rsidRPr="00372AB4" w:rsidRDefault="001429E1" w:rsidP="001D7B5C">
            <w:pPr>
              <w:spacing w:after="0" w:line="240" w:lineRule="auto"/>
              <w:jc w:val="center"/>
              <w:rPr>
                <w:lang w:val="en-US"/>
              </w:rPr>
            </w:pPr>
            <w:r w:rsidRPr="00372AB4">
              <w:rPr>
                <w:lang w:val="en-US"/>
              </w:rPr>
              <w:t>22.5</w:t>
            </w:r>
          </w:p>
        </w:tc>
        <w:tc>
          <w:tcPr>
            <w:tcW w:w="1811" w:type="dxa"/>
            <w:tcBorders>
              <w:top w:val="single" w:sz="4" w:space="0" w:color="BFBFBF" w:themeColor="background1" w:themeShade="BF"/>
              <w:left w:val="nil"/>
              <w:bottom w:val="single" w:sz="4" w:space="0" w:color="BFBFBF" w:themeColor="background1" w:themeShade="BF"/>
              <w:right w:val="nil"/>
            </w:tcBorders>
            <w:vAlign w:val="center"/>
            <w:hideMark/>
          </w:tcPr>
          <w:p w14:paraId="15B8CE84" w14:textId="77777777" w:rsidR="001429E1" w:rsidRPr="00372AB4" w:rsidRDefault="001429E1" w:rsidP="001D7B5C">
            <w:pPr>
              <w:spacing w:after="0" w:line="240" w:lineRule="auto"/>
              <w:jc w:val="center"/>
              <w:rPr>
                <w:lang w:val="en-US"/>
              </w:rPr>
            </w:pPr>
            <w:r w:rsidRPr="00372AB4">
              <w:rPr>
                <w:lang w:val="en-US"/>
              </w:rPr>
              <w:t>90.4</w:t>
            </w:r>
          </w:p>
        </w:tc>
        <w:tc>
          <w:tcPr>
            <w:tcW w:w="682" w:type="dxa"/>
            <w:tcBorders>
              <w:top w:val="single" w:sz="4" w:space="0" w:color="BFBFBF" w:themeColor="background1" w:themeShade="BF"/>
              <w:left w:val="nil"/>
              <w:bottom w:val="single" w:sz="4" w:space="0" w:color="BFBFBF" w:themeColor="background1" w:themeShade="BF"/>
              <w:right w:val="nil"/>
            </w:tcBorders>
            <w:vAlign w:val="center"/>
            <w:hideMark/>
          </w:tcPr>
          <w:p w14:paraId="6DD75F70" w14:textId="77777777" w:rsidR="001429E1" w:rsidRPr="00372AB4" w:rsidRDefault="001429E1" w:rsidP="001D7B5C">
            <w:pPr>
              <w:spacing w:after="0" w:line="240" w:lineRule="auto"/>
              <w:jc w:val="center"/>
              <w:rPr>
                <w:lang w:val="en-US"/>
              </w:rPr>
            </w:pPr>
            <w:r w:rsidRPr="00372AB4">
              <w:rPr>
                <w:lang w:val="en-US"/>
              </w:rPr>
              <w:t>6.3</w:t>
            </w:r>
          </w:p>
        </w:tc>
        <w:tc>
          <w:tcPr>
            <w:tcW w:w="1363" w:type="dxa"/>
            <w:tcBorders>
              <w:top w:val="single" w:sz="4" w:space="0" w:color="BFBFBF" w:themeColor="background1" w:themeShade="BF"/>
              <w:left w:val="nil"/>
              <w:bottom w:val="single" w:sz="4" w:space="0" w:color="BFBFBF" w:themeColor="background1" w:themeShade="BF"/>
              <w:right w:val="nil"/>
            </w:tcBorders>
            <w:vAlign w:val="center"/>
            <w:hideMark/>
          </w:tcPr>
          <w:p w14:paraId="7A754272" w14:textId="77777777" w:rsidR="001429E1" w:rsidRPr="00372AB4" w:rsidRDefault="001429E1" w:rsidP="001D7B5C">
            <w:pPr>
              <w:spacing w:after="0" w:line="240" w:lineRule="auto"/>
              <w:jc w:val="center"/>
              <w:rPr>
                <w:lang w:val="en-US"/>
              </w:rPr>
            </w:pPr>
            <w:r w:rsidRPr="00372AB4">
              <w:rPr>
                <w:lang w:val="en-US"/>
              </w:rPr>
              <w:t>97.6</w:t>
            </w:r>
          </w:p>
        </w:tc>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7F830BDE" w14:textId="77777777" w:rsidR="001429E1" w:rsidRPr="00372AB4" w:rsidRDefault="001429E1" w:rsidP="001D7B5C">
            <w:pPr>
              <w:spacing w:after="0" w:line="240" w:lineRule="auto"/>
              <w:jc w:val="center"/>
              <w:rPr>
                <w:lang w:val="en-US"/>
              </w:rPr>
            </w:pPr>
            <w:r w:rsidRPr="00372AB4">
              <w:rPr>
                <w:lang w:val="en-US"/>
              </w:rPr>
              <w:t>0.689</w:t>
            </w:r>
          </w:p>
        </w:tc>
      </w:tr>
      <w:tr w:rsidR="001429E1" w:rsidRPr="00372AB4" w14:paraId="2007B37B" w14:textId="77777777" w:rsidTr="001D7B5C">
        <w:trPr>
          <w:trHeight w:val="560"/>
        </w:trPr>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6967A757" w14:textId="77777777" w:rsidR="001429E1" w:rsidRPr="00372AB4" w:rsidRDefault="001429E1" w:rsidP="001D7B5C">
            <w:pPr>
              <w:spacing w:after="0" w:line="240" w:lineRule="auto"/>
              <w:rPr>
                <w:lang w:val="en-US"/>
              </w:rPr>
            </w:pPr>
            <w:r w:rsidRPr="00372AB4">
              <w:rPr>
                <w:lang w:val="en-US"/>
              </w:rPr>
              <w:t>iPTB</w:t>
            </w:r>
          </w:p>
        </w:tc>
        <w:tc>
          <w:tcPr>
            <w:tcW w:w="1657" w:type="dxa"/>
            <w:tcBorders>
              <w:top w:val="single" w:sz="4" w:space="0" w:color="BFBFBF" w:themeColor="background1" w:themeShade="BF"/>
              <w:left w:val="nil"/>
              <w:bottom w:val="single" w:sz="4" w:space="0" w:color="BFBFBF" w:themeColor="background1" w:themeShade="BF"/>
              <w:right w:val="nil"/>
            </w:tcBorders>
            <w:vAlign w:val="center"/>
            <w:hideMark/>
          </w:tcPr>
          <w:p w14:paraId="488B994F" w14:textId="77777777" w:rsidR="001429E1" w:rsidRPr="00372AB4" w:rsidRDefault="001429E1" w:rsidP="001D7B5C">
            <w:pPr>
              <w:spacing w:after="0" w:line="240" w:lineRule="auto"/>
              <w:jc w:val="center"/>
              <w:rPr>
                <w:lang w:val="en-US"/>
              </w:rPr>
            </w:pPr>
            <w:r w:rsidRPr="00372AB4">
              <w:rPr>
                <w:lang w:val="en-US"/>
              </w:rPr>
              <w:t>22/370</w:t>
            </w:r>
          </w:p>
        </w:tc>
        <w:tc>
          <w:tcPr>
            <w:tcW w:w="1082" w:type="dxa"/>
            <w:tcBorders>
              <w:top w:val="single" w:sz="4" w:space="0" w:color="BFBFBF" w:themeColor="background1" w:themeShade="BF"/>
              <w:left w:val="nil"/>
              <w:bottom w:val="single" w:sz="4" w:space="0" w:color="BFBFBF" w:themeColor="background1" w:themeShade="BF"/>
              <w:right w:val="nil"/>
            </w:tcBorders>
            <w:vAlign w:val="center"/>
            <w:hideMark/>
          </w:tcPr>
          <w:p w14:paraId="2E854A56" w14:textId="77777777" w:rsidR="001429E1" w:rsidRPr="00372AB4" w:rsidRDefault="001429E1" w:rsidP="001D7B5C">
            <w:pPr>
              <w:spacing w:after="0" w:line="240" w:lineRule="auto"/>
              <w:jc w:val="center"/>
              <w:rPr>
                <w:lang w:val="en-US"/>
              </w:rPr>
            </w:pPr>
            <w:r w:rsidRPr="00372AB4">
              <w:rPr>
                <w:lang w:val="en-US"/>
              </w:rPr>
              <w:t>3482/49</w:t>
            </w:r>
          </w:p>
        </w:tc>
        <w:tc>
          <w:tcPr>
            <w:tcW w:w="1448" w:type="dxa"/>
            <w:tcBorders>
              <w:top w:val="single" w:sz="4" w:space="0" w:color="BFBFBF" w:themeColor="background1" w:themeShade="BF"/>
              <w:left w:val="nil"/>
              <w:bottom w:val="single" w:sz="4" w:space="0" w:color="BFBFBF" w:themeColor="background1" w:themeShade="BF"/>
              <w:right w:val="nil"/>
            </w:tcBorders>
            <w:vAlign w:val="center"/>
            <w:hideMark/>
          </w:tcPr>
          <w:p w14:paraId="4A818887" w14:textId="77777777" w:rsidR="001429E1" w:rsidRPr="00372AB4" w:rsidRDefault="001429E1" w:rsidP="001D7B5C">
            <w:pPr>
              <w:spacing w:after="0" w:line="240" w:lineRule="auto"/>
              <w:jc w:val="center"/>
              <w:rPr>
                <w:lang w:val="en-US"/>
              </w:rPr>
            </w:pPr>
            <w:r w:rsidRPr="00372AB4">
              <w:rPr>
                <w:lang w:val="en-US"/>
              </w:rPr>
              <w:t>3.2</w:t>
            </w:r>
          </w:p>
        </w:tc>
        <w:tc>
          <w:tcPr>
            <w:tcW w:w="1464" w:type="dxa"/>
            <w:tcBorders>
              <w:top w:val="single" w:sz="4" w:space="0" w:color="BFBFBF" w:themeColor="background1" w:themeShade="BF"/>
              <w:left w:val="nil"/>
              <w:bottom w:val="single" w:sz="4" w:space="0" w:color="BFBFBF" w:themeColor="background1" w:themeShade="BF"/>
              <w:right w:val="nil"/>
            </w:tcBorders>
            <w:vAlign w:val="center"/>
            <w:hideMark/>
          </w:tcPr>
          <w:p w14:paraId="665F813A" w14:textId="77777777" w:rsidR="001429E1" w:rsidRPr="00372AB4" w:rsidRDefault="001429E1" w:rsidP="001D7B5C">
            <w:pPr>
              <w:spacing w:after="0" w:line="240" w:lineRule="auto"/>
              <w:jc w:val="center"/>
              <w:rPr>
                <w:lang w:val="en-US"/>
              </w:rPr>
            </w:pPr>
            <w:r w:rsidRPr="00372AB4">
              <w:rPr>
                <w:lang w:val="en-US"/>
              </w:rPr>
              <w:t>0.76</w:t>
            </w:r>
          </w:p>
        </w:tc>
        <w:tc>
          <w:tcPr>
            <w:tcW w:w="1499" w:type="dxa"/>
            <w:tcBorders>
              <w:top w:val="single" w:sz="4" w:space="0" w:color="BFBFBF" w:themeColor="background1" w:themeShade="BF"/>
              <w:left w:val="nil"/>
              <w:bottom w:val="single" w:sz="4" w:space="0" w:color="BFBFBF" w:themeColor="background1" w:themeShade="BF"/>
              <w:right w:val="nil"/>
            </w:tcBorders>
            <w:vAlign w:val="center"/>
            <w:hideMark/>
          </w:tcPr>
          <w:p w14:paraId="78ED7445" w14:textId="77777777" w:rsidR="001429E1" w:rsidRPr="00372AB4" w:rsidRDefault="001429E1" w:rsidP="001D7B5C">
            <w:pPr>
              <w:spacing w:after="0" w:line="240" w:lineRule="auto"/>
              <w:jc w:val="center"/>
              <w:rPr>
                <w:lang w:val="en-US"/>
              </w:rPr>
            </w:pPr>
            <w:r w:rsidRPr="00372AB4">
              <w:rPr>
                <w:lang w:val="en-US"/>
              </w:rPr>
              <w:t>31.0</w:t>
            </w:r>
          </w:p>
        </w:tc>
        <w:tc>
          <w:tcPr>
            <w:tcW w:w="1811" w:type="dxa"/>
            <w:tcBorders>
              <w:top w:val="single" w:sz="4" w:space="0" w:color="BFBFBF" w:themeColor="background1" w:themeShade="BF"/>
              <w:left w:val="nil"/>
              <w:bottom w:val="single" w:sz="4" w:space="0" w:color="BFBFBF" w:themeColor="background1" w:themeShade="BF"/>
              <w:right w:val="nil"/>
            </w:tcBorders>
            <w:vAlign w:val="center"/>
            <w:hideMark/>
          </w:tcPr>
          <w:p w14:paraId="489271FA" w14:textId="77777777" w:rsidR="001429E1" w:rsidRPr="00372AB4" w:rsidRDefault="001429E1" w:rsidP="001D7B5C">
            <w:pPr>
              <w:spacing w:after="0" w:line="240" w:lineRule="auto"/>
              <w:jc w:val="center"/>
              <w:rPr>
                <w:lang w:val="en-US"/>
              </w:rPr>
            </w:pPr>
            <w:r w:rsidRPr="00372AB4">
              <w:rPr>
                <w:lang w:val="en-US"/>
              </w:rPr>
              <w:t>90.4</w:t>
            </w:r>
          </w:p>
        </w:tc>
        <w:tc>
          <w:tcPr>
            <w:tcW w:w="682" w:type="dxa"/>
            <w:tcBorders>
              <w:top w:val="single" w:sz="4" w:space="0" w:color="BFBFBF" w:themeColor="background1" w:themeShade="BF"/>
              <w:left w:val="nil"/>
              <w:bottom w:val="single" w:sz="4" w:space="0" w:color="BFBFBF" w:themeColor="background1" w:themeShade="BF"/>
              <w:right w:val="nil"/>
            </w:tcBorders>
            <w:vAlign w:val="center"/>
            <w:hideMark/>
          </w:tcPr>
          <w:p w14:paraId="352B67DA" w14:textId="77777777" w:rsidR="001429E1" w:rsidRPr="00372AB4" w:rsidRDefault="001429E1" w:rsidP="001D7B5C">
            <w:pPr>
              <w:spacing w:after="0" w:line="240" w:lineRule="auto"/>
              <w:jc w:val="center"/>
              <w:rPr>
                <w:lang w:val="en-US"/>
              </w:rPr>
            </w:pPr>
            <w:r w:rsidRPr="00372AB4">
              <w:rPr>
                <w:lang w:val="en-US"/>
              </w:rPr>
              <w:t>5.6</w:t>
            </w:r>
          </w:p>
        </w:tc>
        <w:tc>
          <w:tcPr>
            <w:tcW w:w="1363" w:type="dxa"/>
            <w:tcBorders>
              <w:top w:val="single" w:sz="4" w:space="0" w:color="BFBFBF" w:themeColor="background1" w:themeShade="BF"/>
              <w:left w:val="nil"/>
              <w:bottom w:val="single" w:sz="4" w:space="0" w:color="BFBFBF" w:themeColor="background1" w:themeShade="BF"/>
              <w:right w:val="nil"/>
            </w:tcBorders>
            <w:vAlign w:val="center"/>
            <w:hideMark/>
          </w:tcPr>
          <w:p w14:paraId="5D3BDC7A" w14:textId="77777777" w:rsidR="001429E1" w:rsidRPr="00372AB4" w:rsidRDefault="001429E1" w:rsidP="001D7B5C">
            <w:pPr>
              <w:spacing w:after="0" w:line="240" w:lineRule="auto"/>
              <w:jc w:val="center"/>
              <w:rPr>
                <w:lang w:val="en-US"/>
              </w:rPr>
            </w:pPr>
            <w:r w:rsidRPr="00372AB4">
              <w:rPr>
                <w:lang w:val="en-US"/>
              </w:rPr>
              <w:t>98.6</w:t>
            </w:r>
          </w:p>
        </w:tc>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5C861CB2" w14:textId="77777777" w:rsidR="001429E1" w:rsidRPr="00372AB4" w:rsidRDefault="001429E1" w:rsidP="001D7B5C">
            <w:pPr>
              <w:spacing w:after="0" w:line="240" w:lineRule="auto"/>
              <w:jc w:val="center"/>
              <w:rPr>
                <w:lang w:val="en-US"/>
              </w:rPr>
            </w:pPr>
            <w:r w:rsidRPr="00372AB4">
              <w:rPr>
                <w:lang w:val="en-US"/>
              </w:rPr>
              <w:t>0.623</w:t>
            </w:r>
          </w:p>
        </w:tc>
      </w:tr>
      <w:tr w:rsidR="001429E1" w:rsidRPr="00372AB4" w14:paraId="44521F6A" w14:textId="77777777" w:rsidTr="001D7B5C">
        <w:trPr>
          <w:trHeight w:val="560"/>
        </w:trPr>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627D2EDA" w14:textId="77777777" w:rsidR="001429E1" w:rsidRPr="00372AB4" w:rsidRDefault="001429E1" w:rsidP="001D7B5C">
            <w:pPr>
              <w:spacing w:after="0" w:line="240" w:lineRule="auto"/>
              <w:rPr>
                <w:lang w:val="en-US"/>
              </w:rPr>
            </w:pPr>
            <w:r w:rsidRPr="00372AB4">
              <w:rPr>
                <w:lang w:val="en-US"/>
              </w:rPr>
              <w:t>Pre-viable loss</w:t>
            </w:r>
          </w:p>
        </w:tc>
        <w:tc>
          <w:tcPr>
            <w:tcW w:w="1657" w:type="dxa"/>
            <w:tcBorders>
              <w:top w:val="single" w:sz="4" w:space="0" w:color="BFBFBF" w:themeColor="background1" w:themeShade="BF"/>
              <w:left w:val="nil"/>
              <w:bottom w:val="single" w:sz="4" w:space="0" w:color="BFBFBF" w:themeColor="background1" w:themeShade="BF"/>
              <w:right w:val="nil"/>
            </w:tcBorders>
            <w:vAlign w:val="center"/>
            <w:hideMark/>
          </w:tcPr>
          <w:p w14:paraId="777B51BC" w14:textId="77777777" w:rsidR="001429E1" w:rsidRPr="00372AB4" w:rsidRDefault="001429E1" w:rsidP="001D7B5C">
            <w:pPr>
              <w:spacing w:after="0" w:line="240" w:lineRule="auto"/>
              <w:jc w:val="center"/>
              <w:rPr>
                <w:lang w:val="en-US"/>
              </w:rPr>
            </w:pPr>
            <w:r w:rsidRPr="00372AB4">
              <w:rPr>
                <w:lang w:val="en-US"/>
              </w:rPr>
              <w:t>6/399</w:t>
            </w:r>
          </w:p>
        </w:tc>
        <w:tc>
          <w:tcPr>
            <w:tcW w:w="1082" w:type="dxa"/>
            <w:tcBorders>
              <w:top w:val="single" w:sz="4" w:space="0" w:color="BFBFBF" w:themeColor="background1" w:themeShade="BF"/>
              <w:left w:val="nil"/>
              <w:bottom w:val="single" w:sz="4" w:space="0" w:color="BFBFBF" w:themeColor="background1" w:themeShade="BF"/>
              <w:right w:val="nil"/>
            </w:tcBorders>
            <w:vAlign w:val="center"/>
            <w:hideMark/>
          </w:tcPr>
          <w:p w14:paraId="50FB92C1" w14:textId="77777777" w:rsidR="001429E1" w:rsidRPr="00372AB4" w:rsidRDefault="001429E1" w:rsidP="001D7B5C">
            <w:pPr>
              <w:spacing w:after="0" w:line="240" w:lineRule="auto"/>
              <w:jc w:val="center"/>
              <w:rPr>
                <w:lang w:val="en-US"/>
              </w:rPr>
            </w:pPr>
            <w:r w:rsidRPr="00372AB4">
              <w:rPr>
                <w:lang w:val="en-US"/>
              </w:rPr>
              <w:t>3645/7</w:t>
            </w:r>
          </w:p>
        </w:tc>
        <w:tc>
          <w:tcPr>
            <w:tcW w:w="1448" w:type="dxa"/>
            <w:tcBorders>
              <w:top w:val="single" w:sz="4" w:space="0" w:color="BFBFBF" w:themeColor="background1" w:themeShade="BF"/>
              <w:left w:val="nil"/>
              <w:bottom w:val="single" w:sz="4" w:space="0" w:color="BFBFBF" w:themeColor="background1" w:themeShade="BF"/>
              <w:right w:val="nil"/>
            </w:tcBorders>
            <w:vAlign w:val="center"/>
            <w:hideMark/>
          </w:tcPr>
          <w:p w14:paraId="5E39E0E2" w14:textId="77777777" w:rsidR="001429E1" w:rsidRPr="00372AB4" w:rsidRDefault="001429E1" w:rsidP="001D7B5C">
            <w:pPr>
              <w:spacing w:after="0" w:line="240" w:lineRule="auto"/>
              <w:jc w:val="center"/>
              <w:rPr>
                <w:lang w:val="en-US"/>
              </w:rPr>
            </w:pPr>
            <w:r w:rsidRPr="00372AB4">
              <w:rPr>
                <w:lang w:val="en-US"/>
              </w:rPr>
              <w:t>4.7</w:t>
            </w:r>
          </w:p>
        </w:tc>
        <w:tc>
          <w:tcPr>
            <w:tcW w:w="1464" w:type="dxa"/>
            <w:tcBorders>
              <w:top w:val="single" w:sz="4" w:space="0" w:color="BFBFBF" w:themeColor="background1" w:themeShade="BF"/>
              <w:left w:val="nil"/>
              <w:bottom w:val="single" w:sz="4" w:space="0" w:color="BFBFBF" w:themeColor="background1" w:themeShade="BF"/>
              <w:right w:val="nil"/>
            </w:tcBorders>
            <w:vAlign w:val="center"/>
            <w:hideMark/>
          </w:tcPr>
          <w:p w14:paraId="6D753815" w14:textId="77777777" w:rsidR="001429E1" w:rsidRPr="00372AB4" w:rsidRDefault="001429E1" w:rsidP="001D7B5C">
            <w:pPr>
              <w:spacing w:after="0" w:line="240" w:lineRule="auto"/>
              <w:jc w:val="center"/>
              <w:rPr>
                <w:lang w:val="en-US"/>
              </w:rPr>
            </w:pPr>
            <w:r w:rsidRPr="00372AB4">
              <w:rPr>
                <w:lang w:val="en-US"/>
              </w:rPr>
              <w:t>0.60</w:t>
            </w:r>
          </w:p>
        </w:tc>
        <w:tc>
          <w:tcPr>
            <w:tcW w:w="1499" w:type="dxa"/>
            <w:tcBorders>
              <w:top w:val="single" w:sz="4" w:space="0" w:color="BFBFBF" w:themeColor="background1" w:themeShade="BF"/>
              <w:left w:val="nil"/>
              <w:bottom w:val="single" w:sz="4" w:space="0" w:color="BFBFBF" w:themeColor="background1" w:themeShade="BF"/>
              <w:right w:val="nil"/>
            </w:tcBorders>
            <w:vAlign w:val="center"/>
            <w:hideMark/>
          </w:tcPr>
          <w:p w14:paraId="44F572BE" w14:textId="77777777" w:rsidR="001429E1" w:rsidRPr="00372AB4" w:rsidRDefault="001429E1" w:rsidP="001D7B5C">
            <w:pPr>
              <w:spacing w:after="0" w:line="240" w:lineRule="auto"/>
              <w:jc w:val="center"/>
              <w:rPr>
                <w:lang w:val="en-US"/>
              </w:rPr>
            </w:pPr>
            <w:r w:rsidRPr="00372AB4">
              <w:rPr>
                <w:lang w:val="en-US"/>
              </w:rPr>
              <w:t>46.2</w:t>
            </w:r>
          </w:p>
        </w:tc>
        <w:tc>
          <w:tcPr>
            <w:tcW w:w="1811" w:type="dxa"/>
            <w:tcBorders>
              <w:top w:val="single" w:sz="4" w:space="0" w:color="BFBFBF" w:themeColor="background1" w:themeShade="BF"/>
              <w:left w:val="nil"/>
              <w:bottom w:val="single" w:sz="4" w:space="0" w:color="BFBFBF" w:themeColor="background1" w:themeShade="BF"/>
              <w:right w:val="nil"/>
            </w:tcBorders>
            <w:vAlign w:val="center"/>
            <w:hideMark/>
          </w:tcPr>
          <w:p w14:paraId="173FB945" w14:textId="77777777" w:rsidR="001429E1" w:rsidRPr="00372AB4" w:rsidRDefault="001429E1" w:rsidP="001D7B5C">
            <w:pPr>
              <w:spacing w:after="0" w:line="240" w:lineRule="auto"/>
              <w:jc w:val="center"/>
              <w:rPr>
                <w:lang w:val="en-US"/>
              </w:rPr>
            </w:pPr>
            <w:r w:rsidRPr="00372AB4">
              <w:rPr>
                <w:lang w:val="en-US"/>
              </w:rPr>
              <w:t>90.1</w:t>
            </w:r>
          </w:p>
        </w:tc>
        <w:tc>
          <w:tcPr>
            <w:tcW w:w="682" w:type="dxa"/>
            <w:tcBorders>
              <w:top w:val="single" w:sz="4" w:space="0" w:color="BFBFBF" w:themeColor="background1" w:themeShade="BF"/>
              <w:left w:val="nil"/>
              <w:bottom w:val="single" w:sz="4" w:space="0" w:color="BFBFBF" w:themeColor="background1" w:themeShade="BF"/>
              <w:right w:val="nil"/>
            </w:tcBorders>
            <w:vAlign w:val="center"/>
            <w:hideMark/>
          </w:tcPr>
          <w:p w14:paraId="02B3422B" w14:textId="77777777" w:rsidR="001429E1" w:rsidRPr="00372AB4" w:rsidRDefault="001429E1" w:rsidP="001D7B5C">
            <w:pPr>
              <w:spacing w:after="0" w:line="240" w:lineRule="auto"/>
              <w:jc w:val="center"/>
              <w:rPr>
                <w:lang w:val="en-US"/>
              </w:rPr>
            </w:pPr>
            <w:r w:rsidRPr="00372AB4">
              <w:rPr>
                <w:lang w:val="en-US"/>
              </w:rPr>
              <w:t>1.5</w:t>
            </w:r>
          </w:p>
        </w:tc>
        <w:tc>
          <w:tcPr>
            <w:tcW w:w="1363" w:type="dxa"/>
            <w:tcBorders>
              <w:top w:val="single" w:sz="4" w:space="0" w:color="BFBFBF" w:themeColor="background1" w:themeShade="BF"/>
              <w:left w:val="nil"/>
              <w:bottom w:val="single" w:sz="4" w:space="0" w:color="BFBFBF" w:themeColor="background1" w:themeShade="BF"/>
              <w:right w:val="nil"/>
            </w:tcBorders>
            <w:vAlign w:val="center"/>
            <w:hideMark/>
          </w:tcPr>
          <w:p w14:paraId="31FE24A5" w14:textId="77777777" w:rsidR="001429E1" w:rsidRPr="00372AB4" w:rsidRDefault="001429E1" w:rsidP="001D7B5C">
            <w:pPr>
              <w:spacing w:after="0" w:line="240" w:lineRule="auto"/>
              <w:jc w:val="center"/>
              <w:rPr>
                <w:lang w:val="en-US"/>
              </w:rPr>
            </w:pPr>
            <w:r w:rsidRPr="00372AB4">
              <w:rPr>
                <w:lang w:val="en-US"/>
              </w:rPr>
              <w:t>99.8</w:t>
            </w:r>
          </w:p>
        </w:tc>
        <w:tc>
          <w:tcPr>
            <w:tcW w:w="0" w:type="auto"/>
            <w:tcBorders>
              <w:top w:val="single" w:sz="4" w:space="0" w:color="BFBFBF" w:themeColor="background1" w:themeShade="BF"/>
              <w:left w:val="nil"/>
              <w:bottom w:val="single" w:sz="4" w:space="0" w:color="BFBFBF" w:themeColor="background1" w:themeShade="BF"/>
              <w:right w:val="nil"/>
            </w:tcBorders>
            <w:vAlign w:val="center"/>
            <w:hideMark/>
          </w:tcPr>
          <w:p w14:paraId="7DD08A2F" w14:textId="77777777" w:rsidR="001429E1" w:rsidRPr="00372AB4" w:rsidRDefault="001429E1" w:rsidP="001D7B5C">
            <w:pPr>
              <w:spacing w:after="0" w:line="240" w:lineRule="auto"/>
              <w:jc w:val="center"/>
              <w:rPr>
                <w:lang w:val="en-US"/>
              </w:rPr>
            </w:pPr>
            <w:r w:rsidRPr="00372AB4">
              <w:rPr>
                <w:lang w:val="en-US"/>
              </w:rPr>
              <w:t>0.644</w:t>
            </w:r>
          </w:p>
        </w:tc>
      </w:tr>
      <w:tr w:rsidR="001429E1" w:rsidRPr="00372AB4" w14:paraId="5ACB90AB" w14:textId="77777777" w:rsidTr="001D7B5C">
        <w:trPr>
          <w:trHeight w:val="560"/>
        </w:trPr>
        <w:tc>
          <w:tcPr>
            <w:tcW w:w="0" w:type="auto"/>
            <w:tcBorders>
              <w:top w:val="single" w:sz="4" w:space="0" w:color="BFBFBF" w:themeColor="background1" w:themeShade="BF"/>
              <w:left w:val="nil"/>
              <w:bottom w:val="single" w:sz="12" w:space="0" w:color="auto"/>
              <w:right w:val="nil"/>
            </w:tcBorders>
            <w:vAlign w:val="center"/>
            <w:hideMark/>
          </w:tcPr>
          <w:p w14:paraId="1D8C068B" w14:textId="77777777" w:rsidR="001429E1" w:rsidRPr="00372AB4" w:rsidRDefault="001429E1" w:rsidP="001D7B5C">
            <w:pPr>
              <w:spacing w:after="0" w:line="240" w:lineRule="auto"/>
              <w:rPr>
                <w:lang w:val="en-US"/>
              </w:rPr>
            </w:pPr>
            <w:r w:rsidRPr="00372AB4">
              <w:rPr>
                <w:lang w:val="en-US"/>
              </w:rPr>
              <w:t>Stillbirth</w:t>
            </w:r>
          </w:p>
        </w:tc>
        <w:tc>
          <w:tcPr>
            <w:tcW w:w="1657" w:type="dxa"/>
            <w:tcBorders>
              <w:top w:val="single" w:sz="4" w:space="0" w:color="BFBFBF" w:themeColor="background1" w:themeShade="BF"/>
              <w:left w:val="nil"/>
              <w:bottom w:val="single" w:sz="12" w:space="0" w:color="auto"/>
              <w:right w:val="nil"/>
            </w:tcBorders>
            <w:vAlign w:val="center"/>
            <w:hideMark/>
          </w:tcPr>
          <w:p w14:paraId="1FE3BE97" w14:textId="77777777" w:rsidR="001429E1" w:rsidRPr="00372AB4" w:rsidRDefault="001429E1" w:rsidP="001D7B5C">
            <w:pPr>
              <w:spacing w:after="0" w:line="240" w:lineRule="auto"/>
              <w:jc w:val="center"/>
              <w:rPr>
                <w:lang w:val="en-US"/>
              </w:rPr>
            </w:pPr>
            <w:r w:rsidRPr="00372AB4">
              <w:rPr>
                <w:lang w:val="en-US"/>
              </w:rPr>
              <w:t>2/402</w:t>
            </w:r>
          </w:p>
        </w:tc>
        <w:tc>
          <w:tcPr>
            <w:tcW w:w="1082" w:type="dxa"/>
            <w:tcBorders>
              <w:top w:val="single" w:sz="4" w:space="0" w:color="BFBFBF" w:themeColor="background1" w:themeShade="BF"/>
              <w:left w:val="nil"/>
              <w:bottom w:val="single" w:sz="12" w:space="0" w:color="auto"/>
              <w:right w:val="nil"/>
            </w:tcBorders>
            <w:vAlign w:val="center"/>
            <w:hideMark/>
          </w:tcPr>
          <w:p w14:paraId="7F137441" w14:textId="77777777" w:rsidR="001429E1" w:rsidRPr="00372AB4" w:rsidRDefault="001429E1" w:rsidP="001D7B5C">
            <w:pPr>
              <w:spacing w:after="0" w:line="240" w:lineRule="auto"/>
              <w:jc w:val="center"/>
              <w:rPr>
                <w:lang w:val="en-US"/>
              </w:rPr>
            </w:pPr>
            <w:r w:rsidRPr="00372AB4">
              <w:rPr>
                <w:lang w:val="en-US"/>
              </w:rPr>
              <w:t>3631/9</w:t>
            </w:r>
          </w:p>
        </w:tc>
        <w:tc>
          <w:tcPr>
            <w:tcW w:w="1448" w:type="dxa"/>
            <w:tcBorders>
              <w:top w:val="single" w:sz="4" w:space="0" w:color="BFBFBF" w:themeColor="background1" w:themeShade="BF"/>
              <w:left w:val="nil"/>
              <w:bottom w:val="single" w:sz="12" w:space="0" w:color="auto"/>
              <w:right w:val="nil"/>
            </w:tcBorders>
            <w:vAlign w:val="center"/>
            <w:hideMark/>
          </w:tcPr>
          <w:p w14:paraId="285FD3CE" w14:textId="77777777" w:rsidR="001429E1" w:rsidRPr="00372AB4" w:rsidRDefault="001429E1" w:rsidP="001D7B5C">
            <w:pPr>
              <w:spacing w:after="0" w:line="240" w:lineRule="auto"/>
              <w:jc w:val="center"/>
              <w:rPr>
                <w:lang w:val="en-US"/>
              </w:rPr>
            </w:pPr>
            <w:r w:rsidRPr="00372AB4">
              <w:rPr>
                <w:lang w:val="en-US"/>
              </w:rPr>
              <w:t>1.8</w:t>
            </w:r>
          </w:p>
        </w:tc>
        <w:tc>
          <w:tcPr>
            <w:tcW w:w="1464" w:type="dxa"/>
            <w:tcBorders>
              <w:top w:val="single" w:sz="4" w:space="0" w:color="BFBFBF" w:themeColor="background1" w:themeShade="BF"/>
              <w:left w:val="nil"/>
              <w:bottom w:val="single" w:sz="12" w:space="0" w:color="auto"/>
              <w:right w:val="nil"/>
            </w:tcBorders>
            <w:vAlign w:val="center"/>
            <w:hideMark/>
          </w:tcPr>
          <w:p w14:paraId="7F4D58C7" w14:textId="77777777" w:rsidR="001429E1" w:rsidRPr="00372AB4" w:rsidRDefault="001429E1" w:rsidP="001D7B5C">
            <w:pPr>
              <w:spacing w:after="0" w:line="240" w:lineRule="auto"/>
              <w:jc w:val="center"/>
              <w:rPr>
                <w:lang w:val="en-US"/>
              </w:rPr>
            </w:pPr>
            <w:r w:rsidRPr="00372AB4">
              <w:rPr>
                <w:lang w:val="en-US"/>
              </w:rPr>
              <w:t>0.91</w:t>
            </w:r>
          </w:p>
        </w:tc>
        <w:tc>
          <w:tcPr>
            <w:tcW w:w="1499" w:type="dxa"/>
            <w:tcBorders>
              <w:top w:val="single" w:sz="4" w:space="0" w:color="BFBFBF" w:themeColor="background1" w:themeShade="BF"/>
              <w:left w:val="nil"/>
              <w:bottom w:val="single" w:sz="12" w:space="0" w:color="auto"/>
              <w:right w:val="nil"/>
            </w:tcBorders>
            <w:vAlign w:val="center"/>
            <w:hideMark/>
          </w:tcPr>
          <w:p w14:paraId="5553CD6B" w14:textId="77777777" w:rsidR="001429E1" w:rsidRPr="00372AB4" w:rsidRDefault="001429E1" w:rsidP="001D7B5C">
            <w:pPr>
              <w:spacing w:after="0" w:line="240" w:lineRule="auto"/>
              <w:jc w:val="center"/>
              <w:rPr>
                <w:lang w:val="en-US"/>
              </w:rPr>
            </w:pPr>
            <w:r w:rsidRPr="00372AB4">
              <w:rPr>
                <w:lang w:val="en-US"/>
              </w:rPr>
              <w:t>18.2</w:t>
            </w:r>
          </w:p>
        </w:tc>
        <w:tc>
          <w:tcPr>
            <w:tcW w:w="1811" w:type="dxa"/>
            <w:tcBorders>
              <w:top w:val="single" w:sz="4" w:space="0" w:color="BFBFBF" w:themeColor="background1" w:themeShade="BF"/>
              <w:left w:val="nil"/>
              <w:bottom w:val="single" w:sz="12" w:space="0" w:color="auto"/>
              <w:right w:val="nil"/>
            </w:tcBorders>
            <w:vAlign w:val="center"/>
            <w:hideMark/>
          </w:tcPr>
          <w:p w14:paraId="0AFC56EB" w14:textId="77777777" w:rsidR="001429E1" w:rsidRPr="00372AB4" w:rsidRDefault="001429E1" w:rsidP="001D7B5C">
            <w:pPr>
              <w:spacing w:after="0" w:line="240" w:lineRule="auto"/>
              <w:jc w:val="center"/>
              <w:rPr>
                <w:lang w:val="en-US"/>
              </w:rPr>
            </w:pPr>
            <w:r w:rsidRPr="00372AB4">
              <w:rPr>
                <w:lang w:val="en-US"/>
              </w:rPr>
              <w:t>90.0</w:t>
            </w:r>
          </w:p>
        </w:tc>
        <w:tc>
          <w:tcPr>
            <w:tcW w:w="682" w:type="dxa"/>
            <w:tcBorders>
              <w:top w:val="single" w:sz="4" w:space="0" w:color="BFBFBF" w:themeColor="background1" w:themeShade="BF"/>
              <w:left w:val="nil"/>
              <w:bottom w:val="single" w:sz="12" w:space="0" w:color="auto"/>
              <w:right w:val="nil"/>
            </w:tcBorders>
            <w:vAlign w:val="center"/>
            <w:hideMark/>
          </w:tcPr>
          <w:p w14:paraId="0D9F2F12" w14:textId="77777777" w:rsidR="001429E1" w:rsidRPr="00372AB4" w:rsidRDefault="001429E1" w:rsidP="001D7B5C">
            <w:pPr>
              <w:spacing w:after="0" w:line="240" w:lineRule="auto"/>
              <w:jc w:val="center"/>
              <w:rPr>
                <w:lang w:val="en-US"/>
              </w:rPr>
            </w:pPr>
            <w:r w:rsidRPr="00372AB4">
              <w:rPr>
                <w:lang w:val="en-US"/>
              </w:rPr>
              <w:t>0.5</w:t>
            </w:r>
          </w:p>
        </w:tc>
        <w:tc>
          <w:tcPr>
            <w:tcW w:w="1363" w:type="dxa"/>
            <w:tcBorders>
              <w:top w:val="single" w:sz="4" w:space="0" w:color="BFBFBF" w:themeColor="background1" w:themeShade="BF"/>
              <w:left w:val="nil"/>
              <w:bottom w:val="single" w:sz="12" w:space="0" w:color="auto"/>
              <w:right w:val="nil"/>
            </w:tcBorders>
            <w:vAlign w:val="center"/>
            <w:hideMark/>
          </w:tcPr>
          <w:p w14:paraId="2EDD73C5" w14:textId="77777777" w:rsidR="001429E1" w:rsidRPr="00372AB4" w:rsidRDefault="001429E1" w:rsidP="001D7B5C">
            <w:pPr>
              <w:spacing w:after="0" w:line="240" w:lineRule="auto"/>
              <w:jc w:val="center"/>
              <w:rPr>
                <w:lang w:val="en-US"/>
              </w:rPr>
            </w:pPr>
            <w:r w:rsidRPr="00372AB4">
              <w:rPr>
                <w:lang w:val="en-US"/>
              </w:rPr>
              <w:t>99.8</w:t>
            </w:r>
          </w:p>
        </w:tc>
        <w:tc>
          <w:tcPr>
            <w:tcW w:w="0" w:type="auto"/>
            <w:tcBorders>
              <w:top w:val="single" w:sz="4" w:space="0" w:color="BFBFBF" w:themeColor="background1" w:themeShade="BF"/>
              <w:left w:val="nil"/>
              <w:bottom w:val="single" w:sz="12" w:space="0" w:color="auto"/>
              <w:right w:val="nil"/>
            </w:tcBorders>
            <w:vAlign w:val="center"/>
            <w:hideMark/>
          </w:tcPr>
          <w:p w14:paraId="00AF292F" w14:textId="77777777" w:rsidR="001429E1" w:rsidRPr="00372AB4" w:rsidRDefault="001429E1" w:rsidP="001D7B5C">
            <w:pPr>
              <w:spacing w:after="0" w:line="240" w:lineRule="auto"/>
              <w:jc w:val="center"/>
              <w:rPr>
                <w:lang w:val="en-US"/>
              </w:rPr>
            </w:pPr>
            <w:r w:rsidRPr="00372AB4">
              <w:rPr>
                <w:lang w:val="en-US"/>
              </w:rPr>
              <w:t>0.631</w:t>
            </w:r>
          </w:p>
        </w:tc>
      </w:tr>
    </w:tbl>
    <w:bookmarkEnd w:id="6"/>
    <w:p w14:paraId="4E79CA7C" w14:textId="77777777" w:rsidR="001429E1" w:rsidRPr="00F022FE" w:rsidRDefault="001429E1" w:rsidP="001429E1">
      <w:pPr>
        <w:spacing w:after="0" w:line="240" w:lineRule="auto"/>
        <w:jc w:val="both"/>
        <w:rPr>
          <w:sz w:val="20"/>
          <w:szCs w:val="20"/>
          <w:lang w:val="en-US"/>
        </w:rPr>
      </w:pPr>
      <w:r w:rsidRPr="00F022FE">
        <w:rPr>
          <w:sz w:val="20"/>
          <w:szCs w:val="20"/>
          <w:lang w:val="en-US"/>
        </w:rPr>
        <w:t>AFP, alpha fetoprotein; AUC, area under the curve; FGR, fetal growth restriction;</w:t>
      </w:r>
      <w:r>
        <w:rPr>
          <w:sz w:val="20"/>
          <w:szCs w:val="20"/>
          <w:lang w:val="en-US"/>
        </w:rPr>
        <w:t xml:space="preserve"> FN, false negative; FP, false positive;</w:t>
      </w:r>
      <w:r w:rsidRPr="00F022FE">
        <w:rPr>
          <w:sz w:val="20"/>
          <w:szCs w:val="20"/>
          <w:lang w:val="en-US"/>
        </w:rPr>
        <w:t xml:space="preserve"> iPTB, iatrogenic preterm birth; LR, likelihood ratio; NPV, negative predictive value; PAPP-A, pregnancy-associated plasma protein A; PPV, positive predictive value; PTB, preterm birth; SGA, small for gestational age; sPTB, spontaneous preterm birth;</w:t>
      </w:r>
      <w:r>
        <w:rPr>
          <w:sz w:val="20"/>
          <w:szCs w:val="20"/>
          <w:lang w:val="en-US"/>
        </w:rPr>
        <w:t xml:space="preserve"> TN, true negative; TP, true positive;</w:t>
      </w:r>
      <w:r w:rsidRPr="00F022FE">
        <w:rPr>
          <w:sz w:val="20"/>
          <w:szCs w:val="20"/>
          <w:lang w:val="en-US"/>
        </w:rPr>
        <w:t xml:space="preserve"> wkGA, weeks of gestational age</w:t>
      </w:r>
      <w:r>
        <w:rPr>
          <w:sz w:val="20"/>
          <w:szCs w:val="20"/>
          <w:lang w:val="en-US"/>
        </w:rPr>
        <w:t>.</w:t>
      </w:r>
    </w:p>
    <w:p w14:paraId="3159DE99" w14:textId="77777777" w:rsidR="001429E1" w:rsidRDefault="001429E1" w:rsidP="001429E1">
      <w:pPr>
        <w:spacing w:after="0" w:line="240" w:lineRule="auto"/>
        <w:jc w:val="both"/>
        <w:rPr>
          <w:sz w:val="20"/>
          <w:szCs w:val="20"/>
          <w:lang w:val="en-US"/>
        </w:rPr>
      </w:pPr>
    </w:p>
    <w:p w14:paraId="5FBD6E78" w14:textId="77777777" w:rsidR="001429E1" w:rsidRDefault="001429E1" w:rsidP="001429E1">
      <w:pPr>
        <w:spacing w:after="0" w:line="240" w:lineRule="auto"/>
        <w:jc w:val="both"/>
        <w:rPr>
          <w:sz w:val="20"/>
          <w:szCs w:val="20"/>
          <w:lang w:val="en-US"/>
        </w:rPr>
      </w:pPr>
      <w:r w:rsidRPr="00372AB4">
        <w:rPr>
          <w:sz w:val="20"/>
          <w:szCs w:val="20"/>
          <w:lang w:val="en-US"/>
        </w:rPr>
        <w:t>All screening statistics were calculated comparing women with predicted risk in the top 10% (top decile) to women wit</w:t>
      </w:r>
      <w:r>
        <w:rPr>
          <w:sz w:val="20"/>
          <w:szCs w:val="20"/>
          <w:lang w:val="en-US"/>
        </w:rPr>
        <w:t>h predicted risk in deciles 1-9 whilst</w:t>
      </w:r>
      <w:r w:rsidRPr="00372AB4">
        <w:rPr>
          <w:sz w:val="20"/>
          <w:szCs w:val="20"/>
          <w:lang w:val="en-US"/>
        </w:rPr>
        <w:t xml:space="preserve"> the AUC was calculated from the model including the continuous </w:t>
      </w:r>
      <w:r w:rsidRPr="00372AB4">
        <w:rPr>
          <w:sz w:val="20"/>
          <w:szCs w:val="20"/>
        </w:rPr>
        <w:t>AFP MoM and PAPP-A MoM corrected for maternal weight and gestational age at</w:t>
      </w:r>
      <w:r>
        <w:rPr>
          <w:sz w:val="20"/>
          <w:szCs w:val="20"/>
        </w:rPr>
        <w:t xml:space="preserve"> </w:t>
      </w:r>
      <w:r w:rsidRPr="00372AB4">
        <w:rPr>
          <w:sz w:val="20"/>
          <w:szCs w:val="20"/>
        </w:rPr>
        <w:t>measurement</w:t>
      </w:r>
      <w:r w:rsidRPr="00372AB4">
        <w:rPr>
          <w:sz w:val="20"/>
          <w:szCs w:val="20"/>
          <w:lang w:val="en-US"/>
        </w:rPr>
        <w:t>.</w:t>
      </w:r>
      <w:r>
        <w:rPr>
          <w:sz w:val="20"/>
          <w:szCs w:val="20"/>
          <w:lang w:val="en-US"/>
        </w:rPr>
        <w:t xml:space="preserve"> </w:t>
      </w:r>
    </w:p>
    <w:p w14:paraId="0143D81A" w14:textId="77777777" w:rsidR="001429E1" w:rsidRDefault="001429E1" w:rsidP="001429E1">
      <w:pPr>
        <w:spacing w:after="200" w:line="480" w:lineRule="auto"/>
        <w:rPr>
          <w:b/>
          <w:sz w:val="24"/>
          <w:szCs w:val="24"/>
          <w:lang w:val="en-US"/>
        </w:rPr>
      </w:pPr>
      <w:r>
        <w:rPr>
          <w:b/>
          <w:sz w:val="24"/>
          <w:szCs w:val="24"/>
          <w:lang w:val="en-US"/>
        </w:rPr>
        <w:t>Supplemental Table 7. Sensitivities and specificities for detection of placentally-related adverse outcome by 1) an EFW &lt;10</w:t>
      </w:r>
      <w:r w:rsidRPr="009C437D">
        <w:rPr>
          <w:b/>
          <w:sz w:val="24"/>
          <w:szCs w:val="24"/>
          <w:vertAlign w:val="superscript"/>
          <w:lang w:val="en-US"/>
        </w:rPr>
        <w:t>th</w:t>
      </w:r>
      <w:r>
        <w:rPr>
          <w:b/>
          <w:sz w:val="24"/>
          <w:szCs w:val="24"/>
          <w:lang w:val="en-US"/>
        </w:rPr>
        <w:t xml:space="preserve"> customized percentile with reduced ACGV on its own, 2) either an EFW &lt;10</w:t>
      </w:r>
      <w:r w:rsidRPr="0060280E">
        <w:rPr>
          <w:b/>
          <w:sz w:val="24"/>
          <w:szCs w:val="24"/>
          <w:vertAlign w:val="superscript"/>
          <w:lang w:val="en-US"/>
        </w:rPr>
        <w:t>th</w:t>
      </w:r>
      <w:r>
        <w:rPr>
          <w:b/>
          <w:sz w:val="24"/>
          <w:szCs w:val="24"/>
          <w:lang w:val="en-US"/>
        </w:rPr>
        <w:t xml:space="preserve"> customized percentile with reduced ACGV or an AFP:PAPP-A ratio &gt;10 </w:t>
      </w:r>
    </w:p>
    <w:tbl>
      <w:tblPr>
        <w:tblW w:w="11307" w:type="dxa"/>
        <w:tblBorders>
          <w:top w:val="single" w:sz="12" w:space="0" w:color="auto"/>
          <w:bottom w:val="single" w:sz="12" w:space="0" w:color="auto"/>
        </w:tblBorders>
        <w:tblLook w:val="04A0" w:firstRow="1" w:lastRow="0" w:firstColumn="1" w:lastColumn="0" w:noHBand="0" w:noVBand="1"/>
      </w:tblPr>
      <w:tblGrid>
        <w:gridCol w:w="2901"/>
        <w:gridCol w:w="2169"/>
        <w:gridCol w:w="1984"/>
        <w:gridCol w:w="2126"/>
        <w:gridCol w:w="2127"/>
      </w:tblGrid>
      <w:tr w:rsidR="001429E1" w:rsidRPr="00372AB4" w14:paraId="31B17823" w14:textId="77777777" w:rsidTr="001D7B5C">
        <w:trPr>
          <w:trHeight w:val="550"/>
        </w:trPr>
        <w:tc>
          <w:tcPr>
            <w:tcW w:w="2901" w:type="dxa"/>
            <w:tcBorders>
              <w:top w:val="single" w:sz="12" w:space="0" w:color="auto"/>
              <w:left w:val="nil"/>
              <w:bottom w:val="single" w:sz="12" w:space="0" w:color="auto"/>
              <w:right w:val="nil"/>
            </w:tcBorders>
            <w:vAlign w:val="center"/>
            <w:hideMark/>
          </w:tcPr>
          <w:p w14:paraId="22C5FD24" w14:textId="77777777" w:rsidR="001429E1" w:rsidRPr="00372AB4" w:rsidRDefault="001429E1" w:rsidP="001D7B5C">
            <w:pPr>
              <w:spacing w:after="0" w:line="240" w:lineRule="auto"/>
              <w:rPr>
                <w:b/>
                <w:lang w:val="en-US"/>
              </w:rPr>
            </w:pPr>
          </w:p>
        </w:tc>
        <w:tc>
          <w:tcPr>
            <w:tcW w:w="4153" w:type="dxa"/>
            <w:gridSpan w:val="2"/>
            <w:tcBorders>
              <w:top w:val="single" w:sz="12" w:space="0" w:color="auto"/>
              <w:left w:val="nil"/>
              <w:bottom w:val="single" w:sz="12" w:space="0" w:color="auto"/>
              <w:right w:val="nil"/>
            </w:tcBorders>
            <w:vAlign w:val="center"/>
            <w:hideMark/>
          </w:tcPr>
          <w:p w14:paraId="208D218D" w14:textId="77777777" w:rsidR="001429E1" w:rsidRPr="00372AB4" w:rsidRDefault="001429E1" w:rsidP="001D7B5C">
            <w:pPr>
              <w:spacing w:after="0" w:line="240" w:lineRule="auto"/>
              <w:jc w:val="center"/>
              <w:rPr>
                <w:b/>
                <w:lang w:val="en-US"/>
              </w:rPr>
            </w:pPr>
            <w:r>
              <w:rPr>
                <w:b/>
                <w:lang w:val="en-US"/>
              </w:rPr>
              <w:t>EFW &lt;10</w:t>
            </w:r>
            <w:r w:rsidRPr="0060280E">
              <w:rPr>
                <w:b/>
                <w:vertAlign w:val="superscript"/>
                <w:lang w:val="en-US"/>
              </w:rPr>
              <w:t>th</w:t>
            </w:r>
            <w:r>
              <w:rPr>
                <w:b/>
                <w:lang w:val="en-US"/>
              </w:rPr>
              <w:t xml:space="preserve"> percentile with reduced ACGV</w:t>
            </w:r>
          </w:p>
        </w:tc>
        <w:tc>
          <w:tcPr>
            <w:tcW w:w="4253" w:type="dxa"/>
            <w:gridSpan w:val="2"/>
            <w:tcBorders>
              <w:top w:val="single" w:sz="12" w:space="0" w:color="auto"/>
              <w:left w:val="nil"/>
              <w:bottom w:val="single" w:sz="12" w:space="0" w:color="auto"/>
              <w:right w:val="nil"/>
            </w:tcBorders>
            <w:vAlign w:val="center"/>
            <w:hideMark/>
          </w:tcPr>
          <w:p w14:paraId="614CEA89" w14:textId="77777777" w:rsidR="001429E1" w:rsidRDefault="001429E1" w:rsidP="001D7B5C">
            <w:pPr>
              <w:spacing w:after="0" w:line="240" w:lineRule="auto"/>
              <w:jc w:val="center"/>
              <w:rPr>
                <w:b/>
                <w:lang w:val="en-US"/>
              </w:rPr>
            </w:pPr>
            <w:r>
              <w:rPr>
                <w:b/>
                <w:lang w:val="en-US"/>
              </w:rPr>
              <w:t>AFP:PAPP-A &gt;10 or</w:t>
            </w:r>
          </w:p>
          <w:p w14:paraId="5ECE76D3" w14:textId="77777777" w:rsidR="001429E1" w:rsidRPr="00372AB4" w:rsidRDefault="001429E1" w:rsidP="001D7B5C">
            <w:pPr>
              <w:spacing w:after="0" w:line="240" w:lineRule="auto"/>
              <w:jc w:val="center"/>
              <w:rPr>
                <w:b/>
                <w:lang w:val="en-US"/>
              </w:rPr>
            </w:pPr>
            <w:r>
              <w:rPr>
                <w:b/>
                <w:lang w:val="en-US"/>
              </w:rPr>
              <w:t>EFW &lt;10</w:t>
            </w:r>
            <w:r w:rsidRPr="0060280E">
              <w:rPr>
                <w:b/>
                <w:vertAlign w:val="superscript"/>
                <w:lang w:val="en-US"/>
              </w:rPr>
              <w:t>th</w:t>
            </w:r>
            <w:r>
              <w:rPr>
                <w:b/>
                <w:lang w:val="en-US"/>
              </w:rPr>
              <w:t xml:space="preserve"> percentile with reduced ACGV</w:t>
            </w:r>
          </w:p>
        </w:tc>
      </w:tr>
      <w:tr w:rsidR="001429E1" w:rsidRPr="00372AB4" w14:paraId="08154AEA" w14:textId="77777777" w:rsidTr="001D7B5C">
        <w:trPr>
          <w:trHeight w:val="550"/>
        </w:trPr>
        <w:tc>
          <w:tcPr>
            <w:tcW w:w="2901" w:type="dxa"/>
            <w:tcBorders>
              <w:top w:val="single" w:sz="4" w:space="0" w:color="BFBFBF" w:themeColor="background1" w:themeShade="BF"/>
              <w:left w:val="nil"/>
              <w:bottom w:val="single" w:sz="4" w:space="0" w:color="BFBFBF" w:themeColor="background1" w:themeShade="BF"/>
              <w:right w:val="nil"/>
            </w:tcBorders>
            <w:vAlign w:val="center"/>
          </w:tcPr>
          <w:p w14:paraId="005A9762" w14:textId="77777777" w:rsidR="001429E1" w:rsidRPr="00372AB4" w:rsidRDefault="001429E1" w:rsidP="001D7B5C">
            <w:pPr>
              <w:spacing w:after="0" w:line="240" w:lineRule="auto"/>
              <w:rPr>
                <w:lang w:val="en-US"/>
              </w:rPr>
            </w:pPr>
            <w:r w:rsidRPr="00372AB4">
              <w:rPr>
                <w:b/>
                <w:lang w:val="en-US"/>
              </w:rPr>
              <w:t>Outcome</w:t>
            </w:r>
            <w:r w:rsidRPr="00372AB4" w:rsidDel="002536C0">
              <w:rPr>
                <w:lang w:val="en-US"/>
              </w:rPr>
              <w:t xml:space="preserve"> </w:t>
            </w:r>
          </w:p>
        </w:tc>
        <w:tc>
          <w:tcPr>
            <w:tcW w:w="2169" w:type="dxa"/>
            <w:tcBorders>
              <w:top w:val="single" w:sz="4" w:space="0" w:color="BFBFBF" w:themeColor="background1" w:themeShade="BF"/>
              <w:left w:val="nil"/>
              <w:bottom w:val="single" w:sz="4" w:space="0" w:color="BFBFBF" w:themeColor="background1" w:themeShade="BF"/>
              <w:right w:val="nil"/>
            </w:tcBorders>
            <w:vAlign w:val="center"/>
          </w:tcPr>
          <w:p w14:paraId="2E6E34B6" w14:textId="77777777" w:rsidR="001429E1" w:rsidRPr="00372AB4" w:rsidRDefault="001429E1" w:rsidP="001D7B5C">
            <w:pPr>
              <w:spacing w:after="0" w:line="240" w:lineRule="auto"/>
              <w:jc w:val="center"/>
              <w:rPr>
                <w:lang w:val="en-US"/>
              </w:rPr>
            </w:pPr>
            <w:r>
              <w:rPr>
                <w:lang w:val="en-US"/>
              </w:rPr>
              <w:t>Sensitivity (%)</w:t>
            </w:r>
          </w:p>
        </w:tc>
        <w:tc>
          <w:tcPr>
            <w:tcW w:w="1984" w:type="dxa"/>
            <w:tcBorders>
              <w:top w:val="single" w:sz="4" w:space="0" w:color="BFBFBF" w:themeColor="background1" w:themeShade="BF"/>
              <w:left w:val="nil"/>
              <w:bottom w:val="single" w:sz="4" w:space="0" w:color="BFBFBF" w:themeColor="background1" w:themeShade="BF"/>
              <w:right w:val="nil"/>
            </w:tcBorders>
            <w:vAlign w:val="center"/>
          </w:tcPr>
          <w:p w14:paraId="54E9071B" w14:textId="77777777" w:rsidR="001429E1" w:rsidRPr="00372AB4" w:rsidRDefault="001429E1" w:rsidP="001D7B5C">
            <w:pPr>
              <w:spacing w:after="0" w:line="240" w:lineRule="auto"/>
              <w:jc w:val="center"/>
              <w:rPr>
                <w:lang w:val="en-US"/>
              </w:rPr>
            </w:pPr>
            <w:r>
              <w:rPr>
                <w:lang w:val="en-US"/>
              </w:rPr>
              <w:t>Specificity (%)</w:t>
            </w:r>
          </w:p>
        </w:tc>
        <w:tc>
          <w:tcPr>
            <w:tcW w:w="2126" w:type="dxa"/>
            <w:tcBorders>
              <w:top w:val="single" w:sz="4" w:space="0" w:color="BFBFBF" w:themeColor="background1" w:themeShade="BF"/>
              <w:left w:val="nil"/>
              <w:bottom w:val="single" w:sz="4" w:space="0" w:color="BFBFBF" w:themeColor="background1" w:themeShade="BF"/>
              <w:right w:val="nil"/>
            </w:tcBorders>
            <w:vAlign w:val="center"/>
          </w:tcPr>
          <w:p w14:paraId="0AC268A2" w14:textId="77777777" w:rsidR="001429E1" w:rsidRDefault="001429E1" w:rsidP="001D7B5C">
            <w:pPr>
              <w:spacing w:after="0" w:line="240" w:lineRule="auto"/>
              <w:jc w:val="center"/>
              <w:rPr>
                <w:lang w:val="en-US"/>
              </w:rPr>
            </w:pPr>
            <w:r>
              <w:rPr>
                <w:lang w:val="en-US"/>
              </w:rPr>
              <w:t>Sensitivity (%)</w:t>
            </w:r>
          </w:p>
        </w:tc>
        <w:tc>
          <w:tcPr>
            <w:tcW w:w="2127" w:type="dxa"/>
            <w:tcBorders>
              <w:top w:val="single" w:sz="4" w:space="0" w:color="BFBFBF" w:themeColor="background1" w:themeShade="BF"/>
              <w:left w:val="nil"/>
              <w:bottom w:val="single" w:sz="4" w:space="0" w:color="BFBFBF" w:themeColor="background1" w:themeShade="BF"/>
              <w:right w:val="nil"/>
            </w:tcBorders>
            <w:vAlign w:val="center"/>
          </w:tcPr>
          <w:p w14:paraId="5F34CFD0" w14:textId="77777777" w:rsidR="001429E1" w:rsidRDefault="001429E1" w:rsidP="001D7B5C">
            <w:pPr>
              <w:spacing w:after="0" w:line="240" w:lineRule="auto"/>
              <w:jc w:val="center"/>
              <w:rPr>
                <w:lang w:val="en-US"/>
              </w:rPr>
            </w:pPr>
            <w:r>
              <w:rPr>
                <w:lang w:val="en-US"/>
              </w:rPr>
              <w:t>Specificity (%)</w:t>
            </w:r>
          </w:p>
        </w:tc>
      </w:tr>
      <w:tr w:rsidR="001429E1" w:rsidRPr="00372AB4" w14:paraId="5641A074" w14:textId="77777777" w:rsidTr="001D7B5C">
        <w:trPr>
          <w:trHeight w:val="550"/>
        </w:trPr>
        <w:tc>
          <w:tcPr>
            <w:tcW w:w="2901" w:type="dxa"/>
            <w:tcBorders>
              <w:top w:val="single" w:sz="4" w:space="0" w:color="BFBFBF" w:themeColor="background1" w:themeShade="BF"/>
              <w:left w:val="nil"/>
              <w:bottom w:val="single" w:sz="4" w:space="0" w:color="BFBFBF" w:themeColor="background1" w:themeShade="BF"/>
              <w:right w:val="nil"/>
            </w:tcBorders>
            <w:vAlign w:val="center"/>
          </w:tcPr>
          <w:p w14:paraId="33E79926" w14:textId="77777777" w:rsidR="001429E1" w:rsidRPr="00372AB4" w:rsidRDefault="001429E1" w:rsidP="001D7B5C">
            <w:pPr>
              <w:spacing w:after="0" w:line="240" w:lineRule="auto"/>
              <w:rPr>
                <w:lang w:val="en-US"/>
              </w:rPr>
            </w:pPr>
            <w:r w:rsidRPr="00372AB4">
              <w:rPr>
                <w:lang w:val="en-US"/>
              </w:rPr>
              <w:t>FGR</w:t>
            </w:r>
          </w:p>
        </w:tc>
        <w:tc>
          <w:tcPr>
            <w:tcW w:w="2169" w:type="dxa"/>
            <w:tcBorders>
              <w:top w:val="single" w:sz="4" w:space="0" w:color="BFBFBF" w:themeColor="background1" w:themeShade="BF"/>
              <w:left w:val="nil"/>
              <w:bottom w:val="single" w:sz="4" w:space="0" w:color="BFBFBF" w:themeColor="background1" w:themeShade="BF"/>
              <w:right w:val="nil"/>
            </w:tcBorders>
            <w:vAlign w:val="center"/>
          </w:tcPr>
          <w:p w14:paraId="56EB0BBD" w14:textId="77777777" w:rsidR="001429E1" w:rsidRDefault="001429E1" w:rsidP="001D7B5C">
            <w:pPr>
              <w:spacing w:after="0" w:line="240" w:lineRule="auto"/>
              <w:jc w:val="center"/>
              <w:rPr>
                <w:lang w:val="en-US"/>
              </w:rPr>
            </w:pPr>
            <w:r>
              <w:rPr>
                <w:lang w:val="en-US"/>
              </w:rPr>
              <w:t>24.3</w:t>
            </w:r>
          </w:p>
        </w:tc>
        <w:tc>
          <w:tcPr>
            <w:tcW w:w="1984" w:type="dxa"/>
            <w:tcBorders>
              <w:top w:val="single" w:sz="4" w:space="0" w:color="BFBFBF" w:themeColor="background1" w:themeShade="BF"/>
              <w:left w:val="nil"/>
              <w:bottom w:val="single" w:sz="4" w:space="0" w:color="BFBFBF" w:themeColor="background1" w:themeShade="BF"/>
              <w:right w:val="nil"/>
            </w:tcBorders>
            <w:vAlign w:val="center"/>
          </w:tcPr>
          <w:p w14:paraId="122E2FB3" w14:textId="77777777" w:rsidR="001429E1" w:rsidDel="002536C0" w:rsidRDefault="001429E1" w:rsidP="001D7B5C">
            <w:pPr>
              <w:spacing w:after="0" w:line="240" w:lineRule="auto"/>
              <w:jc w:val="center"/>
              <w:rPr>
                <w:lang w:val="en-US"/>
              </w:rPr>
            </w:pPr>
            <w:r>
              <w:rPr>
                <w:lang w:val="en-US"/>
              </w:rPr>
              <w:t>96.1</w:t>
            </w:r>
          </w:p>
        </w:tc>
        <w:tc>
          <w:tcPr>
            <w:tcW w:w="2126" w:type="dxa"/>
            <w:tcBorders>
              <w:top w:val="single" w:sz="4" w:space="0" w:color="BFBFBF" w:themeColor="background1" w:themeShade="BF"/>
              <w:left w:val="nil"/>
              <w:bottom w:val="single" w:sz="4" w:space="0" w:color="BFBFBF" w:themeColor="background1" w:themeShade="BF"/>
              <w:right w:val="nil"/>
            </w:tcBorders>
            <w:vAlign w:val="center"/>
          </w:tcPr>
          <w:p w14:paraId="10E897EF" w14:textId="77777777" w:rsidR="001429E1" w:rsidRDefault="001429E1" w:rsidP="001D7B5C">
            <w:pPr>
              <w:spacing w:after="0" w:line="240" w:lineRule="auto"/>
              <w:jc w:val="center"/>
              <w:rPr>
                <w:lang w:val="en-US"/>
              </w:rPr>
            </w:pPr>
            <w:r>
              <w:rPr>
                <w:lang w:val="en-US"/>
              </w:rPr>
              <w:t>45.9</w:t>
            </w:r>
          </w:p>
        </w:tc>
        <w:tc>
          <w:tcPr>
            <w:tcW w:w="2127" w:type="dxa"/>
            <w:tcBorders>
              <w:top w:val="single" w:sz="4" w:space="0" w:color="BFBFBF" w:themeColor="background1" w:themeShade="BF"/>
              <w:left w:val="nil"/>
              <w:bottom w:val="single" w:sz="4" w:space="0" w:color="BFBFBF" w:themeColor="background1" w:themeShade="BF"/>
              <w:right w:val="nil"/>
            </w:tcBorders>
            <w:vAlign w:val="center"/>
          </w:tcPr>
          <w:p w14:paraId="46195E40" w14:textId="77777777" w:rsidR="001429E1" w:rsidRDefault="001429E1" w:rsidP="001D7B5C">
            <w:pPr>
              <w:spacing w:after="0" w:line="240" w:lineRule="auto"/>
              <w:jc w:val="center"/>
              <w:rPr>
                <w:lang w:val="en-US"/>
              </w:rPr>
            </w:pPr>
            <w:r>
              <w:rPr>
                <w:lang w:val="en-US"/>
              </w:rPr>
              <w:t>86.8</w:t>
            </w:r>
          </w:p>
        </w:tc>
      </w:tr>
      <w:tr w:rsidR="001429E1" w:rsidRPr="00372AB4" w14:paraId="50CCF8E2" w14:textId="77777777" w:rsidTr="001D7B5C">
        <w:trPr>
          <w:trHeight w:val="550"/>
        </w:trPr>
        <w:tc>
          <w:tcPr>
            <w:tcW w:w="2901" w:type="dxa"/>
            <w:tcBorders>
              <w:top w:val="single" w:sz="4" w:space="0" w:color="BFBFBF" w:themeColor="background1" w:themeShade="BF"/>
              <w:left w:val="nil"/>
              <w:bottom w:val="single" w:sz="4" w:space="0" w:color="BFBFBF" w:themeColor="background1" w:themeShade="BF"/>
              <w:right w:val="nil"/>
            </w:tcBorders>
            <w:vAlign w:val="center"/>
            <w:hideMark/>
          </w:tcPr>
          <w:p w14:paraId="2EB56EDD" w14:textId="77777777" w:rsidR="001429E1" w:rsidRPr="00372AB4" w:rsidRDefault="001429E1" w:rsidP="001D7B5C">
            <w:pPr>
              <w:spacing w:after="0" w:line="240" w:lineRule="auto"/>
              <w:rPr>
                <w:lang w:val="en-US"/>
              </w:rPr>
            </w:pPr>
            <w:r w:rsidRPr="00372AB4">
              <w:rPr>
                <w:lang w:val="en-US"/>
              </w:rPr>
              <w:t>Severe SGA</w:t>
            </w:r>
          </w:p>
        </w:tc>
        <w:tc>
          <w:tcPr>
            <w:tcW w:w="2169" w:type="dxa"/>
            <w:tcBorders>
              <w:top w:val="single" w:sz="4" w:space="0" w:color="BFBFBF" w:themeColor="background1" w:themeShade="BF"/>
              <w:left w:val="nil"/>
              <w:bottom w:val="single" w:sz="4" w:space="0" w:color="BFBFBF" w:themeColor="background1" w:themeShade="BF"/>
              <w:right w:val="nil"/>
            </w:tcBorders>
            <w:vAlign w:val="center"/>
          </w:tcPr>
          <w:p w14:paraId="016ADD45" w14:textId="77777777" w:rsidR="001429E1" w:rsidRPr="00372AB4" w:rsidRDefault="001429E1" w:rsidP="001D7B5C">
            <w:pPr>
              <w:spacing w:after="0" w:line="240" w:lineRule="auto"/>
              <w:jc w:val="center"/>
              <w:rPr>
                <w:lang w:val="en-US"/>
              </w:rPr>
            </w:pPr>
            <w:r>
              <w:rPr>
                <w:lang w:val="en-US"/>
              </w:rPr>
              <w:t>24.5</w:t>
            </w:r>
          </w:p>
        </w:tc>
        <w:tc>
          <w:tcPr>
            <w:tcW w:w="1984" w:type="dxa"/>
            <w:tcBorders>
              <w:top w:val="single" w:sz="4" w:space="0" w:color="BFBFBF" w:themeColor="background1" w:themeShade="BF"/>
              <w:left w:val="nil"/>
              <w:bottom w:val="single" w:sz="4" w:space="0" w:color="BFBFBF" w:themeColor="background1" w:themeShade="BF"/>
              <w:right w:val="nil"/>
            </w:tcBorders>
            <w:vAlign w:val="center"/>
          </w:tcPr>
          <w:p w14:paraId="7BB75064" w14:textId="77777777" w:rsidR="001429E1" w:rsidRPr="00372AB4" w:rsidRDefault="001429E1" w:rsidP="001D7B5C">
            <w:pPr>
              <w:spacing w:after="0" w:line="240" w:lineRule="auto"/>
              <w:jc w:val="center"/>
              <w:rPr>
                <w:lang w:val="en-US"/>
              </w:rPr>
            </w:pPr>
            <w:r>
              <w:rPr>
                <w:lang w:val="en-US"/>
              </w:rPr>
              <w:t>96.3</w:t>
            </w:r>
          </w:p>
        </w:tc>
        <w:tc>
          <w:tcPr>
            <w:tcW w:w="2126" w:type="dxa"/>
            <w:tcBorders>
              <w:top w:val="single" w:sz="4" w:space="0" w:color="BFBFBF" w:themeColor="background1" w:themeShade="BF"/>
              <w:left w:val="nil"/>
              <w:bottom w:val="single" w:sz="4" w:space="0" w:color="BFBFBF" w:themeColor="background1" w:themeShade="BF"/>
              <w:right w:val="nil"/>
            </w:tcBorders>
            <w:vAlign w:val="center"/>
          </w:tcPr>
          <w:p w14:paraId="4294129A" w14:textId="77777777" w:rsidR="001429E1" w:rsidRDefault="001429E1" w:rsidP="001D7B5C">
            <w:pPr>
              <w:spacing w:after="0" w:line="240" w:lineRule="auto"/>
              <w:jc w:val="center"/>
              <w:rPr>
                <w:lang w:val="en-US"/>
              </w:rPr>
            </w:pPr>
            <w:r>
              <w:rPr>
                <w:lang w:val="en-US"/>
              </w:rPr>
              <w:t>46.8</w:t>
            </w:r>
          </w:p>
        </w:tc>
        <w:tc>
          <w:tcPr>
            <w:tcW w:w="2127" w:type="dxa"/>
            <w:tcBorders>
              <w:top w:val="single" w:sz="4" w:space="0" w:color="BFBFBF" w:themeColor="background1" w:themeShade="BF"/>
              <w:left w:val="nil"/>
              <w:bottom w:val="single" w:sz="4" w:space="0" w:color="BFBFBF" w:themeColor="background1" w:themeShade="BF"/>
              <w:right w:val="nil"/>
            </w:tcBorders>
            <w:vAlign w:val="center"/>
          </w:tcPr>
          <w:p w14:paraId="459A7024" w14:textId="77777777" w:rsidR="001429E1" w:rsidRDefault="001429E1" w:rsidP="001D7B5C">
            <w:pPr>
              <w:spacing w:after="0" w:line="240" w:lineRule="auto"/>
              <w:jc w:val="center"/>
              <w:rPr>
                <w:lang w:val="en-US"/>
              </w:rPr>
            </w:pPr>
            <w:r>
              <w:rPr>
                <w:lang w:val="en-US"/>
              </w:rPr>
              <w:t>87.0</w:t>
            </w:r>
          </w:p>
        </w:tc>
      </w:tr>
      <w:tr w:rsidR="001429E1" w:rsidRPr="00372AB4" w14:paraId="67D421BC" w14:textId="77777777" w:rsidTr="001D7B5C">
        <w:trPr>
          <w:trHeight w:val="550"/>
        </w:trPr>
        <w:tc>
          <w:tcPr>
            <w:tcW w:w="2901" w:type="dxa"/>
            <w:tcBorders>
              <w:top w:val="single" w:sz="4" w:space="0" w:color="BFBFBF" w:themeColor="background1" w:themeShade="BF"/>
              <w:left w:val="nil"/>
              <w:bottom w:val="single" w:sz="4" w:space="0" w:color="BFBFBF" w:themeColor="background1" w:themeShade="BF"/>
              <w:right w:val="nil"/>
            </w:tcBorders>
            <w:vAlign w:val="center"/>
            <w:hideMark/>
          </w:tcPr>
          <w:p w14:paraId="6274CDD7" w14:textId="77777777" w:rsidR="001429E1" w:rsidRPr="00372AB4" w:rsidRDefault="001429E1" w:rsidP="001D7B5C">
            <w:pPr>
              <w:spacing w:after="0" w:line="240" w:lineRule="auto"/>
              <w:rPr>
                <w:lang w:val="en-US"/>
              </w:rPr>
            </w:pPr>
            <w:r w:rsidRPr="00372AB4">
              <w:rPr>
                <w:lang w:val="en-US"/>
              </w:rPr>
              <w:t>PE+PTB</w:t>
            </w:r>
          </w:p>
        </w:tc>
        <w:tc>
          <w:tcPr>
            <w:tcW w:w="2169" w:type="dxa"/>
            <w:tcBorders>
              <w:top w:val="single" w:sz="4" w:space="0" w:color="BFBFBF" w:themeColor="background1" w:themeShade="BF"/>
              <w:left w:val="nil"/>
              <w:bottom w:val="single" w:sz="4" w:space="0" w:color="BFBFBF" w:themeColor="background1" w:themeShade="BF"/>
              <w:right w:val="nil"/>
            </w:tcBorders>
            <w:vAlign w:val="center"/>
          </w:tcPr>
          <w:p w14:paraId="3609A5D8" w14:textId="77777777" w:rsidR="001429E1" w:rsidRPr="00372AB4" w:rsidRDefault="001429E1" w:rsidP="001D7B5C">
            <w:pPr>
              <w:spacing w:after="0" w:line="240" w:lineRule="auto"/>
              <w:jc w:val="center"/>
              <w:rPr>
                <w:lang w:val="en-US"/>
              </w:rPr>
            </w:pPr>
            <w:r>
              <w:rPr>
                <w:lang w:val="en-US"/>
              </w:rPr>
              <w:t>6.9</w:t>
            </w:r>
          </w:p>
        </w:tc>
        <w:tc>
          <w:tcPr>
            <w:tcW w:w="1984" w:type="dxa"/>
            <w:tcBorders>
              <w:top w:val="single" w:sz="4" w:space="0" w:color="BFBFBF" w:themeColor="background1" w:themeShade="BF"/>
              <w:left w:val="nil"/>
              <w:bottom w:val="single" w:sz="4" w:space="0" w:color="BFBFBF" w:themeColor="background1" w:themeShade="BF"/>
              <w:right w:val="nil"/>
            </w:tcBorders>
            <w:vAlign w:val="center"/>
          </w:tcPr>
          <w:p w14:paraId="2B2C2929" w14:textId="77777777" w:rsidR="001429E1" w:rsidRPr="00372AB4" w:rsidRDefault="001429E1" w:rsidP="001D7B5C">
            <w:pPr>
              <w:spacing w:after="0" w:line="240" w:lineRule="auto"/>
              <w:jc w:val="center"/>
              <w:rPr>
                <w:lang w:val="en-US"/>
              </w:rPr>
            </w:pPr>
            <w:r>
              <w:rPr>
                <w:lang w:val="en-US"/>
              </w:rPr>
              <w:t>95.8</w:t>
            </w:r>
          </w:p>
        </w:tc>
        <w:tc>
          <w:tcPr>
            <w:tcW w:w="2126" w:type="dxa"/>
            <w:tcBorders>
              <w:top w:val="single" w:sz="4" w:space="0" w:color="BFBFBF" w:themeColor="background1" w:themeShade="BF"/>
              <w:left w:val="nil"/>
              <w:bottom w:val="single" w:sz="4" w:space="0" w:color="BFBFBF" w:themeColor="background1" w:themeShade="BF"/>
              <w:right w:val="nil"/>
            </w:tcBorders>
            <w:vAlign w:val="center"/>
          </w:tcPr>
          <w:p w14:paraId="5833CDA1" w14:textId="77777777" w:rsidR="001429E1" w:rsidRDefault="001429E1" w:rsidP="001D7B5C">
            <w:pPr>
              <w:spacing w:after="0" w:line="240" w:lineRule="auto"/>
              <w:jc w:val="center"/>
              <w:rPr>
                <w:lang w:val="en-US"/>
              </w:rPr>
            </w:pPr>
            <w:r>
              <w:rPr>
                <w:lang w:val="en-US"/>
              </w:rPr>
              <w:t>31.0</w:t>
            </w:r>
          </w:p>
        </w:tc>
        <w:tc>
          <w:tcPr>
            <w:tcW w:w="2127" w:type="dxa"/>
            <w:tcBorders>
              <w:top w:val="single" w:sz="4" w:space="0" w:color="BFBFBF" w:themeColor="background1" w:themeShade="BF"/>
              <w:left w:val="nil"/>
              <w:bottom w:val="single" w:sz="4" w:space="0" w:color="BFBFBF" w:themeColor="background1" w:themeShade="BF"/>
              <w:right w:val="nil"/>
            </w:tcBorders>
            <w:vAlign w:val="center"/>
          </w:tcPr>
          <w:p w14:paraId="56647B1E" w14:textId="77777777" w:rsidR="001429E1" w:rsidRDefault="001429E1" w:rsidP="001D7B5C">
            <w:pPr>
              <w:spacing w:after="0" w:line="240" w:lineRule="auto"/>
              <w:jc w:val="center"/>
              <w:rPr>
                <w:lang w:val="en-US"/>
              </w:rPr>
            </w:pPr>
            <w:r>
              <w:rPr>
                <w:lang w:val="en-US"/>
              </w:rPr>
              <w:t>86.3</w:t>
            </w:r>
          </w:p>
        </w:tc>
      </w:tr>
      <w:tr w:rsidR="001429E1" w:rsidRPr="00372AB4" w14:paraId="0C22CF4D" w14:textId="77777777" w:rsidTr="001D7B5C">
        <w:trPr>
          <w:trHeight w:val="550"/>
        </w:trPr>
        <w:tc>
          <w:tcPr>
            <w:tcW w:w="2901" w:type="dxa"/>
            <w:tcBorders>
              <w:top w:val="single" w:sz="4" w:space="0" w:color="BFBFBF" w:themeColor="background1" w:themeShade="BF"/>
              <w:left w:val="nil"/>
              <w:bottom w:val="single" w:sz="4" w:space="0" w:color="BFBFBF" w:themeColor="background1" w:themeShade="BF"/>
              <w:right w:val="nil"/>
            </w:tcBorders>
            <w:vAlign w:val="center"/>
            <w:hideMark/>
          </w:tcPr>
          <w:p w14:paraId="501F2275" w14:textId="77777777" w:rsidR="001429E1" w:rsidRPr="00372AB4" w:rsidRDefault="001429E1" w:rsidP="001D7B5C">
            <w:pPr>
              <w:spacing w:after="0" w:line="240" w:lineRule="auto"/>
              <w:rPr>
                <w:lang w:val="en-US"/>
              </w:rPr>
            </w:pPr>
            <w:r w:rsidRPr="00372AB4">
              <w:rPr>
                <w:lang w:val="en-US"/>
              </w:rPr>
              <w:t>Severe PE</w:t>
            </w:r>
          </w:p>
        </w:tc>
        <w:tc>
          <w:tcPr>
            <w:tcW w:w="2169" w:type="dxa"/>
            <w:tcBorders>
              <w:top w:val="single" w:sz="4" w:space="0" w:color="BFBFBF" w:themeColor="background1" w:themeShade="BF"/>
              <w:left w:val="nil"/>
              <w:bottom w:val="single" w:sz="4" w:space="0" w:color="BFBFBF" w:themeColor="background1" w:themeShade="BF"/>
              <w:right w:val="nil"/>
            </w:tcBorders>
            <w:vAlign w:val="center"/>
          </w:tcPr>
          <w:p w14:paraId="5579B154" w14:textId="77777777" w:rsidR="001429E1" w:rsidRPr="00372AB4" w:rsidRDefault="001429E1" w:rsidP="001D7B5C">
            <w:pPr>
              <w:spacing w:after="0" w:line="240" w:lineRule="auto"/>
              <w:jc w:val="center"/>
              <w:rPr>
                <w:lang w:val="en-US"/>
              </w:rPr>
            </w:pPr>
            <w:r>
              <w:rPr>
                <w:lang w:val="en-US"/>
              </w:rPr>
              <w:t>5.4</w:t>
            </w:r>
          </w:p>
        </w:tc>
        <w:tc>
          <w:tcPr>
            <w:tcW w:w="1984" w:type="dxa"/>
            <w:tcBorders>
              <w:top w:val="single" w:sz="4" w:space="0" w:color="BFBFBF" w:themeColor="background1" w:themeShade="BF"/>
              <w:left w:val="nil"/>
              <w:bottom w:val="single" w:sz="4" w:space="0" w:color="BFBFBF" w:themeColor="background1" w:themeShade="BF"/>
              <w:right w:val="nil"/>
            </w:tcBorders>
            <w:vAlign w:val="center"/>
          </w:tcPr>
          <w:p w14:paraId="3894C0A7" w14:textId="77777777" w:rsidR="001429E1" w:rsidRPr="00372AB4" w:rsidRDefault="001429E1" w:rsidP="001D7B5C">
            <w:pPr>
              <w:spacing w:after="0" w:line="240" w:lineRule="auto"/>
              <w:jc w:val="center"/>
              <w:rPr>
                <w:lang w:val="en-US"/>
              </w:rPr>
            </w:pPr>
            <w:r>
              <w:rPr>
                <w:lang w:val="en-US"/>
              </w:rPr>
              <w:t>95.8</w:t>
            </w:r>
          </w:p>
        </w:tc>
        <w:tc>
          <w:tcPr>
            <w:tcW w:w="2126" w:type="dxa"/>
            <w:tcBorders>
              <w:top w:val="single" w:sz="4" w:space="0" w:color="BFBFBF" w:themeColor="background1" w:themeShade="BF"/>
              <w:left w:val="nil"/>
              <w:bottom w:val="single" w:sz="4" w:space="0" w:color="BFBFBF" w:themeColor="background1" w:themeShade="BF"/>
              <w:right w:val="nil"/>
            </w:tcBorders>
            <w:vAlign w:val="center"/>
          </w:tcPr>
          <w:p w14:paraId="3DAF980A" w14:textId="77777777" w:rsidR="001429E1" w:rsidRDefault="001429E1" w:rsidP="001D7B5C">
            <w:pPr>
              <w:spacing w:after="0" w:line="240" w:lineRule="auto"/>
              <w:jc w:val="center"/>
              <w:rPr>
                <w:lang w:val="en-US"/>
              </w:rPr>
            </w:pPr>
            <w:r>
              <w:rPr>
                <w:lang w:val="en-US"/>
              </w:rPr>
              <w:t>24.0</w:t>
            </w:r>
          </w:p>
        </w:tc>
        <w:tc>
          <w:tcPr>
            <w:tcW w:w="2127" w:type="dxa"/>
            <w:tcBorders>
              <w:top w:val="single" w:sz="4" w:space="0" w:color="BFBFBF" w:themeColor="background1" w:themeShade="BF"/>
              <w:left w:val="nil"/>
              <w:bottom w:val="single" w:sz="4" w:space="0" w:color="BFBFBF" w:themeColor="background1" w:themeShade="BF"/>
              <w:right w:val="nil"/>
            </w:tcBorders>
            <w:vAlign w:val="center"/>
          </w:tcPr>
          <w:p w14:paraId="14689B84" w14:textId="77777777" w:rsidR="001429E1" w:rsidRDefault="001429E1" w:rsidP="001D7B5C">
            <w:pPr>
              <w:spacing w:after="0" w:line="240" w:lineRule="auto"/>
              <w:jc w:val="center"/>
              <w:rPr>
                <w:lang w:val="en-US"/>
              </w:rPr>
            </w:pPr>
            <w:r>
              <w:rPr>
                <w:lang w:val="en-US"/>
              </w:rPr>
              <w:t>86.5</w:t>
            </w:r>
          </w:p>
        </w:tc>
      </w:tr>
      <w:tr w:rsidR="001429E1" w:rsidRPr="00372AB4" w14:paraId="331CF707" w14:textId="77777777" w:rsidTr="001D7B5C">
        <w:trPr>
          <w:trHeight w:val="550"/>
        </w:trPr>
        <w:tc>
          <w:tcPr>
            <w:tcW w:w="2901" w:type="dxa"/>
            <w:tcBorders>
              <w:top w:val="single" w:sz="4" w:space="0" w:color="BFBFBF" w:themeColor="background1" w:themeShade="BF"/>
              <w:left w:val="nil"/>
              <w:bottom w:val="single" w:sz="4" w:space="0" w:color="BFBFBF" w:themeColor="background1" w:themeShade="BF"/>
              <w:right w:val="nil"/>
            </w:tcBorders>
            <w:vAlign w:val="center"/>
            <w:hideMark/>
          </w:tcPr>
          <w:p w14:paraId="2E77873A" w14:textId="77777777" w:rsidR="001429E1" w:rsidRPr="00372AB4" w:rsidRDefault="001429E1" w:rsidP="001D7B5C">
            <w:pPr>
              <w:spacing w:after="0" w:line="240" w:lineRule="auto"/>
              <w:rPr>
                <w:lang w:val="en-US"/>
              </w:rPr>
            </w:pPr>
            <w:r w:rsidRPr="00372AB4">
              <w:rPr>
                <w:lang w:val="en-US"/>
              </w:rPr>
              <w:t>PE+SGA</w:t>
            </w:r>
          </w:p>
        </w:tc>
        <w:tc>
          <w:tcPr>
            <w:tcW w:w="2169" w:type="dxa"/>
            <w:tcBorders>
              <w:top w:val="single" w:sz="4" w:space="0" w:color="BFBFBF" w:themeColor="background1" w:themeShade="BF"/>
              <w:left w:val="nil"/>
              <w:bottom w:val="single" w:sz="4" w:space="0" w:color="BFBFBF" w:themeColor="background1" w:themeShade="BF"/>
              <w:right w:val="nil"/>
            </w:tcBorders>
            <w:vAlign w:val="center"/>
          </w:tcPr>
          <w:p w14:paraId="3A8B9623" w14:textId="77777777" w:rsidR="001429E1" w:rsidRPr="00372AB4" w:rsidRDefault="001429E1" w:rsidP="001D7B5C">
            <w:pPr>
              <w:spacing w:after="0" w:line="240" w:lineRule="auto"/>
              <w:jc w:val="center"/>
              <w:rPr>
                <w:lang w:val="en-US"/>
              </w:rPr>
            </w:pPr>
            <w:r>
              <w:rPr>
                <w:lang w:val="en-US"/>
              </w:rPr>
              <w:t>15.6</w:t>
            </w:r>
          </w:p>
        </w:tc>
        <w:tc>
          <w:tcPr>
            <w:tcW w:w="1984" w:type="dxa"/>
            <w:tcBorders>
              <w:top w:val="single" w:sz="4" w:space="0" w:color="BFBFBF" w:themeColor="background1" w:themeShade="BF"/>
              <w:left w:val="nil"/>
              <w:bottom w:val="single" w:sz="4" w:space="0" w:color="BFBFBF" w:themeColor="background1" w:themeShade="BF"/>
              <w:right w:val="nil"/>
            </w:tcBorders>
            <w:vAlign w:val="center"/>
          </w:tcPr>
          <w:p w14:paraId="180B7CEE" w14:textId="77777777" w:rsidR="001429E1" w:rsidRPr="00372AB4" w:rsidRDefault="001429E1" w:rsidP="001D7B5C">
            <w:pPr>
              <w:spacing w:after="0" w:line="240" w:lineRule="auto"/>
              <w:jc w:val="center"/>
              <w:rPr>
                <w:lang w:val="en-US"/>
              </w:rPr>
            </w:pPr>
            <w:r>
              <w:rPr>
                <w:lang w:val="en-US"/>
              </w:rPr>
              <w:t>95.9</w:t>
            </w:r>
          </w:p>
        </w:tc>
        <w:tc>
          <w:tcPr>
            <w:tcW w:w="2126" w:type="dxa"/>
            <w:tcBorders>
              <w:top w:val="single" w:sz="4" w:space="0" w:color="BFBFBF" w:themeColor="background1" w:themeShade="BF"/>
              <w:left w:val="nil"/>
              <w:bottom w:val="single" w:sz="4" w:space="0" w:color="BFBFBF" w:themeColor="background1" w:themeShade="BF"/>
              <w:right w:val="nil"/>
            </w:tcBorders>
            <w:vAlign w:val="center"/>
          </w:tcPr>
          <w:p w14:paraId="0BC4837E" w14:textId="77777777" w:rsidR="001429E1" w:rsidRDefault="001429E1" w:rsidP="001D7B5C">
            <w:pPr>
              <w:spacing w:after="0" w:line="240" w:lineRule="auto"/>
              <w:jc w:val="center"/>
              <w:rPr>
                <w:lang w:val="en-US"/>
              </w:rPr>
            </w:pPr>
            <w:r>
              <w:rPr>
                <w:lang w:val="en-US"/>
              </w:rPr>
              <w:t>43.8</w:t>
            </w:r>
          </w:p>
        </w:tc>
        <w:tc>
          <w:tcPr>
            <w:tcW w:w="2127" w:type="dxa"/>
            <w:tcBorders>
              <w:top w:val="single" w:sz="4" w:space="0" w:color="BFBFBF" w:themeColor="background1" w:themeShade="BF"/>
              <w:left w:val="nil"/>
              <w:bottom w:val="single" w:sz="4" w:space="0" w:color="BFBFBF" w:themeColor="background1" w:themeShade="BF"/>
              <w:right w:val="nil"/>
            </w:tcBorders>
            <w:vAlign w:val="center"/>
          </w:tcPr>
          <w:p w14:paraId="0CF521C3" w14:textId="77777777" w:rsidR="001429E1" w:rsidRDefault="001429E1" w:rsidP="001D7B5C">
            <w:pPr>
              <w:spacing w:after="0" w:line="240" w:lineRule="auto"/>
              <w:jc w:val="center"/>
              <w:rPr>
                <w:lang w:val="en-US"/>
              </w:rPr>
            </w:pPr>
            <w:r>
              <w:rPr>
                <w:lang w:val="en-US"/>
              </w:rPr>
              <w:t>86.4</w:t>
            </w:r>
          </w:p>
        </w:tc>
      </w:tr>
      <w:tr w:rsidR="001429E1" w:rsidRPr="00372AB4" w14:paraId="6621FD6B" w14:textId="77777777" w:rsidTr="001D7B5C">
        <w:trPr>
          <w:trHeight w:val="550"/>
        </w:trPr>
        <w:tc>
          <w:tcPr>
            <w:tcW w:w="2901" w:type="dxa"/>
            <w:tcBorders>
              <w:top w:val="single" w:sz="4" w:space="0" w:color="BFBFBF" w:themeColor="background1" w:themeShade="BF"/>
              <w:left w:val="nil"/>
              <w:bottom w:val="single" w:sz="4" w:space="0" w:color="BFBFBF" w:themeColor="background1" w:themeShade="BF"/>
              <w:right w:val="nil"/>
            </w:tcBorders>
            <w:vAlign w:val="center"/>
            <w:hideMark/>
          </w:tcPr>
          <w:p w14:paraId="793DA26E" w14:textId="77777777" w:rsidR="001429E1" w:rsidRPr="00372AB4" w:rsidRDefault="001429E1" w:rsidP="001D7B5C">
            <w:pPr>
              <w:spacing w:after="0" w:line="240" w:lineRule="auto"/>
              <w:rPr>
                <w:lang w:val="en-US"/>
              </w:rPr>
            </w:pPr>
            <w:r w:rsidRPr="00372AB4">
              <w:rPr>
                <w:lang w:val="en-US"/>
              </w:rPr>
              <w:t>sPTB</w:t>
            </w:r>
          </w:p>
        </w:tc>
        <w:tc>
          <w:tcPr>
            <w:tcW w:w="2169" w:type="dxa"/>
            <w:tcBorders>
              <w:top w:val="single" w:sz="4" w:space="0" w:color="BFBFBF" w:themeColor="background1" w:themeShade="BF"/>
              <w:left w:val="nil"/>
              <w:bottom w:val="single" w:sz="4" w:space="0" w:color="BFBFBF" w:themeColor="background1" w:themeShade="BF"/>
              <w:right w:val="nil"/>
            </w:tcBorders>
            <w:vAlign w:val="center"/>
          </w:tcPr>
          <w:p w14:paraId="4C8D3C76" w14:textId="77777777" w:rsidR="001429E1" w:rsidRPr="00372AB4" w:rsidRDefault="001429E1" w:rsidP="001D7B5C">
            <w:pPr>
              <w:spacing w:after="0" w:line="240" w:lineRule="auto"/>
              <w:jc w:val="center"/>
              <w:rPr>
                <w:lang w:val="en-US"/>
              </w:rPr>
            </w:pPr>
            <w:r>
              <w:rPr>
                <w:lang w:val="en-US"/>
              </w:rPr>
              <w:t>5.4</w:t>
            </w:r>
          </w:p>
        </w:tc>
        <w:tc>
          <w:tcPr>
            <w:tcW w:w="1984" w:type="dxa"/>
            <w:tcBorders>
              <w:top w:val="single" w:sz="4" w:space="0" w:color="BFBFBF" w:themeColor="background1" w:themeShade="BF"/>
              <w:left w:val="nil"/>
              <w:bottom w:val="single" w:sz="4" w:space="0" w:color="BFBFBF" w:themeColor="background1" w:themeShade="BF"/>
              <w:right w:val="nil"/>
            </w:tcBorders>
            <w:vAlign w:val="center"/>
          </w:tcPr>
          <w:p w14:paraId="61556749" w14:textId="77777777" w:rsidR="001429E1" w:rsidRPr="00372AB4" w:rsidRDefault="001429E1" w:rsidP="001D7B5C">
            <w:pPr>
              <w:spacing w:after="0" w:line="240" w:lineRule="auto"/>
              <w:jc w:val="center"/>
              <w:rPr>
                <w:lang w:val="en-US"/>
              </w:rPr>
            </w:pPr>
            <w:r>
              <w:rPr>
                <w:lang w:val="en-US"/>
              </w:rPr>
              <w:t>95.8</w:t>
            </w:r>
          </w:p>
        </w:tc>
        <w:tc>
          <w:tcPr>
            <w:tcW w:w="2126" w:type="dxa"/>
            <w:tcBorders>
              <w:top w:val="single" w:sz="4" w:space="0" w:color="BFBFBF" w:themeColor="background1" w:themeShade="BF"/>
              <w:left w:val="nil"/>
              <w:bottom w:val="single" w:sz="4" w:space="0" w:color="BFBFBF" w:themeColor="background1" w:themeShade="BF"/>
              <w:right w:val="nil"/>
            </w:tcBorders>
            <w:vAlign w:val="center"/>
          </w:tcPr>
          <w:p w14:paraId="2468555B" w14:textId="77777777" w:rsidR="001429E1" w:rsidRDefault="001429E1" w:rsidP="001D7B5C">
            <w:pPr>
              <w:spacing w:after="0" w:line="240" w:lineRule="auto"/>
              <w:jc w:val="center"/>
              <w:rPr>
                <w:lang w:val="en-US"/>
              </w:rPr>
            </w:pPr>
            <w:r>
              <w:rPr>
                <w:lang w:val="en-US"/>
              </w:rPr>
              <w:t>27.0</w:t>
            </w:r>
          </w:p>
        </w:tc>
        <w:tc>
          <w:tcPr>
            <w:tcW w:w="2127" w:type="dxa"/>
            <w:tcBorders>
              <w:top w:val="single" w:sz="4" w:space="0" w:color="BFBFBF" w:themeColor="background1" w:themeShade="BF"/>
              <w:left w:val="nil"/>
              <w:bottom w:val="single" w:sz="4" w:space="0" w:color="BFBFBF" w:themeColor="background1" w:themeShade="BF"/>
              <w:right w:val="nil"/>
            </w:tcBorders>
            <w:vAlign w:val="center"/>
          </w:tcPr>
          <w:p w14:paraId="519F44DF" w14:textId="77777777" w:rsidR="001429E1" w:rsidRDefault="001429E1" w:rsidP="001D7B5C">
            <w:pPr>
              <w:spacing w:after="0" w:line="240" w:lineRule="auto"/>
              <w:jc w:val="center"/>
              <w:rPr>
                <w:lang w:val="en-US"/>
              </w:rPr>
            </w:pPr>
            <w:r>
              <w:rPr>
                <w:lang w:val="en-US"/>
              </w:rPr>
              <w:t>86.9</w:t>
            </w:r>
          </w:p>
        </w:tc>
      </w:tr>
      <w:tr w:rsidR="001429E1" w:rsidRPr="00372AB4" w14:paraId="14893EF6" w14:textId="77777777" w:rsidTr="001D7B5C">
        <w:trPr>
          <w:trHeight w:val="550"/>
        </w:trPr>
        <w:tc>
          <w:tcPr>
            <w:tcW w:w="2901" w:type="dxa"/>
            <w:tcBorders>
              <w:top w:val="single" w:sz="4" w:space="0" w:color="BFBFBF" w:themeColor="background1" w:themeShade="BF"/>
              <w:left w:val="nil"/>
              <w:bottom w:val="single" w:sz="4" w:space="0" w:color="BFBFBF" w:themeColor="background1" w:themeShade="BF"/>
              <w:right w:val="nil"/>
            </w:tcBorders>
            <w:vAlign w:val="center"/>
            <w:hideMark/>
          </w:tcPr>
          <w:p w14:paraId="4103ECFB" w14:textId="77777777" w:rsidR="001429E1" w:rsidRPr="00372AB4" w:rsidRDefault="001429E1" w:rsidP="001D7B5C">
            <w:pPr>
              <w:spacing w:after="0" w:line="240" w:lineRule="auto"/>
              <w:rPr>
                <w:lang w:val="en-US"/>
              </w:rPr>
            </w:pPr>
            <w:r w:rsidRPr="00372AB4">
              <w:rPr>
                <w:lang w:val="en-US"/>
              </w:rPr>
              <w:t>iPTB</w:t>
            </w:r>
          </w:p>
        </w:tc>
        <w:tc>
          <w:tcPr>
            <w:tcW w:w="2169" w:type="dxa"/>
            <w:tcBorders>
              <w:top w:val="single" w:sz="4" w:space="0" w:color="BFBFBF" w:themeColor="background1" w:themeShade="BF"/>
              <w:left w:val="nil"/>
              <w:bottom w:val="single" w:sz="4" w:space="0" w:color="BFBFBF" w:themeColor="background1" w:themeShade="BF"/>
              <w:right w:val="nil"/>
            </w:tcBorders>
            <w:vAlign w:val="center"/>
          </w:tcPr>
          <w:p w14:paraId="4EA71D5E" w14:textId="77777777" w:rsidR="001429E1" w:rsidRPr="00372AB4" w:rsidRDefault="001429E1" w:rsidP="001D7B5C">
            <w:pPr>
              <w:spacing w:after="0" w:line="240" w:lineRule="auto"/>
              <w:jc w:val="center"/>
              <w:rPr>
                <w:lang w:val="en-US"/>
              </w:rPr>
            </w:pPr>
            <w:r>
              <w:rPr>
                <w:lang w:val="en-US"/>
              </w:rPr>
              <w:t>5.6</w:t>
            </w:r>
          </w:p>
        </w:tc>
        <w:tc>
          <w:tcPr>
            <w:tcW w:w="1984" w:type="dxa"/>
            <w:tcBorders>
              <w:top w:val="single" w:sz="4" w:space="0" w:color="BFBFBF" w:themeColor="background1" w:themeShade="BF"/>
              <w:left w:val="nil"/>
              <w:bottom w:val="single" w:sz="4" w:space="0" w:color="BFBFBF" w:themeColor="background1" w:themeShade="BF"/>
              <w:right w:val="nil"/>
            </w:tcBorders>
            <w:vAlign w:val="center"/>
          </w:tcPr>
          <w:p w14:paraId="7C1E8439" w14:textId="77777777" w:rsidR="001429E1" w:rsidRPr="00372AB4" w:rsidRDefault="001429E1" w:rsidP="001D7B5C">
            <w:pPr>
              <w:spacing w:after="0" w:line="240" w:lineRule="auto"/>
              <w:jc w:val="center"/>
              <w:rPr>
                <w:lang w:val="en-US"/>
              </w:rPr>
            </w:pPr>
            <w:r>
              <w:rPr>
                <w:lang w:val="en-US"/>
              </w:rPr>
              <w:t>95.8</w:t>
            </w:r>
          </w:p>
        </w:tc>
        <w:tc>
          <w:tcPr>
            <w:tcW w:w="2126" w:type="dxa"/>
            <w:tcBorders>
              <w:top w:val="single" w:sz="4" w:space="0" w:color="BFBFBF" w:themeColor="background1" w:themeShade="BF"/>
              <w:left w:val="nil"/>
              <w:bottom w:val="single" w:sz="4" w:space="0" w:color="BFBFBF" w:themeColor="background1" w:themeShade="BF"/>
              <w:right w:val="nil"/>
            </w:tcBorders>
            <w:vAlign w:val="center"/>
          </w:tcPr>
          <w:p w14:paraId="39C3802F" w14:textId="77777777" w:rsidR="001429E1" w:rsidRDefault="001429E1" w:rsidP="001D7B5C">
            <w:pPr>
              <w:spacing w:after="0" w:line="240" w:lineRule="auto"/>
              <w:jc w:val="center"/>
              <w:rPr>
                <w:lang w:val="en-US"/>
              </w:rPr>
            </w:pPr>
            <w:r>
              <w:rPr>
                <w:lang w:val="en-US"/>
              </w:rPr>
              <w:t>29.6</w:t>
            </w:r>
          </w:p>
        </w:tc>
        <w:tc>
          <w:tcPr>
            <w:tcW w:w="2127" w:type="dxa"/>
            <w:tcBorders>
              <w:top w:val="single" w:sz="4" w:space="0" w:color="BFBFBF" w:themeColor="background1" w:themeShade="BF"/>
              <w:left w:val="nil"/>
              <w:bottom w:val="single" w:sz="4" w:space="0" w:color="BFBFBF" w:themeColor="background1" w:themeShade="BF"/>
              <w:right w:val="nil"/>
            </w:tcBorders>
            <w:vAlign w:val="center"/>
          </w:tcPr>
          <w:p w14:paraId="1C19601F" w14:textId="77777777" w:rsidR="001429E1" w:rsidRDefault="001429E1" w:rsidP="001D7B5C">
            <w:pPr>
              <w:spacing w:after="0" w:line="240" w:lineRule="auto"/>
              <w:jc w:val="center"/>
              <w:rPr>
                <w:lang w:val="en-US"/>
              </w:rPr>
            </w:pPr>
            <w:r>
              <w:rPr>
                <w:lang w:val="en-US"/>
              </w:rPr>
              <w:t>86.9</w:t>
            </w:r>
          </w:p>
        </w:tc>
      </w:tr>
      <w:tr w:rsidR="001429E1" w:rsidRPr="00372AB4" w14:paraId="293E6F99" w14:textId="77777777" w:rsidTr="001D7B5C">
        <w:trPr>
          <w:trHeight w:val="550"/>
        </w:trPr>
        <w:tc>
          <w:tcPr>
            <w:tcW w:w="2901" w:type="dxa"/>
            <w:tcBorders>
              <w:top w:val="single" w:sz="4" w:space="0" w:color="BFBFBF" w:themeColor="background1" w:themeShade="BF"/>
              <w:left w:val="nil"/>
              <w:bottom w:val="single" w:sz="12" w:space="0" w:color="auto"/>
              <w:right w:val="nil"/>
            </w:tcBorders>
            <w:vAlign w:val="center"/>
            <w:hideMark/>
          </w:tcPr>
          <w:p w14:paraId="70411198" w14:textId="77777777" w:rsidR="001429E1" w:rsidRPr="00372AB4" w:rsidRDefault="001429E1" w:rsidP="001D7B5C">
            <w:pPr>
              <w:spacing w:after="0" w:line="240" w:lineRule="auto"/>
              <w:rPr>
                <w:lang w:val="en-US"/>
              </w:rPr>
            </w:pPr>
            <w:r w:rsidRPr="00372AB4">
              <w:rPr>
                <w:lang w:val="en-US"/>
              </w:rPr>
              <w:t>Stillbirth</w:t>
            </w:r>
          </w:p>
        </w:tc>
        <w:tc>
          <w:tcPr>
            <w:tcW w:w="2169" w:type="dxa"/>
            <w:tcBorders>
              <w:top w:val="single" w:sz="4" w:space="0" w:color="BFBFBF" w:themeColor="background1" w:themeShade="BF"/>
              <w:left w:val="nil"/>
              <w:bottom w:val="single" w:sz="12" w:space="0" w:color="auto"/>
              <w:right w:val="nil"/>
            </w:tcBorders>
            <w:vAlign w:val="center"/>
          </w:tcPr>
          <w:p w14:paraId="0B4CF732" w14:textId="77777777" w:rsidR="001429E1" w:rsidRPr="00372AB4" w:rsidRDefault="001429E1" w:rsidP="001D7B5C">
            <w:pPr>
              <w:spacing w:after="0" w:line="240" w:lineRule="auto"/>
              <w:jc w:val="center"/>
              <w:rPr>
                <w:lang w:val="en-US"/>
              </w:rPr>
            </w:pPr>
            <w:r>
              <w:rPr>
                <w:lang w:val="en-US"/>
              </w:rPr>
              <w:t>0.0</w:t>
            </w:r>
          </w:p>
        </w:tc>
        <w:tc>
          <w:tcPr>
            <w:tcW w:w="1984" w:type="dxa"/>
            <w:tcBorders>
              <w:top w:val="single" w:sz="4" w:space="0" w:color="BFBFBF" w:themeColor="background1" w:themeShade="BF"/>
              <w:left w:val="nil"/>
              <w:bottom w:val="single" w:sz="12" w:space="0" w:color="auto"/>
              <w:right w:val="nil"/>
            </w:tcBorders>
            <w:vAlign w:val="center"/>
          </w:tcPr>
          <w:p w14:paraId="22B40020" w14:textId="77777777" w:rsidR="001429E1" w:rsidRPr="00372AB4" w:rsidRDefault="001429E1" w:rsidP="001D7B5C">
            <w:pPr>
              <w:spacing w:after="0" w:line="240" w:lineRule="auto"/>
              <w:jc w:val="center"/>
              <w:rPr>
                <w:lang w:val="en-US"/>
              </w:rPr>
            </w:pPr>
            <w:r>
              <w:rPr>
                <w:lang w:val="en-US"/>
              </w:rPr>
              <w:t>95.8</w:t>
            </w:r>
          </w:p>
        </w:tc>
        <w:tc>
          <w:tcPr>
            <w:tcW w:w="2126" w:type="dxa"/>
            <w:tcBorders>
              <w:top w:val="single" w:sz="4" w:space="0" w:color="BFBFBF" w:themeColor="background1" w:themeShade="BF"/>
              <w:left w:val="nil"/>
              <w:bottom w:val="single" w:sz="12" w:space="0" w:color="auto"/>
              <w:right w:val="nil"/>
            </w:tcBorders>
            <w:vAlign w:val="center"/>
          </w:tcPr>
          <w:p w14:paraId="6E757F9F" w14:textId="77777777" w:rsidR="001429E1" w:rsidRDefault="001429E1" w:rsidP="001D7B5C">
            <w:pPr>
              <w:spacing w:after="0" w:line="240" w:lineRule="auto"/>
              <w:jc w:val="center"/>
              <w:rPr>
                <w:lang w:val="en-US"/>
              </w:rPr>
            </w:pPr>
            <w:r>
              <w:rPr>
                <w:lang w:val="en-US"/>
              </w:rPr>
              <w:t>36.4</w:t>
            </w:r>
          </w:p>
        </w:tc>
        <w:tc>
          <w:tcPr>
            <w:tcW w:w="2127" w:type="dxa"/>
            <w:tcBorders>
              <w:top w:val="single" w:sz="4" w:space="0" w:color="BFBFBF" w:themeColor="background1" w:themeShade="BF"/>
              <w:left w:val="nil"/>
              <w:bottom w:val="single" w:sz="12" w:space="0" w:color="auto"/>
              <w:right w:val="nil"/>
            </w:tcBorders>
            <w:vAlign w:val="center"/>
          </w:tcPr>
          <w:p w14:paraId="2CADF937" w14:textId="77777777" w:rsidR="001429E1" w:rsidRDefault="001429E1" w:rsidP="001D7B5C">
            <w:pPr>
              <w:spacing w:after="0" w:line="240" w:lineRule="auto"/>
              <w:jc w:val="center"/>
              <w:rPr>
                <w:lang w:val="en-US"/>
              </w:rPr>
            </w:pPr>
            <w:r>
              <w:rPr>
                <w:lang w:val="en-US"/>
              </w:rPr>
              <w:t>86.3</w:t>
            </w:r>
          </w:p>
        </w:tc>
      </w:tr>
    </w:tbl>
    <w:p w14:paraId="5B4C1866" w14:textId="77777777" w:rsidR="001429E1" w:rsidRDefault="001429E1" w:rsidP="001429E1">
      <w:pPr>
        <w:spacing w:after="200" w:line="276" w:lineRule="auto"/>
        <w:rPr>
          <w:sz w:val="20"/>
          <w:szCs w:val="20"/>
          <w:lang w:val="en-US"/>
        </w:rPr>
      </w:pPr>
      <w:r>
        <w:rPr>
          <w:sz w:val="20"/>
          <w:szCs w:val="20"/>
          <w:lang w:val="en-US"/>
        </w:rPr>
        <w:t xml:space="preserve">EFW was measured in the last research scan (at 36wkGA, or at 28wkGA if the 36wkGA measurement was not performed or the delivery took place before the measurement was due). ACGV was based on the difference in the AC measurement z scores between the last research scan and the 20wkGA scan. ACGV, abdominal circumference growth velocity; </w:t>
      </w:r>
      <w:r w:rsidRPr="000465DD">
        <w:rPr>
          <w:sz w:val="20"/>
          <w:szCs w:val="20"/>
          <w:lang w:val="en-US"/>
        </w:rPr>
        <w:t>AFP, alpha fetoprotein;</w:t>
      </w:r>
      <w:r>
        <w:rPr>
          <w:sz w:val="20"/>
          <w:szCs w:val="20"/>
          <w:lang w:val="en-US"/>
        </w:rPr>
        <w:t xml:space="preserve"> EFW, estimated fetal weight;</w:t>
      </w:r>
      <w:r w:rsidRPr="000465DD">
        <w:rPr>
          <w:sz w:val="20"/>
          <w:szCs w:val="20"/>
          <w:lang w:val="en-US"/>
        </w:rPr>
        <w:t xml:space="preserve"> FGR, fetal growth restriction; iPTB, iatrogenic preterm birth; PAPP-A, pregnancy-associated plasma protein A;</w:t>
      </w:r>
      <w:r>
        <w:rPr>
          <w:sz w:val="20"/>
          <w:szCs w:val="20"/>
          <w:lang w:val="en-US"/>
        </w:rPr>
        <w:t xml:space="preserve"> PE, preeclampsia;</w:t>
      </w:r>
      <w:r w:rsidRPr="000465DD">
        <w:rPr>
          <w:sz w:val="20"/>
          <w:szCs w:val="20"/>
          <w:lang w:val="en-US"/>
        </w:rPr>
        <w:t xml:space="preserve"> PTB, preterm birth; SGA, small for gestational age; sPTB, spontaneous preterm birth</w:t>
      </w:r>
      <w:r>
        <w:rPr>
          <w:sz w:val="20"/>
          <w:szCs w:val="20"/>
          <w:lang w:val="en-US"/>
        </w:rPr>
        <w:t>; wkGA, weeks of gestational age.</w:t>
      </w:r>
    </w:p>
    <w:p w14:paraId="66CAED58" w14:textId="6AAE6F57" w:rsidR="001429E1" w:rsidRPr="001429E1" w:rsidRDefault="001429E1" w:rsidP="001429E1">
      <w:pPr>
        <w:spacing w:after="200" w:line="276" w:lineRule="auto"/>
        <w:rPr>
          <w:sz w:val="20"/>
          <w:szCs w:val="20"/>
          <w:lang w:val="en-US"/>
        </w:rPr>
      </w:pPr>
      <w:r w:rsidRPr="00E374B1">
        <w:rPr>
          <w:sz w:val="20"/>
          <w:szCs w:val="20"/>
          <w:lang w:val="en-US"/>
        </w:rPr>
        <w:t xml:space="preserve">Cases of pre-viable loss </w:t>
      </w:r>
      <w:r>
        <w:rPr>
          <w:sz w:val="20"/>
          <w:szCs w:val="20"/>
          <w:lang w:val="en-US"/>
        </w:rPr>
        <w:t xml:space="preserve">(n=13) </w:t>
      </w:r>
      <w:r w:rsidRPr="00E374B1">
        <w:rPr>
          <w:sz w:val="20"/>
          <w:szCs w:val="20"/>
          <w:lang w:val="en-US"/>
        </w:rPr>
        <w:t>were excluded</w:t>
      </w:r>
      <w:r>
        <w:rPr>
          <w:sz w:val="20"/>
          <w:szCs w:val="20"/>
          <w:lang w:val="en-US"/>
        </w:rPr>
        <w:t xml:space="preserve"> as EFW and reduced ACGV were calculated after viability.</w:t>
      </w:r>
    </w:p>
    <w:sectPr w:rsidR="001429E1" w:rsidRPr="001429E1" w:rsidSect="00CC730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917596" w14:textId="77777777" w:rsidR="001429E1" w:rsidRDefault="001429E1" w:rsidP="001429E1">
      <w:pPr>
        <w:spacing w:after="0" w:line="240" w:lineRule="auto"/>
      </w:pPr>
      <w:r>
        <w:separator/>
      </w:r>
    </w:p>
  </w:endnote>
  <w:endnote w:type="continuationSeparator" w:id="0">
    <w:p w14:paraId="581B1C1F" w14:textId="77777777" w:rsidR="001429E1" w:rsidRDefault="001429E1" w:rsidP="001429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4836483"/>
      <w:docPartObj>
        <w:docPartGallery w:val="Page Numbers (Bottom of Page)"/>
        <w:docPartUnique/>
      </w:docPartObj>
    </w:sdtPr>
    <w:sdtEndPr>
      <w:rPr>
        <w:noProof/>
      </w:rPr>
    </w:sdtEndPr>
    <w:sdtContent>
      <w:p w14:paraId="5ACE3C4C" w14:textId="77777777" w:rsidR="00EE23EA" w:rsidRDefault="00EE23EA">
        <w:pPr>
          <w:pStyle w:val="Footer"/>
          <w:jc w:val="right"/>
        </w:pPr>
        <w:r>
          <w:fldChar w:fldCharType="begin"/>
        </w:r>
        <w:r>
          <w:instrText xml:space="preserve"> PAGE   \* MERGEFORMAT </w:instrText>
        </w:r>
        <w:r>
          <w:fldChar w:fldCharType="separate"/>
        </w:r>
        <w:r w:rsidR="007A7E5F">
          <w:rPr>
            <w:noProof/>
          </w:rPr>
          <w:t>2</w:t>
        </w:r>
        <w:r>
          <w:rPr>
            <w:noProof/>
          </w:rPr>
          <w:fldChar w:fldCharType="end"/>
        </w:r>
      </w:p>
    </w:sdtContent>
  </w:sdt>
  <w:p w14:paraId="34EC0CBF" w14:textId="77777777" w:rsidR="00EE23EA" w:rsidRDefault="00EE23E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5014777"/>
      <w:docPartObj>
        <w:docPartGallery w:val="Page Numbers (Bottom of Page)"/>
        <w:docPartUnique/>
      </w:docPartObj>
    </w:sdtPr>
    <w:sdtEndPr>
      <w:rPr>
        <w:noProof/>
      </w:rPr>
    </w:sdtEndPr>
    <w:sdtContent>
      <w:p w14:paraId="33A4C4BA" w14:textId="77777777" w:rsidR="006E2F9E" w:rsidRDefault="001429E1">
        <w:pPr>
          <w:pStyle w:val="Footer"/>
          <w:jc w:val="right"/>
        </w:pPr>
        <w:r>
          <w:fldChar w:fldCharType="begin"/>
        </w:r>
        <w:r>
          <w:instrText xml:space="preserve"> PAGE   \* MERGEFORMAT </w:instrText>
        </w:r>
        <w:r>
          <w:fldChar w:fldCharType="separate"/>
        </w:r>
        <w:r w:rsidR="007A7E5F">
          <w:rPr>
            <w:noProof/>
          </w:rPr>
          <w:t>22</w:t>
        </w:r>
        <w:r>
          <w:rPr>
            <w:noProof/>
          </w:rPr>
          <w:fldChar w:fldCharType="end"/>
        </w:r>
      </w:p>
    </w:sdtContent>
  </w:sdt>
  <w:p w14:paraId="531BE6D1" w14:textId="77777777" w:rsidR="006E2F9E" w:rsidRDefault="007A7E5F">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0261653"/>
      <w:docPartObj>
        <w:docPartGallery w:val="Page Numbers (Bottom of Page)"/>
        <w:docPartUnique/>
      </w:docPartObj>
    </w:sdtPr>
    <w:sdtEndPr>
      <w:rPr>
        <w:noProof/>
      </w:rPr>
    </w:sdtEndPr>
    <w:sdtContent>
      <w:p w14:paraId="605DC72A" w14:textId="77777777" w:rsidR="00DF2F61" w:rsidRDefault="001429E1">
        <w:pPr>
          <w:pStyle w:val="Footer"/>
          <w:jc w:val="right"/>
        </w:pPr>
        <w:r>
          <w:fldChar w:fldCharType="begin"/>
        </w:r>
        <w:r>
          <w:instrText xml:space="preserve"> PAGE   \* MERGEFORMAT </w:instrText>
        </w:r>
        <w:r>
          <w:fldChar w:fldCharType="separate"/>
        </w:r>
        <w:r w:rsidR="007A7E5F">
          <w:rPr>
            <w:noProof/>
          </w:rPr>
          <w:t>30</w:t>
        </w:r>
        <w:r>
          <w:rPr>
            <w:noProof/>
          </w:rPr>
          <w:fldChar w:fldCharType="end"/>
        </w:r>
      </w:p>
    </w:sdtContent>
  </w:sdt>
  <w:p w14:paraId="08AE8CF3" w14:textId="77777777" w:rsidR="00DF2F61" w:rsidRDefault="007A7E5F">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3757586"/>
      <w:docPartObj>
        <w:docPartGallery w:val="Page Numbers (Bottom of Page)"/>
        <w:docPartUnique/>
      </w:docPartObj>
    </w:sdtPr>
    <w:sdtEndPr>
      <w:rPr>
        <w:noProof/>
      </w:rPr>
    </w:sdtEndPr>
    <w:sdtContent>
      <w:p w14:paraId="240A439C" w14:textId="77777777" w:rsidR="00A03401" w:rsidRDefault="001429E1">
        <w:pPr>
          <w:pStyle w:val="Footer"/>
          <w:jc w:val="right"/>
        </w:pPr>
        <w:r>
          <w:fldChar w:fldCharType="begin"/>
        </w:r>
        <w:r>
          <w:instrText xml:space="preserve"> PAGE   \* MERGEFORMAT </w:instrText>
        </w:r>
        <w:r>
          <w:fldChar w:fldCharType="separate"/>
        </w:r>
        <w:r w:rsidR="007A7E5F">
          <w:rPr>
            <w:noProof/>
          </w:rPr>
          <w:t>31</w:t>
        </w:r>
        <w:r>
          <w:rPr>
            <w:noProof/>
          </w:rPr>
          <w:fldChar w:fldCharType="end"/>
        </w:r>
      </w:p>
    </w:sdtContent>
  </w:sdt>
  <w:p w14:paraId="38D08539" w14:textId="77777777" w:rsidR="00A03401" w:rsidRDefault="007A7E5F">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36549565"/>
      <w:docPartObj>
        <w:docPartGallery w:val="Page Numbers (Bottom of Page)"/>
        <w:docPartUnique/>
      </w:docPartObj>
    </w:sdtPr>
    <w:sdtEndPr>
      <w:rPr>
        <w:noProof/>
      </w:rPr>
    </w:sdtEndPr>
    <w:sdtContent>
      <w:p w14:paraId="653DDC9F" w14:textId="77777777" w:rsidR="001429E1" w:rsidRDefault="001429E1">
        <w:pPr>
          <w:pStyle w:val="Footer"/>
          <w:jc w:val="right"/>
        </w:pPr>
        <w:r>
          <w:fldChar w:fldCharType="begin"/>
        </w:r>
        <w:r>
          <w:instrText xml:space="preserve"> PAGE   \* MERGEFORMAT </w:instrText>
        </w:r>
        <w:r>
          <w:fldChar w:fldCharType="separate"/>
        </w:r>
        <w:r w:rsidR="007A7E5F">
          <w:rPr>
            <w:noProof/>
          </w:rPr>
          <w:t>39</w:t>
        </w:r>
        <w:r>
          <w:rPr>
            <w:noProof/>
          </w:rPr>
          <w:fldChar w:fldCharType="end"/>
        </w:r>
      </w:p>
    </w:sdtContent>
  </w:sdt>
  <w:p w14:paraId="1145AA3D" w14:textId="77777777" w:rsidR="001429E1" w:rsidRDefault="001429E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463D2C" w14:textId="77777777" w:rsidR="001429E1" w:rsidRDefault="001429E1" w:rsidP="001429E1">
      <w:pPr>
        <w:spacing w:after="0" w:line="240" w:lineRule="auto"/>
      </w:pPr>
      <w:r>
        <w:separator/>
      </w:r>
    </w:p>
  </w:footnote>
  <w:footnote w:type="continuationSeparator" w:id="0">
    <w:p w14:paraId="20E7E6B8" w14:textId="77777777" w:rsidR="001429E1" w:rsidRDefault="001429E1" w:rsidP="001429E1">
      <w:pPr>
        <w:spacing w:after="0" w:line="240" w:lineRule="auto"/>
      </w:pPr>
      <w:r>
        <w:continuationSeparator/>
      </w:r>
    </w:p>
  </w:footnote>
  <w:footnote w:id="1">
    <w:p w14:paraId="2DCDA05E" w14:textId="77777777" w:rsidR="00EE23EA" w:rsidRDefault="00EE23EA" w:rsidP="00EE23EA">
      <w:pPr>
        <w:pStyle w:val="FootnoteText"/>
      </w:pPr>
      <w:r w:rsidRPr="00DC37EA">
        <w:rPr>
          <w:rStyle w:val="FootnoteReference"/>
        </w:rPr>
        <w:sym w:font="Symbol" w:char="F020"/>
      </w:r>
      <w:r>
        <w:t>Abbreviations: AFP, alpha fetoprotein; FGR, fetal growth restriction; IGF, insulin-like growth factor; IGFBP, insulin-like growth factor binding protein; MoM, multiples of the median; PAPP-A, pregnancy-associated plasma protein-A; PE, preeclampsia; PlGF, placental growth factor; POP, Pregnancy Outcome Prediction study; PTB, preterm birth; sFLT-1, soluble fms-like tyrosine kinase-1; SGA, small for gestational age; wkGA, weeks of gestation</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9E1"/>
    <w:rsid w:val="001429E1"/>
    <w:rsid w:val="002C62FF"/>
    <w:rsid w:val="007A7E5F"/>
    <w:rsid w:val="00CE4051"/>
    <w:rsid w:val="00EE23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50886"/>
  <w15:chartTrackingRefBased/>
  <w15:docId w15:val="{1B70DC89-EB07-40CE-9F42-FAB25995C7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29E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429E1"/>
    <w:rPr>
      <w:color w:val="0563C1" w:themeColor="hyperlink"/>
      <w:u w:val="single"/>
    </w:rPr>
  </w:style>
  <w:style w:type="paragraph" w:styleId="NoSpacing">
    <w:name w:val="No Spacing"/>
    <w:link w:val="NoSpacingChar"/>
    <w:uiPriority w:val="1"/>
    <w:qFormat/>
    <w:rsid w:val="001429E1"/>
    <w:pPr>
      <w:spacing w:after="0" w:line="240" w:lineRule="auto"/>
    </w:pPr>
  </w:style>
  <w:style w:type="character" w:customStyle="1" w:styleId="NoSpacingChar">
    <w:name w:val="No Spacing Char"/>
    <w:basedOn w:val="DefaultParagraphFont"/>
    <w:link w:val="NoSpacing"/>
    <w:uiPriority w:val="1"/>
    <w:rsid w:val="001429E1"/>
  </w:style>
  <w:style w:type="paragraph" w:styleId="FootnoteText">
    <w:name w:val="footnote text"/>
    <w:basedOn w:val="Normal"/>
    <w:link w:val="FootnoteTextChar"/>
    <w:uiPriority w:val="99"/>
    <w:semiHidden/>
    <w:unhideWhenUsed/>
    <w:rsid w:val="001429E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429E1"/>
    <w:rPr>
      <w:sz w:val="20"/>
      <w:szCs w:val="20"/>
    </w:rPr>
  </w:style>
  <w:style w:type="character" w:styleId="FootnoteReference">
    <w:name w:val="footnote reference"/>
    <w:basedOn w:val="DefaultParagraphFont"/>
    <w:uiPriority w:val="99"/>
    <w:semiHidden/>
    <w:unhideWhenUsed/>
    <w:rsid w:val="001429E1"/>
    <w:rPr>
      <w:vertAlign w:val="superscript"/>
    </w:rPr>
  </w:style>
  <w:style w:type="paragraph" w:styleId="Footer">
    <w:name w:val="footer"/>
    <w:basedOn w:val="Normal"/>
    <w:link w:val="FooterChar"/>
    <w:uiPriority w:val="99"/>
    <w:unhideWhenUsed/>
    <w:rsid w:val="001429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429E1"/>
  </w:style>
  <w:style w:type="character" w:styleId="LineNumber">
    <w:name w:val="line number"/>
    <w:basedOn w:val="DefaultParagraphFont"/>
    <w:uiPriority w:val="99"/>
    <w:semiHidden/>
    <w:unhideWhenUsed/>
    <w:rsid w:val="001429E1"/>
  </w:style>
  <w:style w:type="table" w:styleId="TableGrid">
    <w:name w:val="Table Grid"/>
    <w:basedOn w:val="TableNormal"/>
    <w:uiPriority w:val="59"/>
    <w:rsid w:val="001429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429E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9E1"/>
    <w:rPr>
      <w:rFonts w:ascii="Segoe UI" w:hAnsi="Segoe UI" w:cs="Segoe UI"/>
      <w:sz w:val="18"/>
      <w:szCs w:val="18"/>
    </w:rPr>
  </w:style>
  <w:style w:type="paragraph" w:styleId="Header">
    <w:name w:val="header"/>
    <w:basedOn w:val="Normal"/>
    <w:link w:val="HeaderChar"/>
    <w:uiPriority w:val="99"/>
    <w:unhideWhenUsed/>
    <w:rsid w:val="00CE4051"/>
    <w:pPr>
      <w:tabs>
        <w:tab w:val="center" w:pos="4513"/>
        <w:tab w:val="right" w:pos="9026"/>
      </w:tabs>
      <w:spacing w:after="0" w:line="240" w:lineRule="auto"/>
    </w:pPr>
  </w:style>
  <w:style w:type="character" w:customStyle="1" w:styleId="HeaderChar">
    <w:name w:val="Header Char"/>
    <w:basedOn w:val="DefaultParagraphFont"/>
    <w:link w:val="Header"/>
    <w:uiPriority w:val="99"/>
    <w:rsid w:val="00CE40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eh95@medschl.cam.ac.uk" TargetMode="External"/><Relationship Id="rId13" Type="http://schemas.openxmlformats.org/officeDocument/2006/relationships/footer" Target="footer1.xml"/><Relationship Id="rId18" Type="http://schemas.openxmlformats.org/officeDocument/2006/relationships/footer" Target="footer5.xml"/><Relationship Id="rId3" Type="http://schemas.openxmlformats.org/officeDocument/2006/relationships/settings" Target="settings.xml"/><Relationship Id="rId7" Type="http://schemas.openxmlformats.org/officeDocument/2006/relationships/hyperlink" Target="mailto:gcss2@cam.ac.uk" TargetMode="External"/><Relationship Id="rId12" Type="http://schemas.openxmlformats.org/officeDocument/2006/relationships/hyperlink" Target="mailto:dscj1@cam.ac.uk" TargetMode="External"/><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mailto:ec318@medschl.cam.ac.uk" TargetMode="External"/><Relationship Id="rId5" Type="http://schemas.openxmlformats.org/officeDocument/2006/relationships/footnotes" Target="footnotes.xml"/><Relationship Id="rId15" Type="http://schemas.openxmlformats.org/officeDocument/2006/relationships/image" Target="media/image1.tiff"/><Relationship Id="rId10" Type="http://schemas.openxmlformats.org/officeDocument/2006/relationships/hyperlink" Target="mailto:fg327@medschl.cam.ac.u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us253@medschl.cam.ac.uk"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E5C604-F28F-4815-8FB2-80E650547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32796</Words>
  <Characters>186941</Characters>
  <Application>Microsoft Office Word</Application>
  <DocSecurity>4</DocSecurity>
  <Lines>1557</Lines>
  <Paragraphs>438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219299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Hughes</dc:creator>
  <cp:keywords/>
  <dc:description/>
  <cp:lastModifiedBy>PA to HoD Obs &amp; Gynae</cp:lastModifiedBy>
  <cp:revision>2</cp:revision>
  <dcterms:created xsi:type="dcterms:W3CDTF">2019-04-29T08:04:00Z</dcterms:created>
  <dcterms:modified xsi:type="dcterms:W3CDTF">2019-04-29T08:04:00Z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https://csl.mendeley.com/styles/509482991/american-journal-of-epidemiology</vt:lpwstr>
  </property>
  <property fmtid="{D5CDD505-2E9C-101B-9397-08002B2CF9AE}" pid="3" name="Mendeley Recent Style Name 0_1">
    <vt:lpwstr>American Journal of Epidemiology - Alice Hughes</vt:lpwstr>
  </property>
  <property fmtid="{D5CDD505-2E9C-101B-9397-08002B2CF9AE}" pid="4" name="Mendeley Recent Style Id 1_1">
    <vt:lpwstr>http://www.zotero.org/styles/diabetes</vt:lpwstr>
  </property>
  <property fmtid="{D5CDD505-2E9C-101B-9397-08002B2CF9AE}" pid="5" name="Mendeley Recent Style Name 1_1">
    <vt:lpwstr>Diabetes</vt:lpwstr>
  </property>
  <property fmtid="{D5CDD505-2E9C-101B-9397-08002B2CF9AE}" pid="6" name="Mendeley Recent Style Id 2_1">
    <vt:lpwstr>http://www.zotero.org/styles/diabetes-care</vt:lpwstr>
  </property>
  <property fmtid="{D5CDD505-2E9C-101B-9397-08002B2CF9AE}" pid="7" name="Mendeley Recent Style Name 2_1">
    <vt:lpwstr>Diabetes Care</vt:lpwstr>
  </property>
  <property fmtid="{D5CDD505-2E9C-101B-9397-08002B2CF9AE}" pid="8" name="Mendeley Recent Style Id 3_1">
    <vt:lpwstr>http://www.zotero.org/styles/european-journal-of-obstetrics-and-gynecology</vt:lpwstr>
  </property>
  <property fmtid="{D5CDD505-2E9C-101B-9397-08002B2CF9AE}" pid="9" name="Mendeley Recent Style Name 3_1">
    <vt:lpwstr>European Journal of Obstetrics and Gynecology</vt:lpwstr>
  </property>
  <property fmtid="{D5CDD505-2E9C-101B-9397-08002B2CF9AE}" pid="10" name="Mendeley Recent Style Id 4_1">
    <vt:lpwstr>http://www.zotero.org/styles/nature</vt:lpwstr>
  </property>
  <property fmtid="{D5CDD505-2E9C-101B-9397-08002B2CF9AE}" pid="11" name="Mendeley Recent Style Name 4_1">
    <vt:lpwstr>Nature</vt:lpwstr>
  </property>
  <property fmtid="{D5CDD505-2E9C-101B-9397-08002B2CF9AE}" pid="12" name="Mendeley Recent Style Id 5_1">
    <vt:lpwstr>https://csl.mendeley.com/styles/509482991/nature-publishing-group-vancouver</vt:lpwstr>
  </property>
  <property fmtid="{D5CDD505-2E9C-101B-9397-08002B2CF9AE}" pid="13" name="Mendeley Recent Style Name 5_1">
    <vt:lpwstr>Nature Publishing Group - Vancouver - Alice Hughes</vt:lpwstr>
  </property>
  <property fmtid="{D5CDD505-2E9C-101B-9397-08002B2CF9AE}" pid="14" name="Mendeley Recent Style Id 6_1">
    <vt:lpwstr>http://www.zotero.org/styles/placenta</vt:lpwstr>
  </property>
  <property fmtid="{D5CDD505-2E9C-101B-9397-08002B2CF9AE}" pid="15" name="Mendeley Recent Style Name 6_1">
    <vt:lpwstr>Placenta</vt:lpwstr>
  </property>
  <property fmtid="{D5CDD505-2E9C-101B-9397-08002B2CF9AE}" pid="16" name="Mendeley Recent Style Id 7_1">
    <vt:lpwstr>http://www.zotero.org/styles/sage-vancouver-brackets</vt:lpwstr>
  </property>
  <property fmtid="{D5CDD505-2E9C-101B-9397-08002B2CF9AE}" pid="17" name="Mendeley Recent Style Name 7_1">
    <vt:lpwstr>SAGE - Vancouver (brackets)</vt:lpwstr>
  </property>
  <property fmtid="{D5CDD505-2E9C-101B-9397-08002B2CF9AE}" pid="18" name="Mendeley Recent Style Id 8_1">
    <vt:lpwstr>http://csl.mendeley.com/styles/509482991/sage-vancouver-brackets</vt:lpwstr>
  </property>
  <property fmtid="{D5CDD505-2E9C-101B-9397-08002B2CF9AE}" pid="19" name="Mendeley Recent Style Name 8_1">
    <vt:lpwstr>SAGE - Vancouver (brackets) - Alice Hughes</vt:lpwstr>
  </property>
  <property fmtid="{D5CDD505-2E9C-101B-9397-08002B2CF9AE}" pid="20" name="Mendeley Recent Style Id 9_1">
    <vt:lpwstr>http://www.zotero.org/styles/springer-vancouver-brackets</vt:lpwstr>
  </property>
  <property fmtid="{D5CDD505-2E9C-101B-9397-08002B2CF9AE}" pid="21" name="Mendeley Recent Style Name 9_1">
    <vt:lpwstr>Springer - Vancouver (brackets)</vt:lpwstr>
  </property>
</Properties>
</file>