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7633C" w:rsidRPr="000224E9" w:rsidRDefault="00A7633C" w:rsidP="00A7633C">
      <w:pPr>
        <w:tabs>
          <w:tab w:val="right" w:pos="9020"/>
        </w:tabs>
        <w:spacing w:line="480" w:lineRule="auto"/>
        <w:rPr>
          <w:rFonts w:ascii="Times New Roman" w:hAnsi="Times New Roman" w:cs="Times New Roman"/>
          <w:b/>
          <w:bCs/>
          <w:sz w:val="32"/>
          <w:szCs w:val="32"/>
        </w:rPr>
      </w:pPr>
      <w:r w:rsidRPr="000224E9">
        <w:rPr>
          <w:rFonts w:ascii="Times New Roman" w:hAnsi="Times New Roman" w:cs="Times New Roman"/>
          <w:b/>
          <w:bCs/>
          <w:sz w:val="32"/>
          <w:szCs w:val="32"/>
        </w:rPr>
        <w:t xml:space="preserve">Species specificity and intraspecific variation in the chemical profiles of </w:t>
      </w:r>
      <w:proofErr w:type="spellStart"/>
      <w:r w:rsidRPr="000224E9">
        <w:rPr>
          <w:rFonts w:ascii="Times New Roman" w:hAnsi="Times New Roman" w:cs="Times New Roman"/>
          <w:b/>
          <w:bCs/>
          <w:i/>
          <w:iCs/>
          <w:sz w:val="32"/>
          <w:szCs w:val="32"/>
        </w:rPr>
        <w:t>Heliconius</w:t>
      </w:r>
      <w:proofErr w:type="spellEnd"/>
      <w:r w:rsidRPr="000224E9">
        <w:rPr>
          <w:rFonts w:ascii="Times New Roman" w:hAnsi="Times New Roman" w:cs="Times New Roman"/>
          <w:b/>
          <w:bCs/>
          <w:i/>
          <w:iCs/>
          <w:sz w:val="32"/>
          <w:szCs w:val="32"/>
        </w:rPr>
        <w:t xml:space="preserve"> </w:t>
      </w:r>
      <w:r w:rsidRPr="000224E9">
        <w:rPr>
          <w:rFonts w:ascii="Times New Roman" w:hAnsi="Times New Roman" w:cs="Times New Roman"/>
          <w:b/>
          <w:bCs/>
          <w:sz w:val="32"/>
          <w:szCs w:val="32"/>
        </w:rPr>
        <w:t>butterflies across a large geographic range</w:t>
      </w:r>
    </w:p>
    <w:p w:rsidR="00A7633C" w:rsidRPr="000224E9" w:rsidRDefault="00A7633C" w:rsidP="00A7633C">
      <w:pPr>
        <w:tabs>
          <w:tab w:val="right" w:pos="9020"/>
        </w:tabs>
        <w:spacing w:line="480" w:lineRule="auto"/>
        <w:rPr>
          <w:rFonts w:ascii="Times New Roman" w:hAnsi="Times New Roman" w:cs="Times New Roman"/>
          <w:sz w:val="24"/>
          <w:szCs w:val="24"/>
        </w:rPr>
      </w:pPr>
      <w:r w:rsidRPr="000224E9">
        <w:rPr>
          <w:rFonts w:ascii="Times New Roman" w:hAnsi="Times New Roman" w:cs="Times New Roman"/>
          <w:sz w:val="24"/>
          <w:szCs w:val="24"/>
        </w:rPr>
        <w:t>Kathy Darragh</w:t>
      </w:r>
      <w:r w:rsidRPr="000224E9">
        <w:rPr>
          <w:rFonts w:ascii="Times New Roman" w:hAnsi="Times New Roman" w:cs="Times New Roman"/>
          <w:sz w:val="24"/>
          <w:szCs w:val="24"/>
          <w:vertAlign w:val="superscript"/>
        </w:rPr>
        <w:t>1,2</w:t>
      </w:r>
      <w:r w:rsidRPr="000224E9">
        <w:rPr>
          <w:rFonts w:ascii="Times New Roman" w:hAnsi="Times New Roman" w:cs="Times New Roman"/>
          <w:sz w:val="24"/>
          <w:szCs w:val="24"/>
        </w:rPr>
        <w:t>, Gabriela Montejo-Kovacevich</w:t>
      </w:r>
      <w:r w:rsidRPr="000224E9">
        <w:rPr>
          <w:rFonts w:ascii="Times New Roman" w:hAnsi="Times New Roman" w:cs="Times New Roman"/>
          <w:sz w:val="24"/>
          <w:szCs w:val="24"/>
          <w:vertAlign w:val="superscript"/>
        </w:rPr>
        <w:t>1</w:t>
      </w:r>
      <w:r w:rsidRPr="000224E9">
        <w:rPr>
          <w:rFonts w:ascii="Times New Roman" w:hAnsi="Times New Roman" w:cs="Times New Roman"/>
          <w:sz w:val="24"/>
          <w:szCs w:val="24"/>
        </w:rPr>
        <w:t>, Krzysztof M. Kozak</w:t>
      </w:r>
      <w:r w:rsidRPr="000224E9">
        <w:rPr>
          <w:rFonts w:ascii="Times New Roman" w:hAnsi="Times New Roman" w:cs="Times New Roman"/>
          <w:sz w:val="24"/>
          <w:szCs w:val="24"/>
          <w:vertAlign w:val="superscript"/>
        </w:rPr>
        <w:t>2</w:t>
      </w:r>
      <w:r w:rsidRPr="000224E9">
        <w:rPr>
          <w:rFonts w:ascii="Times New Roman" w:hAnsi="Times New Roman" w:cs="Times New Roman"/>
          <w:sz w:val="24"/>
          <w:szCs w:val="24"/>
        </w:rPr>
        <w:t>, Colin R. Morrison</w:t>
      </w:r>
      <w:r w:rsidRPr="000224E9">
        <w:rPr>
          <w:rFonts w:ascii="Times New Roman" w:hAnsi="Times New Roman" w:cs="Times New Roman"/>
          <w:sz w:val="24"/>
          <w:szCs w:val="24"/>
          <w:vertAlign w:val="superscript"/>
        </w:rPr>
        <w:t>2,3</w:t>
      </w:r>
      <w:r w:rsidRPr="000224E9">
        <w:rPr>
          <w:rFonts w:ascii="Times New Roman" w:hAnsi="Times New Roman" w:cs="Times New Roman"/>
          <w:sz w:val="24"/>
          <w:szCs w:val="24"/>
        </w:rPr>
        <w:t>, Clarisse M. E. Figueiredo</w:t>
      </w:r>
      <w:r w:rsidRPr="000224E9">
        <w:rPr>
          <w:rFonts w:ascii="Times New Roman" w:hAnsi="Times New Roman" w:cs="Times New Roman"/>
          <w:sz w:val="24"/>
          <w:szCs w:val="24"/>
          <w:vertAlign w:val="superscript"/>
        </w:rPr>
        <w:t>4</w:t>
      </w:r>
      <w:r w:rsidRPr="000224E9">
        <w:rPr>
          <w:rFonts w:ascii="Times New Roman" w:hAnsi="Times New Roman" w:cs="Times New Roman"/>
          <w:sz w:val="24"/>
          <w:szCs w:val="24"/>
        </w:rPr>
        <w:t>, Jonathan S. Ready</w:t>
      </w:r>
      <w:r w:rsidRPr="000224E9">
        <w:rPr>
          <w:rFonts w:ascii="Times New Roman" w:hAnsi="Times New Roman" w:cs="Times New Roman"/>
          <w:sz w:val="24"/>
          <w:szCs w:val="24"/>
          <w:vertAlign w:val="superscript"/>
        </w:rPr>
        <w:t>4</w:t>
      </w:r>
      <w:r w:rsidRPr="000224E9">
        <w:rPr>
          <w:rFonts w:ascii="Times New Roman" w:hAnsi="Times New Roman" w:cs="Times New Roman"/>
          <w:sz w:val="24"/>
          <w:szCs w:val="24"/>
        </w:rPr>
        <w:t>, Camilo Salazar</w:t>
      </w:r>
      <w:r w:rsidRPr="000224E9">
        <w:rPr>
          <w:rFonts w:ascii="Times New Roman" w:hAnsi="Times New Roman" w:cs="Times New Roman"/>
          <w:sz w:val="24"/>
          <w:szCs w:val="24"/>
          <w:vertAlign w:val="superscript"/>
        </w:rPr>
        <w:t>5</w:t>
      </w:r>
      <w:r w:rsidRPr="000224E9">
        <w:rPr>
          <w:rFonts w:ascii="Times New Roman" w:hAnsi="Times New Roman" w:cs="Times New Roman"/>
          <w:sz w:val="24"/>
          <w:szCs w:val="24"/>
        </w:rPr>
        <w:t>, Mauricio Linares</w:t>
      </w:r>
      <w:r w:rsidRPr="000224E9">
        <w:rPr>
          <w:rFonts w:ascii="Times New Roman" w:hAnsi="Times New Roman" w:cs="Times New Roman"/>
          <w:sz w:val="24"/>
          <w:szCs w:val="24"/>
          <w:vertAlign w:val="superscript"/>
        </w:rPr>
        <w:t>5</w:t>
      </w:r>
      <w:r w:rsidRPr="000224E9">
        <w:rPr>
          <w:rFonts w:ascii="Times New Roman" w:hAnsi="Times New Roman" w:cs="Times New Roman"/>
          <w:sz w:val="24"/>
          <w:szCs w:val="24"/>
        </w:rPr>
        <w:t>, Kelsey J. R. P. Byers</w:t>
      </w:r>
      <w:r w:rsidRPr="000224E9">
        <w:rPr>
          <w:rFonts w:ascii="Times New Roman" w:hAnsi="Times New Roman" w:cs="Times New Roman"/>
          <w:sz w:val="24"/>
          <w:szCs w:val="24"/>
          <w:vertAlign w:val="superscript"/>
        </w:rPr>
        <w:t>1,2</w:t>
      </w:r>
      <w:r w:rsidRPr="000224E9">
        <w:rPr>
          <w:rFonts w:ascii="Times New Roman" w:hAnsi="Times New Roman" w:cs="Times New Roman"/>
          <w:sz w:val="24"/>
          <w:szCs w:val="24"/>
        </w:rPr>
        <w:t>, Richard M. Merrill</w:t>
      </w:r>
      <w:r w:rsidRPr="000224E9">
        <w:rPr>
          <w:rFonts w:ascii="Times New Roman" w:hAnsi="Times New Roman" w:cs="Times New Roman"/>
          <w:sz w:val="24"/>
          <w:szCs w:val="24"/>
          <w:vertAlign w:val="superscript"/>
        </w:rPr>
        <w:t>2,6</w:t>
      </w:r>
      <w:r w:rsidRPr="000224E9">
        <w:rPr>
          <w:rFonts w:ascii="Times New Roman" w:hAnsi="Times New Roman" w:cs="Times New Roman"/>
          <w:sz w:val="24"/>
          <w:szCs w:val="24"/>
        </w:rPr>
        <w:t>, W. Owen McMillan</w:t>
      </w:r>
      <w:r w:rsidRPr="000224E9">
        <w:rPr>
          <w:rFonts w:ascii="Times New Roman" w:hAnsi="Times New Roman" w:cs="Times New Roman"/>
          <w:sz w:val="24"/>
          <w:szCs w:val="24"/>
          <w:vertAlign w:val="superscript"/>
        </w:rPr>
        <w:t>2</w:t>
      </w:r>
      <w:r w:rsidRPr="000224E9">
        <w:rPr>
          <w:rFonts w:ascii="Times New Roman" w:hAnsi="Times New Roman" w:cs="Times New Roman"/>
          <w:sz w:val="24"/>
          <w:szCs w:val="24"/>
        </w:rPr>
        <w:t>, Stefan Schulz</w:t>
      </w:r>
      <w:r w:rsidRPr="000224E9">
        <w:rPr>
          <w:rFonts w:ascii="Times New Roman" w:hAnsi="Times New Roman" w:cs="Times New Roman"/>
          <w:sz w:val="24"/>
          <w:szCs w:val="24"/>
          <w:vertAlign w:val="superscript"/>
        </w:rPr>
        <w:t>7</w:t>
      </w:r>
      <w:r w:rsidRPr="000224E9">
        <w:rPr>
          <w:rFonts w:ascii="Times New Roman" w:hAnsi="Times New Roman" w:cs="Times New Roman"/>
          <w:sz w:val="24"/>
          <w:szCs w:val="24"/>
        </w:rPr>
        <w:t>, Chris D. Jiggins</w:t>
      </w:r>
      <w:r w:rsidRPr="000224E9">
        <w:rPr>
          <w:rFonts w:ascii="Times New Roman" w:hAnsi="Times New Roman" w:cs="Times New Roman"/>
          <w:sz w:val="24"/>
          <w:szCs w:val="24"/>
          <w:vertAlign w:val="superscript"/>
        </w:rPr>
        <w:t>1,2</w:t>
      </w:r>
    </w:p>
    <w:p w:rsidR="00A7633C" w:rsidRPr="000224E9" w:rsidRDefault="00A7633C" w:rsidP="00A7633C">
      <w:pPr>
        <w:widowControl w:val="0"/>
        <w:tabs>
          <w:tab w:val="left" w:pos="0"/>
          <w:tab w:val="left" w:pos="720"/>
        </w:tabs>
        <w:autoSpaceDE w:val="0"/>
        <w:autoSpaceDN w:val="0"/>
        <w:adjustRightInd w:val="0"/>
        <w:spacing w:line="360" w:lineRule="auto"/>
        <w:rPr>
          <w:rFonts w:ascii="Times New Roman" w:hAnsi="Times New Roman" w:cs="Times New Roman"/>
          <w:i/>
          <w:iCs/>
          <w:color w:val="000000" w:themeColor="text1"/>
          <w:sz w:val="20"/>
          <w:szCs w:val="20"/>
        </w:rPr>
      </w:pPr>
      <w:r w:rsidRPr="000224E9">
        <w:rPr>
          <w:rFonts w:ascii="Times New Roman" w:hAnsi="Times New Roman" w:cs="Times New Roman"/>
          <w:i/>
          <w:iCs/>
          <w:color w:val="000000" w:themeColor="text1"/>
          <w:sz w:val="20"/>
          <w:szCs w:val="20"/>
          <w:vertAlign w:val="superscript"/>
        </w:rPr>
        <w:t>1</w:t>
      </w:r>
      <w:r w:rsidRPr="000224E9">
        <w:rPr>
          <w:rFonts w:ascii="Times New Roman" w:hAnsi="Times New Roman" w:cs="Times New Roman"/>
          <w:i/>
          <w:iCs/>
          <w:color w:val="000000" w:themeColor="text1"/>
          <w:sz w:val="20"/>
          <w:szCs w:val="20"/>
        </w:rPr>
        <w:t>Department of Zoology, University of Cambridge, Cambridge, Cambridgeshire, United Kingdom</w:t>
      </w:r>
    </w:p>
    <w:p w:rsidR="00A7633C" w:rsidRPr="000224E9" w:rsidRDefault="00A7633C" w:rsidP="00A7633C">
      <w:pPr>
        <w:widowControl w:val="0"/>
        <w:tabs>
          <w:tab w:val="left" w:pos="0"/>
          <w:tab w:val="left" w:pos="720"/>
        </w:tabs>
        <w:autoSpaceDE w:val="0"/>
        <w:autoSpaceDN w:val="0"/>
        <w:adjustRightInd w:val="0"/>
        <w:spacing w:line="360" w:lineRule="auto"/>
        <w:rPr>
          <w:rFonts w:ascii="Times New Roman" w:hAnsi="Times New Roman" w:cs="Times New Roman"/>
          <w:i/>
          <w:iCs/>
          <w:color w:val="000000" w:themeColor="text1"/>
          <w:sz w:val="20"/>
          <w:szCs w:val="20"/>
        </w:rPr>
      </w:pPr>
      <w:r w:rsidRPr="000224E9">
        <w:rPr>
          <w:rFonts w:ascii="Times New Roman" w:hAnsi="Times New Roman" w:cs="Times New Roman"/>
          <w:i/>
          <w:iCs/>
          <w:color w:val="000000" w:themeColor="text1"/>
          <w:sz w:val="20"/>
          <w:szCs w:val="20"/>
          <w:vertAlign w:val="superscript"/>
        </w:rPr>
        <w:t>2</w:t>
      </w:r>
      <w:r w:rsidRPr="000224E9">
        <w:rPr>
          <w:rFonts w:ascii="Times New Roman" w:hAnsi="Times New Roman" w:cs="Times New Roman"/>
          <w:i/>
          <w:iCs/>
          <w:color w:val="000000" w:themeColor="text1"/>
          <w:sz w:val="20"/>
          <w:szCs w:val="20"/>
        </w:rPr>
        <w:t>Smithsonian Tropical Research Institute, Panama City, Panama</w:t>
      </w:r>
    </w:p>
    <w:p w:rsidR="00A7633C" w:rsidRPr="000224E9" w:rsidRDefault="00A7633C" w:rsidP="00A7633C">
      <w:pPr>
        <w:widowControl w:val="0"/>
        <w:tabs>
          <w:tab w:val="left" w:pos="0"/>
          <w:tab w:val="left" w:pos="720"/>
        </w:tabs>
        <w:autoSpaceDE w:val="0"/>
        <w:autoSpaceDN w:val="0"/>
        <w:adjustRightInd w:val="0"/>
        <w:spacing w:line="360" w:lineRule="auto"/>
        <w:rPr>
          <w:rFonts w:ascii="Times New Roman" w:hAnsi="Times New Roman" w:cs="Times New Roman"/>
          <w:i/>
          <w:iCs/>
          <w:color w:val="000000" w:themeColor="text1"/>
          <w:sz w:val="20"/>
          <w:szCs w:val="20"/>
        </w:rPr>
      </w:pPr>
      <w:r w:rsidRPr="000224E9">
        <w:rPr>
          <w:rFonts w:ascii="Times New Roman" w:hAnsi="Times New Roman" w:cs="Times New Roman"/>
          <w:i/>
          <w:iCs/>
          <w:color w:val="000000" w:themeColor="text1"/>
          <w:sz w:val="20"/>
          <w:szCs w:val="20"/>
          <w:vertAlign w:val="superscript"/>
        </w:rPr>
        <w:t>3</w:t>
      </w:r>
      <w:r w:rsidRPr="000224E9">
        <w:rPr>
          <w:rFonts w:ascii="Times New Roman" w:hAnsi="Times New Roman" w:cs="Times New Roman"/>
          <w:i/>
          <w:iCs/>
          <w:color w:val="000000" w:themeColor="text1"/>
          <w:sz w:val="20"/>
          <w:szCs w:val="20"/>
        </w:rPr>
        <w:t>Department of Integrative Biology, The University of Texas at Austin, Austin, Texas, United States</w:t>
      </w:r>
    </w:p>
    <w:p w:rsidR="00A7633C" w:rsidRPr="000224E9" w:rsidRDefault="00A7633C" w:rsidP="00A7633C">
      <w:pPr>
        <w:widowControl w:val="0"/>
        <w:tabs>
          <w:tab w:val="left" w:pos="0"/>
          <w:tab w:val="left" w:pos="720"/>
        </w:tabs>
        <w:autoSpaceDE w:val="0"/>
        <w:autoSpaceDN w:val="0"/>
        <w:adjustRightInd w:val="0"/>
        <w:spacing w:line="360" w:lineRule="auto"/>
        <w:rPr>
          <w:rFonts w:ascii="Times New Roman" w:hAnsi="Times New Roman" w:cs="Times New Roman"/>
          <w:i/>
          <w:iCs/>
          <w:color w:val="000000" w:themeColor="text1"/>
          <w:sz w:val="20"/>
          <w:szCs w:val="20"/>
          <w:lang w:val="pt-BR"/>
        </w:rPr>
      </w:pPr>
      <w:r w:rsidRPr="000224E9">
        <w:rPr>
          <w:rFonts w:ascii="Times New Roman" w:hAnsi="Times New Roman" w:cs="Times New Roman"/>
          <w:i/>
          <w:iCs/>
          <w:color w:val="000000" w:themeColor="text1"/>
          <w:sz w:val="20"/>
          <w:szCs w:val="20"/>
          <w:vertAlign w:val="superscript"/>
          <w:lang w:val="pt-BR"/>
        </w:rPr>
        <w:t>4</w:t>
      </w:r>
      <w:r w:rsidRPr="000224E9">
        <w:rPr>
          <w:rFonts w:ascii="Times New Roman" w:hAnsi="Times New Roman" w:cs="Times New Roman"/>
          <w:i/>
          <w:iCs/>
          <w:color w:val="000000" w:themeColor="text1"/>
          <w:sz w:val="20"/>
          <w:szCs w:val="20"/>
          <w:lang w:val="pt-BR"/>
        </w:rPr>
        <w:t xml:space="preserve">Institute for </w:t>
      </w:r>
      <w:proofErr w:type="spellStart"/>
      <w:r w:rsidRPr="000224E9">
        <w:rPr>
          <w:rFonts w:ascii="Times New Roman" w:hAnsi="Times New Roman" w:cs="Times New Roman"/>
          <w:i/>
          <w:iCs/>
          <w:color w:val="000000" w:themeColor="text1"/>
          <w:sz w:val="20"/>
          <w:szCs w:val="20"/>
          <w:lang w:val="pt-BR"/>
        </w:rPr>
        <w:t>Biological</w:t>
      </w:r>
      <w:proofErr w:type="spellEnd"/>
      <w:r w:rsidRPr="000224E9">
        <w:rPr>
          <w:rFonts w:ascii="Times New Roman" w:hAnsi="Times New Roman" w:cs="Times New Roman"/>
          <w:i/>
          <w:iCs/>
          <w:color w:val="000000" w:themeColor="text1"/>
          <w:sz w:val="20"/>
          <w:szCs w:val="20"/>
          <w:lang w:val="pt-BR"/>
        </w:rPr>
        <w:t xml:space="preserve"> </w:t>
      </w:r>
      <w:proofErr w:type="spellStart"/>
      <w:r w:rsidRPr="000224E9">
        <w:rPr>
          <w:rFonts w:ascii="Times New Roman" w:hAnsi="Times New Roman" w:cs="Times New Roman"/>
          <w:i/>
          <w:iCs/>
          <w:color w:val="000000" w:themeColor="text1"/>
          <w:sz w:val="20"/>
          <w:szCs w:val="20"/>
          <w:lang w:val="pt-BR"/>
        </w:rPr>
        <w:t>Sciences</w:t>
      </w:r>
      <w:proofErr w:type="spellEnd"/>
      <w:r w:rsidRPr="000224E9">
        <w:rPr>
          <w:rFonts w:ascii="Times New Roman" w:hAnsi="Times New Roman" w:cs="Times New Roman"/>
          <w:i/>
          <w:iCs/>
          <w:color w:val="000000" w:themeColor="text1"/>
          <w:sz w:val="20"/>
          <w:szCs w:val="20"/>
          <w:lang w:val="pt-BR"/>
        </w:rPr>
        <w:t xml:space="preserve">, Universidade Federal do Pará, Belém, Pará, </w:t>
      </w:r>
      <w:proofErr w:type="spellStart"/>
      <w:r w:rsidRPr="000224E9">
        <w:rPr>
          <w:rFonts w:ascii="Times New Roman" w:hAnsi="Times New Roman" w:cs="Times New Roman"/>
          <w:i/>
          <w:iCs/>
          <w:color w:val="000000" w:themeColor="text1"/>
          <w:sz w:val="20"/>
          <w:szCs w:val="20"/>
          <w:lang w:val="pt-BR"/>
        </w:rPr>
        <w:t>Brazil</w:t>
      </w:r>
      <w:proofErr w:type="spellEnd"/>
    </w:p>
    <w:p w:rsidR="00A7633C" w:rsidRPr="000224E9" w:rsidRDefault="00A7633C" w:rsidP="00A7633C">
      <w:pPr>
        <w:widowControl w:val="0"/>
        <w:tabs>
          <w:tab w:val="left" w:pos="0"/>
          <w:tab w:val="left" w:pos="720"/>
        </w:tabs>
        <w:autoSpaceDE w:val="0"/>
        <w:autoSpaceDN w:val="0"/>
        <w:adjustRightInd w:val="0"/>
        <w:spacing w:line="360" w:lineRule="auto"/>
        <w:rPr>
          <w:rFonts w:ascii="Times New Roman" w:hAnsi="Times New Roman" w:cs="Times New Roman"/>
          <w:i/>
          <w:iCs/>
          <w:color w:val="000000" w:themeColor="text1"/>
          <w:sz w:val="20"/>
          <w:szCs w:val="20"/>
        </w:rPr>
      </w:pPr>
      <w:r w:rsidRPr="000224E9">
        <w:rPr>
          <w:rFonts w:ascii="Times New Roman" w:hAnsi="Times New Roman" w:cs="Times New Roman"/>
          <w:i/>
          <w:iCs/>
          <w:color w:val="000000" w:themeColor="text1"/>
          <w:sz w:val="20"/>
          <w:szCs w:val="20"/>
          <w:vertAlign w:val="superscript"/>
        </w:rPr>
        <w:t>5</w:t>
      </w:r>
      <w:r w:rsidRPr="000224E9">
        <w:rPr>
          <w:rFonts w:ascii="Times New Roman" w:hAnsi="Times New Roman" w:cs="Times New Roman"/>
          <w:i/>
          <w:iCs/>
          <w:color w:val="000000" w:themeColor="text1"/>
          <w:sz w:val="20"/>
          <w:szCs w:val="20"/>
        </w:rPr>
        <w:t>Biology Program, Faculty of Natural Sciences and Mathematics, Universidad del Rosario, Bogota, Colombia</w:t>
      </w:r>
    </w:p>
    <w:p w:rsidR="00A7633C" w:rsidRPr="000224E9" w:rsidRDefault="00A7633C" w:rsidP="00A7633C">
      <w:pPr>
        <w:widowControl w:val="0"/>
        <w:tabs>
          <w:tab w:val="left" w:pos="0"/>
          <w:tab w:val="left" w:pos="720"/>
        </w:tabs>
        <w:autoSpaceDE w:val="0"/>
        <w:autoSpaceDN w:val="0"/>
        <w:adjustRightInd w:val="0"/>
        <w:spacing w:line="360" w:lineRule="auto"/>
        <w:rPr>
          <w:rFonts w:ascii="Times New Roman" w:hAnsi="Times New Roman" w:cs="Times New Roman"/>
          <w:i/>
          <w:iCs/>
          <w:color w:val="000000" w:themeColor="text1"/>
          <w:sz w:val="20"/>
          <w:szCs w:val="20"/>
        </w:rPr>
      </w:pPr>
      <w:r w:rsidRPr="000224E9">
        <w:rPr>
          <w:rFonts w:ascii="Times New Roman" w:hAnsi="Times New Roman" w:cs="Times New Roman"/>
          <w:i/>
          <w:iCs/>
          <w:color w:val="000000" w:themeColor="text1"/>
          <w:sz w:val="20"/>
          <w:szCs w:val="20"/>
          <w:vertAlign w:val="superscript"/>
        </w:rPr>
        <w:t>6</w:t>
      </w:r>
      <w:r w:rsidRPr="000224E9">
        <w:rPr>
          <w:rFonts w:ascii="Times New Roman" w:hAnsi="Times New Roman" w:cs="Times New Roman"/>
          <w:i/>
          <w:iCs/>
          <w:color w:val="000000" w:themeColor="text1"/>
          <w:sz w:val="20"/>
          <w:szCs w:val="20"/>
        </w:rPr>
        <w:t>Division of Evolutionary Biology, Faculty of Biology, Ludwig-</w:t>
      </w:r>
      <w:proofErr w:type="spellStart"/>
      <w:r w:rsidRPr="000224E9">
        <w:rPr>
          <w:rFonts w:ascii="Times New Roman" w:hAnsi="Times New Roman" w:cs="Times New Roman"/>
          <w:i/>
          <w:iCs/>
          <w:color w:val="000000" w:themeColor="text1"/>
          <w:sz w:val="20"/>
          <w:szCs w:val="20"/>
        </w:rPr>
        <w:t>Maximilians</w:t>
      </w:r>
      <w:proofErr w:type="spellEnd"/>
      <w:r w:rsidRPr="000224E9">
        <w:rPr>
          <w:rFonts w:ascii="Times New Roman" w:hAnsi="Times New Roman" w:cs="Times New Roman"/>
          <w:i/>
          <w:iCs/>
          <w:color w:val="000000" w:themeColor="text1"/>
          <w:sz w:val="20"/>
          <w:szCs w:val="20"/>
        </w:rPr>
        <w:t>-Universität München, Munich, Germany</w:t>
      </w:r>
    </w:p>
    <w:p w:rsidR="00A7633C" w:rsidRPr="000224E9" w:rsidRDefault="00A7633C" w:rsidP="00A7633C">
      <w:pPr>
        <w:widowControl w:val="0"/>
        <w:tabs>
          <w:tab w:val="left" w:pos="0"/>
          <w:tab w:val="left" w:pos="720"/>
        </w:tabs>
        <w:autoSpaceDE w:val="0"/>
        <w:autoSpaceDN w:val="0"/>
        <w:adjustRightInd w:val="0"/>
        <w:spacing w:line="360" w:lineRule="auto"/>
        <w:rPr>
          <w:rFonts w:ascii="Times New Roman" w:hAnsi="Times New Roman" w:cs="Times New Roman"/>
          <w:i/>
          <w:iCs/>
          <w:color w:val="000000" w:themeColor="text1"/>
          <w:sz w:val="20"/>
          <w:szCs w:val="20"/>
          <w:lang w:val="de-DE"/>
        </w:rPr>
      </w:pPr>
      <w:r w:rsidRPr="000224E9">
        <w:rPr>
          <w:rFonts w:ascii="Times New Roman" w:hAnsi="Times New Roman" w:cs="Times New Roman"/>
          <w:i/>
          <w:iCs/>
          <w:color w:val="000000" w:themeColor="text1"/>
          <w:sz w:val="20"/>
          <w:szCs w:val="20"/>
          <w:vertAlign w:val="superscript"/>
          <w:lang w:val="de-DE"/>
        </w:rPr>
        <w:t>7</w:t>
      </w:r>
      <w:r w:rsidRPr="000224E9">
        <w:rPr>
          <w:rFonts w:ascii="Times New Roman" w:hAnsi="Times New Roman" w:cs="Times New Roman"/>
          <w:i/>
          <w:iCs/>
          <w:color w:val="000000" w:themeColor="text1"/>
          <w:sz w:val="20"/>
          <w:szCs w:val="20"/>
          <w:lang w:val="de-DE"/>
        </w:rPr>
        <w:t xml:space="preserve">Institute </w:t>
      </w:r>
      <w:proofErr w:type="spellStart"/>
      <w:r w:rsidRPr="000224E9">
        <w:rPr>
          <w:rFonts w:ascii="Times New Roman" w:hAnsi="Times New Roman" w:cs="Times New Roman"/>
          <w:i/>
          <w:iCs/>
          <w:color w:val="000000" w:themeColor="text1"/>
          <w:sz w:val="20"/>
          <w:szCs w:val="20"/>
          <w:lang w:val="de-DE"/>
        </w:rPr>
        <w:t>of</w:t>
      </w:r>
      <w:proofErr w:type="spellEnd"/>
      <w:r w:rsidRPr="000224E9">
        <w:rPr>
          <w:rFonts w:ascii="Times New Roman" w:hAnsi="Times New Roman" w:cs="Times New Roman"/>
          <w:i/>
          <w:iCs/>
          <w:color w:val="000000" w:themeColor="text1"/>
          <w:sz w:val="20"/>
          <w:szCs w:val="20"/>
          <w:lang w:val="de-DE"/>
        </w:rPr>
        <w:t xml:space="preserve"> </w:t>
      </w:r>
      <w:proofErr w:type="spellStart"/>
      <w:r w:rsidRPr="000224E9">
        <w:rPr>
          <w:rFonts w:ascii="Times New Roman" w:hAnsi="Times New Roman" w:cs="Times New Roman"/>
          <w:i/>
          <w:iCs/>
          <w:color w:val="000000" w:themeColor="text1"/>
          <w:sz w:val="20"/>
          <w:szCs w:val="20"/>
          <w:lang w:val="de-DE"/>
        </w:rPr>
        <w:t>Organic</w:t>
      </w:r>
      <w:proofErr w:type="spellEnd"/>
      <w:r w:rsidRPr="000224E9">
        <w:rPr>
          <w:rFonts w:ascii="Times New Roman" w:hAnsi="Times New Roman" w:cs="Times New Roman"/>
          <w:i/>
          <w:iCs/>
          <w:color w:val="000000" w:themeColor="text1"/>
          <w:sz w:val="20"/>
          <w:szCs w:val="20"/>
          <w:lang w:val="de-DE"/>
        </w:rPr>
        <w:t xml:space="preserve"> Chemistry, Technische Universität Braunschweig, Braunschweig, Germany</w:t>
      </w:r>
    </w:p>
    <w:p w:rsidR="00A7633C" w:rsidRPr="000224E9" w:rsidRDefault="00A7633C" w:rsidP="00A7633C">
      <w:pPr>
        <w:widowControl w:val="0"/>
        <w:tabs>
          <w:tab w:val="left" w:pos="0"/>
          <w:tab w:val="left" w:pos="720"/>
        </w:tabs>
        <w:autoSpaceDE w:val="0"/>
        <w:autoSpaceDN w:val="0"/>
        <w:adjustRightInd w:val="0"/>
        <w:spacing w:line="240" w:lineRule="auto"/>
        <w:rPr>
          <w:rFonts w:ascii="Times New Roman" w:hAnsi="Times New Roman" w:cs="Times New Roman"/>
          <w:b/>
          <w:bCs/>
          <w:color w:val="000000" w:themeColor="text1"/>
          <w:sz w:val="24"/>
          <w:szCs w:val="24"/>
        </w:rPr>
      </w:pPr>
      <w:r w:rsidRPr="000224E9">
        <w:rPr>
          <w:rFonts w:ascii="Times New Roman" w:hAnsi="Times New Roman" w:cs="Times New Roman"/>
          <w:b/>
          <w:bCs/>
          <w:color w:val="000000" w:themeColor="text1"/>
          <w:sz w:val="24"/>
          <w:szCs w:val="24"/>
        </w:rPr>
        <w:t>Running title</w:t>
      </w:r>
    </w:p>
    <w:p w:rsidR="00A7633C" w:rsidRPr="000224E9" w:rsidRDefault="00A7633C" w:rsidP="00A7633C">
      <w:pPr>
        <w:widowControl w:val="0"/>
        <w:tabs>
          <w:tab w:val="left" w:pos="0"/>
          <w:tab w:val="left" w:pos="720"/>
        </w:tabs>
        <w:autoSpaceDE w:val="0"/>
        <w:autoSpaceDN w:val="0"/>
        <w:adjustRightInd w:val="0"/>
        <w:spacing w:line="240" w:lineRule="auto"/>
        <w:rPr>
          <w:rFonts w:ascii="Times New Roman" w:hAnsi="Times New Roman" w:cs="Times New Roman"/>
          <w:color w:val="000000" w:themeColor="text1"/>
          <w:sz w:val="24"/>
          <w:szCs w:val="24"/>
        </w:rPr>
      </w:pPr>
      <w:r w:rsidRPr="000224E9">
        <w:rPr>
          <w:rFonts w:ascii="Times New Roman" w:hAnsi="Times New Roman" w:cs="Times New Roman"/>
          <w:color w:val="000000" w:themeColor="text1"/>
          <w:sz w:val="24"/>
          <w:szCs w:val="24"/>
        </w:rPr>
        <w:t>Geographic variation in butterfly pheromones</w:t>
      </w:r>
    </w:p>
    <w:p w:rsidR="00A7633C" w:rsidRPr="000224E9" w:rsidRDefault="00A7633C" w:rsidP="00A7633C">
      <w:pPr>
        <w:widowControl w:val="0"/>
        <w:tabs>
          <w:tab w:val="left" w:pos="0"/>
          <w:tab w:val="left" w:pos="720"/>
        </w:tabs>
        <w:autoSpaceDE w:val="0"/>
        <w:autoSpaceDN w:val="0"/>
        <w:adjustRightInd w:val="0"/>
        <w:spacing w:line="240" w:lineRule="auto"/>
        <w:rPr>
          <w:rFonts w:ascii="Times New Roman" w:hAnsi="Times New Roman" w:cs="Times New Roman"/>
          <w:color w:val="000000" w:themeColor="text1"/>
          <w:sz w:val="24"/>
          <w:szCs w:val="24"/>
        </w:rPr>
      </w:pPr>
      <w:r w:rsidRPr="000224E9">
        <w:rPr>
          <w:rFonts w:ascii="Times New Roman" w:hAnsi="Times New Roman" w:cs="Times New Roman"/>
          <w:b/>
          <w:bCs/>
          <w:color w:val="000000" w:themeColor="text1"/>
          <w:sz w:val="24"/>
          <w:szCs w:val="24"/>
        </w:rPr>
        <w:t>Corresponding author</w:t>
      </w:r>
    </w:p>
    <w:p w:rsidR="00A7633C" w:rsidRPr="000224E9" w:rsidRDefault="00A7633C" w:rsidP="00A7633C">
      <w:pPr>
        <w:widowControl w:val="0"/>
        <w:tabs>
          <w:tab w:val="left" w:pos="0"/>
          <w:tab w:val="left" w:pos="720"/>
        </w:tabs>
        <w:autoSpaceDE w:val="0"/>
        <w:autoSpaceDN w:val="0"/>
        <w:adjustRightInd w:val="0"/>
        <w:spacing w:line="240" w:lineRule="auto"/>
        <w:rPr>
          <w:rFonts w:ascii="Times New Roman" w:hAnsi="Times New Roman" w:cs="Times New Roman"/>
          <w:color w:val="000000" w:themeColor="text1"/>
          <w:sz w:val="24"/>
          <w:szCs w:val="24"/>
        </w:rPr>
      </w:pPr>
      <w:r w:rsidRPr="000224E9">
        <w:rPr>
          <w:rFonts w:ascii="Times New Roman" w:hAnsi="Times New Roman" w:cs="Times New Roman"/>
          <w:color w:val="000000" w:themeColor="text1"/>
          <w:sz w:val="24"/>
          <w:szCs w:val="24"/>
        </w:rPr>
        <w:t>Kathy Darragh</w:t>
      </w:r>
    </w:p>
    <w:p w:rsidR="00A7633C" w:rsidRPr="000224E9" w:rsidRDefault="00A7633C" w:rsidP="00A7633C">
      <w:pPr>
        <w:widowControl w:val="0"/>
        <w:tabs>
          <w:tab w:val="left" w:pos="0"/>
          <w:tab w:val="left" w:pos="720"/>
        </w:tabs>
        <w:autoSpaceDE w:val="0"/>
        <w:autoSpaceDN w:val="0"/>
        <w:adjustRightInd w:val="0"/>
        <w:spacing w:line="240" w:lineRule="auto"/>
        <w:rPr>
          <w:rFonts w:ascii="Times New Roman" w:hAnsi="Times New Roman" w:cs="Times New Roman"/>
          <w:color w:val="000000" w:themeColor="text1"/>
          <w:sz w:val="24"/>
          <w:szCs w:val="24"/>
        </w:rPr>
      </w:pPr>
      <w:r w:rsidRPr="000224E9">
        <w:rPr>
          <w:rFonts w:ascii="Times New Roman" w:hAnsi="Times New Roman" w:cs="Times New Roman"/>
          <w:color w:val="000000" w:themeColor="text1"/>
          <w:sz w:val="24"/>
          <w:szCs w:val="24"/>
        </w:rPr>
        <w:t>Department of Zoology</w:t>
      </w:r>
    </w:p>
    <w:p w:rsidR="00A7633C" w:rsidRPr="000224E9" w:rsidRDefault="00A7633C" w:rsidP="00A7633C">
      <w:pPr>
        <w:widowControl w:val="0"/>
        <w:tabs>
          <w:tab w:val="left" w:pos="0"/>
          <w:tab w:val="left" w:pos="720"/>
        </w:tabs>
        <w:autoSpaceDE w:val="0"/>
        <w:autoSpaceDN w:val="0"/>
        <w:adjustRightInd w:val="0"/>
        <w:spacing w:line="240" w:lineRule="auto"/>
        <w:rPr>
          <w:rFonts w:ascii="Times New Roman" w:hAnsi="Times New Roman" w:cs="Times New Roman"/>
          <w:color w:val="000000" w:themeColor="text1"/>
          <w:sz w:val="24"/>
          <w:szCs w:val="24"/>
        </w:rPr>
      </w:pPr>
      <w:r w:rsidRPr="000224E9">
        <w:rPr>
          <w:rFonts w:ascii="Times New Roman" w:hAnsi="Times New Roman" w:cs="Times New Roman"/>
          <w:color w:val="000000" w:themeColor="text1"/>
          <w:sz w:val="24"/>
          <w:szCs w:val="24"/>
        </w:rPr>
        <w:t>Downing Street</w:t>
      </w:r>
    </w:p>
    <w:p w:rsidR="00A7633C" w:rsidRPr="000224E9" w:rsidRDefault="00A7633C" w:rsidP="00A7633C">
      <w:pPr>
        <w:widowControl w:val="0"/>
        <w:tabs>
          <w:tab w:val="left" w:pos="0"/>
          <w:tab w:val="left" w:pos="720"/>
        </w:tabs>
        <w:autoSpaceDE w:val="0"/>
        <w:autoSpaceDN w:val="0"/>
        <w:adjustRightInd w:val="0"/>
        <w:spacing w:line="240" w:lineRule="auto"/>
        <w:rPr>
          <w:rFonts w:ascii="Times New Roman" w:hAnsi="Times New Roman" w:cs="Times New Roman"/>
          <w:color w:val="000000" w:themeColor="text1"/>
          <w:sz w:val="24"/>
          <w:szCs w:val="24"/>
        </w:rPr>
      </w:pPr>
      <w:r w:rsidRPr="000224E9">
        <w:rPr>
          <w:rFonts w:ascii="Times New Roman" w:hAnsi="Times New Roman" w:cs="Times New Roman"/>
          <w:color w:val="000000" w:themeColor="text1"/>
          <w:sz w:val="24"/>
          <w:szCs w:val="24"/>
        </w:rPr>
        <w:t>Cambridge</w:t>
      </w:r>
    </w:p>
    <w:p w:rsidR="00A7633C" w:rsidRPr="000224E9" w:rsidRDefault="00A7633C" w:rsidP="00A7633C">
      <w:pPr>
        <w:widowControl w:val="0"/>
        <w:tabs>
          <w:tab w:val="left" w:pos="0"/>
          <w:tab w:val="left" w:pos="720"/>
        </w:tabs>
        <w:autoSpaceDE w:val="0"/>
        <w:autoSpaceDN w:val="0"/>
        <w:adjustRightInd w:val="0"/>
        <w:spacing w:line="240" w:lineRule="auto"/>
        <w:rPr>
          <w:rFonts w:ascii="Times New Roman" w:hAnsi="Times New Roman" w:cs="Times New Roman"/>
          <w:color w:val="000000" w:themeColor="text1"/>
          <w:sz w:val="24"/>
          <w:szCs w:val="24"/>
        </w:rPr>
      </w:pPr>
      <w:r w:rsidRPr="000224E9">
        <w:rPr>
          <w:rFonts w:ascii="Times New Roman" w:hAnsi="Times New Roman" w:cs="Times New Roman"/>
          <w:color w:val="000000" w:themeColor="text1"/>
          <w:sz w:val="24"/>
          <w:szCs w:val="24"/>
        </w:rPr>
        <w:t>CB23EJ</w:t>
      </w:r>
    </w:p>
    <w:p w:rsidR="00A7633C" w:rsidRPr="000224E9" w:rsidRDefault="007C1564" w:rsidP="00A7633C">
      <w:pPr>
        <w:widowControl w:val="0"/>
        <w:tabs>
          <w:tab w:val="left" w:pos="0"/>
          <w:tab w:val="left" w:pos="720"/>
        </w:tabs>
        <w:autoSpaceDE w:val="0"/>
        <w:autoSpaceDN w:val="0"/>
        <w:adjustRightInd w:val="0"/>
        <w:spacing w:line="240" w:lineRule="auto"/>
        <w:rPr>
          <w:rFonts w:ascii="Times New Roman" w:hAnsi="Times New Roman" w:cs="Times New Roman"/>
          <w:color w:val="000000" w:themeColor="text1"/>
          <w:sz w:val="24"/>
          <w:szCs w:val="24"/>
        </w:rPr>
      </w:pPr>
      <w:hyperlink r:id="rId7" w:history="1">
        <w:r w:rsidR="00A7633C" w:rsidRPr="000224E9">
          <w:rPr>
            <w:rStyle w:val="Hyperlink"/>
            <w:rFonts w:ascii="Times New Roman" w:hAnsi="Times New Roman" w:cs="Times New Roman"/>
            <w:sz w:val="24"/>
            <w:szCs w:val="24"/>
          </w:rPr>
          <w:t>kd350@cam.ac.uk</w:t>
        </w:r>
      </w:hyperlink>
    </w:p>
    <w:p w:rsidR="00A7633C" w:rsidRPr="000224E9" w:rsidRDefault="00A7633C" w:rsidP="00A7633C">
      <w:pPr>
        <w:widowControl w:val="0"/>
        <w:tabs>
          <w:tab w:val="left" w:pos="0"/>
          <w:tab w:val="left" w:pos="720"/>
        </w:tabs>
        <w:autoSpaceDE w:val="0"/>
        <w:autoSpaceDN w:val="0"/>
        <w:adjustRightInd w:val="0"/>
        <w:spacing w:line="240" w:lineRule="auto"/>
        <w:rPr>
          <w:rFonts w:ascii="Times New Roman" w:hAnsi="Times New Roman" w:cs="Times New Roman"/>
          <w:color w:val="FF0000"/>
          <w:sz w:val="20"/>
          <w:szCs w:val="20"/>
        </w:rPr>
      </w:pPr>
      <w:r w:rsidRPr="000224E9">
        <w:rPr>
          <w:rFonts w:ascii="Times New Roman" w:hAnsi="Times New Roman" w:cs="Times New Roman"/>
          <w:color w:val="000000" w:themeColor="text1"/>
          <w:sz w:val="24"/>
          <w:szCs w:val="24"/>
        </w:rPr>
        <w:t>+44 (0)1223 336600</w:t>
      </w:r>
    </w:p>
    <w:p w:rsidR="00A7633C" w:rsidRPr="000224E9" w:rsidRDefault="00A7633C" w:rsidP="00A7633C">
      <w:pPr>
        <w:tabs>
          <w:tab w:val="right" w:pos="9020"/>
        </w:tabs>
        <w:spacing w:line="480" w:lineRule="auto"/>
        <w:rPr>
          <w:rFonts w:ascii="Times New Roman" w:hAnsi="Times New Roman" w:cs="Times New Roman"/>
          <w:b/>
          <w:bCs/>
          <w:sz w:val="28"/>
          <w:szCs w:val="28"/>
        </w:rPr>
      </w:pPr>
    </w:p>
    <w:p w:rsidR="00A7633C" w:rsidRPr="000224E9" w:rsidRDefault="00A7633C" w:rsidP="00A7633C">
      <w:pPr>
        <w:tabs>
          <w:tab w:val="right" w:pos="9020"/>
        </w:tabs>
        <w:spacing w:line="480" w:lineRule="auto"/>
        <w:rPr>
          <w:rFonts w:ascii="Times New Roman" w:hAnsi="Times New Roman" w:cs="Times New Roman"/>
          <w:color w:val="FF0000"/>
          <w:sz w:val="20"/>
          <w:szCs w:val="20"/>
        </w:rPr>
      </w:pPr>
      <w:r w:rsidRPr="000224E9">
        <w:rPr>
          <w:rFonts w:ascii="Times New Roman" w:hAnsi="Times New Roman" w:cs="Times New Roman"/>
          <w:b/>
          <w:bCs/>
          <w:sz w:val="28"/>
          <w:szCs w:val="28"/>
        </w:rPr>
        <w:lastRenderedPageBreak/>
        <w:t>Abstract</w:t>
      </w:r>
    </w:p>
    <w:p w:rsidR="00A7633C" w:rsidRPr="000224E9" w:rsidRDefault="00A7633C" w:rsidP="00A7633C">
      <w:pPr>
        <w:tabs>
          <w:tab w:val="right" w:pos="9020"/>
        </w:tabs>
        <w:spacing w:line="480" w:lineRule="auto"/>
        <w:rPr>
          <w:rFonts w:ascii="Times New Roman" w:hAnsi="Times New Roman" w:cs="Times New Roman"/>
          <w:sz w:val="24"/>
          <w:szCs w:val="24"/>
        </w:rPr>
      </w:pPr>
      <w:r w:rsidRPr="000224E9">
        <w:rPr>
          <w:rFonts w:ascii="Times New Roman" w:hAnsi="Times New Roman" w:cs="Times New Roman"/>
          <w:sz w:val="24"/>
          <w:szCs w:val="24"/>
        </w:rPr>
        <w:t xml:space="preserve">In many animals, mate choice is important for the maintenance of reproductive isolation between species. Traits important for mate choice and behavioural isolation are predicted to be under strong stabilising selection within species, however such traits can also exhibit variation at the population level driven by neutral and adaptive evolutionary processes. Here, we describe patterns of divergence among </w:t>
      </w:r>
      <w:proofErr w:type="spellStart"/>
      <w:r w:rsidRPr="000224E9">
        <w:rPr>
          <w:rFonts w:ascii="Times New Roman" w:hAnsi="Times New Roman" w:cs="Times New Roman"/>
          <w:sz w:val="24"/>
          <w:szCs w:val="24"/>
        </w:rPr>
        <w:t>androconial</w:t>
      </w:r>
      <w:proofErr w:type="spellEnd"/>
      <w:r w:rsidRPr="000224E9">
        <w:rPr>
          <w:rFonts w:ascii="Times New Roman" w:hAnsi="Times New Roman" w:cs="Times New Roman"/>
          <w:sz w:val="24"/>
          <w:szCs w:val="24"/>
        </w:rPr>
        <w:t xml:space="preserve"> and genital chemical profiles at inter- and intra-specific levels in mimetic </w:t>
      </w:r>
      <w:proofErr w:type="spellStart"/>
      <w:r w:rsidRPr="000224E9">
        <w:rPr>
          <w:rFonts w:ascii="Times New Roman" w:hAnsi="Times New Roman" w:cs="Times New Roman"/>
          <w:i/>
          <w:iCs/>
          <w:sz w:val="24"/>
          <w:szCs w:val="24"/>
        </w:rPr>
        <w:t>Heliconius</w:t>
      </w:r>
      <w:proofErr w:type="spellEnd"/>
      <w:r w:rsidRPr="000224E9">
        <w:rPr>
          <w:rFonts w:ascii="Times New Roman" w:hAnsi="Times New Roman" w:cs="Times New Roman"/>
          <w:sz w:val="24"/>
          <w:szCs w:val="24"/>
        </w:rPr>
        <w:t xml:space="preserve"> butterflies. Most variation in chemical bouquets was found between species, but there were also quantitative differences at the population level. We found a strong correlation between interspecific chemical and genetic divergence, </w:t>
      </w:r>
      <w:r w:rsidR="00C47FF0" w:rsidRPr="000224E9">
        <w:rPr>
          <w:rFonts w:ascii="Times New Roman" w:hAnsi="Times New Roman" w:cs="Times New Roman"/>
          <w:sz w:val="24"/>
          <w:szCs w:val="24"/>
        </w:rPr>
        <w:t>but</w:t>
      </w:r>
      <w:r w:rsidRPr="000224E9">
        <w:rPr>
          <w:rFonts w:ascii="Times New Roman" w:hAnsi="Times New Roman" w:cs="Times New Roman"/>
          <w:sz w:val="24"/>
          <w:szCs w:val="24"/>
        </w:rPr>
        <w:t xml:space="preserve"> this correlation varied in intraspecific comparisons. We identified ‘indicator’ compounds characteristic of particular species that included compounds </w:t>
      </w:r>
      <w:r w:rsidR="00C47FF0" w:rsidRPr="000224E9">
        <w:rPr>
          <w:rFonts w:ascii="Times New Roman" w:hAnsi="Times New Roman" w:cs="Times New Roman"/>
          <w:sz w:val="24"/>
          <w:szCs w:val="24"/>
        </w:rPr>
        <w:t xml:space="preserve">already </w:t>
      </w:r>
      <w:r w:rsidRPr="000224E9">
        <w:rPr>
          <w:rFonts w:ascii="Times New Roman" w:hAnsi="Times New Roman" w:cs="Times New Roman"/>
          <w:sz w:val="24"/>
          <w:szCs w:val="24"/>
        </w:rPr>
        <w:t>known to elicit a behavioural response, suggesting an approach for identification of candidate compounds for future behavioural studies in novel systems. Overall, the strong signal of species identity suggests a role for these compounds in species recognition, but with additional potentially neutral variation at the population level</w:t>
      </w:r>
      <w:r w:rsidRPr="000224E9">
        <w:rPr>
          <w:rFonts w:ascii="Times New Roman" w:hAnsi="Times New Roman" w:cs="Times New Roman"/>
          <w:i/>
          <w:iCs/>
          <w:sz w:val="24"/>
          <w:szCs w:val="24"/>
        </w:rPr>
        <w:t>.</w:t>
      </w:r>
    </w:p>
    <w:p w:rsidR="00A7633C" w:rsidRPr="000224E9" w:rsidRDefault="00A7633C" w:rsidP="00A7633C">
      <w:pPr>
        <w:spacing w:after="120" w:line="480" w:lineRule="auto"/>
        <w:rPr>
          <w:rFonts w:ascii="Times New Roman" w:hAnsi="Times New Roman" w:cs="Times New Roman"/>
          <w:b/>
          <w:bCs/>
          <w:sz w:val="28"/>
          <w:szCs w:val="28"/>
        </w:rPr>
      </w:pPr>
      <w:r w:rsidRPr="000224E9">
        <w:rPr>
          <w:rFonts w:ascii="Times New Roman" w:hAnsi="Times New Roman" w:cs="Times New Roman"/>
          <w:b/>
          <w:bCs/>
          <w:sz w:val="28"/>
          <w:szCs w:val="28"/>
        </w:rPr>
        <w:t>Keywords</w:t>
      </w:r>
    </w:p>
    <w:p w:rsidR="00A7633C" w:rsidRPr="000224E9" w:rsidRDefault="00A7633C" w:rsidP="00A7633C">
      <w:pPr>
        <w:spacing w:after="120" w:line="480" w:lineRule="auto"/>
        <w:rPr>
          <w:rFonts w:ascii="Times New Roman" w:hAnsi="Times New Roman" w:cs="Times New Roman"/>
          <w:sz w:val="24"/>
          <w:szCs w:val="24"/>
        </w:rPr>
      </w:pPr>
      <w:r w:rsidRPr="000224E9">
        <w:rPr>
          <w:rFonts w:ascii="Times New Roman" w:hAnsi="Times New Roman" w:cs="Times New Roman"/>
          <w:sz w:val="24"/>
          <w:szCs w:val="24"/>
        </w:rPr>
        <w:t>Mate choice, reproductive isolation, chemical ecology, Lepidoptera, pheromones, signalling</w:t>
      </w:r>
    </w:p>
    <w:p w:rsidR="00A7633C" w:rsidRPr="000224E9" w:rsidRDefault="00A7633C" w:rsidP="00A7633C">
      <w:pPr>
        <w:spacing w:after="120" w:line="480" w:lineRule="auto"/>
        <w:rPr>
          <w:rFonts w:ascii="Times New Roman" w:hAnsi="Times New Roman" w:cs="Times New Roman"/>
          <w:sz w:val="24"/>
          <w:szCs w:val="24"/>
        </w:rPr>
      </w:pPr>
    </w:p>
    <w:p w:rsidR="00A7633C" w:rsidRPr="000224E9" w:rsidRDefault="00A7633C" w:rsidP="00A7633C">
      <w:pPr>
        <w:spacing w:after="120" w:line="480" w:lineRule="auto"/>
        <w:rPr>
          <w:rFonts w:ascii="Times New Roman" w:hAnsi="Times New Roman" w:cs="Times New Roman"/>
          <w:sz w:val="24"/>
          <w:szCs w:val="24"/>
        </w:rPr>
      </w:pPr>
    </w:p>
    <w:p w:rsidR="00A7633C" w:rsidRPr="000224E9" w:rsidRDefault="00A7633C" w:rsidP="00A7633C">
      <w:pPr>
        <w:spacing w:after="120" w:line="480" w:lineRule="auto"/>
        <w:rPr>
          <w:rFonts w:ascii="Times New Roman" w:hAnsi="Times New Roman" w:cs="Times New Roman"/>
          <w:sz w:val="24"/>
          <w:szCs w:val="24"/>
        </w:rPr>
      </w:pPr>
    </w:p>
    <w:p w:rsidR="00A7633C" w:rsidRPr="000224E9" w:rsidRDefault="00A7633C" w:rsidP="00A7633C">
      <w:pPr>
        <w:spacing w:after="120" w:line="480" w:lineRule="auto"/>
        <w:rPr>
          <w:rFonts w:ascii="Times New Roman" w:hAnsi="Times New Roman" w:cs="Times New Roman"/>
          <w:sz w:val="24"/>
          <w:szCs w:val="24"/>
        </w:rPr>
      </w:pPr>
    </w:p>
    <w:p w:rsidR="00A7633C" w:rsidRPr="000224E9" w:rsidRDefault="00A7633C" w:rsidP="00A7633C">
      <w:pPr>
        <w:spacing w:after="120" w:line="480" w:lineRule="auto"/>
        <w:rPr>
          <w:rFonts w:ascii="Times New Roman" w:hAnsi="Times New Roman" w:cs="Times New Roman"/>
          <w:sz w:val="24"/>
          <w:szCs w:val="24"/>
        </w:rPr>
      </w:pPr>
    </w:p>
    <w:p w:rsidR="00A7633C" w:rsidRPr="000224E9" w:rsidRDefault="00A7633C" w:rsidP="00A7633C">
      <w:pPr>
        <w:spacing w:after="120" w:line="480" w:lineRule="auto"/>
        <w:rPr>
          <w:rFonts w:ascii="Times New Roman" w:hAnsi="Times New Roman" w:cs="Times New Roman"/>
          <w:sz w:val="24"/>
          <w:szCs w:val="24"/>
        </w:rPr>
      </w:pPr>
    </w:p>
    <w:p w:rsidR="00A7633C" w:rsidRPr="000224E9" w:rsidRDefault="00A7633C" w:rsidP="00A7633C">
      <w:pPr>
        <w:spacing w:after="120" w:line="480" w:lineRule="auto"/>
        <w:rPr>
          <w:rFonts w:ascii="Times New Roman" w:hAnsi="Times New Roman" w:cs="Times New Roman"/>
          <w:b/>
          <w:bCs/>
          <w:sz w:val="28"/>
          <w:szCs w:val="28"/>
        </w:rPr>
      </w:pPr>
      <w:r w:rsidRPr="000224E9">
        <w:rPr>
          <w:rFonts w:ascii="Times New Roman" w:hAnsi="Times New Roman" w:cs="Times New Roman"/>
          <w:b/>
          <w:bCs/>
          <w:sz w:val="28"/>
          <w:szCs w:val="28"/>
        </w:rPr>
        <w:lastRenderedPageBreak/>
        <w:t>Introduction</w:t>
      </w:r>
    </w:p>
    <w:p w:rsidR="00A7633C" w:rsidRPr="000224E9" w:rsidRDefault="00A7633C" w:rsidP="00A7633C">
      <w:pPr>
        <w:spacing w:after="120" w:line="480" w:lineRule="auto"/>
        <w:ind w:firstLine="720"/>
        <w:rPr>
          <w:rFonts w:ascii="Times New Roman" w:hAnsi="Times New Roman" w:cs="Times New Roman"/>
          <w:sz w:val="24"/>
          <w:szCs w:val="24"/>
        </w:rPr>
      </w:pPr>
      <w:r w:rsidRPr="000224E9">
        <w:rPr>
          <w:rFonts w:ascii="Times New Roman" w:hAnsi="Times New Roman" w:cs="Times New Roman"/>
          <w:sz w:val="24"/>
          <w:szCs w:val="24"/>
        </w:rPr>
        <w:t xml:space="preserve">Reproductive isolation between lineages is important for the maintenance of species diversity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{"citationID":"stdLFdhd","properties":{"formattedCitation":"(Coyne and Orr, 2004)","plainCitation":"(Coyne and Orr, 2004)","noteIndex":0},"citationItems":[{"id":2858,"uris":["http://zotero.org/users/2671101/items/KV64KBJK"],"uri":["http://zotero.org/users/2671101/items/KV64KBJK"],"itemData":{"id":2858,"type":"book","title":"Speciation","publisher":"Sinauer","publisher-place":"Sunderland, MA","number-of-pages":"480","source":"Google Books","event-place":"Sunderland, MA","abstract":"Speciation is designed to provide a unified, critical and up-to-date overview of the field. Aimed at professional biologists, graduate students and advanced undergraduates, it covers both plants and animals and deals with all relevant areas of research, including biogeography, field work, systematics, theory, and genetic and molecular studies.","ISBN":"978-0-87893-089-0","note":"Google-Books-ID: 2Y9rQgAACAAJ","language":"en","author":[{"family":"Coyne","given":"Jerry A."},{"family":"Orr","given":"H. Allen"}],"issued":{"date-parts":[["2004",6,30]]}}}],"schema":"https://github.com/citation-style-language/schema/raw/master/csl-citation.json"}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sz w:val="24"/>
          <w:lang w:val="en-US"/>
        </w:rPr>
        <w:t>(Coyne and Orr, 2004)</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 xml:space="preserve">. In many animals, mate choice provides a strong pre-mating barrier, maintaining reproductive isolation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{"citationID":"azePYAzF","properties":{"formattedCitation":"(Friberg et al., 2008; Gray and Cade, 2000; Martin and Mendelson, 2016; Nagel and Schluter, 1998; Ready et al., 2006; Seehausen et al., 2008; Selz et al., 2014)","plainCitation":"(Friberg et al., 2008; Gray and Cade, 2000; Martin and Mendelson, 2016; Nagel and Schluter, 1998; Ready et al., 2006; Seehausen et al., 2008; Selz et al., 2014)","noteIndex":0},"citationItems":[{"id":2846,"uris":["http://zotero.org/users/2671101/items/GI53TZ6H"],"uri":["http://zotero.org/users/2671101/items/GI53TZ6H"],"itemData":{"id":2846,"type":"article-journal","title":"Body Size, Natural Selection, and Speciation in Sticklebacks","container-title":"Evolution","page":"209-218","volume":"52","issue":"1","source":"JSTOR","abstract":"There is little evidence from nature that divergent natural selection is crucial to speciation. However, divergent selection is implicated if traits conferring adaptation to alternative environments also form the basis of reproductive isolation. We tested the importance of body size differences to premating isolation between two sympatric sticklebacks. The species differ greatly in size, and several lines of evidence indicate that this difference is an adaptation to alternative foraging habitats. Strong assortative mating was evident in laboratory trials, but a few hybridization events occurred. Probability of interspecific mating was strongly correlated with body size: interspecific spawning occurred only between the largest individuals of the smaller species and the smallest individuals of the larger species. Probability of spawning between similar-sized individuals from different species was comparable to spawning rates within species. Disruption of mating between individuals from different species can be traced to increased levels of male aggression and decreased levels of male courtship as size differences increased between paired individuals. Interspecific mate preferences in sympatric sticklebacks appears to be dominated by body size, implicating natural selection in the origin of species.","DOI":"10.2307/2410936","ISSN":"0014-3820","author":[{"family":"Nagel","given":"Laura"},{"family":"Schluter","given":"Dolph"}],"issued":{"date-parts":[["1998"]]}},"label":"page"},{"id":2818,"uris":["http://zotero.org/users/2671101/items/3EBAFH2S"],"uri":["http://zotero.org/users/2671101/items/3EBAFH2S"],"itemData":{"id":2818,"type":"article-journal","title":"Sexual selection and speciation in field crickets","container-title":"Proceedings of the National Academy of Sciences","page":"14449-14454","volume":"97","issue":"26","source":"www.pnas.org","abstract":"Recent theoretical work has shown that sexual selection may cause speciation under a much wider range of conditions than previously supposed. There are, however, no empirical studies capable of simultaneously evaluating several key predictions that contrast this with other speciation models. We present data on male pulse rates and female phonotactic responses to pulse rates for the field cricket Gryllus texensis; pulse rate is the key feature distinguishing G. texensis from its cryptic sister species G. rubens. We show (i) genetic variation in male song and in female preference for song, (ii) a genetic correlation between the male trait and the female preference, and (iii) no character displacement in male song, female song recognition, female species-level song discrimination, or female song preference. Combined with previous work demonstrating a lack of hybrid inviability, these results suggest that divergent sexual selection may have caused speciation between these taxa.","DOI":"10.1073/pnas.97.26.14449","ISSN":"0027-8424, 1091-6490","note":"PMID: 11121046","journalAbbreviation":"PNAS","language":"en","author":[{"family":"Gray","given":"David A."},{"family":"Cade","given":"William H."}],"issued":{"date-parts":[["2000",12,19]]}},"label":"page"},{"id":3454,"uris":["http://zotero.org/users/2671101/items/6JYBQV9W"],"uri":["http://zotero.org/users/2671101/items/6JYBQV9W"],"itemData":{"id":3454,"type":"article-journal","title":"Colour forms of Amazonian cichlid fish represent reproductively isolated species","container-title":"Journal of Evolutionary Biology","page":"1139-1148","volume":"19","issue":"4","source":"Wiley Online Library","abstract":"Laboratory mate choice experiments have confirmed species status for cichlid fish in the African Great Lakes that differ in colour and little else. Colour differences between allopatric populations of the South American cichlid genus Apistogramma are known for many species, yet the status of such populations has not been previously tested. Analysis of the genetic relationships and mate choice characteristics of populations previously described as Apistogramma caetei from eastern Amazonia indicates genetic differentiation into at least three allopatric lineages, which also show strong prezygotic isolation through female mate choice, confirming them as Biological species. If future studies confirm that this result is indicative of a general trend, the species richness of the South American cichlid fishes may presently be seriously underestimated.","DOI":"10.1111/j.1420-9101.2006.01088.x","ISSN":"1420-9101","language":"en","author":[{"family":"Ready","given":"J. S."},{"family":"Sampaio","given":"I."},{"family":"Schneider","given":"H."},{"family":"Vinson","given":"C."},{"family":"Santos","given":"T. Dos"},{"family":"Turner","given":"G. F."}],"issued":{"date-parts":[["2006"]]}},"label":"page"},{"id":854,"uris":["http://zotero.org/users/2671101/items/Q8M9B2EZ"],"uri":["http://zotero.org/users/2671101/items/Q8M9B2EZ"],"itemData":{"id":854,"type":"article-journal","title":"Female mate choice determines reproductive isolation between sympatric butterflies","container-title":"Behavioral Ecology and Sociobiology","page":"873-886","volume":"62","issue":"6","source":"CrossRef","DOI":"10.1007/s00265-007-0511-2","ISSN":"0340-5443, 1432-0762","language":"en","author":[{"family":"Friberg","given":"Magne"},{"family":"Vongvanich","given":"Namphung"},{"family":"Borg-Karlson","given":"Anna-Karin"},{"family":"Kemp","given":"Darrell J"},{"family":"Merilaita","given":"Sami"},{"family":"Wiklund","given":"Christer"}],"issued":{"date-parts":[["2008",4]]}},"label":"page"},{"id":877,"uris":["http://zotero.org/users/2671101/items/ZVNWN4FM"],"uri":["http://zotero.org/users/2671101/items/ZVNWN4FM"],"itemData":{"id":877,"type":"article-journal","title":"Speciation through sensory drive in cichlid fish","container-title":"Nature","page":"620-626","volume":"455","issue":"7213","source":"www.nature.com","abstract":"Theoretically, divergent selection on sensory systems can cause speciation through sensory drive. However, empirical evidence is rare and incomplete. Here we demonstrate sensory drive speciation within island populations of cichlid fish. We identify the ecological and molecular basis of divergent evolution in the cichlid visual system, demonstrate associated divergence in male colouration and female preferences, and show subsequent differentiation at neutral loci, indicating reproductive isolation. Evidence is replicated in several pairs of sympatric populations and species. Variation in the slope of the environmental gradients explains variation in the progress towards speciation: speciation occurs on all but the steepest gradients. This is the most complete demonstration so far of speciation through sensory drive without geographical isolation. Our results also provide a mechanistic explanation for the collapse of cichlid fish species diversity during the anthropogenic eutrophication of Lake Victoria.","DOI":"10.1038/nature07285","ISSN":"0028-0836","journalAbbreviation":"Nature","language":"en","author":[{"family":"Seehausen","given":"Ole"},{"family":"Terai","given":"Yohey"},{"family":"Magalhaes","given":"Isabel S."},{"family":"Carleton","given":"Karen L."},{"family":"Mrosso","given":"Hillary D. J."},{"family":"Miyagi","given":"Ryutaro"},{"family":"Sluijs","given":"Inke","non-dropping-particle":"van der"},{"family":"Schneider","given":"Maria V."},{"family":"Maan","given":"Martine E."},{"family":"Tachida","given":"Hidenori"},{"family":"Imai","given":"Hiroo"},{"family":"Okada","given":"Norihiro"}],"issued":{"date-parts":[["2008",10,2]]}},"label":"page"},{"id":2410,"uris":["http://zotero.org/users/2671101/items/6FQ4IRGA"],"uri":["http://zotero.org/users/2671101/items/6FQ4IRGA"],"itemData":{"id":2410,"type":"article-journal","title":"Female preference for male color is necessary and sufficient for assortative mating in 2 cichlid sister species","container-title":"Behavioral Ecology","page":"612-626","volume":"25","issue":"3","source":"beheco.oxfordjournals.org","abstract":"A critical step for speciation in the face of gene flow is the origination of reproductive isolation. The evolution of assortative mating greatly facilitates this process. Assortative mating can be mediated by one or multiple cues across an array of sensory modalities. We here explore possible cues that may underlie female mate choice in a sympatric species pair of cichlid fish from Lake Victoria, Pundamilia pundamilia and Pundamilia nyererei. Previous studies identified species-specific female preferences for male coloration, but effects of other cues could not be ruled out. Therefore, we assessed female choice in a series of experiments in which we manipulated visual (color) and chemical cues. We show that the visibility of differences in nuptial hue (i.e., either blue or red) between males of the 2 species is necessary and sufficient for assortative mating by female mate choice. Such assortment mediated by a single cue may evolve relatively quickly, but could make reproductive isolation vulnerable to environmental changes. These findings confirm the important role of female mate choice for male nuptial hue in promoting the explosive speciation of African haplochromine cichlids.","DOI":"10.1093/beheco/aru024","ISSN":"1045-2249, 1465-7279","journalAbbreviation":"Behavioral Ecology","language":"en","author":[{"family":"Selz","given":"Oliver M."},{"family":"Pierotti","given":"Michele E. R."},{"family":"Maan","given":"Martine E."},{"family":"Schmid","given":"Corinne"},{"family":"Seehausen","given":"Ole"}],"issued":{"date-parts":[["2014",1,5]]}},"label":"page"},{"id":2415,"uris":["http://zotero.org/users/2671101/items/7SVBUS9J"],"uri":["http://zotero.org/users/2671101/items/7SVBUS9J"],"itemData":{"id":2415,"type":"article-journal","title":"The accumulation of reproductive isolation in early stages of divergence supports a role for sexual selection","container-title":"Journal of Evolutionary Biology","page":"676-689","volume":"29","issue":"4","source":"Wiley Online Library","abstract":"Models of speciation by sexual selection propose that male–female coevolution leads to the rapid evolution of behavioural reproductive isolation. Here, we compare the strength of behavioural isolation to ecological isolation, gametic incompatibility and hybrid inviability in a group of dichromatic stream fishes. In addition, we examine whether any of these individual barriers, or a combined measure of total isolation, is predicted by body shape differences, male colour differences, environmental differences or genetic distance. Behavioural isolation reaches the highest values of any barrier and is significantly greater than ecological isolation. No individual reproductive barrier is associated with any of the predictor variables. However, marginally significant relationships between male colour and body shape differences with ecological and behavioural isolation are discussed. Differences in male colour and body shape predict total reproductive isolation between species; hierarchical partitioning of these two variables' effects suggests a stronger role for male colour differences. Together, these results suggest an important role for divergent sexual selection in darter speciation but raise new questions about the mechanisms of sexual selection at play and the role of male nuptial ornaments.","DOI":"10.1111/jeb.12819","ISSN":"1420-9101","journalAbbreviation":"J. Evol. Biol.","language":"en","author":[{"family":"Martin","given":"M. D."},{"family":"Mendelson","given":"T. C."}],"issued":{"date-parts":[["2016",1,1]]}},"label":"page"}],"schema":"https://github.com/citation-style-language/schema/raw/master/csl-citation.json"}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sz w:val="24"/>
        </w:rPr>
        <w:t>(Friberg et al., 2008; Gray and Cade, 2000; Martin and Mendelson, 2016; Nagel and Schluter, 1998; Ready et al., 2006; Seehausen et al., 2008; Selz et al., 2014)</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 xml:space="preserve">. Closely related species often differ in traits important for mate choice, with individuals displaying a preference for conspecific phenotypes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{"citationID":"Ahz539tA","properties":{"formattedCitation":"(Jiggins et al., 2001; Mas and Jallon, 2005; Ryan and Guerra, 2014; Saveer et al., 2014; Yildizhan et al., 2009)","plainCitation":"(Jiggins et al., 2001; Mas and Jallon, 2005; Ryan and Guerra, 2014; Saveer et al., 2014; Yildizhan et al., 2009)","noteIndex":0},"citationItems":[{"id":805,"uris":["http://zotero.org/users/2671101/items/6FRWAJ5X"],"uri":["http://zotero.org/users/2671101/items/6FRWAJ5X"],"itemData":{"id":805,"type":"article-journal","title":"Reproductive isolation caused by colour pattern mimicry","container-title":"Nature","page":"302-305","volume":"411","issue":"6835","source":"www.nature.com","abstract":"Speciation is facilitated if ecological adaptation directly causes assortative mating, but few natural examples are known. Here we show that a shift in colour pattern mimicry was crucial in the origin of two butterfly species. The sister species Heliconius melpomene and Heliconius cydno recently diverged to mimic different model taxa, and our experiments show that their mimetic coloration is also important in choosing mates. Assortative mating between the sister species means that hybridization is rare in nature, and the few hybrids that are produced are non-mimetic, poorly adapted intermediates. Thus, the mimetic shift has caused both pre-mating and post-mating isolation. In addition, individuals from a population of H. melpomene allopatric to H. cydno court and mate with H. cydno more readily than those from a sympatric population. This suggests that assortative mating has been enhanced in sympatry.","DOI":"10.1038/35077075","ISSN":"0028-0836","journalAbbreviation":"Nature","language":"en","author":[{"family":"Jiggins","given":"Chris D."},{"family":"Naisbit","given":"Russell E."},{"family":"Coe","given":"Rebecca L."},{"family":"Mallet","given":"James"}],"issued":{"date-parts":[["2001",5,17]]}},"label":"page"},{"id":2269,"uris":["http://zotero.org/users/2671101/items/6QFXNPHG"],"uri":["http://zotero.org/users/2671101/items/6QFXNPHG"],"itemData":{"id":2269,"type":"article-journal","title":"Sexual Isolation and Cuticular Hydrocarbon Differences between &lt;i&gt;Drosophila santomea&lt;/i&gt; and &lt;i&gt;Drosophila yakuba&lt;/i&gt;","container-title":"Journal of Chemical Ecology","page":"2747-2752","volume":"31","issue":"11","source":"CrossRef","DOI":"10.1007/s10886-005-7570-5","ISSN":"0098-0331, 1573-1561","language":"en","author":[{"family":"Mas","given":"Flore"},{"family":"Jallon","given":"Jean-Marc"}],"issued":{"date-parts":[["2005",11]]}},"label":"page"},{"id":1981,"uris":["http://zotero.org/users/2671101/items/7Z5SQ6B2"],"uri":["http://zotero.org/users/2671101/items/7Z5SQ6B2"],"itemData":{"id":1981,"type":"article-journal","title":"Aphrodisiac pheromones from the wings of the small cabbage white and large cabbage white butterflies, &lt;i&gt;Pieris rapae&lt;/i&gt; and &lt;i&gt;Pieris brassicae&lt;/i&gt;","container-title":"ChemBioChem","page":"1666-1677","volume":"10","issue":"10","source":"Wiley Online Library","abstract":"Pheromonally yours: The aphrodisiac pheromones of male Cabbage White butterflies were identified. The small butterfly uses the smaller molecule ferrulactone (1) to enhance its mating success, while the large butterfly uses the larger compound brassicalactone (2), which is a new natural product. Both compounds are active in combination with hexahydrofarnesylacetone and phytol. The small and large cabbage butterflies, Pieris rapae and P. brassicae, are found worldwide and are of considerable economic importance. The composition of the male scent-producing organs present on the wings was investigated. More than 120 components were identified, but only a small portion proved to be male specific. Major components were the known beetle pheromone ferrulactone (1) in P. rapae and its previously unknown larger analogue, brassicalactone (2), in P. brassicae. The latter carries an additional isoprene unit and is closely related to 1. Other components present in larger amounts on male relative to female wings were hexahydrofarnesylacetone (18) and phytol (23). Brassicalactone (2) was fully characterized by synthesis of its various diastereomers by using ring-closing metathesis. A similar approach to ferrulactone (1) failed, presumably because of its smaller ring size. Instead, this compound was synthesized by using a modified literature procedure. The biological activity of the compounds in the extract was tested by coupled gas chromatographic-electroantennographic (GC-EAD) analysis, which showed that both macrolides and the other major components of the wings can be detected by the antennae of the conspecific female butterflies. Other detectable compounds included several alkanes, which are typical constituents of the butterfly cuticula, derivatives of phytol (23) and long-chain secondary alcohols. Finally, bioassays with males showed that the mixture of 1 (P. rapae) or 2 (P. brassicae) together with 18 and 23 applied to freshly eclosed males increased mating success compared to untreated males. Therefore, the two macrolides 1 and 2 are aphrodisiac pheromone components of male small and large cabbage white butterflies, respectively.","DOI":"10.1002/cbic.200900183","ISSN":"1439-7633","journalAbbreviation":"ChemBioChem","language":"en","author":[{"family":"Yildizhan","given":"Selma"},{"family":"Loon","given":"Joop","non-dropping-particle":"van"},{"family":"Sramkova","given":"Anna"},{"family":"Ayasse","given":"Manfred"},{"family":"Arsene","given":"Cristian"},{"family":"Broeke","given":"Cindy","non-dropping-particle":"ten"},{"family":"Schulz","given":"Stefan"}],"issued":{"date-parts":[["2009"]]}},"label":"page"},{"id":831,"uris":["http://zotero.org/users/2671101/items/FHERQC2Z"],"uri":["http://zotero.org/users/2671101/items/FHERQC2Z"],"itemData":{"id":831,"type":"article-journal","title":"Mate recognition and reproductive isolation in the sibling species &lt;i&gt;Spodoptera littoralis&lt;/i&gt; and &lt;i&gt;Spodoptera litura&lt;/i&gt;","container-title":"Chemical Ecology","page":"18","volume":"2","source":"Frontiers","abstract":"Mate recognition is crucial for reproductive isolation and for maintaining species integrity. Chemosensory-mediated sexual communication with pheromones is an essential component of mate recognition in moths. Confronted with sex pheromone stimuli released from conspecific and closely related heterospecific females, which partially overlap in chemical composition, male moths are under strong selection to recognize compatible mates. Here, we investigated the role of pheromone signals in premating communication in the sibling species Spodoptera littoralis and S. litura (Lepidoptera, Noctuidae). Further, we measured the reproductive consequence of conspecific vs. heterospecific matings. Both species use Z9,E11–14:Ac as the major pheromone compound, and the 11-component blend found in pheromone glands of S. littoralis comprises the compounds found in S. litura. Accordingly, S. littoralis and S. litura males readily responded to conspecific and heterospecific calling females in no-choice behavioral tests. In contrast, in a dual-choice test, S. littoralis males choose conspecific calling females, whereas S. litura males did not discriminate between conspecific and heterospecific females. In S. littoralis females, heterospecific matings had a negative fitness effect as compared to conspecific matings. Female longevity, egg-laying and hatching of larvae were significantly reduced by matings with heterospecific males. Reciprocal crossings, between S. litura females and S. littoralis males, were prevented by genital morphology, which is consistent with reduced heterospecific attraction of S. littoralis males in a dual-choice assay. On the other hand, matings between S. littoralis females and S. litura males, under a no-choice situation, show that interspecific matings occur in zones of geographical overlap and corroborate the idea that mate quality, in these closely related species, is a continuous and not a categorical trait.","DOI":"10.3389/fevo.2014.00018","journalAbbreviation":"Spodoptera littoralis","author":[{"family":"Saveer","given":"Ahmed M."},{"family":"Becher","given":"Paul G."},{"family":"Birgersson","given":"Göran"},{"family":"Hansson","given":"Bill S."},{"family":"Witzgall","given":"Peter"},{"family":"Bengtsson","given":"Marie"}],"issued":{"date-parts":[["2014"]]}},"label":"page"},{"id":2084,"uris":["http://zotero.org/users/2671101/items/ABMIZ9B6"],"uri":["http://zotero.org/users/2671101/items/ABMIZ9B6"],"itemData":{"id":2084,"type":"article-journal","title":"The mechanism of sound production in túngara frogs and its role in sexual selection and speciation","container-title":"Current Opinion in Neurobiology","page":"54-59","volume":"28","source":"PubMed","abstract":"Sexual communication can evolve in response to sexual selection, and it can also cause behavioral reproductive isolation between populations and thus drive speciation. Anurans are an excellent system to investigate these links between behavior and evolution because we have detailed knowledge of how neural mechanisms generate behavioral preferences for calls and how these preferences then generate selection on call variation. But we know far less about the physical mechanisms of call production, especially how different laryngeal morphologies generate call variation. Here we review studies of a group of species that differ in the presence of a secondary call component that evolved under sexual selection. We discuss how the larynx produces this call component, and how laryngeal morphology generates sexual selection and can contribute to speciation.","DOI":"10.1016/j.conb.2014.06.008","ISSN":"1873-6882","note":"PMID: 25033110","journalAbbreviation":"Curr. Opin. Neurobiol.","language":"eng","author":[{"family":"Ryan","given":"M. J."},{"family":"Guerra","given":"Mónica A."}],"issued":{"date-parts":[["2014",10]]}},"label":"page"}],"schema":"https://github.com/citation-style-language/schema/raw/master/csl-citation.json"}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sz w:val="24"/>
          <w:lang w:val="en-US"/>
        </w:rPr>
        <w:t>(Jiggins et al., 2001; Mas and Jallon, 2005; Ryan and Guerra, 2014; Saveer et al., 2014; Yildizhan et al., 2009)</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 xml:space="preserve">. These traits are predicted to show strong species-specific differences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{"citationID":"QY384QEv","properties":{"formattedCitation":"(Gerhardt, 1982)","plainCitation":"(Gerhardt, 1982)","noteIndex":0},"citationItems":[{"id":3398,"uris":["http://zotero.org/users/2671101/items/KY4WC7UW"],"uri":["http://zotero.org/users/2671101/items/KY4WC7UW"],"itemData":{"id":3398,"type":"article-journal","title":"Sound Pattern Recognition in Some North American Treefrogs (Anura: Hylidae): Implications for Mate Choice","container-title":"Integrative and Comparative Biology","page":"581-595","volume":"22","issue":"3","source":"academic.oup.com","abstract":"Abstract.  SYNOPSIS. Playback experiments using synthetic sounds indicate that gravid females of the gray treefrogs (Hyla versicolor and H. chrysoscelis) and th","DOI":"10.1093/icb/22.3.581","ISSN":"1540-7063","title-short":"Sound Pattern Recognition in Some North American Treefrogs (Anura","journalAbbreviation":"Integr Comp Biol","language":"en","author":[{"family":"Gerhardt","given":"H. Carl"}],"issued":{"date-parts":[["1982",8,1]]}}}],"schema":"https://github.com/citation-style-language/schema/raw/master/csl-citation.json"}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sz w:val="24"/>
          <w:lang w:val="en-US"/>
        </w:rPr>
        <w:t>(Gerhardt, 1982)</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 xml:space="preserve">, and typically should be subject to stabilising selection which can act to decrease intraspecific phenotypic variation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{"citationID":"6sXO8MVY","properties":{"formattedCitation":"(Butlin et al., 1985; Pfennig, 1998; Ptacek, 2000)","plainCitation":"(Butlin et al., 1985; Pfennig, 1998; Ptacek, 2000)","noteIndex":0},"citationItems":[{"id":3406,"uris":["http://zotero.org/users/2671101/items/8AF45WBS"],"uri":["http://zotero.org/users/2671101/items/8AF45WBS"],"itemData":{"id":3406,"type":"article-journal","title":"Sexual selection for intermediate optimum in &lt;i&gt;Chorthippus brunneus&lt;/i&gt; (Orthoptera: Acrididae)","container-title":"Animal Behaviour","page":"1281-1292","volume":"33","issue":"4","source":"ScienceDirect","abstract":"Individual males of the grasshopper, Chorthippus brunneus, differ significantly in several components of their calling songs which are used to attract and stimulate females. In a ‘round robin’ experiment involving 21 males, the variance in male mating success was greater than expected by chance. Males were ranked and correlations were sought between this rank and characteristics of the males. A significant negative correlation was found between rank and deviation of individual males from the overall mean syllable length, indicating stabilizing selection on this character, which may be involved in species recognition. In individual competitions between males there was a tendency for the more actively singing male to mate with the female.","DOI":"10.1016/S0003-3472(85)80188-3","ISSN":"0003-3472","title-short":"Sexual selection for intermediate optimum in Chorthippus brunneus (Orthoptera","journalAbbreviation":"Animal Behaviour","author":[{"family":"Butlin","given":"R. K."},{"family":"Hewitt","given":"G. M."},{"family":"Webb","given":"S. F."}],"issued":{"date-parts":[["1985",11,1]]}},"label":"page"},{"id":2173,"uris":["http://zotero.org/users/2671101/items/ZGZZTK77"],"uri":["http://zotero.org/users/2671101/items/ZGZZTK77"],"itemData":{"id":2173,"type":"article-journal","title":"The evolution of mate choice and the potential for conflict between species and mate–quality recognition","container-title":"Proceedings of the Royal Society of London B: Biological Sciences","page":"1743-1748","volume":"265","issue":"1407","abstract":"Understanding how individuals select mates becomes complex when high–quality conspecifics resemble heterospecifics. Individuals facing such a situation may be unable to effectively identify both conspecifics (species recognition) and high–quality mates that can confer fitness benefits to the choosy individual or its offspring (mate–quality recognition). Here I suggest when a conflict may occur between species and mate–quality recognition, discuss the evolutionary consequences stemming from this conflict, and present a model of mate–preference evolution in response to heterospecifics. Determining how species and mate–quality recognition interact to shape mate–choice decisions is important for understanding the diversification of sexually selected traits among closely related taxonomic groups, the use of complex sensory systems for detecting mates, and seemingly inappropriate mate–choice decisions.","DOI":"10.1098/rspb.1998.0497","author":[{"family":"Pfennig","given":"Karin S."}],"issued":{"date-parts":[["1998",9,22]]}},"label":"page"},{"id":2015,"uris":["http://zotero.org/users/2671101/items/2PSJBHKB"],"uri":["http://zotero.org/users/2671101/items/2PSJBHKB"],"itemData":{"id":2015,"type":"article-journal","title":"The role of mating preferences in shaping interspecific divergence in mating signals in vertebrates","container-title":"Behavioural Processes","page":"111-134","volume":"51","issue":"1-3","source":"PubMed","abstract":"Vertebrates represent one of the best-studied groups in terms of the role that mating preferences have played in the evolution of exaggerated secondary sexual characters and mating behaviours within species. Vertebrate species however, also exhibit enormous interspecific diversity in features of mating signals that has potentially led to reproductive isolation and speciation in many groups. The role that sexual selection has played in interspecific divergence in mating signals has been less fully explored. This review summarizes our current knowledge of how mating preferences within species have shaped interspecific divergence in mate recognition signals among the major vertebrate groups. Certain signal modalities appear to characterize mating signal diversification among different vertebrate taxa. Acoustic signals play an important role in mating decisions in anuran amphibians and birds. Here, different properties of the signal may convey information regarding individual, neighbor and species recognition. Mating preferences for particular features of the acoustic signal have led to interspecific divergence in calls and songs. Divergence in morphological traits such as colouration or ornamentation appears to be important in interspecific diversity in certain groups of fishes and birds. Pheromonal signals serve as the primary basis for species-specific mating cues in many salamander species, most mammals and even some fishes. The evolution of interspecific divergence in elaborate courtship displays may have played an important role in speciation of lizards, and particular groups of fishes, salamanders, birds and mammals. While much research has focused on the importance of mating preferences in shaping the evolution of these types of mating signals within species, the link between intraspecific preferences and interspecific divergence and speciation remains to be more fully tested. Future studies should focus on identifying how variation in mating preferences within a species shapes interspecific diversity in features of mating signals in order to better understand how sexual selection may have led to speciation in vertebrates.","DOI":"10.1016/S0376-6357(00)00123-6","ISSN":"1872-8308","note":"PMID: 11074316","journalAbbreviation":"Behav. Processes","language":"ENG","author":[{"family":"Ptacek","given":"MB"}],"issued":{"date-parts":[["2000",10,5]]}},"label":"page"}],"schema":"https://github.com/citation-style-language/schema/raw/master/csl-citation.json"}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sz w:val="24"/>
          <w:lang w:val="en-US"/>
        </w:rPr>
        <w:t>(Butlin et al., 1985; Pfennig, 1998; Ptacek, 2000)</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 xml:space="preserve">. As a consequence, we would expect to find little trait variability, or at least certain features to be invariant, across species geographic ranges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{"citationID":"apvqf9616j","properties":{"formattedCitation":"(Benedict and Bowie, 2009; Ferreira and Ferguson, 2002; McPeek et al., 2011; Weber et al., 2016)","plainCitation":"(Benedict and Bowie, 2009; Ferreira and Ferguson, 2002; McPeek et al., 2011; Weber et al., 2016)","noteIndex":0},"citationItems":[{"id":3401,"uris":["http://zotero.org/users/2671101/items/GQGDJ2IX"],"uri":["http://zotero.org/users/2671101/items/GQGDJ2IX"],"itemData":{"id":3401,"type":"article-journal","title":"Macrogeographical variation in the song of a widely distributed African warbler","container-title":"Biology Letters","page":"484-487","volume":"5","issue":"4","source":"PubMed Central","abstract":"The songs of oscine passerine birds vary on many spatial scales, reflecting the actions of diverse evolutionary pressures. Here we examine the songs of Cisticola erythrops, which effectively signal species identity across a geographical area spanning 6500 km in sub-Saharan Africa. Selection for species identification should promote stability in song traits, while sexual selection and geographical segregation should promote diversity. Cisticola erythrops share syllable types across the entire range of species and structure songs similarly, but individuals sing highly variable songs through improvisational recombination of syllables. Patterns of syllable use change gradually across the range of the species and do not show distinct breaks at subspecies boundaries. The acoustic properties of the most common syllable type also change gradually with distance. The results illustrate how songs can be simultaneously species-specific and highly variable at an individual level. At a larger level, patterns of variation indicate that cultural drift has generated song diversity through an isolation by distance mechanism.","DOI":"10.1098/rsbl.2009.0244","ISSN":"1744-9561","note":"PMID: 19443510\nPMCID: PMC2781929","journalAbbreviation":"Biol Lett","author":[{"family":"Benedict","given":"Lauryn"},{"family":"Bowie","given":"Rauri C. K."}],"issued":{"date-parts":[["2009",8,23]]}},"label":"page"},{"id":3395,"uris":["http://zotero.org/users/2671101/items/2F8N8PH2"],"uri":["http://zotero.org/users/2671101/items/2F8N8PH2"],"itemData":{"id":3395,"type":"article-journal","title":"Geographic variation in the calling song of the field cricket &lt;i&gt;Gryllus bimaculatus&lt;/i&gt; (Orthoptera: Gryllidae) and its relevance to mate recognition and mate choice","container-title":"Journal of Zoology","page":"163-170","volume":"257","issue":"2","source":"Wiley Online Library","abstract":"For Gryllus bimaculatus (Orthoptera: Gryllidae), a comparison was made of the prediction from species recognition theory that stabilizing selection acts on mate recognition traits and that of sexual selection that predicts diversifying selection on mate recognition traits. The calling songs and morphometrics of four populations of field crickets from South Africa were compared. Song characteristics generally showed less between-population variation than did morphometric variation. This applied in particular to the song characteristics known to be important in species recognition. Within-population variation of species recognition traits were significantly smaller than for other call traits as well as morphometric traits. This is consistent with the expectation that stabilizing selection occurs for species recognition traits within populations as well as throughout their geographical ranges. No song traits correlated significantly with body size. Our study suggests that the calling song traits involved in mate recognition lack the variation required for sexual selection to operate. However, the amount of variation inherent in some of the other song parameters of field crickets still has the potential to give rise to sexual selection based on traits other than body size.","DOI":"10.1017/S0952836902000766","ISSN":"1469-7998","title-short":"Geographic variation in the calling song of the field cricket Gryllus bimaculatus (Orthoptera","language":"en","author":[{"family":"Ferreira","given":"M."},{"family":"Ferguson","given":"J. W. H."}],"issued":{"date-parts":[["2002"]]}},"label":"page"},{"id":3404,"uris":["http://zotero.org/users/2671101/items/5CLTJVLA"],"uri":["http://zotero.org/users/2671101/items/5CLTJVLA"],"itemData":{"id":3404,"type":"article-journal","title":"Species recognition and patterns of population variation in the reproductive structures of a damselfly genus","container-title":"Evolution; International Journal of Organic Evolution","page":"419-428","volume":"65","issue":"2","source":"PubMed","abstract":"The selection pressures imposed by mate choice for species identity should impose strong stabilizing selection on traits that confer species identity to mates. Thus, we expect that such traits should show nonoverlapping distributions among closely related species, but show little to no variance among populations within a species. We tested these predictions by comparing levels of population differentiation in the sizes and shapes of male cerci (i.e., the clasper structures used for species identity during mating) of six Enallagma damselfly species. Cerci shapes were nonoverlapping among Enallagma species, and five of six Enallagma species showed no population variation across their entire species ranges. In contrast, cerci sizes overlapped among species and varied substantially among populations within species. These results, taken with previous studies, suggest that cerci shape is a primary feature used in species recognition used to discriminate conspecific from heterospecifics during mating.","DOI":"10.1111/j.1558-5646.2010.01138.x","ISSN":"1558-5646","note":"PMID: 20874736","journalAbbreviation":"Evolution","language":"eng","author":[{"family":"McPeek","given":"Mark A."},{"family":"Symes","given":"Laurel B."},{"family":"Zong","given":"Denise M."},{"family":"McPeek","given":"Curtis L."}],"issued":{"date-parts":[["2011",2]]}},"label":"page"},{"id":3259,"uris":["http://zotero.org/users/2671101/items/N2FHPHD7"],"uri":["http://zotero.org/users/2671101/items/N2FHPHD7"],"itemData":{"id":3259,"type":"article-journal","title":"Macroevolution of perfume signalling in orchid bees","container-title":"Ecology Letters","page":"1314-1323","volume":"19","issue":"11","source":"Wiley Online Library","abstract":"Theory predicts that both stabilising selection and diversifying selection jointly contribute to the evolution of sexual signalling traits by (1) maintaining the integrity of communication signals within species and (2) promoting the diversification of traits among lineages. However, for many important signalling traits, little is known about whether these dynamics translate into predictable macroevolutionary signatures. Here, we test for macroevolutionary patterns consistent with sexual signalling theory in the perfume signals of neotropical orchid bees, a group well studied for their chemical sexual communication. Our results revealed both high species-specificity and elevated rates of evolution in perfume signals compared to nonsignalling traits. Perfume complexity was correlated with the number of congeners in a species’ range, suggesting that perfume evolution may be tied to the remarkably high number of orchid bee species coexisting together in some neotropical communities. Finally, sister-pair comparisons were consistent with both rapid divergence at speciation and character displacement upon secondary contact. Together, our results provide new insight into the macroevolution of sexual signalling in insects.","DOI":"10.1111/ele.12667","ISSN":"1461-0248","language":"en","author":[{"family":"Weber","given":"Marjorie G."},{"family":"Mitko","given":"Lukasz"},{"family":"Eltz","given":"Thomas"},{"family":"Ramírez","given":"Santiago R."}],"issued":{"date-parts":[["2016"]]}},"label":"page"}],"schema":"https://github.com/citation-style-language/schema/raw/master/csl-citation.json"}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sz w:val="24"/>
          <w:lang w:val="en-US"/>
        </w:rPr>
        <w:t>(Benedict and Bowie, 2009; Ferreira and Ferguson, 2002; McPeek et al., 2011; Weber et al., 2016)</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 xml:space="preserve">. However, these traits can also exhibit variation both within and between populations of the same species, either due to genetic drift and/or varying selective regimes across their ranges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{"citationID":"C9xcmr5x","properties":{"formattedCitation":"(Bolnick and Kirkpatrick, 2012; Ryan et al., 1996; Ryan and Guerra, 2014; Ryan and Rand, 1993)","plainCitation":"(Bolnick and Kirkpatrick, 2012; Ryan et al., 1996; Ryan and Guerra, 2014; Ryan and Rand, 1993)","noteIndex":0},"citationItems":[{"id":2072,"uris":["http://zotero.org/users/2671101/items/GW9M7UEI"],"uri":["http://zotero.org/users/2671101/items/GW9M7UEI"],"itemData":{"id":2072,"type":"article-journal","title":"Species Recognition and Sexual Selection as a Unitary Problem in Animal Communication","container-title":"Evolution","page":"647-657","volume":"47","issue":"2","DOI":"10.2307/2410076","ISSN":"1558-5646","author":[{"family":"Ryan","given":"M. J."},{"family":"Rand","given":"A. Stanley"}],"issued":{"date-parts":[["1993"]]}},"label":"page"},{"id":3193,"uris":["http://zotero.org/users/2671101/items/6J6YUMQA"],"uri":["http://zotero.org/users/2671101/items/6J6YUMQA"],"itemData":{"id":3193,"type":"article-journal","title":"Allozyme and Advertisement Call Variation in the Túngara Frog, &lt;i&gt;Physalaemus Pustulosus&lt;/i&gt;","container-title":"Evolution","page":"2435-2453","volume":"50","issue":"6","source":"Wiley Online Library","abstract":"We analyzed variation in advertisement calls and allozymes in 30 populations along a 5000-km transect throughout most of the range of the túngara frog, Physalaemus pustulosus. All 12 call variables measured show significant differences among populations despite the importance of the advertisement call in species recognition. Some call variables exhibited clinal variation, whereas most others differed between the two major allozyme groups that have invaded Panama at different times, perhaps 4–4.5 million yr apart. Call variables that primarily affect discrimination among conspecifics tended to exhibit greater variation than call variables that are crucial for species recognition. The proximate mechanism of production underlying a call variable, however, is a better predictor of its variation. Contrary to predictions of some sexual selection models, call variation exhibits predictable patterns of geographical variation, although a substantial portion of variation among populations is not explained by geographic position. Although allozymes, calls, and geography usually covary, closer populations can have more similar calls independent of allozyme similarity.","DOI":"10.1111/j.1558-5646.1996.tb03630.x","ISSN":"1558-5646","language":"en","author":[{"family":"Ryan","given":"M. J."},{"family":"Rand","given":"A. Stanley"},{"family":"Weigt","given":"Lee A."}],"issued":{"date-parts":[["1996"]]}},"label":"page"},{"id":3352,"uris":["http://zotero.org/users/2671101/items/C2GQCILW"],"uri":["http://zotero.org/users/2671101/items/C2GQCILW"],"itemData":{"id":3352,"type":"article-journal","title":"The relationship between intraspecific assortative mating and reproductive isolation between divergent populations","container-title":"Current Zoology","page":"484-492","volume":"58","issue":"3","source":"academic.oup.com","abstract":"Abstract.  The term ‘assortative mating’ has been applied to describe two very different phenomena: (1) the tendency for individuals to choose phenotypically si","DOI":"10.1093/czoolo/58.3.484","ISSN":"1674-5507","journalAbbreviation":"Curr Zool","language":"en","author":[{"family":"Bolnick","given":"Daniel I."},{"family":"Kirkpatrick","given":"Mark"}],"issued":{"date-parts":[["2012",6,1]]}},"label":"page"},{"id":2084,"uris":["http://zotero.org/users/2671101/items/ABMIZ9B6"],"uri":["http://zotero.org/users/2671101/items/ABMIZ9B6"],"itemData":{"id":2084,"type":"article-journal","title":"The mechanism of sound production in túngara frogs and its role in sexual selection and speciation","container-title":"Current Opinion in Neurobiology","page":"54-59","volume":"28","source":"PubMed","abstract":"Sexual communication can evolve in response to sexual selection, and it can also cause behavioral reproductive isolation between populations and thus drive speciation. Anurans are an excellent system to investigate these links between behavior and evolution because we have detailed knowledge of how neural mechanisms generate behavioral preferences for calls and how these preferences then generate selection on call variation. But we know far less about the physical mechanisms of call production, especially how different laryngeal morphologies generate call variation. Here we review studies of a group of species that differ in the presence of a secondary call component that evolved under sexual selection. We discuss how the larynx produces this call component, and how laryngeal morphology generates sexual selection and can contribute to speciation.","DOI":"10.1016/j.conb.2014.06.008","ISSN":"1873-6882","note":"PMID: 25033110","journalAbbreviation":"Curr. Opin. Neurobiol.","language":"eng","author":[{"family":"Ryan","given":"M. J."},{"family":"Guerra","given":"Mónica A."}],"issued":{"date-parts":[["2014",10]]}},"label":"page"}],"schema":"https://github.com/citation-style-language/schema/raw/master/csl-citation.json"}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sz w:val="24"/>
          <w:lang w:val="en-US"/>
        </w:rPr>
        <w:t>(Bolnick and Kirkpatrick, 2012; Ryan et al., 1996; Ryan and Guerra, 2014; Ryan and Rand, 1993)</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 xml:space="preserve">. </w:t>
      </w:r>
    </w:p>
    <w:p w:rsidR="00A7633C" w:rsidRPr="000224E9" w:rsidRDefault="00A7633C" w:rsidP="00A7633C">
      <w:pPr>
        <w:spacing w:after="120" w:line="480" w:lineRule="auto"/>
        <w:ind w:firstLine="720"/>
        <w:rPr>
          <w:rFonts w:ascii="Times New Roman" w:hAnsi="Times New Roman" w:cs="Times New Roman"/>
          <w:sz w:val="24"/>
          <w:szCs w:val="24"/>
          <w:lang w:val="da-DK"/>
        </w:rPr>
      </w:pPr>
      <w:r w:rsidRPr="000224E9">
        <w:rPr>
          <w:rFonts w:ascii="Times New Roman" w:hAnsi="Times New Roman" w:cs="Times New Roman"/>
          <w:sz w:val="24"/>
          <w:szCs w:val="24"/>
        </w:rPr>
        <w:t xml:space="preserve">Signals important for behavioural isolation could arise from the divergence of traits used in intraspecific communication between populations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{"citationID":"1JjbalSM","properties":{"formattedCitation":"(Johansson and Jones, 2007; Mendelson and Shaw, 2012; Ryan and Rand, 1993; Smadja and Butlin, 2008)","plainCitation":"(Johansson and Jones, 2007; Mendelson and Shaw, 2012; Ryan and Rand, 1993; Smadja and Butlin, 2008)","noteIndex":0},"citationItems":[{"id":2072,"uris":["http://zotero.org/users/2671101/items/GW9M7UEI"],"uri":["http://zotero.org/users/2671101/items/GW9M7UEI"],"itemData":{"id":2072,"type":"article-journal","title":"Species Recognition and Sexual Selection as a Unitary Problem in Animal Communication","container-title":"Evolution","page":"647-657","volume":"47","issue":"2","DOI":"10.2307/2410076","ISSN":"1558-5646","author":[{"family":"Ryan","given":"M. J."},{"family":"Rand","given":"A. Stanley"}],"issued":{"date-parts":[["1993"]]}},"label":"page"},{"id":795,"uris":["http://zotero.org/users/2671101/items/2WGC7SEM"],"uri":["http://zotero.org/users/2671101/items/2WGC7SEM"],"itemData":{"id":795,"type":"article-journal","title":"The role of chemical communication in mate choice","container-title":"Biological Reviews","page":"265-289","volume":"82","issue":"2","source":"Wiley Online Library","abstract":"Chemical signals are omnipresent in sexual communication in the vast majority of living organisms. The traditional paradigm was that their main purpose in sexual behaviour was to coordinate mate and species recognition and thus pheromones were conserved in structure and function. In recent years, this view has been challenged by theoretical analyses on the evolution of pheromones and empirical reports of mate choice based on chemical signals. The ability to measure precisely the quantity and quality of chemicals emitted by single individuals has also revealed considerable individual variation in chemical composition and release rates, and there is mounting evidence that prospecting mates respond to this variation. Here, we review the evidence for pheromones as indicators of mate quality and examine the extent of their use in individual mate assessment. We begin by briefly defining the levels of mate choice – species recognition, mate recognition and mate assessment. We then explore the degree to which pheromones satisfy the key criteria necessary for their evolution and maintenance as cues in mate assessment; that is, they should exhibit variation across individuals within a sex and species; they should honestly reflect an individual’s quality and thus be costly to produce and/or maintain; they should display relatively high levels of heritability. There is now substantial empirical evidence that pheromones can satisfy all these criteria and, while measurements of the actual metabolic cost of pheromone production remain to some degree lacking, trade-offs between pheromone production and various fitness-related characters such as growth rate, immunocompetence and longevity have been reported for a range of species. In the penultimate section, we outline the growing number of studies where the consequences of chemical-based mate assessment have been investigated, specifically focussing on the reported direct and genetic benefits accrued by the receiver. Finally, we highlight potential areas for future research and in particular emphasise the need for interdisciplinary research that combines exploration of chemical, physiological and behavioural processes to further our understanding of the role of chemical cues in mate assessment.","DOI":"10.1111/j.1469-185X.2007.00009.x","ISSN":"1469-185X","language":"en","author":[{"family":"Johansson","given":"Björn G."},{"family":"Jones","given":"Therésa M."}],"issued":{"date-parts":[["2007",5,1]]}},"label":"page"},{"id":859,"uris":["http://zotero.org/users/2671101/items/S6XZU5SN"],"uri":["http://zotero.org/users/2671101/items/S6XZU5SN"],"itemData":{"id":859,"type":"article-journal","title":"On the scent of speciation: the chemosensory system and its role in premating isolation","container-title":"Heredity","page":"77-97","volume":"102","issue":"1","source":"www.nature.com","abstract":"Chemosensory speciation is characterized by the evolution of barriers to genetic exchange that involve chemosensory systems and chemical signals. Here, we review some representative studies documenting chemosensory speciation in an attempt to evaluate the importance and the different aspects of the process in nature and to gain insights into the genetic basis and the evolutionary mechanisms of chemosensory trait divergence. Although most studies of chemosensory speciation concern sexual isolation mediated by pheromone divergence, especially in Drosophila and moth species, other chemically based behaviours (habitat choice, pollinator attraction) can also play an important role in speciation and are likely to do so in a wide range of invertebrate and vertebrate species. Adaptive divergence of chemosensory traits in response to factors such as pollinators, hosts and conspecifics commonly drives the evolution of chemical prezygotic barriers. Although the genetic basis of chemosensory speciation remains largely unknown, genomic approaches to chemosensory gene families and to enzymes involved in biosynthetic pathways of signal compounds now provide new opportunities to dissect the genetic basis of these complex traits and of their divergence among taxa.","DOI":"10.1038/hdy.2008.55","ISSN":"0018-067X","title-short":"On the scent of speciation","journalAbbreviation":"Heredity","language":"en","author":[{"family":"Smadja","given":"Carole M."},{"family":"Butlin","given":"R. K."}],"issued":{"date-parts":[["2008",8,6]]}},"label":"page"},{"id":2099,"uris":["http://zotero.org/users/2671101/items/MWHTTTVC"],"uri":["http://zotero.org/users/2671101/items/MWHTTTVC"],"itemData":{"id":2099,"type":"article-journal","title":"The (mis)concept of species recognition","container-title":"Trends in Ecology &amp; Evolution","page":"421-427","volume":"27","issue":"8","source":"www.cell.com","abstract":"To many, the concept of ‘species recognition’ is integral to the origin and maintenance of species. However, the heuristic value of species recognition is hampered by its reliance on the problematic concept of species. In this paper, we first discuss assumptions associated with prevailing use of the term, including the typological implications of the concept, the false dichotomy of compatibility and mate quality, and the commonly held model of species recognition in which animals determine taxonomic status before mate status. Subsequently, we propose research directions aimed to improve our understanding of the role of courtship behavior in speciation. We propose two complementary research approaches, one addressing the processes that drive the evolution of mate recognition systems and the other addressing the phenotypic architecture of behavioral isolation. Our approach emphasizes the fitness consequences and multidimensional nature of mate choice.","DOI":"10.1016/j.tree.2012.04.001","ISSN":"0169-5347","note":"PMID: 22575840","language":"English","author":[{"family":"Mendelson","given":"Tamra C."},{"family":"Shaw","given":"Kerry L."}],"issued":{"date-parts":[["2012",8,1]]}},"label":"page"}],"schema":"https://github.com/citation-style-language/schema/raw/master/csl-citation.json"}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noProof/>
          <w:sz w:val="24"/>
          <w:szCs w:val="24"/>
        </w:rPr>
        <w:t>(Johansson and Jones, 2007; Mendelson and Shaw, 2012; Ryan and Rand, 1993; Smadja and Butlin, 2008)</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 xml:space="preserve">. Signal divergence can be driven by various factors, both neutral and adaptive, usually involving multiple evolutionary forces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{"citationID":"SGGMUHT7","properties":{"formattedCitation":"(Leonhardt et al., 2013; Sun et al., 2013)","plainCitation":"(Leonhardt et al., 2013; Sun et al., 2013)","noteIndex":0},"citationItems":[{"id":3236,"uris":["http://zotero.org/users/2671101/items/F2MSYQWH"],"uri":["http://zotero.org/users/2671101/items/F2MSYQWH"],"itemData":{"id":3236,"type":"article-journal","title":"Genes versus environment: Geography and phylogenetic relationships shape the chemical profiles of stingless bees on a global scale","container-title":"Proceedings. Biological sciences / The Royal Society","page":"20130680","volume":"280","source":"ResearchGate","abstract":"Chemical compounds are highly important in the ecology of animals. In social insects, compounds on the body surface represent a particularly interesting trait, because they comprise different compound classes that are involved in different functions, such as communication, recognition and protection, all of which can be differentially affected by evolutionary processes. Here, we investigate the widely unknown and possibly antagonistic influence of phylogenetic and environmental factors on the composition of the cuticular chemistry of tropical stingless bees. We chose stingless bees because some species are unique in expressing not only self-produced compounds, but also compounds that are taken up from the environment. By relating the cuticular chemistry of 40 bee species from all over the world to their molecular phylogeny and geographical occurrence, we found that distribution patterns of different groups of compounds were differentially affected by genetic relatedness and biogeography. The ability to acquire environmental compounds was, for example, highly correlated with the bees' phylogeny and predominated in evolutionarily derived species. Owing to the presence of environmentally derived compounds, those species further expressed a higher chemical and thus functional diversity. In Old World species, chemical similarity of both environmentally derived and self-produced compounds was particularly high among sympatric species, even when they were less related to each other than to allopatric species, revealing a strong environmental effect even on largely genetically determined compounds. Thus, our findings do not only reveal an unexpectedly strong influence of the environment on the cuticular chemistry of stingless bees, but also demonstrate that even within one morphological trait (an insect's cuticular profile), different components (compound classes) can be differentially affected by different drivers (relatedness and biogeography), depending on the functional context.","DOI":"10.1098/rspb.2013.0680","title-short":"Genes versus environment","author":[{"family":"Leonhardt","given":"Sara"},{"family":"Rasmussen","given":"Claus"},{"family":"Schmitt","given":"Thomas"}],"issued":{"date-parts":[["2013",5,8]]}},"label":"page"},{"id":3202,"uris":["http://zotero.org/users/2671101/items/D3WCVWAQ"],"uri":["http://zotero.org/users/2671101/items/D3WCVWAQ"],"itemData":{"id":3202,"type":"article-journal","title":"Geographic Variation in the Acoustic Traits of Greater Horseshoe Bats: Testing the Importance of Drift and Ecological Selection in Evolutionary Processes","container-title":"PLOS ONE","page":"e70368","volume":"8","issue":"8","source":"PLoS Journals","abstract":"Patterns of intraspecific geographic variation of signaling systems provide insight into the microevolutionary processes driving phenotypic divergence. The acoustic calls of bats are sensitive to diverse evolutionary forces, but processes that shape call variation are largely unexplored. In China, Rhinolophus ferrumequinum displays a diverse call frequency and inhabits a heterogeneous landscape, presenting an excellent opportunity for this kind of research. We quantified geographic variation in resting frequency (RF) of echolocation calls, estimated genetic structure and phylogeny of R. ferrumequinum populations, and combined this with climatic factors to test three hypotheses to explain acoustic variation: genetic drift, cultural drift, and local adaptation. Our results demonstrated significant regional divergence in frequency and phylogeny among the bat populations in China's northeast (NE), central-east (CE) and southwest (SW) regions. The CE region had higher frequencies than the NE and SW regions. Drivers of RF divergence were estimated in the entire range and just the CE/NE region (since these two regions form a clade). In both cases, RF divergence was not correlated with mtDNA or nDNA genetic distance, but was significantly correlated with geographic distance and mean annual temperature, indicating cultural drift and ecological selection pressures are likely important in shaping RF divergence among different regions in China.","DOI":"10.1371/journal.pone.0070368","ISSN":"1932-6203","title-short":"Geographic Variation in the Acoustic Traits of Greater Horseshoe Bats","journalAbbreviation":"PLOS ONE","language":"en","author":[{"family":"Sun","given":"Keping"},{"family":"Luo","given":"Li"},{"family":"Kimball","given":"Rebecca T."},{"family":"Wei","given":"Xuewen"},{"family":"Jin","given":"Longru"},{"family":"Jiang","given":"Tinglei"},{"family":"Li","given":"Guohong"},{"family":"Feng","given":"Jiang"}],"issued":{"date-parts":[["2013",8,8]]}},"label":"page"}],"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sz w:val="24"/>
          <w:lang w:val="en-US"/>
        </w:rPr>
        <w:t>(Leonhardt et al., 2013; Sun et al., 2013)</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 xml:space="preserve">. A positive correlation between genetic distance and phenotypic variation is consistent with stochastic processes, such as genetic drift, playing a prominent role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{"citationID":"7bGK1mLN","properties":{"formattedCitation":"(Irwin et al., 2008)","plainCitation":"(Irwin et al., 2008)","noteIndex":0},"citationItems":[{"id":3207,"uris":["http://zotero.org/users/2671101/items/DK5IFRDH"],"uri":["http://zotero.org/users/2671101/items/DK5IFRDH"],"itemData":{"id":3207,"type":"article-journal","title":"Call divergence is correlated with geographic and genetic distance in greenish warblers (&lt;i&gt;Phylloscopus trochiloides&lt;/i&gt;): a strong role for stochasticity in signal evolution?","container-title":"Journal of Evolutionary Biology","page":"435-448","volume":"21","issue":"2","source":"Wiley Online Library","abstract":"Divergence in signalling systems might play a central role in speciation. To assess the importance of possible causes of signal divergence, we examine two types of vocalizations within a geographically variable species complex, the greenish warblers (Phylloscopus trochiloides Sundevall). Calls, which are used by both sexes throughout the year, and songs, which are sung primarily by breeding males, differ distinctly between two distinct Siberian forms. Through a ring of southern populations that connect the northern forms, signal divergence is correlated with both geographic distance and genetic divergence. Calls and songs differ in their particular patterns of geographic variation, probably because of the larger influence of sexual selection on songs than on calls. These patterns are supportive of neither acoustic adaptation nor morphology being major drivers of divergence in vocalizations. Rather, these results support the importance of stochastic evolution of communication systems in the evolution of new species.","DOI":"10.1111/j.1420-9101.2007.01499.x","ISSN":"1420-9101","title-short":"Call divergence is correlated with geographic and genetic distance in greenish warblers (Phylloscopus trochiloides)","language":"en","author":[{"family":"Irwin","given":"D. E."},{"family":"Thimgan","given":"M. P."},{"family":"Irwin","given":"J. H."}],"issued":{"date-parts":[["2008"]]}}}],"schema":"https://github.com/citation-style-language/schema/raw/master/csl-citation.json"}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sz w:val="24"/>
          <w:lang w:val="en-US"/>
        </w:rPr>
        <w:t>(Irwin et al., 2008)</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 xml:space="preserve">. In contrast, a lack of correlation between phenotypic and genetic divergence may suggest that selection is shaping </w:t>
      </w:r>
      <w:r w:rsidRPr="000224E9">
        <w:rPr>
          <w:rFonts w:ascii="Times New Roman" w:hAnsi="Times New Roman" w:cs="Times New Roman"/>
          <w:sz w:val="24"/>
          <w:szCs w:val="24"/>
        </w:rPr>
        <w:lastRenderedPageBreak/>
        <w:t xml:space="preserve">the phenotypic variation, perhaps driving divergence in different directions in each population </w:t>
      </w:r>
      <w:r w:rsidRPr="000224E9">
        <w:rPr>
          <w:rFonts w:ascii="Times New Roman" w:hAnsi="Times New Roman" w:cs="Times New Roman"/>
          <w:sz w:val="24"/>
          <w:szCs w:val="24"/>
        </w:rPr>
        <w:fldChar w:fldCharType="begin"/>
      </w:r>
      <w:r w:rsidR="00D0409B" w:rsidRPr="000224E9">
        <w:rPr>
          <w:rFonts w:ascii="Times New Roman" w:hAnsi="Times New Roman" w:cs="Times New Roman"/>
          <w:sz w:val="24"/>
          <w:szCs w:val="24"/>
        </w:rPr>
        <w:instrText xml:space="preserve"> ADDIN ZOTERO_ITEM CSL_CITATION {"citationID":"YmWe5XGQ","properties":{"formattedCitation":"(Campbell et al., 2010; Conrad et al., 2018; Hankison and Ptacek, 2008; Mullen et al., 2009)","plainCitation":"(Campbell et al., 2010; Conrad et al., 2018; Hankison and Ptacek, 2008; Mullen et al., 2009)","noteIndex":0},"citationItems":[{"id":3182,"uris":["http://zotero.org/users/2671101/items/F33YPG58"],"uri":["http://zotero.org/users/2671101/items/F33YPG58"],"itemData":{"id":3182,"type":"article-journal","title":"Geographical variation of genetic and phenotypic traits in the Mexican sailfin mollies, &lt;i&gt;Poecilia velifera&lt;/i&gt; and &lt;i&gt;P. petenensis&lt;/i&gt;","container-title":"Molecular Ecology","page":"2219-2233","volume":"17","issue":"9","source":"Wiley Online Library","abstract":"Comparing the patterns of population divergence using both neutral genetic and phenotypic traits provides an opportunity to examine the relative importance of evolutionary mechanisms in shaping population differences. We used microsatellite markers to examine population genetic structure in the Mexican sailfin mollies Poecilia velifera and P. petenensis. We compared patterns of genetic structure and divergence to that in two types of phenotypic traits: morphological characters and mating behaviours. Populations within each species were genetically distinct, and conformed to a model of isolation by distance, with populations within different geographical regions being more genetically similar to one another than were populations from different regions. Bayesian clustering and barrier analyses provided additional support for population separation, especially between geographical regions. In contrast, none of the phenotypic traits showed any type of geographical pattern, and population divergence in these traits was uncorrelated with that found in neutral markers. There was also a weaker pattern of regional differences among geographical regions compared to neutral genetic divergence. These results suggest that while divergence in neutral traits is likely a product of population history and genetic drift, phenotypic divergence is governed by different mechanisms, such as natural and sexual selection, and arises at spatial scales independent from those of neutral markers.","DOI":"10.1111/j.1365-294X.2008.03736.x","ISSN":"1365-294X","language":"en","author":[{"family":"Hankison","given":"S. J."},{"family":"Ptacek","given":"M. B."}],"issued":{"date-parts":[["2008"]]}},"label":"page"},{"id":3179,"uris":["http://zotero.org/users/2671101/items/VAHSC4RU"],"uri":["http://zotero.org/users/2671101/items/VAHSC4RU"],"itemData":{"id":3179,"type":"article-journal","title":"Adaptive basis of geographic variation: genetic, phenotypic and environmental differences among beach mouse populations","container-title":"Proceedings of the Royal Society of London B: Biological Sciences","page":"3809-3818","volume":"276","issue":"1674","source":"rspb.royalsocietypublishing.org","abstract":"A major goal in evolutionary biology is to understand how and why populations differentiate, both genetically and phenotypically, as they invade a novel habitat. A classical example of adaptation is the pale colour of beach mice, relative to their dark mainland ancestors, which colonized the isolated sandy dunes and barrier islands on Florida's Gulf Coast. However, much less is known about differentiation among the Gulf Coast beach mice, which comprise five subspecies linearly arrayed on Florida's shoreline. Here, we test the role of selection in maintaining variation among these beach mouse subspecies at multiple levels—phenotype, genotype and the environments they inhabit. While all beach subspecies have light pelage, they differ significantly in colour pattern. These subspecies are also genetically distinct: pair-wise Fst-values range from 0.23 to 0.63 and levels of gene flow are low. However, we did not find a correlation between phenotypic and genetic distance. Instead, we find a significant association between the average ‘lightness’ of each subspecies and the brightness of the substrate it inhabits: the two most genetically divergent subspecies occupy the most similar habitats and have converged on phenotype, whereas the most genetically similar subspecies occupy the most different environments and have divergent phenotypes. Moreover, allelic variation at the pigmentation gene, Mc1r, is statistically correlated with these colour differences but not with variation at other genetic loci. Together, these results suggest that natural selection for camouflage—via changes in Mc1r allele frequency—contributes to pigment differentiation among beach mouse subspecies.","DOI":"10.1098/rspb.2009.1146","ISSN":"0962-8452, 1471-2954","note":"PMID: 19656790","title-short":"Adaptive basis of geographic variation","language":"en","author":[{"family":"Mullen","given":"Lynne M."},{"family":"Vignieri","given":"Sacha N."},{"family":"Gore","given":"Jeffery A."},{"family":"Hoekstra","given":"Hopi E."}],"issued":{"date-parts":[["2009",11,7]]}},"label":"page"},{"id":3205,"uris":["http://zotero.org/users/2671101/items/TGE6TJWB"],"uri":["http://zotero.org/users/2671101/items/TGE6TJWB"],"itemData":{"id":3205,"type":"article-journal","title":"Geographic variation in the songs of neotropical singing mice: testing the relative importance of drift and local adaptation","container-title":"Evolution","page":"1955-1972","volume":"64","issue":"7","source":"Wiley Online Library","abstract":"Patterns of geographic variation in communication systems can provide insight into the processes that drive phenotypic evolution. Although work in birds, anurans, and insects demonstrates that acoustic signals are sensitive to diverse selective and stochastic forces, processes that shape variation in mammalian vocalizations are poorly understood. We quantified geographic variation in the advertisement songs of sister species of singing mice, montane rodents with a unique mode of vocal communication. We tested three hypotheses to explain spatial variation in the song of the lower altitude species, Scotinomys teguina: selection for species recognition in sympatry with congener, S. xerampelinus, acoustic adaptation to different environments, and stochastic divergence. Mice were sampled at seven sites in Costa Rica and Panamá; genetic distances were estimated from mitochondrial control region sequences, between-site differences in acoustic environment were estimated from climatic data. Acoustic, genetic and geographic distances were all highly correlated in S. teguina, suggesting that population differentiation in song is largely shaped by genetic drift. Contrasts between interspecific genetic-acoustic distances were significantly greater than expectations derived from intraspecific contrasts, indicating accelerated evolution of species-specific song. We propose that, although much intraspecific acoustic variation is effectively neutral, selection has been important in shaping species differences in song.","DOI":"10.1111/j.1558-5646.2010.00962.x","ISSN":"1558-5646","title-short":"Geographic Variation in the Songs of Neotropical Singing Mice","language":"en","author":[{"family":"Campbell","given":"Polly"},{"family":"Pasch","given":"Bret"},{"family":"Pino","given":"Jorge L."},{"family":"Crino","given":"Ondi L."},{"family":"Phillips","given":"Molly"},{"family":"Phelps","given":"Steven M."}],"issued":{"date-parts":[["2010"]]}},"label":"page"},{"id":3214,"uris":["http://zotero.org/users/2671101/items/PUVV5VNE"],"uri":["http://zotero.org/users/2671101/items/PUVV5VNE"],"itemData":{"id":3214,"type":"article-journal","title":"Divergence in male sexual odor signal and genetics across populations of the red mason bee, &lt;i&gt;Osmia bicornis&lt;/i&gt;, in Europe","container-title":"PLOS ONE","page":"e0193153","volume":"13","issue":"2","source":"PLoS Journals","abstract":"In some insect species, females may base their choice for a suitable mate on male odor. In the red mason bee, Osmia bicornis, female choice is based on a male’s odor bouquet as well as its thorax vibrations, and its relatedness to the female, a putative form of optimal outbreeding. Interestingly, O. bicornis can be found as two distinct color morphs in Europe, which are thought to represent subspecies and between which we hypothesize that female discrimination may be particularly marked. Here w</w:instrText>
      </w:r>
      <w:r w:rsidR="00D0409B" w:rsidRPr="000224E9">
        <w:rPr>
          <w:rFonts w:ascii="Times New Roman" w:hAnsi="Times New Roman" w:cs="Times New Roman"/>
          <w:sz w:val="24"/>
          <w:szCs w:val="24"/>
          <w:lang w:val="da-DK"/>
        </w:rPr>
        <w:instrText xml:space="preserve">e investigated (i) if these two colors morphs do indeed represent distinct, reproductively differentiated populations, (ii) how odor bouquets of male O. bicornis vary within and between populations, and (iii) whether variation in male odor correlates with genetic distance, which might represent a cue by which females could optimally outbreed. Using GC and GC-MS analysis of male odors and microsatellite analysis of males and females from 9 populations, we show that, in Denmark, an area of subspecies sympatry, the two color morphs at any one site do not differ, either in odor bouquet or in population genetic differentiation. Yet populations across Europe are distinct in their odor profile as well as being genetically differentiated. Odor differences do not, however, mirror genetic differentiation between populations. We hypothesize that populations from Germany, England and Denmark may be under sexual selection through female choice for local odor profiles, which are not related to color morph though which could ultimately lead to population divergence and speciation.","DOI":"10.1371/journal.pone.0193153","ISSN":"1932-6203","journalAbbreviation":"PLOS ONE","language":"en","author":[{"family":"Conrad","given":"Taina"},{"family":"Paxton","given":"Robert J."},{"family":"Assum","given":"Günter"},{"family":"Ayasse","given":"Manfred"}],"issued":{"date-parts":[["2018",2,22]]}},"label":"page"}],"schema":"https://github.com/citation-style-language/schema/raw/master/csl-citation.json"} </w:instrText>
      </w:r>
      <w:r w:rsidRPr="000224E9">
        <w:rPr>
          <w:rFonts w:ascii="Times New Roman" w:hAnsi="Times New Roman" w:cs="Times New Roman"/>
          <w:sz w:val="24"/>
          <w:szCs w:val="24"/>
        </w:rPr>
        <w:fldChar w:fldCharType="separate"/>
      </w:r>
      <w:r w:rsidR="00D0409B" w:rsidRPr="000224E9">
        <w:rPr>
          <w:rFonts w:ascii="Times New Roman" w:hAnsi="Times New Roman" w:cs="Times New Roman"/>
          <w:sz w:val="24"/>
          <w:lang w:val="da-DK"/>
        </w:rPr>
        <w:t>(Campbell et al., 2010; Conrad et al., 2018; Hankison and Ptacek, 2008; Mullen et al., 2009)</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lang w:val="da-DK"/>
        </w:rPr>
        <w:t>.</w:t>
      </w:r>
    </w:p>
    <w:p w:rsidR="00A7633C" w:rsidRPr="000224E9" w:rsidRDefault="00A7633C" w:rsidP="00A7633C">
      <w:pPr>
        <w:spacing w:after="120" w:line="480" w:lineRule="auto"/>
        <w:ind w:firstLine="720"/>
        <w:rPr>
          <w:rFonts w:ascii="Times New Roman" w:hAnsi="Times New Roman" w:cs="Times New Roman"/>
          <w:sz w:val="24"/>
          <w:szCs w:val="24"/>
        </w:rPr>
      </w:pPr>
      <w:r w:rsidRPr="000224E9">
        <w:rPr>
          <w:rStyle w:val="LineNumber"/>
          <w:rFonts w:cs="Times New Roman"/>
          <w:sz w:val="24"/>
          <w:szCs w:val="24"/>
        </w:rPr>
        <w:t xml:space="preserve">Chemical compounds, such as sex pheromones, mediate intraspecific communication in many systems </w:t>
      </w:r>
      <w:r w:rsidRPr="000224E9">
        <w:rPr>
          <w:rStyle w:val="LineNumber"/>
          <w:rFonts w:cs="Times New Roman"/>
          <w:sz w:val="24"/>
          <w:szCs w:val="24"/>
        </w:rPr>
        <w:fldChar w:fldCharType="begin"/>
      </w:r>
      <w:r w:rsidR="00D0409B" w:rsidRPr="000224E9">
        <w:rPr>
          <w:rStyle w:val="LineNumber"/>
          <w:rFonts w:cs="Times New Roman"/>
          <w:sz w:val="24"/>
          <w:szCs w:val="24"/>
        </w:rPr>
        <w:instrText xml:space="preserve"> ADDIN ZOTERO_ITEM CSL_CITATION {"citationID":"kH91Ave6","properties":{"formattedCitation":"(Wyatt, 2014, 2003)","plainCitation":"(Wyatt, 2014, 2003)","noteIndex":0},"citationItems":[{"id":2750,"uris":["http://zotero.org/users/2671101/items/XWFPZ255"],"uri":["http://zotero.org/users/2671101/items/XWFPZ255"],"itemData":{"id":2750,"type":"book","title":"Pheromones and Animal Behaviour: Communication by Smell and Taste","publisher":"Cambridge University Press","publisher-place":"Cambridge","number-of-pages":"412","source":"Google Books","event-place":"Cambridge","abstract":"We are entering one of the most exciting periods in the study of chemical communication since the first pheromones were identified some 40 years ago. This rapid progress is reflected in this book, the first to cover the whole animal kingdom at this level for 25 years. The importance of chemical communication is illustrated with examples from a diverse range of animals including humans, marine copepods, Drosophila, Caenorhabditis elegans, moths, snakes, goldfish, elephants and mice. It is designed to be advanced, but at the same time accessible to readers whatever their scientific background. For students of ecology, evolution and behaviour, this book gives an introduction to the rapid progress in our understanding of olfaction at the molecular and neurological level. In addition, it offers chemists, molecular and neurobiologists an insight into the ecological, evolutionary and behavioural context of olfactory communication.","ISBN":"978-0-521-48526-5","note":"Google-Books-ID: aty3hz6rdlgC","title-short":"Pheromones and Animal Behaviour","language":"en","author":[{"family":"Wyatt","given":"Tristram D."}],"issued":{"date-parts":[["2003",2,27]]}},"label":"page"},{"id":2751,"uris":["http://zotero.org/users/2671101/items/C44HWXQD"],"uri":["http://zotero.org/users/2671101/items/C44HWXQD"],"itemData":{"id":2751,"type":"book","title":"Pheromones and Animal Behavior: Chemical Signals and Signatures","publisher":"Cambridge University Press","publisher-place":"Cambridge","number-of-pages":"425","source":"Google Books","event-place":"Cambridge","abstract":"Pheromones and other kinds of chemical communication underlie the behavior of all animals. Building on the strengths of the first edition, widely recognized as the leading text in the subject, this is a comprehensive overview of how pheromones work. Extensively revised and expanded to cover advances made over the last ten years, the book offers a thorough exploration of the evolutionary and behavioral contexts of chemical communication along with a detailed introduction to the molecular and neural basis of signal perception through olfaction. At a time of ever increasing specialization, Wyatt offers a unique synthesis, integrating examples across the animal kingdom. A final chapter critically considers human pheromones and the importance of olfaction to human biology. Its breadth of coverage and readability make the book an unrivaled resource for students and researchers in a range of fields from chemistry, genetics, genomics, molecular biology and neuroscience to ecology, evolution and behavior.","ISBN":"978-0-521-11290-1","note":"Google-Books-ID: OCVOAgAAQBAJ","title-short":"Pheromones and Animal Behavior","language":"en","author":[{"family":"Wyatt","given":"Tristram D."}],"issued":{"date-parts":[["2014",1,23]]}},"label":"page"}],"schema":"https://github.com/citation-style-language/schema/raw/master/csl-citation.json"} </w:instrText>
      </w:r>
      <w:r w:rsidRPr="000224E9">
        <w:rPr>
          <w:rStyle w:val="LineNumber"/>
          <w:rFonts w:cs="Times New Roman"/>
          <w:sz w:val="24"/>
          <w:szCs w:val="24"/>
        </w:rPr>
        <w:fldChar w:fldCharType="separate"/>
      </w:r>
      <w:r w:rsidR="00D0409B" w:rsidRPr="000224E9">
        <w:rPr>
          <w:rStyle w:val="LineNumber"/>
          <w:rFonts w:cs="Times New Roman"/>
          <w:noProof/>
          <w:sz w:val="24"/>
          <w:szCs w:val="24"/>
        </w:rPr>
        <w:t>(Wyatt, 2014, 2003)</w:t>
      </w:r>
      <w:r w:rsidRPr="000224E9">
        <w:rPr>
          <w:rStyle w:val="LineNumber"/>
          <w:rFonts w:cs="Times New Roman"/>
          <w:sz w:val="24"/>
          <w:szCs w:val="24"/>
        </w:rPr>
        <w:fldChar w:fldCharType="end"/>
      </w:r>
      <w:r w:rsidRPr="000224E9">
        <w:rPr>
          <w:rStyle w:val="LineNumber"/>
          <w:rFonts w:cs="Times New Roman"/>
          <w:sz w:val="24"/>
          <w:szCs w:val="24"/>
        </w:rPr>
        <w:t xml:space="preserve">. The role of chemical signalling in behavioural isolation is also well established, especially among moth species </w:t>
      </w:r>
      <w:r w:rsidRPr="000224E9">
        <w:rPr>
          <w:rFonts w:ascii="Times New Roman" w:hAnsi="Times New Roman" w:cs="Times New Roman"/>
          <w:sz w:val="24"/>
          <w:szCs w:val="24"/>
          <w:lang w:val="en-US"/>
        </w:rPr>
        <w:fldChar w:fldCharType="begin"/>
      </w:r>
      <w:r w:rsidRPr="000224E9">
        <w:rPr>
          <w:rFonts w:ascii="Times New Roman" w:hAnsi="Times New Roman" w:cs="Times New Roman"/>
          <w:sz w:val="24"/>
          <w:szCs w:val="24"/>
          <w:lang w:val="en-US"/>
        </w:rPr>
        <w:instrText xml:space="preserve"> ADDIN ZOTERO_ITEM CSL_CITATION {"citationID":"245jb8hqmk","properties":{"formattedCitation":"(L\\uc0\\u246{}fstedt, 1993; Smadja and Butlin, 2008)","plainCitation":"(Löfstedt, 1993; Smadja and Butlin, 2008)","noteIndex":0},"citationItems":[{"id":807,"uris":["http://zotero.org/users/2671101/items/6S4XWSHQ"],"uri":["http://zotero.org/users/2671101/items/6S4XWSHQ"],"itemData":{"id":807,"type":"article-journal","title":"Moth Pheromone Genetics and Evolution","container-title":"Philosophical Transactions of the Royal Society of London B: Biological Sciences","page":"167-177","volume":"340","issue":"1292","source":"rstb.royalsocietypublishing.org","abstract":"Sex pheromone communication in moths is a well investigated case of mate-finding by chemical signals, but the evolutionary causes of the great complexity and diversity of these signals are still not generally agreed on. In the present paper, I argue that there is no reason to dismiss species recognition as a possible cause of evolutionary change in moth sex pheromones. Admittedly, selection for species recognition cannot explain all of the diversity in sex pheromones and the data supporting this contention are weak, but the alternative causes suggested, invoking mate choice between conspecifics as the mechanism of sexual selection, has so far no empirical support. Finding and analysing genes responsible for mate choice is important to corroborate any theory of sexual selection and speciation. In this respect genetic dissection of moth pheromone communication has provided important progress. Mendelian genes controlling differences in mate choice and in the production of mate recognition signals have been found. Polymorphic pheromone systems give the population biologists unique possibilities to study mate choice and selection at the genotype level in nature.","DOI":"10.1098/rstb.1993.0055","ISSN":"0962-8436, 1471-2970","language":"en","author":[{"family":"Löfstedt","given":"Christer"}],"issued":{"date-parts":[["1993",5,29]]}},"label":"page"},{"id":859,"uris":["http://zotero.org/users/2671101/items/S6XZU5SN"],"uri":["http://zotero.org/users/2671101/items/S6XZU5SN"],"itemData":{"id":859,"type":"article-journal","title":"On the scent of speciation: the chemosensory system and its role in premating isolation","container-title":"Heredity","page":"77-97","volume":"102","issue":"1","source":"www.nature.com","abstract":"Chemosensory speciation is characterized by the evolution of barriers to genetic exchange that involve chemosensory systems and chemical signals. Here, we review some representative studies documenting chemosensory speciation in an attempt to evaluate the importance and the different aspects of the process in nature and to gain insights into the genetic basis and the evolutionary mechanisms of chemosensory trait divergence. Although most studies of chemosensory speciation concern sexual isolation mediated by pheromone divergence, especially in Drosophila and moth species, other chemically based behaviours (habitat choice, pollinator attraction) can also play an important role in speciation and are likely to do so in a wide range of invertebrate and vertebrate species. Adaptive divergence of chemosensory traits in response to factors such as pollinators, hosts and conspecifics commonly drives the evolution of chemical prezygotic barriers. Although the genetic basis of chemosensory speciation remains largely unknown, genomic approaches to chemosensory gene families and to enzymes involved in biosynthetic pathways of signal compounds now provide new opportunities to dissect the genetic basis of these complex traits and of their divergence among taxa.","DOI":"10.1038/hdy.2008.55","ISSN":"0018-067X","title-short":"On the scent of speciation","journalAbbreviation":"Heredity","language":"en","author":[{"family":"Smadja","given":"Carole M."},{"family":"Butlin","given":"R. K."}],"issued":{"date-parts":[["2008",8,6]]}},"label":"page"}],"schema":"https://github.com/citation-style-language/schema/raw/master/csl-citation.json"} </w:instrText>
      </w:r>
      <w:r w:rsidRPr="000224E9">
        <w:rPr>
          <w:rFonts w:ascii="Times New Roman" w:hAnsi="Times New Roman" w:cs="Times New Roman"/>
          <w:sz w:val="24"/>
          <w:szCs w:val="24"/>
          <w:lang w:val="en-US"/>
        </w:rPr>
        <w:fldChar w:fldCharType="separate"/>
      </w:r>
      <w:r w:rsidRPr="000224E9">
        <w:rPr>
          <w:rFonts w:ascii="Times New Roman" w:hAnsi="Times New Roman" w:cs="Times New Roman"/>
          <w:sz w:val="24"/>
          <w:lang w:val="en-US"/>
        </w:rPr>
        <w:t>(Löfstedt, 1993; Smadja and Butlin, 2008)</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 Pheromone evolution requires changes in both the detection of pheromone by the receiver, and the production of pheromone by the sender. Due to this coordination between detection and production, these pheromone blends are traditionally regarded as being under stabilising selection towards a species stereotype (</w:t>
      </w:r>
      <w:proofErr w:type="spellStart"/>
      <w:r w:rsidRPr="000224E9">
        <w:rPr>
          <w:rFonts w:ascii="Times New Roman" w:hAnsi="Times New Roman" w:cs="Times New Roman"/>
          <w:sz w:val="24"/>
          <w:szCs w:val="24"/>
        </w:rPr>
        <w:t>Löfstedt</w:t>
      </w:r>
      <w:proofErr w:type="spellEnd"/>
      <w:r w:rsidRPr="000224E9">
        <w:rPr>
          <w:rFonts w:ascii="Times New Roman" w:hAnsi="Times New Roman" w:cs="Times New Roman"/>
          <w:sz w:val="24"/>
          <w:szCs w:val="24"/>
        </w:rPr>
        <w:t xml:space="preserve"> 1993). </w:t>
      </w:r>
      <w:r w:rsidR="00C47FF0" w:rsidRPr="000224E9">
        <w:rPr>
          <w:rFonts w:ascii="Times New Roman" w:hAnsi="Times New Roman" w:cs="Times New Roman"/>
          <w:sz w:val="24"/>
          <w:szCs w:val="24"/>
        </w:rPr>
        <w:t>Nonetheless, e</w:t>
      </w:r>
      <w:r w:rsidRPr="000224E9">
        <w:rPr>
          <w:rFonts w:ascii="Times New Roman" w:hAnsi="Times New Roman" w:cs="Times New Roman"/>
          <w:sz w:val="24"/>
          <w:szCs w:val="24"/>
        </w:rPr>
        <w:t xml:space="preserve">ven when species-specific characteristics are present, chemical composition can exhibit intraspecific variation, with both qualitative and quantitative differences found across a species range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{"citationID":"a1c1q5f5h8c","properties":{"formattedCitation":"(Carde and Allison, 2016)","plainCitation":"(Carde and Allison, 2016)","noteIndex":0},"citationItems":[{"id":4954,"uris":["http://zotero.org/users/2671101/items/XNH5L5V6"],"uri":["http://zotero.org/users/2671101/items/XNH5L5V6"],"itemData":{"id":4954,"type":"chapter","title":"Variation in Moth Pheromones. Causes and Consequences","container-title":"Pheromone Communication in Moths: Evolution, Behavior, and Application","publisher":"University of California Press","publisher-place":"Berkeley","page":"25-39","source":"ResearchGate","event-place":"Berkeley","author":[{"family":"Carde","given":"R. T."},{"family":"Allison","given":"Jeremy D."}],"editor":[{"family":"Carde","given":"R. T."},{"family":"Allison","given":"Jeremy D."}],"issued":{"date-parts":[["2016"]]}}}],"schema":"https://github.com/citation-style-language/schema/raw/master/csl-citation.json"}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sz w:val="24"/>
          <w:lang w:val="en-US"/>
        </w:rPr>
        <w:t>(Carde and Allison, 2016)</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w:t>
      </w:r>
    </w:p>
    <w:p w:rsidR="00A7633C" w:rsidRPr="000224E9" w:rsidRDefault="00A7633C" w:rsidP="00A7633C">
      <w:pPr>
        <w:spacing w:after="120" w:line="480" w:lineRule="auto"/>
        <w:ind w:firstLine="720"/>
        <w:rPr>
          <w:rFonts w:ascii="Times New Roman" w:hAnsi="Times New Roman" w:cs="Times New Roman"/>
          <w:sz w:val="24"/>
          <w:szCs w:val="24"/>
        </w:rPr>
      </w:pPr>
      <w:r w:rsidRPr="000224E9">
        <w:rPr>
          <w:rFonts w:ascii="Times New Roman" w:hAnsi="Times New Roman" w:cs="Times New Roman"/>
          <w:sz w:val="24"/>
          <w:szCs w:val="24"/>
        </w:rPr>
        <w:t xml:space="preserve">Studies of </w:t>
      </w:r>
      <w:proofErr w:type="spellStart"/>
      <w:r w:rsidRPr="000224E9">
        <w:rPr>
          <w:rFonts w:ascii="Times New Roman" w:hAnsi="Times New Roman" w:cs="Times New Roman"/>
          <w:i/>
          <w:iCs/>
          <w:sz w:val="24"/>
          <w:szCs w:val="24"/>
        </w:rPr>
        <w:t>Heliconius</w:t>
      </w:r>
      <w:proofErr w:type="spellEnd"/>
      <w:r w:rsidRPr="000224E9">
        <w:rPr>
          <w:rFonts w:ascii="Times New Roman" w:hAnsi="Times New Roman" w:cs="Times New Roman"/>
          <w:i/>
          <w:iCs/>
          <w:sz w:val="24"/>
          <w:szCs w:val="24"/>
        </w:rPr>
        <w:t xml:space="preserve"> </w:t>
      </w:r>
      <w:r w:rsidRPr="000224E9">
        <w:rPr>
          <w:rFonts w:ascii="Times New Roman" w:hAnsi="Times New Roman" w:cs="Times New Roman"/>
          <w:sz w:val="24"/>
          <w:szCs w:val="24"/>
        </w:rPr>
        <w:t>butterflies have contributed to our understanding of adaptation and speciation</w:t>
      </w:r>
      <w:r w:rsidRPr="000224E9">
        <w:rPr>
          <w:rFonts w:ascii="Times New Roman" w:hAnsi="Times New Roman" w:cs="Times New Roman"/>
          <w:noProof/>
          <w:sz w:val="24"/>
          <w:szCs w:val="24"/>
        </w:rPr>
        <w:t xml:space="preserve">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{"citationID":"YZe2aGCv","properties":{"formattedCitation":"(Jiggins, 2017, 2008; Merrill et al., 2015)","plainCitation":"(Jiggins, 2017, 2008; Merrill et al., 2015)","noteIndex":0},"citationItems":[{"id":852,"uris":["http://zotero.org/users/2671101/items/P69KNGR7"],"uri":["http://zotero.org/users/2671101/items/P69KNGR7"],"itemData":{"id":852,"type":"article-journal","title":"Ecological Speciation in Mimetic Butterflies","container-title":"BioScience","page":"541-548","volume":"58","issue":"6","source":"bioscience.oxfordjournals.org","abstract":"There has been a recent revival of interest in the role of ecology in speciation. The wing patterns of Heliconius butterflies are signals to predators as well as mates, and can cause strong reproductive isolation between populations. Reproductive isolation has been studied in some detail between the sympatric species Heliconius melpomene and Heliconius cydno, and in reviewing this work I show that habitat isolation and color pattern preference are by far the most important factors causing speciation. The surprising observation that genes for mate preference and color pattern are genetically associated implies divergence in sympatry or resulting from sexual selection. Color pattern is therefore an example of an ecological trait that contributes to speciation through pleiotropic effects on mate choice, although phylogenetic evidence shows that it is only one of many factors responsible for speciation in mimetic butterflies.","DOI":"10.1641/B580610","ISSN":"0006-3568, 1525-3244","journalAbbreviation":"BioScience","language":"en","author":[{"family":"Jiggins","given":"Chris D."}],"issued":{"date-parts":[["2008",1,6]]}},"label":"page"},{"id":2837,"uris":["http://zotero.org/users/2671101/items/D2HZMQQN"],"uri":["http://zotero.org/users/2671101/items/D2HZMQQN"],"itemData":{"id":2837,"type":"book","title":"The Ecology and Evolution of&lt;i&gt; Heliconius&lt;/i&gt; Butterflies","publisher":"Oxford University Press","publisher-place":"Oxford","number-of-pages":"321","source":"Google Books","event-place":"Oxford","abstract":"The Heliconius butterflies are one of the classic systems in evolutionary biology and have contributed hugely to our understanding of evolution over the last 150 years. Their dramatic radiation and remarkable mimicry has fascinated biologists since the days of Bates, Wallace, and Darwin. The Ecology and Evolution of Heliconius Butterflies is the first thorough and accessible treatment of the ecology, genetics, and behaviour of these butterflies, exploring how they offer remarkable insights into tropical biodiversity. The book starts by outlining some of the evolutionary questions that Heliconius research has helped to address, then moves on to an overview of the butterflies themselves and their ecology and behaviour before focussing on wing pattern evolution, and finally, speciation. Richly illustrated with 32 colour plates, this book makes the extensive scientific literature on Heliconius butterflies accessible to a wide audience of professional ecologists, evolutionary biologists, entomologists, and amateur collectors.","ISBN":"978-0-19-250907-9","note":"Google-Books-ID: oav_DQAAQBAJ","language":"en","author":[{"family":"Jiggins","given":"Chris D."}],"issued":{"date-parts":[["2017",1,26]]}},"label":"page"},{"id":847,"uris":["http://zotero.org/users/2671101/items/MUVGHFME"],"uri":["http://zotero.org/users/2671101/items/MUVGHFME"],"itemData":{"id":847,"type":"article-journal","title":"The diversification of &lt;i&gt;Heliconius&lt;/i&gt; butterflies: what have we learned in 150 years?","container-title":"Journal of Evolutionary Biology","page":"1417-1438","volume":"28","issue":"8","source":"Wiley Online Library","abstract":"Research into Heliconius butterflies has made a significant contribution to evolutionary biology. Here, we review our understanding of the diversification of these butterflies, covering recent advances and a vast foundation of earlier work. Whereas no single group of organisms can be sufficient for understanding life's diversity, after years of intensive study, research into Heliconius has addressed a wide variety of evolutionary questions. We first discuss evidence for widespread gene flow between Heliconius species and what this reveals about the nature of species. We then address the evolution and diversity of warning patterns, both as the target of selection and with respect to their underlying genetic basis. The identification of major genes involved in mimetic shifts, and homology at these loci between distantly related taxa, has revealed a surprising predictability in the genetic basis of evolution. In the final sections, we consider the evolution of warning patterns, and Heliconius diversity more generally, within a broader context of ecological and sexual selection. We consider how different traits and modes of selection can interact and influence the evolution of reproductive isolation.","DOI":"10.1111/jeb.12672","ISSN":"1420-9101","title-short":"The diversification of Heliconius butterflies","journalAbbreviation":"J. Evol. Biol.","language":"en","author":[{"family":"Merrill","given":"R. M."},{"family":"Dasmahapatra","given":"K. K."},{"family":"Davey","given":"J. W."},{"family":"Dell'Aglio","given":"D. D."},{"family":"Hanly","given":"J. J."},{"family":"Huber","given":"B."},{"family":"Jiggins","given":"C. D."},{"family":"Joron","given":"M."},{"family":"Kozak","given":"K. M."},{"family":"Llaurens","given":"V."},{"family":"Martin","given":"S. H."},{"family":"Montgomery","given":"S. H."},{"family":"Morris","given":"J."},{"family":"Nadeau","given":"N. J."},{"family":"Pinharanda","given":"A. L."},{"family":"Rosser","given":"N."},{"family":"Thompson","given":"M. J."},{"family":"Vanjari","given":"S."},{"family":"Wallbank","given":"R. W. R."},{"family":"Yu","given":"Q."}],"issued":{"date-parts":[["2015",8,1]]}},"label":"page"}],"schema":"https://github.com/citation-style-language/schema/raw/master/csl-citation.json"}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noProof/>
          <w:sz w:val="24"/>
          <w:szCs w:val="24"/>
        </w:rPr>
        <w:t>(Jiggins, 2017, 2008; Merrill et al., 2015)</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 xml:space="preserve">. Despite the reliance of this group on visual cues for mating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{"citationID":"1rJL5H5u","properties":{"formattedCitation":"(Bybee et al., 2012; Finkbeiner et al., 2017; Jiggins et al., 2001; Merrill et al., 2014; S\\uc0\\u225{}nchez et al., 2015)","plainCitation":"(Bybee et al., 2012; Finkbeiner et al., 2017; Jiggins et al., 2001; Merrill et al., 2014; Sánchez et al., 2015)","noteIndex":0},"citationItems":[{"id":805,"uris":["http://zotero.org/users/2671101/items/6FRWAJ5X"],"uri":["http://zotero.org/users/2671101/items/6FRWAJ5X"],"itemData":{"id":805,"type":"article-journal","title":"Reproductive isolation caused by colour pattern mimicry","container-title":"Nature","page":"302-305","volume":"411","issue":"6835","source":"www.nature.com","abstract":"Speciation is facilitated if ecological adaptation directly causes assortative mating, but few natural examples are known. Here we show that a shift in colour pattern mimicry was crucial in the origin of two butterfly species. The sister species Heliconius melpomene and Heliconius cydno recently diverged to mimic different model taxa, and our experiments show that their mimetic coloration is also important in choosing mates. Assortative mating between the sister species means that hybridization is rare in nature, and the few hybrids that are produced are non-mimetic, poorly adapted intermediates. Thus, the mimetic shift has caused both pre-mating and post-mating isolation. In addition, individuals from a population of H. melpomene allopatric to H. cydno court and mate with H. cydno more readily than those from a sympatric population. This suggests that assortative mating has been enhanced in sympatry.","DOI":"10.1038/35077075","ISSN":"0028-0836","journalAbbreviation":"Nature","language":"en","author":[{"family":"Jiggins","given":"Chris D."},{"family":"Naisbit","given":"Russell E."},{"family":"Coe","given":"Rebecca L."},{"family":"Mallet","given":"James"}],"issued":{"date-parts":[["2001",5,17]]}},"label":"page"},{"id":2109,"uris":["http://zotero.org/users/2671101/items/NHRSAQSC"],"uri":["http://zotero.org/users/2671101/items/NHRSAQSC"],"itemData":{"id":2109,"type":"article-journal","title":"UV Photoreceptors and UV-Yellow Wing Pigments in &lt;i&gt;Heliconius&lt;/i&gt; Butterflies Allow a Color Signal to Serve both Mimicry and Intraspecific Communication","container-title":"The American Naturalist","page":"38-51","volume":"179","issue":"1","source":"CrossRef","DOI":"10.1086/663192","ISSN":"00030147, 15375323","language":"en","author":[{"family":"Bybee","given":"Seth M."},{"family":"Yuan","given":"Furong"},{"family":"Ramstetter","given":"Monica D."},{"family":"Llorente-Bousquets","given":"Jorge"},{"family":"Reed","given":"Robert D."},{"family":"Osorio","given":"Daniel"},{"family":"Briscoe","given":"Adriana D."}],"issued":{"date-parts":[["2012",1]]}},"label":"page"},{"id":2047,"uris":["http://zotero.org/users/2671101/items/AGB9FD9V"],"uri":["http://zotero.org/users/2671101/items/AGB9FD9V"],"itemData":{"id":2047,"type":"article-journal","title":"Divergent warning patterns contribute to assortative mating between incipient &lt;i&gt;Heliconius &lt;/i&gt;species","container-title":"Ecology and Evolution","page":"911-917","volume":"4","issue":"7","source":"Wiley Online Library","abstract":"Theoretical models suggest that traits under divergent ecological selection, which also contribute to assortative mating, will facilitate speciation with gene flow. Evidence for these so-called “magic traits” now exists across a range of taxa. However, their importance during speciation will depend on the extent to which they contribute to reproductive isolation. Addressing this requires experiments to determine the exact cues involved as well as estimates of assortative mating in the wild. Heliconius butterflies are well known for their diversity of bright warning color patterns, and their amenability to experimental manipulation has provided an excellent opportunity to test their role in reproductive isolation. Here, we reveal that divergent color patterns contribute to mate recognition between the incipient species Heliconius himera and H. erato, a taxon pair for which assortative mating by color pattern has been demonstrated among wild individuals: First, we demonstrate that males are more likely to attempt to mate conspecific females; second, we show that males are more likely to approach pinned females that share their own warning pattern. These data are valuable as these taxa likely represent the early stages of speciation, but unusually also allow comparisons with rates of interbreeding between divergent ecologically relevant phenotypes measured in the wild.","DOI":"10.1002/ece3.996","ISSN":"2045-7758","journalAbbreviation":"Ecol Evol","language":"en","author":[{"family":"Merrill","given":"R. M."},{"family":"Chia","given":"Audrey"},{"family":"Nadeau","given":"Nicola J."}],"issued":{"date-parts":[["2014",4,1]]}},"label":"page"},{"id":2188,"uris":["http://zotero.org/users/2671101/items/F6GZSXDP"],"uri":["http://zotero.org/users/2671101/items/F6GZSXDP"],"itemData":{"id":2188,"type":"article-journal","title":"An introgressed wing pattern acts as a mating cue","container-title":"Evolution; International Journal of Organic Evolution","page":"1619-1629","volume":"69","issue":"6","source":"PubMed","abstract":"Heliconius butterflies provide good examples of both homoploid hybrid speciation and ecological speciation. In particular, examples of adaptive introgression have been detected among the subspecies of Heliconius timareta, which acquired red color pattern elements from H. melpomene. We tested whether the introgression of red wing pattern elements into H. timareta florencia might also be associated with incipient reproductive isolation (RI) from its close relative, H. timareta subsp. nov., found in the eastern Andes. No choice experiments show a 50% reduction in mating between females of H. t. subsp. nov. and males of H .t. florencia, but not in the reciprocal direction. In choice experiments using wing models, males of H. timareta subsp. nov. approach and court red phenotypes less than their own, whereas males of H. t. florencia prefer models with a red phenotype. Intrinsic postzygotic isolation was not detected in crosses between these H. timareta races. These results suggest that a color pattern trait gained by introgression is triggering RI between H. timareta subsp. nov. and H. t. florencia.","DOI":"10.1111/evo.12679","ISSN":"1558-5646","note":"PMID: 25930106","journalAbbreviation":"Evolution","language":"eng","author":[{"family":"Sánchez","given":"Angela P."},{"family":"Pardo-Diaz","given":"Carolina"},{"family":"Enciso-Romero","given":"Juan"},{"family":"Muñoz","given":"A. G."},{"family":"Jiggins","given":"Chris D."},{"family":"Salazar","given":"Camilo"},{"family":"Linares","given":"Mauricio"}],"issued":{"date-parts":[["2015",6]]}},"label":"page"},{"id":3450,"uris":["http://zotero.org/users/2671101/items/UKHD4RIV"],"uri":["http://zotero.org/users/2671101/items/UKHD4RIV"],"itemData":{"id":3450,"type":"article-journal","title":"Ultraviolet and yellow reflectance but not fluorescence is important for visual discrimination of conspecifics by &lt;i&gt;Heliconius erato&lt;/i&gt;","container-title":"Journal of Experimental Biology","page":"1267-1276","volume":"220","issue":"7","source":"jeb.biologists.org","abstract":"Skip to Next Section\nToxic Heliconius butterflies have yellow hindwing bars that – unlike those of their closest relatives – reflect ultraviolet (UV) and long wavelength light, and also fluoresce. The pigment in the yellow scales is 3-hydroxy-dl-kynurenine (3-OHK), which is found in the hair and scales of a variety of animals. In other butterflies like pierids with color schemes characterized by independent sources of variation in UV and human-visible yellow/orange, behavioral experiments have generally implicated the UV component as most relevant to mate choice. This has not been addressed in Heliconius butterflies, where variation exists in analogous color components, but moreover where fluorescence due to 3-OHK could also contribute to yellow wing coloration. In addition, the potential cost due to predator visibility is largely unknown for the analogous well-studied pierid butterfly species. In field studies with butterfly paper models, we show that both UV and 3-OHK yellow act as signals for H. erato when compared with models lacking UV or resembling ancestral Eueides yellow, respectively, but attack rates by birds do not differ significantly between the models. Furthermore, measurement of the quantum yield and reflectance spectra of 3-OHK indicates that fluorescence does not contribute to the visual signal under broad-spectrum illumination. Our results suggest that the use of 3-OHK pigmentation instead of ancestral yellow was driven by sexual selection rather than predation.","DOI":"10.1242/jeb.153593","ISSN":"0022-0949, 1477-9145","note":"PMID: 28108668","language":"en","author":[{"family":"Finkbeiner","given":"Susan D."},{"family":"Fishman","given":"Dmitry A."},{"family":"Osorio","given":"Daniel"},{"family":"Briscoe","given":"Adriana D."}],"issued":{"date-parts":[["2017",4,1]]}},"label":"page"}],"schema":"https://github.com/citation-style-language/schema/raw/master/csl-citation.json"}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sz w:val="24"/>
          <w:lang w:val="en-US"/>
        </w:rPr>
        <w:t>(Bybee et al., 2012; Finkbeiner et al., 2017; Jiggins et al., 2001; Merrill et al., 2014; Sánchez et al., 2015)</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 xml:space="preserve">, it has long been suggested that male pheromones also play a role in pre-mating barriers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{"citationID":"3t0V5V57","properties":{"formattedCitation":"(Jiggins, 2008; Merrill et al., 2015)","plainCitation":"(Jiggins, 2008; Merrill et al., 2015)","noteIndex":0},"citationItems":[{"id":852,"uris":["http://zotero.org/users/2671101/items/P69KNGR7"],"uri":["http://zotero.org/users/2671101/items/P69KNGR7"],"itemData":{"id":852,"type":"article-journal","title":"Ecological Speciation in Mimetic Butterflies","container-title":"BioScience","page":"541-548","volume":"58","issue":"6","source":"bioscience.oxfordjournals.org","abstract":"There has been a recent revival of interest in the role of ecology in speciation. The wing patterns of Heliconius butterflies are signals to predators as well as mates, and can cause strong reproductive isolation between populations. Reproductive isolation has been studied in some detail between the sympatric species Heliconius melpomene and Heliconius cydno, and in reviewing this work I show that habitat isolation and color pattern preference are by far the most important factors causing speciation. The surprising observation that genes for mate preference and color pattern are genetically associated implies divergence in sympatry or resulting from sexual selection. Color pattern is therefore an example of an ecological trait that contributes to speciation through pleiotropic effects on mate choice, although phylogenetic evidence shows that it is only one of many factors responsible for speciation in mimetic butterflies.","DOI":"10.1641/B580610","ISSN":"0006-3568, 1525-3244","journalAbbreviation":"BioScience","language":"en","author":[{"family":"Jiggins","given":"Chris D."}],"issued":{"date-parts":[["2008",1,6]]}},"label":"page"},{"id":847,"uris":["http://zotero.org/users/2671101/items/MUVGHFME"],"uri":["http://zotero.org/users/2671101/items/MUVGHFME"],"itemData":{"id":847,"type":"article-journal","title":"The diversification of &lt;i&gt;Heliconius&lt;/i&gt; butterflies: what have we learned in 150 years?","container-title":"Journal of Evolutionary Biology","page":"1417-1438","volume":"28","issue":"8","source":"Wiley Online Library","abstract":"Research into Heliconius butterflies has made a significant contribution to evolutionary biology. Here, we review our understanding of the diversification of these butterflies, covering recent advances and a vast foundation of earlier work. Whereas no single group of organisms can be sufficient for understanding life's diversity, after years of intensive study, research into Heliconius has addressed a wide variety of evolutionary questions. We first discuss evidence for widespread gene flow between Heliconius species and what this reveals about the nature of species. We then address the evolution and diversity of warning patterns, both as the target of selection and with respect to their underlying genetic basis. The identification of major genes involved in mimetic shifts, and homology at these loci between distantly related taxa, has revealed a surprising predictability in the genetic basis of evolution. In the final sections, we consider the evolution of warning patterns, and Heliconius diversity more generally, within a broader context of ecological and sexual selection. We consider how different traits and modes of selection can interact and influence the evolution of reproductive isolation.","DOI":"10.1111/jeb.12672","ISSN":"1420-9101","title-short":"The diversification of Heliconius butterflies","journalAbbreviation":"J. Evol. Biol.","language":"en","author":[{"family":"Merrill","given":"R. M."},{"family":"Dasmahapatra","given":"K. K."},{"family":"Davey","given":"J. W."},{"family":"Dell'Aglio","given":"D. D."},{"family":"Hanly","given":"J. J."},{"family":"Huber","given":"B."},{"family":"Jiggins","given":"C. D."},{"family":"Joron","given":"M."},{"family":"Kozak","given":"K. M."},{"family":"Llaurens","given":"V."},{"family":"Martin","given":"S. H."},{"family":"Montgomery","given":"S. H."},{"family":"Morris","given":"J."},{"family":"Nadeau","given":"N. J."},{"family":"Pinharanda","given":"A. L."},{"family":"Rosser","given":"N."},{"family":"Thompson","given":"M. J."},{"family":"Vanjari","given":"S."},{"family":"Wallbank","given":"R. W. R."},{"family":"Yu","given":"Q."}],"issued":{"date-parts":[["2015",8,1]]}},"label":"page"}],"schema":"https://github.com/citation-style-language/schema/raw/master/csl-citation.json"}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sz w:val="24"/>
          <w:lang w:val="en-US"/>
        </w:rPr>
        <w:t>(Jiggins, 2008; Merrill et al., 2015)</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 xml:space="preserve">, but so far only a few species have been studied. Behavioural experiments reveal that chemical signalling in </w:t>
      </w:r>
      <w:proofErr w:type="spellStart"/>
      <w:r w:rsidRPr="000224E9">
        <w:rPr>
          <w:rFonts w:ascii="Times New Roman" w:hAnsi="Times New Roman" w:cs="Times New Roman"/>
          <w:i/>
          <w:iCs/>
          <w:sz w:val="24"/>
          <w:szCs w:val="24"/>
        </w:rPr>
        <w:t>Heliconius</w:t>
      </w:r>
      <w:proofErr w:type="spellEnd"/>
      <w:r w:rsidRPr="000224E9">
        <w:rPr>
          <w:rFonts w:ascii="Times New Roman" w:hAnsi="Times New Roman" w:cs="Times New Roman"/>
          <w:i/>
          <w:iCs/>
          <w:sz w:val="24"/>
          <w:szCs w:val="24"/>
        </w:rPr>
        <w:t xml:space="preserve"> </w:t>
      </w:r>
      <w:proofErr w:type="spellStart"/>
      <w:r w:rsidRPr="000224E9">
        <w:rPr>
          <w:rFonts w:ascii="Times New Roman" w:hAnsi="Times New Roman" w:cs="Times New Roman"/>
          <w:i/>
          <w:iCs/>
          <w:sz w:val="24"/>
          <w:szCs w:val="24"/>
        </w:rPr>
        <w:t>erato</w:t>
      </w:r>
      <w:proofErr w:type="spellEnd"/>
      <w:r w:rsidRPr="000224E9">
        <w:rPr>
          <w:rFonts w:ascii="Times New Roman" w:hAnsi="Times New Roman" w:cs="Times New Roman"/>
          <w:i/>
          <w:iCs/>
          <w:sz w:val="24"/>
          <w:szCs w:val="24"/>
        </w:rPr>
        <w:t xml:space="preserve">, H. </w:t>
      </w:r>
      <w:proofErr w:type="spellStart"/>
      <w:r w:rsidRPr="000224E9">
        <w:rPr>
          <w:rFonts w:ascii="Times New Roman" w:hAnsi="Times New Roman" w:cs="Times New Roman"/>
          <w:i/>
          <w:iCs/>
          <w:sz w:val="24"/>
          <w:szCs w:val="24"/>
        </w:rPr>
        <w:t>melpomene</w:t>
      </w:r>
      <w:proofErr w:type="spellEnd"/>
      <w:r w:rsidRPr="000224E9">
        <w:rPr>
          <w:rFonts w:ascii="Times New Roman" w:hAnsi="Times New Roman" w:cs="Times New Roman"/>
          <w:i/>
          <w:iCs/>
          <w:sz w:val="24"/>
          <w:szCs w:val="24"/>
        </w:rPr>
        <w:t xml:space="preserve"> </w:t>
      </w:r>
      <w:r w:rsidRPr="000224E9">
        <w:rPr>
          <w:rFonts w:ascii="Times New Roman" w:hAnsi="Times New Roman" w:cs="Times New Roman"/>
          <w:sz w:val="24"/>
          <w:szCs w:val="24"/>
        </w:rPr>
        <w:t>and</w:t>
      </w:r>
      <w:r w:rsidRPr="000224E9">
        <w:rPr>
          <w:rFonts w:ascii="Times New Roman" w:hAnsi="Times New Roman" w:cs="Times New Roman"/>
          <w:i/>
          <w:iCs/>
          <w:sz w:val="24"/>
          <w:szCs w:val="24"/>
        </w:rPr>
        <w:t xml:space="preserve"> H. </w:t>
      </w:r>
      <w:proofErr w:type="spellStart"/>
      <w:r w:rsidRPr="000224E9">
        <w:rPr>
          <w:rFonts w:ascii="Times New Roman" w:hAnsi="Times New Roman" w:cs="Times New Roman"/>
          <w:i/>
          <w:iCs/>
          <w:sz w:val="24"/>
          <w:szCs w:val="24"/>
        </w:rPr>
        <w:t>timareta</w:t>
      </w:r>
      <w:proofErr w:type="spellEnd"/>
      <w:r w:rsidRPr="000224E9">
        <w:rPr>
          <w:rFonts w:ascii="Times New Roman" w:hAnsi="Times New Roman" w:cs="Times New Roman"/>
          <w:i/>
          <w:iCs/>
          <w:sz w:val="24"/>
          <w:szCs w:val="24"/>
        </w:rPr>
        <w:t xml:space="preserve"> </w:t>
      </w:r>
      <w:r w:rsidRPr="000224E9">
        <w:rPr>
          <w:rFonts w:ascii="Times New Roman" w:hAnsi="Times New Roman" w:cs="Times New Roman"/>
          <w:sz w:val="24"/>
          <w:szCs w:val="24"/>
        </w:rPr>
        <w:t xml:space="preserve"> is important for female mate choice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{"citationID":"SsdxPZ2z","properties":{"formattedCitation":"(Darragh et al., 2017; M\\uc0\\u233{}rot et al., 2015)","plainCitation":"(Darragh et al., 2017; Mérot et al., 2015)","noteIndex":0},"citationItems":[{"id":2684,"uris":["http://zotero.org/users/2671101/items/BZ529IZH"],"uri":["http://zotero.org/users/2671101/items/BZ529IZH"],"itemData":{"id":2684,"type":"article-journal","title":"Beyond magic traits: Multimodal mating cues in &lt;i&gt;Heliconius&lt;/i&gt; butterflies","container-title":"Evolution","page":"2891-2904","volume":"69","issue":"11","source":"Wiley Online Library","abstract":"Species coexistence involves the evolution of reproductive barriers opposing gene flow. Heliconius butterflies display colorful patterns affecting mate choice and survival through warning signaling and mimicry. These patterns are called “magic traits” for speciation because divergent natural selection may promote mimicry shifts in pattern whose role as mating cue facilitates reproductive isolation. By contrast, between comimetic species, natural selection promotes pattern convergence. We addressed whether visual convergence interferes with reproductive isolation by testing for sexual isolation between two closely related species with similar patterns, H. timareta thelxinoe and H. melpomene amaryllis. Experiments with models confirmed visual attraction based on wing phenotype, leading to indiscriminate approach. Nevertheless, mate choice experiments showed assortative mating. Monitoring male behavior toward live females revealed asymmetry in male preference, H. melpomene males courting both species equally while H. timareta males strongly preferred conspecifics. Experiments with hybrid males suggested an important genetic component for such asymmetry. Behavioral observations support a key role for short-distance cues in determining male choice in H. timareta. Scents extracts from wings and genitalia revealed interspecific divergence in chemical signatures, and hybrid female scent composition was significantly associated with courtship intensity by H. timareta males, providing candidate chemical mating cues involved in sexual isolation.","DOI":"10.1111/evo.12789","ISSN":"1558-5646","title-short":"Beyond magic traits","journalAbbreviation":"Evolution","language":"en","author":[{"family":"Mérot","given":"Claire"},{"family":"Frérot","given":"Brigitte"},{"family":"Leppik","given":"Ene"},{"family":"Joron","given":"Mathieu"}],"issued":{"date-parts":[["2015",11,1]]}},"label":"page"},{"id":3026,"uris":["http://zotero.org/users/2671101/items/P9BVV94T"],"uri":["http://zotero.org/users/2671101/items/P9BVV94T"],"itemData":{"id":3026,"type":"article-journal","title":"Male sex pheromone components in &lt;i&gt;Heliconius&lt;/i&gt; butterflies released by the androconia affect female choice","container-title":"PeerJ","page":"e3953","volume":"5","source":"PubMed Central","abstract":"Sex-specific pheromones are known to play an important role in butterfly courtship, and may influence both individual reproductive success and reproductive isolation between species. Extensive ecological, behavioural and genetic studies of Heliconius butterflies have made a substantial contribution to our understanding of speciation. Male pheromones, although long suspected to play an important role, have received relatively little attention in this genus. Here, we combine morphological, chemical and behavioural analyses of male pheromones in the Neotropical butterfly Heliconius melpomene. First, we identify putative androconia that are specialized brush-like scales that lie within the shiny grey region of the male hindwing. We then describe putative male sex pheromone compounds, which are largely confined to the androconial region of the hindwing of mature males, but are absent in immature males and females. Finally, behavioural choice experiments reveal that females of H. melpomene, H. erato and H. timareta strongly discriminate against conspecific males which have their androconial region experimentally blocked. As well as demonstrating the importance of chemical signalling for female mate choice in Heliconius butterflies, the results describe structures involved in release of the pheromone and a list of potential male sex pheromone compounds.","DOI":"10.7717/peerj.3953","ISSN":"2167-8359","note":"PMID: 29134139\nPMCID: PMC5680698","journalAbbreviation":"PeerJ","author":[{"family":"Darragh","given":"Kathy"},{"family":"Vanjari","given":"Sohini"},{"family":"Mann","given":"Florian"},{"family":"Gonzalez-Rojas","given":"Maria F."},{"family":"Morrison","given":"Colin R."},{"family":"Salazar","given":"Camilo"},{"family":"Pardo-Diaz","given":"Carolina"},{"family":"Merrill","given":"Richard M."},{"family":"McMillan","given":"W. Owen"},{"family":"Schulz","given":"Stefan"},{"family":"Jiggins","given":"Chris D."}],"issued":{"date-parts":[["2017",11,7]]}},"label":"page"}],"schema":"https://github.com/citation-style-language/schema/raw/master/csl-citation.json"}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sz w:val="24"/>
          <w:lang w:val="en-US"/>
        </w:rPr>
        <w:t>(Darragh et al., 2017; Mérot et al., 2015)</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 xml:space="preserve">. </w:t>
      </w:r>
      <w:r w:rsidR="00484994">
        <w:rPr>
          <w:rFonts w:ascii="Times New Roman" w:hAnsi="Times New Roman" w:cs="Times New Roman"/>
          <w:sz w:val="24"/>
          <w:szCs w:val="24"/>
        </w:rPr>
        <w:t>Previous</w:t>
      </w:r>
      <w:r w:rsidRPr="000224E9">
        <w:rPr>
          <w:rFonts w:ascii="Times New Roman" w:hAnsi="Times New Roman" w:cs="Times New Roman"/>
          <w:sz w:val="24"/>
          <w:szCs w:val="24"/>
        </w:rPr>
        <w:t xml:space="preserve"> studies have shown that </w:t>
      </w:r>
      <w:proofErr w:type="spellStart"/>
      <w:r w:rsidRPr="000224E9">
        <w:rPr>
          <w:rFonts w:ascii="Times New Roman" w:hAnsi="Times New Roman" w:cs="Times New Roman"/>
          <w:i/>
          <w:iCs/>
          <w:sz w:val="24"/>
          <w:szCs w:val="24"/>
        </w:rPr>
        <w:t>Heliconius</w:t>
      </w:r>
      <w:proofErr w:type="spellEnd"/>
      <w:r w:rsidRPr="000224E9">
        <w:rPr>
          <w:rFonts w:ascii="Times New Roman" w:hAnsi="Times New Roman" w:cs="Times New Roman"/>
          <w:i/>
          <w:iCs/>
          <w:sz w:val="24"/>
          <w:szCs w:val="24"/>
        </w:rPr>
        <w:t xml:space="preserve"> cydno</w:t>
      </w:r>
      <w:r w:rsidRPr="000224E9">
        <w:rPr>
          <w:rFonts w:ascii="Times New Roman" w:hAnsi="Times New Roman" w:cs="Times New Roman"/>
          <w:sz w:val="24"/>
          <w:szCs w:val="24"/>
        </w:rPr>
        <w:t xml:space="preserve"> and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melpomene</w:t>
      </w:r>
      <w:proofErr w:type="spellEnd"/>
      <w:r w:rsidRPr="000224E9">
        <w:rPr>
          <w:rFonts w:ascii="Times New Roman" w:hAnsi="Times New Roman" w:cs="Times New Roman"/>
          <w:sz w:val="24"/>
          <w:szCs w:val="24"/>
        </w:rPr>
        <w:t xml:space="preserve"> respond to both con- and </w:t>
      </w:r>
      <w:proofErr w:type="spellStart"/>
      <w:r w:rsidRPr="000224E9">
        <w:rPr>
          <w:rFonts w:ascii="Times New Roman" w:hAnsi="Times New Roman" w:cs="Times New Roman"/>
          <w:sz w:val="24"/>
          <w:szCs w:val="24"/>
        </w:rPr>
        <w:t>heterospecific</w:t>
      </w:r>
      <w:proofErr w:type="spellEnd"/>
      <w:r w:rsidRPr="000224E9">
        <w:rPr>
          <w:rFonts w:ascii="Times New Roman" w:hAnsi="Times New Roman" w:cs="Times New Roman"/>
          <w:sz w:val="24"/>
          <w:szCs w:val="24"/>
        </w:rPr>
        <w:t xml:space="preserve"> </w:t>
      </w:r>
      <w:proofErr w:type="spellStart"/>
      <w:r w:rsidRPr="000224E9">
        <w:rPr>
          <w:rFonts w:ascii="Times New Roman" w:hAnsi="Times New Roman" w:cs="Times New Roman"/>
          <w:sz w:val="24"/>
          <w:szCs w:val="24"/>
        </w:rPr>
        <w:t>androconial</w:t>
      </w:r>
      <w:proofErr w:type="spellEnd"/>
      <w:r w:rsidRPr="000224E9">
        <w:rPr>
          <w:rFonts w:ascii="Times New Roman" w:hAnsi="Times New Roman" w:cs="Times New Roman"/>
          <w:sz w:val="24"/>
          <w:szCs w:val="24"/>
        </w:rPr>
        <w:t xml:space="preserve"> chemical bouquets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{"citationID":"a17s0qmnjc1","properties":{"formattedCitation":"(Byers et al., 2019)","plainCitation":"(Byers et al., 2019)","noteIndex":0},"citationItems":[{"id":4754,"uris":["http://zotero.org/users/2671101/items/J3BHLEDU"],"uri":["http://zotero.org/users/2671101/items/J3BHLEDU"],"itemData":{"id":4754,"type":"article-journal","title":"A major locus controls a biologically active pheromone component in &lt;i&gt;Heliconius melpomene&lt;/i&gt;","container-title":"bioRxiv","page":"739037","source":"www.biorxiv.org","abstract":"&lt;p&gt;Pheromones are important for courtship and mate choice in many insects, but we know relatively little of their role in butterflies. The butterfly Heliconius melpomene uses a complex blend of wing androconial compounds during courtship. Electroantennography in H. melpomene and its close relative H. cydno showed that responses to androconial extracts were not species-specific. Females of both species responded more strongly to the H. cydno extract, suggesting conservation of peripheral nervous system elements across the two species. Individual blend components provoked little to no response, with the exception of octadecanal, a major component of the H. melpomene blend. Supplementing octadecanal on the wings of octadecanal-rich H. melpomene males led to an increase in the time until mating, demonstrating the bioactivity of octadecanal in Heliconius. Using quantitative trait locus (QTL) mapping, we identified a single locus on chromosome 20 responsible for 41% of the parental species9 difference in octadecanal production. This QTL does not overlap with any of the major wing color or mate choice loci, nor does it overlap with known regions of elevated or reduced FST. A set of 16 candidate fatty acid biosynthesis genes lies underneath the QTL.&lt;/p&gt;","DOI":"10.1101/739037","language":"en","author":[{"family":"Byers","given":"Kelsey J. R. P."},{"family":"Darragh","given":"Kathy"},{"family":"Musgrove","given":"Jamie"},{"family":"Almeida","given":"Diana Abondano"},{"family":"Garza","given":"Sylvia Fernanda"},{"family":"Warren","given":"Ian A."},{"family":"Rastas","given":"Pasi"},{"family":"Kučka","given":"Marek"},{"family":"Chan","given":"Yingguang Frank"},{"family":"Merrill","given":"Richard M."},{"family":"Schulz","given":"Stefan"},{"family":"McMillan","given":"W. Owen"},{"family":"Jiggins","given":"Chris D."}],"issued":{"date-parts":[["2019",8,19]]}}}],"schema":"https://github.com/citation-style-language/schema/raw/master/csl-citation.json"}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sz w:val="24"/>
          <w:lang w:val="en-US"/>
        </w:rPr>
        <w:t>(Byers et al., 2019)</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 xml:space="preserve">, and have identified an individual compound that is </w:t>
      </w:r>
      <w:proofErr w:type="spellStart"/>
      <w:r w:rsidRPr="000224E9">
        <w:rPr>
          <w:rFonts w:ascii="Times New Roman" w:hAnsi="Times New Roman" w:cs="Times New Roman"/>
          <w:sz w:val="24"/>
          <w:szCs w:val="24"/>
        </w:rPr>
        <w:t>electrophysiologically</w:t>
      </w:r>
      <w:proofErr w:type="spellEnd"/>
      <w:r w:rsidRPr="000224E9">
        <w:rPr>
          <w:rFonts w:ascii="Times New Roman" w:hAnsi="Times New Roman" w:cs="Times New Roman"/>
          <w:sz w:val="24"/>
          <w:szCs w:val="24"/>
        </w:rPr>
        <w:t xml:space="preserve"> and behaviourally active. Furthermore, studies of </w:t>
      </w:r>
      <w:r w:rsidRPr="000224E9">
        <w:rPr>
          <w:rFonts w:ascii="Times New Roman" w:hAnsi="Times New Roman" w:cs="Times New Roman"/>
          <w:i/>
          <w:iCs/>
          <w:sz w:val="24"/>
          <w:szCs w:val="24"/>
        </w:rPr>
        <w:t>H. cydno</w:t>
      </w:r>
      <w:r w:rsidRPr="000224E9">
        <w:rPr>
          <w:rFonts w:ascii="Times New Roman" w:hAnsi="Times New Roman" w:cs="Times New Roman"/>
          <w:sz w:val="24"/>
          <w:szCs w:val="24"/>
        </w:rPr>
        <w:t xml:space="preserve">,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doris</w:t>
      </w:r>
      <w:proofErr w:type="spellEnd"/>
      <w:r w:rsidRPr="000224E9">
        <w:rPr>
          <w:rFonts w:ascii="Times New Roman" w:hAnsi="Times New Roman" w:cs="Times New Roman"/>
          <w:sz w:val="24"/>
          <w:szCs w:val="24"/>
        </w:rPr>
        <w:t xml:space="preserve">,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hecale</w:t>
      </w:r>
      <w:proofErr w:type="spellEnd"/>
      <w:r w:rsidRPr="000224E9">
        <w:rPr>
          <w:rFonts w:ascii="Times New Roman" w:hAnsi="Times New Roman" w:cs="Times New Roman"/>
          <w:sz w:val="24"/>
          <w:szCs w:val="24"/>
        </w:rPr>
        <w:t xml:space="preserve">,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ismenius</w:t>
      </w:r>
      <w:proofErr w:type="spellEnd"/>
      <w:r w:rsidRPr="000224E9">
        <w:rPr>
          <w:rFonts w:ascii="Times New Roman" w:hAnsi="Times New Roman" w:cs="Times New Roman"/>
          <w:sz w:val="24"/>
          <w:szCs w:val="24"/>
        </w:rPr>
        <w:t xml:space="preserve">,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melpomene</w:t>
      </w:r>
      <w:proofErr w:type="spellEnd"/>
      <w:r w:rsidRPr="000224E9">
        <w:rPr>
          <w:rFonts w:ascii="Times New Roman" w:hAnsi="Times New Roman" w:cs="Times New Roman"/>
          <w:sz w:val="24"/>
          <w:szCs w:val="24"/>
        </w:rPr>
        <w:t xml:space="preserve">,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pardalinus</w:t>
      </w:r>
      <w:proofErr w:type="spellEnd"/>
      <w:r w:rsidRPr="000224E9">
        <w:rPr>
          <w:rFonts w:ascii="Times New Roman" w:hAnsi="Times New Roman" w:cs="Times New Roman"/>
          <w:sz w:val="24"/>
          <w:szCs w:val="24"/>
        </w:rPr>
        <w:t xml:space="preserve">,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sara</w:t>
      </w:r>
      <w:proofErr w:type="spellEnd"/>
      <w:r w:rsidRPr="000224E9">
        <w:rPr>
          <w:rFonts w:ascii="Times New Roman" w:hAnsi="Times New Roman" w:cs="Times New Roman"/>
          <w:sz w:val="24"/>
          <w:szCs w:val="24"/>
        </w:rPr>
        <w:t xml:space="preserve"> and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timareta</w:t>
      </w:r>
      <w:proofErr w:type="spellEnd"/>
      <w:r w:rsidRPr="000224E9">
        <w:rPr>
          <w:rFonts w:ascii="Times New Roman" w:hAnsi="Times New Roman" w:cs="Times New Roman"/>
          <w:sz w:val="24"/>
          <w:szCs w:val="24"/>
        </w:rPr>
        <w:t xml:space="preserve"> from Panama, </w:t>
      </w:r>
      <w:r w:rsidRPr="000224E9">
        <w:rPr>
          <w:rFonts w:ascii="Times New Roman" w:hAnsi="Times New Roman" w:cs="Times New Roman"/>
          <w:sz w:val="24"/>
          <w:szCs w:val="24"/>
        </w:rPr>
        <w:lastRenderedPageBreak/>
        <w:t xml:space="preserve">Colombia, Ecuador, and Peru, found that major compounds differ between species </w:t>
      </w:r>
      <w:r w:rsidRPr="000224E9">
        <w:rPr>
          <w:rFonts w:ascii="Times New Roman" w:hAnsi="Times New Roman" w:cs="Times New Roman"/>
          <w:sz w:val="24"/>
          <w:szCs w:val="24"/>
          <w:lang w:val="fr-FR"/>
        </w:rPr>
        <w:fldChar w:fldCharType="begin"/>
      </w:r>
      <w:r w:rsidRPr="000224E9">
        <w:rPr>
          <w:rFonts w:ascii="Times New Roman" w:hAnsi="Times New Roman" w:cs="Times New Roman"/>
          <w:sz w:val="24"/>
          <w:szCs w:val="24"/>
        </w:rPr>
        <w:instrText xml:space="preserve"> ADDIN ZOTERO_ITEM CSL_CITATION {"citationID":"mP2kTAyL","properties":{"formattedCitation":"(Mann et al., 2017; M\\uc0\\u233{}rot et al., 2015)","plainCitation":"(Mann et al., 2017; Mérot et al., 2015)","noteIndex":0},"citationItems":[{"id":2684,"uris":["http://zotero.org/users/2671101/items/BZ529IZH"],"uri":["http://zotero.org/users/2671101/items/BZ529IZH"],"itemData":{"id":2684,"type":"article-journal","title":"Beyond magic traits: Multimodal mating cues in &lt;i&gt;Heliconius&lt;/i&gt; butterflies","container-title":"Evolution","page":"2891-2904","volume":"69","issue":"11","source":"Wiley Online Library","abstract":"Species coexistence involves the evolution of reproductive barriers opposing gene flow. Heliconius butterflies display colorful patterns affecting mate choice and survival through warning signaling and mimicry. These patterns are called “magic traits” for speciation because divergent natural selection may promote mimicry shifts in pattern whose role as mating cue facilitates reproductive isolation. By contrast, between comimetic species, natural selection promotes pattern convergence. We addressed whether visual convergence interferes with reproductive isolation by testing for sexual isolation between two closely related species with similar patterns, H. timareta thelxinoe and H. melpomene amaryllis. Experiments with models confirmed visual attraction based on wing phenotype, leading to indiscriminate approach. Nevertheless, mate choice experiments showed assortative mating. Monitoring male behavior toward live females revealed asymmetry in male preference, H. melpomene males courting both species equally while H. timareta males strongly preferred conspecifics. Experiments with hybrid males suggested an important genetic component for such asymmetry. Behavioral observations support a key role for short-distance cues in determining male choice in H. timareta. Scents extracts from wings and genitalia revealed interspecific divergence in chemical signatures, and hybrid female scent composition was significantly associated with courtship intensity by H. timareta males, providing candidate chemical mating cues involved in sexual isolation.","DOI":"10.1111/evo.12789","ISSN":"1558-5646","title-short":"Beyond magic traits","journalAbbreviation":"Evolution","language":"en","author":[{"family":"Mérot","given":"Claire"},{"family":"Frérot","given":"Brigitte"},{"family":"Leppik","given":"Ene"},{"family":"Joron","given":"Mathieu"}],"issued":{"date-parts":[["2015",11,1]]}},"label":"page"},{"id":2882,"uris":["http://zotero.org/users/2671101/items/XXUR7S3J"],"uri":["http://zotero.org/users/2671101/items/XXUR7S3J"],"itemData":{"id":2882,"type":"article-journal","title":"The Scent Chemistry of &lt;i&gt;Heliconius&lt;/i&gt; Wing Androconia","container-title":"Journal of Chemical Ecology","page":"843-857","volume":"43","issue":"9","source":"link.springer.com","abstract":"Neotropical Heliconius butterflies are members of various mimicry rings characterized by diverse colour patterns. In the present study we investigated whether a similar diversity is observed in the chemistry of volatile compounds present in male wing androconia. Recent research has shown that these androconia are used during courting of females. Three to five wild-caught male Heliconius individuals of 17 species and subspecies were analyzed by GC/MS. Most of the identified compounds originate from common fatty acids precursors, including aldehydes, alcohols, acetates or esters preferentially with a C18 and C20 chain, together with some alkanes. The compounds occurred in species-specific mixtures or signatures. For example, octadecanal is characteristic for H. melpomene, but variation in composition between the individuals was observed. Cluster analysis of compound occurrence in individual bouquets and analyses based on biosynthetic motifs such as functional group, chain length, or basic carbon-backbone modification were used to reveal structural patterns. Mimetic pairs contain different scent bouquets, but also some compounds in common, whereas sympatric species, both mimetic and non-mimetic, have more distinct compound compositions. The compounds identified here may play a role in mate choice thus helping maintain species integrity in a butterfly genus characterized by pervasive interspecific gene flow.","DOI":"10.1007/s10886-017-0867-3","ISSN":"0098-0331, 1573-1561","journalAbbreviation":"J Chem Ecol","language":"en","author":[{"family":"Mann","given":"Florian"},{"family":"Vanjari","given":"Sohini"},{"family":"Rosser","given":"Neil"},{"family":"Mann","given":"Sandra"},{"family":"Dasmahapatra","given":"Kanchon K."},{"family":"Corbin","given":"Chris"},{"family":"Linares","given":"Mauricio"},{"family":"Pardo-Diaz","given":"Carolina"},{"family":"Salazar","given":"Camilo"},{"family":"Jiggins","given":"Chris"},{"family":"Schulz","given":"Stefan"}],"issued":{"date-parts":[["2017",8,8]]}},"label":"page"}],"schema":"https://github.com/citation-style-language/schema/raw/master/csl-citation.json"} </w:instrText>
      </w:r>
      <w:r w:rsidRPr="000224E9">
        <w:rPr>
          <w:rFonts w:ascii="Times New Roman" w:hAnsi="Times New Roman" w:cs="Times New Roman"/>
          <w:sz w:val="24"/>
          <w:szCs w:val="24"/>
          <w:lang w:val="fr-FR"/>
        </w:rPr>
        <w:fldChar w:fldCharType="separate"/>
      </w:r>
      <w:r w:rsidRPr="000224E9">
        <w:rPr>
          <w:rFonts w:ascii="Times New Roman" w:hAnsi="Times New Roman" w:cs="Times New Roman"/>
          <w:sz w:val="24"/>
          <w:lang w:val="en-US"/>
        </w:rPr>
        <w:t>(Mann et al., 2017; Mérot et al., 2015)</w:t>
      </w:r>
      <w:r w:rsidRPr="000224E9">
        <w:rPr>
          <w:rFonts w:ascii="Times New Roman" w:hAnsi="Times New Roman" w:cs="Times New Roman"/>
          <w:sz w:val="24"/>
          <w:szCs w:val="24"/>
          <w:lang w:val="fr-FR"/>
        </w:rPr>
        <w:fldChar w:fldCharType="end"/>
      </w:r>
      <w:r w:rsidRPr="000224E9">
        <w:rPr>
          <w:rFonts w:ascii="Times New Roman" w:hAnsi="Times New Roman" w:cs="Times New Roman"/>
          <w:sz w:val="24"/>
          <w:szCs w:val="24"/>
        </w:rPr>
        <w:t xml:space="preserve">, suggesting a potential role in reproductive isolation. </w:t>
      </w:r>
    </w:p>
    <w:p w:rsidR="00A7633C" w:rsidRPr="000224E9" w:rsidRDefault="00A7633C" w:rsidP="00A7633C">
      <w:pPr>
        <w:spacing w:after="120" w:line="480" w:lineRule="auto"/>
        <w:ind w:firstLine="720"/>
        <w:rPr>
          <w:rFonts w:ascii="Times New Roman" w:hAnsi="Times New Roman" w:cs="Times New Roman"/>
          <w:sz w:val="24"/>
          <w:szCs w:val="24"/>
        </w:rPr>
      </w:pPr>
      <w:r w:rsidRPr="000224E9">
        <w:rPr>
          <w:rFonts w:ascii="Times New Roman" w:hAnsi="Times New Roman" w:cs="Times New Roman"/>
          <w:sz w:val="24"/>
          <w:szCs w:val="24"/>
        </w:rPr>
        <w:t xml:space="preserve">The role of chemical signalling is likely to be especially important in co-mimics, </w:t>
      </w:r>
      <w:r w:rsidRPr="000224E9">
        <w:rPr>
          <w:rFonts w:ascii="Times New Roman" w:hAnsi="Times New Roman" w:cs="Times New Roman"/>
          <w:iCs/>
          <w:sz w:val="24"/>
          <w:szCs w:val="24"/>
        </w:rPr>
        <w:t xml:space="preserve">where visual signals alone are not sufficient to identify conspecifics </w:t>
      </w:r>
      <w:r w:rsidRPr="000224E9">
        <w:rPr>
          <w:rFonts w:ascii="Times New Roman" w:hAnsi="Times New Roman" w:cs="Times New Roman"/>
          <w:iCs/>
          <w:sz w:val="24"/>
          <w:szCs w:val="24"/>
        </w:rPr>
        <w:fldChar w:fldCharType="begin"/>
      </w:r>
      <w:r w:rsidRPr="000224E9">
        <w:rPr>
          <w:rFonts w:ascii="Times New Roman" w:hAnsi="Times New Roman" w:cs="Times New Roman"/>
          <w:iCs/>
          <w:sz w:val="24"/>
          <w:szCs w:val="24"/>
        </w:rPr>
        <w:instrText xml:space="preserve"> ADDIN ZOTERO_ITEM CSL_CITATION {"citationID":"a13js4k0gve","properties":{"formattedCitation":"(Estrada and Jiggins, 2008; Giraldo et al., 2008; M\\uc0\\u233{}rot et al., 2013; S\\uc0\\u225{}nchez et al., 2015)","plainCitation":"(Estrada and Jiggins, 2008; Giraldo et al., 2008; Mérot et al., 2013; Sánchez et al., 2015)","noteIndex":0},"citationItems":[{"id":1987,"uris":["http://zotero.org/users/2671101/items/BREKM7EP"],"uri":["http://zotero.org/users/2671101/items/BREKM7EP"],"itemData":{"id":1987,"type":"article-journal","title":"Interspecific sexual attraction because of convergence in warning colouration: is there a conflict between natural and sexual selection in mimetic species?","container-title":"Journal of Evolutionary Biology","page":"749-760","volume":"21","issue":"3","source":"Wiley Online Library","abstract":"When species converge in their colour patterns because of mimicry, and those patterns are also used in mate recognition, there is a probability of conflicting selection pressures. Closely related species that mimic one another are particularly likely to face such confusion because of similarities in their courtship behaviour and ecology. We conducted experiments in greenhouse conditions to study interspecific attraction between two mimetic butterfly species, Heliconius erato and Heliconius melpomene. Both species spent considerable time approaching and courting females of the co-mimic species. Experiments using wing models demonstrated the importance of colour pattern in this interspecific attraction. Although males of H. melpomene were attracted to their co-mimics as much as to their own females, H. erato males were more efficient at distinguishing conspecifics, possibly using wing odours. Although preliminary, these results suggest that the use of additional cues may have evolved in H. erato to reduce the cost of convergence in visual signals with H. melpomene. Overall, our results showed that there might be a cost of mimetic convergence because of a reduction in the efficiency of species recognition. Such cost may contribute to explain the apparently stable diversity in Müllerian mimetic patterns in many tropical butterfly assemblages.","DOI":"10.1111/j.1420-9101.2008.01517.x","ISSN":"1420-9101","title-short":"Interspecific sexual attraction because of convergence in warning colouration","language":"en","author":[{"family":"Estrada","given":"C."},{"family":"Jiggins","given":"C. D."}],"issued":{"date-parts":[["2008",5,1]]}},"label":"page"},{"id":2786,"uris":["http://zotero.org/users/2671101/items/4DWPAQ4N"],"uri":["http://zotero.org/users/2671101/items/4DWPAQ4N"],"itemData":{"id":2786,"type":"article-journal","title":"Two sisters in the same dress: &lt;i&gt;Heliconius&lt;/i&gt; cryptic species","container-title":"BMC Evolutionary Biology","page":"324","volume":"8","source":"PubMed Central","abstract":"Background\nSister species divergence and reproductive isolation commonly results from ecological adaptation. In mimetic Heliconius butterflies, shifts in colour pattern contribute to pre- and post-mating reproductive isolation and are commonly correlated with speciation. Closely related mimetic species are therefore not expected, as they should lack several important sources of reproductive isolation.\n\nResults\nHere we present phenotypic, behavioral and genetic evidence for the coexistence of two sympatric 'cryptic' species near Florencia in the eastern Andes of Colombia that share the same orange rayed colour pattern. These represent H. melpomene malleti and a novel taxon in the H. cydno group, here designated as novel race of Heliconius timareta, Heliconius timareta florencia. No-choice mating experiments show that these sympatric forms have strong assortative mating (≈96%) despite great similarity in colour pattern, implying enhanced divergence in pheromonal signals.\n\nConclusion\nWe hypothesize that these species might have resulted from recent convergence in colour pattern, perhaps facilitated by hybrid introgression of wing pattern genes.","DOI":"10.1186/1471-2148-8-324","ISSN":"1471-2148","note":"PMID: 19040737\nPMCID: PMC2632674","title-short":"Two sisters in the same dress","journalAbbreviation":"BMC Evol Biol","author":[{"family":"Giraldo","given":"Nathalia"},{"family":"Salazar","given":"Camilo"},{"family":"Jiggins","given":"Chris D"},{"family":"Bermingham","given":"Eldredge"},{"family":"Linares","given":"Mauricio"}],"issued":{"date-parts":[["2008",11,28]]}},"label":"page"},{"id":1978,"uris":["http://zotero.org/users/2671101/items/M8EKU4GN"],"uri":["http://zotero.org/users/2671101/items/M8EKU4GN"],"itemData":{"id":1978,"type":"article-journal","title":"Genetic differentiation without mimicry shift in a pair of hybridizing &lt;i&gt;Heliconius&lt;/i&gt; species (Lepidoptera: Nymphalidae)","container-title":"Biological Journal of the Linnean Society","page":"830-847","volume":"109","issue":"4","source":"Wiley Online Library","abstract":"Butterflies in the genus Heliconius have undergone rapid adaptive radiation for warning patterns and mimicry, and are excellent models to study the mechanisms underlying diversification. In Heliconius, mimicry rings typically involve distantly related species, whereas closely related species often join different mimicry rings. Genetic and behavioural studies have n how reproductive isolation in many pairs of Heliconius taxa is largely mediated by natural and sexual selection on wing colour patterns. However, recent studies have uncovered new cases in which pairs of closely related species are near-perfect mimics of each other. Here, we provide morphometric and genetic evidence for the coexistence of two closely related, hybridizing co-mimetic species on the eastern slopes of the Andes, H. melpomene amaryllis and H. timareta ssp. nov., which is described here as H. timareta thelxinoe. A joint analysis of multilocus genotyping and geometric morphometrics of wing shape shows a high level of differentiation between the two species, with only limited gene flow and mixing. Some degree of genetic mixing can be detected, but putative hybrids were rare, only one of 175 specimens being a clear hybrid. In contrast, we found phenotypic differentiation between populations of H. timareta thelxinoe, possibly indicative of strong selection for local mimicry in different communities. In this pair of species, the absence of breakdown of genetic isolation despite near-identical wing patterns implies that factors other than wing patterns keep the two taxa apart, such as chemical or behavioural signals, or ecological adaptation along a strong altitudinal gradient. © 2013 The Linnean Society of London, Biological Journal of the Linnean Society, 2013, 109, 830–847.","DOI":"10.1111/bij.12091","ISSN":"1095-8312","title-short":"Genetic differentiation without mimicry shift in a pair of hybridizing Heliconius species (Lepidoptera","journalAbbreviation":"Biol J Linn Soc Lond","language":"en","author":[{"family":"Mérot","given":"Claire"},{"family":"Mavárez","given":"Jesús"},{"family":"Evin","given":"Allowen"},{"family":"Dasmahapatra","given":"Kanchon K."},{"family":"Mallet","given":"James"},{"family":"Lamas","given":"Gerardo"},{"family":"Joron","given":"Mathieu"}],"issued":{"date-parts":[["2013",8,1]]}},"label":"page"},{"id":2188,"uris":["http://zotero.org/users/2671101/items/F6GZSXDP"],"uri":["http://zotero.org/users/2671101/items/F6GZSXDP"],"itemData":{"id":2188,"type":"article-journal","title":"An introgressed wing pattern acts as a mating cue","container-title":"Evolution; International Journal of Organic Evolution","page":"1619-1629","volume":"69","issue":"6","source":"PubMed","abstract":"Heliconius butterflies provide good examples of both homoploid hybrid speciation and ecological speciation. In particular, examples of adaptive introgression have been de</w:instrText>
      </w:r>
      <w:r w:rsidRPr="000224E9">
        <w:rPr>
          <w:rFonts w:ascii="Times New Roman" w:hAnsi="Times New Roman" w:cs="Times New Roman"/>
          <w:iCs/>
          <w:sz w:val="24"/>
          <w:szCs w:val="24"/>
          <w:lang w:val="fr-FR"/>
        </w:rPr>
        <w:instrText xml:space="preserve">tected among the subspecies of Heliconius timareta, which acquired red color pattern elements from H. melpomene. We tested whether the introgression of red wing pattern elements into H. timareta florencia might also be associated with incipient reproductive isolation (RI) from its close relative, H. timareta subsp. nov., found in the eastern Andes. No choice experiments show a 50% reduction in mating between females of H. t. subsp. nov. and males of H .t. florencia, but not in the reciprocal direction. In choice experiments using wing models, males of H. timareta subsp. nov. approach and court red phenotypes less than their own, whereas males of H. t. florencia prefer models with a red phenotype. Intrinsic postzygotic isolation was not detected in crosses between these H. timareta races. These results suggest that a color pattern trait gained by introgression is triggering RI between H. timareta subsp. nov. and H. t. florencia.","DOI":"10.1111/evo.12679","ISSN":"1558-5646","note":"PMID: 25930106","journalAbbreviation":"Evolution","language":"eng","author":[{"family":"Sánchez","given":"Angela P."},{"family":"Pardo-Diaz","given":"Carolina"},{"family":"Enciso-Romero","given":"Juan"},{"family":"Muñoz","given":"A. G."},{"family":"Jiggins","given":"Chris D."},{"family":"Salazar","given":"Camilo"},{"family":"Linares","given":"Mauricio"}],"issued":{"date-parts":[["2015",6]]}},"label":"page"}],"schema":"https://github.com/citation-style-language/schema/raw/master/csl-citation.json"} </w:instrText>
      </w:r>
      <w:r w:rsidRPr="000224E9">
        <w:rPr>
          <w:rFonts w:ascii="Times New Roman" w:hAnsi="Times New Roman" w:cs="Times New Roman"/>
          <w:iCs/>
          <w:sz w:val="24"/>
          <w:szCs w:val="24"/>
        </w:rPr>
        <w:fldChar w:fldCharType="separate"/>
      </w:r>
      <w:r w:rsidRPr="000224E9">
        <w:rPr>
          <w:rFonts w:ascii="Times New Roman" w:hAnsi="Times New Roman" w:cs="Times New Roman"/>
          <w:sz w:val="24"/>
          <w:lang w:val="fr-FR"/>
        </w:rPr>
        <w:t>(Estrada and Jiggins, 2008; Giraldo et al., 2008; Mérot et al., 2013; Sánchez et al., 2015)</w:t>
      </w:r>
      <w:r w:rsidRPr="000224E9">
        <w:rPr>
          <w:rFonts w:ascii="Times New Roman" w:hAnsi="Times New Roman" w:cs="Times New Roman"/>
          <w:iCs/>
          <w:sz w:val="24"/>
          <w:szCs w:val="24"/>
        </w:rPr>
        <w:fldChar w:fldCharType="end"/>
      </w:r>
      <w:r w:rsidRPr="000224E9">
        <w:rPr>
          <w:rFonts w:ascii="Times New Roman" w:hAnsi="Times New Roman" w:cs="Times New Roman"/>
          <w:iCs/>
          <w:sz w:val="24"/>
          <w:szCs w:val="24"/>
          <w:lang w:val="fr-FR"/>
        </w:rPr>
        <w:t xml:space="preserve">. </w:t>
      </w:r>
      <w:r w:rsidRPr="000224E9">
        <w:rPr>
          <w:rFonts w:ascii="Times New Roman" w:hAnsi="Times New Roman" w:cs="Times New Roman"/>
          <w:sz w:val="24"/>
          <w:szCs w:val="24"/>
        </w:rPr>
        <w:t xml:space="preserve">In contrast, chemical compounds could be part of a multimodal aposematic warning signal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{"citationID":"Ub5zRhwB","properties":{"formattedCitation":"(Rojas et al., 2018; Rothschild, 1961)","plainCitation":"(Rojas et al., 2018; Rothschild, 1961)","noteIndex":0},"citationItems":[{"id":3385,"uris":["http://zotero.org/users/2671101/items/3KJV5X3Q"],"uri":["http://zotero.org/users/2671101/items/3KJV5X3Q"],"itemData":{"id":3385,"type":"article-journal","title":"Defensive Odours and Mullerian Mimicry Among Insects","container-title":"Transactions of the Royal Entomological Society of London","page":"101-123","volume":"113","issue":"5","source":"Wiley Online Library","DOI":"10.1111/j.1365-2311.1961.tb00803.x","ISSN":"1365-2311","language":"en","author":[{"family":"Rothschild","given":"Miriam"}],"issued":{"date-parts":[["1961",7,1]]}},"label":"page"},{"id":3330,"uris":["http://zotero.org/users/2671101/items/CMPZ9ZZQ"],"uri":["http://zotero.org/users/2671101/items/CMPZ9ZZQ"],"itemData":{"id":3330,"type":"article-journal","title":"Multimodal Aposematic Signals and Their Emerging Role in Mate Attraction","container-title":"Frontiers in Ecology and Evolution","page":"93","volume":"6","source":"Frontiers","abstract":"Chemically defended animals often display conspicuous colour patterns that predators learn to associate with their unprofitability and subsequently avoid. Such animals (i.e. aposematic), deter predators by stimulating their visual and chemical sensory channels. Hence, aposematism is considered to be ‘multimodal’. The evolution of warning signals (and to a lesser degree their accompanying chemical defences) is fundamentally linked to natural selection by predators. Lately, however, increasing evidence also points to a role of sexual selection shaping warning signal evolution. One of the species in which this has been shown is the wood tiger moth, Arctia plantaginis, which we here put forward as a promising model to investigate multimodality in aposematic and sexual signalling. A. plantaginis is an aposematic diurnal moth which exhibits sexually dimorphic colouration as well as sex-limited polymorphism in part of its range. The anti-predator function of its colouration and, more recently, its chemical defences (even when experimentally decoupled from the visual signals) have been well-demonstrated. Interestingly, recent studies have revealed differences between the two male morphs in mating success, suggesting a role of colouration in mate choice or attraction, and providing a possible explanation for its sexual dimorphism in colouration. Here, we: (1) review the lines of evidence showing the role of predation pressure and sexual selection in the evolution of multimodal aposematic signals in general, and in the wood tiger moth in particular; (2) establish gaps in current research linking sexual selection and predation as selective pressures on aposematic signals by reviewing a sample of the literature published in the last 30 years; (3) highlight the need of identifying suitable systems to address simultaneously the effect of natural and sexual selection on multimodal aposematic signals; and (4) propose directions for future research to test how aposematic signals can evolve under natural and sexual selection.","DOI":"10.3389/fevo.2018.00093","ISSN":"2296-701X","journalAbbreviation":"Front. Ecol. Evol.","language":"English","author":[{"family":"Rojas","given":"Bibiana"},{"family":"Burdfield-Steel","given":"Emily"},{"family":"De Pasqual","given":"Chiara"},{"family":"Gordon","given":"Swanne"},{"family":"Hernández","given":"Linda"},{"family":"Mappes","given":"Johanna"},{"family":"Nokelainen","given":"Ossi"},{"family":"Rönkä","given":"Katja"},{"family":"Lindstedt","given":"Carita"}],"issued":{"date-parts":[["2018"]]}},"label":"page"}],"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sz w:val="24"/>
          <w:lang w:val="en-US"/>
        </w:rPr>
        <w:t>(Rojas et al., 2018; Rothschild, 1961)</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 xml:space="preserve">, with some tentative evidence that co-mimics exhibit similar chemical bouquets to aid recognition by predators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{"citationID":"a2mf5bi1i8e","properties":{"formattedCitation":"(Mann et al., 2017)","plainCitation":"(Mann et al., 2017)","noteIndex":0},"citationItems":[{"id":2882,"uris":["http://zotero.org/users/2671101/items/XXUR7S3J"],"uri":["http://zotero.org/users/2671101/items/XXUR7S3J"],"itemData":{"id":2882,"type":"article-journal","title":"The Scent Chemistry of &lt;i&gt;Heliconius&lt;/i&gt; Wing Androconia","container-title":"Journal of Chemical Ecology","page":"843-857","volume":"43","issue":"9","source":"link.springer.com","abstract":"Neotropical Heliconius butterflies are members of various mimicry rings characterized by diverse colour patterns. In the present study we investigated whether a similar diversity is observed in the chemistry of volatile compounds present in male wing androconia. Recent research has shown that these androconia are used during courting of females. Three to five wild-caught male Heliconius individuals of 17 species and subspecies were analyzed by GC/MS. Most of the identified compounds originate from common fatty acids precursors, including aldehydes, alcohols, acetates or esters preferentially with a C18 and C20 chain, together with some alkanes. The compounds occurred in species-specific mixtures or signatures. For example, octadecanal is characteristic for H. melpomene, but variation in composition between the individuals was observed. Cluster analysis of compound occurrence in individual bouquets and analyses based on biosynthetic motifs such as functional group, chain length, or basic carbon-backbone modification were used to reveal structural patterns. Mimetic pairs contain different scent bouquets, but also some compounds in common, whereas sympatric species, both mimetic and non-mimetic, have more distinct compound compositions. The compounds identified here may play a role in mate choice thus helping maintain species integrity in a butterfly genus characterized by pervasive interspecific gene flow.","DOI":"10.1007/s10886-017-0867-3","ISSN":"0098-0331, 1573-1561","journalAbbreviation":"J Chem Ecol","language":"en","author":[{"family":"Mann","given":"Florian"},{"family":"Vanjari","given":"Sohini"},{"family":"Rosser","given":"Neil"},{"family":"Mann","given":"Sandra"},{"family":"Dasmahapatra","given":"Kanchon K."},{"family":"Corbin","given":"Chris"},{"family":"Linares","given":"Mauricio"},{"family":"Pardo-Diaz","given":"Carolina"},{"family":"Salazar","given":"Camilo"},{"family":"Jiggins","given":"Chris"},{"family":"Schulz","given":"Stefan"}],"issued":{"date-parts":[["2017",8,8]]}}}],"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sz w:val="24"/>
          <w:lang w:val="en-US"/>
        </w:rPr>
        <w:t>(Mann et al., 2017)</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 xml:space="preserve">. </w:t>
      </w:r>
    </w:p>
    <w:p w:rsidR="00A7633C" w:rsidRPr="000224E9" w:rsidRDefault="00A7633C" w:rsidP="00A7633C">
      <w:pPr>
        <w:spacing w:after="120" w:line="480" w:lineRule="auto"/>
        <w:ind w:firstLine="720"/>
        <w:rPr>
          <w:rFonts w:ascii="Times New Roman" w:hAnsi="Times New Roman" w:cs="Times New Roman"/>
          <w:sz w:val="24"/>
          <w:szCs w:val="24"/>
        </w:rPr>
      </w:pPr>
      <w:r w:rsidRPr="000224E9">
        <w:rPr>
          <w:rFonts w:ascii="Times New Roman" w:hAnsi="Times New Roman" w:cs="Times New Roman"/>
          <w:sz w:val="24"/>
          <w:szCs w:val="24"/>
        </w:rPr>
        <w:t xml:space="preserve">Here, we describe the chemical profiles of seven species of </w:t>
      </w:r>
      <w:proofErr w:type="spellStart"/>
      <w:r w:rsidRPr="000224E9">
        <w:rPr>
          <w:rFonts w:ascii="Times New Roman" w:hAnsi="Times New Roman" w:cs="Times New Roman"/>
          <w:i/>
          <w:iCs/>
          <w:sz w:val="24"/>
          <w:szCs w:val="24"/>
        </w:rPr>
        <w:t>Heliconius</w:t>
      </w:r>
      <w:proofErr w:type="spellEnd"/>
      <w:r w:rsidRPr="000224E9">
        <w:rPr>
          <w:rFonts w:ascii="Times New Roman" w:hAnsi="Times New Roman" w:cs="Times New Roman"/>
          <w:sz w:val="24"/>
          <w:szCs w:val="24"/>
        </w:rPr>
        <w:t xml:space="preserve"> from</w:t>
      </w:r>
      <w:r w:rsidRPr="000224E9">
        <w:rPr>
          <w:rFonts w:ascii="Times New Roman" w:hAnsi="Times New Roman" w:cs="Times New Roman"/>
          <w:i/>
          <w:iCs/>
          <w:sz w:val="24"/>
          <w:szCs w:val="24"/>
        </w:rPr>
        <w:t xml:space="preserve"> </w:t>
      </w:r>
      <w:r w:rsidRPr="000224E9">
        <w:rPr>
          <w:rFonts w:ascii="Times New Roman" w:hAnsi="Times New Roman" w:cs="Times New Roman"/>
          <w:sz w:val="24"/>
          <w:szCs w:val="24"/>
        </w:rPr>
        <w:t xml:space="preserve">over 250 individuals collected across the Neotropics. We focus on the co-mimetic species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melpomene</w:t>
      </w:r>
      <w:proofErr w:type="spellEnd"/>
      <w:r w:rsidRPr="000224E9">
        <w:rPr>
          <w:rFonts w:ascii="Times New Roman" w:hAnsi="Times New Roman" w:cs="Times New Roman"/>
          <w:sz w:val="24"/>
          <w:szCs w:val="24"/>
        </w:rPr>
        <w:t xml:space="preserve"> and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erato</w:t>
      </w:r>
      <w:proofErr w:type="spellEnd"/>
      <w:r w:rsidRPr="000224E9">
        <w:rPr>
          <w:rFonts w:ascii="Times New Roman" w:hAnsi="Times New Roman" w:cs="Times New Roman"/>
          <w:sz w:val="24"/>
          <w:szCs w:val="24"/>
        </w:rPr>
        <w:t xml:space="preserve"> that are distributed widely across the Neotropics and analysed both wing </w:t>
      </w:r>
      <w:proofErr w:type="spellStart"/>
      <w:r w:rsidRPr="000224E9">
        <w:rPr>
          <w:rFonts w:ascii="Times New Roman" w:hAnsi="Times New Roman" w:cs="Times New Roman"/>
          <w:sz w:val="24"/>
          <w:szCs w:val="24"/>
        </w:rPr>
        <w:t>androconial</w:t>
      </w:r>
      <w:proofErr w:type="spellEnd"/>
      <w:r w:rsidRPr="000224E9">
        <w:rPr>
          <w:rFonts w:ascii="Times New Roman" w:hAnsi="Times New Roman" w:cs="Times New Roman"/>
          <w:sz w:val="24"/>
          <w:szCs w:val="24"/>
        </w:rPr>
        <w:t xml:space="preserve"> and genital compounds of male butterflies. We hypothesise that compounds found consistently across the geographic range of a species are likely to be behaviourally active compounds, important for mate choice. We use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melpomene</w:t>
      </w:r>
      <w:proofErr w:type="spellEnd"/>
      <w:r w:rsidRPr="000224E9">
        <w:rPr>
          <w:rFonts w:ascii="Times New Roman" w:hAnsi="Times New Roman" w:cs="Times New Roman"/>
          <w:sz w:val="24"/>
          <w:szCs w:val="24"/>
        </w:rPr>
        <w:t xml:space="preserve"> as a test-species due to the availability of behavioural and electrophysiological data to investigate this approach, by evaluating consistency in compound blends across different localities.</w:t>
      </w:r>
    </w:p>
    <w:p w:rsidR="00A7633C" w:rsidRPr="000224E9" w:rsidRDefault="00A7633C" w:rsidP="00A7633C">
      <w:pPr>
        <w:spacing w:after="120" w:line="480" w:lineRule="auto"/>
        <w:ind w:firstLine="720"/>
        <w:rPr>
          <w:rFonts w:ascii="Times New Roman" w:hAnsi="Times New Roman" w:cs="Times New Roman"/>
          <w:sz w:val="24"/>
          <w:szCs w:val="24"/>
        </w:rPr>
      </w:pPr>
      <w:r w:rsidRPr="000224E9">
        <w:rPr>
          <w:rFonts w:ascii="Times New Roman" w:hAnsi="Times New Roman" w:cs="Times New Roman"/>
          <w:sz w:val="24"/>
          <w:szCs w:val="24"/>
        </w:rPr>
        <w:t xml:space="preserve">The extensive dataset analysed here allows us to test evolutionary hypotheses, as well as identifying interesting candidate compounds for future behavioural studies. As well as interspecific variation, we also investigated intraspecific variation in chemical profiles of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melpomene</w:t>
      </w:r>
      <w:proofErr w:type="spellEnd"/>
      <w:r w:rsidRPr="000224E9">
        <w:rPr>
          <w:rFonts w:ascii="Times New Roman" w:hAnsi="Times New Roman" w:cs="Times New Roman"/>
          <w:sz w:val="24"/>
          <w:szCs w:val="24"/>
        </w:rPr>
        <w:t xml:space="preserve"> and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erato</w:t>
      </w:r>
      <w:proofErr w:type="spellEnd"/>
      <w:r w:rsidRPr="000224E9">
        <w:rPr>
          <w:rFonts w:ascii="Times New Roman" w:hAnsi="Times New Roman" w:cs="Times New Roman"/>
          <w:i/>
          <w:iCs/>
          <w:sz w:val="24"/>
          <w:szCs w:val="24"/>
        </w:rPr>
        <w:t xml:space="preserve">. </w:t>
      </w:r>
      <w:r w:rsidRPr="000224E9">
        <w:rPr>
          <w:rFonts w:ascii="Times New Roman" w:hAnsi="Times New Roman" w:cs="Times New Roman"/>
          <w:sz w:val="24"/>
          <w:szCs w:val="24"/>
        </w:rPr>
        <w:t>In both inter- and intraspecific datasets, we correlated chemical profile data with both geographic and genetic distances. Furthermore, to investigate if the chemical compounds are part of the aposematic co-mimicry signal we sampled two different mimicry rings in western Ecuador and Panama.</w:t>
      </w:r>
    </w:p>
    <w:p w:rsidR="00A7633C" w:rsidRPr="000224E9" w:rsidRDefault="00A7633C" w:rsidP="00A7633C">
      <w:pPr>
        <w:spacing w:after="120" w:line="480" w:lineRule="auto"/>
        <w:rPr>
          <w:rFonts w:ascii="Times New Roman" w:hAnsi="Times New Roman" w:cs="Times New Roman"/>
          <w:b/>
          <w:bCs/>
          <w:sz w:val="28"/>
          <w:szCs w:val="28"/>
        </w:rPr>
      </w:pPr>
    </w:p>
    <w:p w:rsidR="00A7633C" w:rsidRPr="000224E9" w:rsidRDefault="00A7633C" w:rsidP="00A7633C">
      <w:pPr>
        <w:spacing w:after="120" w:line="480" w:lineRule="auto"/>
        <w:rPr>
          <w:rFonts w:ascii="Times New Roman" w:hAnsi="Times New Roman" w:cs="Times New Roman"/>
          <w:sz w:val="24"/>
          <w:szCs w:val="24"/>
        </w:rPr>
      </w:pPr>
      <w:r w:rsidRPr="000224E9">
        <w:rPr>
          <w:rFonts w:ascii="Times New Roman" w:hAnsi="Times New Roman" w:cs="Times New Roman"/>
          <w:b/>
          <w:bCs/>
          <w:sz w:val="28"/>
          <w:szCs w:val="28"/>
        </w:rPr>
        <w:lastRenderedPageBreak/>
        <w:t>Materials and Methods</w:t>
      </w:r>
    </w:p>
    <w:p w:rsidR="00A7633C" w:rsidRPr="000224E9" w:rsidRDefault="00A7633C" w:rsidP="00A7633C">
      <w:pPr>
        <w:spacing w:after="120" w:line="480" w:lineRule="auto"/>
        <w:rPr>
          <w:rFonts w:ascii="Times New Roman" w:hAnsi="Times New Roman" w:cs="Times New Roman"/>
          <w:i/>
          <w:iCs/>
          <w:color w:val="000000" w:themeColor="text1"/>
          <w:sz w:val="24"/>
          <w:szCs w:val="24"/>
          <w:u w:val="single"/>
        </w:rPr>
      </w:pPr>
      <w:r w:rsidRPr="000224E9">
        <w:rPr>
          <w:rFonts w:ascii="Times New Roman" w:hAnsi="Times New Roman" w:cs="Times New Roman"/>
          <w:i/>
          <w:iCs/>
          <w:color w:val="000000" w:themeColor="text1"/>
          <w:sz w:val="24"/>
          <w:szCs w:val="24"/>
          <w:u w:val="single"/>
        </w:rPr>
        <w:t>Sampling</w:t>
      </w:r>
    </w:p>
    <w:p w:rsidR="00A7633C" w:rsidRPr="000224E9" w:rsidRDefault="00A7633C" w:rsidP="00E83902">
      <w:pPr>
        <w:spacing w:after="120" w:line="480" w:lineRule="auto"/>
        <w:ind w:firstLine="720"/>
        <w:rPr>
          <w:rFonts w:ascii="Times New Roman" w:hAnsi="Times New Roman" w:cs="Times New Roman"/>
          <w:color w:val="000000" w:themeColor="text1"/>
          <w:sz w:val="24"/>
          <w:szCs w:val="24"/>
        </w:rPr>
      </w:pPr>
      <w:r w:rsidRPr="000224E9">
        <w:rPr>
          <w:rFonts w:ascii="Times New Roman" w:hAnsi="Times New Roman" w:cs="Times New Roman"/>
          <w:color w:val="000000" w:themeColor="text1"/>
          <w:sz w:val="24"/>
          <w:szCs w:val="24"/>
        </w:rPr>
        <w:t xml:space="preserve">Between February 2016 and August 2017 wild males of </w:t>
      </w:r>
      <w:proofErr w:type="spellStart"/>
      <w:r w:rsidRPr="000224E9">
        <w:rPr>
          <w:rFonts w:ascii="Times New Roman" w:hAnsi="Times New Roman" w:cs="Times New Roman"/>
          <w:i/>
          <w:iCs/>
          <w:color w:val="000000" w:themeColor="text1"/>
          <w:sz w:val="24"/>
          <w:szCs w:val="24"/>
        </w:rPr>
        <w:t>Heliconius</w:t>
      </w:r>
      <w:proofErr w:type="spellEnd"/>
      <w:r w:rsidRPr="000224E9">
        <w:rPr>
          <w:rFonts w:ascii="Times New Roman" w:hAnsi="Times New Roman" w:cs="Times New Roman"/>
          <w:i/>
          <w:iCs/>
          <w:color w:val="000000" w:themeColor="text1"/>
          <w:sz w:val="24"/>
          <w:szCs w:val="24"/>
        </w:rPr>
        <w:t xml:space="preserve"> cydno</w:t>
      </w:r>
      <w:r w:rsidRPr="000224E9">
        <w:rPr>
          <w:rFonts w:ascii="Times New Roman" w:hAnsi="Times New Roman" w:cs="Times New Roman"/>
          <w:color w:val="000000" w:themeColor="text1"/>
          <w:sz w:val="24"/>
          <w:szCs w:val="24"/>
        </w:rPr>
        <w:t xml:space="preserve">, </w:t>
      </w:r>
      <w:r w:rsidRPr="000224E9">
        <w:rPr>
          <w:rFonts w:ascii="Times New Roman" w:hAnsi="Times New Roman" w:cs="Times New Roman"/>
          <w:i/>
          <w:iCs/>
          <w:color w:val="000000" w:themeColor="text1"/>
          <w:sz w:val="24"/>
          <w:szCs w:val="24"/>
        </w:rPr>
        <w:t xml:space="preserve">H. </w:t>
      </w:r>
      <w:proofErr w:type="spellStart"/>
      <w:r w:rsidRPr="000224E9">
        <w:rPr>
          <w:rFonts w:ascii="Times New Roman" w:hAnsi="Times New Roman" w:cs="Times New Roman"/>
          <w:i/>
          <w:iCs/>
          <w:color w:val="000000" w:themeColor="text1"/>
          <w:sz w:val="24"/>
          <w:szCs w:val="24"/>
        </w:rPr>
        <w:t>elevatus</w:t>
      </w:r>
      <w:proofErr w:type="spellEnd"/>
      <w:r w:rsidRPr="000224E9">
        <w:rPr>
          <w:rFonts w:ascii="Times New Roman" w:hAnsi="Times New Roman" w:cs="Times New Roman"/>
          <w:color w:val="000000" w:themeColor="text1"/>
          <w:sz w:val="24"/>
          <w:szCs w:val="24"/>
        </w:rPr>
        <w:t xml:space="preserve">, </w:t>
      </w:r>
      <w:r w:rsidRPr="000224E9">
        <w:rPr>
          <w:rFonts w:ascii="Times New Roman" w:hAnsi="Times New Roman" w:cs="Times New Roman"/>
          <w:i/>
          <w:iCs/>
          <w:color w:val="000000" w:themeColor="text1"/>
          <w:sz w:val="24"/>
          <w:szCs w:val="24"/>
        </w:rPr>
        <w:t xml:space="preserve">H. </w:t>
      </w:r>
      <w:proofErr w:type="spellStart"/>
      <w:r w:rsidRPr="000224E9">
        <w:rPr>
          <w:rFonts w:ascii="Times New Roman" w:hAnsi="Times New Roman" w:cs="Times New Roman"/>
          <w:i/>
          <w:iCs/>
          <w:color w:val="000000" w:themeColor="text1"/>
          <w:sz w:val="24"/>
          <w:szCs w:val="24"/>
        </w:rPr>
        <w:t>eleuchia</w:t>
      </w:r>
      <w:proofErr w:type="spellEnd"/>
      <w:r w:rsidRPr="000224E9">
        <w:rPr>
          <w:rFonts w:ascii="Times New Roman" w:hAnsi="Times New Roman" w:cs="Times New Roman"/>
          <w:color w:val="000000" w:themeColor="text1"/>
          <w:sz w:val="24"/>
          <w:szCs w:val="24"/>
        </w:rPr>
        <w:t xml:space="preserve">, </w:t>
      </w:r>
      <w:r w:rsidRPr="000224E9">
        <w:rPr>
          <w:rFonts w:ascii="Times New Roman" w:hAnsi="Times New Roman" w:cs="Times New Roman"/>
          <w:i/>
          <w:iCs/>
          <w:color w:val="000000" w:themeColor="text1"/>
          <w:sz w:val="24"/>
          <w:szCs w:val="24"/>
        </w:rPr>
        <w:t xml:space="preserve">H. </w:t>
      </w:r>
      <w:proofErr w:type="spellStart"/>
      <w:r w:rsidRPr="000224E9">
        <w:rPr>
          <w:rFonts w:ascii="Times New Roman" w:hAnsi="Times New Roman" w:cs="Times New Roman"/>
          <w:i/>
          <w:iCs/>
          <w:color w:val="000000" w:themeColor="text1"/>
          <w:sz w:val="24"/>
          <w:szCs w:val="24"/>
        </w:rPr>
        <w:t>erato</w:t>
      </w:r>
      <w:proofErr w:type="spellEnd"/>
      <w:r w:rsidRPr="000224E9">
        <w:rPr>
          <w:rFonts w:ascii="Times New Roman" w:hAnsi="Times New Roman" w:cs="Times New Roman"/>
          <w:color w:val="000000" w:themeColor="text1"/>
          <w:sz w:val="24"/>
          <w:szCs w:val="24"/>
        </w:rPr>
        <w:t xml:space="preserve">, </w:t>
      </w:r>
      <w:r w:rsidRPr="000224E9">
        <w:rPr>
          <w:rFonts w:ascii="Times New Roman" w:hAnsi="Times New Roman" w:cs="Times New Roman"/>
          <w:i/>
          <w:iCs/>
          <w:color w:val="000000" w:themeColor="text1"/>
          <w:sz w:val="24"/>
          <w:szCs w:val="24"/>
        </w:rPr>
        <w:t xml:space="preserve">H. </w:t>
      </w:r>
      <w:proofErr w:type="spellStart"/>
      <w:r w:rsidRPr="000224E9">
        <w:rPr>
          <w:rFonts w:ascii="Times New Roman" w:hAnsi="Times New Roman" w:cs="Times New Roman"/>
          <w:i/>
          <w:iCs/>
          <w:color w:val="000000" w:themeColor="text1"/>
          <w:sz w:val="24"/>
          <w:szCs w:val="24"/>
        </w:rPr>
        <w:t>melpomene</w:t>
      </w:r>
      <w:proofErr w:type="spellEnd"/>
      <w:r w:rsidRPr="000224E9">
        <w:rPr>
          <w:rFonts w:ascii="Times New Roman" w:hAnsi="Times New Roman" w:cs="Times New Roman"/>
          <w:color w:val="000000" w:themeColor="text1"/>
          <w:sz w:val="24"/>
          <w:szCs w:val="24"/>
        </w:rPr>
        <w:t xml:space="preserve">, </w:t>
      </w:r>
      <w:r w:rsidRPr="000224E9">
        <w:rPr>
          <w:rFonts w:ascii="Times New Roman" w:hAnsi="Times New Roman" w:cs="Times New Roman"/>
          <w:i/>
          <w:iCs/>
          <w:color w:val="000000" w:themeColor="text1"/>
          <w:sz w:val="24"/>
          <w:szCs w:val="24"/>
        </w:rPr>
        <w:t xml:space="preserve">H. </w:t>
      </w:r>
      <w:proofErr w:type="spellStart"/>
      <w:r w:rsidRPr="000224E9">
        <w:rPr>
          <w:rFonts w:ascii="Times New Roman" w:hAnsi="Times New Roman" w:cs="Times New Roman"/>
          <w:i/>
          <w:iCs/>
          <w:color w:val="000000" w:themeColor="text1"/>
          <w:sz w:val="24"/>
          <w:szCs w:val="24"/>
        </w:rPr>
        <w:t>sapho</w:t>
      </w:r>
      <w:proofErr w:type="spellEnd"/>
      <w:r w:rsidRPr="000224E9">
        <w:rPr>
          <w:rFonts w:ascii="Times New Roman" w:hAnsi="Times New Roman" w:cs="Times New Roman"/>
          <w:color w:val="000000" w:themeColor="text1"/>
          <w:sz w:val="24"/>
          <w:szCs w:val="24"/>
        </w:rPr>
        <w:t xml:space="preserve"> and </w:t>
      </w:r>
      <w:r w:rsidRPr="000224E9">
        <w:rPr>
          <w:rFonts w:ascii="Times New Roman" w:hAnsi="Times New Roman" w:cs="Times New Roman"/>
          <w:i/>
          <w:iCs/>
          <w:color w:val="000000" w:themeColor="text1"/>
          <w:sz w:val="24"/>
          <w:szCs w:val="24"/>
        </w:rPr>
        <w:t xml:space="preserve">H. </w:t>
      </w:r>
      <w:proofErr w:type="spellStart"/>
      <w:r w:rsidRPr="000224E9">
        <w:rPr>
          <w:rFonts w:ascii="Times New Roman" w:hAnsi="Times New Roman" w:cs="Times New Roman"/>
          <w:i/>
          <w:iCs/>
          <w:color w:val="000000" w:themeColor="text1"/>
          <w:sz w:val="24"/>
          <w:szCs w:val="24"/>
        </w:rPr>
        <w:t>timareta</w:t>
      </w:r>
      <w:proofErr w:type="spellEnd"/>
      <w:r w:rsidRPr="000224E9">
        <w:rPr>
          <w:rFonts w:ascii="Times New Roman" w:hAnsi="Times New Roman" w:cs="Times New Roman"/>
          <w:color w:val="000000" w:themeColor="text1"/>
          <w:sz w:val="24"/>
          <w:szCs w:val="24"/>
        </w:rPr>
        <w:t xml:space="preserve"> were collected with hand nets from twelve localities. Between two and fifteen males were chemically analysed per population (Fig. 1, Table </w:t>
      </w:r>
      <w:r w:rsidR="003A48C1" w:rsidRPr="000224E9">
        <w:rPr>
          <w:rFonts w:ascii="Times New Roman" w:hAnsi="Times New Roman" w:cs="Times New Roman"/>
          <w:color w:val="000000" w:themeColor="text1"/>
          <w:sz w:val="24"/>
          <w:szCs w:val="24"/>
        </w:rPr>
        <w:t>A</w:t>
      </w:r>
      <w:r w:rsidRPr="000224E9">
        <w:rPr>
          <w:rFonts w:ascii="Times New Roman" w:hAnsi="Times New Roman" w:cs="Times New Roman"/>
          <w:color w:val="000000" w:themeColor="text1"/>
          <w:sz w:val="24"/>
          <w:szCs w:val="24"/>
        </w:rPr>
        <w:t xml:space="preserve">1), and one representative from each subspecies of </w:t>
      </w:r>
      <w:r w:rsidRPr="000224E9">
        <w:rPr>
          <w:rFonts w:ascii="Times New Roman" w:hAnsi="Times New Roman" w:cs="Times New Roman"/>
          <w:i/>
          <w:iCs/>
          <w:color w:val="000000" w:themeColor="text1"/>
          <w:sz w:val="24"/>
          <w:szCs w:val="24"/>
        </w:rPr>
        <w:t xml:space="preserve">H. </w:t>
      </w:r>
      <w:proofErr w:type="spellStart"/>
      <w:r w:rsidRPr="000224E9">
        <w:rPr>
          <w:rFonts w:ascii="Times New Roman" w:hAnsi="Times New Roman" w:cs="Times New Roman"/>
          <w:i/>
          <w:iCs/>
          <w:color w:val="000000" w:themeColor="text1"/>
          <w:sz w:val="24"/>
          <w:szCs w:val="24"/>
        </w:rPr>
        <w:t>erato</w:t>
      </w:r>
      <w:proofErr w:type="spellEnd"/>
      <w:r w:rsidRPr="000224E9">
        <w:rPr>
          <w:rFonts w:ascii="Times New Roman" w:hAnsi="Times New Roman" w:cs="Times New Roman"/>
          <w:color w:val="000000" w:themeColor="text1"/>
          <w:sz w:val="24"/>
          <w:szCs w:val="24"/>
        </w:rPr>
        <w:t xml:space="preserve"> and </w:t>
      </w:r>
      <w:r w:rsidRPr="000224E9">
        <w:rPr>
          <w:rFonts w:ascii="Times New Roman" w:hAnsi="Times New Roman" w:cs="Times New Roman"/>
          <w:i/>
          <w:iCs/>
          <w:color w:val="000000" w:themeColor="text1"/>
          <w:sz w:val="24"/>
          <w:szCs w:val="24"/>
        </w:rPr>
        <w:t xml:space="preserve">H. </w:t>
      </w:r>
      <w:proofErr w:type="spellStart"/>
      <w:r w:rsidRPr="000224E9">
        <w:rPr>
          <w:rFonts w:ascii="Times New Roman" w:hAnsi="Times New Roman" w:cs="Times New Roman"/>
          <w:i/>
          <w:iCs/>
          <w:color w:val="000000" w:themeColor="text1"/>
          <w:sz w:val="24"/>
          <w:szCs w:val="24"/>
        </w:rPr>
        <w:t>melpomene</w:t>
      </w:r>
      <w:proofErr w:type="spellEnd"/>
      <w:r w:rsidRPr="000224E9">
        <w:rPr>
          <w:rFonts w:ascii="Times New Roman" w:hAnsi="Times New Roman" w:cs="Times New Roman"/>
          <w:color w:val="000000" w:themeColor="text1"/>
          <w:sz w:val="24"/>
          <w:szCs w:val="24"/>
        </w:rPr>
        <w:t xml:space="preserve"> were used for whole-genome sequencing (Table </w:t>
      </w:r>
      <w:r w:rsidR="003A48C1" w:rsidRPr="000224E9">
        <w:rPr>
          <w:rFonts w:ascii="Times New Roman" w:hAnsi="Times New Roman" w:cs="Times New Roman"/>
          <w:color w:val="000000" w:themeColor="text1"/>
          <w:sz w:val="24"/>
          <w:szCs w:val="24"/>
        </w:rPr>
        <w:t>A</w:t>
      </w:r>
      <w:r w:rsidRPr="000224E9">
        <w:rPr>
          <w:rFonts w:ascii="Times New Roman" w:hAnsi="Times New Roman" w:cs="Times New Roman"/>
          <w:color w:val="000000" w:themeColor="text1"/>
          <w:sz w:val="24"/>
          <w:szCs w:val="24"/>
        </w:rPr>
        <w:t xml:space="preserve">2). We follow the latest </w:t>
      </w:r>
      <w:proofErr w:type="spellStart"/>
      <w:r w:rsidRPr="000224E9">
        <w:rPr>
          <w:rFonts w:ascii="Times New Roman" w:hAnsi="Times New Roman" w:cs="Times New Roman"/>
          <w:i/>
          <w:iCs/>
          <w:color w:val="000000" w:themeColor="text1"/>
          <w:sz w:val="24"/>
          <w:szCs w:val="24"/>
        </w:rPr>
        <w:t>Heliconius</w:t>
      </w:r>
      <w:proofErr w:type="spellEnd"/>
      <w:r w:rsidRPr="000224E9">
        <w:rPr>
          <w:rFonts w:ascii="Times New Roman" w:hAnsi="Times New Roman" w:cs="Times New Roman"/>
          <w:color w:val="000000" w:themeColor="text1"/>
          <w:sz w:val="24"/>
          <w:szCs w:val="24"/>
        </w:rPr>
        <w:t xml:space="preserve"> taxonomy </w:t>
      </w:r>
      <w:r w:rsidRPr="000224E9">
        <w:rPr>
          <w:rFonts w:ascii="Times New Roman" w:hAnsi="Times New Roman" w:cs="Times New Roman"/>
          <w:color w:val="000000" w:themeColor="text1"/>
          <w:sz w:val="24"/>
          <w:szCs w:val="24"/>
        </w:rPr>
        <w:fldChar w:fldCharType="begin"/>
      </w:r>
      <w:r w:rsidRPr="000224E9">
        <w:rPr>
          <w:rFonts w:ascii="Times New Roman" w:hAnsi="Times New Roman" w:cs="Times New Roman"/>
          <w:color w:val="000000" w:themeColor="text1"/>
          <w:sz w:val="24"/>
          <w:szCs w:val="24"/>
        </w:rPr>
        <w:instrText xml:space="preserve"> ADDIN ZOTERO_ITEM CSL_CITATION {"citationID":"uPfnkQAF","properties":{"formattedCitation":"(Lamas and Jiggins, 2017)","plainCitation":"(Lamas and Jiggins, 2017)","noteIndex":0},"citationItems":[{"id":3606,"uris":["http://zotero.org/users/2671101/items/2TWKE344"],"uri":["http://zotero.org/users/2671101/items/2TWKE344"],"itemData":{"id":3606,"type":"chapter","title":"Taxonomic list","container-title":"The ecology and evoution of Heliconius butterflies","publisher":"Oxford University Press","publisher-place":"Oxford","page":"214-244","event-place":"Oxford","author":[{"family":"Lamas","given":"Gerardo"},{"family":"Jiggins","given":"C. D."}],"issued":{"date-parts":[["2017"]]}}}],"schema":"https://github.com/citation-style-language/schema/raw/master/csl-citation.json"} </w:instrText>
      </w:r>
      <w:r w:rsidRPr="000224E9">
        <w:rPr>
          <w:rFonts w:ascii="Times New Roman" w:hAnsi="Times New Roman" w:cs="Times New Roman"/>
          <w:color w:val="000000" w:themeColor="text1"/>
          <w:sz w:val="24"/>
          <w:szCs w:val="24"/>
        </w:rPr>
        <w:fldChar w:fldCharType="separate"/>
      </w:r>
      <w:r w:rsidRPr="000224E9">
        <w:rPr>
          <w:rFonts w:ascii="Times New Roman" w:hAnsi="Times New Roman" w:cs="Times New Roman"/>
          <w:color w:val="000000"/>
          <w:sz w:val="24"/>
          <w:lang w:val="en-US"/>
        </w:rPr>
        <w:t>(Lamas and Jiggins, 2017)</w:t>
      </w:r>
      <w:r w:rsidRPr="000224E9">
        <w:rPr>
          <w:rFonts w:ascii="Times New Roman" w:hAnsi="Times New Roman" w:cs="Times New Roman"/>
          <w:color w:val="000000" w:themeColor="text1"/>
          <w:sz w:val="24"/>
          <w:szCs w:val="24"/>
        </w:rPr>
        <w:fldChar w:fldCharType="end"/>
      </w:r>
      <w:r w:rsidRPr="000224E9">
        <w:rPr>
          <w:rFonts w:ascii="Times New Roman" w:hAnsi="Times New Roman" w:cs="Times New Roman"/>
          <w:color w:val="000000" w:themeColor="text1"/>
          <w:sz w:val="24"/>
          <w:szCs w:val="24"/>
        </w:rPr>
        <w:t xml:space="preserve">. </w:t>
      </w:r>
      <w:r w:rsidRPr="000224E9">
        <w:rPr>
          <w:rFonts w:ascii="Times New Roman" w:hAnsi="Times New Roman" w:cs="Times New Roman"/>
          <w:color w:val="000000" w:themeColor="text1"/>
          <w:sz w:val="24"/>
          <w:szCs w:val="24"/>
        </w:rPr>
        <w:br w:type="page"/>
      </w:r>
    </w:p>
    <w:p w:rsidR="00A7633C" w:rsidRPr="000224E9" w:rsidRDefault="00A7633C" w:rsidP="00A7633C">
      <w:pPr>
        <w:spacing w:after="120" w:line="480" w:lineRule="auto"/>
        <w:rPr>
          <w:rFonts w:ascii="Times New Roman" w:hAnsi="Times New Roman" w:cs="Times New Roman"/>
          <w:i/>
          <w:iCs/>
          <w:color w:val="000000" w:themeColor="text1"/>
          <w:sz w:val="24"/>
          <w:szCs w:val="24"/>
          <w:u w:val="single"/>
        </w:rPr>
      </w:pPr>
      <w:r w:rsidRPr="000224E9">
        <w:rPr>
          <w:rFonts w:ascii="Times New Roman" w:hAnsi="Times New Roman" w:cs="Times New Roman"/>
          <w:i/>
          <w:iCs/>
          <w:color w:val="000000" w:themeColor="text1"/>
          <w:sz w:val="24"/>
          <w:szCs w:val="24"/>
          <w:u w:val="single"/>
        </w:rPr>
        <w:lastRenderedPageBreak/>
        <w:t>Extraction and chemical analysis of tissues</w:t>
      </w:r>
    </w:p>
    <w:p w:rsidR="00A7633C" w:rsidRPr="000224E9" w:rsidRDefault="00A7633C" w:rsidP="00A7633C">
      <w:pPr>
        <w:spacing w:after="120" w:line="480" w:lineRule="auto"/>
        <w:ind w:firstLine="720"/>
        <w:rPr>
          <w:rFonts w:ascii="Times New Roman" w:hAnsi="Times New Roman" w:cs="Times New Roman"/>
          <w:color w:val="000000" w:themeColor="text1"/>
          <w:sz w:val="24"/>
          <w:szCs w:val="24"/>
        </w:rPr>
      </w:pPr>
      <w:r w:rsidRPr="000224E9">
        <w:rPr>
          <w:rFonts w:ascii="Times New Roman" w:hAnsi="Times New Roman" w:cs="Times New Roman"/>
          <w:color w:val="000000" w:themeColor="text1"/>
          <w:sz w:val="24"/>
          <w:szCs w:val="24"/>
        </w:rPr>
        <w:t xml:space="preserve">The </w:t>
      </w:r>
      <w:proofErr w:type="spellStart"/>
      <w:r w:rsidRPr="000224E9">
        <w:rPr>
          <w:rFonts w:ascii="Times New Roman" w:hAnsi="Times New Roman" w:cs="Times New Roman"/>
          <w:color w:val="000000" w:themeColor="text1"/>
          <w:sz w:val="24"/>
          <w:szCs w:val="24"/>
        </w:rPr>
        <w:t>androconial</w:t>
      </w:r>
      <w:proofErr w:type="spellEnd"/>
      <w:r w:rsidRPr="000224E9">
        <w:rPr>
          <w:rFonts w:ascii="Times New Roman" w:hAnsi="Times New Roman" w:cs="Times New Roman"/>
          <w:color w:val="000000" w:themeColor="text1"/>
          <w:sz w:val="24"/>
          <w:szCs w:val="24"/>
        </w:rPr>
        <w:t xml:space="preserve"> region of the wing, previously described as the grey-brown overlapping region of the hindwing </w:t>
      </w:r>
      <w:r w:rsidRPr="000224E9">
        <w:rPr>
          <w:rFonts w:ascii="Times New Roman" w:hAnsi="Times New Roman" w:cs="Times New Roman"/>
          <w:color w:val="000000" w:themeColor="text1"/>
          <w:sz w:val="24"/>
          <w:szCs w:val="24"/>
        </w:rPr>
        <w:fldChar w:fldCharType="begin"/>
      </w:r>
      <w:r w:rsidRPr="000224E9">
        <w:rPr>
          <w:rFonts w:ascii="Times New Roman" w:hAnsi="Times New Roman" w:cs="Times New Roman"/>
          <w:color w:val="000000" w:themeColor="text1"/>
          <w:sz w:val="24"/>
          <w:szCs w:val="24"/>
        </w:rPr>
        <w:instrText xml:space="preserve"> ADDIN ZOTERO_ITEM CSL_CITATION {"citationID":"DcF0nUvv","properties":{"formattedCitation":"(Darragh et al., 2017)","plainCitation":"(Darragh et al., 2017)","noteIndex":0},"citationItems":[{"id":3026,"uris":["http://zotero.org/users/2671101/items/P9BVV94T"],"uri":["http://zotero.org/users/2671101/items/P9BVV94T"],"itemData":{"id":3026,"type":"article-journal","title":"Male sex pheromone components in &lt;i&gt;Heliconius&lt;/i&gt; butterflies released by the androconia affect female choice","container-title":"PeerJ","page":"e3953","volume":"5","source":"PubMed Central","abstract":"Sex-specific pheromones are known to play an important role in butterfly courtship, and may influence both individual reproductive success and reproductive isolation between species. Extensive ecological, behavioural and genetic studies of Heliconius butterflies have made a substantial contribution to our understanding of speciation. Male pheromones, although long suspected to play an important role, have received relatively little attention in this genus. Here, we combine morphological, chemical and behavioural analyses of male pheromones in the Neotropical butterfly Heliconius melpomene. First, we identify putative androconia that are specialized brush-like scales that lie within the shiny grey region of the male hindwing. We then describe putative male sex pheromone compounds, which are largely confined to the androconial region of the hindwing of mature males, but are absent in immature males and females. Finally, behavioural choice experiments reveal that females of H. melpomene, H. erato and H. timareta strongly discriminate against conspecific males which have their androconial region experimentally blocked. As well as demonstrating the importance of chemical signalling for female mate choice in Heliconius butterflies, the results describe structures involved in release of the pheromone and a list of potential male sex pheromone compounds.","DOI":"10.7717/peerj.3953","ISSN":"2167-8359","note":"PMID: 29134139\nPMCID: PMC5680698","journalAbbreviation":"PeerJ","author":[{"family":"Darragh","given":"Kathy"},{"family":"Vanjari","given":"Sohini"},{"family":"Mann","given":"Florian"},{"family":"Gonzalez-Rojas","given":"Maria F."},{"family":"Morrison","given":"Colin R."},{"family":"Salazar","given":"Camilo"},{"family":"Pardo-Diaz","given":"Carolina"},{"family":"Merrill","given":"Richard M."},{"family":"McMillan","given":"W. Owen"},{"family":"Schulz","given":"Stefan"},{"family":"Jiggins","given":"Chris D."}],"issued":{"date-parts":[["2017",11,7]]}}}],"schema":"https://github.com/citation-style-language/schema/raw/master/csl-citation.json"} </w:instrText>
      </w:r>
      <w:r w:rsidRPr="000224E9">
        <w:rPr>
          <w:rFonts w:ascii="Times New Roman" w:hAnsi="Times New Roman" w:cs="Times New Roman"/>
          <w:color w:val="000000" w:themeColor="text1"/>
          <w:sz w:val="24"/>
          <w:szCs w:val="24"/>
        </w:rPr>
        <w:fldChar w:fldCharType="separate"/>
      </w:r>
      <w:r w:rsidRPr="000224E9">
        <w:rPr>
          <w:rFonts w:ascii="Times New Roman" w:hAnsi="Times New Roman" w:cs="Times New Roman"/>
          <w:noProof/>
          <w:color w:val="000000" w:themeColor="text1"/>
          <w:sz w:val="24"/>
          <w:szCs w:val="24"/>
        </w:rPr>
        <w:t>(Darragh et al., 2017)</w:t>
      </w:r>
      <w:r w:rsidRPr="000224E9">
        <w:rPr>
          <w:rFonts w:ascii="Times New Roman" w:hAnsi="Times New Roman" w:cs="Times New Roman"/>
          <w:color w:val="000000" w:themeColor="text1"/>
          <w:sz w:val="24"/>
          <w:szCs w:val="24"/>
        </w:rPr>
        <w:fldChar w:fldCharType="end"/>
      </w:r>
      <w:r w:rsidRPr="000224E9">
        <w:rPr>
          <w:rFonts w:ascii="Times New Roman" w:hAnsi="Times New Roman" w:cs="Times New Roman"/>
          <w:sz w:val="24"/>
          <w:szCs w:val="24"/>
        </w:rPr>
        <w:t>,</w:t>
      </w:r>
      <w:r w:rsidRPr="000224E9">
        <w:rPr>
          <w:rFonts w:ascii="Times New Roman" w:hAnsi="Times New Roman" w:cs="Times New Roman"/>
          <w:color w:val="000000" w:themeColor="text1"/>
          <w:sz w:val="24"/>
          <w:szCs w:val="24"/>
        </w:rPr>
        <w:t xml:space="preserve"> as well as the genitalia, were dissected for analysis immediately after collection. For chemical extraction, the tissue was soaked in 200μl dichloromethane containing 200ng 2-tetradecyl acetate (internal standard) in 2ml glass vials with PTFE-coated caps (Agilent, Santa Clara, USA) for one hour. </w:t>
      </w:r>
      <w:r w:rsidRPr="000224E9">
        <w:rPr>
          <w:rFonts w:ascii="Times New Roman" w:hAnsi="Times New Roman" w:cs="Times New Roman"/>
          <w:sz w:val="24"/>
          <w:szCs w:val="24"/>
        </w:rPr>
        <w:t xml:space="preserve">The </w:t>
      </w:r>
      <w:r w:rsidRPr="000224E9">
        <w:rPr>
          <w:rFonts w:ascii="Times New Roman" w:hAnsi="Times New Roman" w:cs="Times New Roman"/>
          <w:color w:val="000000" w:themeColor="text1"/>
          <w:sz w:val="24"/>
          <w:szCs w:val="24"/>
        </w:rPr>
        <w:t xml:space="preserve">solvent was then transferred to new vials, maintained cool in the field and stored at -20°C upon return. </w:t>
      </w:r>
      <w:proofErr w:type="spellStart"/>
      <w:r w:rsidRPr="000224E9">
        <w:rPr>
          <w:rFonts w:ascii="Times New Roman" w:hAnsi="Times New Roman" w:cs="Times New Roman"/>
          <w:color w:val="000000" w:themeColor="text1"/>
          <w:sz w:val="24"/>
          <w:szCs w:val="24"/>
        </w:rPr>
        <w:t>Androconial</w:t>
      </w:r>
      <w:proofErr w:type="spellEnd"/>
      <w:r w:rsidRPr="000224E9">
        <w:rPr>
          <w:rFonts w:ascii="Times New Roman" w:hAnsi="Times New Roman" w:cs="Times New Roman"/>
          <w:color w:val="000000" w:themeColor="text1"/>
          <w:sz w:val="24"/>
          <w:szCs w:val="24"/>
        </w:rPr>
        <w:t xml:space="preserve"> samples were evaporated to a reduced volume at room temperature prior to analysis. Extracts were analysed by GC/MS using an Agilent model 5977 mass-selective detector connected to an Agilent GC model 7890B and equipped with an Agilent ALS 7693 autosampler. HP-5MS fused silica capillary columns (Agilent, Santa Clara, USA, 30 m × 0.25 mm, 0.25 µm) were used. Injection was performed in </w:t>
      </w:r>
      <w:proofErr w:type="spellStart"/>
      <w:r w:rsidRPr="000224E9">
        <w:rPr>
          <w:rFonts w:ascii="Times New Roman" w:hAnsi="Times New Roman" w:cs="Times New Roman"/>
          <w:color w:val="000000" w:themeColor="text1"/>
          <w:sz w:val="24"/>
          <w:szCs w:val="24"/>
        </w:rPr>
        <w:t>splitless</w:t>
      </w:r>
      <w:proofErr w:type="spellEnd"/>
      <w:r w:rsidRPr="000224E9">
        <w:rPr>
          <w:rFonts w:ascii="Times New Roman" w:hAnsi="Times New Roman" w:cs="Times New Roman"/>
          <w:color w:val="000000" w:themeColor="text1"/>
          <w:sz w:val="24"/>
          <w:szCs w:val="24"/>
        </w:rPr>
        <w:t xml:space="preserve"> mode (250°C injector temperature) with helium as the carrier gas (constant flow of 1.2 ml/min). The temperature programme started at 50°C, was held for 5 minutes, and then rose at a rate of 5°C/minute to 320°C, before being held at 320°C for 5 minutes. Components were identified by comparison of mass spectra and gas chromatographic retention index with those of authentic reference samples and also by analysis of mass spectra. Components were quantified using 2-tetradecyl acetate as an internal standard. Only compounds eluting earlier than </w:t>
      </w:r>
      <w:proofErr w:type="spellStart"/>
      <w:r w:rsidRPr="000224E9">
        <w:rPr>
          <w:rFonts w:ascii="Times New Roman" w:hAnsi="Times New Roman" w:cs="Times New Roman"/>
          <w:color w:val="000000" w:themeColor="text1"/>
          <w:sz w:val="24"/>
          <w:szCs w:val="24"/>
        </w:rPr>
        <w:t>hexacosane</w:t>
      </w:r>
      <w:proofErr w:type="spellEnd"/>
      <w:r w:rsidRPr="000224E9">
        <w:rPr>
          <w:rFonts w:ascii="Times New Roman" w:hAnsi="Times New Roman" w:cs="Times New Roman"/>
          <w:color w:val="000000" w:themeColor="text1"/>
          <w:sz w:val="24"/>
          <w:szCs w:val="24"/>
        </w:rPr>
        <w:t xml:space="preserve"> were analysed in </w:t>
      </w:r>
      <w:proofErr w:type="spellStart"/>
      <w:r w:rsidRPr="000224E9">
        <w:rPr>
          <w:rFonts w:ascii="Times New Roman" w:hAnsi="Times New Roman" w:cs="Times New Roman"/>
          <w:color w:val="000000" w:themeColor="text1"/>
          <w:sz w:val="24"/>
          <w:szCs w:val="24"/>
        </w:rPr>
        <w:t>androconial</w:t>
      </w:r>
      <w:proofErr w:type="spellEnd"/>
      <w:r w:rsidRPr="000224E9">
        <w:rPr>
          <w:rFonts w:ascii="Times New Roman" w:hAnsi="Times New Roman" w:cs="Times New Roman"/>
          <w:color w:val="000000" w:themeColor="text1"/>
          <w:sz w:val="24"/>
          <w:szCs w:val="24"/>
        </w:rPr>
        <w:t xml:space="preserve"> samples, and those earlier than </w:t>
      </w:r>
      <w:proofErr w:type="spellStart"/>
      <w:r w:rsidRPr="000224E9">
        <w:rPr>
          <w:rFonts w:ascii="Times New Roman" w:hAnsi="Times New Roman" w:cs="Times New Roman"/>
          <w:color w:val="000000" w:themeColor="text1"/>
          <w:sz w:val="24"/>
          <w:szCs w:val="24"/>
        </w:rPr>
        <w:t>nonacosane</w:t>
      </w:r>
      <w:proofErr w:type="spellEnd"/>
      <w:r w:rsidRPr="000224E9">
        <w:rPr>
          <w:rFonts w:ascii="Times New Roman" w:hAnsi="Times New Roman" w:cs="Times New Roman"/>
          <w:color w:val="000000" w:themeColor="text1"/>
          <w:sz w:val="24"/>
          <w:szCs w:val="24"/>
        </w:rPr>
        <w:t xml:space="preserve"> in genital samples (Darragh et al. 2017). We globally removed compounds that were not found in at least half of all individuals from a given population. </w:t>
      </w:r>
    </w:p>
    <w:p w:rsidR="00A7633C" w:rsidRPr="000224E9" w:rsidRDefault="00A7633C" w:rsidP="00A7633C">
      <w:pPr>
        <w:spacing w:after="120" w:line="480" w:lineRule="auto"/>
        <w:rPr>
          <w:rFonts w:ascii="Times New Roman" w:hAnsi="Times New Roman" w:cs="Times New Roman"/>
          <w:i/>
          <w:color w:val="000000" w:themeColor="text1"/>
          <w:sz w:val="24"/>
          <w:szCs w:val="24"/>
        </w:rPr>
      </w:pPr>
      <w:r w:rsidRPr="000224E9">
        <w:rPr>
          <w:rFonts w:ascii="Times New Roman" w:hAnsi="Times New Roman" w:cs="Times New Roman"/>
          <w:i/>
          <w:color w:val="000000" w:themeColor="text1"/>
          <w:sz w:val="24"/>
          <w:szCs w:val="24"/>
        </w:rPr>
        <w:t>DNA extraction and library preparation</w:t>
      </w:r>
    </w:p>
    <w:p w:rsidR="001075F2" w:rsidRPr="001075F2" w:rsidRDefault="001075F2" w:rsidP="00AA2FEC">
      <w:pPr>
        <w:spacing w:after="120" w:line="480" w:lineRule="auto"/>
        <w:ind w:firstLine="720"/>
        <w:rPr>
          <w:rFonts w:ascii="Times New Roman" w:hAnsi="Times New Roman" w:cs="Times New Roman"/>
          <w:color w:val="000000" w:themeColor="text1"/>
          <w:sz w:val="24"/>
          <w:szCs w:val="24"/>
        </w:rPr>
      </w:pPr>
      <w:r w:rsidRPr="001075F2">
        <w:rPr>
          <w:rFonts w:ascii="Times New Roman" w:hAnsi="Times New Roman" w:cs="Times New Roman"/>
          <w:color w:val="000000" w:themeColor="text1"/>
          <w:sz w:val="24"/>
          <w:szCs w:val="24"/>
        </w:rPr>
        <w:t xml:space="preserve">We used a representative individual from each subspecies of </w:t>
      </w:r>
      <w:r w:rsidRPr="001075F2">
        <w:rPr>
          <w:rFonts w:ascii="Times New Roman" w:hAnsi="Times New Roman" w:cs="Times New Roman"/>
          <w:i/>
          <w:color w:val="000000" w:themeColor="text1"/>
          <w:sz w:val="24"/>
          <w:szCs w:val="24"/>
        </w:rPr>
        <w:t xml:space="preserve">H. </w:t>
      </w:r>
      <w:proofErr w:type="spellStart"/>
      <w:r w:rsidRPr="001075F2">
        <w:rPr>
          <w:rFonts w:ascii="Times New Roman" w:hAnsi="Times New Roman" w:cs="Times New Roman"/>
          <w:i/>
          <w:color w:val="000000" w:themeColor="text1"/>
          <w:sz w:val="24"/>
          <w:szCs w:val="24"/>
        </w:rPr>
        <w:t>erato</w:t>
      </w:r>
      <w:proofErr w:type="spellEnd"/>
      <w:r w:rsidRPr="001075F2">
        <w:rPr>
          <w:rFonts w:ascii="Times New Roman" w:hAnsi="Times New Roman" w:cs="Times New Roman"/>
          <w:i/>
          <w:color w:val="000000" w:themeColor="text1"/>
          <w:sz w:val="24"/>
          <w:szCs w:val="24"/>
        </w:rPr>
        <w:t xml:space="preserve"> </w:t>
      </w:r>
      <w:r w:rsidRPr="001075F2">
        <w:rPr>
          <w:rFonts w:ascii="Times New Roman" w:hAnsi="Times New Roman" w:cs="Times New Roman"/>
          <w:color w:val="000000" w:themeColor="text1"/>
          <w:sz w:val="24"/>
          <w:szCs w:val="24"/>
        </w:rPr>
        <w:t xml:space="preserve">and </w:t>
      </w:r>
      <w:r w:rsidRPr="001075F2">
        <w:rPr>
          <w:rFonts w:ascii="Times New Roman" w:hAnsi="Times New Roman" w:cs="Times New Roman"/>
          <w:i/>
          <w:color w:val="000000" w:themeColor="text1"/>
          <w:sz w:val="24"/>
          <w:szCs w:val="24"/>
        </w:rPr>
        <w:t xml:space="preserve">H. </w:t>
      </w:r>
      <w:proofErr w:type="spellStart"/>
      <w:r w:rsidRPr="001075F2">
        <w:rPr>
          <w:rFonts w:ascii="Times New Roman" w:hAnsi="Times New Roman" w:cs="Times New Roman"/>
          <w:i/>
          <w:color w:val="000000" w:themeColor="text1"/>
          <w:sz w:val="24"/>
          <w:szCs w:val="24"/>
        </w:rPr>
        <w:t>melpomene</w:t>
      </w:r>
      <w:proofErr w:type="spellEnd"/>
      <w:r w:rsidRPr="001075F2">
        <w:rPr>
          <w:rFonts w:ascii="Times New Roman" w:hAnsi="Times New Roman" w:cs="Times New Roman"/>
          <w:color w:val="000000" w:themeColor="text1"/>
          <w:sz w:val="24"/>
          <w:szCs w:val="24"/>
        </w:rPr>
        <w:t xml:space="preserve"> from across their range. Individuals were genotyped with medium to high coverage whole genome sequencing. We used two sequencing approaches. </w:t>
      </w:r>
      <w:r w:rsidRPr="001075F2">
        <w:rPr>
          <w:rFonts w:ascii="Times New Roman" w:eastAsia="Times New Roman" w:hAnsi="Times New Roman" w:cs="Times New Roman"/>
          <w:color w:val="000000"/>
          <w:sz w:val="24"/>
          <w:szCs w:val="24"/>
        </w:rPr>
        <w:t xml:space="preserve">Genomic DNA of </w:t>
      </w:r>
      <w:r w:rsidRPr="001075F2">
        <w:rPr>
          <w:rFonts w:ascii="Times New Roman" w:eastAsia="Times New Roman" w:hAnsi="Times New Roman" w:cs="Times New Roman"/>
          <w:color w:val="000000"/>
          <w:sz w:val="24"/>
          <w:szCs w:val="24"/>
        </w:rPr>
        <w:lastRenderedPageBreak/>
        <w:t xml:space="preserve">individuals whose ID start with SR or KK (C. Kozak collection, n=14) was extracted from thorax tissue with Qiagen </w:t>
      </w:r>
      <w:proofErr w:type="spellStart"/>
      <w:r w:rsidRPr="001075F2">
        <w:rPr>
          <w:rFonts w:ascii="Times New Roman" w:eastAsia="Times New Roman" w:hAnsi="Times New Roman" w:cs="Times New Roman"/>
          <w:color w:val="000000"/>
          <w:sz w:val="24"/>
          <w:szCs w:val="24"/>
        </w:rPr>
        <w:t>MagAttract</w:t>
      </w:r>
      <w:proofErr w:type="spellEnd"/>
      <w:r w:rsidRPr="001075F2">
        <w:rPr>
          <w:rFonts w:ascii="Times New Roman" w:eastAsia="Times New Roman" w:hAnsi="Times New Roman" w:cs="Times New Roman"/>
          <w:color w:val="000000"/>
          <w:sz w:val="24"/>
          <w:szCs w:val="24"/>
        </w:rPr>
        <w:t xml:space="preserve"> beads. The KAPA Biosystems kit was used to prepare paired-end 2x150 base pair libraries with inserts of 50-200bp after SPRI size-selection. Libraries were quality-controlled using the Agilent 2100 Bioanalyzer and indexed with the KAPA Single-Indexed Adapter Kit. Libraries were sequenced on the Illumina HiSeq4000 platform by </w:t>
      </w:r>
      <w:proofErr w:type="spellStart"/>
      <w:r w:rsidRPr="001075F2">
        <w:rPr>
          <w:rFonts w:ascii="Times New Roman" w:eastAsia="Times New Roman" w:hAnsi="Times New Roman" w:cs="Times New Roman"/>
          <w:color w:val="000000"/>
          <w:sz w:val="24"/>
          <w:szCs w:val="24"/>
        </w:rPr>
        <w:t>Novogene</w:t>
      </w:r>
      <w:proofErr w:type="spellEnd"/>
      <w:r w:rsidRPr="001075F2">
        <w:rPr>
          <w:rFonts w:ascii="Times New Roman" w:eastAsia="Times New Roman" w:hAnsi="Times New Roman" w:cs="Times New Roman"/>
          <w:color w:val="000000"/>
          <w:sz w:val="24"/>
          <w:szCs w:val="24"/>
        </w:rPr>
        <w:t>, Tianjin, People’s Republic of China.</w:t>
      </w:r>
      <w:r w:rsidRPr="001075F2">
        <w:rPr>
          <w:rFonts w:ascii="Times New Roman" w:hAnsi="Times New Roman" w:cs="Times New Roman"/>
          <w:color w:val="000000" w:themeColor="text1"/>
          <w:sz w:val="24"/>
          <w:szCs w:val="24"/>
        </w:rPr>
        <w:t xml:space="preserve"> For the remainder newly sequenced individuals (n=6, starting with CAM or 14N, Cambridge and </w:t>
      </w:r>
      <w:proofErr w:type="spellStart"/>
      <w:proofErr w:type="gramStart"/>
      <w:r w:rsidRPr="001075F2">
        <w:rPr>
          <w:rFonts w:ascii="Times New Roman" w:hAnsi="Times New Roman" w:cs="Times New Roman"/>
          <w:color w:val="000000" w:themeColor="text1"/>
          <w:sz w:val="24"/>
          <w:szCs w:val="24"/>
        </w:rPr>
        <w:t>N.Nadeau</w:t>
      </w:r>
      <w:proofErr w:type="spellEnd"/>
      <w:proofErr w:type="gramEnd"/>
      <w:r w:rsidRPr="001075F2">
        <w:rPr>
          <w:rFonts w:ascii="Times New Roman" w:hAnsi="Times New Roman" w:cs="Times New Roman"/>
          <w:color w:val="000000" w:themeColor="text1"/>
          <w:sz w:val="24"/>
          <w:szCs w:val="24"/>
        </w:rPr>
        <w:t xml:space="preserve"> collections, respectively), we extracted genomic DNA with Qiagen </w:t>
      </w:r>
      <w:proofErr w:type="spellStart"/>
      <w:r w:rsidRPr="001075F2">
        <w:rPr>
          <w:rFonts w:ascii="Times New Roman" w:hAnsi="Times New Roman" w:cs="Times New Roman"/>
          <w:color w:val="000000" w:themeColor="text1"/>
          <w:sz w:val="24"/>
          <w:szCs w:val="24"/>
        </w:rPr>
        <w:t>DNeasy</w:t>
      </w:r>
      <w:proofErr w:type="spellEnd"/>
      <w:r w:rsidRPr="001075F2">
        <w:rPr>
          <w:rFonts w:ascii="Times New Roman" w:hAnsi="Times New Roman" w:cs="Times New Roman"/>
          <w:color w:val="000000" w:themeColor="text1"/>
          <w:sz w:val="24"/>
          <w:szCs w:val="24"/>
        </w:rPr>
        <w:t xml:space="preserve"> kits (Qiagen) from thorax tissue. The libraries for these individuals were </w:t>
      </w:r>
      <w:proofErr w:type="spellStart"/>
      <w:r w:rsidRPr="001075F2">
        <w:rPr>
          <w:rFonts w:ascii="Times New Roman" w:hAnsi="Times New Roman" w:cs="Times New Roman"/>
          <w:color w:val="000000" w:themeColor="text1"/>
          <w:sz w:val="24"/>
          <w:szCs w:val="24"/>
        </w:rPr>
        <w:t>TruSeq</w:t>
      </w:r>
      <w:proofErr w:type="spellEnd"/>
      <w:r w:rsidRPr="001075F2">
        <w:rPr>
          <w:rFonts w:ascii="Times New Roman" w:hAnsi="Times New Roman" w:cs="Times New Roman"/>
          <w:color w:val="000000" w:themeColor="text1"/>
          <w:sz w:val="24"/>
          <w:szCs w:val="24"/>
        </w:rPr>
        <w:t xml:space="preserve"> Nano, gel-free libraries and were sequenced on Illumina </w:t>
      </w:r>
      <w:proofErr w:type="spellStart"/>
      <w:r w:rsidRPr="001075F2">
        <w:rPr>
          <w:rFonts w:ascii="Times New Roman" w:hAnsi="Times New Roman" w:cs="Times New Roman"/>
          <w:color w:val="000000" w:themeColor="text1"/>
          <w:sz w:val="24"/>
          <w:szCs w:val="24"/>
        </w:rPr>
        <w:t>HiSeq</w:t>
      </w:r>
      <w:proofErr w:type="spellEnd"/>
      <w:r w:rsidRPr="001075F2">
        <w:rPr>
          <w:rFonts w:ascii="Times New Roman" w:hAnsi="Times New Roman" w:cs="Times New Roman"/>
          <w:color w:val="000000" w:themeColor="text1"/>
          <w:sz w:val="24"/>
          <w:szCs w:val="24"/>
        </w:rPr>
        <w:t xml:space="preserve"> 2500 platform (v4 chemistry) by </w:t>
      </w:r>
      <w:proofErr w:type="spellStart"/>
      <w:r w:rsidRPr="001075F2">
        <w:rPr>
          <w:rFonts w:ascii="Times New Roman" w:hAnsi="Times New Roman" w:cs="Times New Roman"/>
          <w:color w:val="000000" w:themeColor="text1"/>
          <w:sz w:val="24"/>
          <w:szCs w:val="24"/>
        </w:rPr>
        <w:t>Novogene</w:t>
      </w:r>
      <w:proofErr w:type="spellEnd"/>
      <w:r w:rsidRPr="001075F2">
        <w:rPr>
          <w:rFonts w:ascii="Times New Roman" w:eastAsia="Times New Roman" w:hAnsi="Times New Roman" w:cs="Times New Roman"/>
          <w:color w:val="000000"/>
          <w:sz w:val="24"/>
          <w:szCs w:val="24"/>
        </w:rPr>
        <w:t xml:space="preserve"> (Hong Kong).</w:t>
      </w:r>
      <w:r w:rsidRPr="001075F2">
        <w:rPr>
          <w:rFonts w:ascii="Times New Roman" w:hAnsi="Times New Roman" w:cs="Times New Roman"/>
          <w:color w:val="000000" w:themeColor="text1"/>
          <w:sz w:val="24"/>
          <w:szCs w:val="24"/>
        </w:rPr>
        <w:t xml:space="preserve"> Whole-genomes for four individuals were obtained from public databases. Accession numbers and individual information can be found in Table </w:t>
      </w:r>
      <w:r w:rsidR="00AA2FEC">
        <w:rPr>
          <w:rFonts w:ascii="Times New Roman" w:hAnsi="Times New Roman" w:cs="Times New Roman"/>
          <w:color w:val="000000" w:themeColor="text1"/>
          <w:sz w:val="24"/>
          <w:szCs w:val="24"/>
        </w:rPr>
        <w:t>A</w:t>
      </w:r>
      <w:r w:rsidRPr="001075F2">
        <w:rPr>
          <w:rFonts w:ascii="Times New Roman" w:hAnsi="Times New Roman" w:cs="Times New Roman"/>
          <w:color w:val="000000" w:themeColor="text1"/>
          <w:sz w:val="24"/>
          <w:szCs w:val="24"/>
        </w:rPr>
        <w:t>2.</w:t>
      </w:r>
    </w:p>
    <w:p w:rsidR="00A7633C" w:rsidRPr="000224E9" w:rsidRDefault="00A7633C" w:rsidP="00A7633C">
      <w:pPr>
        <w:spacing w:after="120" w:line="480" w:lineRule="auto"/>
        <w:rPr>
          <w:rFonts w:ascii="Times New Roman" w:hAnsi="Times New Roman" w:cs="Times New Roman"/>
          <w:i/>
          <w:iCs/>
          <w:color w:val="000000" w:themeColor="text1"/>
          <w:sz w:val="24"/>
          <w:szCs w:val="24"/>
          <w:u w:val="single"/>
        </w:rPr>
      </w:pPr>
      <w:r w:rsidRPr="000224E9">
        <w:rPr>
          <w:rFonts w:ascii="Times New Roman" w:hAnsi="Times New Roman" w:cs="Times New Roman"/>
          <w:i/>
          <w:iCs/>
          <w:color w:val="000000" w:themeColor="text1"/>
          <w:sz w:val="24"/>
          <w:szCs w:val="24"/>
          <w:u w:val="single"/>
        </w:rPr>
        <w:t>Calculation of genetic and geographic distance matrices</w:t>
      </w:r>
    </w:p>
    <w:p w:rsidR="00A7633C" w:rsidRPr="000224E9" w:rsidRDefault="00A7633C" w:rsidP="00A7633C">
      <w:pPr>
        <w:spacing w:after="120" w:line="480" w:lineRule="auto"/>
        <w:ind w:firstLine="720"/>
        <w:rPr>
          <w:rFonts w:ascii="Times New Roman" w:hAnsi="Times New Roman" w:cs="Times New Roman"/>
          <w:color w:val="000000" w:themeColor="text1"/>
          <w:sz w:val="24"/>
          <w:szCs w:val="24"/>
        </w:rPr>
      </w:pPr>
      <w:r w:rsidRPr="000224E9">
        <w:rPr>
          <w:rFonts w:ascii="Times New Roman" w:hAnsi="Times New Roman" w:cs="Times New Roman"/>
          <w:color w:val="000000" w:themeColor="text1"/>
          <w:sz w:val="24"/>
          <w:szCs w:val="24"/>
        </w:rPr>
        <w:t xml:space="preserve">To explore genetic distance among the studied </w:t>
      </w:r>
      <w:r w:rsidRPr="000224E9">
        <w:rPr>
          <w:rFonts w:ascii="Times New Roman" w:hAnsi="Times New Roman" w:cs="Times New Roman"/>
          <w:i/>
          <w:iCs/>
          <w:color w:val="000000" w:themeColor="text1"/>
          <w:sz w:val="24"/>
          <w:szCs w:val="24"/>
        </w:rPr>
        <w:t xml:space="preserve">H. </w:t>
      </w:r>
      <w:proofErr w:type="spellStart"/>
      <w:r w:rsidRPr="000224E9">
        <w:rPr>
          <w:rFonts w:ascii="Times New Roman" w:hAnsi="Times New Roman" w:cs="Times New Roman"/>
          <w:i/>
          <w:iCs/>
          <w:color w:val="000000" w:themeColor="text1"/>
          <w:sz w:val="24"/>
          <w:szCs w:val="24"/>
        </w:rPr>
        <w:t>erato</w:t>
      </w:r>
      <w:proofErr w:type="spellEnd"/>
      <w:r w:rsidRPr="000224E9">
        <w:rPr>
          <w:rFonts w:ascii="Times New Roman" w:hAnsi="Times New Roman" w:cs="Times New Roman"/>
          <w:color w:val="000000" w:themeColor="text1"/>
          <w:sz w:val="24"/>
          <w:szCs w:val="24"/>
        </w:rPr>
        <w:t xml:space="preserve"> (n=12) and </w:t>
      </w:r>
      <w:r w:rsidRPr="000224E9">
        <w:rPr>
          <w:rFonts w:ascii="Times New Roman" w:hAnsi="Times New Roman" w:cs="Times New Roman"/>
          <w:i/>
          <w:iCs/>
          <w:color w:val="000000" w:themeColor="text1"/>
          <w:sz w:val="24"/>
          <w:szCs w:val="24"/>
        </w:rPr>
        <w:t xml:space="preserve">H. </w:t>
      </w:r>
      <w:proofErr w:type="spellStart"/>
      <w:r w:rsidRPr="000224E9">
        <w:rPr>
          <w:rFonts w:ascii="Times New Roman" w:hAnsi="Times New Roman" w:cs="Times New Roman"/>
          <w:i/>
          <w:iCs/>
          <w:color w:val="000000" w:themeColor="text1"/>
          <w:sz w:val="24"/>
          <w:szCs w:val="24"/>
        </w:rPr>
        <w:t>melpomene</w:t>
      </w:r>
      <w:proofErr w:type="spellEnd"/>
      <w:r w:rsidRPr="000224E9">
        <w:rPr>
          <w:rFonts w:ascii="Times New Roman" w:hAnsi="Times New Roman" w:cs="Times New Roman"/>
          <w:color w:val="000000" w:themeColor="text1"/>
          <w:sz w:val="24"/>
          <w:szCs w:val="24"/>
        </w:rPr>
        <w:t xml:space="preserve"> (n=13) populations, we computed whole-genome genetic covariance matrices and performed MDS for each species separately. A whole-genome sequence from a representative individual from each population was used (Table </w:t>
      </w:r>
      <w:r w:rsidR="003A48C1" w:rsidRPr="000224E9">
        <w:rPr>
          <w:rFonts w:ascii="Times New Roman" w:hAnsi="Times New Roman" w:cs="Times New Roman"/>
          <w:color w:val="000000" w:themeColor="text1"/>
          <w:sz w:val="24"/>
          <w:szCs w:val="24"/>
        </w:rPr>
        <w:t>A</w:t>
      </w:r>
      <w:r w:rsidRPr="000224E9">
        <w:rPr>
          <w:rFonts w:ascii="Times New Roman" w:hAnsi="Times New Roman" w:cs="Times New Roman"/>
          <w:color w:val="000000" w:themeColor="text1"/>
          <w:sz w:val="24"/>
          <w:szCs w:val="24"/>
        </w:rPr>
        <w:t xml:space="preserve">2). Genotypes were inferred from reads mapped to the </w:t>
      </w:r>
      <w:r w:rsidRPr="000224E9">
        <w:rPr>
          <w:rFonts w:ascii="Times New Roman" w:hAnsi="Times New Roman" w:cs="Times New Roman"/>
          <w:i/>
          <w:iCs/>
          <w:color w:val="000000" w:themeColor="text1"/>
          <w:sz w:val="24"/>
          <w:szCs w:val="24"/>
        </w:rPr>
        <w:t xml:space="preserve">H. </w:t>
      </w:r>
      <w:proofErr w:type="spellStart"/>
      <w:r w:rsidRPr="000224E9">
        <w:rPr>
          <w:rFonts w:ascii="Times New Roman" w:hAnsi="Times New Roman" w:cs="Times New Roman"/>
          <w:i/>
          <w:iCs/>
          <w:color w:val="000000" w:themeColor="text1"/>
          <w:sz w:val="24"/>
          <w:szCs w:val="24"/>
        </w:rPr>
        <w:t>melpomene</w:t>
      </w:r>
      <w:proofErr w:type="spellEnd"/>
      <w:r w:rsidRPr="000224E9">
        <w:rPr>
          <w:rFonts w:ascii="Times New Roman" w:hAnsi="Times New Roman" w:cs="Times New Roman"/>
          <w:color w:val="000000" w:themeColor="text1"/>
          <w:sz w:val="24"/>
          <w:szCs w:val="24"/>
        </w:rPr>
        <w:t xml:space="preserve"> (v2.5) and </w:t>
      </w:r>
      <w:r w:rsidRPr="000224E9">
        <w:rPr>
          <w:rFonts w:ascii="Times New Roman" w:hAnsi="Times New Roman" w:cs="Times New Roman"/>
          <w:i/>
          <w:iCs/>
          <w:color w:val="000000" w:themeColor="text1"/>
          <w:sz w:val="24"/>
          <w:szCs w:val="24"/>
        </w:rPr>
        <w:t xml:space="preserve">H. </w:t>
      </w:r>
      <w:proofErr w:type="spellStart"/>
      <w:r w:rsidRPr="000224E9">
        <w:rPr>
          <w:rFonts w:ascii="Times New Roman" w:hAnsi="Times New Roman" w:cs="Times New Roman"/>
          <w:i/>
          <w:iCs/>
          <w:color w:val="000000" w:themeColor="text1"/>
          <w:sz w:val="24"/>
          <w:szCs w:val="24"/>
        </w:rPr>
        <w:t>erato</w:t>
      </w:r>
      <w:proofErr w:type="spellEnd"/>
      <w:r w:rsidRPr="000224E9">
        <w:rPr>
          <w:rFonts w:ascii="Times New Roman" w:hAnsi="Times New Roman" w:cs="Times New Roman"/>
          <w:i/>
          <w:iCs/>
          <w:color w:val="000000" w:themeColor="text1"/>
          <w:sz w:val="24"/>
          <w:szCs w:val="24"/>
        </w:rPr>
        <w:t xml:space="preserve"> </w:t>
      </w:r>
      <w:proofErr w:type="spellStart"/>
      <w:r w:rsidRPr="000224E9">
        <w:rPr>
          <w:rFonts w:ascii="Times New Roman" w:hAnsi="Times New Roman" w:cs="Times New Roman"/>
          <w:i/>
          <w:iCs/>
          <w:color w:val="000000" w:themeColor="text1"/>
          <w:sz w:val="24"/>
          <w:szCs w:val="24"/>
        </w:rPr>
        <w:t>demophoon</w:t>
      </w:r>
      <w:proofErr w:type="spellEnd"/>
      <w:r w:rsidRPr="000224E9">
        <w:rPr>
          <w:rFonts w:ascii="Times New Roman" w:hAnsi="Times New Roman" w:cs="Times New Roman"/>
          <w:color w:val="000000" w:themeColor="text1"/>
          <w:sz w:val="24"/>
          <w:szCs w:val="24"/>
        </w:rPr>
        <w:t xml:space="preserve"> genome scaffolds </w:t>
      </w:r>
      <w:r w:rsidRPr="000224E9">
        <w:rPr>
          <w:rFonts w:ascii="Times New Roman" w:hAnsi="Times New Roman" w:cs="Times New Roman"/>
          <w:color w:val="000000" w:themeColor="text1"/>
          <w:sz w:val="24"/>
          <w:szCs w:val="24"/>
        </w:rPr>
        <w:fldChar w:fldCharType="begin"/>
      </w:r>
      <w:r w:rsidRPr="000224E9">
        <w:rPr>
          <w:rFonts w:ascii="Times New Roman" w:hAnsi="Times New Roman" w:cs="Times New Roman"/>
          <w:color w:val="000000" w:themeColor="text1"/>
          <w:sz w:val="24"/>
          <w:szCs w:val="24"/>
        </w:rPr>
        <w:instrText xml:space="preserve"> ADDIN ZOTERO_ITEM CSL_CITATION {"citationID":"18JTbjr8","properties":{"formattedCitation":"(Challis et al., 2016; Davey et al., 2017; Heliconius Genome Consortium, 2012; Van Belleghem et al., 2017)","plainCitation":"(Challis et al., 2016; Davey et al., 2017; Heliconius Genome Consortium, 2012; Van Belleghem et al., 2017)","noteIndex":0},"citationItems":[{"id":3414,"uris":["http://zotero.org/users/2671101/items/U5IE7MKD"],"uri":["http://zotero.org/users/2671101/items/U5IE7MKD"],"itemData":{"id":3414,"type":"article-journal","title":"Butterfly genome reveals promiscuous exchange of mimicry adaptations among species","container-title":"Nature","page":"94-98","volume":"487","issue":"7405","source":"PubMed","abstract":"The evolutionary importance of hybridization and introgression has long been debated. Hybrids are usually rare and unfit, but even infrequent hybridization can aid adaptation by transferring beneficial traits between species. Here we use genomic tools to investigate introgression in Heliconius, a rapidly radiating genus of neotropical butterflies widely used in studies of ecology, behaviour, mimicry and speciation. We sequenced the genome of Heliconius melpomene and compared it with other taxa to investigate chromosomal evolution in Lepidoptera and gene flow among multiple Heliconius species and races. Among 12,669 predicted genes, biologically important expansions of families of chemosensory and Hox genes are particularly noteworthy. Chromosomal organization has remained broadly conserved since the Cretaceous period, when butterflies split from the Bombyx (silkmoth) lineage. Using genomic resequencing, we show hybrid exchange of genes between three co-mimics, Heliconius melpomene, Heliconius timareta and Heliconius elevatus, especially at two genomic regions that control mimicry pattern. We infer that closely related Heliconius species exchange protective colour-pattern genes promiscuously, implying that hybridization has an important role in adaptive radiation.","DOI":"10.1038/nature11041","ISSN":"1476-4687","note":"PMID: 22722851\nPMCID: PMC3398145","journalAbbreviation":"Nature","language":"eng","author":[{"literal":"Heliconius Genome Consortium"}],"issued":{"date-parts":[["2012",7,5]]}},"label":"page"},{"id":3421,"uris":["http://zotero.org/users/2671101/items/A4NYRX2K"],"uri":["http://zotero.org/users/2671101/items/A4NYRX2K"],"itemData":{"id":3421,"type":"article-journal","title":"Lepbase: the Lepidopteran genome database","container-title":"bioRxiv","page":"056994","source":"www.biorxiv.org","abstract":"&lt;p&gt;As the generation and use of genomic datasets is becoming increasingly common in all areas of biology, the need for resources to collate, analyse and present data from independent (Tier 1) species-level genome projects into well supported clade-oriented (Tier 2) databases and provide a mechanism for these data to be propagated to pan-taxonomic (Tier 3) databases is becoming more pressing. Lepbase is a Tier 2 genomic resource for the Lepidoptera, supporting a research community using genomic approaches to understand evolution, speciation, olfaction, behaviour and pesticide resistance in a wide range of target species. Lepbase offers a core set of tools to make genomic data widely accessible including an Ensembl genome browser, text and sequence homology searches and bulk downloads of consistently presented and formatted datasets. As a part of the taxonomic community that we serve, we are working directly with Lepidoptera researchers to prioritise analyses and add tools that will be of most value to current research questions.&lt;/p&gt;","DOI":"10.1101/056994","title-short":"Lepbase","language":"en","author":[{"family":"Challis","given":"Richard J."},{"family":"Kumar","given":"Sujai"},{"family":"Dasmahapatra","given":"Kanchon Kumar K."},{"family":"Jiggins","given":"Chris D."},{"family":"Blaxter","given":"Mark"}],"issued":{"date-parts":[["2016",6,6]]}},"label":"page"},{"id":3447,"uris":["http://zotero.org/users/2671101/items/LCZ55RSU"],"uri":["http://zotero.org/users/2671101/items/LCZ55RSU"],"itemData":{"id":3447,"type":"article-journal","title":"No evidence for maintenance of a sympatric &lt;i&gt;Heliconius&lt;/i&gt; species barrier by chromosomal inversions","container-title":"Evolution Letters","page":"138-154","volume":"1","issue":"3","source":"Wiley Online Library","abstract":"Mechanisms that suppress recombination are known to help maintain species barriers by preventing the breakup of coadapted gene combinations. The sympatric butterfly species Heliconius melpomene and Heliconius cydno are separated by many strong barriers, but the species still hybridize infrequently in the wild, and around 40% of the genome is influenced by introgression. We tested the hypothesis that genetic barriers between the species are maintained by inversions or other mechanisms that reduce between-species recombination rate. We constructed fine-scale recombination maps for Panamanian populations of both species and their hybrids to directly measure recombination rate within and between species, and generated long sequence reads to detect inversions. We find no evidence for a systematic reduction in recombination rates in F1 hybrids, and also no evidence for inversions longer than 50 kb that might be involved in generating or maintaining species barriers. This suggests that mechanisms leading to global or local reduction in recombination do not play a significant role in the maintenance of species barriers between H. melpomene and H. cydno.","DOI":"10.1002/evl3.12","ISSN":"2056-3744","language":"en","author":[{"family":"Davey","given":"John W."},{"family":"Barker","given":"Sarah L."},{"family":"Rastas","given":"Pasi M."},{"family":"Pinharanda","given":"Ana"},{"family":"Martin","given":"Simon H."},{"family":"Durbin","given":"Richard"},{"family":"McMillan","given":"W. Owen"},{"family":"Merrill","given":"Richard M."},{"family":"Jiggins","given":"Chris D."}],"issued":{"date-parts":[["2017"]]}},"label":"page"},{"id":3418,"uris":["http://zotero.org/users/2671101/items/V9B9DATC"],"uri":["http://zotero.org/users/2671101/items/V9B9DATC"],"itemData":{"id":3418,"type":"article-journal","title":"Complex modular architecture around a simple toolkit of wing pattern genes","container-title":"Nature Ecology &amp; Evolution","page":"52","volume":"1","issue":"3","source":"PubMed","abstract":"Identifying the genomic changes that control morphological variation and understanding how they generate diversity is a major goal of evolutionary biology. In Heliconius butterflies, a small number of genes control the development of diverse wing color patterns. Here, we used full genome sequencing of individuals across the Heliconius erato radiation and closely related species to characterize genomic variation associated with wing pattern diversity. We show that variation around color pattern genes is highly modular, with narrow genomic intervals associated with specific differences in color and pattern. This modular architecture explains the diversity of color patterns and provides a flexible mechanism for rapid morphological diversification.","DOI":"10.1038/s41559-016-0052","ISSN":"2397-334X","note":"PMID: 28523290\nPMCID: PMC5432014","journalAbbreviation":"Nat Ecol Evol","language":"eng","author":[{"family":"Van Belleghem","given":"Steven M."},{"family":"Rastas","given":"Pasi"},{"family":"Papanicolaou","given":"Alexie"},{"family":"Martin","given":"Simon H."},{"family":"Arias","given":"Carlos F."},{"family":"Supple","given":"Megan A."},{"family":"Hanly","given":"Joseph J."},{"family":"Mallet","given":"James"},{"family":"Lewis","given":"James J."},{"family":"Hines","given":"Heather M."},{"family":"Ruiz","given":"Mayte"},{"family":"Salazar","given":"Camilo"},{"family":"Linares","given":"Mauricio"},{"family":"Moreira","given":"Gilson R. P."},{"family":"Jiggins","given":"Chris D."},{"family":"Counterman","given":"Brian A."},{"family":"McMillan","given":"W. Owen"},{"family":"Papa","given":"Riccardo"}],"issued":{"date-parts":[["2017"]]}},"label":"page"}],"schema":"https://github.com/citation-style-language/schema/raw/master/csl-citation.json"} </w:instrText>
      </w:r>
      <w:r w:rsidRPr="000224E9">
        <w:rPr>
          <w:rFonts w:ascii="Times New Roman" w:hAnsi="Times New Roman" w:cs="Times New Roman"/>
          <w:color w:val="000000" w:themeColor="text1"/>
          <w:sz w:val="24"/>
          <w:szCs w:val="24"/>
        </w:rPr>
        <w:fldChar w:fldCharType="separate"/>
      </w:r>
      <w:r w:rsidRPr="000224E9">
        <w:rPr>
          <w:rFonts w:ascii="Times New Roman" w:hAnsi="Times New Roman" w:cs="Times New Roman"/>
          <w:color w:val="000000"/>
          <w:sz w:val="24"/>
          <w:lang w:val="en-US"/>
        </w:rPr>
        <w:t>(Challis et al., 2016; Davey et al., 2017; Heliconius Genome Consortium, 2012; Van Belleghem et al., 2017)</w:t>
      </w:r>
      <w:r w:rsidRPr="000224E9">
        <w:rPr>
          <w:rFonts w:ascii="Times New Roman" w:hAnsi="Times New Roman" w:cs="Times New Roman"/>
          <w:color w:val="000000" w:themeColor="text1"/>
          <w:sz w:val="24"/>
          <w:szCs w:val="24"/>
        </w:rPr>
        <w:fldChar w:fldCharType="end"/>
      </w:r>
      <w:r w:rsidRPr="000224E9">
        <w:rPr>
          <w:rFonts w:ascii="Times New Roman" w:hAnsi="Times New Roman" w:cs="Times New Roman"/>
          <w:color w:val="000000" w:themeColor="text1"/>
          <w:sz w:val="24"/>
          <w:szCs w:val="24"/>
        </w:rPr>
        <w:t xml:space="preserve"> with bwa v0.7.15 </w:t>
      </w:r>
      <w:r w:rsidRPr="000224E9">
        <w:rPr>
          <w:rFonts w:ascii="Times New Roman" w:hAnsi="Times New Roman" w:cs="Times New Roman"/>
          <w:color w:val="000000" w:themeColor="text1"/>
          <w:sz w:val="24"/>
          <w:szCs w:val="24"/>
        </w:rPr>
        <w:fldChar w:fldCharType="begin"/>
      </w:r>
      <w:r w:rsidRPr="000224E9">
        <w:rPr>
          <w:rFonts w:ascii="Times New Roman" w:hAnsi="Times New Roman" w:cs="Times New Roman"/>
          <w:color w:val="000000" w:themeColor="text1"/>
          <w:sz w:val="24"/>
          <w:szCs w:val="24"/>
        </w:rPr>
        <w:instrText xml:space="preserve"> ADDIN ZOTERO_ITEM CSL_CITATION {"citationID":"VQCV5LKq","properties":{"formattedCitation":"(Li and Durbin, 2009)","plainCitation":"(Li and Durbin, 2009)","noteIndex":0},"citationItems":[{"id":3412,"uris":["http://zotero.org/users/2671101/items/BEMUWEZ8"],"uri":["http://zotero.org/users/2671101/items/BEMUWEZ8"],"itemData":{"id":3412,"type":"article-journal","title":"Fast and accurate short read alignment with Burrows-Wheeler transform","container-title":"Bioinformatics (Oxford, England)","page":"1754-1760","volume":"25","issue":"14","source":"PubMed","abstract":"MOTIVATION: The enormous amount of short reads generated by the new DNA sequencing technologies call for the development of fast and accurate read alignment programs. A first generation of hash table-based methods has been developed, including MAQ, which is accurate, feature rich and fast enough to align short reads from a single individual. However, MAQ does not support gapped alignment for single-end reads, which makes it unsuitable for alignment of longer reads where indels may occur frequently. The speed of MAQ is also a concern when the alignment is scaled up to the resequencing of hundreds of individuals.\nRESULTS: We implemented Burrows-Wheeler Alignment tool (BWA), a new read alignment package that is based on backward search with Burrows-Wheeler Transform (BWT), to efficiently align short sequencing reads against a large reference sequence such as the human genome, allowing mismatches and gaps. BWA supports both base space reads, e.g. from Illumina sequencing machines, and color space reads from AB SOLiD machines. Evaluations on both simulated and real data suggest that BWA is approximately 10-20x faster than MAQ, while achieving similar accuracy. In addition, BWA outputs alignment in the new standard SAM (Sequence Alignment/Map) format. Variant calling and other downstream analyses after the alignment can be achieved with the open source SAMtools software package.\nAVAILABILITY: http://maq.sourceforge.net.","DOI":"10.1093/bioinformatics/btp324","ISSN":"1367-4811","note":"PMID: 19451168\nPMCID: PMC2705234","journalAbbreviation":"Bioinformatics","language":"eng","author":[{"family":"Li","given":"Heng"},{"family":"Durbin","given":"Richard"}],"issued":{"date-parts":[["2009",7,15]]}}}],"schema":"https://github.com/citation-style-language/schema/raw/master/csl-citation.json"} </w:instrText>
      </w:r>
      <w:r w:rsidRPr="000224E9">
        <w:rPr>
          <w:rFonts w:ascii="Times New Roman" w:hAnsi="Times New Roman" w:cs="Times New Roman"/>
          <w:color w:val="000000" w:themeColor="text1"/>
          <w:sz w:val="24"/>
          <w:szCs w:val="24"/>
        </w:rPr>
        <w:fldChar w:fldCharType="separate"/>
      </w:r>
      <w:r w:rsidRPr="000224E9">
        <w:rPr>
          <w:rFonts w:ascii="Times New Roman" w:hAnsi="Times New Roman" w:cs="Times New Roman"/>
          <w:color w:val="000000"/>
          <w:sz w:val="24"/>
          <w:lang w:val="en-US"/>
        </w:rPr>
        <w:t>(Li and Durbin, 2009)</w:t>
      </w:r>
      <w:r w:rsidRPr="000224E9">
        <w:rPr>
          <w:rFonts w:ascii="Times New Roman" w:hAnsi="Times New Roman" w:cs="Times New Roman"/>
          <w:color w:val="000000" w:themeColor="text1"/>
          <w:sz w:val="24"/>
          <w:szCs w:val="24"/>
        </w:rPr>
        <w:fldChar w:fldCharType="end"/>
      </w:r>
      <w:r w:rsidRPr="000224E9">
        <w:rPr>
          <w:rFonts w:ascii="Times New Roman" w:hAnsi="Times New Roman" w:cs="Times New Roman"/>
          <w:color w:val="000000" w:themeColor="text1"/>
          <w:sz w:val="24"/>
          <w:szCs w:val="24"/>
        </w:rPr>
        <w:t xml:space="preserve">. We computed a whole-genome pairwise identical by state (IBS) matrix with a random sampled read from each position in the genome, implemented in ANGSD v0.912 </w:t>
      </w:r>
      <w:r w:rsidRPr="000224E9">
        <w:rPr>
          <w:rFonts w:ascii="Times New Roman" w:hAnsi="Times New Roman" w:cs="Times New Roman"/>
          <w:color w:val="000000" w:themeColor="text1"/>
          <w:sz w:val="24"/>
          <w:szCs w:val="24"/>
        </w:rPr>
        <w:fldChar w:fldCharType="begin"/>
      </w:r>
      <w:r w:rsidRPr="000224E9">
        <w:rPr>
          <w:rFonts w:ascii="Times New Roman" w:hAnsi="Times New Roman" w:cs="Times New Roman"/>
          <w:color w:val="000000" w:themeColor="text1"/>
          <w:sz w:val="24"/>
          <w:szCs w:val="24"/>
        </w:rPr>
        <w:instrText xml:space="preserve"> ADDIN ZOTERO_ITEM CSL_CITATION {"citationID":"6ILfhb8f","properties":{"formattedCitation":"(Korneliussen et al., 2014)","plainCitation":"(Korneliussen et al., 2014)","noteIndex":0},"citationItems":[{"id":3409,"uris":["http://zotero.org/users/2671101/items/2IGACQST"],"uri":["http://zotero.org/users/2671101/items/2IGACQST"],"itemData":{"id":3409,"type":"article-journal","title":"ANGSD: Analysis of Next Generation Sequencing Data","container-title":"BMC Bioinformatics","page":"356","volume":"15","issue":"1","source":"BioMed Central","abstract":"High-throughput DNA sequencing technologies are generating vast amounts of data. Fast, flexible and memory efficient implementations are needed in order to facilitate analyses of thousands of samples simultaneously.","DOI":"10.1186/s12859-014-0356-4","ISSN":"1471-2105","title-short":"ANGSD","journalAbbreviation":"BMC Bioinformatics","author":[{"family":"Korneliussen","given":"Thorfinn Sand"},{"family":"Albrechtsen","given":"Anders"},{"family":"Nielsen","given":"Rasmus"}],"issued":{"date-parts":[["2014",11,25]]}}}],"schema":"https://github.com/citation-style-language/schema/raw/master/csl-citation.json"} </w:instrText>
      </w:r>
      <w:r w:rsidRPr="000224E9">
        <w:rPr>
          <w:rFonts w:ascii="Times New Roman" w:hAnsi="Times New Roman" w:cs="Times New Roman"/>
          <w:color w:val="000000" w:themeColor="text1"/>
          <w:sz w:val="24"/>
          <w:szCs w:val="24"/>
        </w:rPr>
        <w:fldChar w:fldCharType="separate"/>
      </w:r>
      <w:r w:rsidRPr="000224E9">
        <w:rPr>
          <w:rFonts w:ascii="Times New Roman" w:hAnsi="Times New Roman" w:cs="Times New Roman"/>
          <w:color w:val="000000"/>
          <w:sz w:val="24"/>
          <w:lang w:val="en-US"/>
        </w:rPr>
        <w:t>(Korneliussen et al., 2014)</w:t>
      </w:r>
      <w:r w:rsidRPr="000224E9">
        <w:rPr>
          <w:rFonts w:ascii="Times New Roman" w:hAnsi="Times New Roman" w:cs="Times New Roman"/>
          <w:color w:val="000000" w:themeColor="text1"/>
          <w:sz w:val="24"/>
          <w:szCs w:val="24"/>
        </w:rPr>
        <w:fldChar w:fldCharType="end"/>
      </w:r>
      <w:r w:rsidRPr="000224E9">
        <w:rPr>
          <w:rFonts w:ascii="Times New Roman" w:hAnsi="Times New Roman" w:cs="Times New Roman"/>
          <w:color w:val="000000" w:themeColor="text1"/>
          <w:sz w:val="24"/>
          <w:szCs w:val="24"/>
        </w:rPr>
        <w:t xml:space="preserve"> (</w:t>
      </w:r>
      <w:proofErr w:type="spellStart"/>
      <w:r w:rsidRPr="000224E9">
        <w:rPr>
          <w:rFonts w:ascii="Times New Roman" w:hAnsi="Times New Roman" w:cs="Times New Roman"/>
          <w:color w:val="000000"/>
          <w:sz w:val="24"/>
          <w:lang w:val="en-US"/>
        </w:rPr>
        <w:t>angsd</w:t>
      </w:r>
      <w:proofErr w:type="spellEnd"/>
      <w:r w:rsidRPr="000224E9">
        <w:rPr>
          <w:rFonts w:ascii="Times New Roman" w:hAnsi="Times New Roman" w:cs="Times New Roman"/>
          <w:color w:val="000000"/>
          <w:sz w:val="24"/>
          <w:lang w:val="en-US"/>
        </w:rPr>
        <w:t xml:space="preserve"> -bam </w:t>
      </w:r>
      <w:proofErr w:type="spellStart"/>
      <w:r w:rsidRPr="000224E9">
        <w:rPr>
          <w:rFonts w:ascii="Times New Roman" w:hAnsi="Times New Roman" w:cs="Times New Roman"/>
          <w:color w:val="000000"/>
          <w:sz w:val="24"/>
          <w:lang w:val="en-US"/>
        </w:rPr>
        <w:t>bam.path.list</w:t>
      </w:r>
      <w:proofErr w:type="spellEnd"/>
      <w:r w:rsidRPr="000224E9">
        <w:rPr>
          <w:rFonts w:ascii="Times New Roman" w:hAnsi="Times New Roman" w:cs="Times New Roman"/>
          <w:color w:val="000000"/>
          <w:sz w:val="24"/>
          <w:lang w:val="en-US"/>
        </w:rPr>
        <w:t xml:space="preserve"> -</w:t>
      </w:r>
      <w:proofErr w:type="spellStart"/>
      <w:r w:rsidRPr="000224E9">
        <w:rPr>
          <w:rFonts w:ascii="Times New Roman" w:hAnsi="Times New Roman" w:cs="Times New Roman"/>
          <w:color w:val="000000"/>
          <w:sz w:val="24"/>
          <w:lang w:val="en-US"/>
        </w:rPr>
        <w:t>minMapQ</w:t>
      </w:r>
      <w:proofErr w:type="spellEnd"/>
      <w:r w:rsidRPr="000224E9">
        <w:rPr>
          <w:rFonts w:ascii="Times New Roman" w:hAnsi="Times New Roman" w:cs="Times New Roman"/>
          <w:color w:val="000000"/>
          <w:sz w:val="24"/>
          <w:lang w:val="en-US"/>
        </w:rPr>
        <w:t xml:space="preserve"> 30 -</w:t>
      </w:r>
      <w:proofErr w:type="spellStart"/>
      <w:r w:rsidRPr="000224E9">
        <w:rPr>
          <w:rFonts w:ascii="Times New Roman" w:hAnsi="Times New Roman" w:cs="Times New Roman"/>
          <w:color w:val="000000"/>
          <w:sz w:val="24"/>
          <w:lang w:val="en-US"/>
        </w:rPr>
        <w:t>minQ</w:t>
      </w:r>
      <w:proofErr w:type="spellEnd"/>
      <w:r w:rsidRPr="000224E9">
        <w:rPr>
          <w:rFonts w:ascii="Times New Roman" w:hAnsi="Times New Roman" w:cs="Times New Roman"/>
          <w:color w:val="000000"/>
          <w:sz w:val="24"/>
          <w:lang w:val="en-US"/>
        </w:rPr>
        <w:t xml:space="preserve"> 20 -GL 2  -</w:t>
      </w:r>
      <w:proofErr w:type="spellStart"/>
      <w:r w:rsidRPr="000224E9">
        <w:rPr>
          <w:rFonts w:ascii="Times New Roman" w:hAnsi="Times New Roman" w:cs="Times New Roman"/>
          <w:color w:val="000000"/>
          <w:sz w:val="24"/>
          <w:lang w:val="en-US"/>
        </w:rPr>
        <w:t>doMajorMinor</w:t>
      </w:r>
      <w:proofErr w:type="spellEnd"/>
      <w:r w:rsidRPr="000224E9">
        <w:rPr>
          <w:rFonts w:ascii="Times New Roman" w:hAnsi="Times New Roman" w:cs="Times New Roman"/>
          <w:color w:val="000000"/>
          <w:sz w:val="24"/>
          <w:lang w:val="en-US"/>
        </w:rPr>
        <w:t xml:space="preserve"> 1 -</w:t>
      </w:r>
      <w:proofErr w:type="spellStart"/>
      <w:r w:rsidRPr="000224E9">
        <w:rPr>
          <w:rFonts w:ascii="Times New Roman" w:hAnsi="Times New Roman" w:cs="Times New Roman"/>
          <w:color w:val="000000"/>
          <w:sz w:val="24"/>
          <w:lang w:val="en-US"/>
        </w:rPr>
        <w:t>doMaf</w:t>
      </w:r>
      <w:proofErr w:type="spellEnd"/>
      <w:r w:rsidRPr="000224E9">
        <w:rPr>
          <w:rFonts w:ascii="Times New Roman" w:hAnsi="Times New Roman" w:cs="Times New Roman"/>
          <w:color w:val="000000"/>
          <w:sz w:val="24"/>
          <w:lang w:val="en-US"/>
        </w:rPr>
        <w:t xml:space="preserve"> 1 -</w:t>
      </w:r>
      <w:proofErr w:type="spellStart"/>
      <w:r w:rsidRPr="000224E9">
        <w:rPr>
          <w:rFonts w:ascii="Times New Roman" w:hAnsi="Times New Roman" w:cs="Times New Roman"/>
          <w:color w:val="000000"/>
          <w:sz w:val="24"/>
          <w:lang w:val="en-US"/>
        </w:rPr>
        <w:t>SNP_pval</w:t>
      </w:r>
      <w:proofErr w:type="spellEnd"/>
      <w:r w:rsidRPr="000224E9">
        <w:rPr>
          <w:rFonts w:ascii="Times New Roman" w:hAnsi="Times New Roman" w:cs="Times New Roman"/>
          <w:color w:val="000000"/>
          <w:sz w:val="24"/>
          <w:lang w:val="en-US"/>
        </w:rPr>
        <w:t xml:space="preserve"> 2e-6 -</w:t>
      </w:r>
      <w:proofErr w:type="spellStart"/>
      <w:r w:rsidRPr="000224E9">
        <w:rPr>
          <w:rFonts w:ascii="Times New Roman" w:hAnsi="Times New Roman" w:cs="Times New Roman"/>
          <w:color w:val="000000"/>
          <w:sz w:val="24"/>
          <w:lang w:val="en-US"/>
        </w:rPr>
        <w:t>doIBS</w:t>
      </w:r>
      <w:proofErr w:type="spellEnd"/>
      <w:r w:rsidRPr="000224E9">
        <w:rPr>
          <w:rFonts w:ascii="Times New Roman" w:hAnsi="Times New Roman" w:cs="Times New Roman"/>
          <w:color w:val="000000"/>
          <w:sz w:val="24"/>
          <w:lang w:val="en-US"/>
        </w:rPr>
        <w:t xml:space="preserve"> 1 -</w:t>
      </w:r>
      <w:proofErr w:type="spellStart"/>
      <w:r w:rsidRPr="000224E9">
        <w:rPr>
          <w:rFonts w:ascii="Times New Roman" w:hAnsi="Times New Roman" w:cs="Times New Roman"/>
          <w:color w:val="000000"/>
          <w:sz w:val="24"/>
          <w:lang w:val="en-US"/>
        </w:rPr>
        <w:t>doCounts</w:t>
      </w:r>
      <w:proofErr w:type="spellEnd"/>
      <w:r w:rsidRPr="000224E9">
        <w:rPr>
          <w:rFonts w:ascii="Times New Roman" w:hAnsi="Times New Roman" w:cs="Times New Roman"/>
          <w:color w:val="000000"/>
          <w:sz w:val="24"/>
          <w:lang w:val="en-US"/>
        </w:rPr>
        <w:t xml:space="preserve"> 1 -</w:t>
      </w:r>
      <w:proofErr w:type="spellStart"/>
      <w:r w:rsidRPr="000224E9">
        <w:rPr>
          <w:rFonts w:ascii="Times New Roman" w:hAnsi="Times New Roman" w:cs="Times New Roman"/>
          <w:color w:val="000000"/>
          <w:sz w:val="24"/>
          <w:lang w:val="en-US"/>
        </w:rPr>
        <w:t>doCov</w:t>
      </w:r>
      <w:proofErr w:type="spellEnd"/>
      <w:r w:rsidRPr="000224E9">
        <w:rPr>
          <w:rFonts w:ascii="Times New Roman" w:hAnsi="Times New Roman" w:cs="Times New Roman"/>
          <w:color w:val="000000"/>
          <w:sz w:val="24"/>
          <w:lang w:val="en-US"/>
        </w:rPr>
        <w:t xml:space="preserve"> 1 -</w:t>
      </w:r>
      <w:proofErr w:type="spellStart"/>
      <w:r w:rsidRPr="000224E9">
        <w:rPr>
          <w:rFonts w:ascii="Times New Roman" w:hAnsi="Times New Roman" w:cs="Times New Roman"/>
          <w:color w:val="000000"/>
          <w:sz w:val="24"/>
          <w:lang w:val="en-US"/>
        </w:rPr>
        <w:t>makeMatrix</w:t>
      </w:r>
      <w:proofErr w:type="spellEnd"/>
      <w:r w:rsidRPr="000224E9">
        <w:rPr>
          <w:rFonts w:ascii="Times New Roman" w:hAnsi="Times New Roman" w:cs="Times New Roman"/>
          <w:color w:val="000000"/>
          <w:sz w:val="24"/>
          <w:lang w:val="en-US"/>
        </w:rPr>
        <w:t xml:space="preserve"> 1 -</w:t>
      </w:r>
      <w:proofErr w:type="spellStart"/>
      <w:r w:rsidRPr="000224E9">
        <w:rPr>
          <w:rFonts w:ascii="Times New Roman" w:hAnsi="Times New Roman" w:cs="Times New Roman"/>
          <w:color w:val="000000"/>
          <w:sz w:val="24"/>
          <w:lang w:val="en-US"/>
        </w:rPr>
        <w:t>minMaf</w:t>
      </w:r>
      <w:proofErr w:type="spellEnd"/>
      <w:r w:rsidRPr="000224E9">
        <w:rPr>
          <w:rFonts w:ascii="Times New Roman" w:hAnsi="Times New Roman" w:cs="Times New Roman"/>
          <w:color w:val="000000"/>
          <w:sz w:val="24"/>
          <w:lang w:val="en-US"/>
        </w:rPr>
        <w:t xml:space="preserve"> 0.05).</w:t>
      </w:r>
    </w:p>
    <w:p w:rsidR="00A7633C" w:rsidRPr="000224E9" w:rsidRDefault="00A7633C" w:rsidP="00A7633C">
      <w:pPr>
        <w:spacing w:after="120" w:line="480" w:lineRule="auto"/>
        <w:ind w:firstLine="720"/>
        <w:rPr>
          <w:rFonts w:ascii="Times New Roman" w:hAnsi="Times New Roman" w:cs="Times New Roman"/>
          <w:i/>
          <w:color w:val="000000" w:themeColor="text1"/>
          <w:sz w:val="24"/>
          <w:szCs w:val="24"/>
          <w:u w:val="single"/>
        </w:rPr>
      </w:pPr>
      <w:r w:rsidRPr="000224E9">
        <w:rPr>
          <w:rFonts w:ascii="Times New Roman" w:hAnsi="Times New Roman" w:cs="Times New Roman"/>
          <w:sz w:val="24"/>
          <w:szCs w:val="24"/>
        </w:rPr>
        <w:lastRenderedPageBreak/>
        <w:t>An interspecific genetic distance matrix was constructed using the function “</w:t>
      </w:r>
      <w:proofErr w:type="spellStart"/>
      <w:r w:rsidRPr="000224E9">
        <w:rPr>
          <w:rFonts w:ascii="Times New Roman" w:hAnsi="Times New Roman" w:cs="Times New Roman"/>
          <w:sz w:val="24"/>
          <w:szCs w:val="24"/>
        </w:rPr>
        <w:t>cophenetic.phylo</w:t>
      </w:r>
      <w:proofErr w:type="spellEnd"/>
      <w:r w:rsidRPr="000224E9">
        <w:rPr>
          <w:rFonts w:ascii="Times New Roman" w:hAnsi="Times New Roman" w:cs="Times New Roman"/>
          <w:sz w:val="24"/>
          <w:szCs w:val="24"/>
        </w:rPr>
        <w:t xml:space="preserve">” from the </w:t>
      </w:r>
      <w:r w:rsidRPr="000224E9">
        <w:rPr>
          <w:rFonts w:ascii="Times New Roman" w:hAnsi="Times New Roman" w:cs="Times New Roman"/>
          <w:i/>
          <w:sz w:val="24"/>
          <w:szCs w:val="24"/>
        </w:rPr>
        <w:t>ape</w:t>
      </w:r>
      <w:r w:rsidRPr="000224E9">
        <w:rPr>
          <w:rFonts w:ascii="Times New Roman" w:hAnsi="Times New Roman" w:cs="Times New Roman"/>
          <w:sz w:val="24"/>
          <w:szCs w:val="24"/>
        </w:rPr>
        <w:t xml:space="preserve"> package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{"citationID":"v6etnkVy","properties":{"formattedCitation":"(Paradis and Schliep, 2018)","plainCitation":"(Paradis and Schliep, 2018)","noteIndex":0},"citationItems":[{"id":3361,"uris":["http://zotero.org/users/2671101/items/QL7D25Z6"],"uri":["http://zotero.org/users/2671101/items/QL7D25Z6"],"itemData":{"id":3361,"type":"article-journal","title":"ape 5.0: an environment for modern phylogenetics and evolutionary analyses in R","container-title":"Bioinformatics","source":"academic.oup.com","abstract":"AbstractSummary.  After more than fifteen years of existence, the R package ape has continuously grown its contents, and has been used by a growing community of","URL":"https://academic.oup.com/bioinformatics/advance-article/doi/10.1093/bioinformatics/bty633/5055127","DOI":"10.1093/bioinformatics/bty633","title-short":"ape 5.0","journalAbbreviation":"Bioinformatics","language":"en","author":[{"family":"Paradis","given":"Emmanuel"},{"family":"Schliep","given":"Klaus"}],"issued":{"date-parts":[["2018"]]},"accessed":{"date-parts":[["2018",11,26]]}}}],"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sz w:val="24"/>
          <w:lang w:val="en-US"/>
        </w:rPr>
        <w:t>(Paradis and Schliep, 2018)</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 xml:space="preserve"> with a previously published phylogeny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{"citationID":"sECtjDeY","properties":{"formattedCitation":"(Kozak et al., 2015)","plainCitation":"(Kozak et al., 2015)","noteIndex":0},"citationItems":[{"id":2190,"uris":["http://zotero.org/users/2671101/items/UZ65A5JV"],"uri":["http://zotero.org/users/2671101/items/UZ65A5JV"],"itemData":{"id":2190,"type":"article-journal","title":"Multilocus species trees show the recent adaptive radiation of the mimetic &lt;i&gt;Heliconius &lt;/i&gt;butterflies","container-title":"Systematic Biology","page":"505-524","volume":"64","issue":"3","source":"PubMed Central","abstract":"Müllerian mimicry among Neotropical Heliconiini butterflies is an excellent example of natural selection, associated with the diversification of a large continental-scale radiation. Some of the processes driving the evolution of mimicry rings are likely to generate incongruent phylogenetic signals across the assemblage, and thus pose a challenge for systematics. We use a data set of 22 mitochondrial and nuclear markers from 92% of species in the tribe, obtained by Sanger sequencing and de novo assembly of short read data, to re-examine the phylogeny of Heliconiini with both supermatrix and multispecies coalescent approaches, characterize the patterns of conflicting signal, and compare the performance of various methodological approaches to reflect the heterogeneity across the data. Despite the large extent of reticulate signal and strong conflict between markers, nearly identical topologies are consistently recovered by most of the analyses, although the supermatrix approach failed to reflect the underlying variation in the history of individual loci. However, the supermatrix represents a useful approximation where multiple rare species represented by short sequences can be incorporated easily. The first comprehensive, time-calibrated phylogeny of this group is used to test the hypotheses of a diversification rate increase driven by the dramatic environmental changes in the Neotropics over the past 23 myr, or changes caused by diversity-dependent effects on the rate of diversification. We find that the rate of diversification has increased on the branch leading to the presently most species-rich genus Heliconius, but the change occurred gradually and cannot be unequivocally attributed to a specific environmental driver. Our study provides comprehensive comparison of philosophically distinct species tree reconstruction methods and provides insights into the diversification of an important insect radiation in the most biodiverse region of the planet.","DOI":"10.1093/sysbio/syv007","ISSN":"1063-5157","note":"PMID: 25634098\nPMCID: PMC4395847","journalAbbreviation":"Syst Biol","author":[{"family":"Kozak","given":"K. M."},{"family":"Wahlberg","given":"Niklas"},{"family":"Neild","given":"Andrew F. E."},{"family":"Dasmahapatra","given":"K. K."},{"family":"Mallet","given":"James"},{"family":"Jiggins","given":"Chris D."}],"issued":{"date-parts":[["2015",5]]}}}],"schema":"https://github.com/citation-style-language/schema/raw/master/csl-citation.json"}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sz w:val="24"/>
          <w:lang w:val="en-US"/>
        </w:rPr>
        <w:t>(Kozak et al., 2015)</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 Geographic distance matrices were created by inputting the co-ordinates of collection localities into the function “</w:t>
      </w:r>
      <w:proofErr w:type="spellStart"/>
      <w:r w:rsidRPr="000224E9">
        <w:rPr>
          <w:rFonts w:ascii="Times New Roman" w:hAnsi="Times New Roman" w:cs="Times New Roman"/>
          <w:iCs/>
          <w:sz w:val="24"/>
          <w:szCs w:val="24"/>
        </w:rPr>
        <w:t>distm</w:t>
      </w:r>
      <w:proofErr w:type="spellEnd"/>
      <w:r w:rsidRPr="000224E9">
        <w:rPr>
          <w:rFonts w:ascii="Times New Roman" w:hAnsi="Times New Roman" w:cs="Times New Roman"/>
          <w:iCs/>
          <w:sz w:val="24"/>
          <w:szCs w:val="24"/>
        </w:rPr>
        <w:t>”</w:t>
      </w:r>
      <w:r w:rsidRPr="000224E9">
        <w:rPr>
          <w:rFonts w:ascii="Times New Roman" w:hAnsi="Times New Roman" w:cs="Times New Roman"/>
          <w:sz w:val="24"/>
          <w:szCs w:val="24"/>
        </w:rPr>
        <w:t xml:space="preserve"> in the </w:t>
      </w:r>
      <w:r w:rsidRPr="000224E9">
        <w:rPr>
          <w:rFonts w:ascii="Times New Roman" w:hAnsi="Times New Roman" w:cs="Times New Roman"/>
          <w:i/>
          <w:sz w:val="24"/>
          <w:szCs w:val="24"/>
        </w:rPr>
        <w:t>geosphere</w:t>
      </w:r>
      <w:r w:rsidRPr="000224E9">
        <w:rPr>
          <w:rFonts w:ascii="Times New Roman" w:hAnsi="Times New Roman" w:cs="Times New Roman"/>
          <w:sz w:val="24"/>
          <w:szCs w:val="24"/>
        </w:rPr>
        <w:t xml:space="preserve"> package to calculate the Haversine great-circle-distance between points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{"citationID":"bcUV6qF2","properties":{"formattedCitation":"(Hijmans, 2017)","plainCitation":"(Hijmans, 2017)","noteIndex":0},"citationItems":[{"id":3360,"uris":["http://zotero.org/users/2671101/items/XZ9TW8Y5"],"uri":["http://zotero.org/users/2671101/items/XZ9TW8Y5"],"itemData":{"id":3360,"type":"book","title":"geosphere: Spherical Trigonometry. R package version 1.5-7","URL":"https://CRAN.R-project.org/package=geosphere","author":[{"family":"Hijmans","given":"R.J."}],"issued":{"date-parts":[["2017"]]}}}],"schema":"https://github.com/citation-style-language/schema/raw/master/csl-citation.json"}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noProof/>
          <w:sz w:val="24"/>
          <w:szCs w:val="24"/>
        </w:rPr>
        <w:t>(Hijmans, 2017)</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w:t>
      </w:r>
    </w:p>
    <w:p w:rsidR="00A7633C" w:rsidRPr="000224E9" w:rsidRDefault="00A7633C" w:rsidP="00A7633C">
      <w:pPr>
        <w:spacing w:after="120" w:line="480" w:lineRule="auto"/>
        <w:rPr>
          <w:rFonts w:ascii="Times New Roman" w:hAnsi="Times New Roman" w:cs="Times New Roman"/>
          <w:i/>
          <w:color w:val="000000" w:themeColor="text1"/>
          <w:sz w:val="24"/>
          <w:szCs w:val="24"/>
          <w:u w:val="single"/>
        </w:rPr>
      </w:pPr>
      <w:r w:rsidRPr="000224E9">
        <w:rPr>
          <w:rFonts w:ascii="Times New Roman" w:hAnsi="Times New Roman" w:cs="Times New Roman"/>
          <w:i/>
          <w:color w:val="000000" w:themeColor="text1"/>
          <w:sz w:val="24"/>
          <w:szCs w:val="24"/>
          <w:u w:val="single"/>
        </w:rPr>
        <w:t>Statistical analyses</w:t>
      </w:r>
    </w:p>
    <w:p w:rsidR="00A7633C" w:rsidRPr="000224E9" w:rsidRDefault="00A7633C" w:rsidP="00A7633C">
      <w:pPr>
        <w:spacing w:after="120" w:line="480" w:lineRule="auto"/>
        <w:rPr>
          <w:rFonts w:ascii="Times New Roman" w:hAnsi="Times New Roman" w:cs="Times New Roman"/>
          <w:i/>
          <w:iCs/>
          <w:color w:val="000000" w:themeColor="text1"/>
          <w:sz w:val="24"/>
          <w:szCs w:val="24"/>
        </w:rPr>
      </w:pPr>
      <w:r w:rsidRPr="000224E9">
        <w:rPr>
          <w:rFonts w:ascii="Times New Roman" w:hAnsi="Times New Roman" w:cs="Times New Roman"/>
          <w:i/>
          <w:iCs/>
          <w:color w:val="000000" w:themeColor="text1"/>
          <w:sz w:val="24"/>
          <w:szCs w:val="24"/>
        </w:rPr>
        <w:t>Inter- and intra-specific indicator compounds</w:t>
      </w:r>
    </w:p>
    <w:p w:rsidR="00A7633C" w:rsidRPr="000224E9" w:rsidRDefault="00A7633C" w:rsidP="00A7633C">
      <w:pPr>
        <w:spacing w:after="120" w:line="480" w:lineRule="auto"/>
        <w:ind w:firstLine="720"/>
        <w:rPr>
          <w:rFonts w:ascii="Times New Roman" w:hAnsi="Times New Roman" w:cs="Times New Roman"/>
          <w:color w:val="000000" w:themeColor="text1"/>
          <w:sz w:val="24"/>
          <w:szCs w:val="24"/>
        </w:rPr>
      </w:pPr>
      <w:r w:rsidRPr="000224E9">
        <w:rPr>
          <w:rFonts w:ascii="Times New Roman" w:hAnsi="Times New Roman" w:cs="Times New Roman"/>
          <w:color w:val="000000" w:themeColor="text1"/>
          <w:sz w:val="24"/>
          <w:szCs w:val="24"/>
        </w:rPr>
        <w:t>We carried out indicator analysis using the</w:t>
      </w:r>
      <w:r w:rsidRPr="000224E9">
        <w:rPr>
          <w:rFonts w:ascii="Times New Roman" w:hAnsi="Times New Roman" w:cs="Times New Roman"/>
          <w:i/>
          <w:iCs/>
          <w:color w:val="000000" w:themeColor="text1"/>
          <w:sz w:val="24"/>
          <w:szCs w:val="24"/>
        </w:rPr>
        <w:t xml:space="preserve"> </w:t>
      </w:r>
      <w:proofErr w:type="spellStart"/>
      <w:r w:rsidRPr="000224E9">
        <w:rPr>
          <w:rFonts w:ascii="Times New Roman" w:hAnsi="Times New Roman" w:cs="Times New Roman"/>
          <w:i/>
          <w:iCs/>
          <w:color w:val="000000" w:themeColor="text1"/>
          <w:sz w:val="24"/>
          <w:szCs w:val="24"/>
        </w:rPr>
        <w:t>indicspecies</w:t>
      </w:r>
      <w:proofErr w:type="spellEnd"/>
      <w:r w:rsidRPr="000224E9">
        <w:rPr>
          <w:rFonts w:ascii="Times New Roman" w:hAnsi="Times New Roman" w:cs="Times New Roman"/>
          <w:color w:val="000000" w:themeColor="text1"/>
          <w:sz w:val="24"/>
          <w:szCs w:val="24"/>
        </w:rPr>
        <w:t xml:space="preserve"> package </w:t>
      </w:r>
      <w:r w:rsidRPr="000224E9">
        <w:rPr>
          <w:rFonts w:ascii="Times New Roman" w:hAnsi="Times New Roman" w:cs="Times New Roman"/>
          <w:color w:val="000000" w:themeColor="text1"/>
          <w:sz w:val="24"/>
          <w:szCs w:val="24"/>
        </w:rPr>
        <w:fldChar w:fldCharType="begin"/>
      </w:r>
      <w:r w:rsidRPr="000224E9">
        <w:rPr>
          <w:rFonts w:ascii="Times New Roman" w:hAnsi="Times New Roman" w:cs="Times New Roman"/>
          <w:color w:val="000000" w:themeColor="text1"/>
          <w:sz w:val="24"/>
          <w:szCs w:val="24"/>
        </w:rPr>
        <w:instrText xml:space="preserve"> ADDIN ZOTERO_ITEM CSL_CITATION {"citationID":"3UXY3vtd","properties":{"formattedCitation":"(C\\uc0\\u225{}ceres and Legendre, 2009)","plainCitation":"(Cáceres and Legendre, 2009)","noteIndex":0},"citationItems":[{"id":3343,"uris":["http://zotero.org/users/2671101/items/2BXQMB3N"],"uri":["http://zotero.org/users/2671101/items/2BXQMB3N"],"itemData":{"id":3343,"type":"article-journal","title":"Associations between species and groups of sites: indices and statistical inference","container-title":"Ecology","page":"3566-3574","volume":"90","issue":"12","source":"Wiley Online Library","abstract":"Ecologists often face the task of studying the association between single species and one or several groups of sites representing habitat types, community types, or other categories. Besides characterizing the ecological preference of the species, the strength of the association usually presents a lot of interest for conservation biology, landscape mapping and management, and natural reserve design, among other applications. The indices most frequently employed to assess these relationships are the phi coefficient of association and the indicator value index (IndVal). We compare these two approaches by putting them into a broader framework of related measures, which includes several new indices. We present permutation tests to assess the statistical significance of species–site group associations and bootstrap methods for obtaining confidence intervals. Correlation measures, such as the phi coefficient, are more context-dependent than indicator values but allow focusing on the preference of the species. In contrast, the two components of an indicator value index directly assess the value of the species as a bioindicator because they can be interpreted as its positive predictive value and sensitivity. Ecologists should select the most appropriate index of association strength according to their objective and then compute confidence intervals to determine the precision of the estimate.","DOI":"10.1890/08-1823.1","ISSN":"1939-9170","title-short":"Associations between species and groups of sites","language":"en","author":[{"family":"Cáceres","given":"Miquel De"},{"family":"Legendre","given":"Pierre"}],"issued":{"date-parts":[["2009",12,1]]}}}],"schema":"https://github.com/citation-style-language/schema/raw/master/csl-citation.json"} </w:instrText>
      </w:r>
      <w:r w:rsidRPr="000224E9">
        <w:rPr>
          <w:rFonts w:ascii="Times New Roman" w:hAnsi="Times New Roman" w:cs="Times New Roman"/>
          <w:color w:val="000000" w:themeColor="text1"/>
          <w:sz w:val="24"/>
          <w:szCs w:val="24"/>
        </w:rPr>
        <w:fldChar w:fldCharType="separate"/>
      </w:r>
      <w:r w:rsidRPr="000224E9">
        <w:rPr>
          <w:rFonts w:ascii="Times New Roman" w:hAnsi="Times New Roman" w:cs="Times New Roman"/>
          <w:color w:val="000000"/>
          <w:sz w:val="24"/>
          <w:lang w:val="en-US"/>
        </w:rPr>
        <w:t>(Cáceres and Legendre, 2009)</w:t>
      </w:r>
      <w:r w:rsidRPr="000224E9">
        <w:rPr>
          <w:rFonts w:ascii="Times New Roman" w:hAnsi="Times New Roman" w:cs="Times New Roman"/>
          <w:color w:val="000000" w:themeColor="text1"/>
          <w:sz w:val="24"/>
          <w:szCs w:val="24"/>
        </w:rPr>
        <w:fldChar w:fldCharType="end"/>
      </w:r>
      <w:r w:rsidRPr="000224E9">
        <w:rPr>
          <w:rFonts w:ascii="Times New Roman" w:hAnsi="Times New Roman" w:cs="Times New Roman"/>
          <w:color w:val="000000" w:themeColor="text1"/>
          <w:sz w:val="24"/>
          <w:szCs w:val="24"/>
        </w:rPr>
        <w:t xml:space="preserve">. Groupings are decided </w:t>
      </w:r>
      <w:r w:rsidRPr="000224E9">
        <w:rPr>
          <w:rFonts w:ascii="Times New Roman" w:hAnsi="Times New Roman" w:cs="Times New Roman"/>
          <w:i/>
          <w:iCs/>
          <w:color w:val="000000" w:themeColor="text1"/>
          <w:sz w:val="24"/>
          <w:szCs w:val="24"/>
        </w:rPr>
        <w:t>a priori</w:t>
      </w:r>
      <w:r w:rsidRPr="000224E9">
        <w:rPr>
          <w:rFonts w:ascii="Times New Roman" w:hAnsi="Times New Roman" w:cs="Times New Roman"/>
          <w:color w:val="000000" w:themeColor="text1"/>
          <w:sz w:val="24"/>
          <w:szCs w:val="24"/>
        </w:rPr>
        <w:t xml:space="preserve"> (in this case species or population) and compounds are determined which act as indicators of these groups. The best indicators are those which are only found in a single group (specificity) and all group members possess the compound (coverage); such a compound would have an indicator value of 1. The specificity of a compound is calculated based on the amount of compound found in each individual, whilst the coverage considers only presence or absence of the compound. We used the function “</w:t>
      </w:r>
      <w:r w:rsidRPr="000224E9">
        <w:rPr>
          <w:rFonts w:ascii="Times New Roman" w:hAnsi="Times New Roman" w:cs="Times New Roman"/>
          <w:iCs/>
          <w:color w:val="000000" w:themeColor="text1"/>
          <w:sz w:val="24"/>
          <w:szCs w:val="24"/>
        </w:rPr>
        <w:t xml:space="preserve">indicators” </w:t>
      </w:r>
      <w:r w:rsidRPr="000224E9">
        <w:rPr>
          <w:rFonts w:ascii="Times New Roman" w:hAnsi="Times New Roman" w:cs="Times New Roman"/>
          <w:color w:val="000000" w:themeColor="text1"/>
          <w:sz w:val="24"/>
          <w:szCs w:val="24"/>
        </w:rPr>
        <w:t>to investigate both which single compounds and combinations of compounds best predict group membership. We used the function “</w:t>
      </w:r>
      <w:proofErr w:type="spellStart"/>
      <w:r w:rsidRPr="000224E9">
        <w:rPr>
          <w:rFonts w:ascii="Times New Roman" w:hAnsi="Times New Roman" w:cs="Times New Roman"/>
          <w:color w:val="000000" w:themeColor="text1"/>
          <w:sz w:val="24"/>
          <w:szCs w:val="24"/>
        </w:rPr>
        <w:t>pruneindicators</w:t>
      </w:r>
      <w:proofErr w:type="spellEnd"/>
      <w:r w:rsidRPr="000224E9">
        <w:rPr>
          <w:rFonts w:ascii="Times New Roman" w:hAnsi="Times New Roman" w:cs="Times New Roman"/>
          <w:color w:val="000000" w:themeColor="text1"/>
          <w:sz w:val="24"/>
          <w:szCs w:val="24"/>
        </w:rPr>
        <w:t xml:space="preserve">” to find the single or combinations of compounds which had the highest indicator values. </w:t>
      </w:r>
    </w:p>
    <w:p w:rsidR="00A7633C" w:rsidRPr="000224E9" w:rsidRDefault="00A7633C" w:rsidP="00A7633C">
      <w:pPr>
        <w:spacing w:after="120" w:line="480" w:lineRule="auto"/>
        <w:rPr>
          <w:rFonts w:ascii="Times New Roman" w:hAnsi="Times New Roman" w:cs="Times New Roman"/>
          <w:i/>
          <w:color w:val="000000" w:themeColor="text1"/>
          <w:sz w:val="24"/>
          <w:szCs w:val="24"/>
        </w:rPr>
      </w:pPr>
      <w:r w:rsidRPr="000224E9">
        <w:rPr>
          <w:rFonts w:ascii="Times New Roman" w:hAnsi="Times New Roman" w:cs="Times New Roman"/>
          <w:i/>
          <w:color w:val="000000" w:themeColor="text1"/>
          <w:sz w:val="24"/>
          <w:szCs w:val="24"/>
        </w:rPr>
        <w:t>Variation in chemical profiles</w:t>
      </w:r>
    </w:p>
    <w:p w:rsidR="00A7633C" w:rsidRPr="000224E9" w:rsidRDefault="00A7633C" w:rsidP="00A7633C">
      <w:pPr>
        <w:spacing w:after="120" w:line="480" w:lineRule="auto"/>
        <w:ind w:firstLine="720"/>
        <w:rPr>
          <w:rFonts w:ascii="Times New Roman" w:hAnsi="Times New Roman" w:cs="Times New Roman"/>
          <w:color w:val="000000" w:themeColor="text1"/>
          <w:sz w:val="24"/>
          <w:szCs w:val="24"/>
        </w:rPr>
      </w:pPr>
      <w:r w:rsidRPr="000224E9">
        <w:rPr>
          <w:rFonts w:ascii="Times New Roman" w:hAnsi="Times New Roman" w:cs="Times New Roman"/>
          <w:color w:val="000000" w:themeColor="text1"/>
          <w:sz w:val="24"/>
          <w:szCs w:val="24"/>
        </w:rPr>
        <w:t>Divergence in chemical profiles across species and populations was estimated with non-metric multidimensional scaling (NMDS) ordination in three dimensions, based on a Bray-Curtis similarity matrix using absolute peak areas. We used the “</w:t>
      </w:r>
      <w:proofErr w:type="spellStart"/>
      <w:r w:rsidRPr="000224E9">
        <w:rPr>
          <w:rFonts w:ascii="Times New Roman" w:hAnsi="Times New Roman" w:cs="Times New Roman"/>
          <w:color w:val="000000" w:themeColor="text1"/>
          <w:sz w:val="24"/>
          <w:szCs w:val="24"/>
        </w:rPr>
        <w:t>metaMDS</w:t>
      </w:r>
      <w:proofErr w:type="spellEnd"/>
      <w:r w:rsidRPr="000224E9">
        <w:rPr>
          <w:rFonts w:ascii="Times New Roman" w:hAnsi="Times New Roman" w:cs="Times New Roman"/>
          <w:color w:val="000000" w:themeColor="text1"/>
          <w:sz w:val="24"/>
          <w:szCs w:val="24"/>
        </w:rPr>
        <w:t xml:space="preserve">” function in the </w:t>
      </w:r>
      <w:r w:rsidRPr="000224E9">
        <w:rPr>
          <w:rFonts w:ascii="Times New Roman" w:hAnsi="Times New Roman" w:cs="Times New Roman"/>
          <w:i/>
          <w:iCs/>
          <w:color w:val="000000" w:themeColor="text1"/>
          <w:sz w:val="24"/>
          <w:szCs w:val="24"/>
        </w:rPr>
        <w:t>vegan</w:t>
      </w:r>
      <w:r w:rsidRPr="000224E9">
        <w:rPr>
          <w:rFonts w:ascii="Times New Roman" w:hAnsi="Times New Roman" w:cs="Times New Roman"/>
          <w:color w:val="000000" w:themeColor="text1"/>
          <w:sz w:val="24"/>
          <w:szCs w:val="24"/>
        </w:rPr>
        <w:t xml:space="preserve"> package version 2.5-1</w:t>
      </w:r>
      <w:r w:rsidRPr="000224E9">
        <w:rPr>
          <w:rFonts w:ascii="Times New Roman" w:hAnsi="Times New Roman" w:cs="Times New Roman"/>
          <w:sz w:val="24"/>
          <w:szCs w:val="24"/>
        </w:rPr>
        <w:t xml:space="preserve">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{"citationID":"MiAT0L0X","properties":{"formattedCitation":"(Oksanen et al., 2017)","plainCitation":"(Oksanen et al., 2017)","noteIndex":0},"citationItems":[{"id":2832,"uris":["http://zotero.org/users/2671101/items/9CQKDEW8"],"uri":["http://zotero.org/users/2671101/items/9CQKDEW8"],"itemData":{"id":2832,"type":"article-journal","title":"vegan: Community Ecology Package. R package version 2.4-2.","URL":"https://CRAN.R-project.org/package=vegan","author":[{"family":"Oksanen","given":"J"},{"family":"Guillaume Blanchet","given":"F"},{"family":"Friendly","given":"M"},{"family":"Kindt","given":"R"},{"family":"Legendre","given":"P"},{"family":"McGlinn","given":"D"},{"family":"Minchin","given":"P"},{"family":"O'Hara","given":"R"},{"family":"Simpson","given":"G"},{"family":"Solymos","given":"P"},{"family":"Stevens","given":"H"},{"family":"Szoecs","given":"E"},{"family":"Wagner","given":"H"}],"issued":{"date-parts":[["2017"]]}}}],"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noProof/>
          <w:sz w:val="24"/>
          <w:szCs w:val="24"/>
        </w:rPr>
        <w:t>(Oksanen et al., 2017)</w:t>
      </w:r>
      <w:r w:rsidRPr="000224E9">
        <w:rPr>
          <w:rFonts w:ascii="Times New Roman" w:hAnsi="Times New Roman" w:cs="Times New Roman"/>
          <w:sz w:val="24"/>
          <w:szCs w:val="24"/>
        </w:rPr>
        <w:fldChar w:fldCharType="end"/>
      </w:r>
      <w:r w:rsidRPr="000224E9">
        <w:rPr>
          <w:rFonts w:ascii="Times New Roman" w:hAnsi="Times New Roman" w:cs="Times New Roman"/>
          <w:color w:val="000000" w:themeColor="text1"/>
          <w:sz w:val="24"/>
          <w:szCs w:val="24"/>
        </w:rPr>
        <w:t xml:space="preserve">, and visualised the NMDS using the </w:t>
      </w:r>
      <w:r w:rsidRPr="000224E9">
        <w:rPr>
          <w:rFonts w:ascii="Times New Roman" w:hAnsi="Times New Roman" w:cs="Times New Roman"/>
          <w:i/>
          <w:iCs/>
          <w:color w:val="000000" w:themeColor="text1"/>
          <w:sz w:val="24"/>
          <w:szCs w:val="24"/>
        </w:rPr>
        <w:t xml:space="preserve">ade4 </w:t>
      </w:r>
      <w:r w:rsidRPr="000224E9">
        <w:rPr>
          <w:rFonts w:ascii="Times New Roman" w:hAnsi="Times New Roman" w:cs="Times New Roman"/>
          <w:color w:val="000000" w:themeColor="text1"/>
          <w:sz w:val="24"/>
          <w:szCs w:val="24"/>
        </w:rPr>
        <w:t xml:space="preserve">package </w:t>
      </w:r>
      <w:r w:rsidRPr="000224E9">
        <w:rPr>
          <w:rFonts w:ascii="Times New Roman" w:hAnsi="Times New Roman" w:cs="Times New Roman"/>
          <w:color w:val="000000" w:themeColor="text1"/>
          <w:sz w:val="24"/>
          <w:szCs w:val="24"/>
        </w:rPr>
        <w:fldChar w:fldCharType="begin"/>
      </w:r>
      <w:r w:rsidRPr="000224E9">
        <w:rPr>
          <w:rFonts w:ascii="Times New Roman" w:hAnsi="Times New Roman" w:cs="Times New Roman"/>
          <w:color w:val="000000" w:themeColor="text1"/>
          <w:sz w:val="24"/>
          <w:szCs w:val="24"/>
        </w:rPr>
        <w:instrText xml:space="preserve"> ADDIN ZOTERO_ITEM CSL_CITATION {"citationID":"1f4tk4m47d","properties":{"formattedCitation":"(Dray and Dufour, 2007)","plainCitation":"(Dray and Dufour, 2007)","noteIndex":0},"citationItems":[{"id":2870,"uris":["http://zotero.org/users/2671101/items/T22X77EV"],"uri":["http://zotero.org/users/2671101/items/T22X77EV"],"itemData":{"id":2870,"type":"article-journal","title":"The ade4 package: implementing the duality diagram for ecologists.","container-title":"Journal of Statistical Software","page":"1-20","volume":"22","issue":"4","DOI":"10.18637/jss.v022.i04","author":[{"family":"Dray","given":"S"},{"family":"Dufour","given":"A.B."}],"issued":{"date-parts":[["2007"]]}}}],"schema":"https://github.com/citation-style-language/schema/raw/master/csl-citation.json"} </w:instrText>
      </w:r>
      <w:r w:rsidRPr="000224E9">
        <w:rPr>
          <w:rFonts w:ascii="Times New Roman" w:hAnsi="Times New Roman" w:cs="Times New Roman"/>
          <w:color w:val="000000" w:themeColor="text1"/>
          <w:sz w:val="24"/>
          <w:szCs w:val="24"/>
        </w:rPr>
        <w:fldChar w:fldCharType="separate"/>
      </w:r>
      <w:r w:rsidRPr="000224E9">
        <w:rPr>
          <w:rFonts w:ascii="Times New Roman" w:hAnsi="Times New Roman" w:cs="Times New Roman"/>
          <w:sz w:val="24"/>
          <w:szCs w:val="24"/>
        </w:rPr>
        <w:t>(Dray and Dufour, 2007)</w:t>
      </w:r>
      <w:r w:rsidRPr="000224E9">
        <w:rPr>
          <w:rFonts w:ascii="Times New Roman" w:hAnsi="Times New Roman" w:cs="Times New Roman"/>
          <w:color w:val="000000" w:themeColor="text1"/>
          <w:sz w:val="24"/>
          <w:szCs w:val="24"/>
        </w:rPr>
        <w:fldChar w:fldCharType="end"/>
      </w:r>
      <w:r w:rsidRPr="000224E9">
        <w:rPr>
          <w:rFonts w:ascii="Times New Roman" w:hAnsi="Times New Roman" w:cs="Times New Roman"/>
          <w:color w:val="000000" w:themeColor="text1"/>
          <w:sz w:val="24"/>
          <w:szCs w:val="24"/>
        </w:rPr>
        <w:t xml:space="preserve">. </w:t>
      </w:r>
    </w:p>
    <w:p w:rsidR="00A7633C" w:rsidRPr="000224E9" w:rsidRDefault="00A7633C" w:rsidP="00A7633C">
      <w:pPr>
        <w:spacing w:after="120" w:line="480" w:lineRule="auto"/>
        <w:ind w:firstLine="720"/>
        <w:rPr>
          <w:rFonts w:ascii="Times New Roman" w:hAnsi="Times New Roman" w:cs="Times New Roman"/>
          <w:color w:val="000000" w:themeColor="text1"/>
          <w:sz w:val="24"/>
          <w:szCs w:val="24"/>
        </w:rPr>
      </w:pPr>
      <w:r w:rsidRPr="000224E9">
        <w:rPr>
          <w:rFonts w:ascii="Times New Roman" w:hAnsi="Times New Roman" w:cs="Times New Roman"/>
          <w:color w:val="000000" w:themeColor="text1"/>
          <w:sz w:val="24"/>
          <w:szCs w:val="24"/>
        </w:rPr>
        <w:lastRenderedPageBreak/>
        <w:t xml:space="preserve">We assessed the relative importance of relevant factors in driving the variation in chemical profiles with multivariate statistical analyses. These factors included: species identity, geographic region and individual locality. We excluded subspecies as a factor because, in </w:t>
      </w:r>
      <w:proofErr w:type="spellStart"/>
      <w:r w:rsidRPr="000224E9">
        <w:rPr>
          <w:rFonts w:ascii="Times New Roman" w:hAnsi="Times New Roman" w:cs="Times New Roman"/>
          <w:i/>
          <w:iCs/>
          <w:color w:val="000000" w:themeColor="text1"/>
          <w:sz w:val="24"/>
          <w:szCs w:val="24"/>
        </w:rPr>
        <w:t>Heliconius</w:t>
      </w:r>
      <w:proofErr w:type="spellEnd"/>
      <w:r w:rsidRPr="000224E9">
        <w:rPr>
          <w:rFonts w:ascii="Times New Roman" w:hAnsi="Times New Roman" w:cs="Times New Roman"/>
          <w:color w:val="000000" w:themeColor="text1"/>
          <w:sz w:val="24"/>
          <w:szCs w:val="24"/>
        </w:rPr>
        <w:t xml:space="preserve">, these are determined based on their, sometimes very subtle, difference in wing colour pattern, with extensive gene flow across the genome between subspecies </w:t>
      </w:r>
      <w:r w:rsidRPr="000224E9">
        <w:rPr>
          <w:rFonts w:ascii="Times New Roman" w:hAnsi="Times New Roman" w:cs="Times New Roman"/>
          <w:color w:val="000000" w:themeColor="text1"/>
          <w:sz w:val="24"/>
          <w:szCs w:val="24"/>
        </w:rPr>
        <w:fldChar w:fldCharType="begin"/>
      </w:r>
      <w:r w:rsidRPr="000224E9">
        <w:rPr>
          <w:rFonts w:ascii="Times New Roman" w:hAnsi="Times New Roman" w:cs="Times New Roman"/>
          <w:color w:val="000000" w:themeColor="text1"/>
          <w:sz w:val="24"/>
          <w:szCs w:val="24"/>
        </w:rPr>
        <w:instrText xml:space="preserve"> ADDIN ZOTERO_ITEM CSL_CITATION {"citationID":"a1aa63cicq8","properties":{"formattedCitation":"(Van Belleghem et al., 2017)","plainCitation":"(Van Belleghem et al., 2017)","noteIndex":0},"citationItems":[{"id":3418,"uris":["http://zotero.org/users/2671101/items/V9B9DATC"],"uri":["http://zotero.org/users/2671101/items/V9B9DATC"],"itemData":{"id":3418,"type":"article-journal","title":"Complex modular architecture around a simple toolkit of wing pattern genes","container-title":"Nature Ecology &amp; Evolution","page":"52","volume":"1","issue":"3","source":"PubMed","abstract":"Identifying the genomic changes that control morphological variation and understanding how they generate diversity is a major goal of evolutionary biology. In Heliconius butterflies, a small number of genes control the development of diverse wing color patterns. Here, we used full genome sequencing of individuals across the Heliconius erato radiation and closely related species to characterize genomic variation associated with wing pattern diversity. We show that variation around color pattern genes is highly modular, with narrow genomic intervals associated with specific differences in color and pattern. This modular architecture explains the diversity of color patterns and provides a flexible mechanism for rapid morphological diversification.","DOI":"10.1038/s41559-016-0052","ISSN":"2397-334X","note":"PMID: 28523290\nPMCID: PMC5432014","journalAbbreviation":"Nat Ecol Evol","language":"eng","author":[{"family":"Van Belleghem","given":"Steven M."},{"family":"Rastas","given":"Pasi"},{"family":"Papanicolaou","given":"Alexie"},{"family":"Martin","given":"Simon H."},{"family":"Arias","given":"Carlos F."},{"family":"Supple","given":"Megan A."},{"family":"Hanly","given":"Joseph J."},{"family":"Mallet","given":"James"},{"family":"Lewis","given":"James J."},{"family":"Hines","given":"Heather M."},{"family":"Ruiz","given":"Mayte"},{"family":"Salazar","given":"Camilo"},{"family":"Linares","given":"Mauricio"},{"family":"Moreira","given":"Gilson R. P."},{"family":"Jiggins","given":"Chris D."},{"family":"Counterman","given":"Brian A."},{"family":"McMillan","given":"W. Owen"},{"family":"Papa","given":"Riccardo"}],"issued":{"date-parts":[["2017"]]}}}],"schema":"https://github.com/citation-style-language/schema/raw/master/csl-citation.json"} </w:instrText>
      </w:r>
      <w:r w:rsidRPr="000224E9">
        <w:rPr>
          <w:rFonts w:ascii="Times New Roman" w:hAnsi="Times New Roman" w:cs="Times New Roman"/>
          <w:color w:val="000000" w:themeColor="text1"/>
          <w:sz w:val="24"/>
          <w:szCs w:val="24"/>
        </w:rPr>
        <w:fldChar w:fldCharType="separate"/>
      </w:r>
      <w:r w:rsidRPr="000224E9">
        <w:rPr>
          <w:rFonts w:ascii="Times New Roman" w:hAnsi="Times New Roman" w:cs="Times New Roman"/>
          <w:color w:val="000000"/>
          <w:sz w:val="24"/>
          <w:lang w:val="en-US"/>
        </w:rPr>
        <w:t>(Van Belleghem et al., 2017)</w:t>
      </w:r>
      <w:r w:rsidRPr="000224E9">
        <w:rPr>
          <w:rFonts w:ascii="Times New Roman" w:hAnsi="Times New Roman" w:cs="Times New Roman"/>
          <w:color w:val="000000" w:themeColor="text1"/>
          <w:sz w:val="24"/>
          <w:szCs w:val="24"/>
        </w:rPr>
        <w:fldChar w:fldCharType="end"/>
      </w:r>
      <w:r w:rsidRPr="000224E9">
        <w:rPr>
          <w:rFonts w:ascii="Times New Roman" w:hAnsi="Times New Roman" w:cs="Times New Roman"/>
          <w:color w:val="000000" w:themeColor="text1"/>
          <w:sz w:val="24"/>
          <w:szCs w:val="24"/>
        </w:rPr>
        <w:t>. It is therefore more biologically relevant to include locality in the model, to account for genetic drift between subspecies, and since locality and subspecies are highly correlated we cannot include both. To compare overall variation in chemical composition between groups, we carried out PERMANOVA (permutational multivariate analysis of variance) testing based on a Bray-Curtis distance matrix, using the “adonis2”</w:t>
      </w:r>
      <w:r w:rsidRPr="000224E9">
        <w:rPr>
          <w:rFonts w:ascii="Times New Roman" w:hAnsi="Times New Roman" w:cs="Times New Roman"/>
          <w:i/>
          <w:iCs/>
          <w:color w:val="000000" w:themeColor="text1"/>
          <w:sz w:val="24"/>
          <w:szCs w:val="24"/>
        </w:rPr>
        <w:t xml:space="preserve"> </w:t>
      </w:r>
      <w:r w:rsidRPr="000224E9">
        <w:rPr>
          <w:rFonts w:ascii="Times New Roman" w:hAnsi="Times New Roman" w:cs="Times New Roman"/>
          <w:color w:val="000000" w:themeColor="text1"/>
          <w:sz w:val="24"/>
          <w:szCs w:val="24"/>
        </w:rPr>
        <w:t xml:space="preserve">function in the </w:t>
      </w:r>
      <w:r w:rsidRPr="000224E9">
        <w:rPr>
          <w:rFonts w:ascii="Times New Roman" w:hAnsi="Times New Roman" w:cs="Times New Roman"/>
          <w:i/>
          <w:iCs/>
          <w:color w:val="000000" w:themeColor="text1"/>
          <w:sz w:val="24"/>
          <w:szCs w:val="24"/>
        </w:rPr>
        <w:t>vegan</w:t>
      </w:r>
      <w:r w:rsidRPr="000224E9">
        <w:rPr>
          <w:rFonts w:ascii="Times New Roman" w:hAnsi="Times New Roman" w:cs="Times New Roman"/>
          <w:color w:val="000000" w:themeColor="text1"/>
          <w:sz w:val="24"/>
          <w:szCs w:val="24"/>
        </w:rPr>
        <w:t xml:space="preserve"> package with 1000 permutations. We investigated each term in the model sequentially, starting with species identity, the main clustering factor found from visualisation with NMDS, followed by geographic region (Panama </w:t>
      </w:r>
      <w:r w:rsidRPr="000224E9">
        <w:rPr>
          <w:rFonts w:ascii="Times New Roman" w:hAnsi="Times New Roman" w:cs="Times New Roman"/>
          <w:i/>
          <w:color w:val="000000" w:themeColor="text1"/>
          <w:sz w:val="24"/>
          <w:szCs w:val="24"/>
        </w:rPr>
        <w:t>vs</w:t>
      </w:r>
      <w:r w:rsidRPr="000224E9">
        <w:rPr>
          <w:rFonts w:ascii="Times New Roman" w:hAnsi="Times New Roman" w:cs="Times New Roman"/>
          <w:iCs/>
          <w:color w:val="000000" w:themeColor="text1"/>
          <w:sz w:val="24"/>
          <w:szCs w:val="24"/>
        </w:rPr>
        <w:t xml:space="preserve"> </w:t>
      </w:r>
      <w:r w:rsidRPr="000224E9">
        <w:rPr>
          <w:rFonts w:ascii="Times New Roman" w:hAnsi="Times New Roman" w:cs="Times New Roman"/>
          <w:color w:val="000000" w:themeColor="text1"/>
          <w:sz w:val="24"/>
          <w:szCs w:val="24"/>
        </w:rPr>
        <w:t>Western Andes</w:t>
      </w:r>
      <w:r w:rsidRPr="000224E9">
        <w:rPr>
          <w:rFonts w:ascii="Times New Roman" w:hAnsi="Times New Roman" w:cs="Times New Roman"/>
          <w:i/>
          <w:iCs/>
          <w:color w:val="000000" w:themeColor="text1"/>
          <w:sz w:val="24"/>
          <w:szCs w:val="24"/>
        </w:rPr>
        <w:t xml:space="preserve"> vs</w:t>
      </w:r>
      <w:r w:rsidRPr="000224E9">
        <w:rPr>
          <w:rFonts w:ascii="Times New Roman" w:hAnsi="Times New Roman" w:cs="Times New Roman"/>
          <w:color w:val="000000" w:themeColor="text1"/>
          <w:sz w:val="24"/>
          <w:szCs w:val="24"/>
        </w:rPr>
        <w:t xml:space="preserve"> Eastern Andes </w:t>
      </w:r>
      <w:r w:rsidRPr="000224E9">
        <w:rPr>
          <w:rFonts w:ascii="Times New Roman" w:hAnsi="Times New Roman" w:cs="Times New Roman"/>
          <w:i/>
          <w:iCs/>
          <w:color w:val="000000" w:themeColor="text1"/>
          <w:sz w:val="24"/>
          <w:szCs w:val="24"/>
        </w:rPr>
        <w:t xml:space="preserve">vs </w:t>
      </w:r>
      <w:r w:rsidRPr="000224E9">
        <w:rPr>
          <w:rFonts w:ascii="Times New Roman" w:hAnsi="Times New Roman" w:cs="Times New Roman"/>
          <w:color w:val="000000" w:themeColor="text1"/>
          <w:sz w:val="24"/>
          <w:szCs w:val="24"/>
        </w:rPr>
        <w:t xml:space="preserve">Amazon), and finally individual collecting localities. Model goodness of fit was evaluated by Akaike information criterion (AIC). In general, we chose the model with the lowest AIC value, however, if two models were within two AIC of each other we chose the simplest model as the best fit (Table </w:t>
      </w:r>
      <w:r w:rsidR="003A48C1" w:rsidRPr="000224E9">
        <w:rPr>
          <w:rFonts w:ascii="Times New Roman" w:hAnsi="Times New Roman" w:cs="Times New Roman"/>
          <w:color w:val="000000" w:themeColor="text1"/>
          <w:sz w:val="24"/>
          <w:szCs w:val="24"/>
        </w:rPr>
        <w:t>A</w:t>
      </w:r>
      <w:r w:rsidRPr="000224E9">
        <w:rPr>
          <w:rFonts w:ascii="Times New Roman" w:hAnsi="Times New Roman" w:cs="Times New Roman"/>
          <w:color w:val="000000" w:themeColor="text1"/>
          <w:sz w:val="24"/>
          <w:szCs w:val="24"/>
        </w:rPr>
        <w:t xml:space="preserve">3). We followed these PERMANOVA tests with </w:t>
      </w:r>
      <w:r w:rsidRPr="000224E9">
        <w:rPr>
          <w:rFonts w:ascii="Times New Roman" w:hAnsi="Times New Roman" w:cs="Times New Roman"/>
          <w:i/>
          <w:color w:val="000000" w:themeColor="text1"/>
          <w:sz w:val="24"/>
          <w:szCs w:val="24"/>
        </w:rPr>
        <w:t>post hoc</w:t>
      </w:r>
      <w:r w:rsidRPr="000224E9">
        <w:rPr>
          <w:rFonts w:ascii="Times New Roman" w:hAnsi="Times New Roman" w:cs="Times New Roman"/>
          <w:color w:val="000000" w:themeColor="text1"/>
          <w:sz w:val="24"/>
          <w:szCs w:val="24"/>
        </w:rPr>
        <w:t xml:space="preserve"> pair-wise testing using the function “</w:t>
      </w:r>
      <w:proofErr w:type="spellStart"/>
      <w:r w:rsidRPr="000224E9">
        <w:rPr>
          <w:rFonts w:ascii="Times New Roman" w:hAnsi="Times New Roman" w:cs="Times New Roman"/>
          <w:color w:val="000000" w:themeColor="text1"/>
          <w:sz w:val="24"/>
          <w:szCs w:val="24"/>
        </w:rPr>
        <w:t>pairwise.perm.manova</w:t>
      </w:r>
      <w:proofErr w:type="spellEnd"/>
      <w:r w:rsidRPr="000224E9">
        <w:rPr>
          <w:rFonts w:ascii="Times New Roman" w:hAnsi="Times New Roman" w:cs="Times New Roman"/>
          <w:color w:val="000000" w:themeColor="text1"/>
          <w:sz w:val="24"/>
          <w:szCs w:val="24"/>
        </w:rPr>
        <w:t xml:space="preserve">” in the </w:t>
      </w:r>
      <w:proofErr w:type="spellStart"/>
      <w:r w:rsidRPr="000224E9">
        <w:rPr>
          <w:rFonts w:ascii="Times New Roman" w:hAnsi="Times New Roman" w:cs="Times New Roman"/>
          <w:i/>
          <w:iCs/>
          <w:color w:val="000000" w:themeColor="text1"/>
          <w:sz w:val="24"/>
          <w:szCs w:val="24"/>
        </w:rPr>
        <w:t>RVAidememoie</w:t>
      </w:r>
      <w:proofErr w:type="spellEnd"/>
      <w:r w:rsidRPr="000224E9">
        <w:rPr>
          <w:rFonts w:ascii="Times New Roman" w:hAnsi="Times New Roman" w:cs="Times New Roman"/>
          <w:color w:val="000000" w:themeColor="text1"/>
          <w:sz w:val="24"/>
          <w:szCs w:val="24"/>
        </w:rPr>
        <w:t xml:space="preserve"> package, with Bonferroni correction, to identify which grouping factors were significantly different </w:t>
      </w:r>
      <w:r w:rsidRPr="000224E9">
        <w:rPr>
          <w:rFonts w:ascii="Times New Roman" w:hAnsi="Times New Roman" w:cs="Times New Roman"/>
          <w:color w:val="000000" w:themeColor="text1"/>
          <w:sz w:val="24"/>
          <w:szCs w:val="24"/>
        </w:rPr>
        <w:fldChar w:fldCharType="begin"/>
      </w:r>
      <w:r w:rsidRPr="000224E9">
        <w:rPr>
          <w:rFonts w:ascii="Times New Roman" w:hAnsi="Times New Roman" w:cs="Times New Roman"/>
          <w:color w:val="000000" w:themeColor="text1"/>
          <w:sz w:val="24"/>
          <w:szCs w:val="24"/>
        </w:rPr>
        <w:instrText xml:space="preserve"> ADDIN ZOTERO_ITEM CSL_CITATION {"citationID":"6Q04kYtB","properties":{"formattedCitation":"(Herv\\uc0\\u233{}, 2018)","plainCitation":"(Hervé, 2018)","noteIndex":0},"citationItems":[{"id":3356,"uris":["http://zotero.org/users/2671101/items/BKGMT5NR"],"uri":["http://zotero.org/users/2671101/items/BKGMT5NR"],"itemData":{"id":3356,"type":"book","title":"RVAideMemoire: Testing and Plotting Procedures for Biostatistics. R package version 0.9-69-3.","URL":"https://CRAN.R-project.org/package=RVAideMemoire","author":[{"family":"Hervé","given":"Maxime"}],"issued":{"date-parts":[["2018"]]}}}],"schema":"https://github.com/citation-style-language/schema/raw/master/csl-citation.json"} </w:instrText>
      </w:r>
      <w:r w:rsidRPr="000224E9">
        <w:rPr>
          <w:rFonts w:ascii="Times New Roman" w:hAnsi="Times New Roman" w:cs="Times New Roman"/>
          <w:color w:val="000000" w:themeColor="text1"/>
          <w:sz w:val="24"/>
          <w:szCs w:val="24"/>
        </w:rPr>
        <w:fldChar w:fldCharType="separate"/>
      </w:r>
      <w:r w:rsidRPr="000224E9">
        <w:rPr>
          <w:rFonts w:ascii="Times New Roman" w:hAnsi="Times New Roman" w:cs="Times New Roman"/>
          <w:color w:val="000000"/>
          <w:sz w:val="24"/>
          <w:lang w:val="en-US"/>
        </w:rPr>
        <w:t>(Hervé, 2018)</w:t>
      </w:r>
      <w:r w:rsidRPr="000224E9">
        <w:rPr>
          <w:rFonts w:ascii="Times New Roman" w:hAnsi="Times New Roman" w:cs="Times New Roman"/>
          <w:color w:val="000000" w:themeColor="text1"/>
          <w:sz w:val="24"/>
          <w:szCs w:val="24"/>
        </w:rPr>
        <w:fldChar w:fldCharType="end"/>
      </w:r>
      <w:r w:rsidRPr="000224E9">
        <w:rPr>
          <w:rFonts w:ascii="Times New Roman" w:hAnsi="Times New Roman" w:cs="Times New Roman"/>
          <w:color w:val="000000" w:themeColor="text1"/>
          <w:sz w:val="24"/>
          <w:szCs w:val="24"/>
        </w:rPr>
        <w:t xml:space="preserve">. We repeated the PERMANOVA analysis within species, in </w:t>
      </w:r>
      <w:r w:rsidRPr="000224E9">
        <w:rPr>
          <w:rFonts w:ascii="Times New Roman" w:hAnsi="Times New Roman" w:cs="Times New Roman"/>
          <w:i/>
          <w:iCs/>
          <w:color w:val="000000" w:themeColor="text1"/>
          <w:sz w:val="24"/>
          <w:szCs w:val="24"/>
        </w:rPr>
        <w:t xml:space="preserve">H. </w:t>
      </w:r>
      <w:proofErr w:type="spellStart"/>
      <w:r w:rsidRPr="000224E9">
        <w:rPr>
          <w:rFonts w:ascii="Times New Roman" w:hAnsi="Times New Roman" w:cs="Times New Roman"/>
          <w:i/>
          <w:iCs/>
          <w:color w:val="000000" w:themeColor="text1"/>
          <w:sz w:val="24"/>
          <w:szCs w:val="24"/>
        </w:rPr>
        <w:t>erato</w:t>
      </w:r>
      <w:proofErr w:type="spellEnd"/>
      <w:r w:rsidRPr="000224E9">
        <w:rPr>
          <w:rFonts w:ascii="Times New Roman" w:hAnsi="Times New Roman" w:cs="Times New Roman"/>
          <w:color w:val="000000" w:themeColor="text1"/>
          <w:sz w:val="24"/>
          <w:szCs w:val="24"/>
        </w:rPr>
        <w:t xml:space="preserve"> and </w:t>
      </w:r>
      <w:r w:rsidRPr="000224E9">
        <w:rPr>
          <w:rFonts w:ascii="Times New Roman" w:hAnsi="Times New Roman" w:cs="Times New Roman"/>
          <w:i/>
          <w:iCs/>
          <w:color w:val="000000" w:themeColor="text1"/>
          <w:sz w:val="24"/>
          <w:szCs w:val="24"/>
        </w:rPr>
        <w:t xml:space="preserve">H. </w:t>
      </w:r>
      <w:proofErr w:type="spellStart"/>
      <w:r w:rsidRPr="000224E9">
        <w:rPr>
          <w:rFonts w:ascii="Times New Roman" w:hAnsi="Times New Roman" w:cs="Times New Roman"/>
          <w:i/>
          <w:iCs/>
          <w:color w:val="000000" w:themeColor="text1"/>
          <w:sz w:val="24"/>
          <w:szCs w:val="24"/>
        </w:rPr>
        <w:t>melpomene</w:t>
      </w:r>
      <w:proofErr w:type="spellEnd"/>
      <w:r w:rsidRPr="000224E9">
        <w:rPr>
          <w:rFonts w:ascii="Times New Roman" w:hAnsi="Times New Roman" w:cs="Times New Roman"/>
          <w:i/>
          <w:iCs/>
          <w:color w:val="000000" w:themeColor="text1"/>
          <w:sz w:val="24"/>
          <w:szCs w:val="24"/>
        </w:rPr>
        <w:t>,</w:t>
      </w:r>
      <w:r w:rsidRPr="000224E9">
        <w:rPr>
          <w:rFonts w:ascii="Times New Roman" w:hAnsi="Times New Roman" w:cs="Times New Roman"/>
          <w:color w:val="000000" w:themeColor="text1"/>
          <w:sz w:val="24"/>
          <w:szCs w:val="24"/>
        </w:rPr>
        <w:t xml:space="preserve"> to investigate fine-scale intraspecific geographic patterns. In the within species analysis we included geographic region (Panama </w:t>
      </w:r>
      <w:r w:rsidRPr="000224E9">
        <w:rPr>
          <w:rFonts w:ascii="Times New Roman" w:hAnsi="Times New Roman" w:cs="Times New Roman"/>
          <w:i/>
          <w:color w:val="000000" w:themeColor="text1"/>
          <w:sz w:val="24"/>
          <w:szCs w:val="24"/>
        </w:rPr>
        <w:t>vs</w:t>
      </w:r>
      <w:r w:rsidRPr="000224E9">
        <w:rPr>
          <w:rFonts w:ascii="Times New Roman" w:hAnsi="Times New Roman" w:cs="Times New Roman"/>
          <w:iCs/>
          <w:color w:val="000000" w:themeColor="text1"/>
          <w:sz w:val="24"/>
          <w:szCs w:val="24"/>
        </w:rPr>
        <w:t xml:space="preserve"> </w:t>
      </w:r>
      <w:r w:rsidRPr="000224E9">
        <w:rPr>
          <w:rFonts w:ascii="Times New Roman" w:hAnsi="Times New Roman" w:cs="Times New Roman"/>
          <w:color w:val="000000" w:themeColor="text1"/>
          <w:sz w:val="24"/>
          <w:szCs w:val="24"/>
        </w:rPr>
        <w:t>Western Andes</w:t>
      </w:r>
      <w:r w:rsidRPr="000224E9">
        <w:rPr>
          <w:rFonts w:ascii="Times New Roman" w:hAnsi="Times New Roman" w:cs="Times New Roman"/>
          <w:i/>
          <w:iCs/>
          <w:color w:val="000000" w:themeColor="text1"/>
          <w:sz w:val="24"/>
          <w:szCs w:val="24"/>
        </w:rPr>
        <w:t xml:space="preserve"> vs</w:t>
      </w:r>
      <w:r w:rsidRPr="000224E9">
        <w:rPr>
          <w:rFonts w:ascii="Times New Roman" w:hAnsi="Times New Roman" w:cs="Times New Roman"/>
          <w:color w:val="000000" w:themeColor="text1"/>
          <w:sz w:val="24"/>
          <w:szCs w:val="24"/>
        </w:rPr>
        <w:t xml:space="preserve"> Eastern Andes </w:t>
      </w:r>
      <w:r w:rsidRPr="000224E9">
        <w:rPr>
          <w:rFonts w:ascii="Times New Roman" w:hAnsi="Times New Roman" w:cs="Times New Roman"/>
          <w:i/>
          <w:iCs/>
          <w:color w:val="000000" w:themeColor="text1"/>
          <w:sz w:val="24"/>
          <w:szCs w:val="24"/>
        </w:rPr>
        <w:t xml:space="preserve">vs </w:t>
      </w:r>
      <w:r w:rsidRPr="000224E9">
        <w:rPr>
          <w:rFonts w:ascii="Times New Roman" w:hAnsi="Times New Roman" w:cs="Times New Roman"/>
          <w:color w:val="000000" w:themeColor="text1"/>
          <w:sz w:val="24"/>
          <w:szCs w:val="24"/>
        </w:rPr>
        <w:t xml:space="preserve">Amazon), and individual collecting localities as the two factors. </w:t>
      </w:r>
    </w:p>
    <w:p w:rsidR="00A7633C" w:rsidRPr="000224E9" w:rsidRDefault="00A7633C" w:rsidP="00A7633C">
      <w:pPr>
        <w:spacing w:after="120" w:line="480" w:lineRule="auto"/>
        <w:ind w:firstLine="720"/>
        <w:rPr>
          <w:rFonts w:ascii="Times New Roman" w:hAnsi="Times New Roman" w:cs="Times New Roman"/>
          <w:color w:val="000000" w:themeColor="text1"/>
          <w:sz w:val="24"/>
          <w:szCs w:val="24"/>
        </w:rPr>
      </w:pPr>
      <w:r w:rsidRPr="000224E9">
        <w:rPr>
          <w:rFonts w:ascii="Times New Roman" w:hAnsi="Times New Roman" w:cs="Times New Roman"/>
          <w:color w:val="000000" w:themeColor="text1"/>
          <w:sz w:val="24"/>
          <w:szCs w:val="24"/>
        </w:rPr>
        <w:t xml:space="preserve">One issue with distance-based analyses such as PERMANOVA is that differences in dispersion between groups can be confounded with differences in location </w:t>
      </w:r>
      <w:r w:rsidRPr="000224E9">
        <w:rPr>
          <w:rFonts w:ascii="Times New Roman" w:hAnsi="Times New Roman" w:cs="Times New Roman"/>
          <w:color w:val="000000" w:themeColor="text1"/>
          <w:sz w:val="24"/>
          <w:szCs w:val="24"/>
        </w:rPr>
        <w:fldChar w:fldCharType="begin"/>
      </w:r>
      <w:r w:rsidRPr="000224E9">
        <w:rPr>
          <w:rFonts w:ascii="Times New Roman" w:hAnsi="Times New Roman" w:cs="Times New Roman"/>
          <w:color w:val="000000" w:themeColor="text1"/>
          <w:sz w:val="24"/>
          <w:szCs w:val="24"/>
        </w:rPr>
        <w:instrText xml:space="preserve"> ADDIN ZOTERO_ITEM CSL_CITATION {"citationID":"GuVTLWJY","properties":{"formattedCitation":"(Warton et al., 2012)","plainCitation":"(Warton et al., 2012)","noteIndex":0},"citationItems":[{"id":3346,"uris":["http://zotero.org/users/2671101/items/VKMCP3K3"],"uri":["http://zotero.org/users/2671101/items/VKMCP3K3"],"itemData":{"id":3346,"type":"article-journal","title":"Distance-based multivariate analyses confound location and dispersion effects","container-title":"Methods in Ecology and Evolution","page":"89-101","volume":"3","issue":"1","source":"Wiley Online Library","abstract":"1. A critical property of count data is its mean–variance relationship, yet this is rarely considered in multivariate analysis in ecology. 2. This study considers what is being implicitly assumed about the mean–variance relationship in distance-based analyses – multivariate analyses based on a matrix of pairwise distances – and what the effect is of any misspecification of the mean–variance relationship. 3. It is shown that distance-based analyses make implicit assumptions that are typically out-of-step with what is observed in real data, which has major consequences. 4. Potential consequences of this mean–variance misspecification are: confounding location and dispersion effects in ordinations; misleading results when trying to identify taxa in which an effect is expressed; failure to detect a multivariate effect unless it is expressed in high-variance taxa. 5. Data transformation does not solve the problem. 6. A solution is to use generalised linear models and their recent multivariate generalisations, which is shown here to have desirable properties.","DOI":"10.1111/j.2041-210X.2011.00127.x","ISSN":"2041-210X","language":"en","author":[{"family":"Warton","given":"David I."},{"family":"Wright","given":"Stephen T."},{"family":"Wang","given":"Yi"}],"issued":{"date-parts":[["2012",2,1]]}}}],"schema":"https://github.com/citation-style-language/schema/raw/master/csl-citation.json"} </w:instrText>
      </w:r>
      <w:r w:rsidRPr="000224E9">
        <w:rPr>
          <w:rFonts w:ascii="Times New Roman" w:hAnsi="Times New Roman" w:cs="Times New Roman"/>
          <w:color w:val="000000" w:themeColor="text1"/>
          <w:sz w:val="24"/>
          <w:szCs w:val="24"/>
        </w:rPr>
        <w:fldChar w:fldCharType="separate"/>
      </w:r>
      <w:r w:rsidRPr="000224E9">
        <w:rPr>
          <w:rFonts w:ascii="Times New Roman" w:hAnsi="Times New Roman" w:cs="Times New Roman"/>
          <w:noProof/>
          <w:color w:val="000000" w:themeColor="text1"/>
          <w:sz w:val="24"/>
          <w:szCs w:val="24"/>
        </w:rPr>
        <w:t xml:space="preserve">(Warton et al., </w:t>
      </w:r>
      <w:r w:rsidRPr="000224E9">
        <w:rPr>
          <w:rFonts w:ascii="Times New Roman" w:hAnsi="Times New Roman" w:cs="Times New Roman"/>
          <w:noProof/>
          <w:color w:val="000000" w:themeColor="text1"/>
          <w:sz w:val="24"/>
          <w:szCs w:val="24"/>
        </w:rPr>
        <w:lastRenderedPageBreak/>
        <w:t>2012)</w:t>
      </w:r>
      <w:r w:rsidRPr="000224E9">
        <w:rPr>
          <w:rFonts w:ascii="Times New Roman" w:hAnsi="Times New Roman" w:cs="Times New Roman"/>
          <w:color w:val="000000" w:themeColor="text1"/>
          <w:sz w:val="24"/>
          <w:szCs w:val="24"/>
        </w:rPr>
        <w:fldChar w:fldCharType="end"/>
      </w:r>
      <w:r w:rsidRPr="000224E9">
        <w:rPr>
          <w:rFonts w:ascii="Times New Roman" w:hAnsi="Times New Roman" w:cs="Times New Roman"/>
          <w:color w:val="000000" w:themeColor="text1"/>
          <w:sz w:val="24"/>
          <w:szCs w:val="24"/>
        </w:rPr>
        <w:t>. To confirm these analyses and account for this issue, we implemented multivariate generalised linear models using the function “</w:t>
      </w:r>
      <w:proofErr w:type="spellStart"/>
      <w:r w:rsidRPr="000224E9">
        <w:rPr>
          <w:rFonts w:ascii="Times New Roman" w:hAnsi="Times New Roman" w:cs="Times New Roman"/>
          <w:color w:val="000000" w:themeColor="text1"/>
          <w:sz w:val="24"/>
          <w:szCs w:val="24"/>
        </w:rPr>
        <w:t>ManyGLM</w:t>
      </w:r>
      <w:proofErr w:type="spellEnd"/>
      <w:r w:rsidRPr="000224E9">
        <w:rPr>
          <w:rFonts w:ascii="Times New Roman" w:hAnsi="Times New Roman" w:cs="Times New Roman"/>
          <w:color w:val="000000" w:themeColor="text1"/>
          <w:sz w:val="24"/>
          <w:szCs w:val="24"/>
        </w:rPr>
        <w:t xml:space="preserve">” from the </w:t>
      </w:r>
      <w:proofErr w:type="spellStart"/>
      <w:r w:rsidRPr="000224E9">
        <w:rPr>
          <w:rFonts w:ascii="Times New Roman" w:hAnsi="Times New Roman" w:cs="Times New Roman"/>
          <w:i/>
          <w:iCs/>
          <w:color w:val="000000" w:themeColor="text1"/>
          <w:sz w:val="24"/>
          <w:szCs w:val="24"/>
        </w:rPr>
        <w:t>mvabund</w:t>
      </w:r>
      <w:proofErr w:type="spellEnd"/>
      <w:r w:rsidRPr="000224E9">
        <w:rPr>
          <w:rFonts w:ascii="Times New Roman" w:hAnsi="Times New Roman" w:cs="Times New Roman"/>
          <w:color w:val="000000" w:themeColor="text1"/>
          <w:sz w:val="24"/>
          <w:szCs w:val="24"/>
        </w:rPr>
        <w:t xml:space="preserve"> package </w:t>
      </w:r>
      <w:r w:rsidRPr="000224E9">
        <w:rPr>
          <w:rFonts w:ascii="Times New Roman" w:hAnsi="Times New Roman" w:cs="Times New Roman"/>
          <w:color w:val="000000" w:themeColor="text1"/>
          <w:sz w:val="24"/>
          <w:szCs w:val="24"/>
        </w:rPr>
        <w:fldChar w:fldCharType="begin"/>
      </w:r>
      <w:r w:rsidRPr="000224E9">
        <w:rPr>
          <w:rFonts w:ascii="Times New Roman" w:hAnsi="Times New Roman" w:cs="Times New Roman"/>
          <w:color w:val="000000" w:themeColor="text1"/>
          <w:sz w:val="24"/>
          <w:szCs w:val="24"/>
        </w:rPr>
        <w:instrText xml:space="preserve"> ADDIN ZOTERO_ITEM CSL_CITATION {"citationID":"qOZJEIhT","properties":{"formattedCitation":"(Wang et al., 2012)","plainCitation":"(Wang et al., 2012)","noteIndex":0},"citationItems":[{"id":3349,"uris":["http://zotero.org/users/2671101/items/AQB6G7A3"],"uri":["http://zotero.org/users/2671101/items/AQB6G7A3"],"itemData":{"id":3349,"type":"article-journal","title":"mvabund– an R package for model-based analysis of multivariate abundance data","container-title":"Methods in Ecology and Evolution","page":"471-474","volume":"3","issue":"3","source":"Wiley Online Library","abstract":"1. The mvabund package for R provides tools for model-based analysis of multivariate abundance data in ecology. 2. This includes methods for visualising data, fitting predictive models, checking model assumptions, as well as testing hypotheses about the community–environment association. 3. This paper briefly introduces the package and demonstrates its functionality by example.","DOI":"10.1111/j.2041-210X.2012.00190.x","ISSN":"2041-210X","language":"en","author":[{"family":"Wang","given":"Yi"},{"family":"Naumann","given":"Ulrike"},{"family":"Wright","given":"Stephen T."},{"family":"Warton","given":"David I."}],"issued":{"date-parts":[["2012",6,1]]}}}],"schema":"https://github.com/citation-style-language/schema/raw/master/csl-citation.json"} </w:instrText>
      </w:r>
      <w:r w:rsidRPr="000224E9">
        <w:rPr>
          <w:rFonts w:ascii="Times New Roman" w:hAnsi="Times New Roman" w:cs="Times New Roman"/>
          <w:color w:val="000000" w:themeColor="text1"/>
          <w:sz w:val="24"/>
          <w:szCs w:val="24"/>
        </w:rPr>
        <w:fldChar w:fldCharType="separate"/>
      </w:r>
      <w:r w:rsidRPr="000224E9">
        <w:rPr>
          <w:rFonts w:ascii="Times New Roman" w:hAnsi="Times New Roman" w:cs="Times New Roman"/>
          <w:noProof/>
          <w:color w:val="000000" w:themeColor="text1"/>
          <w:sz w:val="24"/>
          <w:szCs w:val="24"/>
        </w:rPr>
        <w:t>(Wang et al., 2012)</w:t>
      </w:r>
      <w:r w:rsidRPr="000224E9">
        <w:rPr>
          <w:rFonts w:ascii="Times New Roman" w:hAnsi="Times New Roman" w:cs="Times New Roman"/>
          <w:color w:val="000000" w:themeColor="text1"/>
          <w:sz w:val="24"/>
          <w:szCs w:val="24"/>
        </w:rPr>
        <w:fldChar w:fldCharType="end"/>
      </w:r>
      <w:r w:rsidRPr="000224E9">
        <w:rPr>
          <w:rFonts w:ascii="Times New Roman" w:hAnsi="Times New Roman" w:cs="Times New Roman"/>
          <w:color w:val="000000" w:themeColor="text1"/>
          <w:sz w:val="24"/>
          <w:szCs w:val="24"/>
        </w:rPr>
        <w:t>. We modelled the data using a negative binomial distribution, which we found to be appropriate through examination of residual plots. For interspecific analyses we included species, region, and locality nested within region in the model. For intraspecific analyses we included region and locality nested within region. The “</w:t>
      </w:r>
      <w:proofErr w:type="spellStart"/>
      <w:r w:rsidRPr="000224E9">
        <w:rPr>
          <w:rFonts w:ascii="Times New Roman" w:hAnsi="Times New Roman" w:cs="Times New Roman"/>
          <w:color w:val="000000" w:themeColor="text1"/>
          <w:sz w:val="24"/>
          <w:szCs w:val="24"/>
        </w:rPr>
        <w:t>ManyGLM</w:t>
      </w:r>
      <w:proofErr w:type="spellEnd"/>
      <w:r w:rsidRPr="000224E9">
        <w:rPr>
          <w:rFonts w:ascii="Times New Roman" w:hAnsi="Times New Roman" w:cs="Times New Roman"/>
          <w:color w:val="000000" w:themeColor="text1"/>
          <w:sz w:val="24"/>
          <w:szCs w:val="24"/>
        </w:rPr>
        <w:t>” function fits models to each chemical compound, summing the test statistics to give a multivariate test statistic known as Sum-of-LR. This statistic can be tested for significance using resampling methods. We carried out backwards elimination and compared the fit of models by using the “</w:t>
      </w:r>
      <w:proofErr w:type="spellStart"/>
      <w:proofErr w:type="gramStart"/>
      <w:r w:rsidRPr="000224E9">
        <w:rPr>
          <w:rFonts w:ascii="Times New Roman" w:hAnsi="Times New Roman" w:cs="Times New Roman"/>
          <w:color w:val="000000" w:themeColor="text1"/>
          <w:sz w:val="24"/>
          <w:szCs w:val="24"/>
        </w:rPr>
        <w:t>anova.manyglm</w:t>
      </w:r>
      <w:proofErr w:type="spellEnd"/>
      <w:proofErr w:type="gramEnd"/>
      <w:r w:rsidRPr="000224E9">
        <w:rPr>
          <w:rFonts w:ascii="Times New Roman" w:hAnsi="Times New Roman" w:cs="Times New Roman"/>
          <w:color w:val="000000" w:themeColor="text1"/>
          <w:sz w:val="24"/>
          <w:szCs w:val="24"/>
        </w:rPr>
        <w:t xml:space="preserve">” function with a likelihood ratio test (Table </w:t>
      </w:r>
      <w:r w:rsidR="003A48C1" w:rsidRPr="000224E9">
        <w:rPr>
          <w:rFonts w:ascii="Times New Roman" w:hAnsi="Times New Roman" w:cs="Times New Roman"/>
          <w:color w:val="000000" w:themeColor="text1"/>
          <w:sz w:val="24"/>
          <w:szCs w:val="24"/>
        </w:rPr>
        <w:t>A</w:t>
      </w:r>
      <w:r w:rsidRPr="000224E9">
        <w:rPr>
          <w:rFonts w:ascii="Times New Roman" w:hAnsi="Times New Roman" w:cs="Times New Roman"/>
          <w:color w:val="000000" w:themeColor="text1"/>
          <w:sz w:val="24"/>
          <w:szCs w:val="24"/>
        </w:rPr>
        <w:t xml:space="preserve">4). We can also determine which compounds are driving between-group differences by looking at the individual contribution of each compound to the Sum-of-LR, with p-values adjusted for multiple testing using the “adjust” option. </w:t>
      </w:r>
    </w:p>
    <w:p w:rsidR="00A7633C" w:rsidRPr="000224E9" w:rsidRDefault="00A7633C" w:rsidP="00A7633C">
      <w:pPr>
        <w:spacing w:after="120" w:line="480" w:lineRule="auto"/>
        <w:rPr>
          <w:rFonts w:ascii="Times New Roman" w:hAnsi="Times New Roman" w:cs="Times New Roman"/>
          <w:i/>
          <w:iCs/>
          <w:color w:val="000000" w:themeColor="text1"/>
          <w:sz w:val="24"/>
          <w:szCs w:val="24"/>
          <w:u w:val="single"/>
        </w:rPr>
      </w:pPr>
      <w:r w:rsidRPr="000224E9">
        <w:rPr>
          <w:rFonts w:ascii="Times New Roman" w:hAnsi="Times New Roman" w:cs="Times New Roman"/>
          <w:i/>
          <w:iCs/>
          <w:color w:val="000000" w:themeColor="text1"/>
          <w:sz w:val="24"/>
          <w:szCs w:val="24"/>
          <w:u w:val="single"/>
        </w:rPr>
        <w:t>Phylogenetic and geographic distance</w:t>
      </w:r>
    </w:p>
    <w:p w:rsidR="00A7633C" w:rsidRPr="000224E9" w:rsidRDefault="00A7633C" w:rsidP="00A7633C">
      <w:pPr>
        <w:spacing w:after="120" w:line="480" w:lineRule="auto"/>
        <w:ind w:firstLine="720"/>
        <w:rPr>
          <w:rFonts w:ascii="Times New Roman" w:hAnsi="Times New Roman" w:cs="Times New Roman"/>
          <w:color w:val="000000" w:themeColor="text1"/>
          <w:sz w:val="24"/>
          <w:szCs w:val="24"/>
        </w:rPr>
      </w:pPr>
      <w:r w:rsidRPr="000224E9">
        <w:rPr>
          <w:rFonts w:ascii="Times New Roman" w:hAnsi="Times New Roman" w:cs="Times New Roman"/>
          <w:color w:val="000000" w:themeColor="text1"/>
          <w:sz w:val="24"/>
          <w:szCs w:val="24"/>
        </w:rPr>
        <w:t xml:space="preserve">Shared ancestry can explain part of the variation in a species’ chemical profile. Using the interspecific genetic distance matrix calculated above, we tested for a correlation between phylogenetic distance and chemical profile divergence. We carried out partial Mantel tests, controlling for geographic distance, using the </w:t>
      </w:r>
      <w:r w:rsidRPr="000224E9">
        <w:rPr>
          <w:rFonts w:ascii="Times New Roman" w:hAnsi="Times New Roman" w:cs="Times New Roman"/>
          <w:i/>
          <w:iCs/>
          <w:color w:val="000000" w:themeColor="text1"/>
          <w:sz w:val="24"/>
          <w:szCs w:val="24"/>
        </w:rPr>
        <w:t>vegan</w:t>
      </w:r>
      <w:r w:rsidRPr="000224E9">
        <w:rPr>
          <w:rFonts w:ascii="Times New Roman" w:hAnsi="Times New Roman" w:cs="Times New Roman"/>
          <w:color w:val="000000" w:themeColor="text1"/>
          <w:sz w:val="24"/>
          <w:szCs w:val="24"/>
        </w:rPr>
        <w:t xml:space="preserve"> package </w:t>
      </w:r>
      <w:r w:rsidRPr="000224E9">
        <w:rPr>
          <w:rFonts w:ascii="Times New Roman" w:hAnsi="Times New Roman" w:cs="Times New Roman"/>
          <w:color w:val="000000" w:themeColor="text1"/>
          <w:sz w:val="24"/>
          <w:szCs w:val="24"/>
        </w:rPr>
        <w:fldChar w:fldCharType="begin"/>
      </w:r>
      <w:r w:rsidRPr="000224E9">
        <w:rPr>
          <w:rFonts w:ascii="Times New Roman" w:hAnsi="Times New Roman" w:cs="Times New Roman"/>
          <w:color w:val="000000" w:themeColor="text1"/>
          <w:sz w:val="24"/>
          <w:szCs w:val="24"/>
        </w:rPr>
        <w:instrText xml:space="preserve"> ADDIN ZOTERO_ITEM CSL_CITATION {"citationID":"mQvJFz63","properties":{"formattedCitation":"(Oksanen et al., 2017)","plainCitation":"(Oksanen et al., 2017)","noteIndex":0},"citationItems":[{"id":2832,"uris":["http://zotero.org/users/2671101/items/9CQKDEW8"],"uri":["http://zotero.org/users/2671101/items/9CQKDEW8"],"itemData":{"id":2832,"type":"article-journal","title":"vegan: Community Ecology Package. R package version 2.4-2.","URL":"https://CRAN.R-project.org/package=vegan","author":[{"family":"Oksanen","given":"J"},{"family":"Guillaume Blanchet","given":"F"},{"family":"Friendly","given":"M"},{"family":"Kindt","given":"R"},{"family":"Legendre","given":"P"},{"family":"McGlinn","given":"D"},{"family":"Minchin","given":"P"},{"family":"O'Hara","given":"R"},{"family":"Simpson","given":"G"},{"family":"Solymos","given":"P"},{"family":"Stevens","given":"H"},{"family":"Szoecs","given":"E"},{"family":"Wagner","given":"H"}],"issued":{"date-parts":[["2017"]]}}}],"schema":"https://github.com/citation-style-language/schema/raw/master/csl-citation.json"} </w:instrText>
      </w:r>
      <w:r w:rsidRPr="000224E9">
        <w:rPr>
          <w:rFonts w:ascii="Times New Roman" w:hAnsi="Times New Roman" w:cs="Times New Roman"/>
          <w:color w:val="000000" w:themeColor="text1"/>
          <w:sz w:val="24"/>
          <w:szCs w:val="24"/>
        </w:rPr>
        <w:fldChar w:fldCharType="separate"/>
      </w:r>
      <w:r w:rsidRPr="000224E9">
        <w:rPr>
          <w:rFonts w:ascii="Times New Roman" w:hAnsi="Times New Roman" w:cs="Times New Roman"/>
          <w:noProof/>
          <w:color w:val="000000" w:themeColor="text1"/>
          <w:sz w:val="24"/>
          <w:szCs w:val="24"/>
        </w:rPr>
        <w:t>(Oksanen et al., 2017)</w:t>
      </w:r>
      <w:r w:rsidRPr="000224E9">
        <w:rPr>
          <w:rFonts w:ascii="Times New Roman" w:hAnsi="Times New Roman" w:cs="Times New Roman"/>
          <w:color w:val="000000" w:themeColor="text1"/>
          <w:sz w:val="24"/>
          <w:szCs w:val="24"/>
        </w:rPr>
        <w:fldChar w:fldCharType="end"/>
      </w:r>
      <w:r w:rsidRPr="000224E9">
        <w:rPr>
          <w:rFonts w:ascii="Times New Roman" w:hAnsi="Times New Roman" w:cs="Times New Roman"/>
          <w:color w:val="000000" w:themeColor="text1"/>
          <w:sz w:val="24"/>
          <w:szCs w:val="24"/>
        </w:rPr>
        <w:t>. To investigate the role of geographic distance</w:t>
      </w:r>
      <w:r w:rsidRPr="000224E9" w:rsidDel="00CA185C">
        <w:rPr>
          <w:rFonts w:ascii="Times New Roman" w:hAnsi="Times New Roman" w:cs="Times New Roman"/>
          <w:color w:val="000000" w:themeColor="text1"/>
          <w:sz w:val="24"/>
          <w:szCs w:val="24"/>
        </w:rPr>
        <w:t xml:space="preserve"> </w:t>
      </w:r>
      <w:r w:rsidRPr="000224E9">
        <w:rPr>
          <w:rFonts w:ascii="Times New Roman" w:hAnsi="Times New Roman" w:cs="Times New Roman"/>
          <w:color w:val="000000" w:themeColor="text1"/>
          <w:sz w:val="24"/>
          <w:szCs w:val="24"/>
        </w:rPr>
        <w:t xml:space="preserve">in chemical profile divergence, we compared geographic and chemical distances matrices, controlling for genetic distance, with partial Mantel tests. To visualise the species phylogeny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{"citationID":"o0kdtCi8","properties":{"formattedCitation":"(Kozak et al., 2015)","plainCitation":"(Kozak et al., 2015)","noteIndex":0},"citationItems":[{"id":2190,"uris":["http://zotero.org/users/2671101/items/UZ65A5JV"],"uri":["http://zotero.org/users/2671101/items/UZ65A5JV"],"itemData":{"id":2190,"type":"article-journal","title":"Multilocus species trees show the recent adaptive radiation of the mimetic &lt;i&gt;Heliconius &lt;/i&gt;butterflies","container-title":"Systematic Biology","page":"505-524","volume":"64","issue":"3","source":"PubMed Central","abstract":"Müllerian mimicry among Neotropical Heliconiini butterflies is an excellent example of natural selection, associated with the diversification of a large continental-scale radiation. Some of the processes driving the evolution of mimicry rings are likely to generate incongruent phylogenetic signals across the assemblage, and thus pose a challenge for systematics. We use a data set of 22 mitochondrial and nuclear markers from 92% of species in the tribe, obtained by Sanger sequencing and de novo assembly of short read data, to re-examine the phylogeny of Heliconiini with both supermatrix and multispecies coalescent approaches, characterize the patterns of conflicting signal, and compare the performance of various methodological approaches to reflect the heterogeneity across the data. Despite the large extent of reticulate signal and strong conflict between markers, nearly identical topologies are consistently recovered by most of the analyses, although the supermatrix approach failed to reflect the underlying variation in the history of individual loci. However, the supermatrix represents a useful approximation where multiple rare species represented by short sequences can be incorporated easily. The first comprehensive, time-calibrated phylogeny of this group is used to test the hypotheses of a diversification rate increase driven by the dramatic environmental changes in the Neotropics over the past 23 myr, or changes caused by diversity-dependent effects on the rate of diversification. We find that the rate of diversification has increased on the branch leading to the presently most species-rich genus Heliconius, but the change occurred gradually and cannot be unequivocally attributed to a specific environmental driver. Our study provides comprehensive comparison of philosophically distinct species tree reconstruction methods and provides insights into the diversification of an important insect radiation in the most biodiverse region of the planet.","DOI":"10.1093/sysbio/syv007","ISSN":"1063-5157","note":"PMID: 25634098\nPMCID: PMC4395847","journalAbbreviation":"Syst Biol","author":[{"family":"Kozak","given":"K. M."},{"family":"Wahlberg","given":"Niklas"},{"family":"Neild","given":"Andrew F. E."},{"family":"Dasmahapatra","given":"K. K."},{"family":"Mallet","given":"James"},{"family":"Jiggins","given":"Chris D."}],"issued":{"date-parts":[["2015",5]]}}}],"schema":"https://github.com/citation-style-language/schema/raw/master/csl-citation.json"}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sz w:val="24"/>
          <w:lang w:val="en-US"/>
        </w:rPr>
        <w:t>(Kozak et al., 2015)</w:t>
      </w:r>
      <w:r w:rsidRPr="000224E9">
        <w:rPr>
          <w:rFonts w:ascii="Times New Roman" w:hAnsi="Times New Roman" w:cs="Times New Roman"/>
          <w:sz w:val="24"/>
          <w:szCs w:val="24"/>
        </w:rPr>
        <w:fldChar w:fldCharType="end"/>
      </w:r>
      <w:r w:rsidRPr="000224E9">
        <w:rPr>
          <w:rFonts w:ascii="Times New Roman" w:hAnsi="Times New Roman" w:cs="Times New Roman"/>
          <w:color w:val="000000" w:themeColor="text1"/>
          <w:sz w:val="24"/>
          <w:szCs w:val="24"/>
        </w:rPr>
        <w:t xml:space="preserve"> we used the “</w:t>
      </w:r>
      <w:proofErr w:type="spellStart"/>
      <w:r w:rsidRPr="000224E9">
        <w:rPr>
          <w:rFonts w:ascii="Times New Roman" w:hAnsi="Times New Roman" w:cs="Times New Roman"/>
          <w:color w:val="000000" w:themeColor="text1"/>
          <w:sz w:val="24"/>
          <w:szCs w:val="24"/>
        </w:rPr>
        <w:t>plot.phylo</w:t>
      </w:r>
      <w:proofErr w:type="spellEnd"/>
      <w:r w:rsidRPr="000224E9">
        <w:rPr>
          <w:rFonts w:ascii="Times New Roman" w:hAnsi="Times New Roman" w:cs="Times New Roman"/>
          <w:color w:val="000000" w:themeColor="text1"/>
          <w:sz w:val="24"/>
          <w:szCs w:val="24"/>
        </w:rPr>
        <w:t xml:space="preserve">” function from the ape package </w:t>
      </w:r>
      <w:r w:rsidRPr="000224E9">
        <w:rPr>
          <w:rFonts w:ascii="Times New Roman" w:hAnsi="Times New Roman" w:cs="Times New Roman"/>
          <w:color w:val="000000" w:themeColor="text1"/>
          <w:sz w:val="24"/>
          <w:szCs w:val="24"/>
        </w:rPr>
        <w:fldChar w:fldCharType="begin"/>
      </w:r>
      <w:r w:rsidRPr="000224E9">
        <w:rPr>
          <w:rFonts w:ascii="Times New Roman" w:hAnsi="Times New Roman" w:cs="Times New Roman"/>
          <w:color w:val="000000" w:themeColor="text1"/>
          <w:sz w:val="24"/>
          <w:szCs w:val="24"/>
        </w:rPr>
        <w:instrText xml:space="preserve"> ADDIN ZOTERO_ITEM CSL_CITATION {"citationID":"e1A3xkmw","properties":{"formattedCitation":"(Paradis and Schliep, 2018)","plainCitation":"(Paradis and Schliep, 2018)","noteIndex":0},"citationItems":[{"id":3361,"uris":["http://zotero.org/users/2671101/items/QL7D25Z6"],"uri":["http://zotero.org/users/2671101/items/QL7D25Z6"],"itemData":{"id":3361,"type":"article-journal","title":"ape 5.0: an environment for modern phylogenetics and evolutionary analyses in R","container-title":"Bioinformatics","source":"academic.oup.com","abstract":"AbstractSummary.  After more than fifteen years of existence, the R package ape has continuously grown its contents, and has been used by a growing community of","URL":"https://academic.oup.com/bioinformatics/advance-article/doi/10.1093/bioinformatics/bty633/5055127","DOI":"10.1093/bioinformatics/bty633","title-short":"ape 5.0","journalAbbreviation":"Bioinformatics","language":"en","author":[{"family":"Paradis","given":"Emmanuel"},{"family":"Schliep","given":"Klaus"}],"issued":{"date-parts":[["2018"]]},"accessed":{"date-parts":[["2018",11,26]]}},"label":"page"}],"schema":"https://github.com/citation-style-language/schema/raw/master/csl-citation.json"} </w:instrText>
      </w:r>
      <w:r w:rsidRPr="000224E9">
        <w:rPr>
          <w:rFonts w:ascii="Times New Roman" w:hAnsi="Times New Roman" w:cs="Times New Roman"/>
          <w:color w:val="000000" w:themeColor="text1"/>
          <w:sz w:val="24"/>
          <w:szCs w:val="24"/>
        </w:rPr>
        <w:fldChar w:fldCharType="separate"/>
      </w:r>
      <w:r w:rsidRPr="000224E9">
        <w:rPr>
          <w:rFonts w:ascii="Times New Roman" w:hAnsi="Times New Roman" w:cs="Times New Roman"/>
          <w:color w:val="000000"/>
          <w:sz w:val="24"/>
          <w:lang w:val="en-US"/>
        </w:rPr>
        <w:t>(Paradis and Schliep, 2018)</w:t>
      </w:r>
      <w:r w:rsidRPr="000224E9">
        <w:rPr>
          <w:rFonts w:ascii="Times New Roman" w:hAnsi="Times New Roman" w:cs="Times New Roman"/>
          <w:color w:val="000000" w:themeColor="text1"/>
          <w:sz w:val="24"/>
          <w:szCs w:val="24"/>
        </w:rPr>
        <w:fldChar w:fldCharType="end"/>
      </w:r>
      <w:r w:rsidRPr="000224E9">
        <w:rPr>
          <w:rFonts w:ascii="Times New Roman" w:hAnsi="Times New Roman" w:cs="Times New Roman"/>
          <w:color w:val="000000" w:themeColor="text1"/>
          <w:sz w:val="24"/>
          <w:szCs w:val="24"/>
        </w:rPr>
        <w:t>.</w:t>
      </w:r>
    </w:p>
    <w:p w:rsidR="00245CFA" w:rsidRDefault="00245CFA" w:rsidP="00A7633C">
      <w:pPr>
        <w:spacing w:after="120" w:line="480" w:lineRule="auto"/>
        <w:rPr>
          <w:rFonts w:ascii="Times New Roman" w:hAnsi="Times New Roman" w:cs="Times New Roman"/>
          <w:i/>
          <w:iCs/>
          <w:color w:val="000000" w:themeColor="text1"/>
          <w:sz w:val="24"/>
          <w:szCs w:val="24"/>
          <w:u w:val="single"/>
        </w:rPr>
      </w:pPr>
    </w:p>
    <w:p w:rsidR="00245CFA" w:rsidRDefault="00245CFA" w:rsidP="00A7633C">
      <w:pPr>
        <w:spacing w:after="120" w:line="480" w:lineRule="auto"/>
        <w:rPr>
          <w:rFonts w:ascii="Times New Roman" w:hAnsi="Times New Roman" w:cs="Times New Roman"/>
          <w:i/>
          <w:iCs/>
          <w:color w:val="000000" w:themeColor="text1"/>
          <w:sz w:val="24"/>
          <w:szCs w:val="24"/>
          <w:u w:val="single"/>
        </w:rPr>
      </w:pPr>
    </w:p>
    <w:p w:rsidR="00A7633C" w:rsidRPr="000224E9" w:rsidRDefault="00A7633C" w:rsidP="00A7633C">
      <w:pPr>
        <w:spacing w:after="120" w:line="480" w:lineRule="auto"/>
        <w:rPr>
          <w:rFonts w:ascii="Times New Roman" w:hAnsi="Times New Roman" w:cs="Times New Roman"/>
          <w:i/>
          <w:iCs/>
          <w:color w:val="000000" w:themeColor="text1"/>
          <w:sz w:val="24"/>
          <w:szCs w:val="24"/>
          <w:u w:val="single"/>
        </w:rPr>
      </w:pPr>
      <w:r w:rsidRPr="000224E9">
        <w:rPr>
          <w:rFonts w:ascii="Times New Roman" w:hAnsi="Times New Roman" w:cs="Times New Roman"/>
          <w:i/>
          <w:iCs/>
          <w:color w:val="000000" w:themeColor="text1"/>
          <w:sz w:val="24"/>
          <w:szCs w:val="24"/>
          <w:u w:val="single"/>
        </w:rPr>
        <w:lastRenderedPageBreak/>
        <w:t>Genomic and chemical distance within species</w:t>
      </w:r>
    </w:p>
    <w:p w:rsidR="00A7633C" w:rsidRPr="000224E9" w:rsidRDefault="00A7633C" w:rsidP="00A7633C">
      <w:pPr>
        <w:spacing w:after="120" w:line="480" w:lineRule="auto"/>
        <w:ind w:firstLine="720"/>
        <w:rPr>
          <w:rFonts w:ascii="Times New Roman" w:hAnsi="Times New Roman" w:cs="Times New Roman"/>
          <w:color w:val="000000" w:themeColor="text1"/>
          <w:sz w:val="24"/>
          <w:szCs w:val="24"/>
          <w:u w:val="single"/>
        </w:rPr>
      </w:pPr>
      <w:r w:rsidRPr="000224E9">
        <w:rPr>
          <w:rFonts w:ascii="Times New Roman" w:hAnsi="Times New Roman" w:cs="Times New Roman"/>
          <w:color w:val="000000" w:themeColor="text1"/>
          <w:sz w:val="24"/>
          <w:szCs w:val="24"/>
        </w:rPr>
        <w:t xml:space="preserve">We calculated intraspecific genetic distances using genome sequences from 11 </w:t>
      </w:r>
      <w:r w:rsidRPr="000224E9">
        <w:rPr>
          <w:rFonts w:ascii="Times New Roman" w:hAnsi="Times New Roman" w:cs="Times New Roman"/>
          <w:i/>
          <w:iCs/>
          <w:color w:val="000000" w:themeColor="text1"/>
          <w:sz w:val="24"/>
          <w:szCs w:val="24"/>
        </w:rPr>
        <w:t xml:space="preserve">H. </w:t>
      </w:r>
      <w:proofErr w:type="spellStart"/>
      <w:r w:rsidRPr="000224E9">
        <w:rPr>
          <w:rFonts w:ascii="Times New Roman" w:hAnsi="Times New Roman" w:cs="Times New Roman"/>
          <w:i/>
          <w:iCs/>
          <w:color w:val="000000" w:themeColor="text1"/>
          <w:sz w:val="24"/>
          <w:szCs w:val="24"/>
        </w:rPr>
        <w:t>erato</w:t>
      </w:r>
      <w:proofErr w:type="spellEnd"/>
      <w:r w:rsidRPr="000224E9">
        <w:rPr>
          <w:rFonts w:ascii="Times New Roman" w:hAnsi="Times New Roman" w:cs="Times New Roman"/>
          <w:color w:val="000000" w:themeColor="text1"/>
          <w:sz w:val="24"/>
          <w:szCs w:val="24"/>
        </w:rPr>
        <w:t xml:space="preserve"> and 13 </w:t>
      </w:r>
      <w:r w:rsidRPr="000224E9">
        <w:rPr>
          <w:rFonts w:ascii="Times New Roman" w:hAnsi="Times New Roman" w:cs="Times New Roman"/>
          <w:i/>
          <w:iCs/>
          <w:color w:val="000000" w:themeColor="text1"/>
          <w:sz w:val="24"/>
          <w:szCs w:val="24"/>
        </w:rPr>
        <w:t xml:space="preserve">H. </w:t>
      </w:r>
      <w:proofErr w:type="spellStart"/>
      <w:r w:rsidRPr="000224E9">
        <w:rPr>
          <w:rFonts w:ascii="Times New Roman" w:hAnsi="Times New Roman" w:cs="Times New Roman"/>
          <w:i/>
          <w:iCs/>
          <w:color w:val="000000" w:themeColor="text1"/>
          <w:sz w:val="24"/>
          <w:szCs w:val="24"/>
        </w:rPr>
        <w:t>melpomene</w:t>
      </w:r>
      <w:proofErr w:type="spellEnd"/>
      <w:r w:rsidRPr="000224E9">
        <w:rPr>
          <w:rFonts w:ascii="Times New Roman" w:hAnsi="Times New Roman" w:cs="Times New Roman"/>
          <w:color w:val="000000" w:themeColor="text1"/>
          <w:sz w:val="24"/>
          <w:szCs w:val="24"/>
        </w:rPr>
        <w:t xml:space="preserve"> populations. We visualised genetic distances in two dimensions using MDS with the function “</w:t>
      </w:r>
      <w:proofErr w:type="spellStart"/>
      <w:r w:rsidRPr="000224E9">
        <w:rPr>
          <w:rFonts w:ascii="Times New Roman" w:hAnsi="Times New Roman" w:cs="Times New Roman"/>
          <w:color w:val="000000" w:themeColor="text1"/>
          <w:sz w:val="24"/>
          <w:szCs w:val="24"/>
        </w:rPr>
        <w:t>cmdscale</w:t>
      </w:r>
      <w:proofErr w:type="spellEnd"/>
      <w:r w:rsidRPr="000224E9">
        <w:rPr>
          <w:rFonts w:ascii="Times New Roman" w:hAnsi="Times New Roman" w:cs="Times New Roman"/>
          <w:color w:val="000000" w:themeColor="text1"/>
          <w:sz w:val="24"/>
          <w:szCs w:val="24"/>
        </w:rPr>
        <w:t xml:space="preserve">”. We tested for a correlation between intraspecific genetic distance and chemical profile divergence with partial Mantel tests, controlling for geographic distance, using the </w:t>
      </w:r>
      <w:r w:rsidRPr="000224E9">
        <w:rPr>
          <w:rFonts w:ascii="Times New Roman" w:hAnsi="Times New Roman" w:cs="Times New Roman"/>
          <w:i/>
          <w:iCs/>
          <w:color w:val="000000" w:themeColor="text1"/>
          <w:sz w:val="24"/>
          <w:szCs w:val="24"/>
        </w:rPr>
        <w:t>vegan</w:t>
      </w:r>
      <w:r w:rsidRPr="000224E9">
        <w:rPr>
          <w:rFonts w:ascii="Times New Roman" w:hAnsi="Times New Roman" w:cs="Times New Roman"/>
          <w:color w:val="000000" w:themeColor="text1"/>
          <w:sz w:val="24"/>
          <w:szCs w:val="24"/>
        </w:rPr>
        <w:t xml:space="preserve"> package </w:t>
      </w:r>
      <w:r w:rsidRPr="000224E9">
        <w:rPr>
          <w:rFonts w:ascii="Times New Roman" w:hAnsi="Times New Roman" w:cs="Times New Roman"/>
          <w:color w:val="000000" w:themeColor="text1"/>
          <w:sz w:val="24"/>
          <w:szCs w:val="24"/>
        </w:rPr>
        <w:fldChar w:fldCharType="begin"/>
      </w:r>
      <w:r w:rsidRPr="000224E9">
        <w:rPr>
          <w:rFonts w:ascii="Times New Roman" w:hAnsi="Times New Roman" w:cs="Times New Roman"/>
          <w:color w:val="000000" w:themeColor="text1"/>
          <w:sz w:val="24"/>
          <w:szCs w:val="24"/>
        </w:rPr>
        <w:instrText xml:space="preserve"> ADDIN ZOTERO_ITEM CSL_CITATION {"citationID":"YaAndkOg","properties":{"formattedCitation":"(Oksanen et al., 2017)","plainCitation":"(Oksanen et al., 2017)","noteIndex":0},"citationItems":[{"id":2832,"uris":["http://zotero.org/users/2671101/items/9CQKDEW8"],"uri":["http://zotero.org/users/2671101/items/9CQKDEW8"],"itemData":{"id":2832,"type":"article-journal","title":"vegan: Community Ecology Package. R package version 2.4-2.","URL":"https://CRAN.R-project.org/package=vegan","author":[{"family":"Oksanen","given":"J"},{"family":"Guillaume Blanchet","given":"F"},{"family":"Friendly","given":"M"},{"family":"Kindt","given":"R"},{"family":"Legendre","given":"P"},{"family":"McGlinn","given":"D"},{"family":"Minchin","given":"P"},{"family":"O'Hara","given":"R"},{"family":"Simpson","given":"G"},{"family":"Solymos","given":"P"},{"family":"Stevens","given":"H"},{"family":"Szoecs","given":"E"},{"family":"Wagner","given":"H"}],"issued":{"date-parts":[["2017"]]}}}],"schema":"https://github.com/citation-style-language/schema/raw/master/csl-citation.json"} </w:instrText>
      </w:r>
      <w:r w:rsidRPr="000224E9">
        <w:rPr>
          <w:rFonts w:ascii="Times New Roman" w:hAnsi="Times New Roman" w:cs="Times New Roman"/>
          <w:color w:val="000000" w:themeColor="text1"/>
          <w:sz w:val="24"/>
          <w:szCs w:val="24"/>
        </w:rPr>
        <w:fldChar w:fldCharType="separate"/>
      </w:r>
      <w:r w:rsidRPr="000224E9">
        <w:rPr>
          <w:rFonts w:ascii="Times New Roman" w:hAnsi="Times New Roman" w:cs="Times New Roman"/>
          <w:noProof/>
          <w:color w:val="000000" w:themeColor="text1"/>
          <w:sz w:val="24"/>
          <w:szCs w:val="24"/>
        </w:rPr>
        <w:t>(Oksanen et al., 2017)</w:t>
      </w:r>
      <w:r w:rsidRPr="000224E9">
        <w:rPr>
          <w:rFonts w:ascii="Times New Roman" w:hAnsi="Times New Roman" w:cs="Times New Roman"/>
          <w:color w:val="000000" w:themeColor="text1"/>
          <w:sz w:val="24"/>
          <w:szCs w:val="24"/>
        </w:rPr>
        <w:fldChar w:fldCharType="end"/>
      </w:r>
      <w:r w:rsidRPr="000224E9">
        <w:rPr>
          <w:rFonts w:ascii="Times New Roman" w:hAnsi="Times New Roman" w:cs="Times New Roman"/>
          <w:color w:val="000000" w:themeColor="text1"/>
          <w:sz w:val="24"/>
          <w:szCs w:val="24"/>
        </w:rPr>
        <w:t xml:space="preserve">. Hybrids between populations of the same species were excluded from this analysis (Table </w:t>
      </w:r>
      <w:r w:rsidR="003A48C1" w:rsidRPr="000224E9">
        <w:rPr>
          <w:rFonts w:ascii="Times New Roman" w:hAnsi="Times New Roman" w:cs="Times New Roman"/>
          <w:color w:val="000000" w:themeColor="text1"/>
          <w:sz w:val="24"/>
          <w:szCs w:val="24"/>
        </w:rPr>
        <w:t>A</w:t>
      </w:r>
      <w:r w:rsidRPr="000224E9">
        <w:rPr>
          <w:rFonts w:ascii="Times New Roman" w:hAnsi="Times New Roman" w:cs="Times New Roman"/>
          <w:color w:val="000000" w:themeColor="text1"/>
          <w:sz w:val="24"/>
          <w:szCs w:val="24"/>
        </w:rPr>
        <w:t>2). We also used partial Mantel tests to investigate the role of geographic distance, while controlling for genetic distance.</w:t>
      </w:r>
    </w:p>
    <w:p w:rsidR="00A7633C" w:rsidRPr="000224E9" w:rsidRDefault="00A7633C" w:rsidP="00A7633C">
      <w:pPr>
        <w:spacing w:after="120" w:line="480" w:lineRule="auto"/>
        <w:rPr>
          <w:rFonts w:ascii="Times New Roman" w:hAnsi="Times New Roman" w:cs="Times New Roman"/>
          <w:i/>
          <w:iCs/>
          <w:color w:val="000000" w:themeColor="text1"/>
          <w:sz w:val="24"/>
          <w:szCs w:val="24"/>
          <w:u w:val="single"/>
        </w:rPr>
      </w:pPr>
      <w:r w:rsidRPr="000224E9">
        <w:rPr>
          <w:rFonts w:ascii="Times New Roman" w:hAnsi="Times New Roman" w:cs="Times New Roman"/>
          <w:i/>
          <w:iCs/>
          <w:color w:val="000000" w:themeColor="text1"/>
          <w:sz w:val="24"/>
          <w:szCs w:val="24"/>
          <w:u w:val="single"/>
        </w:rPr>
        <w:t>Co-mimics and similarity of chemical profiles</w:t>
      </w:r>
    </w:p>
    <w:p w:rsidR="00A7633C" w:rsidRPr="000224E9" w:rsidRDefault="00A7633C" w:rsidP="00A7633C">
      <w:pPr>
        <w:spacing w:after="120" w:line="480" w:lineRule="auto"/>
        <w:ind w:firstLine="720"/>
        <w:rPr>
          <w:rFonts w:ascii="Times New Roman" w:hAnsi="Times New Roman" w:cs="Times New Roman"/>
          <w:color w:val="000000" w:themeColor="text1"/>
          <w:sz w:val="24"/>
          <w:szCs w:val="24"/>
        </w:rPr>
      </w:pPr>
      <w:r w:rsidRPr="000224E9">
        <w:rPr>
          <w:rFonts w:ascii="Times New Roman" w:hAnsi="Times New Roman" w:cs="Times New Roman"/>
          <w:color w:val="000000" w:themeColor="text1"/>
          <w:sz w:val="24"/>
          <w:szCs w:val="24"/>
        </w:rPr>
        <w:t xml:space="preserve">We used samples of two mimicry rings from two localities, Panama and western Ecuador. </w:t>
      </w:r>
      <w:r w:rsidRPr="000224E9">
        <w:rPr>
          <w:rFonts w:ascii="Times New Roman" w:hAnsi="Times New Roman" w:cs="Times New Roman"/>
          <w:i/>
          <w:iCs/>
          <w:color w:val="000000" w:themeColor="text1"/>
          <w:sz w:val="24"/>
          <w:szCs w:val="24"/>
        </w:rPr>
        <w:t xml:space="preserve">H. </w:t>
      </w:r>
      <w:proofErr w:type="spellStart"/>
      <w:r w:rsidRPr="000224E9">
        <w:rPr>
          <w:rFonts w:ascii="Times New Roman" w:hAnsi="Times New Roman" w:cs="Times New Roman"/>
          <w:i/>
          <w:iCs/>
          <w:color w:val="000000" w:themeColor="text1"/>
          <w:sz w:val="24"/>
          <w:szCs w:val="24"/>
        </w:rPr>
        <w:t>melpomene</w:t>
      </w:r>
      <w:proofErr w:type="spellEnd"/>
      <w:r w:rsidRPr="000224E9">
        <w:rPr>
          <w:rFonts w:ascii="Times New Roman" w:hAnsi="Times New Roman" w:cs="Times New Roman"/>
          <w:color w:val="000000" w:themeColor="text1"/>
          <w:sz w:val="24"/>
          <w:szCs w:val="24"/>
        </w:rPr>
        <w:t xml:space="preserve"> and </w:t>
      </w:r>
      <w:r w:rsidRPr="000224E9">
        <w:rPr>
          <w:rFonts w:ascii="Times New Roman" w:hAnsi="Times New Roman" w:cs="Times New Roman"/>
          <w:i/>
          <w:iCs/>
          <w:color w:val="000000" w:themeColor="text1"/>
          <w:sz w:val="24"/>
          <w:szCs w:val="24"/>
        </w:rPr>
        <w:t xml:space="preserve">H. </w:t>
      </w:r>
      <w:proofErr w:type="spellStart"/>
      <w:r w:rsidRPr="000224E9">
        <w:rPr>
          <w:rFonts w:ascii="Times New Roman" w:hAnsi="Times New Roman" w:cs="Times New Roman"/>
          <w:i/>
          <w:iCs/>
          <w:color w:val="000000" w:themeColor="text1"/>
          <w:sz w:val="24"/>
          <w:szCs w:val="24"/>
        </w:rPr>
        <w:t>erato</w:t>
      </w:r>
      <w:proofErr w:type="spellEnd"/>
      <w:r w:rsidRPr="000224E9">
        <w:rPr>
          <w:rFonts w:ascii="Times New Roman" w:hAnsi="Times New Roman" w:cs="Times New Roman"/>
          <w:color w:val="000000" w:themeColor="text1"/>
          <w:sz w:val="24"/>
          <w:szCs w:val="24"/>
        </w:rPr>
        <w:t xml:space="preserve"> form one mimicry ring, whilst </w:t>
      </w:r>
      <w:r w:rsidRPr="000224E9">
        <w:rPr>
          <w:rFonts w:ascii="Times New Roman" w:hAnsi="Times New Roman" w:cs="Times New Roman"/>
          <w:i/>
          <w:iCs/>
          <w:color w:val="000000" w:themeColor="text1"/>
          <w:sz w:val="24"/>
          <w:szCs w:val="24"/>
        </w:rPr>
        <w:t>H. cydno</w:t>
      </w:r>
      <w:r w:rsidRPr="000224E9">
        <w:rPr>
          <w:rFonts w:ascii="Times New Roman" w:hAnsi="Times New Roman" w:cs="Times New Roman"/>
          <w:color w:val="000000" w:themeColor="text1"/>
          <w:sz w:val="24"/>
          <w:szCs w:val="24"/>
        </w:rPr>
        <w:t xml:space="preserve"> and </w:t>
      </w:r>
      <w:r w:rsidRPr="000224E9">
        <w:rPr>
          <w:rFonts w:ascii="Times New Roman" w:hAnsi="Times New Roman" w:cs="Times New Roman"/>
          <w:i/>
          <w:iCs/>
          <w:color w:val="000000" w:themeColor="text1"/>
          <w:sz w:val="24"/>
          <w:szCs w:val="24"/>
        </w:rPr>
        <w:t xml:space="preserve">H. </w:t>
      </w:r>
      <w:proofErr w:type="spellStart"/>
      <w:r w:rsidRPr="000224E9">
        <w:rPr>
          <w:rFonts w:ascii="Times New Roman" w:hAnsi="Times New Roman" w:cs="Times New Roman"/>
          <w:i/>
          <w:iCs/>
          <w:color w:val="000000" w:themeColor="text1"/>
          <w:sz w:val="24"/>
          <w:szCs w:val="24"/>
        </w:rPr>
        <w:t>sapho</w:t>
      </w:r>
      <w:proofErr w:type="spellEnd"/>
      <w:r w:rsidRPr="000224E9">
        <w:rPr>
          <w:rFonts w:ascii="Times New Roman" w:hAnsi="Times New Roman" w:cs="Times New Roman"/>
          <w:color w:val="000000" w:themeColor="text1"/>
          <w:sz w:val="24"/>
          <w:szCs w:val="24"/>
        </w:rPr>
        <w:t xml:space="preserve"> form another, with the addition of </w:t>
      </w:r>
      <w:r w:rsidRPr="000224E9">
        <w:rPr>
          <w:rFonts w:ascii="Times New Roman" w:hAnsi="Times New Roman" w:cs="Times New Roman"/>
          <w:i/>
          <w:iCs/>
          <w:color w:val="000000" w:themeColor="text1"/>
          <w:sz w:val="24"/>
          <w:szCs w:val="24"/>
        </w:rPr>
        <w:t xml:space="preserve">H. </w:t>
      </w:r>
      <w:proofErr w:type="spellStart"/>
      <w:r w:rsidRPr="000224E9">
        <w:rPr>
          <w:rFonts w:ascii="Times New Roman" w:hAnsi="Times New Roman" w:cs="Times New Roman"/>
          <w:i/>
          <w:iCs/>
          <w:color w:val="000000" w:themeColor="text1"/>
          <w:sz w:val="24"/>
          <w:szCs w:val="24"/>
        </w:rPr>
        <w:t>eleuchia</w:t>
      </w:r>
      <w:proofErr w:type="spellEnd"/>
      <w:r w:rsidRPr="000224E9">
        <w:rPr>
          <w:rFonts w:ascii="Times New Roman" w:hAnsi="Times New Roman" w:cs="Times New Roman"/>
          <w:color w:val="000000" w:themeColor="text1"/>
          <w:sz w:val="24"/>
          <w:szCs w:val="24"/>
        </w:rPr>
        <w:t xml:space="preserve"> in western Ecuador (Fig. 1). We visualised these samples but did not carry out statistical analyses due to the </w:t>
      </w:r>
      <w:proofErr w:type="spellStart"/>
      <w:r w:rsidRPr="000224E9">
        <w:rPr>
          <w:rFonts w:ascii="Times New Roman" w:hAnsi="Times New Roman" w:cs="Times New Roman"/>
          <w:color w:val="000000" w:themeColor="text1"/>
          <w:sz w:val="24"/>
          <w:szCs w:val="24"/>
        </w:rPr>
        <w:t>psuedoreplication</w:t>
      </w:r>
      <w:proofErr w:type="spellEnd"/>
      <w:r w:rsidRPr="000224E9">
        <w:rPr>
          <w:rFonts w:ascii="Times New Roman" w:hAnsi="Times New Roman" w:cs="Times New Roman"/>
          <w:color w:val="000000" w:themeColor="text1"/>
          <w:sz w:val="24"/>
          <w:szCs w:val="24"/>
        </w:rPr>
        <w:t xml:space="preserve"> caused by the similar</w:t>
      </w:r>
      <w:r w:rsidR="00484994">
        <w:rPr>
          <w:rFonts w:ascii="Times New Roman" w:hAnsi="Times New Roman" w:cs="Times New Roman"/>
          <w:color w:val="000000" w:themeColor="text1"/>
          <w:sz w:val="24"/>
          <w:szCs w:val="24"/>
        </w:rPr>
        <w:t>ity</w:t>
      </w:r>
      <w:r w:rsidRPr="000224E9">
        <w:rPr>
          <w:rFonts w:ascii="Times New Roman" w:hAnsi="Times New Roman" w:cs="Times New Roman"/>
          <w:color w:val="000000" w:themeColor="text1"/>
          <w:sz w:val="24"/>
          <w:szCs w:val="24"/>
        </w:rPr>
        <w:t xml:space="preserve"> of individuals within a species. More species comparisons would be needed for further analysis. </w:t>
      </w:r>
    </w:p>
    <w:p w:rsidR="00245CFA" w:rsidRPr="00572CCF" w:rsidRDefault="00A7633C" w:rsidP="00572CCF">
      <w:pPr>
        <w:spacing w:after="120" w:line="480" w:lineRule="auto"/>
        <w:ind w:firstLine="720"/>
        <w:rPr>
          <w:rFonts w:ascii="Times New Roman" w:eastAsia="Times New Roman" w:hAnsi="Times New Roman" w:cs="Times New Roman"/>
          <w:color w:val="000000"/>
          <w:sz w:val="24"/>
          <w:szCs w:val="24"/>
        </w:rPr>
      </w:pPr>
      <w:r w:rsidRPr="000224E9">
        <w:rPr>
          <w:rFonts w:ascii="Times New Roman" w:hAnsi="Times New Roman" w:cs="Times New Roman"/>
          <w:sz w:val="24"/>
          <w:szCs w:val="24"/>
        </w:rPr>
        <w:t xml:space="preserve">All </w:t>
      </w:r>
      <w:r w:rsidRPr="000224E9">
        <w:rPr>
          <w:rFonts w:ascii="Times New Roman" w:hAnsi="Times New Roman" w:cs="Times New Roman"/>
          <w:color w:val="000000" w:themeColor="text1"/>
          <w:sz w:val="24"/>
          <w:szCs w:val="24"/>
        </w:rPr>
        <w:t xml:space="preserve">statistical analyses were performed with </w:t>
      </w:r>
      <w:r w:rsidRPr="000224E9">
        <w:rPr>
          <w:rFonts w:ascii="Times New Roman" w:hAnsi="Times New Roman" w:cs="Times New Roman"/>
          <w:i/>
          <w:color w:val="000000" w:themeColor="text1"/>
          <w:sz w:val="24"/>
          <w:szCs w:val="24"/>
        </w:rPr>
        <w:t xml:space="preserve">R </w:t>
      </w:r>
      <w:r w:rsidRPr="000224E9">
        <w:rPr>
          <w:rFonts w:ascii="Times New Roman" w:hAnsi="Times New Roman" w:cs="Times New Roman"/>
          <w:iCs/>
          <w:color w:val="000000" w:themeColor="text1"/>
          <w:sz w:val="24"/>
          <w:szCs w:val="24"/>
        </w:rPr>
        <w:t>version</w:t>
      </w:r>
      <w:r w:rsidRPr="000224E9">
        <w:rPr>
          <w:rFonts w:ascii="Times New Roman" w:hAnsi="Times New Roman" w:cs="Times New Roman"/>
          <w:iCs/>
          <w:color w:val="FF0000"/>
          <w:sz w:val="24"/>
          <w:szCs w:val="24"/>
        </w:rPr>
        <w:t xml:space="preserve"> </w:t>
      </w:r>
      <w:r w:rsidRPr="000224E9">
        <w:rPr>
          <w:rFonts w:ascii="Times New Roman" w:hAnsi="Times New Roman" w:cs="Times New Roman"/>
          <w:iCs/>
          <w:sz w:val="24"/>
          <w:szCs w:val="24"/>
        </w:rPr>
        <w:t>3.5.1</w:t>
      </w:r>
      <w:r w:rsidRPr="000224E9">
        <w:rPr>
          <w:rFonts w:ascii="Times New Roman" w:hAnsi="Times New Roman" w:cs="Times New Roman"/>
          <w:sz w:val="24"/>
          <w:szCs w:val="24"/>
        </w:rPr>
        <w:t xml:space="preserve">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{"citationID":"Z0UfL8vl","properties":{"formattedCitation":"(R Core Team, 2018)","plainCitation":"(R Core Team, 2018)","noteIndex":0},"citationItems":[{"id":2695,"uris":["http://zotero.org/users/2671101/items/JJS4NBF8"],"uri":["http://zotero.org/users/2671101/items/JJS4NBF8"],"itemData":{"id":2695,"type":"book","title":"R: A language and environment for statistical computing.","publisher":"R Foundation for Statistical Computing","publisher-place":"Vienna, Austria","version":"3.3.1","event-place":"Vienna, Austria","URL":"http://www.R-project.org","ISBN":"3-900051-07-0","author":[{"literal":"R Core Team"}],"issued":{"date-parts":[["2018"]]}}}],"schema":"https://github.com/citation-style-language/schema/raw/master/csl-citation.json"}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sz w:val="24"/>
          <w:szCs w:val="24"/>
        </w:rPr>
        <w:t>(R Core Team, 2018)</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 xml:space="preserve">. Figures were made using a palette of colours optimized for colour-blindness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{"citationID":"nae9ofH4","properties":{"formattedCitation":"(Wong, 2011)","plainCitation":"(Wong, 2011)","noteIndex":0},"citationItems":[{"id":3357,"uris":["http://zotero.org/users/2671101/items/VN45AEFU"],"uri":["http://zotero.org/users/2671101/items/VN45AEFU"],"itemData":{"id":3357,"type":"article-journal","title":"Points of view: Color blindness","container-title":"Nature Methods","page":"441","volume":"8","source":"www.nature.com","abstract":"Points of view: Color blindness","DOI":"10.1038/nmeth.1618","ISSN":"1548-7105","title-short":"Points of view","language":"en","author":[{"family":"Wong","given":"Bang"}],"issued":{"date-parts":[["2011",5,27]]}}}],"schema":"https://github.com/citation-style-language/schema/raw/master/csl-citation.json"}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noProof/>
          <w:sz w:val="24"/>
          <w:szCs w:val="24"/>
        </w:rPr>
        <w:t>(Wong, 2011)</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w:t>
      </w:r>
      <w:r w:rsidRPr="000224E9">
        <w:rPr>
          <w:rFonts w:ascii="Times New Roman" w:eastAsia="Times New Roman" w:hAnsi="Times New Roman" w:cs="Times New Roman"/>
          <w:color w:val="000000"/>
          <w:sz w:val="24"/>
          <w:szCs w:val="24"/>
        </w:rPr>
        <w:t xml:space="preserve"> </w:t>
      </w:r>
      <w:r w:rsidR="00C36F5D">
        <w:rPr>
          <w:rFonts w:ascii="Times New Roman" w:eastAsia="Times New Roman" w:hAnsi="Times New Roman" w:cs="Times New Roman"/>
          <w:color w:val="000000"/>
          <w:sz w:val="24"/>
          <w:szCs w:val="24"/>
        </w:rPr>
        <w:t xml:space="preserve">We used ggplot2 for violin and boxplots </w:t>
      </w:r>
      <w:r w:rsidR="00C36F5D">
        <w:rPr>
          <w:rFonts w:ascii="Times New Roman" w:eastAsia="Times New Roman" w:hAnsi="Times New Roman" w:cs="Times New Roman"/>
          <w:color w:val="000000"/>
          <w:sz w:val="24"/>
          <w:szCs w:val="24"/>
        </w:rPr>
        <w:fldChar w:fldCharType="begin"/>
      </w:r>
      <w:r w:rsidR="00C36F5D">
        <w:rPr>
          <w:rFonts w:ascii="Times New Roman" w:eastAsia="Times New Roman" w:hAnsi="Times New Roman" w:cs="Times New Roman"/>
          <w:color w:val="000000"/>
          <w:sz w:val="24"/>
          <w:szCs w:val="24"/>
        </w:rPr>
        <w:instrText xml:space="preserve"> ADDIN ZOTERO_ITEM CSL_CITATION {"citationID":"XexbdEbH","properties":{"formattedCitation":"(Wickham, 2009)","plainCitation":"(Wickham, 2009)","noteIndex":0},"citationItems":[{"id":2822,"uris":["http://zotero.org/users/2671101/items/5VW97V7M"],"uri":["http://zotero.org/users/2671101/items/5VW97V7M"],"itemData":{"id":2822,"type":"book","title":"ggplot2: Elegant Graphics for Data Analysis.","publisher":"Springer-Verlag new York","URL":"http://ggplot2.org","ISBN":"978-0-387-98140-6","author":[{"family":"Wickham","given":"H"}],"issued":{"date-parts":[["2009"]]}}}],"schema":"https://github.com/citation-style-language/schema/raw/master/csl-citation.json"} </w:instrText>
      </w:r>
      <w:r w:rsidR="00C36F5D">
        <w:rPr>
          <w:rFonts w:ascii="Times New Roman" w:eastAsia="Times New Roman" w:hAnsi="Times New Roman" w:cs="Times New Roman"/>
          <w:color w:val="000000"/>
          <w:sz w:val="24"/>
          <w:szCs w:val="24"/>
        </w:rPr>
        <w:fldChar w:fldCharType="separate"/>
      </w:r>
      <w:r w:rsidR="00C36F5D">
        <w:rPr>
          <w:rFonts w:ascii="Times New Roman" w:eastAsia="Times New Roman" w:hAnsi="Times New Roman" w:cs="Times New Roman"/>
          <w:noProof/>
          <w:color w:val="000000"/>
          <w:sz w:val="24"/>
          <w:szCs w:val="24"/>
        </w:rPr>
        <w:t>(Wickham, 2009)</w:t>
      </w:r>
      <w:r w:rsidR="00C36F5D">
        <w:rPr>
          <w:rFonts w:ascii="Times New Roman" w:eastAsia="Times New Roman" w:hAnsi="Times New Roman" w:cs="Times New Roman"/>
          <w:color w:val="000000"/>
          <w:sz w:val="24"/>
          <w:szCs w:val="24"/>
        </w:rPr>
        <w:fldChar w:fldCharType="end"/>
      </w:r>
      <w:r w:rsidR="00C36F5D">
        <w:rPr>
          <w:rFonts w:ascii="Times New Roman" w:eastAsia="Times New Roman" w:hAnsi="Times New Roman" w:cs="Times New Roman"/>
          <w:color w:val="000000"/>
          <w:sz w:val="24"/>
          <w:szCs w:val="24"/>
        </w:rPr>
        <w:t xml:space="preserve">. </w:t>
      </w:r>
      <w:r w:rsidR="002E7999">
        <w:rPr>
          <w:rFonts w:ascii="Times New Roman" w:eastAsia="Times New Roman" w:hAnsi="Times New Roman" w:cs="Times New Roman"/>
          <w:color w:val="000000"/>
          <w:sz w:val="24"/>
          <w:szCs w:val="24"/>
        </w:rPr>
        <w:t xml:space="preserve">Sequencing data is available from ENA under accession number </w:t>
      </w:r>
      <w:r w:rsidR="002E7999" w:rsidRPr="00240D4E">
        <w:rPr>
          <w:rFonts w:ascii="Times New Roman" w:eastAsia="Times New Roman" w:hAnsi="Times New Roman" w:cs="Times New Roman"/>
          <w:color w:val="000000"/>
          <w:sz w:val="24"/>
          <w:szCs w:val="24"/>
        </w:rPr>
        <w:t>PRJEB35570</w:t>
      </w:r>
      <w:r w:rsidR="002E7999">
        <w:rPr>
          <w:rFonts w:ascii="Times New Roman" w:eastAsia="Times New Roman" w:hAnsi="Times New Roman" w:cs="Times New Roman"/>
          <w:color w:val="000000"/>
          <w:sz w:val="24"/>
          <w:szCs w:val="24"/>
        </w:rPr>
        <w:t xml:space="preserve">. </w:t>
      </w:r>
      <w:r w:rsidR="00260673">
        <w:rPr>
          <w:rFonts w:ascii="Times New Roman" w:eastAsia="Times New Roman" w:hAnsi="Times New Roman" w:cs="Times New Roman"/>
          <w:color w:val="000000"/>
          <w:sz w:val="24"/>
          <w:szCs w:val="24"/>
        </w:rPr>
        <w:t xml:space="preserve">GCMS chromatograms, other data, and R scripts used for analysis are available </w:t>
      </w:r>
      <w:r w:rsidR="009555A8">
        <w:rPr>
          <w:rFonts w:ascii="Times New Roman" w:eastAsia="Times New Roman" w:hAnsi="Times New Roman" w:cs="Times New Roman"/>
          <w:color w:val="000000"/>
          <w:sz w:val="24"/>
          <w:szCs w:val="24"/>
        </w:rPr>
        <w:t xml:space="preserve">from </w:t>
      </w:r>
      <w:r w:rsidR="00260673">
        <w:rPr>
          <w:rFonts w:ascii="Times New Roman" w:eastAsia="Times New Roman" w:hAnsi="Times New Roman" w:cs="Times New Roman"/>
          <w:color w:val="000000"/>
          <w:sz w:val="24"/>
          <w:szCs w:val="24"/>
        </w:rPr>
        <w:t>Open Science Framework (</w:t>
      </w:r>
      <w:r w:rsidR="009555A8">
        <w:rPr>
          <w:rFonts w:ascii="Times New Roman" w:eastAsia="Times New Roman" w:hAnsi="Times New Roman" w:cs="Times New Roman"/>
          <w:color w:val="000000"/>
          <w:sz w:val="24"/>
          <w:szCs w:val="24"/>
        </w:rPr>
        <w:t>OSF</w:t>
      </w:r>
      <w:r w:rsidR="00260673">
        <w:rPr>
          <w:rFonts w:ascii="Times New Roman" w:eastAsia="Times New Roman" w:hAnsi="Times New Roman" w:cs="Times New Roman"/>
          <w:color w:val="000000"/>
          <w:sz w:val="24"/>
          <w:szCs w:val="24"/>
        </w:rPr>
        <w:t>)</w:t>
      </w:r>
      <w:r w:rsidR="009555A8">
        <w:rPr>
          <w:rFonts w:ascii="Times New Roman" w:eastAsia="Times New Roman" w:hAnsi="Times New Roman" w:cs="Times New Roman"/>
          <w:color w:val="000000"/>
          <w:sz w:val="24"/>
          <w:szCs w:val="24"/>
        </w:rPr>
        <w:t xml:space="preserve"> (</w:t>
      </w:r>
      <w:hyperlink r:id="rId8" w:history="1">
        <w:r w:rsidR="009555A8" w:rsidRPr="009555A8">
          <w:rPr>
            <w:rStyle w:val="Hyperlink"/>
            <w:rFonts w:ascii="Times New Roman" w:eastAsia="Times New Roman" w:hAnsi="Times New Roman" w:cs="Times New Roman"/>
            <w:sz w:val="24"/>
            <w:szCs w:val="24"/>
          </w:rPr>
          <w:t>https://osf.io/28yfk/</w:t>
        </w:r>
      </w:hyperlink>
      <w:r w:rsidR="009555A8">
        <w:rPr>
          <w:rFonts w:ascii="Times New Roman" w:eastAsia="Times New Roman" w:hAnsi="Times New Roman" w:cs="Times New Roman"/>
          <w:color w:val="000000"/>
          <w:sz w:val="24"/>
          <w:szCs w:val="24"/>
        </w:rPr>
        <w:t>).</w:t>
      </w:r>
      <w:r w:rsidR="00245CFA">
        <w:rPr>
          <w:rFonts w:ascii="Times New Roman" w:hAnsi="Times New Roman" w:cs="Times New Roman"/>
          <w:b/>
          <w:bCs/>
          <w:sz w:val="28"/>
          <w:szCs w:val="28"/>
        </w:rPr>
        <w:br w:type="page"/>
      </w:r>
    </w:p>
    <w:p w:rsidR="00A7633C" w:rsidRPr="000224E9" w:rsidRDefault="00A7633C" w:rsidP="00A7633C">
      <w:pPr>
        <w:spacing w:after="120" w:line="480" w:lineRule="auto"/>
        <w:rPr>
          <w:rFonts w:ascii="Times New Roman" w:hAnsi="Times New Roman" w:cs="Times New Roman"/>
          <w:b/>
          <w:bCs/>
          <w:sz w:val="28"/>
          <w:szCs w:val="28"/>
        </w:rPr>
      </w:pPr>
      <w:r w:rsidRPr="000224E9">
        <w:rPr>
          <w:rFonts w:ascii="Times New Roman" w:hAnsi="Times New Roman" w:cs="Times New Roman"/>
          <w:b/>
          <w:bCs/>
          <w:sz w:val="28"/>
          <w:szCs w:val="28"/>
        </w:rPr>
        <w:lastRenderedPageBreak/>
        <w:t>Results</w:t>
      </w:r>
    </w:p>
    <w:p w:rsidR="00A7633C" w:rsidRPr="000224E9" w:rsidRDefault="00A7633C" w:rsidP="00A7633C">
      <w:pPr>
        <w:spacing w:after="120" w:line="480" w:lineRule="auto"/>
        <w:rPr>
          <w:rFonts w:ascii="Times New Roman" w:hAnsi="Times New Roman" w:cs="Times New Roman"/>
          <w:i/>
          <w:iCs/>
          <w:sz w:val="24"/>
          <w:szCs w:val="24"/>
          <w:u w:val="single"/>
        </w:rPr>
      </w:pPr>
      <w:r w:rsidRPr="000224E9">
        <w:rPr>
          <w:rFonts w:ascii="Times New Roman" w:hAnsi="Times New Roman" w:cs="Times New Roman"/>
          <w:i/>
          <w:iCs/>
          <w:sz w:val="24"/>
          <w:szCs w:val="24"/>
          <w:u w:val="single"/>
        </w:rPr>
        <w:t>Chemical compounds in androconia and genitals</w:t>
      </w:r>
    </w:p>
    <w:p w:rsidR="00A7633C" w:rsidRPr="000224E9" w:rsidRDefault="00A7633C" w:rsidP="00A7633C">
      <w:pPr>
        <w:spacing w:after="120" w:line="480" w:lineRule="auto"/>
        <w:ind w:firstLine="720"/>
        <w:rPr>
          <w:rFonts w:ascii="Times New Roman" w:eastAsia="Times New Roman" w:hAnsi="Times New Roman" w:cs="Times New Roman"/>
          <w:sz w:val="24"/>
          <w:szCs w:val="24"/>
          <w:lang w:eastAsia="zh-CN"/>
        </w:rPr>
      </w:pPr>
      <w:r w:rsidRPr="000224E9">
        <w:rPr>
          <w:rFonts w:ascii="Times New Roman" w:hAnsi="Times New Roman" w:cs="Times New Roman"/>
          <w:sz w:val="24"/>
          <w:szCs w:val="24"/>
        </w:rPr>
        <w:t xml:space="preserve">We sampled 252 androconia and 275 genitals across 42 populations of seven </w:t>
      </w:r>
      <w:proofErr w:type="gramStart"/>
      <w:r w:rsidRPr="000224E9">
        <w:rPr>
          <w:rFonts w:ascii="Times New Roman" w:hAnsi="Times New Roman" w:cs="Times New Roman"/>
          <w:sz w:val="24"/>
          <w:szCs w:val="24"/>
        </w:rPr>
        <w:t>species, and</w:t>
      </w:r>
      <w:proofErr w:type="gramEnd"/>
      <w:r w:rsidRPr="000224E9">
        <w:rPr>
          <w:rFonts w:ascii="Times New Roman" w:hAnsi="Times New Roman" w:cs="Times New Roman"/>
          <w:sz w:val="24"/>
          <w:szCs w:val="24"/>
        </w:rPr>
        <w:t xml:space="preserve"> identified 349 compounds in the genitals and 157 in the androconia (Table </w:t>
      </w:r>
      <w:r w:rsidR="00F35B53">
        <w:rPr>
          <w:rFonts w:ascii="Times New Roman" w:hAnsi="Times New Roman" w:cs="Times New Roman"/>
          <w:sz w:val="24"/>
          <w:szCs w:val="24"/>
        </w:rPr>
        <w:t>S1</w:t>
      </w:r>
      <w:r w:rsidRPr="000224E9">
        <w:rPr>
          <w:rFonts w:ascii="Times New Roman" w:hAnsi="Times New Roman" w:cs="Times New Roman"/>
          <w:sz w:val="24"/>
          <w:szCs w:val="24"/>
        </w:rPr>
        <w:t xml:space="preserve">, </w:t>
      </w:r>
      <w:r w:rsidR="00F35B53">
        <w:rPr>
          <w:rFonts w:ascii="Times New Roman" w:hAnsi="Times New Roman" w:cs="Times New Roman"/>
          <w:sz w:val="24"/>
          <w:szCs w:val="24"/>
        </w:rPr>
        <w:t>S2</w:t>
      </w:r>
      <w:r w:rsidRPr="000224E9">
        <w:rPr>
          <w:rFonts w:ascii="Times New Roman" w:hAnsi="Times New Roman" w:cs="Times New Roman"/>
          <w:sz w:val="24"/>
          <w:szCs w:val="24"/>
        </w:rPr>
        <w:t xml:space="preserve">). </w:t>
      </w:r>
      <w:r w:rsidRPr="000224E9">
        <w:rPr>
          <w:rFonts w:ascii="Times New Roman" w:eastAsia="Times New Roman" w:hAnsi="Times New Roman" w:cs="Times New Roman"/>
          <w:sz w:val="24"/>
          <w:szCs w:val="24"/>
          <w:lang w:eastAsia="zh-CN"/>
        </w:rPr>
        <w:t xml:space="preserve">Of the total number of </w:t>
      </w:r>
      <w:proofErr w:type="spellStart"/>
      <w:r w:rsidRPr="000224E9">
        <w:rPr>
          <w:rFonts w:ascii="Times New Roman" w:eastAsia="Times New Roman" w:hAnsi="Times New Roman" w:cs="Times New Roman"/>
          <w:sz w:val="24"/>
          <w:szCs w:val="24"/>
          <w:lang w:eastAsia="zh-CN"/>
        </w:rPr>
        <w:t>androconial</w:t>
      </w:r>
      <w:proofErr w:type="spellEnd"/>
      <w:r w:rsidRPr="000224E9">
        <w:rPr>
          <w:rFonts w:ascii="Times New Roman" w:eastAsia="Times New Roman" w:hAnsi="Times New Roman" w:cs="Times New Roman"/>
          <w:sz w:val="24"/>
          <w:szCs w:val="24"/>
          <w:lang w:eastAsia="zh-CN"/>
        </w:rPr>
        <w:t xml:space="preserve"> compounds, 38% are fatty acid derivatives, 20% aromatics, 10% terpenoids, 1% macrolides, &lt;1% lactones and 31% unknown or unidentified compounds. Of the genital compounds, 17% are fatty acid derivatives, 7% aromatics, 10% terpenoids, 1% lactones, 12% macrolides and 44% unknown or unidentified compounds. The main difference is that there are more macrolides in the genitals than in androconia. </w:t>
      </w:r>
    </w:p>
    <w:p w:rsidR="00A7633C" w:rsidRPr="000224E9" w:rsidRDefault="00A7633C" w:rsidP="00572CCF">
      <w:pPr>
        <w:spacing w:after="120" w:line="480" w:lineRule="auto"/>
        <w:ind w:firstLine="720"/>
        <w:rPr>
          <w:rFonts w:ascii="Times New Roman" w:eastAsia="Times New Roman" w:hAnsi="Times New Roman" w:cs="Times New Roman"/>
          <w:color w:val="222222"/>
          <w:sz w:val="24"/>
          <w:szCs w:val="24"/>
          <w:lang w:eastAsia="zh-CN"/>
        </w:rPr>
      </w:pPr>
      <w:proofErr w:type="spellStart"/>
      <w:r w:rsidRPr="000224E9">
        <w:rPr>
          <w:rFonts w:ascii="Times New Roman" w:hAnsi="Times New Roman" w:cs="Times New Roman"/>
          <w:i/>
          <w:iCs/>
          <w:sz w:val="24"/>
          <w:szCs w:val="24"/>
        </w:rPr>
        <w:t>Heliconius</w:t>
      </w:r>
      <w:proofErr w:type="spellEnd"/>
      <w:r w:rsidRPr="000224E9">
        <w:rPr>
          <w:rFonts w:ascii="Times New Roman" w:hAnsi="Times New Roman" w:cs="Times New Roman"/>
          <w:i/>
          <w:iCs/>
          <w:sz w:val="24"/>
          <w:szCs w:val="24"/>
        </w:rPr>
        <w:t xml:space="preserve"> </w:t>
      </w:r>
      <w:r w:rsidRPr="000224E9">
        <w:rPr>
          <w:rFonts w:ascii="Times New Roman" w:hAnsi="Times New Roman" w:cs="Times New Roman"/>
          <w:sz w:val="24"/>
          <w:szCs w:val="24"/>
        </w:rPr>
        <w:t xml:space="preserve">species varied considerably in the amount and number of compounds (Fig. 2). Between species there was variation in the number of compounds per individual, and the overall </w:t>
      </w:r>
      <w:proofErr w:type="gramStart"/>
      <w:r w:rsidRPr="000224E9">
        <w:rPr>
          <w:rFonts w:ascii="Times New Roman" w:hAnsi="Times New Roman" w:cs="Times New Roman"/>
          <w:sz w:val="24"/>
          <w:szCs w:val="24"/>
        </w:rPr>
        <w:t>amount</w:t>
      </w:r>
      <w:proofErr w:type="gramEnd"/>
      <w:r w:rsidRPr="000224E9">
        <w:rPr>
          <w:rFonts w:ascii="Times New Roman" w:hAnsi="Times New Roman" w:cs="Times New Roman"/>
          <w:sz w:val="24"/>
          <w:szCs w:val="24"/>
        </w:rPr>
        <w:t xml:space="preserve"> of compounds detected (Table </w:t>
      </w:r>
      <w:r w:rsidR="00F35B53">
        <w:rPr>
          <w:rFonts w:ascii="Times New Roman" w:hAnsi="Times New Roman" w:cs="Times New Roman"/>
          <w:sz w:val="24"/>
          <w:szCs w:val="24"/>
        </w:rPr>
        <w:t>S1</w:t>
      </w:r>
      <w:r w:rsidRPr="000224E9">
        <w:rPr>
          <w:rFonts w:ascii="Times New Roman" w:hAnsi="Times New Roman" w:cs="Times New Roman"/>
          <w:sz w:val="24"/>
          <w:szCs w:val="24"/>
        </w:rPr>
        <w:t xml:space="preserve">, </w:t>
      </w:r>
      <w:r w:rsidR="00F35B53">
        <w:rPr>
          <w:rFonts w:ascii="Times New Roman" w:hAnsi="Times New Roman" w:cs="Times New Roman"/>
          <w:sz w:val="24"/>
          <w:szCs w:val="24"/>
        </w:rPr>
        <w:t>S2</w:t>
      </w:r>
      <w:r w:rsidRPr="000224E9">
        <w:rPr>
          <w:rFonts w:ascii="Times New Roman" w:hAnsi="Times New Roman" w:cs="Times New Roman"/>
          <w:sz w:val="24"/>
          <w:szCs w:val="24"/>
        </w:rPr>
        <w:t xml:space="preserve">). For the androconia,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eleuchia</w:t>
      </w:r>
      <w:proofErr w:type="spellEnd"/>
      <w:r w:rsidRPr="000224E9">
        <w:rPr>
          <w:rFonts w:ascii="Times New Roman" w:hAnsi="Times New Roman" w:cs="Times New Roman"/>
          <w:i/>
          <w:iCs/>
          <w:sz w:val="24"/>
          <w:szCs w:val="24"/>
        </w:rPr>
        <w:t xml:space="preserve"> </w:t>
      </w:r>
      <w:r w:rsidRPr="000224E9">
        <w:rPr>
          <w:rFonts w:ascii="Times New Roman" w:hAnsi="Times New Roman" w:cs="Times New Roman"/>
          <w:iCs/>
          <w:sz w:val="24"/>
          <w:szCs w:val="24"/>
        </w:rPr>
        <w:t xml:space="preserve">had the </w:t>
      </w:r>
      <w:r w:rsidRPr="000224E9">
        <w:rPr>
          <w:rFonts w:ascii="Times New Roman" w:hAnsi="Times New Roman" w:cs="Times New Roman"/>
          <w:sz w:val="24"/>
          <w:szCs w:val="24"/>
        </w:rPr>
        <w:t>fewest compounds (13</w:t>
      </w:r>
      <w:r w:rsidRPr="000224E9">
        <w:rPr>
          <w:rFonts w:ascii="Times New Roman" w:eastAsia="Times New Roman" w:hAnsi="Times New Roman" w:cs="Times New Roman"/>
          <w:color w:val="222222"/>
          <w:sz w:val="24"/>
          <w:szCs w:val="24"/>
          <w:lang w:eastAsia="zh-CN"/>
        </w:rPr>
        <w:t xml:space="preserve">±5), and </w:t>
      </w:r>
      <w:r w:rsidRPr="000224E9">
        <w:rPr>
          <w:rFonts w:ascii="Times New Roman" w:eastAsia="Times New Roman" w:hAnsi="Times New Roman" w:cs="Times New Roman"/>
          <w:i/>
          <w:iCs/>
          <w:color w:val="222222"/>
          <w:sz w:val="24"/>
          <w:szCs w:val="24"/>
          <w:lang w:eastAsia="zh-CN"/>
        </w:rPr>
        <w:t xml:space="preserve">H. </w:t>
      </w:r>
      <w:proofErr w:type="spellStart"/>
      <w:r w:rsidRPr="000224E9">
        <w:rPr>
          <w:rFonts w:ascii="Times New Roman" w:eastAsia="Times New Roman" w:hAnsi="Times New Roman" w:cs="Times New Roman"/>
          <w:i/>
          <w:iCs/>
          <w:color w:val="222222"/>
          <w:sz w:val="24"/>
          <w:szCs w:val="24"/>
          <w:lang w:eastAsia="zh-CN"/>
        </w:rPr>
        <w:t>melpomene</w:t>
      </w:r>
      <w:proofErr w:type="spellEnd"/>
      <w:r w:rsidRPr="000224E9">
        <w:rPr>
          <w:rFonts w:ascii="Times New Roman" w:eastAsia="Times New Roman" w:hAnsi="Times New Roman" w:cs="Times New Roman"/>
          <w:color w:val="222222"/>
          <w:sz w:val="24"/>
          <w:szCs w:val="24"/>
          <w:lang w:eastAsia="zh-CN"/>
        </w:rPr>
        <w:t xml:space="preserve"> the highest (32±11) (mean ± standard deviation). </w:t>
      </w:r>
      <w:r w:rsidRPr="000224E9">
        <w:rPr>
          <w:rFonts w:ascii="Times New Roman" w:eastAsia="Times New Roman" w:hAnsi="Times New Roman" w:cs="Times New Roman"/>
          <w:i/>
          <w:iCs/>
          <w:color w:val="222222"/>
          <w:sz w:val="24"/>
          <w:szCs w:val="24"/>
          <w:lang w:eastAsia="zh-CN"/>
        </w:rPr>
        <w:t xml:space="preserve">H. </w:t>
      </w:r>
      <w:proofErr w:type="spellStart"/>
      <w:r w:rsidRPr="000224E9">
        <w:rPr>
          <w:rFonts w:ascii="Times New Roman" w:eastAsia="Times New Roman" w:hAnsi="Times New Roman" w:cs="Times New Roman"/>
          <w:i/>
          <w:iCs/>
          <w:color w:val="222222"/>
          <w:sz w:val="24"/>
          <w:szCs w:val="24"/>
          <w:lang w:eastAsia="zh-CN"/>
        </w:rPr>
        <w:t>sapho</w:t>
      </w:r>
      <w:proofErr w:type="spellEnd"/>
      <w:r w:rsidRPr="000224E9">
        <w:rPr>
          <w:rFonts w:ascii="Times New Roman" w:eastAsia="Times New Roman" w:hAnsi="Times New Roman" w:cs="Times New Roman"/>
          <w:i/>
          <w:iCs/>
          <w:color w:val="222222"/>
          <w:sz w:val="24"/>
          <w:szCs w:val="24"/>
          <w:lang w:eastAsia="zh-CN"/>
        </w:rPr>
        <w:t xml:space="preserve"> </w:t>
      </w:r>
      <w:r w:rsidRPr="000224E9">
        <w:rPr>
          <w:rFonts w:ascii="Times New Roman" w:eastAsia="Times New Roman" w:hAnsi="Times New Roman" w:cs="Times New Roman"/>
          <w:color w:val="222222"/>
          <w:sz w:val="24"/>
          <w:szCs w:val="24"/>
          <w:lang w:eastAsia="zh-CN"/>
        </w:rPr>
        <w:t xml:space="preserve">had the lowest total amount of </w:t>
      </w:r>
      <w:proofErr w:type="spellStart"/>
      <w:r w:rsidRPr="000224E9">
        <w:rPr>
          <w:rFonts w:ascii="Times New Roman" w:eastAsia="Times New Roman" w:hAnsi="Times New Roman" w:cs="Times New Roman"/>
          <w:color w:val="222222"/>
          <w:sz w:val="24"/>
          <w:szCs w:val="24"/>
          <w:lang w:eastAsia="zh-CN"/>
        </w:rPr>
        <w:t>androconial</w:t>
      </w:r>
      <w:proofErr w:type="spellEnd"/>
      <w:r w:rsidRPr="000224E9">
        <w:rPr>
          <w:rFonts w:ascii="Times New Roman" w:eastAsia="Times New Roman" w:hAnsi="Times New Roman" w:cs="Times New Roman"/>
          <w:color w:val="222222"/>
          <w:sz w:val="24"/>
          <w:szCs w:val="24"/>
          <w:lang w:eastAsia="zh-CN"/>
        </w:rPr>
        <w:t xml:space="preserve"> compounds at 1,300±803 ng, and </w:t>
      </w:r>
      <w:r w:rsidRPr="000224E9">
        <w:rPr>
          <w:rFonts w:ascii="Times New Roman" w:eastAsia="Times New Roman" w:hAnsi="Times New Roman" w:cs="Times New Roman"/>
          <w:i/>
          <w:iCs/>
          <w:color w:val="222222"/>
          <w:sz w:val="24"/>
          <w:szCs w:val="24"/>
          <w:lang w:eastAsia="zh-CN"/>
        </w:rPr>
        <w:t xml:space="preserve">H. </w:t>
      </w:r>
      <w:proofErr w:type="spellStart"/>
      <w:r w:rsidRPr="000224E9">
        <w:rPr>
          <w:rFonts w:ascii="Times New Roman" w:eastAsia="Times New Roman" w:hAnsi="Times New Roman" w:cs="Times New Roman"/>
          <w:i/>
          <w:iCs/>
          <w:color w:val="222222"/>
          <w:sz w:val="24"/>
          <w:szCs w:val="24"/>
          <w:lang w:eastAsia="zh-CN"/>
        </w:rPr>
        <w:t>melpomene</w:t>
      </w:r>
      <w:proofErr w:type="spellEnd"/>
      <w:r w:rsidRPr="000224E9">
        <w:rPr>
          <w:rFonts w:ascii="Times New Roman" w:eastAsia="Times New Roman" w:hAnsi="Times New Roman" w:cs="Times New Roman"/>
          <w:color w:val="222222"/>
          <w:sz w:val="24"/>
          <w:szCs w:val="24"/>
          <w:lang w:eastAsia="zh-CN"/>
        </w:rPr>
        <w:t xml:space="preserve"> the highest at 7,254±8,242 ng. The species with the fewest genital compounds was </w:t>
      </w:r>
      <w:r w:rsidRPr="000224E9">
        <w:rPr>
          <w:rFonts w:ascii="Times New Roman" w:eastAsia="Times New Roman" w:hAnsi="Times New Roman" w:cs="Times New Roman"/>
          <w:i/>
          <w:iCs/>
          <w:color w:val="222222"/>
          <w:sz w:val="24"/>
          <w:szCs w:val="24"/>
          <w:lang w:eastAsia="zh-CN"/>
        </w:rPr>
        <w:t xml:space="preserve">H. </w:t>
      </w:r>
      <w:proofErr w:type="spellStart"/>
      <w:r w:rsidRPr="000224E9">
        <w:rPr>
          <w:rFonts w:ascii="Times New Roman" w:eastAsia="Times New Roman" w:hAnsi="Times New Roman" w:cs="Times New Roman"/>
          <w:i/>
          <w:iCs/>
          <w:color w:val="222222"/>
          <w:sz w:val="24"/>
          <w:szCs w:val="24"/>
          <w:lang w:eastAsia="zh-CN"/>
        </w:rPr>
        <w:t>sapho</w:t>
      </w:r>
      <w:proofErr w:type="spellEnd"/>
      <w:r w:rsidRPr="000224E9">
        <w:rPr>
          <w:rFonts w:ascii="Times New Roman" w:eastAsia="Times New Roman" w:hAnsi="Times New Roman" w:cs="Times New Roman"/>
          <w:i/>
          <w:iCs/>
          <w:color w:val="222222"/>
          <w:sz w:val="24"/>
          <w:szCs w:val="24"/>
          <w:lang w:eastAsia="zh-CN"/>
        </w:rPr>
        <w:t xml:space="preserve"> </w:t>
      </w:r>
      <w:r w:rsidRPr="000224E9">
        <w:rPr>
          <w:rFonts w:ascii="Times New Roman" w:eastAsia="Times New Roman" w:hAnsi="Times New Roman" w:cs="Times New Roman"/>
          <w:iCs/>
          <w:color w:val="222222"/>
          <w:sz w:val="24"/>
          <w:szCs w:val="24"/>
          <w:lang w:eastAsia="zh-CN"/>
        </w:rPr>
        <w:t xml:space="preserve">with </w:t>
      </w:r>
      <w:r w:rsidRPr="000224E9">
        <w:rPr>
          <w:rFonts w:ascii="Times New Roman" w:eastAsia="Times New Roman" w:hAnsi="Times New Roman" w:cs="Times New Roman"/>
          <w:color w:val="222222"/>
          <w:sz w:val="24"/>
          <w:szCs w:val="24"/>
          <w:lang w:eastAsia="zh-CN"/>
        </w:rPr>
        <w:t xml:space="preserve">32±7, and the highest </w:t>
      </w:r>
      <w:r w:rsidRPr="000224E9">
        <w:rPr>
          <w:rFonts w:ascii="Times New Roman" w:eastAsia="Times New Roman" w:hAnsi="Times New Roman" w:cs="Times New Roman"/>
          <w:i/>
          <w:iCs/>
          <w:color w:val="222222"/>
          <w:sz w:val="24"/>
          <w:szCs w:val="24"/>
          <w:lang w:eastAsia="zh-CN"/>
        </w:rPr>
        <w:t>H. cydno</w:t>
      </w:r>
      <w:r w:rsidRPr="000224E9">
        <w:rPr>
          <w:rFonts w:ascii="Times New Roman" w:eastAsia="Times New Roman" w:hAnsi="Times New Roman" w:cs="Times New Roman"/>
          <w:color w:val="222222"/>
          <w:sz w:val="24"/>
          <w:szCs w:val="24"/>
          <w:lang w:eastAsia="zh-CN"/>
        </w:rPr>
        <w:t xml:space="preserve"> with 102±21. </w:t>
      </w:r>
      <w:r w:rsidRPr="000224E9">
        <w:rPr>
          <w:rFonts w:ascii="Times New Roman" w:eastAsia="Times New Roman" w:hAnsi="Times New Roman" w:cs="Times New Roman"/>
          <w:i/>
          <w:iCs/>
          <w:color w:val="222222"/>
          <w:sz w:val="24"/>
          <w:szCs w:val="24"/>
          <w:lang w:eastAsia="zh-CN"/>
        </w:rPr>
        <w:t xml:space="preserve">H. </w:t>
      </w:r>
      <w:proofErr w:type="spellStart"/>
      <w:r w:rsidRPr="000224E9">
        <w:rPr>
          <w:rFonts w:ascii="Times New Roman" w:eastAsia="Times New Roman" w:hAnsi="Times New Roman" w:cs="Times New Roman"/>
          <w:i/>
          <w:iCs/>
          <w:color w:val="222222"/>
          <w:sz w:val="24"/>
          <w:szCs w:val="24"/>
          <w:lang w:eastAsia="zh-CN"/>
        </w:rPr>
        <w:t>sapho</w:t>
      </w:r>
      <w:proofErr w:type="spellEnd"/>
      <w:r w:rsidRPr="000224E9">
        <w:rPr>
          <w:rFonts w:ascii="Times New Roman" w:eastAsia="Times New Roman" w:hAnsi="Times New Roman" w:cs="Times New Roman"/>
          <w:color w:val="222222"/>
          <w:sz w:val="24"/>
          <w:szCs w:val="24"/>
          <w:lang w:eastAsia="zh-CN"/>
        </w:rPr>
        <w:t xml:space="preserve"> also had the lowest total amount of genital compounds at 6,642±3,975 ng, and </w:t>
      </w:r>
      <w:r w:rsidRPr="000224E9">
        <w:rPr>
          <w:rFonts w:ascii="Times New Roman" w:eastAsia="Times New Roman" w:hAnsi="Times New Roman" w:cs="Times New Roman"/>
          <w:i/>
          <w:iCs/>
          <w:color w:val="222222"/>
          <w:sz w:val="24"/>
          <w:szCs w:val="24"/>
          <w:lang w:eastAsia="zh-CN"/>
        </w:rPr>
        <w:t>H. cydno</w:t>
      </w:r>
      <w:r w:rsidRPr="000224E9">
        <w:rPr>
          <w:rFonts w:ascii="Times New Roman" w:eastAsia="Times New Roman" w:hAnsi="Times New Roman" w:cs="Times New Roman"/>
          <w:color w:val="222222"/>
          <w:sz w:val="24"/>
          <w:szCs w:val="24"/>
          <w:lang w:eastAsia="zh-CN"/>
        </w:rPr>
        <w:t xml:space="preserve"> the highest at 91,167±67,122 ng. These values are within the same order of magnitude as expected from previous work on male sex pheromones in the butterfly </w:t>
      </w:r>
      <w:proofErr w:type="spellStart"/>
      <w:r w:rsidRPr="000224E9">
        <w:rPr>
          <w:rFonts w:ascii="Times New Roman" w:eastAsia="Times New Roman" w:hAnsi="Times New Roman" w:cs="Times New Roman"/>
          <w:i/>
          <w:iCs/>
          <w:color w:val="222222"/>
          <w:sz w:val="24"/>
          <w:szCs w:val="24"/>
          <w:lang w:eastAsia="zh-CN"/>
        </w:rPr>
        <w:t>Bicyclus</w:t>
      </w:r>
      <w:proofErr w:type="spellEnd"/>
      <w:r w:rsidRPr="000224E9">
        <w:rPr>
          <w:rFonts w:ascii="Times New Roman" w:eastAsia="Times New Roman" w:hAnsi="Times New Roman" w:cs="Times New Roman"/>
          <w:i/>
          <w:iCs/>
          <w:color w:val="222222"/>
          <w:sz w:val="24"/>
          <w:szCs w:val="24"/>
          <w:lang w:eastAsia="zh-CN"/>
        </w:rPr>
        <w:t xml:space="preserve"> </w:t>
      </w:r>
      <w:proofErr w:type="spellStart"/>
      <w:r w:rsidRPr="000224E9">
        <w:rPr>
          <w:rFonts w:ascii="Times New Roman" w:eastAsia="Times New Roman" w:hAnsi="Times New Roman" w:cs="Times New Roman"/>
          <w:i/>
          <w:iCs/>
          <w:color w:val="222222"/>
          <w:sz w:val="24"/>
          <w:szCs w:val="24"/>
          <w:lang w:eastAsia="zh-CN"/>
        </w:rPr>
        <w:t>anyana</w:t>
      </w:r>
      <w:proofErr w:type="spellEnd"/>
      <w:r w:rsidRPr="000224E9">
        <w:rPr>
          <w:rFonts w:ascii="Times New Roman" w:eastAsia="Times New Roman" w:hAnsi="Times New Roman" w:cs="Times New Roman"/>
          <w:color w:val="222222"/>
          <w:sz w:val="24"/>
          <w:szCs w:val="24"/>
          <w:lang w:eastAsia="zh-CN"/>
        </w:rPr>
        <w:t xml:space="preserve"> </w:t>
      </w:r>
      <w:r w:rsidRPr="000224E9">
        <w:rPr>
          <w:rFonts w:ascii="Times New Roman" w:eastAsia="Times New Roman" w:hAnsi="Times New Roman" w:cs="Times New Roman"/>
          <w:color w:val="222222"/>
          <w:sz w:val="24"/>
          <w:szCs w:val="24"/>
          <w:lang w:eastAsia="zh-CN"/>
        </w:rPr>
        <w:fldChar w:fldCharType="begin"/>
      </w:r>
      <w:r w:rsidRPr="000224E9">
        <w:rPr>
          <w:rFonts w:ascii="Times New Roman" w:eastAsia="Times New Roman" w:hAnsi="Times New Roman" w:cs="Times New Roman"/>
          <w:color w:val="222222"/>
          <w:sz w:val="24"/>
          <w:szCs w:val="24"/>
          <w:lang w:eastAsia="zh-CN"/>
        </w:rPr>
        <w:instrText xml:space="preserve"> ADDIN ZOTERO_ITEM CSL_CITATION {"citationID":"a1k08tel3ls","properties":{"formattedCitation":"(Nieberding et al., 2012; van Bergen et al., 2013)","plainCitation":"(Nieberding et al., 2012; van Bergen et al., 2013)","noteIndex":0},"citationItems":[{"id":1965,"uris":["http://zotero.org/users/2671101/items/FNJ8X6T6"],"uri":["http://zotero.org/users/2671101/items/FNJ8X6T6"],"itemData":{"id":1965,"type":"article-journal","title":"Cracking the olfactory code of a butterfly: the scent of ageing","container-title":"Ecology Letters","page":"415-424","volume":"15","issue":"5","source":"Wiley Online Library","abstract":"Ecology Letters (2012) 15: 415–424 \nAbstract\nAlthough olfaction is a primary mode of communication, its importance in sexual selection remains understudied. Here, using the butterfly Bicyclus anynana, we address all the parameters of importance to sexual selection for a male olfactory signal. We show that variation in the male sex pheromone composition indicates male identity and male age. Courting males of different ages display small absolute (c. 200 ng) but large relative (100%) change of one specific pheromone component (hexadecanal) which, unlike the other components, showed no heritability. Females prefer to mate with mid-aged over younger males and the pheromone composition is sufficient to determine this preference. Surprisingly refined information is thus present in the male olfactory signal and is used for sexual selection. Our data also reveal that there may be no ‘lek paradox’ to resolve once the precise signal of importance to females is identified, as hexadecanal is, as expected, depleted in additive genetic variation.","DOI":"10.1111/j.1461-0248.2012.01748.x","ISSN":"1461-0248","title-short":"Cracking the olfactory code of a butterfly","language":"en","author":[{"family":"Nieberding","given":"Caroline M."},{"family":"Fischer","given":"Klaus"},{"family":"Saastamoinen","given":"Marjo"},{"family":"Allen","given":"Cerisse E."},{"family":"Wallin","given":"Erika A."},{"family":"Hedenström","given":"Erik"},{"family":"Brakefield","given":"Paul M."}],"issued":{"date-parts":[["2012",5,1]]}},"label":"page"},{"id":851,"uris":["http://zotero.org/users/2671101/items/NTQ7PDSB"],"uri":["http://zotero.org/users/2671101/items/NTQ7PDSB"],"itemData":{"id":851,"type":"article-journal","title":"The scent of inbreeding: a male sex pheromone betrays inbred males","container-title":"Proceedings of the Royal Society of London B: Biological Sciences","page":"20130102","volume":"280","issue":"1758","source":"rspb.royalsocietypublishing.org","abstract":"Inbreeding depression results from mating among genetically related individuals and impairs reproductive success. The decrease in male mating success is usually attributed to an impact on multiple fitness-related traits that reduce the general condition of inbred males. Here, we find that the production of the male sex pheromone is reduced significantly by inbreeding in the butterfly Bicyclus anynana. Other traits indicative of the general condition, including flight performance, are also negatively affected in male butterflies by inbreeding. Yet, we unambiguously show that only the production of male pheromones affects mating success. Thus, this pheromone signal informs females about the inbreeding status of their mating partners. We also identify the specific chemical component (hexadecanal) probably responsible for the decrease in male mating success. Our results advocate giving increased attention to olfactory communication as a major causal factor of mate-choice decisions and sexual selection.","DOI":"10.1098/rspb.2013.0102","ISSN":"0962-8452, 1471-2954","note":"PMID: 23466986","title-short":"The scent of inbreeding","language":"en","author":[{"family":"Bergen","given":"Erik","non-dropping-particle":"van"},{"family":"Brakefield","given":"Paul M."},{"family":"Heuskin","given":"Stéphanie"},{"family":"Zwaan","given":"Bas J."},{"family":"Nieberding","given":"Caroline M."}],"issued":{"date-parts":[["2013",5,7]]}},"label":"page"}],"schema":"https://github.com/citation-style-language/schema/raw/master/csl-citation.json"} </w:instrText>
      </w:r>
      <w:r w:rsidRPr="000224E9">
        <w:rPr>
          <w:rFonts w:ascii="Times New Roman" w:eastAsia="Times New Roman" w:hAnsi="Times New Roman" w:cs="Times New Roman"/>
          <w:color w:val="222222"/>
          <w:sz w:val="24"/>
          <w:szCs w:val="24"/>
          <w:lang w:eastAsia="zh-CN"/>
        </w:rPr>
        <w:fldChar w:fldCharType="separate"/>
      </w:r>
      <w:r w:rsidRPr="000224E9">
        <w:rPr>
          <w:rFonts w:ascii="Times New Roman" w:hAnsi="Times New Roman" w:cs="Times New Roman"/>
          <w:color w:val="000000"/>
          <w:sz w:val="24"/>
          <w:lang w:val="en-US"/>
        </w:rPr>
        <w:t>(Nieberding et al., 2012; van Bergen et al., 2013)</w:t>
      </w:r>
      <w:r w:rsidRPr="000224E9">
        <w:rPr>
          <w:rFonts w:ascii="Times New Roman" w:eastAsia="Times New Roman" w:hAnsi="Times New Roman" w:cs="Times New Roman"/>
          <w:color w:val="222222"/>
          <w:sz w:val="24"/>
          <w:szCs w:val="24"/>
          <w:lang w:eastAsia="zh-CN"/>
        </w:rPr>
        <w:fldChar w:fldCharType="end"/>
      </w:r>
      <w:r w:rsidRPr="000224E9">
        <w:rPr>
          <w:rFonts w:ascii="Times New Roman" w:eastAsia="Times New Roman" w:hAnsi="Times New Roman" w:cs="Times New Roman"/>
          <w:color w:val="222222"/>
          <w:sz w:val="24"/>
          <w:szCs w:val="24"/>
          <w:lang w:eastAsia="zh-CN"/>
        </w:rPr>
        <w:t xml:space="preserve">. Using </w:t>
      </w:r>
      <w:r w:rsidRPr="000224E9">
        <w:rPr>
          <w:rFonts w:ascii="Times New Roman" w:eastAsia="Times New Roman" w:hAnsi="Times New Roman" w:cs="Times New Roman"/>
          <w:i/>
          <w:iCs/>
          <w:color w:val="222222"/>
          <w:sz w:val="24"/>
          <w:szCs w:val="24"/>
          <w:lang w:eastAsia="zh-CN"/>
        </w:rPr>
        <w:t xml:space="preserve">H. </w:t>
      </w:r>
      <w:proofErr w:type="spellStart"/>
      <w:r w:rsidRPr="000224E9">
        <w:rPr>
          <w:rFonts w:ascii="Times New Roman" w:eastAsia="Times New Roman" w:hAnsi="Times New Roman" w:cs="Times New Roman"/>
          <w:i/>
          <w:iCs/>
          <w:color w:val="222222"/>
          <w:sz w:val="24"/>
          <w:szCs w:val="24"/>
          <w:lang w:eastAsia="zh-CN"/>
        </w:rPr>
        <w:t>erato</w:t>
      </w:r>
      <w:proofErr w:type="spellEnd"/>
      <w:r w:rsidRPr="000224E9">
        <w:rPr>
          <w:rFonts w:ascii="Times New Roman" w:eastAsia="Times New Roman" w:hAnsi="Times New Roman" w:cs="Times New Roman"/>
          <w:color w:val="222222"/>
          <w:sz w:val="24"/>
          <w:szCs w:val="24"/>
          <w:lang w:eastAsia="zh-CN"/>
        </w:rPr>
        <w:t xml:space="preserve"> as an example, the </w:t>
      </w:r>
      <w:proofErr w:type="spellStart"/>
      <w:r w:rsidRPr="000224E9">
        <w:rPr>
          <w:rFonts w:ascii="Times New Roman" w:eastAsia="Times New Roman" w:hAnsi="Times New Roman" w:cs="Times New Roman"/>
          <w:color w:val="222222"/>
          <w:sz w:val="24"/>
          <w:szCs w:val="24"/>
          <w:lang w:eastAsia="zh-CN"/>
        </w:rPr>
        <w:t>androconial</w:t>
      </w:r>
      <w:proofErr w:type="spellEnd"/>
      <w:r w:rsidRPr="000224E9">
        <w:rPr>
          <w:rFonts w:ascii="Times New Roman" w:eastAsia="Times New Roman" w:hAnsi="Times New Roman" w:cs="Times New Roman"/>
          <w:color w:val="222222"/>
          <w:sz w:val="24"/>
          <w:szCs w:val="24"/>
          <w:lang w:eastAsia="zh-CN"/>
        </w:rPr>
        <w:t xml:space="preserve"> bouquet is 0.00002%, and genital bouquet 0.0007% of total body weight </w:t>
      </w:r>
      <w:r w:rsidRPr="000224E9">
        <w:rPr>
          <w:rFonts w:ascii="Times New Roman" w:eastAsia="Times New Roman" w:hAnsi="Times New Roman" w:cs="Times New Roman"/>
          <w:color w:val="222222"/>
          <w:sz w:val="24"/>
          <w:szCs w:val="24"/>
          <w:lang w:eastAsia="zh-CN"/>
        </w:rPr>
        <w:fldChar w:fldCharType="begin"/>
      </w:r>
      <w:r w:rsidRPr="000224E9">
        <w:rPr>
          <w:rFonts w:ascii="Times New Roman" w:eastAsia="Times New Roman" w:hAnsi="Times New Roman" w:cs="Times New Roman"/>
          <w:color w:val="222222"/>
          <w:sz w:val="24"/>
          <w:szCs w:val="24"/>
          <w:lang w:eastAsia="zh-CN"/>
        </w:rPr>
        <w:instrText xml:space="preserve"> ADDIN ZOTERO_ITEM CSL_CITATION {"citationID":"akk345gmm7","properties":{"formattedCitation":"(Montgomery et al., 2016)","plainCitation":"(Montgomery et al., 2016)","noteIndex":0},"citationItems":[{"id":4854,"uris":["http://zotero.org/users/2671101/items/68AP7DTU"],"uri":["http://zotero.org/users/2671101/items/68AP7DTU"],"itemData":{"id":4854,"type":"article-journal","title":"Brain composition in&lt;i&gt; Heliconius&lt;/i&gt; butterflies, posteclosion growth and experience-dependent neuropil plasticity","container-title":"Journal of Comparative Neurology","page":"1747-1769","volume":"524","issue":"9","source":"Wiley Online Library","abstract":"Behavioral and sensory adaptations are often reflected in the differential expansion of brain components. These volumetric differences represent changes in cell number, size, and/or connectivity, which may denote changes in the functional and evolutionary relationships between different brain regions, and between brain composition and behavioral ecology. Here we describe the brain composition of two species of Heliconius butterflies, a long-standing study system for investigating ecological adaptation and speciation. We confirm a previous report of a striking volumetric expansion of the mushroom body, and explore patterns of differential posteclosion and experience-dependent plasticity between different brain regions. This analysis uncovers age- and experience-dependent posteclosion mushroom body growth comparable to that in foraging Hymenoptera, but also identifies plasticity in several other neuropils. An interspecific analysis indicates that Heliconius display a remarkably large investment in mushroom bodies for a lepidopteran, and indeed rank highly compared to other insects. Our analyses lay the foundation for future comparative and experimental analyses that will establish Heliconius as a valuable case study in evolutionary neurobiology. J. Comp. Neurol. 524:1747–1769, 2016. © 2016 Wiley Periodicals, Inc.","DOI":"10.1002/cne.23993","ISSN":"1096-9861","language":"en","author":[{"family":"Montgomery","given":"Stephen H."},{"family":"Merrill","given":"Richard M."},{"family":"Ott","given":"Swidbert R."}],"issued":{"date-parts":[["2016"]]}}}],"schema":"https://github.com/citation-style-language/schema/raw/master/csl-citation.json"} </w:instrText>
      </w:r>
      <w:r w:rsidRPr="000224E9">
        <w:rPr>
          <w:rFonts w:ascii="Times New Roman" w:eastAsia="Times New Roman" w:hAnsi="Times New Roman" w:cs="Times New Roman"/>
          <w:color w:val="222222"/>
          <w:sz w:val="24"/>
          <w:szCs w:val="24"/>
          <w:lang w:eastAsia="zh-CN"/>
        </w:rPr>
        <w:fldChar w:fldCharType="separate"/>
      </w:r>
      <w:r w:rsidRPr="000224E9">
        <w:rPr>
          <w:rFonts w:ascii="Times New Roman" w:hAnsi="Times New Roman" w:cs="Times New Roman"/>
          <w:color w:val="000000"/>
          <w:sz w:val="24"/>
          <w:lang w:val="en-US"/>
        </w:rPr>
        <w:t>(Montgomery et al., 2016)</w:t>
      </w:r>
      <w:r w:rsidRPr="000224E9">
        <w:rPr>
          <w:rFonts w:ascii="Times New Roman" w:eastAsia="Times New Roman" w:hAnsi="Times New Roman" w:cs="Times New Roman"/>
          <w:color w:val="222222"/>
          <w:sz w:val="24"/>
          <w:szCs w:val="24"/>
          <w:lang w:eastAsia="zh-CN"/>
        </w:rPr>
        <w:fldChar w:fldCharType="end"/>
      </w:r>
      <w:r w:rsidRPr="000224E9">
        <w:rPr>
          <w:rFonts w:ascii="Times New Roman" w:eastAsia="Times New Roman" w:hAnsi="Times New Roman" w:cs="Times New Roman"/>
          <w:color w:val="222222"/>
          <w:sz w:val="24"/>
          <w:szCs w:val="24"/>
          <w:lang w:eastAsia="zh-CN"/>
        </w:rPr>
        <w:t xml:space="preserve">. In general, a higher number of compounds and total amount of compounds is found in the genitals than in the </w:t>
      </w:r>
      <w:proofErr w:type="spellStart"/>
      <w:r w:rsidRPr="000224E9">
        <w:rPr>
          <w:rFonts w:ascii="Times New Roman" w:eastAsia="Times New Roman" w:hAnsi="Times New Roman" w:cs="Times New Roman"/>
          <w:color w:val="222222"/>
          <w:sz w:val="24"/>
          <w:szCs w:val="24"/>
          <w:lang w:eastAsia="zh-CN"/>
        </w:rPr>
        <w:t>androconial</w:t>
      </w:r>
      <w:proofErr w:type="spellEnd"/>
      <w:r w:rsidRPr="000224E9">
        <w:rPr>
          <w:rFonts w:ascii="Times New Roman" w:eastAsia="Times New Roman" w:hAnsi="Times New Roman" w:cs="Times New Roman"/>
          <w:color w:val="222222"/>
          <w:sz w:val="24"/>
          <w:szCs w:val="24"/>
          <w:lang w:eastAsia="zh-CN"/>
        </w:rPr>
        <w:t xml:space="preserve"> patches of </w:t>
      </w:r>
      <w:proofErr w:type="spellStart"/>
      <w:r w:rsidRPr="000224E9">
        <w:rPr>
          <w:rFonts w:ascii="Times New Roman" w:eastAsia="Times New Roman" w:hAnsi="Times New Roman" w:cs="Times New Roman"/>
          <w:i/>
          <w:iCs/>
          <w:color w:val="222222"/>
          <w:sz w:val="24"/>
          <w:szCs w:val="24"/>
          <w:lang w:eastAsia="zh-CN"/>
        </w:rPr>
        <w:t>Heliconius</w:t>
      </w:r>
      <w:proofErr w:type="spellEnd"/>
      <w:r w:rsidRPr="000224E9">
        <w:rPr>
          <w:rFonts w:ascii="Times New Roman" w:eastAsia="Times New Roman" w:hAnsi="Times New Roman" w:cs="Times New Roman"/>
          <w:iCs/>
          <w:color w:val="222222"/>
          <w:sz w:val="24"/>
          <w:szCs w:val="24"/>
          <w:lang w:eastAsia="zh-CN"/>
        </w:rPr>
        <w:t xml:space="preserve"> wings</w:t>
      </w:r>
      <w:r w:rsidRPr="000224E9">
        <w:rPr>
          <w:rFonts w:ascii="Times New Roman" w:eastAsia="Times New Roman" w:hAnsi="Times New Roman" w:cs="Times New Roman"/>
          <w:color w:val="222222"/>
          <w:sz w:val="24"/>
          <w:szCs w:val="24"/>
          <w:lang w:eastAsia="zh-CN"/>
        </w:rPr>
        <w:t>.</w:t>
      </w:r>
    </w:p>
    <w:p w:rsidR="00A7633C" w:rsidRPr="00572CCF" w:rsidRDefault="00A7633C" w:rsidP="00572CCF">
      <w:pPr>
        <w:spacing w:afterLines="30" w:after="72" w:line="360" w:lineRule="auto"/>
        <w:rPr>
          <w:rFonts w:ascii="Times New Roman" w:hAnsi="Times New Roman" w:cs="Times New Roman"/>
        </w:rPr>
      </w:pPr>
      <w:r w:rsidRPr="000224E9">
        <w:rPr>
          <w:rFonts w:ascii="Times New Roman" w:eastAsia="MS Mincho" w:hAnsi="Times New Roman" w:cs="Times New Roman"/>
          <w:bCs/>
          <w:i/>
          <w:color w:val="000000"/>
          <w:sz w:val="24"/>
          <w:szCs w:val="24"/>
          <w:u w:val="single"/>
        </w:rPr>
        <w:br w:type="page"/>
      </w:r>
    </w:p>
    <w:p w:rsidR="00A7633C" w:rsidRPr="000224E9" w:rsidRDefault="00A7633C" w:rsidP="00A7633C">
      <w:pPr>
        <w:spacing w:after="120" w:line="480" w:lineRule="auto"/>
        <w:rPr>
          <w:rFonts w:ascii="Times New Roman" w:eastAsia="MS Mincho" w:hAnsi="Times New Roman" w:cs="Times New Roman"/>
          <w:bCs/>
          <w:i/>
          <w:color w:val="000000"/>
          <w:sz w:val="24"/>
          <w:szCs w:val="24"/>
          <w:u w:val="single"/>
        </w:rPr>
      </w:pPr>
      <w:r w:rsidRPr="000224E9">
        <w:rPr>
          <w:rFonts w:ascii="Times New Roman" w:eastAsia="MS Mincho" w:hAnsi="Times New Roman" w:cs="Times New Roman"/>
          <w:bCs/>
          <w:i/>
          <w:color w:val="000000"/>
          <w:sz w:val="24"/>
          <w:szCs w:val="24"/>
          <w:u w:val="single"/>
        </w:rPr>
        <w:lastRenderedPageBreak/>
        <w:t>Are there species-specific chemical compounds?</w:t>
      </w:r>
    </w:p>
    <w:p w:rsidR="00A7633C" w:rsidRPr="000224E9" w:rsidRDefault="00A7633C" w:rsidP="00A7633C">
      <w:pPr>
        <w:spacing w:after="120" w:line="480" w:lineRule="auto"/>
        <w:ind w:firstLine="720"/>
        <w:rPr>
          <w:rFonts w:ascii="Times New Roman" w:hAnsi="Times New Roman" w:cs="Times New Roman"/>
          <w:sz w:val="24"/>
          <w:szCs w:val="24"/>
        </w:rPr>
      </w:pPr>
      <w:r w:rsidRPr="000224E9">
        <w:rPr>
          <w:rFonts w:ascii="Times New Roman" w:hAnsi="Times New Roman" w:cs="Times New Roman"/>
          <w:sz w:val="24"/>
          <w:szCs w:val="24"/>
        </w:rPr>
        <w:t xml:space="preserve">In order to identify candidate species recognition pheromones, we examined our data for species specific compounds using indicator analysis. In most species that we examined there were single </w:t>
      </w:r>
      <w:proofErr w:type="spellStart"/>
      <w:r w:rsidRPr="000224E9">
        <w:rPr>
          <w:rFonts w:ascii="Times New Roman" w:hAnsi="Times New Roman" w:cs="Times New Roman"/>
          <w:sz w:val="24"/>
          <w:szCs w:val="24"/>
        </w:rPr>
        <w:t>androconial</w:t>
      </w:r>
      <w:proofErr w:type="spellEnd"/>
      <w:r w:rsidRPr="000224E9">
        <w:rPr>
          <w:rFonts w:ascii="Times New Roman" w:hAnsi="Times New Roman" w:cs="Times New Roman"/>
          <w:sz w:val="24"/>
          <w:szCs w:val="24"/>
        </w:rPr>
        <w:t xml:space="preserve"> compounds that were strong indicators of species identity (Table 1). For example, </w:t>
      </w:r>
      <w:proofErr w:type="spellStart"/>
      <w:r w:rsidRPr="000224E9">
        <w:rPr>
          <w:rFonts w:ascii="Times New Roman" w:hAnsi="Times New Roman" w:cs="Times New Roman"/>
          <w:sz w:val="24"/>
          <w:szCs w:val="24"/>
        </w:rPr>
        <w:t>geranylgeranylacetone</w:t>
      </w:r>
      <w:proofErr w:type="spellEnd"/>
      <w:r w:rsidRPr="000224E9">
        <w:rPr>
          <w:rFonts w:ascii="Times New Roman" w:hAnsi="Times New Roman" w:cs="Times New Roman"/>
          <w:sz w:val="24"/>
          <w:szCs w:val="24"/>
        </w:rPr>
        <w:t xml:space="preserve"> was found only in </w:t>
      </w:r>
      <w:r w:rsidRPr="000224E9">
        <w:rPr>
          <w:rFonts w:ascii="Times New Roman" w:hAnsi="Times New Roman" w:cs="Times New Roman"/>
          <w:i/>
          <w:sz w:val="24"/>
          <w:szCs w:val="24"/>
        </w:rPr>
        <w:t xml:space="preserve">H. </w:t>
      </w:r>
      <w:proofErr w:type="spellStart"/>
      <w:r w:rsidRPr="000224E9">
        <w:rPr>
          <w:rFonts w:ascii="Times New Roman" w:hAnsi="Times New Roman" w:cs="Times New Roman"/>
          <w:i/>
          <w:sz w:val="24"/>
          <w:szCs w:val="24"/>
        </w:rPr>
        <w:t>erato</w:t>
      </w:r>
      <w:proofErr w:type="spellEnd"/>
      <w:r w:rsidRPr="000224E9">
        <w:rPr>
          <w:rFonts w:ascii="Times New Roman" w:hAnsi="Times New Roman" w:cs="Times New Roman"/>
          <w:iCs/>
          <w:sz w:val="24"/>
          <w:szCs w:val="24"/>
        </w:rPr>
        <w:t xml:space="preserve"> and was consistently present across samples of this species</w:t>
      </w:r>
      <w:r w:rsidRPr="000224E9">
        <w:rPr>
          <w:rFonts w:ascii="Times New Roman" w:hAnsi="Times New Roman" w:cs="Times New Roman"/>
          <w:sz w:val="24"/>
          <w:szCs w:val="24"/>
        </w:rPr>
        <w:t xml:space="preserve">.  </w:t>
      </w:r>
      <w:proofErr w:type="spellStart"/>
      <w:r w:rsidRPr="000224E9">
        <w:rPr>
          <w:rFonts w:ascii="Times New Roman" w:hAnsi="Times New Roman" w:cs="Times New Roman"/>
          <w:sz w:val="24"/>
          <w:szCs w:val="24"/>
        </w:rPr>
        <w:t>Similarily</w:t>
      </w:r>
      <w:proofErr w:type="spellEnd"/>
      <w:r w:rsidRPr="000224E9">
        <w:rPr>
          <w:rFonts w:ascii="Times New Roman" w:hAnsi="Times New Roman" w:cs="Times New Roman"/>
          <w:sz w:val="24"/>
          <w:szCs w:val="24"/>
        </w:rPr>
        <w:t xml:space="preserve">, </w:t>
      </w:r>
      <w:proofErr w:type="spellStart"/>
      <w:r w:rsidRPr="000224E9">
        <w:rPr>
          <w:rFonts w:ascii="Times New Roman" w:hAnsi="Times New Roman" w:cs="Times New Roman"/>
          <w:sz w:val="24"/>
          <w:szCs w:val="24"/>
        </w:rPr>
        <w:t>octadecanal</w:t>
      </w:r>
      <w:proofErr w:type="spellEnd"/>
      <w:r w:rsidRPr="000224E9">
        <w:rPr>
          <w:rFonts w:ascii="Times New Roman" w:hAnsi="Times New Roman" w:cs="Times New Roman"/>
          <w:sz w:val="24"/>
          <w:szCs w:val="24"/>
        </w:rPr>
        <w:t xml:space="preserve">, a compound previously shown to be </w:t>
      </w:r>
      <w:proofErr w:type="spellStart"/>
      <w:r w:rsidRPr="000224E9">
        <w:rPr>
          <w:rFonts w:ascii="Times New Roman" w:hAnsi="Times New Roman" w:cs="Times New Roman"/>
          <w:sz w:val="24"/>
          <w:szCs w:val="24"/>
        </w:rPr>
        <w:t>electrophysiologically</w:t>
      </w:r>
      <w:proofErr w:type="spellEnd"/>
      <w:r w:rsidRPr="000224E9">
        <w:rPr>
          <w:rFonts w:ascii="Times New Roman" w:hAnsi="Times New Roman" w:cs="Times New Roman"/>
          <w:sz w:val="24"/>
          <w:szCs w:val="24"/>
        </w:rPr>
        <w:t xml:space="preserve"> and behaviourally active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{"citationID":"a23rislifnp","properties":{"formattedCitation":"(Byers et al., 2019)","plainCitation":"(Byers et al., 2019)","noteIndex":0},"citationItems":[{"id":4754,"uris":["http://zotero.org/users/2671101/items/J3BHLEDU"],"uri":["http://zotero.org/users/2671101/items/J3BHLEDU"],"itemData":{"id":4754,"type":"article-journal","title":"A major locus controls a biologically active pheromone component in &lt;i&gt;Heliconius melpomene&lt;/i&gt;","container-title":"bioRxiv","page":"739037","source":"www.biorxiv.org","abstract":"&lt;p&gt;Pheromones are important for courtship and mate choice in many insects, but we know relatively little of their role in butterflies. The butterfly Heliconius melpomene uses a complex blend of wing androconial compounds during courtship. Electroantennography in H. melpomene and its close relative H. cydno showed that responses to androconial extracts were not species-specific. Females of both species responded more strongly to the H. cydno extract, suggesting conservation of peripheral nervous system elements across the two species. Individual blend components provoked little to no response, with the exception of octadecanal, a major component of the H. melpomene blend. Supplementing octadecanal on the wings of octadecanal-rich H. melpomene males led to an increase in the time until mating, demonstrating the bioactivity of octadecanal in Heliconius. Using quantitative trait locus (QTL) mapping, we identified a single locus on chromosome 20 responsible for 41% of the parental species9 difference in octadecanal production. This QTL does not overlap with any of the major wing color or mate choice loci, nor does it overlap with known regions of elevated or reduced FST. A set of 16 candidate fatty acid biosynthesis genes lies underneath the QTL.&lt;/p&gt;","DOI":"10.1101/739037","language":"en","author":[{"family":"Byers","given":"Kelsey J. R. P."},{"family":"Darragh","given":"Kathy"},{"family":"Musgrove","given":"Jamie"},{"family":"Almeida","given":"Diana Abondano"},{"family":"Garza","given":"Sylvia Fernanda"},{"family":"Warren","given":"Ian A."},{"family":"Rastas","given":"Pasi"},{"family":"Kučka","given":"Marek"},{"family":"Chan","given":"Yingguang Frank"},{"family":"Merrill","given":"Richard M."},{"family":"Schulz","given":"Stefan"},{"family":"McMillan","given":"W. Owen"},{"family":"Jiggins","given":"Chris D."}],"issued":{"date-parts":[["2019",8,19]]}}}],"schema":"https://github.com/citation-style-language/schema/raw/master/csl-citation.json"}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sz w:val="24"/>
          <w:lang w:val="en-US"/>
        </w:rPr>
        <w:t>(Byers et al., 2019)</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 xml:space="preserve">, was found almost exclusively in </w:t>
      </w:r>
      <w:r w:rsidRPr="000224E9">
        <w:rPr>
          <w:rFonts w:ascii="Times New Roman" w:hAnsi="Times New Roman" w:cs="Times New Roman"/>
          <w:i/>
          <w:sz w:val="24"/>
          <w:szCs w:val="24"/>
        </w:rPr>
        <w:t xml:space="preserve">H. </w:t>
      </w:r>
      <w:proofErr w:type="spellStart"/>
      <w:r w:rsidRPr="000224E9">
        <w:rPr>
          <w:rFonts w:ascii="Times New Roman" w:hAnsi="Times New Roman" w:cs="Times New Roman"/>
          <w:i/>
          <w:sz w:val="24"/>
          <w:szCs w:val="24"/>
        </w:rPr>
        <w:t>melpomene</w:t>
      </w:r>
      <w:proofErr w:type="spellEnd"/>
      <w:r w:rsidRPr="000224E9">
        <w:rPr>
          <w:rFonts w:ascii="Times New Roman" w:hAnsi="Times New Roman" w:cs="Times New Roman"/>
          <w:i/>
          <w:sz w:val="24"/>
          <w:szCs w:val="24"/>
        </w:rPr>
        <w:t xml:space="preserve"> </w:t>
      </w:r>
      <w:r w:rsidRPr="000224E9">
        <w:rPr>
          <w:rFonts w:ascii="Times New Roman" w:hAnsi="Times New Roman" w:cs="Times New Roman"/>
          <w:iCs/>
          <w:sz w:val="24"/>
          <w:szCs w:val="24"/>
        </w:rPr>
        <w:t>(specificity=0.999).</w:t>
      </w:r>
      <w:r w:rsidRPr="000224E9">
        <w:rPr>
          <w:rFonts w:ascii="Times New Roman" w:hAnsi="Times New Roman" w:cs="Times New Roman"/>
          <w:sz w:val="24"/>
          <w:szCs w:val="24"/>
        </w:rPr>
        <w:t xml:space="preserve"> </w:t>
      </w:r>
      <w:r w:rsidRPr="000224E9">
        <w:rPr>
          <w:rFonts w:ascii="Times New Roman" w:hAnsi="Times New Roman" w:cs="Times New Roman"/>
          <w:i/>
          <w:iCs/>
          <w:sz w:val="24"/>
          <w:szCs w:val="24"/>
        </w:rPr>
        <w:t xml:space="preserve">H. cydno </w:t>
      </w:r>
      <w:r w:rsidRPr="000224E9">
        <w:rPr>
          <w:rFonts w:ascii="Times New Roman" w:hAnsi="Times New Roman" w:cs="Times New Roman"/>
          <w:sz w:val="24"/>
          <w:szCs w:val="24"/>
        </w:rPr>
        <w:t xml:space="preserve">and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eleuchia</w:t>
      </w:r>
      <w:proofErr w:type="spellEnd"/>
      <w:r w:rsidRPr="000224E9">
        <w:rPr>
          <w:rFonts w:ascii="Times New Roman" w:hAnsi="Times New Roman" w:cs="Times New Roman"/>
          <w:sz w:val="24"/>
          <w:szCs w:val="24"/>
        </w:rPr>
        <w:t xml:space="preserve"> had the weakest indicator scores; in </w:t>
      </w:r>
      <w:r w:rsidRPr="000224E9">
        <w:rPr>
          <w:rFonts w:ascii="Times New Roman" w:hAnsi="Times New Roman" w:cs="Times New Roman"/>
          <w:i/>
          <w:iCs/>
          <w:sz w:val="24"/>
          <w:szCs w:val="24"/>
        </w:rPr>
        <w:t>H. cydno</w:t>
      </w:r>
      <w:r w:rsidRPr="000224E9">
        <w:rPr>
          <w:rFonts w:ascii="Times New Roman" w:hAnsi="Times New Roman" w:cs="Times New Roman"/>
          <w:sz w:val="24"/>
          <w:szCs w:val="24"/>
        </w:rPr>
        <w:t xml:space="preserve"> because the best indicator compound was not found in all individuals examined (coverage= 0.667), and in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eleuchia</w:t>
      </w:r>
      <w:proofErr w:type="spellEnd"/>
      <w:r w:rsidRPr="000224E9">
        <w:rPr>
          <w:rFonts w:ascii="Times New Roman" w:hAnsi="Times New Roman" w:cs="Times New Roman"/>
          <w:sz w:val="24"/>
          <w:szCs w:val="24"/>
        </w:rPr>
        <w:t xml:space="preserve"> because the best indicator compound was also found in other species (specificity= 0.747). There were similarly species-specific genital compounds in all species except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sapho</w:t>
      </w:r>
      <w:proofErr w:type="spellEnd"/>
      <w:r w:rsidRPr="000224E9">
        <w:rPr>
          <w:rFonts w:ascii="Times New Roman" w:hAnsi="Times New Roman" w:cs="Times New Roman"/>
          <w:sz w:val="24"/>
          <w:szCs w:val="24"/>
        </w:rPr>
        <w:t xml:space="preserve"> and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timareta</w:t>
      </w:r>
      <w:proofErr w:type="spellEnd"/>
      <w:r w:rsidRPr="000224E9">
        <w:rPr>
          <w:rFonts w:ascii="Times New Roman" w:hAnsi="Times New Roman" w:cs="Times New Roman"/>
          <w:sz w:val="24"/>
          <w:szCs w:val="24"/>
        </w:rPr>
        <w:t xml:space="preserve">, where a combination of two compounds was the best predictor (Table 2). Similar to the androconia, in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melpomene</w:t>
      </w:r>
      <w:proofErr w:type="spellEnd"/>
      <w:r w:rsidRPr="000224E9">
        <w:rPr>
          <w:rFonts w:ascii="Times New Roman" w:hAnsi="Times New Roman" w:cs="Times New Roman"/>
          <w:sz w:val="24"/>
          <w:szCs w:val="24"/>
        </w:rPr>
        <w:t>, the best indicator compound for genitalia has known behavioural activity, in this case the anti-aphrodisiac, (</w:t>
      </w:r>
      <w:r w:rsidRPr="000224E9">
        <w:rPr>
          <w:rFonts w:ascii="Times New Roman" w:hAnsi="Times New Roman" w:cs="Times New Roman"/>
          <w:i/>
          <w:sz w:val="24"/>
          <w:szCs w:val="24"/>
        </w:rPr>
        <w:t>E</w:t>
      </w:r>
      <w:r w:rsidRPr="000224E9">
        <w:rPr>
          <w:rFonts w:ascii="Times New Roman" w:hAnsi="Times New Roman" w:cs="Times New Roman"/>
          <w:iCs/>
          <w:sz w:val="24"/>
          <w:szCs w:val="24"/>
        </w:rPr>
        <w:t>)</w:t>
      </w:r>
      <w:r w:rsidRPr="000224E9">
        <w:rPr>
          <w:rFonts w:ascii="Times New Roman" w:hAnsi="Times New Roman" w:cs="Times New Roman"/>
          <w:sz w:val="24"/>
          <w:szCs w:val="24"/>
        </w:rPr>
        <w:t xml:space="preserve">-β-ocimene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{"citationID":"a20p4cfdpqs","properties":{"formattedCitation":"(Schulz et al., 2008)","plainCitation":"(Schulz et al., 2008)","noteIndex":0},"citationItems":[{"id":1997,"uris":["http://zotero.org/users/2671101/items/UZ6CG9VQ"],"uri":["http://zotero.org/users/2671101/items/UZ6CG9VQ"],"itemData":{"id":1997,"type":"article-journal","title":"An antiaphrodisiac in &lt;i&gt;Heliconius melpomene&lt;/i&gt; butterflies","container-title":"Journal of chemical ecology","page":"82-93","volume":"34","issue":"1","DOI":"10.1007/s10886-007-9393-z","ISSN":"0098-0331","author":[{"family":"Schulz","given":"S."},{"family":"Estrada","given":"C."},{"family":"Yildizham","given":"S."},{"family":"Boppré","given":"M."},{"family":"Gilbert","given":"L. E."}],"issued":{"date-parts":[["2008"]]}}}],"schema":"https://github.com/citation-style-language/schema/raw/master/csl-citation.json"}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sz w:val="24"/>
          <w:lang w:val="en-US"/>
        </w:rPr>
        <w:t>(Schulz et al., 2008)</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 xml:space="preserve">. For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erato</w:t>
      </w:r>
      <w:proofErr w:type="spellEnd"/>
      <w:r w:rsidRPr="000224E9">
        <w:rPr>
          <w:rFonts w:ascii="Times New Roman" w:hAnsi="Times New Roman" w:cs="Times New Roman"/>
          <w:sz w:val="24"/>
          <w:szCs w:val="24"/>
        </w:rPr>
        <w:t xml:space="preserve"> we identified a terpene ester which is only found in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erato</w:t>
      </w:r>
      <w:proofErr w:type="spellEnd"/>
      <w:r w:rsidRPr="000224E9">
        <w:rPr>
          <w:rFonts w:ascii="Times New Roman" w:hAnsi="Times New Roman" w:cs="Times New Roman"/>
          <w:sz w:val="24"/>
          <w:szCs w:val="24"/>
        </w:rPr>
        <w:t xml:space="preserve"> individuals and no other species. Other terpene esters were also almost perfect indicator compounds of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erato</w:t>
      </w:r>
      <w:proofErr w:type="spellEnd"/>
      <w:r w:rsidRPr="000224E9">
        <w:rPr>
          <w:rFonts w:ascii="Times New Roman" w:hAnsi="Times New Roman" w:cs="Times New Roman"/>
          <w:sz w:val="24"/>
          <w:szCs w:val="24"/>
        </w:rPr>
        <w:t xml:space="preserve">. </w:t>
      </w:r>
    </w:p>
    <w:p w:rsidR="00A7633C" w:rsidRPr="000224E9" w:rsidRDefault="00A7633C" w:rsidP="00A7633C">
      <w:pPr>
        <w:spacing w:after="120" w:line="480" w:lineRule="auto"/>
        <w:rPr>
          <w:rFonts w:ascii="Times New Roman" w:hAnsi="Times New Roman" w:cs="Times New Roman"/>
          <w:i/>
          <w:iCs/>
          <w:sz w:val="24"/>
          <w:szCs w:val="24"/>
          <w:u w:val="single"/>
        </w:rPr>
      </w:pPr>
      <w:r w:rsidRPr="000224E9">
        <w:rPr>
          <w:rFonts w:ascii="Times New Roman" w:hAnsi="Times New Roman" w:cs="Times New Roman"/>
          <w:i/>
          <w:iCs/>
          <w:sz w:val="24"/>
          <w:szCs w:val="24"/>
          <w:u w:val="single"/>
        </w:rPr>
        <w:br w:type="page"/>
      </w:r>
    </w:p>
    <w:p w:rsidR="00A7633C" w:rsidRPr="000224E9" w:rsidRDefault="00A7633C" w:rsidP="00A7633C">
      <w:pPr>
        <w:spacing w:after="120" w:line="480" w:lineRule="auto"/>
        <w:rPr>
          <w:rFonts w:ascii="Times New Roman" w:hAnsi="Times New Roman" w:cs="Times New Roman"/>
          <w:i/>
          <w:iCs/>
          <w:sz w:val="24"/>
          <w:szCs w:val="24"/>
          <w:u w:val="single"/>
        </w:rPr>
      </w:pPr>
      <w:r w:rsidRPr="000224E9">
        <w:rPr>
          <w:rFonts w:ascii="Times New Roman" w:hAnsi="Times New Roman" w:cs="Times New Roman"/>
          <w:i/>
          <w:iCs/>
          <w:sz w:val="24"/>
          <w:szCs w:val="24"/>
          <w:u w:val="single"/>
        </w:rPr>
        <w:lastRenderedPageBreak/>
        <w:t>What factors affect interspecific variation in chemical profiles?</w:t>
      </w:r>
    </w:p>
    <w:p w:rsidR="00A7633C" w:rsidRPr="000224E9" w:rsidRDefault="00A7633C" w:rsidP="00A7633C">
      <w:pPr>
        <w:spacing w:after="120" w:line="480" w:lineRule="auto"/>
        <w:ind w:firstLine="720"/>
        <w:rPr>
          <w:rFonts w:ascii="Times New Roman" w:eastAsia="MS Mincho" w:hAnsi="Times New Roman" w:cs="Times New Roman"/>
          <w:bCs/>
          <w:iCs/>
          <w:color w:val="000000"/>
          <w:sz w:val="24"/>
          <w:szCs w:val="24"/>
        </w:rPr>
      </w:pPr>
      <w:r w:rsidRPr="000224E9">
        <w:rPr>
          <w:rFonts w:ascii="Times New Roman" w:hAnsi="Times New Roman" w:cs="Times New Roman"/>
          <w:sz w:val="24"/>
          <w:szCs w:val="24"/>
        </w:rPr>
        <w:t xml:space="preserve">Our sampling allowed us to investigate how variation in chemical composition is partitioned within and between </w:t>
      </w:r>
      <w:proofErr w:type="gramStart"/>
      <w:r w:rsidRPr="000224E9">
        <w:rPr>
          <w:rFonts w:ascii="Times New Roman" w:hAnsi="Times New Roman" w:cs="Times New Roman"/>
          <w:sz w:val="24"/>
          <w:szCs w:val="24"/>
        </w:rPr>
        <w:t>species, and</w:t>
      </w:r>
      <w:proofErr w:type="gramEnd"/>
      <w:r w:rsidRPr="000224E9">
        <w:rPr>
          <w:rFonts w:ascii="Times New Roman" w:hAnsi="Times New Roman" w:cs="Times New Roman"/>
          <w:sz w:val="24"/>
          <w:szCs w:val="24"/>
        </w:rPr>
        <w:t xml:space="preserve"> determine the extent to which chemistry is a species-diagnostic trait. Visualisation of the chemical profiles reveals that individuals mostly group by species for both </w:t>
      </w:r>
      <w:proofErr w:type="spellStart"/>
      <w:r w:rsidRPr="000224E9">
        <w:rPr>
          <w:rFonts w:ascii="Times New Roman" w:hAnsi="Times New Roman" w:cs="Times New Roman"/>
          <w:sz w:val="24"/>
          <w:szCs w:val="24"/>
        </w:rPr>
        <w:t>androconial</w:t>
      </w:r>
      <w:proofErr w:type="spellEnd"/>
      <w:r w:rsidRPr="000224E9">
        <w:rPr>
          <w:rFonts w:ascii="Times New Roman" w:hAnsi="Times New Roman" w:cs="Times New Roman"/>
          <w:sz w:val="24"/>
          <w:szCs w:val="24"/>
        </w:rPr>
        <w:t xml:space="preserve"> and genital chemical bouquets (Fig. 3). Species significantly differ in their </w:t>
      </w:r>
      <w:proofErr w:type="spellStart"/>
      <w:r w:rsidRPr="000224E9">
        <w:rPr>
          <w:rFonts w:ascii="Times New Roman" w:hAnsi="Times New Roman" w:cs="Times New Roman"/>
          <w:sz w:val="24"/>
          <w:szCs w:val="24"/>
        </w:rPr>
        <w:t>androconial</w:t>
      </w:r>
      <w:proofErr w:type="spellEnd"/>
      <w:r w:rsidRPr="000224E9">
        <w:rPr>
          <w:rFonts w:ascii="Times New Roman" w:hAnsi="Times New Roman" w:cs="Times New Roman"/>
          <w:sz w:val="24"/>
          <w:szCs w:val="24"/>
        </w:rPr>
        <w:t xml:space="preserve"> bouquet, with species identity accounting for 58% of the overall variation in chemical profiles (</w:t>
      </w:r>
      <w:r w:rsidRPr="000224E9">
        <w:rPr>
          <w:rFonts w:ascii="Times New Roman" w:eastAsia="MS Mincho" w:hAnsi="Times New Roman" w:cs="Times New Roman"/>
          <w:bCs/>
          <w:iCs/>
          <w:color w:val="000000"/>
          <w:sz w:val="24"/>
          <w:szCs w:val="24"/>
        </w:rPr>
        <w:t>PERMANOVA, Species, F</w:t>
      </w:r>
      <w:r w:rsidRPr="000224E9">
        <w:rPr>
          <w:rFonts w:ascii="Times New Roman" w:eastAsia="MS Mincho" w:hAnsi="Times New Roman" w:cs="Times New Roman"/>
          <w:bCs/>
          <w:iCs/>
          <w:color w:val="000000"/>
          <w:sz w:val="24"/>
          <w:szCs w:val="24"/>
          <w:vertAlign w:val="subscript"/>
        </w:rPr>
        <w:t>6,251</w:t>
      </w:r>
      <w:r w:rsidRPr="000224E9">
        <w:rPr>
          <w:rFonts w:ascii="Times New Roman" w:eastAsia="MS Mincho" w:hAnsi="Times New Roman" w:cs="Times New Roman"/>
          <w:bCs/>
          <w:iCs/>
          <w:color w:val="000000"/>
          <w:sz w:val="24"/>
          <w:szCs w:val="24"/>
        </w:rPr>
        <w:t xml:space="preserve">=72.16, p&lt;0.001). All pairwise comparisons of species are significantly different (Table </w:t>
      </w:r>
      <w:r w:rsidR="00DC0271">
        <w:rPr>
          <w:rFonts w:ascii="Times New Roman" w:eastAsia="MS Mincho" w:hAnsi="Times New Roman" w:cs="Times New Roman"/>
          <w:bCs/>
          <w:iCs/>
          <w:color w:val="000000"/>
          <w:sz w:val="24"/>
          <w:szCs w:val="24"/>
        </w:rPr>
        <w:t>A</w:t>
      </w:r>
      <w:r w:rsidR="00F35B53">
        <w:rPr>
          <w:rFonts w:ascii="Times New Roman" w:eastAsia="MS Mincho" w:hAnsi="Times New Roman" w:cs="Times New Roman"/>
          <w:bCs/>
          <w:iCs/>
          <w:color w:val="000000"/>
          <w:sz w:val="24"/>
          <w:szCs w:val="24"/>
        </w:rPr>
        <w:t>5</w:t>
      </w:r>
      <w:r w:rsidRPr="000224E9">
        <w:rPr>
          <w:rFonts w:ascii="Times New Roman" w:eastAsia="MS Mincho" w:hAnsi="Times New Roman" w:cs="Times New Roman"/>
          <w:bCs/>
          <w:iCs/>
          <w:color w:val="000000"/>
          <w:sz w:val="24"/>
          <w:szCs w:val="24"/>
        </w:rPr>
        <w:t>). A further 4% of variation can be explained by region (Amazon/Eastern Andes/Western Andes/Panama), and 3% by locality nested within region (PERMANOVA, Region, F</w:t>
      </w:r>
      <w:r w:rsidRPr="000224E9">
        <w:rPr>
          <w:rFonts w:ascii="Times New Roman" w:eastAsia="MS Mincho" w:hAnsi="Times New Roman" w:cs="Times New Roman"/>
          <w:bCs/>
          <w:iCs/>
          <w:color w:val="000000"/>
          <w:sz w:val="24"/>
          <w:szCs w:val="24"/>
          <w:vertAlign w:val="subscript"/>
        </w:rPr>
        <w:t>3,251</w:t>
      </w:r>
      <w:r w:rsidRPr="000224E9">
        <w:rPr>
          <w:rFonts w:ascii="Times New Roman" w:eastAsia="MS Mincho" w:hAnsi="Times New Roman" w:cs="Times New Roman"/>
          <w:bCs/>
          <w:iCs/>
          <w:color w:val="000000"/>
          <w:sz w:val="24"/>
          <w:szCs w:val="24"/>
        </w:rPr>
        <w:t>=9.96, p&lt;0.001; (Region/Locality), F</w:t>
      </w:r>
      <w:r w:rsidRPr="000224E9">
        <w:rPr>
          <w:rFonts w:ascii="Times New Roman" w:eastAsia="MS Mincho" w:hAnsi="Times New Roman" w:cs="Times New Roman"/>
          <w:bCs/>
          <w:iCs/>
          <w:color w:val="000000"/>
          <w:sz w:val="24"/>
          <w:szCs w:val="24"/>
          <w:vertAlign w:val="subscript"/>
        </w:rPr>
        <w:t>8,251</w:t>
      </w:r>
      <w:r w:rsidRPr="000224E9">
        <w:rPr>
          <w:rFonts w:ascii="Times New Roman" w:eastAsia="MS Mincho" w:hAnsi="Times New Roman" w:cs="Times New Roman"/>
          <w:bCs/>
          <w:iCs/>
          <w:color w:val="000000"/>
          <w:sz w:val="24"/>
          <w:szCs w:val="24"/>
        </w:rPr>
        <w:t>=2.65, p&lt;0.001). Finally, 4% of variation is explained by an interaction between species and region (PERMANOVA, Species*Region F</w:t>
      </w:r>
      <w:r w:rsidRPr="000224E9">
        <w:rPr>
          <w:rFonts w:ascii="Times New Roman" w:eastAsia="MS Mincho" w:hAnsi="Times New Roman" w:cs="Times New Roman"/>
          <w:bCs/>
          <w:iCs/>
          <w:color w:val="000000"/>
          <w:sz w:val="24"/>
          <w:szCs w:val="24"/>
          <w:vertAlign w:val="subscript"/>
        </w:rPr>
        <w:t>6,251</w:t>
      </w:r>
      <w:r w:rsidRPr="000224E9">
        <w:rPr>
          <w:rFonts w:ascii="Times New Roman" w:eastAsia="MS Mincho" w:hAnsi="Times New Roman" w:cs="Times New Roman"/>
          <w:bCs/>
          <w:iCs/>
          <w:color w:val="000000"/>
          <w:sz w:val="24"/>
          <w:szCs w:val="24"/>
        </w:rPr>
        <w:t xml:space="preserve">=4.82, p&lt;0.001;). </w:t>
      </w:r>
    </w:p>
    <w:p w:rsidR="00A7633C" w:rsidRDefault="00A7633C" w:rsidP="00E83902">
      <w:pPr>
        <w:spacing w:after="120" w:line="480" w:lineRule="auto"/>
        <w:rPr>
          <w:rFonts w:ascii="Times New Roman" w:eastAsia="MS Mincho" w:hAnsi="Times New Roman" w:cs="Times New Roman"/>
          <w:bCs/>
          <w:iCs/>
          <w:color w:val="000000"/>
          <w:sz w:val="24"/>
          <w:szCs w:val="24"/>
        </w:rPr>
      </w:pPr>
      <w:r w:rsidRPr="000224E9">
        <w:rPr>
          <w:rFonts w:ascii="Times New Roman" w:eastAsia="MS Mincho" w:hAnsi="Times New Roman" w:cs="Times New Roman"/>
          <w:bCs/>
          <w:iCs/>
          <w:color w:val="000000"/>
          <w:sz w:val="24"/>
          <w:szCs w:val="24"/>
        </w:rPr>
        <w:t>The results were similar for the genital bouquets, with species identity accounting for 51% of the variation in chemical profiles (PERMANOVA, Species, F</w:t>
      </w:r>
      <w:r w:rsidRPr="000224E9">
        <w:rPr>
          <w:rFonts w:ascii="Times New Roman" w:eastAsia="MS Mincho" w:hAnsi="Times New Roman" w:cs="Times New Roman"/>
          <w:bCs/>
          <w:iCs/>
          <w:color w:val="000000"/>
          <w:sz w:val="24"/>
          <w:szCs w:val="24"/>
          <w:vertAlign w:val="subscript"/>
        </w:rPr>
        <w:t>6,274</w:t>
      </w:r>
      <w:r w:rsidRPr="000224E9">
        <w:rPr>
          <w:rFonts w:ascii="Times New Roman" w:eastAsia="MS Mincho" w:hAnsi="Times New Roman" w:cs="Times New Roman"/>
          <w:bCs/>
          <w:iCs/>
          <w:color w:val="000000"/>
          <w:sz w:val="24"/>
          <w:szCs w:val="24"/>
        </w:rPr>
        <w:t xml:space="preserve">=59.81, p&lt;0.001). All pairwise comparisons are significant apart from </w:t>
      </w:r>
      <w:r w:rsidRPr="000224E9">
        <w:rPr>
          <w:rFonts w:ascii="Times New Roman" w:eastAsia="MS Mincho" w:hAnsi="Times New Roman" w:cs="Times New Roman"/>
          <w:bCs/>
          <w:i/>
          <w:color w:val="000000"/>
          <w:sz w:val="24"/>
          <w:szCs w:val="24"/>
        </w:rPr>
        <w:t xml:space="preserve">H. </w:t>
      </w:r>
      <w:proofErr w:type="spellStart"/>
      <w:r w:rsidRPr="000224E9">
        <w:rPr>
          <w:rFonts w:ascii="Times New Roman" w:eastAsia="MS Mincho" w:hAnsi="Times New Roman" w:cs="Times New Roman"/>
          <w:bCs/>
          <w:i/>
          <w:color w:val="000000"/>
          <w:sz w:val="24"/>
          <w:szCs w:val="24"/>
        </w:rPr>
        <w:t>elevatus</w:t>
      </w:r>
      <w:proofErr w:type="spellEnd"/>
      <w:r w:rsidRPr="000224E9">
        <w:rPr>
          <w:rFonts w:ascii="Times New Roman" w:eastAsia="MS Mincho" w:hAnsi="Times New Roman" w:cs="Times New Roman"/>
          <w:bCs/>
          <w:iCs/>
          <w:color w:val="000000"/>
          <w:sz w:val="24"/>
          <w:szCs w:val="24"/>
        </w:rPr>
        <w:t xml:space="preserve"> and </w:t>
      </w:r>
      <w:r w:rsidRPr="000224E9">
        <w:rPr>
          <w:rFonts w:ascii="Times New Roman" w:eastAsia="MS Mincho" w:hAnsi="Times New Roman" w:cs="Times New Roman"/>
          <w:bCs/>
          <w:i/>
          <w:color w:val="000000"/>
          <w:sz w:val="24"/>
          <w:szCs w:val="24"/>
        </w:rPr>
        <w:t xml:space="preserve">H. </w:t>
      </w:r>
      <w:proofErr w:type="spellStart"/>
      <w:r w:rsidRPr="000224E9">
        <w:rPr>
          <w:rFonts w:ascii="Times New Roman" w:eastAsia="MS Mincho" w:hAnsi="Times New Roman" w:cs="Times New Roman"/>
          <w:bCs/>
          <w:i/>
          <w:color w:val="000000"/>
          <w:sz w:val="24"/>
          <w:szCs w:val="24"/>
        </w:rPr>
        <w:t>melpomene</w:t>
      </w:r>
      <w:proofErr w:type="spellEnd"/>
      <w:r w:rsidRPr="000224E9">
        <w:rPr>
          <w:rFonts w:ascii="Times New Roman" w:eastAsia="MS Mincho" w:hAnsi="Times New Roman" w:cs="Times New Roman"/>
          <w:bCs/>
          <w:iCs/>
          <w:color w:val="000000"/>
          <w:sz w:val="24"/>
          <w:szCs w:val="24"/>
        </w:rPr>
        <w:t xml:space="preserve"> (Table </w:t>
      </w:r>
      <w:r w:rsidR="003A48C1" w:rsidRPr="000224E9">
        <w:rPr>
          <w:rFonts w:ascii="Times New Roman" w:eastAsia="MS Mincho" w:hAnsi="Times New Roman" w:cs="Times New Roman"/>
          <w:bCs/>
          <w:iCs/>
          <w:color w:val="000000"/>
          <w:sz w:val="24"/>
          <w:szCs w:val="24"/>
        </w:rPr>
        <w:t>A</w:t>
      </w:r>
      <w:r w:rsidR="00F35B53">
        <w:rPr>
          <w:rFonts w:ascii="Times New Roman" w:eastAsia="MS Mincho" w:hAnsi="Times New Roman" w:cs="Times New Roman"/>
          <w:bCs/>
          <w:iCs/>
          <w:color w:val="000000"/>
          <w:sz w:val="24"/>
          <w:szCs w:val="24"/>
        </w:rPr>
        <w:t>6</w:t>
      </w:r>
      <w:r w:rsidRPr="000224E9">
        <w:rPr>
          <w:rFonts w:ascii="Times New Roman" w:eastAsia="MS Mincho" w:hAnsi="Times New Roman" w:cs="Times New Roman"/>
          <w:bCs/>
          <w:iCs/>
          <w:color w:val="000000"/>
          <w:sz w:val="24"/>
          <w:szCs w:val="24"/>
        </w:rPr>
        <w:t>). A further 5% of variation can be explained by region (Amazon/Eastern Andes/Western Andes/Panama), and 3% by locality nested within region (PERMANOVA, Region, F</w:t>
      </w:r>
      <w:r w:rsidRPr="000224E9">
        <w:rPr>
          <w:rFonts w:ascii="Times New Roman" w:eastAsia="MS Mincho" w:hAnsi="Times New Roman" w:cs="Times New Roman"/>
          <w:bCs/>
          <w:iCs/>
          <w:color w:val="000000"/>
          <w:sz w:val="24"/>
          <w:szCs w:val="24"/>
          <w:vertAlign w:val="subscript"/>
        </w:rPr>
        <w:t>3,274</w:t>
      </w:r>
      <w:r w:rsidRPr="000224E9">
        <w:rPr>
          <w:rFonts w:ascii="Times New Roman" w:eastAsia="MS Mincho" w:hAnsi="Times New Roman" w:cs="Times New Roman"/>
          <w:bCs/>
          <w:iCs/>
          <w:color w:val="000000"/>
          <w:sz w:val="24"/>
          <w:szCs w:val="24"/>
        </w:rPr>
        <w:t>=12.43, p&lt;0.001; (Region/Locality), F</w:t>
      </w:r>
      <w:r w:rsidRPr="000224E9">
        <w:rPr>
          <w:rFonts w:ascii="Times New Roman" w:eastAsia="MS Mincho" w:hAnsi="Times New Roman" w:cs="Times New Roman"/>
          <w:bCs/>
          <w:iCs/>
          <w:color w:val="000000"/>
          <w:sz w:val="24"/>
          <w:szCs w:val="24"/>
          <w:vertAlign w:val="subscript"/>
        </w:rPr>
        <w:t>8,274</w:t>
      </w:r>
      <w:r w:rsidRPr="000224E9">
        <w:rPr>
          <w:rFonts w:ascii="Times New Roman" w:eastAsia="MS Mincho" w:hAnsi="Times New Roman" w:cs="Times New Roman"/>
          <w:bCs/>
          <w:iCs/>
          <w:color w:val="000000"/>
          <w:sz w:val="24"/>
          <w:szCs w:val="24"/>
        </w:rPr>
        <w:t>=2.92, p&lt;0.001). Finally, 6% of variation is explained by an interaction between species and region (PERMANOVA, Species*Region F</w:t>
      </w:r>
      <w:r w:rsidRPr="000224E9">
        <w:rPr>
          <w:rFonts w:ascii="Times New Roman" w:eastAsia="MS Mincho" w:hAnsi="Times New Roman" w:cs="Times New Roman"/>
          <w:bCs/>
          <w:iCs/>
          <w:color w:val="000000"/>
          <w:sz w:val="24"/>
          <w:szCs w:val="24"/>
          <w:vertAlign w:val="subscript"/>
        </w:rPr>
        <w:t>6,274</w:t>
      </w:r>
      <w:r w:rsidRPr="000224E9">
        <w:rPr>
          <w:rFonts w:ascii="Times New Roman" w:eastAsia="MS Mincho" w:hAnsi="Times New Roman" w:cs="Times New Roman"/>
          <w:bCs/>
          <w:iCs/>
          <w:color w:val="000000"/>
          <w:sz w:val="24"/>
          <w:szCs w:val="24"/>
        </w:rPr>
        <w:t xml:space="preserve">=6.52, p&lt;0.001). For both </w:t>
      </w:r>
      <w:proofErr w:type="spellStart"/>
      <w:r w:rsidRPr="000224E9">
        <w:rPr>
          <w:rFonts w:ascii="Times New Roman" w:eastAsia="MS Mincho" w:hAnsi="Times New Roman" w:cs="Times New Roman"/>
          <w:bCs/>
          <w:iCs/>
          <w:color w:val="000000"/>
          <w:sz w:val="24"/>
          <w:szCs w:val="24"/>
        </w:rPr>
        <w:t>androconial</w:t>
      </w:r>
      <w:proofErr w:type="spellEnd"/>
      <w:r w:rsidRPr="000224E9">
        <w:rPr>
          <w:rFonts w:ascii="Times New Roman" w:eastAsia="MS Mincho" w:hAnsi="Times New Roman" w:cs="Times New Roman"/>
          <w:bCs/>
          <w:iCs/>
          <w:color w:val="000000"/>
          <w:sz w:val="24"/>
          <w:szCs w:val="24"/>
        </w:rPr>
        <w:t xml:space="preserve"> and genital chemical profiles, most variation is explained by species identity, rather than geographic location, as confirmed by </w:t>
      </w:r>
      <w:proofErr w:type="spellStart"/>
      <w:r w:rsidRPr="000224E9">
        <w:rPr>
          <w:rFonts w:ascii="Times New Roman" w:eastAsia="MS Mincho" w:hAnsi="Times New Roman" w:cs="Times New Roman"/>
          <w:bCs/>
          <w:iCs/>
          <w:color w:val="000000"/>
          <w:sz w:val="24"/>
          <w:szCs w:val="24"/>
        </w:rPr>
        <w:t>ManyGLM</w:t>
      </w:r>
      <w:proofErr w:type="spellEnd"/>
      <w:r w:rsidRPr="000224E9">
        <w:rPr>
          <w:rFonts w:ascii="Times New Roman" w:eastAsia="MS Mincho" w:hAnsi="Times New Roman" w:cs="Times New Roman"/>
          <w:bCs/>
          <w:iCs/>
          <w:color w:val="000000"/>
          <w:sz w:val="24"/>
          <w:szCs w:val="24"/>
        </w:rPr>
        <w:t xml:space="preserve"> (Tables </w:t>
      </w:r>
      <w:r w:rsidR="003A48C1" w:rsidRPr="000224E9">
        <w:rPr>
          <w:rFonts w:ascii="Times New Roman" w:eastAsia="MS Mincho" w:hAnsi="Times New Roman" w:cs="Times New Roman"/>
          <w:bCs/>
          <w:iCs/>
          <w:color w:val="000000"/>
          <w:sz w:val="24"/>
          <w:szCs w:val="24"/>
        </w:rPr>
        <w:t>A</w:t>
      </w:r>
      <w:r w:rsidR="00F35B53">
        <w:rPr>
          <w:rFonts w:ascii="Times New Roman" w:eastAsia="MS Mincho" w:hAnsi="Times New Roman" w:cs="Times New Roman"/>
          <w:bCs/>
          <w:iCs/>
          <w:color w:val="000000"/>
          <w:sz w:val="24"/>
          <w:szCs w:val="24"/>
        </w:rPr>
        <w:t>7</w:t>
      </w:r>
      <w:r w:rsidRPr="000224E9">
        <w:rPr>
          <w:rFonts w:ascii="Times New Roman" w:eastAsia="MS Mincho" w:hAnsi="Times New Roman" w:cs="Times New Roman"/>
          <w:bCs/>
          <w:iCs/>
          <w:color w:val="000000"/>
          <w:sz w:val="24"/>
          <w:szCs w:val="24"/>
        </w:rPr>
        <w:t xml:space="preserve">, </w:t>
      </w:r>
      <w:r w:rsidR="003A48C1" w:rsidRPr="000224E9">
        <w:rPr>
          <w:rFonts w:ascii="Times New Roman" w:eastAsia="MS Mincho" w:hAnsi="Times New Roman" w:cs="Times New Roman"/>
          <w:bCs/>
          <w:iCs/>
          <w:color w:val="000000"/>
          <w:sz w:val="24"/>
          <w:szCs w:val="24"/>
        </w:rPr>
        <w:t>A</w:t>
      </w:r>
      <w:r w:rsidR="00F35B53">
        <w:rPr>
          <w:rFonts w:ascii="Times New Roman" w:eastAsia="MS Mincho" w:hAnsi="Times New Roman" w:cs="Times New Roman"/>
          <w:bCs/>
          <w:iCs/>
          <w:color w:val="000000"/>
          <w:sz w:val="24"/>
          <w:szCs w:val="24"/>
        </w:rPr>
        <w:t>8)</w:t>
      </w:r>
      <w:r w:rsidRPr="000224E9">
        <w:rPr>
          <w:rFonts w:ascii="Times New Roman" w:eastAsia="MS Mincho" w:hAnsi="Times New Roman" w:cs="Times New Roman"/>
          <w:bCs/>
          <w:iCs/>
          <w:color w:val="000000"/>
          <w:sz w:val="24"/>
          <w:szCs w:val="24"/>
        </w:rPr>
        <w:t xml:space="preserve">. </w:t>
      </w:r>
      <w:r w:rsidR="00245CFA" w:rsidRPr="000224E9">
        <w:rPr>
          <w:rFonts w:ascii="Times New Roman" w:eastAsia="MS Mincho" w:hAnsi="Times New Roman" w:cs="Times New Roman"/>
          <w:bCs/>
          <w:iCs/>
          <w:color w:val="000000"/>
          <w:sz w:val="24"/>
          <w:szCs w:val="24"/>
        </w:rPr>
        <w:t>We also confirmed this by comparison of within and between species and locality Bray-Curtis distances</w:t>
      </w:r>
      <w:r w:rsidR="00245CFA">
        <w:rPr>
          <w:rFonts w:ascii="Times New Roman" w:eastAsia="MS Mincho" w:hAnsi="Times New Roman" w:cs="Times New Roman"/>
          <w:bCs/>
          <w:iCs/>
          <w:color w:val="000000"/>
          <w:sz w:val="24"/>
          <w:szCs w:val="24"/>
        </w:rPr>
        <w:t xml:space="preserve"> (Appendix B). </w:t>
      </w:r>
    </w:p>
    <w:p w:rsidR="00E83902" w:rsidRPr="00E83902" w:rsidRDefault="00E83902" w:rsidP="00E83902">
      <w:pPr>
        <w:spacing w:after="120" w:line="480" w:lineRule="auto"/>
        <w:rPr>
          <w:rFonts w:ascii="Times New Roman" w:eastAsia="MS Mincho" w:hAnsi="Times New Roman" w:cs="Times New Roman"/>
          <w:bCs/>
          <w:iCs/>
          <w:color w:val="000000"/>
          <w:sz w:val="24"/>
          <w:szCs w:val="24"/>
        </w:rPr>
      </w:pPr>
    </w:p>
    <w:p w:rsidR="00A7633C" w:rsidRPr="000224E9" w:rsidRDefault="00A7633C" w:rsidP="00A7633C">
      <w:pPr>
        <w:spacing w:after="120" w:line="480" w:lineRule="auto"/>
        <w:rPr>
          <w:rFonts w:ascii="Times New Roman" w:hAnsi="Times New Roman" w:cs="Times New Roman"/>
          <w:i/>
          <w:iCs/>
          <w:color w:val="000000" w:themeColor="text1"/>
          <w:sz w:val="24"/>
          <w:szCs w:val="24"/>
          <w:u w:val="single"/>
        </w:rPr>
      </w:pPr>
      <w:r w:rsidRPr="000224E9">
        <w:rPr>
          <w:rFonts w:ascii="Times New Roman" w:hAnsi="Times New Roman" w:cs="Times New Roman"/>
          <w:i/>
          <w:iCs/>
          <w:color w:val="000000" w:themeColor="text1"/>
          <w:sz w:val="24"/>
          <w:szCs w:val="24"/>
          <w:u w:val="single"/>
        </w:rPr>
        <w:lastRenderedPageBreak/>
        <w:t>Does phylogenetic distance explain chemical profile divergence?</w:t>
      </w:r>
    </w:p>
    <w:p w:rsidR="00A7633C" w:rsidRPr="000224E9" w:rsidRDefault="00A7633C" w:rsidP="00A7633C">
      <w:pPr>
        <w:spacing w:after="120" w:line="480" w:lineRule="auto"/>
        <w:ind w:firstLine="720"/>
        <w:rPr>
          <w:rFonts w:ascii="Times New Roman" w:hAnsi="Times New Roman" w:cs="Times New Roman"/>
          <w:sz w:val="24"/>
          <w:szCs w:val="24"/>
        </w:rPr>
      </w:pPr>
      <w:r w:rsidRPr="000224E9">
        <w:rPr>
          <w:rFonts w:ascii="Times New Roman" w:hAnsi="Times New Roman" w:cs="Times New Roman"/>
          <w:sz w:val="24"/>
          <w:szCs w:val="24"/>
        </w:rPr>
        <w:t xml:space="preserve">Using whole-genome sequence data, we explored the degree to which variation between species can be explained by geographic and genetic distance among the samples. We carried out partial Mantel tests to investigate the correlation between two variables whilst controlling for a third variable. When controlling for geographic distance, genetic divergence is strongly correlated with both </w:t>
      </w:r>
      <w:proofErr w:type="spellStart"/>
      <w:r w:rsidRPr="000224E9">
        <w:rPr>
          <w:rFonts w:ascii="Times New Roman" w:hAnsi="Times New Roman" w:cs="Times New Roman"/>
          <w:sz w:val="24"/>
          <w:szCs w:val="24"/>
        </w:rPr>
        <w:t>androconial</w:t>
      </w:r>
      <w:proofErr w:type="spellEnd"/>
      <w:r w:rsidRPr="000224E9">
        <w:rPr>
          <w:rFonts w:ascii="Times New Roman" w:hAnsi="Times New Roman" w:cs="Times New Roman"/>
          <w:sz w:val="24"/>
          <w:szCs w:val="24"/>
        </w:rPr>
        <w:t xml:space="preserve"> and genital chemical divergence (partial Mantel test, androconia, r=0.7871, p=0.001; genitals, r=0.6936, p=0.001). When controlling for genetic distance, geographic distance is significantly but weakly correlated with </w:t>
      </w:r>
      <w:proofErr w:type="spellStart"/>
      <w:r w:rsidRPr="000224E9">
        <w:rPr>
          <w:rFonts w:ascii="Times New Roman" w:hAnsi="Times New Roman" w:cs="Times New Roman"/>
          <w:sz w:val="24"/>
          <w:szCs w:val="24"/>
        </w:rPr>
        <w:t>androconial</w:t>
      </w:r>
      <w:proofErr w:type="spellEnd"/>
      <w:r w:rsidRPr="000224E9">
        <w:rPr>
          <w:rFonts w:ascii="Times New Roman" w:hAnsi="Times New Roman" w:cs="Times New Roman"/>
          <w:sz w:val="24"/>
          <w:szCs w:val="24"/>
        </w:rPr>
        <w:t xml:space="preserve"> and genital chemical divergence (partial Mantel test, androconia, r=0.072, p=0.001; genitals, r=0.046, p=0.007). </w:t>
      </w:r>
    </w:p>
    <w:p w:rsidR="00A7633C" w:rsidRPr="000224E9" w:rsidRDefault="00A7633C" w:rsidP="00A7633C">
      <w:pPr>
        <w:spacing w:after="120" w:line="480" w:lineRule="auto"/>
        <w:rPr>
          <w:rFonts w:ascii="Times New Roman" w:eastAsia="MS Mincho" w:hAnsi="Times New Roman" w:cs="Times New Roman"/>
          <w:bCs/>
          <w:i/>
          <w:color w:val="000000"/>
          <w:sz w:val="24"/>
          <w:szCs w:val="24"/>
          <w:u w:val="single"/>
        </w:rPr>
      </w:pPr>
      <w:r w:rsidRPr="000224E9">
        <w:rPr>
          <w:rFonts w:ascii="Times New Roman" w:eastAsia="MS Mincho" w:hAnsi="Times New Roman" w:cs="Times New Roman"/>
          <w:bCs/>
          <w:i/>
          <w:color w:val="000000"/>
          <w:sz w:val="24"/>
          <w:szCs w:val="24"/>
          <w:u w:val="single"/>
        </w:rPr>
        <w:t>Do we find population-specific chemical compounds?</w:t>
      </w:r>
    </w:p>
    <w:p w:rsidR="00A7633C" w:rsidRPr="00E83902" w:rsidRDefault="00A7633C" w:rsidP="00E83902">
      <w:pPr>
        <w:spacing w:after="120" w:line="480" w:lineRule="auto"/>
        <w:ind w:firstLine="720"/>
        <w:rPr>
          <w:rFonts w:ascii="Times New Roman" w:hAnsi="Times New Roman" w:cs="Times New Roman"/>
          <w:sz w:val="24"/>
          <w:szCs w:val="24"/>
        </w:rPr>
      </w:pPr>
      <w:r w:rsidRPr="000224E9">
        <w:rPr>
          <w:rFonts w:ascii="Times New Roman" w:hAnsi="Times New Roman" w:cs="Times New Roman"/>
          <w:sz w:val="24"/>
          <w:szCs w:val="24"/>
        </w:rPr>
        <w:t xml:space="preserve">We used an indicator analysis to search for compounds unique to specific populations of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erato</w:t>
      </w:r>
      <w:proofErr w:type="spellEnd"/>
      <w:r w:rsidRPr="000224E9">
        <w:rPr>
          <w:rFonts w:ascii="Times New Roman" w:hAnsi="Times New Roman" w:cs="Times New Roman"/>
          <w:i/>
          <w:iCs/>
          <w:sz w:val="24"/>
          <w:szCs w:val="24"/>
        </w:rPr>
        <w:t xml:space="preserve"> </w:t>
      </w:r>
      <w:r w:rsidRPr="000224E9">
        <w:rPr>
          <w:rFonts w:ascii="Times New Roman" w:hAnsi="Times New Roman" w:cs="Times New Roman"/>
          <w:sz w:val="24"/>
          <w:szCs w:val="24"/>
        </w:rPr>
        <w:t xml:space="preserve">and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melpomene</w:t>
      </w:r>
      <w:proofErr w:type="spellEnd"/>
      <w:r w:rsidRPr="000224E9">
        <w:rPr>
          <w:rFonts w:ascii="Times New Roman" w:hAnsi="Times New Roman" w:cs="Times New Roman"/>
          <w:sz w:val="24"/>
          <w:szCs w:val="24"/>
        </w:rPr>
        <w:t xml:space="preserve">. Most intraspecific differences are due to quantitative rather than qualitative differences between populations, perhaps explaining why many </w:t>
      </w:r>
      <w:r w:rsidRPr="000224E9">
        <w:rPr>
          <w:rFonts w:ascii="Times New Roman" w:hAnsi="Times New Roman" w:cs="Times New Roman"/>
          <w:iCs/>
          <w:sz w:val="24"/>
          <w:szCs w:val="24"/>
        </w:rPr>
        <w:t>population</w:t>
      </w:r>
      <w:r w:rsidRPr="000224E9">
        <w:rPr>
          <w:rFonts w:ascii="Times New Roman" w:hAnsi="Times New Roman" w:cs="Times New Roman"/>
          <w:sz w:val="24"/>
          <w:szCs w:val="24"/>
        </w:rPr>
        <w:t xml:space="preserve"> indicators were weak as they are also found in other regions at different amounts (Table </w:t>
      </w:r>
      <w:r w:rsidR="003A48C1" w:rsidRPr="000224E9">
        <w:rPr>
          <w:rFonts w:ascii="Times New Roman" w:hAnsi="Times New Roman" w:cs="Times New Roman"/>
          <w:sz w:val="24"/>
          <w:szCs w:val="24"/>
        </w:rPr>
        <w:t>A</w:t>
      </w:r>
      <w:r w:rsidR="00F35B53">
        <w:rPr>
          <w:rFonts w:ascii="Times New Roman" w:hAnsi="Times New Roman" w:cs="Times New Roman"/>
          <w:sz w:val="24"/>
          <w:szCs w:val="24"/>
        </w:rPr>
        <w:t>9</w:t>
      </w:r>
      <w:r w:rsidRPr="000224E9">
        <w:rPr>
          <w:rFonts w:ascii="Times New Roman" w:hAnsi="Times New Roman" w:cs="Times New Roman"/>
          <w:sz w:val="24"/>
          <w:szCs w:val="24"/>
        </w:rPr>
        <w:t xml:space="preserve">, </w:t>
      </w:r>
      <w:r w:rsidR="003A48C1" w:rsidRPr="000224E9">
        <w:rPr>
          <w:rFonts w:ascii="Times New Roman" w:hAnsi="Times New Roman" w:cs="Times New Roman"/>
          <w:sz w:val="24"/>
          <w:szCs w:val="24"/>
        </w:rPr>
        <w:t>A</w:t>
      </w:r>
      <w:r w:rsidRPr="000224E9">
        <w:rPr>
          <w:rFonts w:ascii="Times New Roman" w:hAnsi="Times New Roman" w:cs="Times New Roman"/>
          <w:sz w:val="24"/>
          <w:szCs w:val="24"/>
        </w:rPr>
        <w:t>1</w:t>
      </w:r>
      <w:r w:rsidR="00F35B53">
        <w:rPr>
          <w:rFonts w:ascii="Times New Roman" w:hAnsi="Times New Roman" w:cs="Times New Roman"/>
          <w:sz w:val="24"/>
          <w:szCs w:val="24"/>
        </w:rPr>
        <w:t>0</w:t>
      </w:r>
      <w:r w:rsidRPr="000224E9">
        <w:rPr>
          <w:rFonts w:ascii="Times New Roman" w:hAnsi="Times New Roman" w:cs="Times New Roman"/>
          <w:sz w:val="24"/>
          <w:szCs w:val="24"/>
        </w:rPr>
        <w:t xml:space="preserve">). The only exception is </w:t>
      </w:r>
      <w:r w:rsidRPr="000224E9">
        <w:rPr>
          <w:rFonts w:ascii="Times New Roman" w:hAnsi="Times New Roman" w:cs="Times New Roman"/>
          <w:i/>
          <w:iCs/>
          <w:sz w:val="24"/>
          <w:szCs w:val="24"/>
        </w:rPr>
        <w:t xml:space="preserve">H. e. </w:t>
      </w:r>
      <w:proofErr w:type="spellStart"/>
      <w:r w:rsidRPr="000224E9">
        <w:rPr>
          <w:rFonts w:ascii="Times New Roman" w:hAnsi="Times New Roman" w:cs="Times New Roman"/>
          <w:i/>
          <w:iCs/>
          <w:sz w:val="24"/>
          <w:szCs w:val="24"/>
        </w:rPr>
        <w:t>cyrbia</w:t>
      </w:r>
      <w:proofErr w:type="spellEnd"/>
      <w:r w:rsidRPr="000224E9">
        <w:rPr>
          <w:rFonts w:ascii="Times New Roman" w:hAnsi="Times New Roman" w:cs="Times New Roman"/>
          <w:i/>
          <w:iCs/>
          <w:sz w:val="24"/>
          <w:szCs w:val="24"/>
        </w:rPr>
        <w:t xml:space="preserve"> </w:t>
      </w:r>
      <w:r w:rsidRPr="000224E9">
        <w:rPr>
          <w:rFonts w:ascii="Times New Roman" w:hAnsi="Times New Roman" w:cs="Times New Roman"/>
          <w:sz w:val="24"/>
          <w:szCs w:val="24"/>
        </w:rPr>
        <w:t xml:space="preserve">(Western Ecuador) that has many genital compounds unique to this region (Table </w:t>
      </w:r>
      <w:r w:rsidR="003A48C1" w:rsidRPr="000224E9">
        <w:rPr>
          <w:rFonts w:ascii="Times New Roman" w:hAnsi="Times New Roman" w:cs="Times New Roman"/>
          <w:sz w:val="24"/>
          <w:szCs w:val="24"/>
        </w:rPr>
        <w:t>A</w:t>
      </w:r>
      <w:r w:rsidR="00F35B53">
        <w:rPr>
          <w:rFonts w:ascii="Times New Roman" w:hAnsi="Times New Roman" w:cs="Times New Roman"/>
          <w:sz w:val="24"/>
          <w:szCs w:val="24"/>
        </w:rPr>
        <w:t>9</w:t>
      </w:r>
      <w:r w:rsidRPr="000224E9">
        <w:rPr>
          <w:rFonts w:ascii="Times New Roman" w:hAnsi="Times New Roman" w:cs="Times New Roman"/>
          <w:sz w:val="24"/>
          <w:szCs w:val="24"/>
        </w:rPr>
        <w:t xml:space="preserve">). </w:t>
      </w:r>
      <w:r w:rsidRPr="000224E9">
        <w:rPr>
          <w:rFonts w:ascii="Times New Roman" w:hAnsi="Times New Roman" w:cs="Times New Roman"/>
          <w:i/>
          <w:iCs/>
          <w:sz w:val="24"/>
          <w:szCs w:val="24"/>
          <w:u w:val="single"/>
        </w:rPr>
        <w:br w:type="page"/>
      </w:r>
    </w:p>
    <w:p w:rsidR="00A7633C" w:rsidRPr="000224E9" w:rsidRDefault="00A7633C" w:rsidP="00A7633C">
      <w:pPr>
        <w:spacing w:after="120" w:line="480" w:lineRule="auto"/>
        <w:rPr>
          <w:rFonts w:ascii="Times New Roman" w:hAnsi="Times New Roman" w:cs="Times New Roman"/>
          <w:i/>
          <w:iCs/>
          <w:sz w:val="24"/>
          <w:szCs w:val="24"/>
          <w:u w:val="single"/>
        </w:rPr>
      </w:pPr>
      <w:r w:rsidRPr="000224E9">
        <w:rPr>
          <w:rFonts w:ascii="Times New Roman" w:hAnsi="Times New Roman" w:cs="Times New Roman"/>
          <w:i/>
          <w:iCs/>
          <w:sz w:val="24"/>
          <w:szCs w:val="24"/>
          <w:u w:val="single"/>
        </w:rPr>
        <w:lastRenderedPageBreak/>
        <w:t xml:space="preserve">What factors affect intraspecific variation in chemical profiles of </w:t>
      </w:r>
      <w:r w:rsidRPr="000224E9">
        <w:rPr>
          <w:rFonts w:ascii="Times New Roman" w:hAnsi="Times New Roman" w:cs="Times New Roman"/>
          <w:sz w:val="24"/>
          <w:szCs w:val="24"/>
          <w:u w:val="single"/>
        </w:rPr>
        <w:t xml:space="preserve">H. </w:t>
      </w:r>
      <w:proofErr w:type="spellStart"/>
      <w:r w:rsidRPr="000224E9">
        <w:rPr>
          <w:rFonts w:ascii="Times New Roman" w:hAnsi="Times New Roman" w:cs="Times New Roman"/>
          <w:sz w:val="24"/>
          <w:szCs w:val="24"/>
          <w:u w:val="single"/>
        </w:rPr>
        <w:t>erato</w:t>
      </w:r>
      <w:proofErr w:type="spellEnd"/>
      <w:r w:rsidRPr="000224E9">
        <w:rPr>
          <w:rFonts w:ascii="Times New Roman" w:hAnsi="Times New Roman" w:cs="Times New Roman"/>
          <w:i/>
          <w:iCs/>
          <w:sz w:val="24"/>
          <w:szCs w:val="24"/>
          <w:u w:val="single"/>
        </w:rPr>
        <w:t xml:space="preserve"> and </w:t>
      </w:r>
      <w:r w:rsidRPr="000224E9">
        <w:rPr>
          <w:rFonts w:ascii="Times New Roman" w:hAnsi="Times New Roman" w:cs="Times New Roman"/>
          <w:sz w:val="24"/>
          <w:szCs w:val="24"/>
          <w:u w:val="single"/>
        </w:rPr>
        <w:t xml:space="preserve">H. </w:t>
      </w:r>
      <w:proofErr w:type="spellStart"/>
      <w:r w:rsidRPr="000224E9">
        <w:rPr>
          <w:rFonts w:ascii="Times New Roman" w:hAnsi="Times New Roman" w:cs="Times New Roman"/>
          <w:sz w:val="24"/>
          <w:szCs w:val="24"/>
          <w:u w:val="single"/>
        </w:rPr>
        <w:t>melpomene</w:t>
      </w:r>
      <w:proofErr w:type="spellEnd"/>
      <w:r w:rsidRPr="000224E9">
        <w:rPr>
          <w:rFonts w:ascii="Times New Roman" w:hAnsi="Times New Roman" w:cs="Times New Roman"/>
          <w:i/>
          <w:iCs/>
          <w:sz w:val="24"/>
          <w:szCs w:val="24"/>
          <w:u w:val="single"/>
        </w:rPr>
        <w:t>?</w:t>
      </w:r>
    </w:p>
    <w:p w:rsidR="00A7633C" w:rsidRPr="000224E9" w:rsidRDefault="00A7633C" w:rsidP="00A7633C">
      <w:pPr>
        <w:spacing w:after="120" w:line="480" w:lineRule="auto"/>
        <w:ind w:firstLine="720"/>
        <w:rPr>
          <w:rFonts w:ascii="Times New Roman" w:hAnsi="Times New Roman" w:cs="Times New Roman"/>
          <w:sz w:val="24"/>
          <w:szCs w:val="24"/>
        </w:rPr>
      </w:pPr>
      <w:r w:rsidRPr="000224E9">
        <w:rPr>
          <w:rFonts w:ascii="Times New Roman" w:hAnsi="Times New Roman" w:cs="Times New Roman"/>
          <w:sz w:val="24"/>
          <w:szCs w:val="24"/>
        </w:rPr>
        <w:t xml:space="preserve">We also wanted to determine the sources of variation within species using our broad sampling of populations across the ranges of </w:t>
      </w:r>
      <w:r w:rsidRPr="000224E9">
        <w:rPr>
          <w:rFonts w:ascii="Times New Roman" w:hAnsi="Times New Roman" w:cs="Times New Roman"/>
          <w:i/>
          <w:sz w:val="24"/>
          <w:szCs w:val="24"/>
        </w:rPr>
        <w:t xml:space="preserve">H. </w:t>
      </w:r>
      <w:proofErr w:type="spellStart"/>
      <w:r w:rsidRPr="000224E9">
        <w:rPr>
          <w:rFonts w:ascii="Times New Roman" w:hAnsi="Times New Roman" w:cs="Times New Roman"/>
          <w:i/>
          <w:sz w:val="24"/>
          <w:szCs w:val="24"/>
        </w:rPr>
        <w:t>erato</w:t>
      </w:r>
      <w:proofErr w:type="spellEnd"/>
      <w:r w:rsidRPr="000224E9">
        <w:rPr>
          <w:rFonts w:ascii="Times New Roman" w:hAnsi="Times New Roman" w:cs="Times New Roman"/>
          <w:sz w:val="24"/>
          <w:szCs w:val="24"/>
        </w:rPr>
        <w:t xml:space="preserve"> and </w:t>
      </w:r>
      <w:r w:rsidRPr="000224E9">
        <w:rPr>
          <w:rFonts w:ascii="Times New Roman" w:hAnsi="Times New Roman" w:cs="Times New Roman"/>
          <w:i/>
          <w:sz w:val="24"/>
          <w:szCs w:val="24"/>
        </w:rPr>
        <w:t xml:space="preserve">H. </w:t>
      </w:r>
      <w:proofErr w:type="spellStart"/>
      <w:r w:rsidRPr="000224E9">
        <w:rPr>
          <w:rFonts w:ascii="Times New Roman" w:hAnsi="Times New Roman" w:cs="Times New Roman"/>
          <w:i/>
          <w:sz w:val="24"/>
          <w:szCs w:val="24"/>
        </w:rPr>
        <w:t>melpomene</w:t>
      </w:r>
      <w:proofErr w:type="spellEnd"/>
      <w:r w:rsidRPr="000224E9">
        <w:rPr>
          <w:rFonts w:ascii="Times New Roman" w:hAnsi="Times New Roman" w:cs="Times New Roman"/>
          <w:sz w:val="24"/>
          <w:szCs w:val="24"/>
        </w:rPr>
        <w:t xml:space="preserve">. For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erato</w:t>
      </w:r>
      <w:proofErr w:type="spellEnd"/>
      <w:r w:rsidRPr="000224E9">
        <w:rPr>
          <w:rFonts w:ascii="Times New Roman" w:hAnsi="Times New Roman" w:cs="Times New Roman"/>
          <w:sz w:val="24"/>
          <w:szCs w:val="24"/>
        </w:rPr>
        <w:t xml:space="preserve"> there was a strong grouping of individuals by region (Fig. 4), with 27% of variation in </w:t>
      </w:r>
      <w:proofErr w:type="spellStart"/>
      <w:r w:rsidRPr="000224E9">
        <w:rPr>
          <w:rFonts w:ascii="Times New Roman" w:hAnsi="Times New Roman" w:cs="Times New Roman"/>
          <w:sz w:val="24"/>
          <w:szCs w:val="24"/>
        </w:rPr>
        <w:t>androconial</w:t>
      </w:r>
      <w:proofErr w:type="spellEnd"/>
      <w:r w:rsidRPr="000224E9">
        <w:rPr>
          <w:rFonts w:ascii="Times New Roman" w:hAnsi="Times New Roman" w:cs="Times New Roman"/>
          <w:sz w:val="24"/>
          <w:szCs w:val="24"/>
        </w:rPr>
        <w:t xml:space="preserve"> profiles being explained by region and 11% by locality nested within region (PERMANOVA, Region F</w:t>
      </w:r>
      <w:r w:rsidRPr="000224E9">
        <w:rPr>
          <w:rFonts w:ascii="Times New Roman" w:hAnsi="Times New Roman" w:cs="Times New Roman"/>
          <w:sz w:val="24"/>
          <w:szCs w:val="24"/>
          <w:vertAlign w:val="subscript"/>
        </w:rPr>
        <w:t>3,87</w:t>
      </w:r>
      <w:r w:rsidRPr="000224E9">
        <w:rPr>
          <w:rFonts w:ascii="Times New Roman" w:hAnsi="Times New Roman" w:cs="Times New Roman"/>
          <w:sz w:val="24"/>
          <w:szCs w:val="24"/>
        </w:rPr>
        <w:t>=11.16, p&lt;0.001, Locality F</w:t>
      </w:r>
      <w:r w:rsidRPr="000224E9">
        <w:rPr>
          <w:rFonts w:ascii="Times New Roman" w:hAnsi="Times New Roman" w:cs="Times New Roman"/>
          <w:sz w:val="24"/>
          <w:szCs w:val="24"/>
          <w:vertAlign w:val="subscript"/>
        </w:rPr>
        <w:t>6,87</w:t>
      </w:r>
      <w:r w:rsidRPr="000224E9">
        <w:rPr>
          <w:rFonts w:ascii="Times New Roman" w:hAnsi="Times New Roman" w:cs="Times New Roman"/>
          <w:sz w:val="24"/>
          <w:szCs w:val="24"/>
        </w:rPr>
        <w:t xml:space="preserve">=2.35, p&lt;0.001). All four regions are significantly different from each other (Pairwise permutation MANOVAs, p&lt;0.01). For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erato</w:t>
      </w:r>
      <w:proofErr w:type="spellEnd"/>
      <w:r w:rsidRPr="000224E9">
        <w:rPr>
          <w:rFonts w:ascii="Times New Roman" w:hAnsi="Times New Roman" w:cs="Times New Roman"/>
          <w:sz w:val="24"/>
          <w:szCs w:val="24"/>
        </w:rPr>
        <w:t xml:space="preserve"> genital compounds, 37% of variation is explained by region, and 11% by locality nested within region (PERMANOVA, Region F</w:t>
      </w:r>
      <w:r w:rsidRPr="000224E9">
        <w:rPr>
          <w:rFonts w:ascii="Times New Roman" w:hAnsi="Times New Roman" w:cs="Times New Roman"/>
          <w:sz w:val="24"/>
          <w:szCs w:val="24"/>
          <w:vertAlign w:val="subscript"/>
        </w:rPr>
        <w:t>3,91</w:t>
      </w:r>
      <w:r w:rsidRPr="000224E9">
        <w:rPr>
          <w:rFonts w:ascii="Times New Roman" w:hAnsi="Times New Roman" w:cs="Times New Roman"/>
          <w:sz w:val="24"/>
          <w:szCs w:val="24"/>
        </w:rPr>
        <w:t>=19.01, p&lt;0.001, Locality F</w:t>
      </w:r>
      <w:r w:rsidRPr="000224E9">
        <w:rPr>
          <w:rFonts w:ascii="Times New Roman" w:hAnsi="Times New Roman" w:cs="Times New Roman"/>
          <w:sz w:val="24"/>
          <w:szCs w:val="24"/>
          <w:vertAlign w:val="subscript"/>
        </w:rPr>
        <w:t>6,91</w:t>
      </w:r>
      <w:r w:rsidRPr="000224E9">
        <w:rPr>
          <w:rFonts w:ascii="Times New Roman" w:hAnsi="Times New Roman" w:cs="Times New Roman"/>
          <w:sz w:val="24"/>
          <w:szCs w:val="24"/>
        </w:rPr>
        <w:t>=2.83, p&lt;0.01). All four regions are significantly different from each other (Pairwise permutation MANOVAs, p&lt;0.05).</w:t>
      </w:r>
    </w:p>
    <w:p w:rsidR="00A7633C" w:rsidRPr="000224E9" w:rsidRDefault="00A7633C" w:rsidP="00A7633C">
      <w:pPr>
        <w:spacing w:after="120" w:line="480" w:lineRule="auto"/>
        <w:ind w:firstLine="720"/>
        <w:rPr>
          <w:rFonts w:ascii="Times New Roman" w:hAnsi="Times New Roman" w:cs="Times New Roman"/>
          <w:sz w:val="24"/>
          <w:szCs w:val="24"/>
        </w:rPr>
      </w:pPr>
      <w:r w:rsidRPr="000224E9">
        <w:rPr>
          <w:rFonts w:ascii="Times New Roman" w:hAnsi="Times New Roman" w:cs="Times New Roman"/>
          <w:sz w:val="24"/>
          <w:szCs w:val="24"/>
        </w:rPr>
        <w:t xml:space="preserve">These geographic differences in chemical profiles are not as strong in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melpomene</w:t>
      </w:r>
      <w:proofErr w:type="spellEnd"/>
      <w:r w:rsidRPr="000224E9">
        <w:rPr>
          <w:rFonts w:ascii="Times New Roman" w:hAnsi="Times New Roman" w:cs="Times New Roman"/>
          <w:sz w:val="24"/>
          <w:szCs w:val="24"/>
        </w:rPr>
        <w:t xml:space="preserve"> (Fig. 5). For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melpomene</w:t>
      </w:r>
      <w:proofErr w:type="spellEnd"/>
      <w:r w:rsidRPr="000224E9">
        <w:rPr>
          <w:rFonts w:ascii="Times New Roman" w:hAnsi="Times New Roman" w:cs="Times New Roman"/>
          <w:sz w:val="24"/>
          <w:szCs w:val="24"/>
        </w:rPr>
        <w:t xml:space="preserve"> </w:t>
      </w:r>
      <w:proofErr w:type="spellStart"/>
      <w:r w:rsidRPr="000224E9">
        <w:rPr>
          <w:rFonts w:ascii="Times New Roman" w:hAnsi="Times New Roman" w:cs="Times New Roman"/>
          <w:sz w:val="24"/>
          <w:szCs w:val="24"/>
        </w:rPr>
        <w:t>androconial</w:t>
      </w:r>
      <w:proofErr w:type="spellEnd"/>
      <w:r w:rsidRPr="000224E9">
        <w:rPr>
          <w:rFonts w:ascii="Times New Roman" w:hAnsi="Times New Roman" w:cs="Times New Roman"/>
          <w:sz w:val="24"/>
          <w:szCs w:val="24"/>
        </w:rPr>
        <w:t xml:space="preserve"> compounds, the best model only includes region, not locality, with 18% of variation is explained by region (PERMANOVA, Region F</w:t>
      </w:r>
      <w:r w:rsidRPr="000224E9">
        <w:rPr>
          <w:rFonts w:ascii="Times New Roman" w:hAnsi="Times New Roman" w:cs="Times New Roman"/>
          <w:sz w:val="24"/>
          <w:szCs w:val="24"/>
          <w:vertAlign w:val="subscript"/>
        </w:rPr>
        <w:t>3,86</w:t>
      </w:r>
      <w:r w:rsidRPr="000224E9">
        <w:rPr>
          <w:rFonts w:ascii="Times New Roman" w:hAnsi="Times New Roman" w:cs="Times New Roman"/>
          <w:sz w:val="24"/>
          <w:szCs w:val="24"/>
        </w:rPr>
        <w:t>=6.73, p&lt;0.01). The West Andes population (</w:t>
      </w:r>
      <w:r w:rsidRPr="000224E9">
        <w:rPr>
          <w:rFonts w:ascii="Times New Roman" w:hAnsi="Times New Roman" w:cs="Times New Roman"/>
          <w:i/>
          <w:iCs/>
          <w:sz w:val="24"/>
          <w:szCs w:val="24"/>
        </w:rPr>
        <w:t xml:space="preserve">H. m. </w:t>
      </w:r>
      <w:proofErr w:type="spellStart"/>
      <w:r w:rsidRPr="000224E9">
        <w:rPr>
          <w:rFonts w:ascii="Times New Roman" w:hAnsi="Times New Roman" w:cs="Times New Roman"/>
          <w:i/>
          <w:iCs/>
          <w:sz w:val="24"/>
          <w:szCs w:val="24"/>
        </w:rPr>
        <w:t>cythera</w:t>
      </w:r>
      <w:proofErr w:type="spellEnd"/>
      <w:r w:rsidRPr="000224E9">
        <w:rPr>
          <w:rFonts w:ascii="Times New Roman" w:hAnsi="Times New Roman" w:cs="Times New Roman"/>
          <w:sz w:val="24"/>
          <w:szCs w:val="24"/>
        </w:rPr>
        <w:t>) is not significantly different from either East Andes (multiple populations) or Panama (</w:t>
      </w:r>
      <w:r w:rsidRPr="000224E9">
        <w:rPr>
          <w:rFonts w:ascii="Times New Roman" w:hAnsi="Times New Roman" w:cs="Times New Roman"/>
          <w:i/>
          <w:iCs/>
          <w:sz w:val="24"/>
          <w:szCs w:val="24"/>
        </w:rPr>
        <w:t xml:space="preserve">H. m. </w:t>
      </w:r>
      <w:proofErr w:type="spellStart"/>
      <w:r w:rsidRPr="000224E9">
        <w:rPr>
          <w:rFonts w:ascii="Times New Roman" w:hAnsi="Times New Roman" w:cs="Times New Roman"/>
          <w:i/>
          <w:iCs/>
          <w:sz w:val="24"/>
          <w:szCs w:val="24"/>
        </w:rPr>
        <w:t>rosina</w:t>
      </w:r>
      <w:proofErr w:type="spellEnd"/>
      <w:r w:rsidRPr="000224E9">
        <w:rPr>
          <w:rFonts w:ascii="Times New Roman" w:hAnsi="Times New Roman" w:cs="Times New Roman"/>
          <w:sz w:val="24"/>
          <w:szCs w:val="24"/>
        </w:rPr>
        <w:t xml:space="preserve">) (Pairwise permutation MANOVAs, p=0.072), however, the other comparisons are significantly different (Pairwise permutation MANOVAs, p&lt;0.05). For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melpomene</w:t>
      </w:r>
      <w:proofErr w:type="spellEnd"/>
      <w:r w:rsidRPr="000224E9">
        <w:rPr>
          <w:rFonts w:ascii="Times New Roman" w:hAnsi="Times New Roman" w:cs="Times New Roman"/>
          <w:sz w:val="24"/>
          <w:szCs w:val="24"/>
        </w:rPr>
        <w:t xml:space="preserve"> genital compounds, 20% of variation is explained by region, and 12% by locality nested within region (PERMANOVA, Region F</w:t>
      </w:r>
      <w:r w:rsidRPr="000224E9">
        <w:rPr>
          <w:rFonts w:ascii="Times New Roman" w:hAnsi="Times New Roman" w:cs="Times New Roman"/>
          <w:sz w:val="24"/>
          <w:szCs w:val="24"/>
          <w:vertAlign w:val="subscript"/>
        </w:rPr>
        <w:t>3,103</w:t>
      </w:r>
      <w:r w:rsidRPr="000224E9">
        <w:rPr>
          <w:rFonts w:ascii="Times New Roman" w:hAnsi="Times New Roman" w:cs="Times New Roman"/>
          <w:sz w:val="24"/>
          <w:szCs w:val="24"/>
        </w:rPr>
        <w:t>=8.91, p&lt;0.001, Locality F</w:t>
      </w:r>
      <w:r w:rsidRPr="000224E9">
        <w:rPr>
          <w:rFonts w:ascii="Times New Roman" w:hAnsi="Times New Roman" w:cs="Times New Roman"/>
          <w:sz w:val="24"/>
          <w:szCs w:val="24"/>
          <w:vertAlign w:val="subscript"/>
        </w:rPr>
        <w:t>7,103</w:t>
      </w:r>
      <w:r w:rsidRPr="000224E9">
        <w:rPr>
          <w:rFonts w:ascii="Times New Roman" w:hAnsi="Times New Roman" w:cs="Times New Roman"/>
          <w:sz w:val="24"/>
          <w:szCs w:val="24"/>
        </w:rPr>
        <w:t xml:space="preserve">=2.34, p&lt;0.001). All regions are significantly different from each other (Pairwise permutation MANOVAs, p&lt;0.05), apart from West Andes and Amazon (Pairwise permutation MANOVAs, p=0.120). Both species show variation between geographic locations, with more variance explained by region in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erato</w:t>
      </w:r>
      <w:proofErr w:type="spellEnd"/>
      <w:r w:rsidRPr="000224E9">
        <w:rPr>
          <w:rFonts w:ascii="Times New Roman" w:hAnsi="Times New Roman" w:cs="Times New Roman"/>
          <w:sz w:val="24"/>
          <w:szCs w:val="24"/>
        </w:rPr>
        <w:t xml:space="preserve"> than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melpomene</w:t>
      </w:r>
      <w:proofErr w:type="spellEnd"/>
      <w:r w:rsidRPr="000224E9">
        <w:rPr>
          <w:rFonts w:ascii="Times New Roman" w:hAnsi="Times New Roman" w:cs="Times New Roman"/>
          <w:sz w:val="24"/>
          <w:szCs w:val="24"/>
        </w:rPr>
        <w:t xml:space="preserve">. These results were confirmed by </w:t>
      </w:r>
      <w:proofErr w:type="spellStart"/>
      <w:r w:rsidRPr="000224E9">
        <w:rPr>
          <w:rFonts w:ascii="Times New Roman" w:hAnsi="Times New Roman" w:cs="Times New Roman"/>
          <w:sz w:val="24"/>
          <w:szCs w:val="24"/>
        </w:rPr>
        <w:t>ManyGLM</w:t>
      </w:r>
      <w:proofErr w:type="spellEnd"/>
      <w:r w:rsidRPr="000224E9">
        <w:rPr>
          <w:rFonts w:ascii="Times New Roman" w:hAnsi="Times New Roman" w:cs="Times New Roman"/>
          <w:sz w:val="24"/>
          <w:szCs w:val="24"/>
        </w:rPr>
        <w:t xml:space="preserve"> tests (Tables </w:t>
      </w:r>
      <w:r w:rsidR="003A48C1" w:rsidRPr="000224E9">
        <w:rPr>
          <w:rFonts w:ascii="Times New Roman" w:hAnsi="Times New Roman" w:cs="Times New Roman"/>
          <w:sz w:val="24"/>
          <w:szCs w:val="24"/>
        </w:rPr>
        <w:t>A</w:t>
      </w:r>
      <w:r w:rsidRPr="000224E9">
        <w:rPr>
          <w:rFonts w:ascii="Times New Roman" w:hAnsi="Times New Roman" w:cs="Times New Roman"/>
          <w:sz w:val="24"/>
          <w:szCs w:val="24"/>
        </w:rPr>
        <w:t>1</w:t>
      </w:r>
      <w:r w:rsidR="00F35B53">
        <w:rPr>
          <w:rFonts w:ascii="Times New Roman" w:hAnsi="Times New Roman" w:cs="Times New Roman"/>
          <w:sz w:val="24"/>
          <w:szCs w:val="24"/>
        </w:rPr>
        <w:t>1</w:t>
      </w:r>
      <w:r w:rsidRPr="000224E9">
        <w:rPr>
          <w:rFonts w:ascii="Times New Roman" w:hAnsi="Times New Roman" w:cs="Times New Roman"/>
          <w:sz w:val="24"/>
          <w:szCs w:val="24"/>
        </w:rPr>
        <w:t xml:space="preserve">, </w:t>
      </w:r>
      <w:r w:rsidR="003A48C1" w:rsidRPr="000224E9">
        <w:rPr>
          <w:rFonts w:ascii="Times New Roman" w:hAnsi="Times New Roman" w:cs="Times New Roman"/>
          <w:sz w:val="24"/>
          <w:szCs w:val="24"/>
        </w:rPr>
        <w:t>A</w:t>
      </w:r>
      <w:r w:rsidRPr="000224E9">
        <w:rPr>
          <w:rFonts w:ascii="Times New Roman" w:hAnsi="Times New Roman" w:cs="Times New Roman"/>
          <w:sz w:val="24"/>
          <w:szCs w:val="24"/>
        </w:rPr>
        <w:t>1</w:t>
      </w:r>
      <w:r w:rsidR="00F35B53">
        <w:rPr>
          <w:rFonts w:ascii="Times New Roman" w:hAnsi="Times New Roman" w:cs="Times New Roman"/>
          <w:sz w:val="24"/>
          <w:szCs w:val="24"/>
        </w:rPr>
        <w:t>2</w:t>
      </w:r>
      <w:r w:rsidRPr="000224E9">
        <w:rPr>
          <w:rFonts w:ascii="Times New Roman" w:hAnsi="Times New Roman" w:cs="Times New Roman"/>
          <w:sz w:val="24"/>
          <w:szCs w:val="24"/>
        </w:rPr>
        <w:t xml:space="preserve">, </w:t>
      </w:r>
      <w:r w:rsidR="003A48C1" w:rsidRPr="000224E9">
        <w:rPr>
          <w:rFonts w:ascii="Times New Roman" w:hAnsi="Times New Roman" w:cs="Times New Roman"/>
          <w:sz w:val="24"/>
          <w:szCs w:val="24"/>
        </w:rPr>
        <w:t>A</w:t>
      </w:r>
      <w:r w:rsidRPr="000224E9">
        <w:rPr>
          <w:rFonts w:ascii="Times New Roman" w:hAnsi="Times New Roman" w:cs="Times New Roman"/>
          <w:sz w:val="24"/>
          <w:szCs w:val="24"/>
        </w:rPr>
        <w:t>1</w:t>
      </w:r>
      <w:r w:rsidR="00F35B53">
        <w:rPr>
          <w:rFonts w:ascii="Times New Roman" w:hAnsi="Times New Roman" w:cs="Times New Roman"/>
          <w:sz w:val="24"/>
          <w:szCs w:val="24"/>
        </w:rPr>
        <w:t>3</w:t>
      </w:r>
      <w:r w:rsidRPr="000224E9">
        <w:rPr>
          <w:rFonts w:ascii="Times New Roman" w:hAnsi="Times New Roman" w:cs="Times New Roman"/>
          <w:sz w:val="24"/>
          <w:szCs w:val="24"/>
        </w:rPr>
        <w:t xml:space="preserve">, </w:t>
      </w:r>
      <w:r w:rsidR="003A48C1" w:rsidRPr="000224E9">
        <w:rPr>
          <w:rFonts w:ascii="Times New Roman" w:hAnsi="Times New Roman" w:cs="Times New Roman"/>
          <w:sz w:val="24"/>
          <w:szCs w:val="24"/>
        </w:rPr>
        <w:t>A</w:t>
      </w:r>
      <w:r w:rsidRPr="000224E9">
        <w:rPr>
          <w:rFonts w:ascii="Times New Roman" w:hAnsi="Times New Roman" w:cs="Times New Roman"/>
          <w:sz w:val="24"/>
          <w:szCs w:val="24"/>
        </w:rPr>
        <w:t>1</w:t>
      </w:r>
      <w:r w:rsidR="00F35B53">
        <w:rPr>
          <w:rFonts w:ascii="Times New Roman" w:hAnsi="Times New Roman" w:cs="Times New Roman"/>
          <w:sz w:val="24"/>
          <w:szCs w:val="24"/>
        </w:rPr>
        <w:t>4</w:t>
      </w:r>
      <w:r w:rsidRPr="000224E9">
        <w:rPr>
          <w:rFonts w:ascii="Times New Roman" w:hAnsi="Times New Roman" w:cs="Times New Roman"/>
          <w:sz w:val="24"/>
          <w:szCs w:val="24"/>
        </w:rPr>
        <w:t xml:space="preserve">). </w:t>
      </w:r>
    </w:p>
    <w:p w:rsidR="00A7633C" w:rsidRPr="000224E9" w:rsidRDefault="00A7633C" w:rsidP="00A7633C">
      <w:pPr>
        <w:spacing w:after="120" w:line="480" w:lineRule="auto"/>
        <w:rPr>
          <w:rFonts w:ascii="Times New Roman" w:hAnsi="Times New Roman" w:cs="Times New Roman"/>
          <w:i/>
          <w:iCs/>
          <w:color w:val="000000" w:themeColor="text1"/>
          <w:sz w:val="24"/>
          <w:szCs w:val="24"/>
          <w:u w:val="single"/>
        </w:rPr>
      </w:pPr>
      <w:r w:rsidRPr="000224E9">
        <w:rPr>
          <w:rFonts w:ascii="Times New Roman" w:hAnsi="Times New Roman" w:cs="Times New Roman"/>
          <w:i/>
          <w:iCs/>
          <w:color w:val="000000" w:themeColor="text1"/>
          <w:sz w:val="24"/>
          <w:szCs w:val="24"/>
          <w:u w:val="single"/>
        </w:rPr>
        <w:lastRenderedPageBreak/>
        <w:t xml:space="preserve">Does genetic distance explain chemical divergence in </w:t>
      </w:r>
      <w:r w:rsidRPr="000224E9">
        <w:rPr>
          <w:rFonts w:ascii="Times New Roman" w:hAnsi="Times New Roman" w:cs="Times New Roman"/>
          <w:color w:val="000000" w:themeColor="text1"/>
          <w:sz w:val="24"/>
          <w:szCs w:val="24"/>
          <w:u w:val="single"/>
        </w:rPr>
        <w:t xml:space="preserve">H. </w:t>
      </w:r>
      <w:proofErr w:type="spellStart"/>
      <w:r w:rsidRPr="000224E9">
        <w:rPr>
          <w:rFonts w:ascii="Times New Roman" w:hAnsi="Times New Roman" w:cs="Times New Roman"/>
          <w:color w:val="000000" w:themeColor="text1"/>
          <w:sz w:val="24"/>
          <w:szCs w:val="24"/>
          <w:u w:val="single"/>
        </w:rPr>
        <w:t>erato</w:t>
      </w:r>
      <w:proofErr w:type="spellEnd"/>
      <w:r w:rsidRPr="000224E9">
        <w:rPr>
          <w:rFonts w:ascii="Times New Roman" w:hAnsi="Times New Roman" w:cs="Times New Roman"/>
          <w:i/>
          <w:iCs/>
          <w:color w:val="000000" w:themeColor="text1"/>
          <w:sz w:val="24"/>
          <w:szCs w:val="24"/>
          <w:u w:val="single"/>
        </w:rPr>
        <w:t xml:space="preserve"> and</w:t>
      </w:r>
      <w:r w:rsidRPr="000224E9">
        <w:rPr>
          <w:rFonts w:ascii="Times New Roman" w:hAnsi="Times New Roman" w:cs="Times New Roman"/>
          <w:color w:val="000000" w:themeColor="text1"/>
          <w:sz w:val="24"/>
          <w:szCs w:val="24"/>
          <w:u w:val="single"/>
        </w:rPr>
        <w:t xml:space="preserve"> H. </w:t>
      </w:r>
      <w:proofErr w:type="spellStart"/>
      <w:r w:rsidRPr="000224E9">
        <w:rPr>
          <w:rFonts w:ascii="Times New Roman" w:hAnsi="Times New Roman" w:cs="Times New Roman"/>
          <w:color w:val="000000" w:themeColor="text1"/>
          <w:sz w:val="24"/>
          <w:szCs w:val="24"/>
          <w:u w:val="single"/>
        </w:rPr>
        <w:t>melpomene</w:t>
      </w:r>
      <w:proofErr w:type="spellEnd"/>
      <w:r w:rsidRPr="000224E9">
        <w:rPr>
          <w:rFonts w:ascii="Times New Roman" w:hAnsi="Times New Roman" w:cs="Times New Roman"/>
          <w:i/>
          <w:iCs/>
          <w:color w:val="000000" w:themeColor="text1"/>
          <w:sz w:val="24"/>
          <w:szCs w:val="24"/>
          <w:u w:val="single"/>
        </w:rPr>
        <w:t>?</w:t>
      </w:r>
    </w:p>
    <w:p w:rsidR="00A7633C" w:rsidRPr="000224E9" w:rsidRDefault="00A7633C" w:rsidP="00A7633C">
      <w:pPr>
        <w:spacing w:after="120" w:line="480" w:lineRule="auto"/>
        <w:ind w:firstLine="720"/>
        <w:rPr>
          <w:rFonts w:ascii="Times New Roman" w:hAnsi="Times New Roman" w:cs="Times New Roman"/>
          <w:sz w:val="24"/>
          <w:szCs w:val="24"/>
        </w:rPr>
      </w:pPr>
      <w:r w:rsidRPr="000224E9">
        <w:rPr>
          <w:rFonts w:ascii="Times New Roman" w:hAnsi="Times New Roman" w:cs="Times New Roman"/>
          <w:sz w:val="24"/>
          <w:szCs w:val="24"/>
        </w:rPr>
        <w:t xml:space="preserve">In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erato</w:t>
      </w:r>
      <w:proofErr w:type="spellEnd"/>
      <w:r w:rsidRPr="000224E9">
        <w:rPr>
          <w:rFonts w:ascii="Times New Roman" w:hAnsi="Times New Roman" w:cs="Times New Roman"/>
          <w:sz w:val="24"/>
          <w:szCs w:val="24"/>
        </w:rPr>
        <w:t xml:space="preserve">, chemical distance is positively correlated with genetic distance, when accounting for geographic distance, although this correlation is weak for androconia (partial Mantel test, androconia, R=0.164, p=0.001; genitals, R=0.348, p=0.001).  When we account for genetic distance, geographic distance is weakly correlated with </w:t>
      </w:r>
      <w:proofErr w:type="spellStart"/>
      <w:r w:rsidRPr="000224E9">
        <w:rPr>
          <w:rFonts w:ascii="Times New Roman" w:hAnsi="Times New Roman" w:cs="Times New Roman"/>
          <w:sz w:val="24"/>
          <w:szCs w:val="24"/>
        </w:rPr>
        <w:t>androconial</w:t>
      </w:r>
      <w:proofErr w:type="spellEnd"/>
      <w:r w:rsidRPr="000224E9">
        <w:rPr>
          <w:rFonts w:ascii="Times New Roman" w:hAnsi="Times New Roman" w:cs="Times New Roman"/>
          <w:sz w:val="24"/>
          <w:szCs w:val="24"/>
        </w:rPr>
        <w:t xml:space="preserve"> chemical distance and not correlated with genital chemical distance (partial Mantel test, androconia, R=0.151, p=0.002; genitals, R=-0.0775, p=0.966). </w:t>
      </w:r>
    </w:p>
    <w:p w:rsidR="00A7633C" w:rsidRPr="000224E9" w:rsidRDefault="00A7633C" w:rsidP="00A7633C">
      <w:pPr>
        <w:spacing w:after="120" w:line="480" w:lineRule="auto"/>
        <w:ind w:firstLine="720"/>
        <w:rPr>
          <w:rFonts w:ascii="Times New Roman" w:hAnsi="Times New Roman" w:cs="Times New Roman"/>
          <w:sz w:val="24"/>
          <w:szCs w:val="24"/>
        </w:rPr>
      </w:pPr>
      <w:proofErr w:type="spellStart"/>
      <w:r w:rsidRPr="000224E9">
        <w:rPr>
          <w:rFonts w:ascii="Times New Roman" w:hAnsi="Times New Roman" w:cs="Times New Roman"/>
          <w:i/>
          <w:iCs/>
          <w:sz w:val="24"/>
          <w:szCs w:val="24"/>
        </w:rPr>
        <w:t>Heliconius</w:t>
      </w:r>
      <w:proofErr w:type="spellEnd"/>
      <w:r w:rsidRPr="000224E9">
        <w:rPr>
          <w:rFonts w:ascii="Times New Roman" w:hAnsi="Times New Roman" w:cs="Times New Roman"/>
          <w:i/>
          <w:iCs/>
          <w:sz w:val="24"/>
          <w:szCs w:val="24"/>
        </w:rPr>
        <w:t xml:space="preserve"> </w:t>
      </w:r>
      <w:proofErr w:type="spellStart"/>
      <w:r w:rsidRPr="000224E9">
        <w:rPr>
          <w:rFonts w:ascii="Times New Roman" w:hAnsi="Times New Roman" w:cs="Times New Roman"/>
          <w:i/>
          <w:iCs/>
          <w:sz w:val="24"/>
          <w:szCs w:val="24"/>
        </w:rPr>
        <w:t>melpomene</w:t>
      </w:r>
      <w:proofErr w:type="spellEnd"/>
      <w:r w:rsidRPr="000224E9">
        <w:rPr>
          <w:rFonts w:ascii="Times New Roman" w:hAnsi="Times New Roman" w:cs="Times New Roman"/>
          <w:sz w:val="24"/>
          <w:szCs w:val="24"/>
        </w:rPr>
        <w:t xml:space="preserve"> genitals show similar patterns to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erato</w:t>
      </w:r>
      <w:proofErr w:type="spellEnd"/>
      <w:r w:rsidRPr="000224E9">
        <w:rPr>
          <w:rFonts w:ascii="Times New Roman" w:hAnsi="Times New Roman" w:cs="Times New Roman"/>
          <w:sz w:val="24"/>
          <w:szCs w:val="24"/>
        </w:rPr>
        <w:t xml:space="preserve">, but variation in the androconia is explained by geographic but not genetic distance. When accounting for geography, genetic divergence is not correlated with </w:t>
      </w:r>
      <w:proofErr w:type="spellStart"/>
      <w:r w:rsidRPr="000224E9">
        <w:rPr>
          <w:rFonts w:ascii="Times New Roman" w:hAnsi="Times New Roman" w:cs="Times New Roman"/>
          <w:sz w:val="24"/>
          <w:szCs w:val="24"/>
        </w:rPr>
        <w:t>androconial</w:t>
      </w:r>
      <w:proofErr w:type="spellEnd"/>
      <w:r w:rsidRPr="000224E9">
        <w:rPr>
          <w:rFonts w:ascii="Times New Roman" w:hAnsi="Times New Roman" w:cs="Times New Roman"/>
          <w:sz w:val="24"/>
          <w:szCs w:val="24"/>
        </w:rPr>
        <w:t xml:space="preserve"> chemical divergence, and only weakly with genital chemical divergence (partial Mantel test, androconia, R=0.02874, p=0.141, genitals, R=0.1203, p=0.001). When we first consider genetic distance, geographic distance is weakly positively correlated with </w:t>
      </w:r>
      <w:proofErr w:type="spellStart"/>
      <w:r w:rsidRPr="000224E9">
        <w:rPr>
          <w:rFonts w:ascii="Times New Roman" w:hAnsi="Times New Roman" w:cs="Times New Roman"/>
          <w:sz w:val="24"/>
          <w:szCs w:val="24"/>
        </w:rPr>
        <w:t>androconial</w:t>
      </w:r>
      <w:proofErr w:type="spellEnd"/>
      <w:r w:rsidRPr="000224E9">
        <w:rPr>
          <w:rFonts w:ascii="Times New Roman" w:hAnsi="Times New Roman" w:cs="Times New Roman"/>
          <w:sz w:val="24"/>
          <w:szCs w:val="24"/>
        </w:rPr>
        <w:t xml:space="preserve"> chemical distance, but not genital chemical distance (partial Mantel test, androconia, R=0.1795, p=0.002; genitals, R=-0.004, p=0.563). </w:t>
      </w:r>
    </w:p>
    <w:p w:rsidR="00A7633C" w:rsidRPr="000224E9" w:rsidRDefault="00A7633C" w:rsidP="00A7633C">
      <w:pPr>
        <w:spacing w:after="120" w:line="480" w:lineRule="auto"/>
        <w:ind w:firstLine="720"/>
        <w:rPr>
          <w:rFonts w:ascii="Times New Roman" w:hAnsi="Times New Roman" w:cs="Times New Roman"/>
          <w:i/>
          <w:iCs/>
          <w:color w:val="000000" w:themeColor="text1"/>
          <w:sz w:val="24"/>
          <w:szCs w:val="24"/>
          <w:u w:val="single"/>
        </w:rPr>
      </w:pPr>
      <w:r w:rsidRPr="000224E9">
        <w:rPr>
          <w:rFonts w:ascii="Times New Roman" w:hAnsi="Times New Roman" w:cs="Times New Roman"/>
          <w:i/>
          <w:iCs/>
          <w:color w:val="000000" w:themeColor="text1"/>
          <w:sz w:val="24"/>
          <w:szCs w:val="24"/>
          <w:u w:val="single"/>
        </w:rPr>
        <w:t>Is there evidence for similarity between co-mimics in chemical profile?</w:t>
      </w:r>
    </w:p>
    <w:p w:rsidR="00A7633C" w:rsidRPr="000224E9" w:rsidRDefault="00A7633C" w:rsidP="00A7633C">
      <w:pPr>
        <w:spacing w:after="120" w:line="480" w:lineRule="auto"/>
        <w:ind w:firstLine="720"/>
        <w:rPr>
          <w:rFonts w:ascii="Times New Roman" w:hAnsi="Times New Roman" w:cs="Times New Roman"/>
          <w:sz w:val="24"/>
          <w:szCs w:val="24"/>
        </w:rPr>
      </w:pPr>
      <w:r w:rsidRPr="000224E9">
        <w:rPr>
          <w:rFonts w:ascii="Times New Roman" w:hAnsi="Times New Roman" w:cs="Times New Roman"/>
          <w:sz w:val="24"/>
          <w:szCs w:val="24"/>
        </w:rPr>
        <w:t xml:space="preserve">We investigated the effect of mimicry ring on chemical profile using individuals collected in Panama and western Ecuador from two mimicry rings (Fig. 6). Consistent with our interspecific analyses, we find that species is the main determinant of </w:t>
      </w:r>
      <w:proofErr w:type="spellStart"/>
      <w:r w:rsidRPr="000224E9">
        <w:rPr>
          <w:rFonts w:ascii="Times New Roman" w:hAnsi="Times New Roman" w:cs="Times New Roman"/>
          <w:sz w:val="24"/>
          <w:szCs w:val="24"/>
        </w:rPr>
        <w:t>androconial</w:t>
      </w:r>
      <w:proofErr w:type="spellEnd"/>
      <w:r w:rsidRPr="000224E9">
        <w:rPr>
          <w:rFonts w:ascii="Times New Roman" w:hAnsi="Times New Roman" w:cs="Times New Roman"/>
          <w:sz w:val="24"/>
          <w:szCs w:val="24"/>
        </w:rPr>
        <w:t xml:space="preserve"> and genital bouquets.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sapho</w:t>
      </w:r>
      <w:proofErr w:type="spellEnd"/>
      <w:r w:rsidRPr="000224E9">
        <w:rPr>
          <w:rFonts w:ascii="Times New Roman" w:hAnsi="Times New Roman" w:cs="Times New Roman"/>
          <w:sz w:val="24"/>
          <w:szCs w:val="24"/>
        </w:rPr>
        <w:t xml:space="preserve"> and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eleuchia</w:t>
      </w:r>
      <w:proofErr w:type="spellEnd"/>
      <w:r w:rsidRPr="000224E9">
        <w:rPr>
          <w:rFonts w:ascii="Times New Roman" w:hAnsi="Times New Roman" w:cs="Times New Roman"/>
          <w:sz w:val="24"/>
          <w:szCs w:val="24"/>
        </w:rPr>
        <w:t xml:space="preserve"> group closely in the NMDS visualisation, however, they are closely-related and so it is unclear whether this similarity is due to co-mimicry or shared ancestry. Especially for the androconia,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erato</w:t>
      </w:r>
      <w:proofErr w:type="spellEnd"/>
      <w:r w:rsidRPr="000224E9">
        <w:rPr>
          <w:rFonts w:ascii="Times New Roman" w:hAnsi="Times New Roman" w:cs="Times New Roman"/>
          <w:sz w:val="24"/>
          <w:szCs w:val="24"/>
        </w:rPr>
        <w:t xml:space="preserve"> and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melpomene</w:t>
      </w:r>
      <w:proofErr w:type="spellEnd"/>
      <w:r w:rsidRPr="000224E9">
        <w:rPr>
          <w:rFonts w:ascii="Times New Roman" w:hAnsi="Times New Roman" w:cs="Times New Roman"/>
          <w:sz w:val="24"/>
          <w:szCs w:val="24"/>
        </w:rPr>
        <w:t xml:space="preserve"> seem to be more similar than we might expect given their phylogenetic distance.  </w:t>
      </w:r>
    </w:p>
    <w:p w:rsidR="00A7633C" w:rsidRPr="00E83902" w:rsidRDefault="00A7633C" w:rsidP="00E83902">
      <w:pPr>
        <w:spacing w:after="120" w:line="480" w:lineRule="auto"/>
        <w:ind w:firstLine="720"/>
        <w:rPr>
          <w:rFonts w:ascii="Times New Roman" w:eastAsia="MS Mincho" w:hAnsi="Times New Roman" w:cs="Times New Roman"/>
          <w:bCs/>
          <w:iCs/>
          <w:color w:val="000000"/>
          <w:sz w:val="24"/>
          <w:szCs w:val="24"/>
        </w:rPr>
      </w:pPr>
      <w:r w:rsidRPr="000224E9">
        <w:rPr>
          <w:rFonts w:ascii="Times New Roman" w:eastAsia="MS Mincho" w:hAnsi="Times New Roman" w:cs="Times New Roman"/>
          <w:bCs/>
          <w:iCs/>
          <w:color w:val="000000"/>
          <w:sz w:val="24"/>
          <w:szCs w:val="24"/>
        </w:rPr>
        <w:lastRenderedPageBreak/>
        <w:t>All the results described above show a consistent pattern when unidentified compounds were not included in the analysis (</w:t>
      </w:r>
      <w:r w:rsidR="003A48C1" w:rsidRPr="000224E9">
        <w:rPr>
          <w:rFonts w:ascii="Times New Roman" w:eastAsia="MS Mincho" w:hAnsi="Times New Roman" w:cs="Times New Roman"/>
          <w:bCs/>
          <w:iCs/>
          <w:color w:val="000000"/>
          <w:sz w:val="24"/>
          <w:szCs w:val="24"/>
        </w:rPr>
        <w:t>Appendix A</w:t>
      </w:r>
      <w:r w:rsidRPr="000224E9">
        <w:rPr>
          <w:rFonts w:ascii="Times New Roman" w:eastAsia="MS Mincho" w:hAnsi="Times New Roman" w:cs="Times New Roman"/>
          <w:bCs/>
          <w:iCs/>
          <w:color w:val="000000"/>
          <w:sz w:val="24"/>
          <w:szCs w:val="24"/>
        </w:rPr>
        <w:t xml:space="preserve">). Interspecific analyses were also consistent when repeated without populations with a sample of fewer than 5 individuals (this removed 7 populations from </w:t>
      </w:r>
      <w:proofErr w:type="spellStart"/>
      <w:r w:rsidRPr="000224E9">
        <w:rPr>
          <w:rFonts w:ascii="Times New Roman" w:eastAsia="MS Mincho" w:hAnsi="Times New Roman" w:cs="Times New Roman"/>
          <w:bCs/>
          <w:iCs/>
          <w:color w:val="000000"/>
          <w:sz w:val="24"/>
          <w:szCs w:val="24"/>
        </w:rPr>
        <w:t>androconial</w:t>
      </w:r>
      <w:proofErr w:type="spellEnd"/>
      <w:r w:rsidRPr="000224E9">
        <w:rPr>
          <w:rFonts w:ascii="Times New Roman" w:eastAsia="MS Mincho" w:hAnsi="Times New Roman" w:cs="Times New Roman"/>
          <w:bCs/>
          <w:iCs/>
          <w:color w:val="000000"/>
          <w:sz w:val="24"/>
          <w:szCs w:val="24"/>
        </w:rPr>
        <w:t xml:space="preserve"> analysis and 5 from genital analysis) (</w:t>
      </w:r>
      <w:r w:rsidR="003A48C1" w:rsidRPr="000224E9">
        <w:rPr>
          <w:rFonts w:ascii="Times New Roman" w:eastAsia="MS Mincho" w:hAnsi="Times New Roman" w:cs="Times New Roman"/>
          <w:bCs/>
          <w:iCs/>
          <w:color w:val="000000"/>
          <w:sz w:val="24"/>
          <w:szCs w:val="24"/>
        </w:rPr>
        <w:t>Appendix A</w:t>
      </w:r>
      <w:r w:rsidRPr="000224E9">
        <w:rPr>
          <w:rFonts w:ascii="Times New Roman" w:eastAsia="MS Mincho" w:hAnsi="Times New Roman" w:cs="Times New Roman"/>
          <w:bCs/>
          <w:iCs/>
          <w:color w:val="000000"/>
          <w:sz w:val="24"/>
          <w:szCs w:val="24"/>
        </w:rPr>
        <w:t>).</w:t>
      </w:r>
      <w:r w:rsidRPr="000224E9">
        <w:rPr>
          <w:rFonts w:ascii="Times New Roman" w:hAnsi="Times New Roman" w:cs="Times New Roman"/>
          <w:b/>
          <w:bCs/>
          <w:sz w:val="28"/>
          <w:szCs w:val="28"/>
        </w:rPr>
        <w:br w:type="page"/>
      </w:r>
    </w:p>
    <w:p w:rsidR="00A7633C" w:rsidRPr="000224E9" w:rsidRDefault="00A7633C" w:rsidP="00A7633C">
      <w:pPr>
        <w:spacing w:after="120" w:line="480" w:lineRule="auto"/>
        <w:rPr>
          <w:rFonts w:ascii="Times New Roman" w:hAnsi="Times New Roman" w:cs="Times New Roman"/>
          <w:b/>
          <w:bCs/>
          <w:sz w:val="28"/>
          <w:szCs w:val="28"/>
        </w:rPr>
      </w:pPr>
      <w:r w:rsidRPr="000224E9">
        <w:rPr>
          <w:rFonts w:ascii="Times New Roman" w:hAnsi="Times New Roman" w:cs="Times New Roman"/>
          <w:b/>
          <w:bCs/>
          <w:sz w:val="28"/>
          <w:szCs w:val="28"/>
        </w:rPr>
        <w:lastRenderedPageBreak/>
        <w:t>Discussion</w:t>
      </w:r>
    </w:p>
    <w:p w:rsidR="00A7633C" w:rsidRPr="000224E9" w:rsidRDefault="00A7633C" w:rsidP="00A7633C">
      <w:pPr>
        <w:spacing w:after="120" w:line="480" w:lineRule="auto"/>
        <w:ind w:firstLine="720"/>
        <w:rPr>
          <w:rFonts w:ascii="Times New Roman" w:hAnsi="Times New Roman" w:cs="Times New Roman"/>
          <w:sz w:val="24"/>
          <w:szCs w:val="24"/>
        </w:rPr>
      </w:pPr>
      <w:proofErr w:type="spellStart"/>
      <w:r w:rsidRPr="000224E9">
        <w:rPr>
          <w:rFonts w:ascii="Times New Roman" w:hAnsi="Times New Roman" w:cs="Times New Roman"/>
          <w:i/>
          <w:iCs/>
          <w:sz w:val="24"/>
          <w:szCs w:val="24"/>
        </w:rPr>
        <w:t>Heliconius</w:t>
      </w:r>
      <w:proofErr w:type="spellEnd"/>
      <w:r w:rsidRPr="000224E9">
        <w:rPr>
          <w:rFonts w:ascii="Times New Roman" w:hAnsi="Times New Roman" w:cs="Times New Roman"/>
          <w:i/>
          <w:iCs/>
          <w:sz w:val="24"/>
          <w:szCs w:val="24"/>
        </w:rPr>
        <w:t xml:space="preserve"> </w:t>
      </w:r>
      <w:r w:rsidRPr="000224E9">
        <w:rPr>
          <w:rFonts w:ascii="Times New Roman" w:hAnsi="Times New Roman" w:cs="Times New Roman"/>
          <w:sz w:val="24"/>
          <w:szCs w:val="24"/>
        </w:rPr>
        <w:t xml:space="preserve">butterflies represent a continental-scale adaptive radiation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{"citationID":"YbY9HDXD","properties":{"formattedCitation":"(Kozak et al., 2015)","plainCitation":"(Kozak et al., 2015)","noteIndex":0},"citationItems":[{"id":2190,"uris":["http://zotero.org/users/2671101/items/UZ65A5JV"],"uri":["http://zotero.org/users/2671101/items/UZ65A5JV"],"itemData":{"id":2190,"type":"article-journal","title":"Multilocus species trees show the recent adaptive radiation of the mimetic &lt;i&gt;Heliconius &lt;/i&gt;butterflies","container-title":"Systematic Biology","page":"505-524","volume":"64","issue":"3","source":"PubMed Central","abstract":"Müllerian mimicry among Neotropical Heliconiini butterflies is an excellent example of natural selection, associated with the diversification of a large continental-scale radiation. Some of the processes driving the evolution of mimicry rings are likely to generate incongruent phylogenetic signals across the assemblage, and thus pose a challenge for systematics. We use a data set of 22 mitochondrial and nuclear markers from 92% of species in the tribe, obtained by Sanger sequencing and de novo assembly of short read data, to re-examine the phylogeny of Heliconiini with both supermatrix and multispecies coalescent approaches, characterize the patterns of conflicting signal, and compare the performance of various methodological approaches to reflect the heterogeneity across the data. Despite the large extent of reticulate signal and strong conflict between markers, nearly identical topologies are consistently recovered by most of the analyses, although the supermatrix approach failed to reflect the underlying variation in the history of individual loci. However, the supermatrix represents a useful approximation where multiple rare species represented by short sequences can be incorporated easily. The first comprehensive, time-calibrated phylogeny of this group is used to test the hypotheses of a diversification rate increase driven by the dramatic environmental changes in the Neotropics over the past 23 myr, or changes caused by diversity-dependent effects on the rate of diversification. We find that the rate of diversification has increased on the branch leading to the presently most species-rich genus Heliconius, but the change occurred gradually and cannot be unequivocally attributed to a specific environmental driver. Our study provides comprehensive comparison of philosophically distinct species tree reconstruction methods and provides insights into the diversification of an important insect radiation in the most biodiverse region of the planet.","DOI":"10.1093/sysbio/syv007","ISSN":"1063-5157","note":"PMID: 25634098\nPMCID: PMC4395847","journalAbbreviation":"Syst Biol","author":[{"family":"Kozak","given":"K. M."},{"family":"Wahlberg","given":"Niklas"},{"family":"Neild","given":"Andrew F. E."},{"family":"Dasmahapatra","given":"K. K."},{"family":"Mallet","given":"James"},{"family":"Jiggins","given":"Chris D."}],"issued":{"date-parts":[["2015",5]]}}}],"schema":"https://github.com/citation-style-language/schema/raw/master/csl-citation.json"}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sz w:val="24"/>
          <w:lang w:val="en-US"/>
        </w:rPr>
        <w:t>(Kozak et al., 2015)</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 xml:space="preserve">. Speciation in this group is often associated with divergence in wing colour pattern and pattern variation plays an important role in speciation and mate preference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{"citationID":"a9ls1a85n","properties":{"formattedCitation":"(Jiggins, 2008; Jiggins et al., 2001; Merrill et al., 2019, 2015, 2011; S\\uc0\\u225{}nchez et al., 2015)","plainCitation":"(Jiggins, 2008; Jiggins et al., 2001; Merrill et al., 2019, 2015, 2011; Sánchez et al., 2015)","noteIndex":0},"citationItems":[{"id":852,"uris":["http://zotero.org/users/2671101/items/P69KNGR7"],"uri":["http://zotero.org/users/2671101/items/P69KNGR7"],"itemData":{"id":852,"type":"article-journal","title":"Ecological Speciation in Mimetic Butterflies","container-title":"BioScience","page":"541-548","volume":"58","issue":"6","source":"bioscience.oxfordjournals.org","abstract":"There has been a recent revival of interest in the role of ecology in speciation. The wing patterns of Heliconius butterflies are signals to predators as well as mates, and can cause strong reproductive isolation between populations. Reproductive isolation has been studied in some detail between the sympatric species Heliconius melpomene and Heliconius cydno, and in reviewing this work I show that habitat isolation and color pattern preference are by far the most important factors causing speciation. The surprising observation that genes for mate preference and color pattern are genetically associated implies divergence in sympatry or resulting from sexual selection. Color pattern is therefore an example of an ecological trait that contributes to speciation through pleiotropic effects on mate choice, although phylogenetic evidence shows that it is only one of many factors responsible for speciation in mimetic butterflies.","DOI":"10.1641/B580610","ISSN":"0006-3568, 1525-3244","journalAbbreviation":"BioScience","language":"en","author":[{"family":"Jiggins","given":"Chris D."}],"issued":{"date-parts":[["2008",1,6]]}},"label":"page"},{"id":805,"uris":["http://zotero.org/users/2671101/items/6FRWAJ5X"],"uri":["http://zotero.org/users/2671101/items/6FRWAJ5X"],"itemData":{"id":805,"type":"article-journal","title":"Reproductive isolation caused by colour pattern mimicry","container-title":"Nature","page":"302-305","volume":"411","issue":"6835","source":"www.nature.com","abstract":"Speciation is facilitated if ecological adaptation directly causes assortative mating, but few natural examples are known. Here we show that a shift in colour pattern mimicry was crucial in the origin of two butterfly species. The sister species Heliconius melpomene and Heliconius cydno recently diverged to mimic different model taxa, and our experiments show that their mimetic coloration is also important in choosing mates. Assortative mating between the sister species means that hybridization is rare in nature, and the few hybrids that are produced are non-mimetic, poorly adapted intermediates. Thus, the mimetic shift has caused both pre-mating and post-mating isolation. In addition, individuals from a population of H. melpomene allopatric to H. cydno court and mate with H. cydno more readily than those from a sympatric population. This suggests that assortative mating has been enhanced in sympatry.","DOI":"10.1038/35077075","ISSN":"0028-0836","journalAbbreviation":"Nature","language":"en","author":[{"family":"Jiggins","given":"Chris D."},{"family":"Naisbit","given":"Russell E."},{"family":"Coe","given":"Rebecca L."},{"family":"Mallet","given":"James"}],"issued":{"date-parts":[["2001",5,17]]}},"label":"page"},{"id":847,"uris":["http://zotero.org/users/2671101/items/MUVGHFME"],"uri":["http://zotero.org/users/2671101/items/MUVGHFME"],"itemData":{"id":847,"type":"article-journal","title":"The diversification of &lt;i&gt;Heliconius&lt;/i&gt; butterflies: what have we learned in 150 years?","container-title":"Journal of Evolutionary Biology","page":"1417-1438","volume":"28","issue":"8","source":"Wiley Online Library","abstract":"Research into Heliconius butterflies has made a significant contribution to evolutionary biology. Here, we review our understanding of the diversification of these butterflies, covering recent advances and a vast foundation of earlier work. Whereas no single group of organisms can be sufficient for understanding life's diversity, after years of intensive study, research into Heliconius has addressed a wide variety of evolutionary questions. We first discuss evidence for widespread gene flow between Heliconius species and what this reveals about the nature of species. We then address the evolution and diversity of warning patterns, both as the target of selection and with respect to their underlying genetic basis. The identification of major genes involved in mimetic shifts, and homology at these loci between distantly related taxa, has revealed a surprising predictability in the genetic basis of evolution. In the final sections, we consider the evolution of warning patterns, and Heliconius diversity more generally, within a broader context of ecological and sexual selection. We consider how different traits and modes of selection can interact and influence the evolution of reproductive isolation.","DOI":"10.1111/jeb.12672","ISSN":"1420-9101","title-short":"The diversification of Heliconius butterflies","journalAbbreviation":"J. Evol. Biol.","language":"en","author":[{"family":"Merrill","given":"R. M."},{"family":"Dasmahapatra","given":"K. K."},{"family":"Davey","given":"J. W."},{"family":"Dell'Aglio","given":"D. D."},{"family":"Hanly","given":"J. J."},{"family":"Huber","given":"B."},{"family":"Jiggins","given":"C. D."},{"family":"Joron","given":"M."},{"family":"Kozak","given":"K. M."},{"family":"Llaurens","given":"V."},{"family":"Martin","given":"S. H."},{"family":"Montgomery","given":"S. H."},{"family":"Morris","given":"J."},{"family":"Nadeau","given":"N. J."},{"family":"Pinharanda","given":"A. L."},{"family":"Rosser","given":"N."},{"family":"Thompson","given":"M. J."},{"family":"Vanjari","given":"S."},{"family":"Wallbank","given":"R. W. R."},{"family":"Yu","given":"Q."}],"issued":{"date-parts":[["2015",8,1]]}},"label":"page"},{"id":872,"uris":["http://zotero.org/users/2671101/items/X278NVW3"],"uri":["http://zotero.org/users/2671101/items/X278NVW3"],"itemData":{"id":872,"type":"article-journal","title":"Mate Preference Across the Speciation Continuum in a Clade of Mimetic Butterflies","container-title":"Evolution","page":"1489-1500","volume":"65","issue":"5","source":"Wiley Online Library","abstract":"Premating behavioral isolation is increasingly recognized as an important part of ecological speciation, where divergent natural selection causes the evolution of reproductive barriers. A number of studies have now demonstrated that traits under divergent natural selection also affect mate preferences. However, studies of single species pairs only capture a snapshot of the speciation process, making it difficult to assess the role of mate preferences throughout the entire process. Heliconius butterflies are well known for their brightly colored mimetic warning patterns, and previous studies have shown that these patterns are also used as mate recognition cues. Here, we present mate preference data for four pairs of sister taxa, representing different stages of divergence, which together allow us to compare diverging mate preferences across the continuum of Heliconius speciation. Using a novel Bayesian approach, our results support a model of ecological speciation in which strong premating isolation arises early, but continues to increase throughout the continuum from polymorphic populations through to “good,” sympatric ecologically divergent species.","DOI":"10.1111/j.1558-5646.2010.01216.x","ISSN":"1558-5646","language":"en","author":[{"family":"Merrill","given":"R. M."},{"family":"Gompert","given":"Zachariah"},{"family":"Dembeck","given":"Lauren M."},{"family":"Kronforst","given":"M R"},{"family":"McMillan","given":"W. Owen"},{"family":"Jiggins","given":"Chris D."}],"issued":{"date-parts":[["2011",5,1]]}},"label":"page"},{"id":3731,"uris":["http://zotero.org/users/2671101/items/VNNBIAMM"],"uri":["http://zotero.org/users/2671101/items/VNNBIAMM"],"itemData":{"id":3731,"type":"article-journal","title":"Genetic dissection of assortative mating behavior","container-title":"PLOS Biology","page":"e2005902","volume":"17","issue":"2","source":"PLoS Journals","abstract":"The evolution of new species is made easier when traits under divergent ecological selection are also mating cues. Such ecological mating cues are now considered more common than previously thought, but we still know little about the genetic changes underlying their evolution or more generally about the genetic basis for assortative mating behaviors. Both tight physical linkage and the existence of large-effect preference loci will strengthen genetic associations between behavioral and ecological barriers, promoting the evolution of assortative mating. The warning patterns of Heliconius melpomene and H. cydno are under disruptive selection due to increased predation of nonmimetic hybrids and are used during mate recognition. We carried out a genome-wide quantitative trait locus (QTL) analysis of preference behaviors between these species and showed that divergent male preference has a simple genetic basis. We identify three QTLs that together explain a large proportion (approximately 60%) of the difference in preference behavior observed between the parental species. One of these QTLs is just 1.2 (0–4.8) centiMorgans (cM) from the major color pattern gene optix, and, individually, all three have a large effect on the preference phenotype. Genomic divergence between H. cydno and H. melpomene is high but broadly heterogenous, and admixture is reduced at the preference–optix color pattern locus but not the other preference QTLs. The simple genetic architecture we reveal will facilitate the evolution and maintenance of new species despite ongoing gene flow by coupling behavioral and ecological aspects of reproductive isolation.","DOI":"10.1371/journal.pbio.2005902","ISSN":"1545-7885","journalAbbreviation":"PLOS Biology","language":"en","author":[{"family":"Merrill","given":"R. M."},{"family":"Rastas","given":"Pasi"},{"family":"Martin","given":"Simon H."},{"family":"Melo","given":"Maria C."},{"family":"Barker","given":"Sarah"},{"family":"Davey","given":"John"},{"family":"McMillan","given":"W. Owen"},{"family":"Jiggins","given":"Chris D."}],"issued":{"date-parts":[["2019",2,7]]}},"label":"page"},{"id":2188,"uris":["http://zotero.org/users/2671101/items/F6GZSXDP"],"uri":["http://zotero.org/users/2671101/items/F6GZSXDP"],"itemData":{"id":2188,"type":"article-journal","title":"An introgressed wing pattern acts as a mating cue","container-title":"Evolution; International Journal of Organic Evolution","page":"1619-1629","volume":"69","issue":"6","source":"PubMed","abstract":"Heliconius butterflies provide good examples of both homoploid hybrid speciation and ecological speciation. In particular, examples of adaptive introgression have been de</w:instrText>
      </w:r>
      <w:r w:rsidRPr="000224E9">
        <w:rPr>
          <w:rFonts w:ascii="Times New Roman" w:hAnsi="Times New Roman" w:cs="Times New Roman"/>
          <w:sz w:val="24"/>
          <w:szCs w:val="24"/>
          <w:lang w:val="fr-FR"/>
        </w:rPr>
        <w:instrText xml:space="preserve">tected among the subspecies of Heliconius timareta, which acquired red color pattern elements from H. melpomene. We tested whether the introgression of red wing pattern elements into H. timareta florencia might also be associated with incipient reproductive isolation (RI) from its close relative, H. timareta subsp. nov., found in the eastern Andes. No choice experiments show a 50% reduction in mating between females of H. t. subsp. nov. and males of H .t. florencia, but not in the reciprocal direction. In choice experiments using wing models, males of H. timareta subsp. nov. approach and court red phenotypes less than their own, whereas males of H. t. florencia prefer models with a red phenotype. Intrinsic postzygotic isolation was not detected in crosses between these H. timareta races. These results suggest that a color pattern trait gained by introgression is triggering RI between H. timareta subsp. nov. and H. t. florencia.","DOI":"10.1111/evo.12679","ISSN":"1558-5646","note":"PMID: 25930106","journalAbbreviation":"Evolution","language":"eng","author":[{"family":"Sánchez","given":"Angela P."},{"family":"Pardo-Diaz","given":"Carolina"},{"family":"Enciso-Romero","given":"Juan"},{"family":"Muñoz","given":"A. G."},{"family":"Jiggins","given":"Chris D."},{"family":"Salazar","given":"Camilo"},{"family":"Linares","given":"Mauricio"}],"issued":{"date-parts":[["2015",6]]}},"label":"page"}],"schema":"https://github.com/citation-style-language/schema/raw/master/csl-citation.json"}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sz w:val="24"/>
          <w:lang w:val="fr-FR"/>
        </w:rPr>
        <w:t>(Jiggins, 2008; Jiggins et al., 2001; Merrill et al., 2019, 2015, 2011; Sánchez et al., 2015)</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lang w:val="fr-FR"/>
        </w:rPr>
        <w:t xml:space="preserve">. </w:t>
      </w:r>
      <w:r w:rsidRPr="000224E9">
        <w:rPr>
          <w:rFonts w:ascii="Times New Roman" w:hAnsi="Times New Roman" w:cs="Times New Roman"/>
          <w:sz w:val="24"/>
          <w:szCs w:val="24"/>
        </w:rPr>
        <w:t xml:space="preserve">However, one of the surprising findings to emerge from comparative genomic analysis is the wealth of chemosensory genes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{"citationID":"SoSyYs4p","properties":{"formattedCitation":"(Heliconius Genome Consortium, 2012)","plainCitation":"(Heliconius Genome Consortium, 2012)","noteIndex":0},"citationItems":[{"id":3414,"uris":["http://zotero.org/users/2671101/items/U5IE7MKD"],"uri":["http://zotero.org/users/2671101/items/U5IE7MKD"],"itemData":{"id":3414,"type":"article-journal","title":"Butterfly genome reveals promiscuous exchange of mimicry adaptations among species","container-title":"Nature","page":"94-98","volume":"487","issue":"7405","source":"PubMed","abstract":"The evolutionary importance of hybridization and introgression has long been debated. Hybrids are usually rare and unfit, but even infrequent hybridization can aid adaptation by transferring beneficial traits between species. Here we use genomic tools to investigate introgression in Heliconius, a rapidly radiating genus of neotropical butterflies widely used in studies of ecology, behaviour, mimicry and speciation. We sequenced the genome of Heliconius melpomene and compared it with other taxa to investigate chromosomal evolution in Lepidoptera and gene flow among multiple Heliconius species and races. Among 12,669 predicted genes, biologically important expansions of families of chemosensory and Hox genes are particularly noteworthy. Chromosomal organization has remained broadly conserved since the Cretaceous period, when butterflies split from the Bombyx (silkmoth) lineage. Using genomic resequencing, we show hybrid exchange of genes between three co-mimics, Heliconius melpomene, Heliconius timareta and Heliconius elevatus, especially at two genomic regions that control mimicry pattern. We infer that closely related Heliconius species exchange protective colour-pattern genes promiscuously, implying that hybridization has an important role in adaptive radiation.","DOI":"10.1038/nature11041","ISSN":"1476-4687","note":"PMID: 22722851\nPMCID: PMC3398145","journalAbbreviation":"Nature","language":"eng","author":[{"literal":"Heliconius Genome Consortium"}],"issued":{"date-parts":[["2012",7,5]]}}}],"schema":"https://github.com/citation-style-language/schema/raw/master/csl-citation.json"}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sz w:val="24"/>
          <w:lang w:val="en-US"/>
        </w:rPr>
        <w:t>(Heliconius Genome Consortium, 2012)</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 xml:space="preserve">, suggesting that chemical signalling may play an important role in the biology of the system, such as host plant choice and mate choice. To begin to understand the role of chemical signalling in this radiation we have extensively surveyed both inter- and intraspecific variation of </w:t>
      </w:r>
      <w:proofErr w:type="spellStart"/>
      <w:r w:rsidRPr="000224E9">
        <w:rPr>
          <w:rFonts w:ascii="Times New Roman" w:hAnsi="Times New Roman" w:cs="Times New Roman"/>
          <w:i/>
          <w:iCs/>
          <w:sz w:val="24"/>
          <w:szCs w:val="24"/>
        </w:rPr>
        <w:t>Heliconius</w:t>
      </w:r>
      <w:proofErr w:type="spellEnd"/>
      <w:r w:rsidRPr="000224E9">
        <w:rPr>
          <w:rFonts w:ascii="Times New Roman" w:hAnsi="Times New Roman" w:cs="Times New Roman"/>
          <w:sz w:val="24"/>
          <w:szCs w:val="24"/>
        </w:rPr>
        <w:t xml:space="preserve">’ </w:t>
      </w:r>
      <w:proofErr w:type="spellStart"/>
      <w:r w:rsidRPr="000224E9">
        <w:rPr>
          <w:rFonts w:ascii="Times New Roman" w:hAnsi="Times New Roman" w:cs="Times New Roman"/>
          <w:sz w:val="24"/>
          <w:szCs w:val="24"/>
        </w:rPr>
        <w:t>androconial</w:t>
      </w:r>
      <w:proofErr w:type="spellEnd"/>
      <w:r w:rsidRPr="000224E9">
        <w:rPr>
          <w:rFonts w:ascii="Times New Roman" w:hAnsi="Times New Roman" w:cs="Times New Roman"/>
          <w:sz w:val="24"/>
          <w:szCs w:val="24"/>
        </w:rPr>
        <w:t xml:space="preserve"> and genital chemical profiles across the Neotropics. We find that most of the variation in chemical profile across our samples is explained by species, and we identify key chemicals serving as indicators for each species. Nonetheless, there is also intraspecific variation in chemical profiles. This variation is mainly quantitative in nature, with the exception of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erato</w:t>
      </w:r>
      <w:proofErr w:type="spellEnd"/>
      <w:r w:rsidRPr="000224E9">
        <w:rPr>
          <w:rFonts w:ascii="Times New Roman" w:hAnsi="Times New Roman" w:cs="Times New Roman"/>
          <w:i/>
          <w:iCs/>
          <w:sz w:val="24"/>
          <w:szCs w:val="24"/>
        </w:rPr>
        <w:t xml:space="preserve"> </w:t>
      </w:r>
      <w:proofErr w:type="spellStart"/>
      <w:r w:rsidRPr="000224E9">
        <w:rPr>
          <w:rFonts w:ascii="Times New Roman" w:hAnsi="Times New Roman" w:cs="Times New Roman"/>
          <w:i/>
          <w:iCs/>
          <w:sz w:val="24"/>
          <w:szCs w:val="24"/>
        </w:rPr>
        <w:t>cyrbia</w:t>
      </w:r>
      <w:proofErr w:type="spellEnd"/>
      <w:r w:rsidRPr="000224E9">
        <w:rPr>
          <w:rFonts w:ascii="Times New Roman" w:hAnsi="Times New Roman" w:cs="Times New Roman"/>
          <w:sz w:val="24"/>
          <w:szCs w:val="24"/>
        </w:rPr>
        <w:t xml:space="preserve"> which has compounds not found in other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erato</w:t>
      </w:r>
      <w:proofErr w:type="spellEnd"/>
      <w:r w:rsidRPr="000224E9">
        <w:rPr>
          <w:rFonts w:ascii="Times New Roman" w:hAnsi="Times New Roman" w:cs="Times New Roman"/>
          <w:sz w:val="24"/>
          <w:szCs w:val="24"/>
        </w:rPr>
        <w:t xml:space="preserve"> populations. </w:t>
      </w:r>
      <w:r w:rsidR="00484994">
        <w:rPr>
          <w:rFonts w:ascii="Times New Roman" w:hAnsi="Times New Roman" w:cs="Times New Roman"/>
          <w:sz w:val="24"/>
          <w:szCs w:val="24"/>
        </w:rPr>
        <w:t>Our results are also in agreement with the prediction of convergence between co-mimics</w:t>
      </w:r>
      <w:r w:rsidRPr="000224E9">
        <w:rPr>
          <w:rFonts w:ascii="Times New Roman" w:hAnsi="Times New Roman" w:cs="Times New Roman"/>
          <w:sz w:val="24"/>
          <w:szCs w:val="24"/>
        </w:rPr>
        <w:t xml:space="preserve">, supporting an earlier hypothesis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{"citationID":"aboob1fa14","properties":{"formattedCitation":"(Mann et al., 2017)","plainCitation":"(Mann et al., 2017)","noteIndex":0},"citationItems":[{"id":2882,"uris":["http://zotero.org/users/2671101/items/XXUR7S3J"],"uri":["http://zotero.org/users/2671101/items/XXUR7S3J"],"itemData":{"id":2882,"type":"article-journal","title":"The Scent Chemistry of &lt;i&gt;Heliconius&lt;/i&gt; Wing Androconia","container-title":"Journal of Chemical Ecology","page":"843-857","volume":"43","issue":"9","source":"link.springer.com","abstract":"Neotropical Heliconius butterflies are members of various mimicry rings characterized by diverse colour patterns. In the present study we investigated whether a similar diversity is observed in the chemistry of volatile compounds present in male wing androconia. Recent research has shown that these androconia are used during courting of females. Three to five wild-caught male Heliconius individuals of 17 species and subspecies were analyzed by GC/MS. Most of the identified compounds originate from common fatty acids precursors, including aldehydes, alcohols, acetates or esters preferentially with a C18 and C20 chain, together with some alkanes. The compounds occurred in species-specific mixtures or signatures. For example, octadecanal is characteristic for H. melpomene, but variation in composition between the individuals was observed. Cluster analysis of compound occurrence in individual bouquets and analyses based on biosynthetic motifs such as functional group, chain length, or basic carbon-backbone modification were used to reveal structural patterns. Mimetic pairs contain different scent bouquets, but also some compounds in common, whereas sympatric species, both mimetic and non-mimetic, have more distinct compound compositions. The compounds identified here may play a role in mate choice thus helping maintain species integrity in a butterfly genus characterized by pervasive interspecific gene flow.","DOI":"10.1007/s10886-017-0867-3","ISSN":"0098-0331, 1573-1561","journalAbbreviation":"J Chem Ecol","language":"en","author":[{"family":"Mann","given":"Florian"},{"family":"Vanjari","given":"Sohini"},{"family":"Rosser","given":"Neil"},{"family":"Mann","given":"Sandra"},{"family":"Dasmahapatra","given":"Kanchon K."},{"family":"Corbin","given":"Chris"},{"family":"Linares","given":"Mauricio"},{"family":"Pardo-Diaz","given":"Carolina"},{"family":"Salazar","given":"Camilo"},{"family":"Jiggins","given":"Chris"},{"family":"Schulz","given":"Stefan"}],"issued":{"date-parts":[["2017",8,8]]}}}],"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sz w:val="24"/>
          <w:lang w:val="en-US"/>
        </w:rPr>
        <w:t>(Mann et al., 2017)</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 Our work sets the stage for further research into the biology and function of chemical profiles, and their role in within and between-species signalling.</w:t>
      </w:r>
    </w:p>
    <w:p w:rsidR="00A7633C" w:rsidRPr="000224E9" w:rsidRDefault="00A7633C" w:rsidP="00A7633C">
      <w:pPr>
        <w:spacing w:after="120" w:line="480" w:lineRule="auto"/>
        <w:ind w:firstLine="720"/>
        <w:rPr>
          <w:rFonts w:ascii="Times New Roman" w:hAnsi="Times New Roman" w:cs="Times New Roman"/>
          <w:sz w:val="24"/>
          <w:szCs w:val="24"/>
        </w:rPr>
      </w:pPr>
      <w:r w:rsidRPr="000224E9">
        <w:rPr>
          <w:rFonts w:ascii="Times New Roman" w:hAnsi="Times New Roman" w:cs="Times New Roman"/>
          <w:sz w:val="24"/>
          <w:szCs w:val="24"/>
        </w:rPr>
        <w:t xml:space="preserve"> It would be challenging to conduct behavioural experiments on large numbers of species and populations, and therefore identifying the behaviourally active components in pheromone blends across a radiation is beyond the scope of a single study. Other studies have also attempted to predict male sex pheromones without behavioural data, by selecting based on multiple criteria such as male-specificity and abundance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{"citationID":"afdq3c8g8f","properties":{"formattedCitation":"(Bacquet et al., 2015)","plainCitation":"(Bacquet et al., 2015)","noteIndex":0},"citationItems":[{"id":825,"uris":["http://zotero.org/users/2671101/items/CWVNWBDU"],"uri":["http://zotero.org/users/2671101/items/CWVNWBDU"],"itemData":{"id":825,"type":"article-journal","title":"Selection on male sex pheromone composition contributes to butterfly reproductive isolation","container-title":"Proceedings of the Royal Society of London B: Biological Sciences","page":"20142734","volume":"282","issue":"1804","source":"rspb.royalsocietypublishing.org","abstract":"Selection can facilitate diversification by inducing character displacement in mate choice traits that reduce the probability of maladaptive mating between lineages. Although reproductive character displacement (RCD) has been demonstrated in two-taxa case studies, the frequency of this process in nature is still debated. Moreover, studies have focused primarily on visual and acoustic traits, despite the fact that chemical communication is probably the most common means of species recognition. Here, we showed in a large, mostly sympatric, butterfly genus, a strong pattern of recurrent RCD for predicted male sex pheromone composition, but not for visual mate choice traits. Our results suggest that RCD is not anecdotal, and that selection for divergence in male sex pheromone composition contributed to reproductive isolation within the Bicyclus genus. We propose that selection may target olfactory mate choice traits as a more common sensory modality to ensure reproductive isolation among diverging lineages than previously envisaged.","DOI":"10.1098/rspb.2014.2734","ISSN":"0962-8452, 1471-2954","note":"PMID: 25740889","language":"en","author":[{"family":"Bacquet","given":"P. M. B."},{"family":"Brattström","given":"O."},{"family":"Wang","given":"H.-L."},{"family":"Allen","given":"C. E."},{"family":"Löfstedt","given":"C."},{"family":"Brakefield","given":"P. M."},{"family":"Nieberding","given":"C. M."}],"issued":{"date-parts":[["2015",4,7]]}}}],"schema":"https://github.com/citation-style-language/schema/raw/master/csl-citation.json"}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sz w:val="24"/>
          <w:lang w:val="en-US"/>
        </w:rPr>
        <w:t>(Bacquet et al., 2015)</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 xml:space="preserve">. This step-wise selection of candidates focuses on within-species characteristics such as abundance, </w:t>
      </w:r>
      <w:r w:rsidRPr="000224E9">
        <w:rPr>
          <w:rFonts w:ascii="Times New Roman" w:hAnsi="Times New Roman" w:cs="Times New Roman"/>
          <w:sz w:val="24"/>
          <w:szCs w:val="24"/>
        </w:rPr>
        <w:lastRenderedPageBreak/>
        <w:t xml:space="preserve">without considering the presence of the compound in other species. We hypothesised that consistent species-specific compounds are likely to be biologically important. We present an alternative method to detect candidate pheromones by evaluating both the presence of a compound across the geographic range of a species as well as the presence of the compound in other species. This approach has multiple advantages, including simple mathematics and the ability to evaluate combinations of compounds as well as single compounds. </w:t>
      </w:r>
      <w:r w:rsidR="00484994">
        <w:rPr>
          <w:rFonts w:ascii="Times New Roman" w:hAnsi="Times New Roman" w:cs="Times New Roman"/>
          <w:sz w:val="24"/>
          <w:szCs w:val="24"/>
        </w:rPr>
        <w:t>The compounds identified in this study as indicators for</w:t>
      </w:r>
      <w:r w:rsidR="00B54B72">
        <w:rPr>
          <w:rFonts w:ascii="Times New Roman" w:hAnsi="Times New Roman" w:cs="Times New Roman"/>
          <w:sz w:val="24"/>
          <w:szCs w:val="24"/>
        </w:rPr>
        <w:t xml:space="preserve"> the androconia and genitals of</w:t>
      </w:r>
      <w:r w:rsidRPr="000224E9">
        <w:rPr>
          <w:rFonts w:ascii="Times New Roman" w:hAnsi="Times New Roman" w:cs="Times New Roman"/>
          <w:sz w:val="24"/>
          <w:szCs w:val="24"/>
        </w:rPr>
        <w:t xml:space="preserve">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melpomene</w:t>
      </w:r>
      <w:proofErr w:type="spellEnd"/>
      <w:r w:rsidRPr="000224E9">
        <w:rPr>
          <w:rFonts w:ascii="Times New Roman" w:hAnsi="Times New Roman" w:cs="Times New Roman"/>
          <w:sz w:val="24"/>
          <w:szCs w:val="24"/>
        </w:rPr>
        <w:t xml:space="preserve">, </w:t>
      </w:r>
      <w:proofErr w:type="spellStart"/>
      <w:r w:rsidRPr="000224E9">
        <w:rPr>
          <w:rFonts w:ascii="Times New Roman" w:hAnsi="Times New Roman" w:cs="Times New Roman"/>
          <w:sz w:val="24"/>
          <w:szCs w:val="24"/>
        </w:rPr>
        <w:t>octadecanal</w:t>
      </w:r>
      <w:proofErr w:type="spellEnd"/>
      <w:r w:rsidRPr="000224E9">
        <w:rPr>
          <w:rFonts w:ascii="Times New Roman" w:hAnsi="Times New Roman" w:cs="Times New Roman"/>
          <w:sz w:val="24"/>
          <w:szCs w:val="24"/>
        </w:rPr>
        <w:t xml:space="preserve"> and (</w:t>
      </w:r>
      <w:r w:rsidRPr="000224E9">
        <w:rPr>
          <w:rFonts w:ascii="Times New Roman" w:hAnsi="Times New Roman" w:cs="Times New Roman"/>
          <w:i/>
          <w:sz w:val="24"/>
          <w:szCs w:val="24"/>
        </w:rPr>
        <w:t>E</w:t>
      </w:r>
      <w:r w:rsidRPr="000224E9">
        <w:rPr>
          <w:rFonts w:ascii="Times New Roman" w:hAnsi="Times New Roman" w:cs="Times New Roman"/>
          <w:iCs/>
          <w:sz w:val="24"/>
          <w:szCs w:val="24"/>
        </w:rPr>
        <w:t>)-</w:t>
      </w:r>
      <w:r w:rsidRPr="000224E9">
        <w:rPr>
          <w:rFonts w:ascii="Times New Roman" w:hAnsi="Times New Roman" w:cs="Times New Roman"/>
          <w:sz w:val="24"/>
          <w:szCs w:val="24"/>
        </w:rPr>
        <w:t xml:space="preserve">β-ocimene respectively, </w:t>
      </w:r>
      <w:r w:rsidR="00484994">
        <w:rPr>
          <w:rFonts w:ascii="Times New Roman" w:hAnsi="Times New Roman" w:cs="Times New Roman"/>
          <w:sz w:val="24"/>
          <w:szCs w:val="24"/>
        </w:rPr>
        <w:t>have both been previously shown to be behaviourally active</w:t>
      </w:r>
      <w:r w:rsidRPr="000224E9">
        <w:rPr>
          <w:rFonts w:ascii="Times New Roman" w:hAnsi="Times New Roman" w:cs="Times New Roman"/>
          <w:sz w:val="24"/>
          <w:szCs w:val="24"/>
        </w:rPr>
        <w:t xml:space="preserve">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{"citationID":"a14r7eiej6d","properties":{"formattedCitation":"(Byers et al., 2019; Schulz et al., 2008)","plainCitation":"(Byers et al., 2019; Schulz et al., 2008)","noteIndex":0},"citationItems":[{"id":4754,"uris":["http://zotero.org/users/2671101/items/J3BHLEDU"],"uri":["http://zotero.org/users/2671101/items/J3BHLEDU"],"itemData":{"id":4754,"type":"article-journal","title":"A major locus controls a biologically active pheromone component in &lt;i&gt;Heliconius melpomene&lt;/i&gt;","container-title":"bioRxiv","page":"739037","source":"www.biorxiv.org","abstract":"&lt;p&gt;Pheromones are important for courtship and mate choice in many insects, but we know relatively little of their role in butterflies. The butterfly Heliconius melpomene uses a complex blend of wing androconial compounds during courtship. Electroantennography in H. melpomene and its close relative H. cydno showed that responses to androconial extracts were not species-specific. Females of both species responded more strongly to the H. cydno extract, suggesting conservation of peripheral nervous system elements across the two species. Individual blend components provoked little to no response, with the exception of octadecanal, a major component of the H. melpomene blend. Supplementing octadecanal on the wings of octadecanal-rich H. melpomene males led to an increase in the time until mating, demonstrating the bioactivity of octadecanal in Heliconius. Using quantitative trait locus (QTL) mapping, we identified a single locus on chromosome 20 responsible for 41% of the parental species9 difference in octadecanal production. This QTL does not overlap with any of the major wing color or mate choice loci, nor does it overlap with known regions of elevated or reduced FST. A set of 16 candidate fatty acid biosynthesis genes lies underneath the QTL.&lt;/p&gt;","DOI":"10.1101/739037","language":"en","author":[{"family":"Byers","given":"Kelsey J. R. P."},{"family":"Darragh","given":"Kathy"},{"family":"Musgrove","given":"Jamie"},{"family":"Almeida","given":"Diana Abondano"},{"family":"Garza","given":"Sylvia Fernanda"},{"family":"Warren","given":"Ian A."},{"family":"Rastas","given":"Pasi"},{"family":"Kučka","given":"Marek"},{"family":"Chan","given":"Yingguang Frank"},{"family":"Merrill","given":"Richard M."},{"family":"Schulz","given":"Stefan"},{"family":"McMillan","given":"W. Owen"},{"family":"Jiggins","given":"Chris D."}],"issued":{"date-parts":[["2019",8,19]]}},"label":"page"},{"id":1997,"uris":["http://zotero.org/users/2671101/items/UZ6CG9VQ"],"uri":["http://zotero.org/users/2671101/items/UZ6CG9VQ"],"itemData":{"id":1997,"type":"article-journal","title":"An antiaphrodisiac in &lt;i&gt;Heliconius melpomene&lt;/i&gt; butterflies","container-title":"Journal of chemical ecology","page":"82-93","volume":"34","issue":"1","DOI":"10.1007/s10886-007-9393-z","ISSN":"0098-0331","author":[{"family":"Schulz","given":"S."},{"family":"Estrada","given":"C."},{"family":"Yildizham","given":"S."},{"family":"Boppré","given":"M."},{"family":"Gilbert","given":"L. E."}],"issued":{"date-parts":[["2008"]]}},"label":"page"}],"schema":"https://github.com/citation-style-language/schema/raw/master/csl-citation.json"}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sz w:val="24"/>
          <w:lang w:val="en-US"/>
        </w:rPr>
        <w:t>(Byers et al., 2019; Schulz et al., 2008)</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 xml:space="preserve">. Combining broad geographic sampling with indicator analysis therefore provides a promising approach to determine potential pheromone components in other species, which could be tested behaviourally. Our analyses have already identified a number of compounds that could now be tested functionally, such as the </w:t>
      </w:r>
      <w:proofErr w:type="spellStart"/>
      <w:r w:rsidRPr="000224E9">
        <w:rPr>
          <w:rFonts w:ascii="Times New Roman" w:hAnsi="Times New Roman" w:cs="Times New Roman"/>
          <w:sz w:val="24"/>
          <w:szCs w:val="24"/>
        </w:rPr>
        <w:t>androconial</w:t>
      </w:r>
      <w:proofErr w:type="spellEnd"/>
      <w:r w:rsidRPr="000224E9">
        <w:rPr>
          <w:rFonts w:ascii="Times New Roman" w:hAnsi="Times New Roman" w:cs="Times New Roman"/>
          <w:sz w:val="24"/>
          <w:szCs w:val="24"/>
        </w:rPr>
        <w:t xml:space="preserve"> compound </w:t>
      </w:r>
      <w:proofErr w:type="spellStart"/>
      <w:r w:rsidRPr="000224E9">
        <w:rPr>
          <w:rFonts w:ascii="Times New Roman" w:hAnsi="Times New Roman" w:cs="Times New Roman"/>
          <w:sz w:val="24"/>
          <w:szCs w:val="24"/>
        </w:rPr>
        <w:t>geranylgeranylacetone</w:t>
      </w:r>
      <w:proofErr w:type="spellEnd"/>
      <w:r w:rsidRPr="000224E9">
        <w:rPr>
          <w:rFonts w:ascii="Times New Roman" w:hAnsi="Times New Roman" w:cs="Times New Roman"/>
          <w:sz w:val="24"/>
          <w:szCs w:val="24"/>
        </w:rPr>
        <w:t xml:space="preserve"> in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erato</w:t>
      </w:r>
      <w:proofErr w:type="spellEnd"/>
      <w:r w:rsidRPr="000224E9">
        <w:rPr>
          <w:rFonts w:ascii="Times New Roman" w:hAnsi="Times New Roman" w:cs="Times New Roman"/>
          <w:sz w:val="24"/>
          <w:szCs w:val="24"/>
        </w:rPr>
        <w:t>.</w:t>
      </w:r>
    </w:p>
    <w:p w:rsidR="00A7633C" w:rsidRPr="000224E9" w:rsidRDefault="00A7633C" w:rsidP="00A7633C">
      <w:pPr>
        <w:spacing w:after="120" w:line="480" w:lineRule="auto"/>
        <w:ind w:firstLine="720"/>
        <w:rPr>
          <w:rFonts w:ascii="Times New Roman" w:hAnsi="Times New Roman" w:cs="Times New Roman"/>
          <w:sz w:val="24"/>
          <w:szCs w:val="24"/>
        </w:rPr>
      </w:pPr>
      <w:r w:rsidRPr="000224E9">
        <w:rPr>
          <w:rFonts w:ascii="Times New Roman" w:hAnsi="Times New Roman" w:cs="Times New Roman"/>
          <w:sz w:val="24"/>
          <w:szCs w:val="24"/>
        </w:rPr>
        <w:t xml:space="preserve">Chemical profiles are predicted to be highly species-specific if they are involved in species recognition during mating. For instance orchid bee chemical blends, presumably important for mating and species recognition, show high species-specificity, as well as within-species variability, which can be partly explained by geography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{"citationID":"l9gN8By8","properties":{"formattedCitation":"(Brand et al., 2019; Weber et al., 2016; Zimmermann et al., 2006)","plainCitation":"(Brand et al., 2019; Weber et al., 2016; Zimmermann et al., 2006)","noteIndex":0},"citationItems":[{"id":3485,"uris":["http://zotero.org/users/2671101/items/ASYY3EHT"],"uri":["http://zotero.org/users/2671101/items/ASYY3EHT"],"itemData":{"id":3485,"type":"article-journal","title":"Species-specific attraction to pheromonal analogues in orchid bees","container-title":"Behavioral Ecology and Sociobiology","page":"833","volume":"60","issue":"6","source":"Springer Link","abstract":"Male orchid bees (Euglossini) collect fragrances from flowers and other natural sources, a behaviour that has shaped the euglossine pollination syndrome. Males store such chemicals in hind leg pouches and later expose them during courtship display. In the present study, we show that complex bouquets of two sympatric species of Eulaema, E. meriana and E. bombiformis, are chemically distinct. When exposed during bioassays at display perches individual hind leg extracts rapidly and consistently attracted other males of the correct species, even if derived from males of disparate localities (French Guiana and Panama). Conspecific males as well as females of E. bombiformis arrived at natural perch sites only from downwind, and two copulations were observed. Our findings demonstrate that acquired odours mediate exclusive attraction within species and support the idea that such fragrances are pheromone analogues. Their role in acquiring matings and during male–male interaction is discussed.","DOI":"10.1007/s00265-006-0227-8","ISSN":"1432-0762","journalAbbreviation":"Behav Ecol Sociobiol","language":"en","author":[{"family":"Zimmermann","given":"Yvonne"},{"family":"Roubik","given":"David W."},{"family":"Eltz","given":"Thomas"}],"issued":{"date-parts":[["2006",7,19]]}},"label":"page"},{"id":3259,"uris":["http://zotero.org/users/2671101/items/N2FHPHD7"],"uri":["http://zotero.org/users/2671101/items/N2FHPHD7"],"itemData":{"id":3259,"type":"article-journal","title":"Macroevolution of perfume signalling in orchid bees","container-title":"Ecology Letters","page":"1314-1323","volume":"19","issue":"11","source":"Wiley Online Library","abstract":"Theory predicts that both stabilising selection and diversifying selection jointly contribute to the evolution of sexual signalling traits by (1) maintaining the integrity of communication signals within species and (2) promoting the diversification of traits among lineages. However, for many important signalling traits, little is known about whether these dynamics translate into predictable macroevolutionary signatures. Here, we test for macroevolutionary patterns consistent with sexual signalling theory in the perfume signals of neotropical orchid bees, a group well studied for their chemical sexual communication. Our results revealed both high species-specificity and elevated rates of evolution in perfume signals compared to nonsignalling traits. Perfume complexity was correlated with the number of congeners in a species’ range, suggesting that perfume evolution may be tied to the remarkably high number of orchid bee species coexisting together in some neotropical communities. Finally, sister-pair comparisons were consistent with both rapid divergence at speciation and character displacement upon secondary contact. Together, our results provide new insight into the macroevolution of sexual signalling in insects.","DOI":"10.1111/ele.12667","ISSN":"1461-0248","language":"en","author":[{"family":"Weber","given":"Marjorie G."},{"family":"Mitko","given":"Lukasz"},{"family":"Eltz","given":"Thomas"},{"family":"Ramírez","given":"Santiago R."}],"issued":{"date-parts":[["2016"]]}},"label":"page"},{"id":3483,"uris":["http://zotero.org/users/2671101/items/IGWCBWMA"],"uri":["http://zotero.org/users/2671101/items/IGWCBWMA"],"itemData":{"id":3483,"type":"article-journal","title":"An olfactory receptor gene underlies reproductive isolation in perfume-collecting orchid bees","container-title":"bioRxiv","page":"537423","source":"www.biorxiv.org","abstract":"&lt;p&gt;Speciation is facilitated by the evolution of reproductive barriers that prevent or reduce hybridization among diverging lineages. However, the genetic mechanisms that control the evolution of reproductive barriers remain elusive, particularly in natural populations. We identify a gene associated with divergence in chemical courtship signaling in a pair of nascent orchid bee lineages. Male orchid bees collect perfume compounds from flowers and other sources to subsequently expose during courtship display, thereby conveying information on species identity. We show that these two lineages exhibit differentiated perfume blends and that this change is associated with the rapid evolution of a single odorant receptor gene. Our study suggests that reproductive isolation evolved through divergence of a major barrier gene involved in chemically mediated pre-mating isolation via genetic coupling.&lt;/p&gt;","DOI":"10.1101/537423","language":"en","author":[{"family":"Brand","given":"Philipp"},{"family":"Hinojosa-Díaz","given":"Ismael A."},{"family":"Ayala","given":"Ricardo"},{"family":"Daigle","given":"Michael"},{"family":"Obiols","given":"Carmen L. Yurrita"},{"family":"Eltz","given":"Thomas"},{"family":"Ramírez","given":"Santiago R."}],"issued":{"date-parts":[["2019",2,1]]}},"label":"page"}],"schema":"https://github.com/citation-style-language/schema/raw/master/csl-citation.json"}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sz w:val="24"/>
          <w:lang w:val="en-US"/>
        </w:rPr>
        <w:t>(Brand et al., 2019; Weber et al., 2016; Zimmermann et al., 2006)</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 xml:space="preserve">. We see similar patterns in </w:t>
      </w:r>
      <w:proofErr w:type="spellStart"/>
      <w:r w:rsidRPr="000224E9">
        <w:rPr>
          <w:rFonts w:ascii="Times New Roman" w:hAnsi="Times New Roman" w:cs="Times New Roman"/>
          <w:i/>
          <w:iCs/>
          <w:sz w:val="24"/>
          <w:szCs w:val="24"/>
        </w:rPr>
        <w:t>Heliconius</w:t>
      </w:r>
      <w:proofErr w:type="spellEnd"/>
      <w:r w:rsidRPr="000224E9">
        <w:rPr>
          <w:rFonts w:ascii="Times New Roman" w:hAnsi="Times New Roman" w:cs="Times New Roman"/>
          <w:sz w:val="24"/>
          <w:szCs w:val="24"/>
        </w:rPr>
        <w:t xml:space="preserve">, with greater interspecific than intraspecific differences in chemical profiles. The magnitude of intraspecific differences is smaller in </w:t>
      </w:r>
      <w:proofErr w:type="spellStart"/>
      <w:r w:rsidRPr="000224E9">
        <w:rPr>
          <w:rFonts w:ascii="Times New Roman" w:hAnsi="Times New Roman" w:cs="Times New Roman"/>
          <w:i/>
          <w:iCs/>
          <w:sz w:val="24"/>
          <w:szCs w:val="24"/>
        </w:rPr>
        <w:t>Heliconius</w:t>
      </w:r>
      <w:proofErr w:type="spellEnd"/>
      <w:r w:rsidRPr="000224E9">
        <w:rPr>
          <w:rFonts w:ascii="Times New Roman" w:hAnsi="Times New Roman" w:cs="Times New Roman"/>
          <w:sz w:val="24"/>
          <w:szCs w:val="24"/>
        </w:rPr>
        <w:t xml:space="preserve">, likely due to the fact that orchid bees collect their blends from the environment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{"citationID":"a24o93f3jv4","properties":{"formattedCitation":"(Eltz et al., 1999)","plainCitation":"(Eltz et al., 1999)","noteIndex":0},"citationItems":[{"id":3303,"uris":["http://zotero.org/users/2671101/items/W2628688"],"uri":["http://zotero.org/users/2671101/items/W2628688"],"itemData":{"id":3303,"type":"article-journal","title":"Fragrance Collection, Storage, and Accumulation by Individual Male Orchid Bees","container-title":"Journal of Chemical Ecology","page":"157-176","volume":"25","issue":"1","source":"Springer Link","abstract":"Individually marked males of two species of Euglossa were sighted repeatedly and over considerable periods of time (up to 44 days) at artificial fragrance baits exposed on Barro Colorado Island (BCI), Panama. Individuals switched between different bait chemicals that are attractive for the respective species, and no bait preferences or individual bait constancy was observed. GC-MS analyses of 153 males of three species showed that individual hind tibiae contain highly variable quantities of a complex and species-specific blend of fragrance compounds, mainly terpenoids and aromatics. In all three species, frequency distributions of individual quantities were strongly skewed towards individuals with small amounts, and individual amount and complexity were positively correlated. Tibial contents of male Euglossa imperialis that were kept alive in a flight cage for 0, 5, 10, or 15 days showed no qualitative or quantitative change over time, suggesting that the fragrances are very efficiently stored in the hind legs. In Euglossa cognata wing wear, an established age correlate of the species, was positively correlated with individual fragrance quantity. Our results suggest that male euglossines forage continuously for a variety of volatiles, store them, and finally acquire large quantities of a complex and specific fragrance bouquet. Both qualitative and quantitative aspects of individual contents are likely to contain information on male phenotypic and genotypic quality.","DOI":"10.1023/A:1020897302355","ISSN":"1573-1561","journalAbbreviation":"J Chem Ecol","language":"en","author":[{"family":"Eltz","given":"T."},{"family":"Whitten","given":"W. M."},{"family":"Roubik","given":"D. W."},{"family":"Linsenmair","given":"K. E."}],"issued":{"date-parts":[["1999",1,1]]}}}],"schema":"https://github.com/citation-style-language/schema/raw/master/csl-citation.json"}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sz w:val="24"/>
          <w:lang w:val="en-US"/>
        </w:rPr>
        <w:t>(Eltz et al., 1999)</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 xml:space="preserve">. In both cases, species identity is the best predictor of chemical divergence, with geographic location able to explain some intraspecific differences. One exception to this is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elevatus</w:t>
      </w:r>
      <w:proofErr w:type="spellEnd"/>
      <w:r w:rsidRPr="000224E9">
        <w:rPr>
          <w:rFonts w:ascii="Times New Roman" w:hAnsi="Times New Roman" w:cs="Times New Roman"/>
          <w:sz w:val="24"/>
          <w:szCs w:val="24"/>
        </w:rPr>
        <w:t xml:space="preserve"> which does not group separately from its co-mimic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melpomene</w:t>
      </w:r>
      <w:proofErr w:type="spellEnd"/>
      <w:r w:rsidRPr="000224E9">
        <w:rPr>
          <w:rFonts w:ascii="Times New Roman" w:hAnsi="Times New Roman" w:cs="Times New Roman"/>
          <w:sz w:val="24"/>
          <w:szCs w:val="24"/>
        </w:rPr>
        <w:t xml:space="preserve"> for genital compounds, despite the fact that these species are not especially closely related in the </w:t>
      </w:r>
      <w:proofErr w:type="spellStart"/>
      <w:r w:rsidRPr="000224E9">
        <w:rPr>
          <w:rFonts w:ascii="Times New Roman" w:hAnsi="Times New Roman" w:cs="Times New Roman"/>
          <w:i/>
          <w:iCs/>
          <w:sz w:val="24"/>
          <w:szCs w:val="24"/>
        </w:rPr>
        <w:t>Heliconius</w:t>
      </w:r>
      <w:proofErr w:type="spellEnd"/>
      <w:r w:rsidRPr="000224E9">
        <w:rPr>
          <w:rFonts w:ascii="Times New Roman" w:hAnsi="Times New Roman" w:cs="Times New Roman"/>
          <w:sz w:val="24"/>
          <w:szCs w:val="24"/>
        </w:rPr>
        <w:t xml:space="preserve"> phylogeny. Further samples are needed to confirm </w:t>
      </w:r>
      <w:r w:rsidRPr="000224E9">
        <w:rPr>
          <w:rFonts w:ascii="Times New Roman" w:hAnsi="Times New Roman" w:cs="Times New Roman"/>
          <w:sz w:val="24"/>
          <w:szCs w:val="24"/>
        </w:rPr>
        <w:lastRenderedPageBreak/>
        <w:t xml:space="preserve">that this result is not due to the small sample of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elevatus</w:t>
      </w:r>
      <w:proofErr w:type="spellEnd"/>
      <w:r w:rsidRPr="000224E9">
        <w:rPr>
          <w:rFonts w:ascii="Times New Roman" w:hAnsi="Times New Roman" w:cs="Times New Roman"/>
          <w:sz w:val="24"/>
          <w:szCs w:val="24"/>
        </w:rPr>
        <w:t xml:space="preserve"> in this study. As in orchid bees, species differences are often consistent across a large geographic range, suggesting that they could be important for reproductive isolation between species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{"citationID":"riLJNiyu","properties":{"formattedCitation":"(Weber et al., 2016)","plainCitation":"(Weber et al., 2016)","noteIndex":0},"citationItems":[{"id":3259,"uris":["http://zotero.org/users/2671101/items/N2FHPHD7"],"uri":["http://zotero.org/users/2671101/items/N2FHPHD7"],"itemData":{"id":3259,"type":"article-journal","title":"Macroevolution of perfume signalling in orchid bees","container-title":"Ecology Letters","page":"1314-1323","volume":"19","issue":"11","source":"Wiley Online Library","abstract":"Theory predicts that both stabilising selection and diversifying selection jointly contribute to the evolution of sexual signalling traits by (1) maintaining the integrity of communication signals within species and (2) promoting the diversification of traits among lineages. However, for many important signalling traits, little is known about whether these dynamics translate into predictable macroevolutionary signatures. Here, we test for macroevolutionary patterns consistent with sexual signalling theory in the perfume signals of neotropical orchid bees, a group well studied for their chemical sexual communication. Our results revealed both high species-specificity and elevated rates of evolution in perfume signals compared to nonsignalling traits. Perfume complexity was correlated with the number of congeners in a species’ range, suggesting that perfume evolution may be tied to the remarkably high number of orchid bee species coexisting together in some neotropical communities. Finally, sister-pair comparisons were consistent with both rapid divergence at speciation and character displacement upon secondary contact. Together, our results provide new insight into the macroevolution of sexual signalling in insects.","DOI":"10.1111/ele.12667","ISSN":"1461-0248","language":"en","author":[{"family":"Weber","given":"Marjorie G."},{"family":"Mitko","given":"Lukasz"},{"family":"Eltz","given":"Thomas"},{"family":"Ramírez","given":"Santiago R."}],"issued":{"date-parts":[["2016"]]}}}],"schema":"https://github.com/citation-style-language/schema/raw/master/csl-citation.json"}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sz w:val="24"/>
          <w:lang w:val="en-US"/>
        </w:rPr>
        <w:t>(Weber et al., 2016)</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 xml:space="preserve">. </w:t>
      </w:r>
    </w:p>
    <w:p w:rsidR="00A7633C" w:rsidRPr="000224E9" w:rsidRDefault="00A7633C" w:rsidP="00A7633C">
      <w:pPr>
        <w:spacing w:after="120" w:line="480" w:lineRule="auto"/>
        <w:ind w:firstLine="720"/>
        <w:rPr>
          <w:rFonts w:ascii="Times New Roman" w:hAnsi="Times New Roman" w:cs="Times New Roman"/>
          <w:sz w:val="24"/>
          <w:szCs w:val="24"/>
        </w:rPr>
      </w:pPr>
      <w:r w:rsidRPr="000224E9">
        <w:rPr>
          <w:rFonts w:ascii="Times New Roman" w:hAnsi="Times New Roman" w:cs="Times New Roman"/>
          <w:sz w:val="24"/>
          <w:szCs w:val="24"/>
        </w:rPr>
        <w:t xml:space="preserve">We found a correlation between chemical distance and genetic distance. This suggests that neutral evolutionary forces are important in the evolution of chemical bouquets. The correlation between genital chemical distance and genetic distance is a much stronger correlation than previously reported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{"citationID":"bPM6UEcx","properties":{"formattedCitation":"(Estrada et al., 2011)","plainCitation":"(Estrada et al., 2011)","noteIndex":0},"citationItems":[{"id":838,"uris":["http://zotero.org/users/2671101/items/ISTIQRKM"],"uri":["http://zotero.org/users/2671101/items/ISTIQRKM"],"itemData":{"id":838,"type":"article-journal","title":"Sexual selection drives the evolution of antiaphrodisiac pheromones in butterflies","container-title":"Evolution; international journal of organic evolution","page":"2843-2854","volume":"65","issue":"10","source":"NCBI PubMed","abstract":"Competition for mates has resulted in sophisticated mechanisms of male control over female reproduction. Antiaphrodisiacs are pheromones transferred from males to females during mating that reduce attractiveness of females to subsequent courting males. Antiaphrodisiacs generally help unreceptive females reduce male harassment. However, lack of control over pheromone release by females and male control over the amount transferred provides males an opportunity to use antiaphrodisiacs to delay remating by females that have returned to a receptive state. We propose a model for the evolution of antiaphrodisiacs under the influence of intrasexual selection, and determine whether changes in this signal in 11 species of Heliconius butterflies are consistent with two predictions of the model. First, we find that as predicted, male-contributed chemical mixtures are complex and highly variable across species, with limited phylogenetic signal. Second, differences in rates of evolution in pheromone composition between two major clades of Heliconius are as expected: the clade with a greater potential for male-male competition (polyandrous) shows a faster rate of divergence than the one with typically monoandrous mating system. Taken together, our results provide evidence that for females, antiaphrodisiacs can be both honest signals of receptivity (helping reduce harassment) and chastity belts (a male-imposed reduction in remating).","DOI":"10.1111/j.1558-5646.2011.01352.x","ISSN":"1558-5646","note":"PMID: 21967426","journalAbbreviation":"Evolution","language":"eng","author":[{"family":"Estrada","given":"C"},{"family":"Schulz","given":"Stefan"},{"family":"Yildizhan","given":"Selma"},{"family":"Gilbert","given":"Lawrence E"}],"issued":{"date-parts":[["2011",10]]}}}],"schema":"https://github.com/citation-style-language/schema/raw/master/csl-citation.json"}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noProof/>
          <w:sz w:val="24"/>
          <w:szCs w:val="24"/>
        </w:rPr>
        <w:t>(Estrada et al., 2011)</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 xml:space="preserve">, possibly due to the quantitative nature of our data. The strong signal of neutrality suggests that the majority of compounds in the bouquets are neutrally evolving. For example, in the genital bouquet of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melpomene</w:t>
      </w:r>
      <w:proofErr w:type="spellEnd"/>
      <w:r w:rsidRPr="000224E9">
        <w:rPr>
          <w:rFonts w:ascii="Times New Roman" w:hAnsi="Times New Roman" w:cs="Times New Roman"/>
          <w:sz w:val="24"/>
          <w:szCs w:val="24"/>
        </w:rPr>
        <w:t>, one compound, (</w:t>
      </w:r>
      <w:r w:rsidRPr="000224E9">
        <w:rPr>
          <w:rFonts w:ascii="Times New Roman" w:hAnsi="Times New Roman" w:cs="Times New Roman"/>
          <w:i/>
          <w:sz w:val="24"/>
          <w:szCs w:val="24"/>
        </w:rPr>
        <w:t>E</w:t>
      </w:r>
      <w:r w:rsidRPr="000224E9">
        <w:rPr>
          <w:rFonts w:ascii="Times New Roman" w:hAnsi="Times New Roman" w:cs="Times New Roman"/>
          <w:iCs/>
          <w:sz w:val="24"/>
          <w:szCs w:val="24"/>
        </w:rPr>
        <w:t>)-</w:t>
      </w:r>
      <w:r w:rsidRPr="000224E9">
        <w:rPr>
          <w:rFonts w:ascii="Times New Roman" w:hAnsi="Times New Roman" w:cs="Times New Roman"/>
          <w:sz w:val="24"/>
          <w:szCs w:val="24"/>
        </w:rPr>
        <w:t xml:space="preserve">β-ocimene, can act by itself as an anti-aphrodisiac, with other components of the bouquet thought to moderate its evaporation rate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{"citationID":"AyXcDZMO","properties":{"formattedCitation":"(Schulz et al., 2008)","plainCitation":"(Schulz et al., 2008)","noteIndex":0},"citationItems":[{"id":1997,"uris":["http://zotero.org/users/2671101/items/UZ6CG9VQ"],"uri":["http://zotero.org/users/2671101/items/UZ6CG9VQ"],"itemData":{"id":1997,"type":"article-journal","title":"An antiaphrodisiac in &lt;i&gt;Heliconius melpomene&lt;/i&gt; butterflies","container-title":"Journal of chemical ecology","page":"82-93","volume":"34","issue":"1","DOI":"10.1007/s10886-007-9393-z","ISSN":"0098-0331","author":[{"family":"Schulz","given":"S."},{"family":"Estrada","given":"C."},{"family":"Yildizham","given":"S."},{"family":"Boppré","given":"M."},{"family":"Gilbert","given":"L. E."}],"issued":{"date-parts":[["2008"]]}}}],"schema":"https://github.com/citation-style-language/schema/raw/master/csl-citation.json"}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noProof/>
          <w:sz w:val="24"/>
          <w:szCs w:val="24"/>
        </w:rPr>
        <w:t>(Schulz et al., 2008)</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 xml:space="preserve">. In the future, focusing on the evolutionary patterns of only compounds which exhibit behavioural or electrophysiological responses, rather than the entire bouquet, may disentangle the processes involved in the evolution of these profiles. </w:t>
      </w:r>
    </w:p>
    <w:p w:rsidR="00A7633C" w:rsidRPr="000224E9" w:rsidRDefault="00A7633C" w:rsidP="00A7633C">
      <w:pPr>
        <w:spacing w:after="120" w:line="480" w:lineRule="auto"/>
        <w:ind w:firstLine="720"/>
        <w:rPr>
          <w:rFonts w:ascii="Times New Roman" w:hAnsi="Times New Roman" w:cs="Times New Roman"/>
          <w:sz w:val="24"/>
          <w:szCs w:val="24"/>
        </w:rPr>
      </w:pPr>
      <w:proofErr w:type="spellStart"/>
      <w:r w:rsidRPr="000224E9">
        <w:rPr>
          <w:rFonts w:ascii="Times New Roman" w:hAnsi="Times New Roman" w:cs="Times New Roman"/>
          <w:i/>
          <w:iCs/>
          <w:sz w:val="24"/>
          <w:szCs w:val="24"/>
        </w:rPr>
        <w:t>Heliconius</w:t>
      </w:r>
      <w:proofErr w:type="spellEnd"/>
      <w:r w:rsidRPr="000224E9">
        <w:rPr>
          <w:rFonts w:ascii="Times New Roman" w:hAnsi="Times New Roman" w:cs="Times New Roman"/>
          <w:i/>
          <w:iCs/>
          <w:sz w:val="24"/>
          <w:szCs w:val="24"/>
        </w:rPr>
        <w:t xml:space="preserve"> </w:t>
      </w:r>
      <w:proofErr w:type="spellStart"/>
      <w:r w:rsidRPr="000224E9">
        <w:rPr>
          <w:rFonts w:ascii="Times New Roman" w:hAnsi="Times New Roman" w:cs="Times New Roman"/>
          <w:i/>
          <w:iCs/>
          <w:sz w:val="24"/>
          <w:szCs w:val="24"/>
        </w:rPr>
        <w:t>erato</w:t>
      </w:r>
      <w:proofErr w:type="spellEnd"/>
      <w:r w:rsidRPr="000224E9">
        <w:rPr>
          <w:rFonts w:ascii="Times New Roman" w:hAnsi="Times New Roman" w:cs="Times New Roman"/>
          <w:sz w:val="24"/>
          <w:szCs w:val="24"/>
        </w:rPr>
        <w:t xml:space="preserve"> and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melpomene</w:t>
      </w:r>
      <w:proofErr w:type="spellEnd"/>
      <w:r w:rsidRPr="000224E9">
        <w:rPr>
          <w:rFonts w:ascii="Times New Roman" w:hAnsi="Times New Roman" w:cs="Times New Roman"/>
          <w:sz w:val="24"/>
          <w:szCs w:val="24"/>
        </w:rPr>
        <w:t xml:space="preserve"> both exhibit extensive colour pattern variation across their geographic range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{"citationID":"Hd1p1ikZ","properties":{"formattedCitation":"(Sheppard et al., 1985)","plainCitation":"(Sheppard et al., 1985)","noteIndex":0},"citationItems":[{"id":3469,"uris":["http://zotero.org/users/2671101/items/R2HPMQVQ"],"uri":["http://zotero.org/users/2671101/items/R2HPMQVQ"],"itemData":{"id":3469,"type":"article-journal","title":"Genetics and the evolution of Muellerian mimicry in &lt;i&gt;Heliconius &lt;/i&gt;butterflies","container-title":"Philosophical Transactions of the Royal Society of London. B, Biological Sciences","page":"433-610","volume":"308","issue":"1137","source":"royalsocietypublishing.org (Atypon)","abstract":"A protected and warningly coloured butterfly can become a muellerian mimic of another species in two steps: (i) a major mutation converts the pattern of the less protected species to an approximate resemblance of the better protected (one-way convergence); (ii) after the spread of this mutant, the species, which now resemble each other sufficiently to be mistaken one for the other by predators, undergo mutual convergence, using whatever major or minor genetic variation is available to them. Although sometimes one or other step might occur alone, in general early theorists were mistaken in attributing muellerian mimicry to only one of these processes. By hybridizing races of Heliconius melpomene and races of H. erato (a pair of parallel mimetic species from the neotropics, held in mutual muellerian mimicry across wide inter-racial variations in colour pattern) we have shown that, as expected from the two-step theory, the races differ at a number (two to nine) of genetic loci, usually unlinked or loosely linked, including at least one mutant of major effect in each case. We describe the genetic constitution of eight races of H. melpomene (for 11 loci affecting colour pattern) and of eight races of H. erato (for up to 15 loci), and have started to identify the linkage groups. Map distances for those loci that are linked range from around 0.3 to zero in males, with no recombination in females. Muellerian mimicry is expected to produce total uniformity of pattern: universal exceptions to this are the existence of distinct mimicry rings flying within the same habitat, geographical variation within nearly all the more widespread species (divergence in the face of normalizing selection), and, in a few species, polymorphism or sexual dimorphism. Sympatric mimicry rings will, according to the two-step model of evolution, persist indefinitely if their patterns are so distinct that under no circumstances do predators mistake one for the other. Gradual mutual convergence is then impossible, although members of a weakly protected mimicry ring that can produce a mutation giving sufficient initial resemblance to a better protected ring can still be captured by it. Batesian mimics promote this by lowering the protection of the ring that they belong to, but their models can escape only in this way as normalizing selection prevents their gradual evolution away from the batesian mimic. If the rings are too distinct in pattern even this capture of species becomes impossible as no single mutant is able to bridge the gap between the two patterns, and the necessary two mutations will be extremely unlikely to occur together. The five principal sympatric mimicry rings of the mature neotropical rain forests are very distinct in their appearance The capture of a species by another ring can produce geographical variation both in the species captured and in the capturing ring, whose pattern is somewhat altered by mutual convergence with the captured species in the second step of the evolution of the muellerian resemblance. We suggest that the striking differences between the races within H. melpomene, H. erato and other Heliconius species resulted from these effects of inter-ring capture. Distributional evidence suggests that this chiefly occurred in refuges formed by the contraction of the neotropical rain forests during the cool dry periods in the Quaternary; these, by differential extinction of elements of the flora and fauna of different refuges, could have produced long-term changes in the relative abundances of the mimicry rings, and hence (as the protection given to a ring is proportional to its abundance) somewhat different capture events in each refuge. Several existing species confirm that this mode of evolution occurs, by retaining a distinctive pattern in the absence of any other remotely similar species, but becoming mimetic in areas where they encounter a pattern somewhat like their own. The isolated populations of Heliconius hermathena show this particularly clearly; the effect can be discerned also in H. melpomene and H. erato. Although polymorphism in muellerian mimics is largely unexplained, in two species of Heliconius it may result from the existence of two or more similar but slightly differing ‘sub-rings’ among their comimics in the family Ithomiidae, which show both spatial and temporal heterogeneity in their local distribution, which apparently is able to maintain a polymorphic equilibrium in the more uniformly distributed Heliconius. We have tentatively reconstructed the ancestral patterns of H. melpomene and erato by two independent methods: first, as dominant genes are much more likely to be incorporated than recessive ones during changes of pattern, the phenotype produced by the recessive alleles at all the known loci will be close to the ancestral pattern; secondly, species that are becoming mimics evolve more than those that are not, so that non-mimetic relatives of melpomene and erato will have a pattern close to ancestral. Both methods suggest, for both species, that the ancestor was a black butterfly with yellow (or possibly white) bars, and it may be that melpomene and erato have been comimics for a very long time. Previous climatic cycles in the Quaternary have apparently caused full speciation within two mutually mimetic evolving lineages, producing pairs of parallel mimetic species within the genus, of which melpomene and erato constitute one pair.","DOI":"10.1098/rstb.1985.0066","journalAbbreviation":"Philosophical Transactions of the Royal Society of London. B, Biological Sciences","author":[{"family":"Sheppard","given":"P.M."},{"family":"Turner","given":"J.R.G."},{"literal":"Brown K. S."},{"literal":"Benson W. W."},{"literal":"Singer M. C."}],"issued":{"date-parts":[["1985",2,28]]}}}],"schema":"https://github.com/citation-style-language/schema/raw/master/csl-citation.json"}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sz w:val="24"/>
          <w:lang w:val="en-US"/>
        </w:rPr>
        <w:t>(Sheppard et al., 1985)</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 xml:space="preserve"> and these populations also differ in their </w:t>
      </w:r>
      <w:proofErr w:type="spellStart"/>
      <w:r w:rsidRPr="000224E9">
        <w:rPr>
          <w:rFonts w:ascii="Times New Roman" w:hAnsi="Times New Roman" w:cs="Times New Roman"/>
          <w:sz w:val="24"/>
          <w:szCs w:val="24"/>
        </w:rPr>
        <w:t>androconial</w:t>
      </w:r>
      <w:proofErr w:type="spellEnd"/>
      <w:r w:rsidRPr="000224E9">
        <w:rPr>
          <w:rFonts w:ascii="Times New Roman" w:hAnsi="Times New Roman" w:cs="Times New Roman"/>
          <w:sz w:val="24"/>
          <w:szCs w:val="24"/>
        </w:rPr>
        <w:t xml:space="preserve"> and genital bouquets. Whilst traditionally predicted to be under stabilising selection, intraspecific variation between populations in chemical profiles has been documented in other Lepidoptera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{"citationID":"Qsjx3KUi","properties":{"formattedCitation":"(Carde and Allison, 2016)","plainCitation":"(Carde and Allison, 2016)","noteIndex":0},"citationItems":[{"id":4954,"uris":["http://zotero.org/users/2671101/items/XNH5L5V6"],"uri":["http://zotero.org/users/2671101/items/XNH5L5V6"],"itemData":{"id":4954,"type":"chapter","title":"Variation in Moth Pheromones. Causes and Consequences","container-title":"Pheromone Communication in Moths: Evolution, Behavior, and Application","publisher":"University of California Press","publisher-place":"Berkeley","page":"25-39","source":"ResearchGate","event-place":"Berkeley","author":[{"family":"Carde","given":"R. T."},{"family":"Allison","given":"Jeremy D."}],"editor":[{"family":"Carde","given":"R. T."},{"family":"Allison","given":"Jeremy D."}],"issued":{"date-parts":[["2016"]]}}}],"schema":"https://github.com/citation-style-language/schema/raw/master/csl-citation.json"}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sz w:val="24"/>
          <w:lang w:val="en-US"/>
        </w:rPr>
        <w:t>(Carde and Allison, 2016)</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 xml:space="preserve">. Chemical divergence in putative male sex pheromones between populations of </w:t>
      </w:r>
      <w:proofErr w:type="spellStart"/>
      <w:r w:rsidRPr="000224E9">
        <w:rPr>
          <w:rFonts w:ascii="Times New Roman" w:hAnsi="Times New Roman" w:cs="Times New Roman"/>
          <w:i/>
          <w:iCs/>
          <w:sz w:val="24"/>
          <w:szCs w:val="24"/>
        </w:rPr>
        <w:t>Bicyclus</w:t>
      </w:r>
      <w:proofErr w:type="spellEnd"/>
      <w:r w:rsidRPr="000224E9">
        <w:rPr>
          <w:rFonts w:ascii="Times New Roman" w:hAnsi="Times New Roman" w:cs="Times New Roman"/>
          <w:i/>
          <w:iCs/>
          <w:sz w:val="24"/>
          <w:szCs w:val="24"/>
        </w:rPr>
        <w:t xml:space="preserve"> </w:t>
      </w:r>
      <w:proofErr w:type="spellStart"/>
      <w:r w:rsidRPr="000224E9">
        <w:rPr>
          <w:rFonts w:ascii="Times New Roman" w:hAnsi="Times New Roman" w:cs="Times New Roman"/>
          <w:i/>
          <w:iCs/>
          <w:sz w:val="24"/>
          <w:szCs w:val="24"/>
        </w:rPr>
        <w:t>anynana</w:t>
      </w:r>
      <w:proofErr w:type="spellEnd"/>
      <w:r w:rsidRPr="000224E9">
        <w:rPr>
          <w:rFonts w:ascii="Times New Roman" w:hAnsi="Times New Roman" w:cs="Times New Roman"/>
          <w:sz w:val="24"/>
          <w:szCs w:val="24"/>
        </w:rPr>
        <w:t xml:space="preserve"> is reported to be as large as differences between </w:t>
      </w:r>
      <w:proofErr w:type="spellStart"/>
      <w:r w:rsidRPr="000224E9">
        <w:rPr>
          <w:rFonts w:ascii="Times New Roman" w:hAnsi="Times New Roman" w:cs="Times New Roman"/>
          <w:i/>
          <w:iCs/>
          <w:sz w:val="24"/>
          <w:szCs w:val="24"/>
        </w:rPr>
        <w:t>Bicyclus</w:t>
      </w:r>
      <w:proofErr w:type="spellEnd"/>
      <w:r w:rsidRPr="000224E9">
        <w:rPr>
          <w:rFonts w:ascii="Times New Roman" w:hAnsi="Times New Roman" w:cs="Times New Roman"/>
          <w:sz w:val="24"/>
          <w:szCs w:val="24"/>
        </w:rPr>
        <w:t xml:space="preserve"> species, and is greater than predicted by genetic divergence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{"citationID":"a17ftmou1qe","properties":{"formattedCitation":"(Bacquet et al., 2016)","plainCitation":"(Bacquet et al., 2016)","noteIndex":0},"citationItems":[{"id":3487,"uris":["http://zotero.org/users/2671101/items/6K26DP8E"],"uri":["http://zotero.org/users/2671101/items/6K26DP8E"],"itemData":{"id":3487,"type":"article-journal","title":"Differentiation in putative male sex pheromone components across and within populations of the African butterfly &lt;i&gt;Bicyclus anynana&lt;/i&gt; as a potential driver of reproductive isolation","container-title":"Ecology and Evolution","page":"6064-6084","volume":"6","issue":"17","source":"PubMed","abstract":"Sexual traits are often the most divergent characters among closely related species, suggesting an important role of sexual traits in speciation. However, to prove this, we need to show that sexual trait differences accumulate before or during the speciation process, rather than being a consequence of it. Here, we contrast patterns of divergence among putative male sex pheromone (pMSP) composition and the genetic structure inferred from variation in the mitochondrial cytochrome oxidase 1 and nuclear CAD loci in the African butterfly Bicyclus anynana (Butler, 1879) to determine whether the evolution of \"pheromonal dialects\" occurs before or after the differentiation process. We observed differences in abundance of some shared pMSP components as well as differences in the composition of the pMSP among B. anynana populations. In addition, B. anynana individuals from Kenya displayed differences in the pMSP composition within a single population that appeared not associated with genetic differences. These differences in pMSP composition both between and within B. anynana populations were as large as those found between different Bicyclus species. Our results suggest that \"pheromonal dialects\" evolved within and among populations of B. anynana and may therefore act as precursors of an ongoing speciation process.","DOI":"10.1002/ece3.2298","ISSN":"2045-7758","note":"PMID: 27648226\nPMCID: PMC5016632","journalAbbreviation":"Ecol Evol","language":"eng","author":[{"family":"Bacquet","given":"P. M. B."},{"family":"Jong","given":"Maaike A.","non-dropping-particle":"de"},{"family":"Brattström","given":"Oskar"},{"family":"Wang","given":"Hong-Lei"},{"family":"Molleman","given":"Freerk"},{"family":"Heuskin","given":"Stéphanie"},{"family":"Lognay","given":"George"},{"family":"Löfstedt","given":"Christer"},{"family":"Brakefield","given":"Paul M."},{"family":"Vanderpoorten","given":"Alain"},{"family":"Nieberding","given":"Caroline M."}],"issued":{"date-parts":[["2016",9]]}}}],"schema":"https://github.com/citation-style-language/schema/raw/master/csl-citation.json"}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sz w:val="24"/>
        </w:rPr>
        <w:t>(Bacquet et al., 2016)</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 xml:space="preserve">. This is in contrast to what we find here, where interspecific differences are much greater than intraspecific ones. </w:t>
      </w:r>
    </w:p>
    <w:p w:rsidR="00A7633C" w:rsidRPr="000224E9" w:rsidRDefault="00A7633C" w:rsidP="00A7633C">
      <w:pPr>
        <w:spacing w:after="120" w:line="480" w:lineRule="auto"/>
        <w:ind w:firstLine="720"/>
        <w:rPr>
          <w:rFonts w:ascii="Times New Roman" w:hAnsi="Times New Roman" w:cs="Times New Roman"/>
          <w:sz w:val="24"/>
          <w:szCs w:val="24"/>
        </w:rPr>
      </w:pPr>
      <w:r w:rsidRPr="000224E9">
        <w:rPr>
          <w:rFonts w:ascii="Times New Roman" w:hAnsi="Times New Roman" w:cs="Times New Roman"/>
          <w:sz w:val="24"/>
          <w:szCs w:val="24"/>
        </w:rPr>
        <w:t xml:space="preserve">Interestingly, </w:t>
      </w:r>
      <w:proofErr w:type="spellStart"/>
      <w:r w:rsidRPr="000224E9">
        <w:rPr>
          <w:rFonts w:ascii="Times New Roman" w:hAnsi="Times New Roman" w:cs="Times New Roman"/>
          <w:i/>
          <w:iCs/>
          <w:sz w:val="24"/>
          <w:szCs w:val="24"/>
        </w:rPr>
        <w:t>Heliconius</w:t>
      </w:r>
      <w:proofErr w:type="spellEnd"/>
      <w:r w:rsidRPr="000224E9">
        <w:rPr>
          <w:rFonts w:ascii="Times New Roman" w:hAnsi="Times New Roman" w:cs="Times New Roman"/>
          <w:i/>
          <w:iCs/>
          <w:sz w:val="24"/>
          <w:szCs w:val="24"/>
        </w:rPr>
        <w:t xml:space="preserve"> </w:t>
      </w:r>
      <w:proofErr w:type="spellStart"/>
      <w:r w:rsidRPr="000224E9">
        <w:rPr>
          <w:rFonts w:ascii="Times New Roman" w:hAnsi="Times New Roman" w:cs="Times New Roman"/>
          <w:i/>
          <w:iCs/>
          <w:sz w:val="24"/>
          <w:szCs w:val="24"/>
        </w:rPr>
        <w:t>erato</w:t>
      </w:r>
      <w:proofErr w:type="spellEnd"/>
      <w:r w:rsidRPr="000224E9">
        <w:rPr>
          <w:rFonts w:ascii="Times New Roman" w:hAnsi="Times New Roman" w:cs="Times New Roman"/>
          <w:i/>
          <w:iCs/>
          <w:sz w:val="24"/>
          <w:szCs w:val="24"/>
        </w:rPr>
        <w:t xml:space="preserve"> </w:t>
      </w:r>
      <w:proofErr w:type="spellStart"/>
      <w:r w:rsidRPr="000224E9">
        <w:rPr>
          <w:rFonts w:ascii="Times New Roman" w:hAnsi="Times New Roman" w:cs="Times New Roman"/>
          <w:i/>
          <w:iCs/>
          <w:sz w:val="24"/>
          <w:szCs w:val="24"/>
        </w:rPr>
        <w:t>cyrbia</w:t>
      </w:r>
      <w:proofErr w:type="spellEnd"/>
      <w:r w:rsidRPr="000224E9">
        <w:rPr>
          <w:rFonts w:ascii="Times New Roman" w:hAnsi="Times New Roman" w:cs="Times New Roman"/>
          <w:sz w:val="24"/>
          <w:szCs w:val="24"/>
        </w:rPr>
        <w:t xml:space="preserve"> produces many unique genital compounds and is also the most genetically divergent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erato</w:t>
      </w:r>
      <w:proofErr w:type="spellEnd"/>
      <w:r w:rsidRPr="000224E9">
        <w:rPr>
          <w:rFonts w:ascii="Times New Roman" w:hAnsi="Times New Roman" w:cs="Times New Roman"/>
          <w:sz w:val="24"/>
          <w:szCs w:val="24"/>
        </w:rPr>
        <w:t xml:space="preserve"> population in our study, suggesting that </w:t>
      </w:r>
      <w:r w:rsidRPr="000224E9">
        <w:rPr>
          <w:rFonts w:ascii="Times New Roman" w:hAnsi="Times New Roman" w:cs="Times New Roman"/>
          <w:sz w:val="24"/>
          <w:szCs w:val="24"/>
        </w:rPr>
        <w:lastRenderedPageBreak/>
        <w:t xml:space="preserve">genetic drift is important for the evolution of chemical profiles in </w:t>
      </w:r>
      <w:proofErr w:type="spellStart"/>
      <w:r w:rsidRPr="000224E9">
        <w:rPr>
          <w:rFonts w:ascii="Times New Roman" w:hAnsi="Times New Roman" w:cs="Times New Roman"/>
          <w:i/>
          <w:iCs/>
          <w:sz w:val="24"/>
          <w:szCs w:val="24"/>
        </w:rPr>
        <w:t>Heliconius</w:t>
      </w:r>
      <w:proofErr w:type="spellEnd"/>
      <w:r w:rsidRPr="000224E9">
        <w:rPr>
          <w:rFonts w:ascii="Times New Roman" w:hAnsi="Times New Roman" w:cs="Times New Roman"/>
          <w:sz w:val="24"/>
          <w:szCs w:val="24"/>
        </w:rPr>
        <w:t xml:space="preserve">. Across all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erato</w:t>
      </w:r>
      <w:proofErr w:type="spellEnd"/>
      <w:r w:rsidRPr="000224E9">
        <w:rPr>
          <w:rFonts w:ascii="Times New Roman" w:hAnsi="Times New Roman" w:cs="Times New Roman"/>
          <w:sz w:val="24"/>
          <w:szCs w:val="24"/>
        </w:rPr>
        <w:t xml:space="preserve"> populations we find a correlation between chemical distance and genetic distance, which is weaker for </w:t>
      </w:r>
      <w:proofErr w:type="spellStart"/>
      <w:r w:rsidRPr="000224E9">
        <w:rPr>
          <w:rFonts w:ascii="Times New Roman" w:hAnsi="Times New Roman" w:cs="Times New Roman"/>
          <w:sz w:val="24"/>
          <w:szCs w:val="24"/>
        </w:rPr>
        <w:t>androconial</w:t>
      </w:r>
      <w:proofErr w:type="spellEnd"/>
      <w:r w:rsidRPr="000224E9">
        <w:rPr>
          <w:rFonts w:ascii="Times New Roman" w:hAnsi="Times New Roman" w:cs="Times New Roman"/>
          <w:sz w:val="24"/>
          <w:szCs w:val="24"/>
        </w:rPr>
        <w:t xml:space="preserve"> bouquets.  In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melpomene</w:t>
      </w:r>
      <w:proofErr w:type="spellEnd"/>
      <w:r w:rsidRPr="000224E9">
        <w:rPr>
          <w:rFonts w:ascii="Times New Roman" w:hAnsi="Times New Roman" w:cs="Times New Roman"/>
          <w:sz w:val="24"/>
          <w:szCs w:val="24"/>
        </w:rPr>
        <w:t xml:space="preserve">, genetic distance is also weakly correlated with genital chemical divergence. These correlations suggest that some of the geographic variation between populations could be neutral, with stochastic processes important for bouquet evolution in </w:t>
      </w:r>
      <w:proofErr w:type="spellStart"/>
      <w:r w:rsidRPr="000224E9">
        <w:rPr>
          <w:rFonts w:ascii="Times New Roman" w:hAnsi="Times New Roman" w:cs="Times New Roman"/>
          <w:i/>
          <w:iCs/>
          <w:sz w:val="24"/>
          <w:szCs w:val="24"/>
        </w:rPr>
        <w:t>Heliconius</w:t>
      </w:r>
      <w:proofErr w:type="spellEnd"/>
      <w:r w:rsidRPr="000224E9">
        <w:rPr>
          <w:rFonts w:ascii="Times New Roman" w:hAnsi="Times New Roman" w:cs="Times New Roman"/>
          <w:sz w:val="24"/>
          <w:szCs w:val="24"/>
        </w:rPr>
        <w:t xml:space="preserve">. In contrast, </w:t>
      </w:r>
      <w:proofErr w:type="spellStart"/>
      <w:r w:rsidRPr="000224E9">
        <w:rPr>
          <w:rFonts w:ascii="Times New Roman" w:hAnsi="Times New Roman" w:cs="Times New Roman"/>
          <w:sz w:val="24"/>
          <w:szCs w:val="24"/>
        </w:rPr>
        <w:t>androconial</w:t>
      </w:r>
      <w:proofErr w:type="spellEnd"/>
      <w:r w:rsidRPr="000224E9">
        <w:rPr>
          <w:rFonts w:ascii="Times New Roman" w:hAnsi="Times New Roman" w:cs="Times New Roman"/>
          <w:sz w:val="24"/>
          <w:szCs w:val="24"/>
        </w:rPr>
        <w:t xml:space="preserve"> chemical variation in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melpomene</w:t>
      </w:r>
      <w:proofErr w:type="spellEnd"/>
      <w:r w:rsidRPr="000224E9">
        <w:rPr>
          <w:rFonts w:ascii="Times New Roman" w:hAnsi="Times New Roman" w:cs="Times New Roman"/>
          <w:sz w:val="24"/>
          <w:szCs w:val="24"/>
        </w:rPr>
        <w:t xml:space="preserve"> is better explained by geographic distance. This might imply that other evolutionary forces are important for chemical profile evolution in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melpomene</w:t>
      </w:r>
      <w:proofErr w:type="spellEnd"/>
      <w:r w:rsidRPr="000224E9">
        <w:rPr>
          <w:rFonts w:ascii="Times New Roman" w:hAnsi="Times New Roman" w:cs="Times New Roman"/>
          <w:sz w:val="24"/>
          <w:szCs w:val="24"/>
        </w:rPr>
        <w:t xml:space="preserve">. </w:t>
      </w:r>
    </w:p>
    <w:p w:rsidR="00A7633C" w:rsidRPr="000224E9" w:rsidRDefault="00A7633C" w:rsidP="00A7633C">
      <w:pPr>
        <w:spacing w:after="120" w:line="480" w:lineRule="auto"/>
        <w:ind w:firstLine="720"/>
        <w:rPr>
          <w:rFonts w:ascii="Times New Roman" w:hAnsi="Times New Roman" w:cs="Times New Roman"/>
          <w:sz w:val="24"/>
          <w:szCs w:val="24"/>
        </w:rPr>
      </w:pPr>
      <w:r w:rsidRPr="000224E9">
        <w:rPr>
          <w:rFonts w:ascii="Times New Roman" w:hAnsi="Times New Roman" w:cs="Times New Roman"/>
          <w:sz w:val="24"/>
          <w:szCs w:val="24"/>
        </w:rPr>
        <w:t xml:space="preserve">One factor potentially involved in geographic variation is larval host plant use. Feeding on different host plants as a larvae affects the production of some minor components of both </w:t>
      </w:r>
      <w:proofErr w:type="spellStart"/>
      <w:r w:rsidRPr="000224E9">
        <w:rPr>
          <w:rFonts w:ascii="Times New Roman" w:hAnsi="Times New Roman" w:cs="Times New Roman"/>
          <w:sz w:val="24"/>
          <w:szCs w:val="24"/>
        </w:rPr>
        <w:t>androconial</w:t>
      </w:r>
      <w:proofErr w:type="spellEnd"/>
      <w:r w:rsidRPr="000224E9">
        <w:rPr>
          <w:rFonts w:ascii="Times New Roman" w:hAnsi="Times New Roman" w:cs="Times New Roman"/>
          <w:sz w:val="24"/>
          <w:szCs w:val="24"/>
        </w:rPr>
        <w:t xml:space="preserve"> and genital chemical bouquets </w:t>
      </w:r>
      <w:r w:rsidRPr="000224E9">
        <w:rPr>
          <w:rFonts w:ascii="Times New Roman" w:hAnsi="Times New Roman" w:cs="Times New Roman"/>
          <w:i/>
          <w:iCs/>
          <w:sz w:val="24"/>
          <w:szCs w:val="24"/>
        </w:rPr>
        <w:fldChar w:fldCharType="begin"/>
      </w:r>
      <w:r w:rsidR="002E7999">
        <w:rPr>
          <w:rFonts w:ascii="Times New Roman" w:hAnsi="Times New Roman" w:cs="Times New Roman"/>
          <w:i/>
          <w:iCs/>
          <w:sz w:val="24"/>
          <w:szCs w:val="24"/>
        </w:rPr>
        <w:instrText xml:space="preserve"> ADDIN ZOTERO_ITEM CSL_CITATION {"citationID":"Q4Py86g8","properties":{"formattedCitation":"(Darragh et al., 2019)","plainCitation":"(Darragh et al., 2019)","noteIndex":0},"citationItems":[{"id":3507,"uris":["http://zotero.org/users/2671101/items/YHTZVLML"],"uri":["http://zotero.org/users/2671101/items/YHTZVLML"],"itemData":{"id":3507,"type":"article-journal","title":"Male pheromone composition depends on larval but not adult diet in &lt;i&gt;Heliconius melpomene&lt;/i&gt;","container-title":"Ecological Entomology","source":"Wiley Online Library","abstract":"1. Condition-dependent traits can act as honest signals of mate quality, with fitter individuals being able to display preferred phenotypes. Nutrition is known to be an important determinant of individual condition, with diet known to affect many secondary sexual traits. 2. In Heliconius butterflies, male chemical signalling plays an important role in female mate choice. Potential male sex pheromone components have been identified previously, although it is unclear what information they convey to the female. 3. In the present study, the effect of diet on androconial and genital compound production is tested in male Heliconius melpomene rosina. To manipulate larval diet, larvae are reared on three different Passiflora host plants: Passiflora menispermifolia, the preferred host plant, Passiflora vitifolia and Passiflora platyloba. To manipulate adult diet, adult butterflies are reared with and without access to pollen, a key component of their diet. 4. No evidence is found to suggest that adult pollen consumption affects compound production in the first 10 days after eclosion. There is also a strong overlap in the chemical profiles of individuals reared on different larval host plants. The most abundant compounds produced by the butterflies do not differ between host plant groups. However, some compounds found in small amounts differ both qualitatively and quantitatively. Some of these compounds are predicted to be of plant origin and the others synthesised by the butterfly. Further electrophysiological and behavioural experiments will be needed to determine the biological significance of these differences.","URL":"https://onlinelibrary.wiley.com/doi/abs/10.1111/een.12716","DOI":"10.1111/een.12716","ISSN":"1365-2311","language":"en","author":[{"family":"Darragh","given":"Kathy"},{"family":"Byers","given":"Kelsey J. R. P."},{"family":"Merrill","given":"Richard M."},{"family":"McMillan","given":"W. Owen"},{"family":"Schulz","given":"Stefan"},{"family":"Jiggins","given":"Chris D."}],"issued":{"date-parts":[["2019"]]},"accessed":{"date-parts":[["2019",3,11]]}}}],"schema":"https://github.com/citation-style-language/schema/raw/master/csl-citation.json"} </w:instrText>
      </w:r>
      <w:r w:rsidRPr="000224E9">
        <w:rPr>
          <w:rFonts w:ascii="Times New Roman" w:hAnsi="Times New Roman" w:cs="Times New Roman"/>
          <w:i/>
          <w:iCs/>
          <w:sz w:val="24"/>
          <w:szCs w:val="24"/>
        </w:rPr>
        <w:fldChar w:fldCharType="separate"/>
      </w:r>
      <w:r w:rsidR="002E7999">
        <w:rPr>
          <w:rFonts w:ascii="Times New Roman" w:hAnsi="Times New Roman" w:cs="Times New Roman"/>
          <w:sz w:val="24"/>
          <w:lang w:val="en-US"/>
        </w:rPr>
        <w:t>(Darragh et al., 2019)</w:t>
      </w:r>
      <w:r w:rsidRPr="000224E9">
        <w:rPr>
          <w:rFonts w:ascii="Times New Roman" w:hAnsi="Times New Roman" w:cs="Times New Roman"/>
          <w:i/>
          <w:iCs/>
          <w:sz w:val="24"/>
          <w:szCs w:val="24"/>
        </w:rPr>
        <w:fldChar w:fldCharType="end"/>
      </w:r>
      <w:r w:rsidRPr="000224E9">
        <w:rPr>
          <w:rFonts w:ascii="Times New Roman" w:hAnsi="Times New Roman" w:cs="Times New Roman"/>
          <w:i/>
          <w:iCs/>
          <w:sz w:val="24"/>
          <w:szCs w:val="24"/>
        </w:rPr>
        <w:t xml:space="preserve">. </w:t>
      </w:r>
      <w:r w:rsidRPr="000224E9">
        <w:rPr>
          <w:rFonts w:ascii="Times New Roman" w:hAnsi="Times New Roman" w:cs="Times New Roman"/>
          <w:sz w:val="24"/>
          <w:szCs w:val="24"/>
        </w:rPr>
        <w:t>The major components, however, are unaffected by larval host plant, suggesting that any dietary precursors required for compound production are present in different</w:t>
      </w:r>
      <w:r w:rsidRPr="000224E9">
        <w:rPr>
          <w:rFonts w:ascii="Times New Roman" w:hAnsi="Times New Roman" w:cs="Times New Roman"/>
          <w:i/>
          <w:iCs/>
          <w:sz w:val="24"/>
          <w:szCs w:val="24"/>
        </w:rPr>
        <w:t xml:space="preserve"> </w:t>
      </w:r>
      <w:proofErr w:type="spellStart"/>
      <w:r w:rsidRPr="000224E9">
        <w:rPr>
          <w:rFonts w:ascii="Times New Roman" w:hAnsi="Times New Roman" w:cs="Times New Roman"/>
          <w:i/>
          <w:iCs/>
          <w:sz w:val="24"/>
          <w:szCs w:val="24"/>
        </w:rPr>
        <w:t>Passiflora</w:t>
      </w:r>
      <w:proofErr w:type="spellEnd"/>
      <w:r w:rsidRPr="000224E9">
        <w:rPr>
          <w:rFonts w:ascii="Times New Roman" w:hAnsi="Times New Roman" w:cs="Times New Roman"/>
          <w:sz w:val="24"/>
          <w:szCs w:val="24"/>
        </w:rPr>
        <w:t xml:space="preserve"> species </w:t>
      </w:r>
      <w:r w:rsidRPr="000224E9">
        <w:rPr>
          <w:rFonts w:ascii="Times New Roman" w:hAnsi="Times New Roman" w:cs="Times New Roman"/>
          <w:i/>
          <w:iCs/>
          <w:sz w:val="24"/>
          <w:szCs w:val="24"/>
        </w:rPr>
        <w:fldChar w:fldCharType="begin"/>
      </w:r>
      <w:r w:rsidR="002E7999">
        <w:rPr>
          <w:rFonts w:ascii="Times New Roman" w:hAnsi="Times New Roman" w:cs="Times New Roman"/>
          <w:i/>
          <w:iCs/>
          <w:sz w:val="24"/>
          <w:szCs w:val="24"/>
        </w:rPr>
        <w:instrText xml:space="preserve"> ADDIN ZOTERO_ITEM CSL_CITATION {"citationID":"aJLjdveV","properties":{"formattedCitation":"(Darragh et al., 2019)","plainCitation":"(Darragh et al., 2019)","noteIndex":0},"citationItems":[{"id":3507,"uris":["http://zotero.org/users/2671101/items/YHTZVLML"],"uri":["http://zotero.org/users/2671101/items/YHTZVLML"],"itemData":{"id":3507,"type":"article-journal","title":"Male pheromone composition depends on larval but not adult diet in &lt;i&gt;Heliconius melpomene&lt;/i&gt;","container-title":"Ecological Entomology","source":"Wiley Online Library","abstract":"1. Condition-dependent traits can act as honest signals of mate quality, with fitter individuals being able to display preferred phenotypes. Nutrition is known to be an important determinant of individual condition, with diet known to affect many secondary sexual traits. 2. In Heliconius butterflies, male chemical signalling plays an important role in female mate choice. Potential male sex pheromone components have been identified previously, although it is unclear what information they convey to the female. 3. In the present study, the effect of diet on androconial and genital compound production is tested in male Heliconius melpomene rosina. To manipulate larval diet, larvae are reared on three different Passiflora host plants: Passiflora menispermifolia, the preferred host plant, Passiflora vitifolia and Passiflora platyloba. To manipulate adult diet, adult butterflies are reared with and without access to pollen, a key component of their diet. 4. No evidence is found to suggest that adult pollen consumption affects compound production in the first 10 days after eclosion. There is also a strong overlap in the chemical profiles of individuals reared on different larval host plants. The most abundant compounds produced by the butterflies do not differ between host plant groups. However, some compounds found in small amounts differ both qualitatively and quantitatively. Some of these compounds are predicted to be of plant origin and the others synthesised by the butterfly. Further electrophysiological and behavioural experiments will be needed to determine the biological significance of these differences.","URL":"https://onlinelibrary.wiley.com/doi/abs/10.1111/een.12716","DOI":"10.1111/een.12716","ISSN":"1365-2311","language":"en","author":[{"family":"Darragh","given":"Kathy"},{"family":"Byers","given":"Kelsey J. R. P."},{"family":"Merrill","given":"Richard M."},{"family":"McMillan","given":"W. Owen"},{"family":"Schulz","given":"Stefan"},{"family":"Jiggins","given":"Chris D."}],"issued":{"date-parts":[["2019"]]},"accessed":{"date-parts":[["2019",3,11]]}}}],"schema":"https://github.com/citation-style-language/schema/raw/master/csl-citation.json"} </w:instrText>
      </w:r>
      <w:r w:rsidRPr="000224E9">
        <w:rPr>
          <w:rFonts w:ascii="Times New Roman" w:hAnsi="Times New Roman" w:cs="Times New Roman"/>
          <w:i/>
          <w:iCs/>
          <w:sz w:val="24"/>
          <w:szCs w:val="24"/>
        </w:rPr>
        <w:fldChar w:fldCharType="separate"/>
      </w:r>
      <w:r w:rsidR="002E7999">
        <w:rPr>
          <w:rFonts w:ascii="Times New Roman" w:hAnsi="Times New Roman" w:cs="Times New Roman"/>
          <w:sz w:val="24"/>
          <w:lang w:val="en-US"/>
        </w:rPr>
        <w:t>(Darragh et al., 2019)</w:t>
      </w:r>
      <w:r w:rsidRPr="000224E9">
        <w:rPr>
          <w:rFonts w:ascii="Times New Roman" w:hAnsi="Times New Roman" w:cs="Times New Roman"/>
          <w:i/>
          <w:iCs/>
          <w:sz w:val="24"/>
          <w:szCs w:val="24"/>
        </w:rPr>
        <w:fldChar w:fldCharType="end"/>
      </w:r>
      <w:r w:rsidRPr="000224E9">
        <w:rPr>
          <w:rFonts w:ascii="Times New Roman" w:hAnsi="Times New Roman" w:cs="Times New Roman"/>
          <w:i/>
          <w:iCs/>
          <w:sz w:val="24"/>
          <w:szCs w:val="24"/>
        </w:rPr>
        <w:t xml:space="preserve">. </w:t>
      </w:r>
      <w:r w:rsidRPr="000224E9">
        <w:rPr>
          <w:rFonts w:ascii="Times New Roman" w:hAnsi="Times New Roman" w:cs="Times New Roman"/>
          <w:sz w:val="24"/>
          <w:szCs w:val="24"/>
        </w:rPr>
        <w:t xml:space="preserve">In Panama, </w:t>
      </w:r>
      <w:r w:rsidRPr="000224E9">
        <w:rPr>
          <w:rFonts w:ascii="Times New Roman" w:hAnsi="Times New Roman" w:cs="Times New Roman"/>
          <w:i/>
          <w:iCs/>
          <w:sz w:val="24"/>
          <w:szCs w:val="24"/>
        </w:rPr>
        <w:t>H. cydno</w:t>
      </w:r>
      <w:r w:rsidRPr="000224E9">
        <w:rPr>
          <w:rFonts w:ascii="Times New Roman" w:hAnsi="Times New Roman" w:cs="Times New Roman"/>
          <w:sz w:val="24"/>
          <w:szCs w:val="24"/>
        </w:rPr>
        <w:t xml:space="preserve"> and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melpomene</w:t>
      </w:r>
      <w:proofErr w:type="spellEnd"/>
      <w:r w:rsidRPr="000224E9">
        <w:rPr>
          <w:rFonts w:ascii="Times New Roman" w:hAnsi="Times New Roman" w:cs="Times New Roman"/>
          <w:sz w:val="24"/>
          <w:szCs w:val="24"/>
        </w:rPr>
        <w:t xml:space="preserve"> both feed on </w:t>
      </w:r>
      <w:r w:rsidRPr="000224E9">
        <w:rPr>
          <w:rFonts w:ascii="Times New Roman" w:hAnsi="Times New Roman" w:cs="Times New Roman"/>
          <w:i/>
          <w:iCs/>
          <w:sz w:val="24"/>
          <w:szCs w:val="24"/>
        </w:rPr>
        <w:t xml:space="preserve">P. </w:t>
      </w:r>
      <w:proofErr w:type="spellStart"/>
      <w:r w:rsidRPr="000224E9">
        <w:rPr>
          <w:rFonts w:ascii="Times New Roman" w:hAnsi="Times New Roman" w:cs="Times New Roman"/>
          <w:i/>
          <w:iCs/>
          <w:sz w:val="24"/>
          <w:szCs w:val="24"/>
        </w:rPr>
        <w:t>menispermifolia</w:t>
      </w:r>
      <w:proofErr w:type="spellEnd"/>
      <w:r w:rsidRPr="000224E9">
        <w:rPr>
          <w:rFonts w:ascii="Times New Roman" w:hAnsi="Times New Roman" w:cs="Times New Roman"/>
          <w:sz w:val="24"/>
          <w:szCs w:val="24"/>
        </w:rPr>
        <w:t xml:space="preserve">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{"citationID":"ao4tvtb3d8","properties":{"formattedCitation":"(Merrill et al., 2013)","plainCitation":"(Merrill et al., 2013)","noteIndex":0},"citationItems":[{"id":827,"uris":["http://zotero.org/users/2671101/items/DQ2DQ266"],"uri":["http://zotero.org/users/2671101/items/DQ2DQ266"],"itemData":{"id":827,"type":"article-journal","title":"Ecological and genetic factors influencing the transition between host-use strategies in sympatric &lt;i&gt;Heliconius&lt;/i&gt; butterflies","container-title":"Journal of Evolutionary Biology","page":"1959-1967","volume":"26","issue":"9","source":"Wiley Online Library","abstract":"Shifts in host-plant use by phytophagous insects have played a central role in their diversification. Evolving host-use strategies will reflect a trade-off between selection pressures. The ecological niche of herbivorous insects is partitioned along several dimensions, and if populations remain in contact, recombination will break down associations between relevant loci. As such, genetic architecture can profoundly affect the coordinated divergence of traits and subsequently the ability to exploit novel habitats. The closely related species Heliconius cydno and H. melpomene differ in mimetic colour pattern, habitat and host-plant use. We investigate the selection pressures and genetic basis underlying host-use differences in these two species. Host-plant surveys reveal that H. melpomene specializes on a single species of Passiflora. This is also true for the majority of other Heliconius species in secondary growth forest at our study site, as expected under a model of interspecific competition. In contrast, H. cydno, which uses closed-forest habitats where both Heliconius and Passiflora are less common, appears not to be restricted by competition and uses a broad selection of the available Passiflora. However, other selection pressures are likely involved, and field experiments reveal that early larval survival of both butterfly species is highest on Passiflora menispermifolia, but most markedly so for H. melpomene, the specialist on that host. Finally, we demonstrate an association between host-plant acceptance and colour pattern amongst interspecific hybrids, suggesting that major loci underlying these important ecological traits are physically linked in the genome. Together, our results reveal ecological and genetic associations between shifts in habitat, host use and mimetic colour pattern that have likely facilitated both speciation and coexistence.","DOI":"10.1111/jeb.12194","ISSN":"1420-9101","journalAbbreviation":"J. Evol. Biol.","language":"en","author":[{"family":"Merrill","given":"R. M."},{"family":"Naisbit","given":"R. E."},{"family":"Mallet","given":"J."},{"family":"Jiggins","given":"C. D."}],"issued":{"date-parts":[["2013",9,1]]}}}],"schema":"https://github.com/citation-style-language/schema/raw/master/csl-citation.json"}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sz w:val="24"/>
          <w:lang w:val="en-US"/>
        </w:rPr>
        <w:t>(Merrill et al., 2013)</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 xml:space="preserve">, and yet have different chemical profiles, highlighting that from the same precursors different species can produce different compounds. Furthermore, </w:t>
      </w:r>
      <w:r w:rsidR="00C47FF0" w:rsidRPr="000224E9">
        <w:rPr>
          <w:rFonts w:ascii="Times New Roman" w:hAnsi="Times New Roman" w:cs="Times New Roman"/>
          <w:sz w:val="24"/>
          <w:szCs w:val="24"/>
        </w:rPr>
        <w:t>it is often unclear which is the major</w:t>
      </w:r>
      <w:r w:rsidRPr="000224E9">
        <w:rPr>
          <w:rFonts w:ascii="Times New Roman" w:hAnsi="Times New Roman" w:cs="Times New Roman"/>
          <w:sz w:val="24"/>
          <w:szCs w:val="24"/>
        </w:rPr>
        <w:t xml:space="preserve"> </w:t>
      </w:r>
      <w:proofErr w:type="spellStart"/>
      <w:r w:rsidRPr="000224E9">
        <w:rPr>
          <w:rFonts w:ascii="Times New Roman" w:hAnsi="Times New Roman" w:cs="Times New Roman"/>
          <w:i/>
          <w:iCs/>
          <w:sz w:val="24"/>
          <w:szCs w:val="24"/>
        </w:rPr>
        <w:t>Passiflora</w:t>
      </w:r>
      <w:proofErr w:type="spellEnd"/>
      <w:r w:rsidRPr="000224E9">
        <w:rPr>
          <w:rFonts w:ascii="Times New Roman" w:hAnsi="Times New Roman" w:cs="Times New Roman"/>
          <w:i/>
          <w:iCs/>
          <w:sz w:val="24"/>
          <w:szCs w:val="24"/>
        </w:rPr>
        <w:t xml:space="preserve"> </w:t>
      </w:r>
      <w:r w:rsidR="00C47FF0" w:rsidRPr="000224E9">
        <w:rPr>
          <w:rFonts w:ascii="Times New Roman" w:hAnsi="Times New Roman" w:cs="Times New Roman"/>
          <w:sz w:val="24"/>
          <w:szCs w:val="24"/>
        </w:rPr>
        <w:t>host plant of any particular</w:t>
      </w:r>
      <w:r w:rsidRPr="000224E9">
        <w:rPr>
          <w:rFonts w:ascii="Times New Roman" w:hAnsi="Times New Roman" w:cs="Times New Roman"/>
          <w:sz w:val="24"/>
          <w:szCs w:val="24"/>
        </w:rPr>
        <w:t xml:space="preserve"> </w:t>
      </w:r>
      <w:proofErr w:type="spellStart"/>
      <w:r w:rsidRPr="000224E9">
        <w:rPr>
          <w:rFonts w:ascii="Times New Roman" w:hAnsi="Times New Roman" w:cs="Times New Roman"/>
          <w:i/>
          <w:iCs/>
          <w:sz w:val="24"/>
          <w:szCs w:val="24"/>
        </w:rPr>
        <w:t>Heliconius</w:t>
      </w:r>
      <w:proofErr w:type="spellEnd"/>
      <w:r w:rsidRPr="000224E9">
        <w:rPr>
          <w:rFonts w:ascii="Times New Roman" w:hAnsi="Times New Roman" w:cs="Times New Roman"/>
          <w:sz w:val="24"/>
          <w:szCs w:val="24"/>
        </w:rPr>
        <w:t xml:space="preserve"> population</w:t>
      </w:r>
      <w:r w:rsidR="00C47FF0" w:rsidRPr="000224E9">
        <w:rPr>
          <w:rFonts w:ascii="Times New Roman" w:hAnsi="Times New Roman" w:cs="Times New Roman"/>
          <w:sz w:val="24"/>
          <w:szCs w:val="24"/>
        </w:rPr>
        <w:t xml:space="preserve">. </w:t>
      </w:r>
      <w:r w:rsidRPr="000224E9">
        <w:rPr>
          <w:rFonts w:ascii="Times New Roman" w:hAnsi="Times New Roman" w:cs="Times New Roman"/>
          <w:sz w:val="24"/>
          <w:szCs w:val="24"/>
        </w:rPr>
        <w:t>The</w:t>
      </w:r>
      <w:r w:rsidR="00484994">
        <w:rPr>
          <w:rFonts w:ascii="Times New Roman" w:hAnsi="Times New Roman" w:cs="Times New Roman"/>
          <w:sz w:val="24"/>
          <w:szCs w:val="24"/>
        </w:rPr>
        <w:t xml:space="preserve"> composition</w:t>
      </w:r>
      <w:r w:rsidRPr="000224E9">
        <w:rPr>
          <w:rFonts w:ascii="Times New Roman" w:hAnsi="Times New Roman" w:cs="Times New Roman"/>
          <w:sz w:val="24"/>
          <w:szCs w:val="24"/>
        </w:rPr>
        <w:t xml:space="preserve"> of </w:t>
      </w:r>
      <w:proofErr w:type="spellStart"/>
      <w:r w:rsidRPr="000224E9">
        <w:rPr>
          <w:rFonts w:ascii="Times New Roman" w:hAnsi="Times New Roman" w:cs="Times New Roman"/>
          <w:i/>
          <w:iCs/>
          <w:sz w:val="24"/>
          <w:szCs w:val="24"/>
        </w:rPr>
        <w:t>Passiflora</w:t>
      </w:r>
      <w:proofErr w:type="spellEnd"/>
      <w:r w:rsidRPr="000224E9">
        <w:rPr>
          <w:rFonts w:ascii="Times New Roman" w:hAnsi="Times New Roman" w:cs="Times New Roman"/>
          <w:sz w:val="24"/>
          <w:szCs w:val="24"/>
        </w:rPr>
        <w:t xml:space="preserve"> species varies geographically</w:t>
      </w:r>
      <w:r w:rsidRPr="000224E9">
        <w:rPr>
          <w:rFonts w:ascii="Times New Roman" w:hAnsi="Times New Roman" w:cs="Times New Roman"/>
          <w:i/>
          <w:iCs/>
          <w:sz w:val="24"/>
          <w:szCs w:val="24"/>
        </w:rPr>
        <w:t xml:space="preserve">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{"citationID":"oBI80SgO","properties":{"formattedCitation":"(Benson, 1978; Benson et al., 1975)","plainCitation":"(Benson, 1978; Benson et al., 1975)","noteIndex":0},"citationItems":[{"id":3173,"uris":["http://zotero.org/users/2671101/items/QXWTQ4MM"],"uri":["http://zotero.org/users/2671101/items/QXWTQ4MM"],"itemData":{"id":3173,"type":"article-journal","title":"Coevolution of plants and herbivores: passion flower butterflies","container-title":"Evolution; International Journal of Organic Evolution","page":"659-680","volume":"29","issue":"4","source":"PubMed","DOI":"10.1111/j.1558-5646.1975.tb00861.x","ISSN":"1558-5646","note":"PMID: 28563089","title-short":"COEVOLUTION OF PLANTS AND HERBIVORES","journalAbbreviation":"Evolution","language":"eng","author":[{"family":"Benson","given":"Woodruff W."},{"family":"Brown","given":"Keith S."},{"family":"Gilbert","given":"Lawrence E."}],"issued":{"date-parts":[["1975",12]]}},"label":"page"},{"id":3175,"uris":["http://zotero.org/users/2671101/items/7B4C99MG"],"uri":["http://zotero.org/users/2671101/items/7B4C99MG"],"itemData":{"id":3175,"type":"article-journal","title":"Resource partitioning in passion vine butterflies","container-title":"Evolution; International Journal of Organic Evolution","page":"493-518","volume":"32","issue":"3","source":"PubMed","DOI":"10.1111/j.1558-5646.1978.tb04593.x","ISSN":"1558-5646","note":"PMID: 28567963","journalAbbreviation":"Evolution","language":"eng","author":[{"family":"Benson","given":"Woodruff W."}],"issued":{"date-parts":[["1978",9]]}},"label":"page"}],"schema":"https://github.com/citation-style-language/schema/raw/master/csl-citation.json"}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noProof/>
          <w:sz w:val="24"/>
          <w:szCs w:val="24"/>
        </w:rPr>
        <w:t>(Benson, 1978; Benson et al., 1975)</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 xml:space="preserve">, and both host preference and level of host-specificity vary between populations of the same </w:t>
      </w:r>
      <w:proofErr w:type="spellStart"/>
      <w:r w:rsidRPr="000224E9">
        <w:rPr>
          <w:rFonts w:ascii="Times New Roman" w:hAnsi="Times New Roman" w:cs="Times New Roman"/>
          <w:i/>
          <w:iCs/>
          <w:sz w:val="24"/>
          <w:szCs w:val="24"/>
        </w:rPr>
        <w:t>Heliconius</w:t>
      </w:r>
      <w:proofErr w:type="spellEnd"/>
      <w:r w:rsidRPr="000224E9">
        <w:rPr>
          <w:rFonts w:ascii="Times New Roman" w:hAnsi="Times New Roman" w:cs="Times New Roman"/>
          <w:i/>
          <w:iCs/>
          <w:sz w:val="24"/>
          <w:szCs w:val="24"/>
        </w:rPr>
        <w:t xml:space="preserve"> </w:t>
      </w:r>
      <w:r w:rsidRPr="000224E9">
        <w:rPr>
          <w:rFonts w:ascii="Times New Roman" w:hAnsi="Times New Roman" w:cs="Times New Roman"/>
          <w:sz w:val="24"/>
          <w:szCs w:val="24"/>
        </w:rPr>
        <w:t xml:space="preserve">species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{"citationID":"a2bho88a72m","properties":{"formattedCitation":"(Castro et al., 2018)","plainCitation":"(Castro et al., 2018)","noteIndex":0},"citationItems":[{"id":3862,"uris":["http://zotero.org/users/2671101/items/VZXYRWZI"],"uri":["http://zotero.org/users/2671101/items/VZXYRWZI"],"itemData":{"id":3862,"type":"article-journal","title":"The arms race between heliconiine butterflies and Passiflora plants – new insights on an ancient subject","container-title":"Biological Reviews","page":"555-573","volume":"93","issue":"1","source":"Wiley Online Library","abstract":"Heliconiines are called passion vine butterflies because they feed exclusively on Passiflora plants during the larval stage. Many features of Passiflora and heliconiines indicate that they have radiated and speciated in association with each other, and therefore this model system was one of the first examples used to exemplify coevolution theory. Three major adaptations of Passiflora plants supported arguments in favour of their coevolution with heliconiines: unusual variation of leaf shape within the genus; the occurrence of yellow structures mimicking heliconiine eggs; and their extensive diversity of defence compounds called cyanogenic glucosides. However, the protection systems of Passiflora plants go beyond these three features. Trichomes, mimicry of pathogen infection through variegation, and production of extrafloral nectar to attract ants and other predators of their herbivores, are morphological defences reported in this plant genus. Moreover, Passiflora plants are well protected chemically, not only by cyanogenic glucosides, but also by other compounds such as alkaloids, flavonoids, saponins, tannins and phenolics. Heliconiines can synthesize cyanogenic glucosides themselves, and their ability to handle these compounds was probably one of the most crucial adaptations that allowed the ancestor of these butterflies to feed on Passiflora plants. Indeed, it has been shown that Heliconius larvae can sequester cyanogenic glucosides and alkaloids from their host plants and utilize them for their own benefit. Recently, it was discovered that Heliconius adults have highly accurate visual and chemosensory systems, and the expansion of brain structures that can process such information allows them to memorize shapes and display elaborate pre-oviposition behaviour in order to defeat visual barriers evolved by Passiflora species. Even though the heliconiine–Passiflora model system has been intensively studied, the forces driving host-plant preference in these butterflies remain unclear. New studies have shown that host-plant preference seems to be genetically controlled, but in many species there is some plasticity in this choice and preferences can even be induced. Although much knowledge regarding the coevolution of Passiflora plants and heliconiine butterflies has accumulated in recent decades, there remain many exciting unanswered questions concerning this model system.","DOI":"10.1111/brv.12357","ISSN":"1469-185X","language":"en","author":[{"family":"Castro","given":"Érika C. P.","dropping-particle":"de"},{"family":"Zagrobelny","given":"Mika"},{"family":"Cardoso","given":"Márcio Z."},{"family":"Bak","given":"Søren"}],"issued":{"date-parts":[["2018"]]}}}],"schema":"https://github.com/citation-style-language/schema/raw/master/csl-citation.json"}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sz w:val="24"/>
          <w:lang w:val="en-US"/>
        </w:rPr>
        <w:t>(Castro et al., 2018)</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 xml:space="preserve">. A greater understanding of the variation in larval diet of </w:t>
      </w:r>
      <w:proofErr w:type="spellStart"/>
      <w:r w:rsidRPr="000224E9">
        <w:rPr>
          <w:rFonts w:ascii="Times New Roman" w:hAnsi="Times New Roman" w:cs="Times New Roman"/>
          <w:i/>
          <w:iCs/>
          <w:sz w:val="24"/>
          <w:szCs w:val="24"/>
        </w:rPr>
        <w:t>Heliconius</w:t>
      </w:r>
      <w:proofErr w:type="spellEnd"/>
      <w:r w:rsidRPr="000224E9">
        <w:rPr>
          <w:rFonts w:ascii="Times New Roman" w:hAnsi="Times New Roman" w:cs="Times New Roman"/>
          <w:sz w:val="24"/>
          <w:szCs w:val="24"/>
        </w:rPr>
        <w:t xml:space="preserve"> across the Neotropics will help us understand how much geographic variation in chemical profile can be attributed to host plant use.   </w:t>
      </w:r>
    </w:p>
    <w:p w:rsidR="00A7633C" w:rsidRPr="000224E9" w:rsidRDefault="00A7633C" w:rsidP="00A7633C">
      <w:pPr>
        <w:spacing w:after="120" w:line="480" w:lineRule="auto"/>
        <w:ind w:firstLine="720"/>
        <w:rPr>
          <w:rFonts w:ascii="Times New Roman" w:hAnsi="Times New Roman" w:cs="Times New Roman"/>
          <w:sz w:val="24"/>
          <w:szCs w:val="24"/>
        </w:rPr>
      </w:pPr>
      <w:proofErr w:type="spellStart"/>
      <w:r w:rsidRPr="000224E9">
        <w:rPr>
          <w:rFonts w:ascii="Times New Roman" w:hAnsi="Times New Roman" w:cs="Times New Roman"/>
          <w:i/>
          <w:iCs/>
          <w:sz w:val="24"/>
          <w:szCs w:val="24"/>
        </w:rPr>
        <w:t>Heliconius</w:t>
      </w:r>
      <w:proofErr w:type="spellEnd"/>
      <w:r w:rsidRPr="000224E9">
        <w:rPr>
          <w:rFonts w:ascii="Times New Roman" w:hAnsi="Times New Roman" w:cs="Times New Roman"/>
          <w:sz w:val="24"/>
          <w:szCs w:val="24"/>
        </w:rPr>
        <w:t xml:space="preserve"> butterflies are an excellent example of visual mimicry, with different species converging on the same warning colour patterns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{"citationID":"CZjhBftd","properties":{"formattedCitation":"(Merrill et al., 2015; Sheppard et al., 1985; Sherratt, 2008)","plainCitation":"(Merrill et al., 2015; Sheppard et al., 1985; Sherratt, 2008)","noteIndex":0},"citationItems":[{"id":3469,"uris":["http://zotero.org/users/2671101/items/R2HPMQVQ"],"uri":["http://zotero.org/users/2671101/items/R2HPMQVQ"],"itemData":{"id":3469,"type":"article-journal","title":"Genetics and the evolution of Muellerian mimicry in &lt;i&gt;Heliconius &lt;/i&gt;butterflies","container-title":"Philosophical Transactions of the Royal Society of London. B, Biological Sciences","page":"433-610","volume":"308","issue":"1137","source":"royalsocietypublishing.org (Atypon)","abstract":"A protected and warningly coloured butterfly can become a muellerian mimic of another species in two steps: (i) a major mutation converts the pattern of the less protected species to an approximate resemblance of the better protected (one-way convergence); (ii) after the spread of this mutant, the species, which now resemble each other sufficiently to be mistaken one for the other by predators, undergo mutual convergence, using whatever major or minor genetic variation is available to them. Although sometimes one or other step might occur alone, in general early theorists were mistaken in attributing muellerian mimicry to only one of these processes. By hybridizing races of Heliconius melpomene and races of H. erato (a pair of parallel mimetic species from the neotropics, held in mutual muellerian mimicry across wide inter-racial variations in colour pattern) we have shown that, as expected from the two-step theory, the races differ at a number (two to nine) of genetic loci, usually unlinked or loosely linked, including at least one mutant of major effect in each case. We describe the genetic constitution of eight races of H. melpomene (for 11 loci affecting colour pattern) and of eight races of H. erato (for up to 15 loci), and have started to identify the linkage groups. Map distances for those loci that are linked range from around 0.3 to zero in males, with no recombination in females. Muellerian mimicry is expected to produce total uniformity of pattern: universal exceptions to this are the existence of distinct mimicry rings flying within the same habitat, geographical variation within nearly all the more widespread species (divergence in the face of normalizing selection), and, in a few species, polymorphism or sexual dimorphism. Sympatric mimicry rings will, according to the two-step model of evolution, persist indefinitely if their patterns are so distinct that under no circumstances do predators mistake one for the other. Gradual mutual convergence is then impossible, although members of a weakly protected mimicry ring that can produce a mutation giving sufficient initial resemblance to a better protected ring can still be captured by it. Batesian mimics promote this by lowering the protection of the ring that they belong to, but their models can escape only in this way as normalizing selection prevents their gradual evolution away from the batesian mimic. If the rings are too distinct in pattern even this capture of species becomes impossible as no single mutant is able to bridge the gap between the two patterns, and the necessary two mutations will be extremely unlikely to occur together. The five principal sympatric mimicry rings of the mature neotropical rain forests are very distinct in their appearance The capture of a species by another ring can produce geographical variation both in the species captured and in the capturing ring, whose pattern is somewhat altered by mutual convergence with the captured species in the second step of the evolution of the muellerian resemblance. We suggest that the striking differences between the races within H. melpomene, H. erato and other Heliconius species resulted from these effects of inter-ring capture. Distributional evidence suggests that this chiefly occurred in refuges formed by the contraction of the neotropical rain forests during the cool dry periods in the Quaternary; these, by differential extinction of elements of the flora and fauna of different refuges, could have produced long-term changes in the relative abundances of the mimicry rings, and hence (as the protection given to a ring is proportional to its abundance) somewhat different capture events in each refuge. Several existing species confirm that this mode of evolution occurs, by retaining a distinctive pattern in the absence of any other remotely similar species, but becoming mimetic in areas where they encounter a pattern somewhat like their own. The isolated populations of Heliconius hermathena show this particularly clearly; the effect can be discerned also in H. melpomene and H. erato. Although polymorphism in muellerian mimics is largely unexplained, in two species of Heliconius it may result from the existence of two or more similar but slightly differing ‘sub-rings’ among their comimics in the family Ithomiidae, which show both spatial and temporal heterogeneity in their local distribution, which apparently is able to maintain a polymorphic equilibrium in the more uniformly distributed Heliconius. We have tentatively reconstructed the ancestral patterns of H. melpomene and erato by two independent methods: first, as dominant genes are much more likely to be incorporated than recessive ones during changes of pattern, the phenotype produced by the recessive alleles at all the known loci will be close to the ancestral pattern; secondly, species that are becoming mimics evolve more than those that are not, so that non-mimetic relatives of melpomene and erato will have a pattern close to ancestral. Both methods suggest, for both species, that the ancestor was a black butterfly with yellow (or possibly white) bars, and it may be that melpomene and erato have been comimics for a very long time. Previous climatic cycles in the Quaternary have apparently caused full speciation within two mutually mimetic evolving lineages, producing pairs of parallel mimetic species within the genus, of which melpomene and erato constitute one pair.","DOI":"10.1098/rstb.1985.0066","journalAbbreviation":"Philosophical Transactions of the Royal Society of London. B, Biological Sciences","author":[{"family":"Sheppard","given":"P.M."},{"family":"Turner","given":"J.R.G."},{"literal":"Brown K. S."},{"literal":"Benson W. W."},{"literal":"Singer M. C."}],"issued":{"date-parts":[["1985",2,28]]}},"label":"page"},{"id":3466,"uris":["http://zotero.org/users/2671101/items/UKEU99N8"],"uri":["http://zotero.org/users/2671101/items/UKEU99N8"],"itemData":{"id":3466,"type":"article-journal","title":"The evolution of Müllerian mimicry","container-title":"Die Naturwissenschaften","page":"681-695","volume":"95","issue":"8","source":"PubMed Central","abstract":"It is now 130 years since Fritz Müller proposed an evolutionary explanation for the close similarity of co-existing unpalatable prey species, a phenomenon now known as Müllerian mimicry. Müller’s hypothesis was that unpalatable species evolve a similar appearance to reduce the mortality involved in training predators to avoid them, and he backed up his arguments with a mathematical model in which predators attack a fixed number (n) of each distinct unpalatable type in a given season before avoiding them. Here, I review what has since been discovered about Müllerian mimicry and consider in particular its relationship to other forms of mimicry. Müller’s specific model of associative learning involving a “fixed n” in a given season has not been supported, and several experiments now suggest that two distinct unpalatable prey types may be just as easy to learn to avoid as one. Nevertheless, Müller’s general insight that novel unpalatable forms have higher mortality than common unpalatable forms as a result of predation has been well supported by field experiments. From its inception, there has been a heated debate over the nature of the relationship between Müllerian co-mimics that differ in their level of defence. There is now a growing awareness that this relationship can be mediated by many factors, including synergistic effects between co-mimics that differ in their mode of defence, rates of generalisation among warning signals and concomitant changes in prey density as mimicry evolves. I highlight areas for future enquiry, including the possibility of Müllerian mimicry systems based on profitability rather than unprofitability and the co-evolution of defence.","DOI":"10.1007/s00114-008-0403-y","ISSN":"0028-1042","note":"PMID: 18542902\nPMCID: PMC2443389","journalAbbreviation":"Naturwissenschaften","author":[{"family":"Sherratt","given":"Thomas N."}],"issued":{"date-parts":[["2008",8]]}},"label":"page"},{"id":847,"uris":["http://zotero.org/users/2671101/items/MUVGHFME"],"uri":["http://zotero.org/users/2671101/items/MUVGHFME"],"itemData":{"id":847,"type":"article-journal","title":"The diversification of &lt;i&gt;Heliconius&lt;/i&gt; butterflies: what have we learned in 150 years?","container-title":"Journal of Evolutionary Biology","page":"1417-1438","volume":"28","issue":"8","source":"Wiley Online Library","abstract":"Research into Heliconius butterflies has made a significant contribution to evolutionary biology. Here, we review our understanding of the diversification of these butterflies, covering recent advances and a vast foundation of earlier work. Whereas no single group of organisms can be sufficient for understanding life's diversity, after years of intensive study, research into Heliconius has addressed a wide variety of evolutionary questions. We first discuss evidence for widespread gene flow between Heliconius species and what this reveals about the nature of species. We then address the evolution and diversity of warning patterns, both as the target of selection and with respect to their underlying genetic basis. The identification of major genes involved in mimetic shifts, and homology at these loci between distantly related taxa, has revealed a surprising predictability in the genetic basis of evolution. In the final sections, we consider the evolution of warning patterns, and Heliconius diversity more generally, within a broader context of ecological and sexual selection. We consider how different traits and modes of selection can interact and influence the evolution of reproductive isolation.","DOI":"10.1111/jeb.12672","ISSN":"1420-9101","title-short":"The diversification of Heliconius butterflies","journalAbbreviation":"J. Evol. Biol.","language":"en","author":[{"family":"Merrill","given":"R. M."},{"family":"Dasmahapatra","given":"K. K."},{"family":"Davey","given":"J. W."},{"family":"Dell'Aglio","given":"D. D."},{"family":"Hanly","given":"J. J."},{"family":"Huber","given":"B."},{"family":"Jiggins","given":"C. D."},{"family":"Joron","given":"M."},{"family":"Kozak","given":"K. M."},{"family":"Llaurens","given":"V."},{"family":"Martin","given":"S. H."},{"family":"Montgomery","given":"S. H."},{"family":"Morris","given":"J."},{"family":"Nadeau","given":"N. J."},{"family":"Pinharanda","given":"A. L."},{"family":"Rosser","given":"N."},{"family":"Thompson","given":"M. J."},{"family":"Vanjari","given":"S."},{"family":"Wallbank","given":"R. W. R."},{"family":"Yu","given":"Q."}],"issued":{"date-parts":[["2015",8,1]]}},"label":"page"}],"schema":"https://github.com/citation-style-language/schema/raw/master/csl-citation.json"}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sz w:val="24"/>
          <w:lang w:val="en-US"/>
        </w:rPr>
        <w:t xml:space="preserve">(Merrill et al., 2015; Sheppard et al., </w:t>
      </w:r>
      <w:r w:rsidRPr="000224E9">
        <w:rPr>
          <w:rFonts w:ascii="Times New Roman" w:hAnsi="Times New Roman" w:cs="Times New Roman"/>
          <w:sz w:val="24"/>
          <w:lang w:val="en-US"/>
        </w:rPr>
        <w:lastRenderedPageBreak/>
        <w:t>1985; Sherratt, 2008)</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 xml:space="preserve">. It has been suggested that chemical compounds could also contribute to mimicry between species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{"citationID":"RLNNh8W9","properties":{"formattedCitation":"(Dettner and Liepert, 1994; Mann et al., 2017)","plainCitation":"(Dettner and Liepert, 1994; Mann et al., 2017)","noteIndex":0},"citationItems":[{"id":3472,"uris":["http://zotero.org/users/2671101/items/JG8R27TS"],"uri":["http://zotero.org/users/2671101/items/JG8R27TS"],"itemData":{"id":3472,"type":"article-journal","title":"Chemical Mimicry and Camouflage","container-title":"Annual Review of Entomology","page":"129-154","volume":"39","issue":"1","source":"annualreviews.org (Atypon)","DOI":"10.1146/annurev.en.39.010194.001021","ISSN":"0066-4170","journalAbbreviation":"Annu. Rev. Entomol.","author":[{"family":"Dettner","given":"K"},{"family":"Liepert","given":"C"}],"issued":{"date-parts":[["1994",1,1]]}},"label":"page"},{"id":2882,"uris":["http://zotero.org/users/2671101/items/XXUR7S3J"],"uri":["http://zotero.org/users/2671101/items/XXUR7S3J"],"itemData":{"id":2882,"type":"article-journal","title":"The Scent Chemistry of &lt;i&gt;Heliconius&lt;/i&gt; Wing Androconia","container-title":"Journal of Chemical Ecology","page":"843-857","volume":"43","issue":"9","source":"link.springer.com","abstract":"Neotropical Heliconius butterflies are members of various mimicry rings characterized by diverse colour patterns. In the present study we investigated whether a similar diversity is observed in the chemistry of volatile compounds present in male wing androconia. Recent research has shown that these androconia are used during courting of females. Three to five wild-caught male Heliconius individuals of 17 species and subspecies were analyzed by GC/MS. Most of the identified compounds originate from common fatty acids precursors, including aldehydes, alcohols, acetates or esters preferentially with a C18 and C20 chain, together with some alkanes. The compounds occurred in species-specific mixtures or signatures. For example, octadecanal is characteristic for H. melpomene, but variation in composition between the individuals was observed. Cluster analysis of compound occurrence in individual bouquets and analyses based on biosynthetic motifs such as functional group, chain length, or basic carbon-backbone modification were used to reveal structural patterns. Mimetic pairs contain different scent bouquets, but also some compounds in common, whereas sympatric species, both mimetic and non-mimetic, have more distinct compound compositions. The compounds identified here may play a role in mate choice thus helping maintain species integrity in a butterfly genus characterized by pervasive interspecific gene flow.","DOI":"10.1007/s10886-017-0867-3","ISSN":"0098-0331, 1573-1561","journalAbbreviation":"J Chem Ecol","language":"en","author":[{"family":"Mann","given":"Florian"},{"family":"Vanjari","given":"Sohini"},{"family":"Rosser","given":"Neil"},{"family":"Mann","given":"Sandra"},{"family":"Dasmahapatra","given":"Kanchon K."},{"family":"Corbin","given":"Chris"},{"family":"Linares","given":"Mauricio"},{"family":"Pardo-Diaz","given":"Carolina"},{"family":"Salazar","given":"Camilo"},{"family":"Jiggins","given":"Chris"},{"family":"Schulz","given":"Stefan"}],"issued":{"date-parts":[["2017",8,8]]}},"label":"page"}],"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sz w:val="24"/>
          <w:lang w:val="en-US"/>
        </w:rPr>
        <w:t>(Dettner and Liepert, 1994; Mann et al., 2017)</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 xml:space="preserve">. In this study, we find </w:t>
      </w:r>
      <w:r w:rsidR="00B54B72">
        <w:rPr>
          <w:rFonts w:ascii="Times New Roman" w:hAnsi="Times New Roman" w:cs="Times New Roman"/>
          <w:sz w:val="24"/>
          <w:szCs w:val="24"/>
        </w:rPr>
        <w:t xml:space="preserve">patterns consistent with predictions of convergence between co-mimics. Individuals within particular co-mimicry groups, such as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melpomene</w:t>
      </w:r>
      <w:proofErr w:type="spellEnd"/>
      <w:r w:rsidRPr="000224E9">
        <w:rPr>
          <w:rFonts w:ascii="Times New Roman" w:hAnsi="Times New Roman" w:cs="Times New Roman"/>
          <w:sz w:val="24"/>
          <w:szCs w:val="24"/>
        </w:rPr>
        <w:t xml:space="preserve"> and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erato</w:t>
      </w:r>
      <w:proofErr w:type="spellEnd"/>
      <w:r w:rsidR="00B54B72">
        <w:rPr>
          <w:rFonts w:ascii="Times New Roman" w:hAnsi="Times New Roman" w:cs="Times New Roman"/>
          <w:i/>
          <w:iCs/>
          <w:sz w:val="24"/>
          <w:szCs w:val="24"/>
        </w:rPr>
        <w:t>,</w:t>
      </w:r>
      <w:r w:rsidR="00B54B72">
        <w:rPr>
          <w:rFonts w:ascii="Times New Roman" w:hAnsi="Times New Roman" w:cs="Times New Roman"/>
          <w:sz w:val="24"/>
          <w:szCs w:val="24"/>
        </w:rPr>
        <w:t xml:space="preserve"> seem to converge on a more similar chemical profile</w:t>
      </w:r>
      <w:r w:rsidRPr="000224E9">
        <w:rPr>
          <w:rFonts w:ascii="Times New Roman" w:hAnsi="Times New Roman" w:cs="Times New Roman"/>
          <w:sz w:val="24"/>
          <w:szCs w:val="24"/>
        </w:rPr>
        <w:t xml:space="preserve">. Most known examples of chemical mimicry come from systems of deception, for example, mimicry of ant alarm pheromones by rove beetles to avoid predation, rather than mimicry of aposematic warning signals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{"citationID":"2z6RYaLK","properties":{"formattedCitation":"(Dettner and Liepert, 1994; Stoeffler et al., 2007; Vereecken and McNeil, 2010)","plainCitation":"(Dettner and Liepert, 1994; Stoeffler et al., 2007; Vereecken and McNeil, 2010)","noteIndex":0},"citationItems":[{"id":3472,"uris":["http://zotero.org/users/2671101/items/JG8R27TS"],"uri":["http://zotero.org/users/2671101/items/JG8R27TS"],"itemData":{"id":3472,"type":"article-journal","title":"Chemical Mimicry and Camouflage","container-title":"Annual Review of Entomology","page":"129-154","volume":"39","issue":"1","source":"annualreviews.org (Atypon)","DOI":"10.1146/annurev.en.39.010194.001021","ISSN":"0066-4170","journalAbbreviation":"Annu. Rev. Entomol.","author":[{"family":"Dettner","given":"K"},{"family":"Liepert","given":"C"}],"issued":{"date-parts":[["1994",1,1]]}},"label":"page"},{"id":3478,"uris":["http://zotero.org/users/2671101/items/DG3N9MGA"],"uri":["http://zotero.org/users/2671101/items/DG3N9MGA"],"itemData":{"id":3478,"type":"article-journal","title":"Foreign-language Skills in Rove-Beetles? Evidence for Chemical Mimicry of Ant Alarm Pheromones in Myrmecophilous &lt;i&gt;Pella&lt;/i&gt; Beetles (Coleoptera: Staphylinidae)","container-title":"Journal of Chemical Ecology","page":"1382-1392","volume":"33","issue":"7","source":"Springer Link","abstract":"By using chemical analyses, as well as laboratory and field behavioral tests, we tested the hypothesis that rove beetles of the myrmecophilous genus Pella use alarm pheromone compounds to avert attacks by their host ant Lasius fuliginosus. The secretions of Pella funestus and P. humeralis contain quinones and different aliphatic compounds, mainly undecane and 6-methyl-5-hepten-2-one (sulcatone). The latter two chemicals are also found in L. fuliginosus pheromone glands. Behavioral tests confirmed that undecane serves as an “aggressive alarm”-inducing pheromone in L. fuliginosus, whereas sulcatone most likely is a “panic-alarm”-inducing pheromone. The main tergal-secretion compounds, various quinones and undecane, individually and in mixtures induced aggression in L. fuliginosus workers. When sulcatone was added to these compounds, the space around the odor source was avoided and a reduced number of aggressive acts observed, suggesting that sulcatone blocks the aggression-inducing effect of undecane and the quinones. These results support the hypothesis that Pella beetles mimic alarm pheromones of their hosts. This is a rare example of chemical mimicry in myrmecophilous insects in which chemicals other than cuticular hydrocarbons are used.","DOI":"10.1007/s10886-007-9315-0","ISSN":"1573-1561","title-short":"Foreign-language Skills in Rove-Beetles?","journalAbbreviation":"J Chem Ecol","language":"en","author":[{"family":"Stoeffler","given":"Michael"},{"family":"Maier","given":"Tanja S."},{"family":"Tolasch","given":"Till"},{"family":"Steidle","given":"Johannes L. M."}],"issued":{"date-parts":[["2007",7,1]]}},"label":"page"},{"id":3475,"uris":["http://zotero.org/users/2671101/items/ME3DIM97"],"uri":["http://zotero.org/users/2671101/items/ME3DIM97"],"itemData":{"id":3475,"type":"article-journal","title":"Cheaters and liars: chemical mimicry at its finest","container-title":"Canadian Journal of Zoology","page":"725-752","volume":"88","issue":"7","source":"NRC Research Press","abstract":"Chemical mimicry is an essential part of certain interspecific interactions, where the outcome for both species may depend on the degree to which the original signals are mimicked. In this review, we discuss a number of specific cases relating to pollination and obtaining nutrient resources that we believe exemplify recent advances in our understanding of chemical mimicry. Subsequently, we suggest avenues for future ecological and chemical research that should allow us to gain further insight into the evolution of chemical mimicry., Le mimétisme chimique est une composante essentielle de certaines interactions entre les espèces, dans lesquelles l’issue pour les deux espèces peut dépendre du degré de mimétisme des signaux d’origine. Dans notre rétrospective, nous discutons de plusieurs cas spécifiques reliés à la pollinisation et à l’obtention des ressources en nutriments qui, à notre avis, illustrent bien les progrès récents dans la compréhension du mimétisme chimique. Nous proposons ensuite des avenues de recherche écologiques et chimiques pour le futur qui devraient permettre des perspectives plus approfondies sur l’évolution du mimétisme chimique.","DOI":"10.1139/Z10-040","ISSN":"0008-4301","title-short":"Cheaters and liars","journalAbbreviation":"Can. J. Zool.","author":[{"family":"Vereecken","given":"N. J."},{"family":"McNeil","given":"J. N."}],"issued":{"date-parts":[["2010",7,1]]}},"label":"page"}],"schema":"https://github.com/citation-style-language/schema/raw/master/csl-citation.json"}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sz w:val="24"/>
          <w:lang w:val="en-US"/>
        </w:rPr>
        <w:t>(Dettner and Liepert, 1994; Stoeffler et al., 2007; Vereecken and McNeil, 2010)</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 xml:space="preserve">. We suggest that in </w:t>
      </w:r>
      <w:proofErr w:type="spellStart"/>
      <w:r w:rsidRPr="000224E9">
        <w:rPr>
          <w:rFonts w:ascii="Times New Roman" w:hAnsi="Times New Roman" w:cs="Times New Roman"/>
          <w:i/>
          <w:iCs/>
          <w:sz w:val="24"/>
          <w:szCs w:val="24"/>
        </w:rPr>
        <w:t>Heliconius</w:t>
      </w:r>
      <w:proofErr w:type="spellEnd"/>
      <w:r w:rsidRPr="000224E9">
        <w:rPr>
          <w:rFonts w:ascii="Times New Roman" w:hAnsi="Times New Roman" w:cs="Times New Roman"/>
          <w:sz w:val="24"/>
          <w:szCs w:val="24"/>
        </w:rPr>
        <w:t xml:space="preserve"> different components of the bouquet could be important for chemical mimicry and species recognition, reducing conflict between these selection pressures. </w:t>
      </w:r>
    </w:p>
    <w:p w:rsidR="00A7633C" w:rsidRPr="000224E9" w:rsidRDefault="00A7633C" w:rsidP="00A7633C">
      <w:pPr>
        <w:spacing w:after="120" w:line="480" w:lineRule="auto"/>
        <w:ind w:firstLine="720"/>
        <w:rPr>
          <w:rFonts w:ascii="Times New Roman" w:hAnsi="Times New Roman" w:cs="Times New Roman"/>
          <w:sz w:val="24"/>
          <w:szCs w:val="24"/>
        </w:rPr>
      </w:pPr>
      <w:r w:rsidRPr="000224E9">
        <w:rPr>
          <w:rFonts w:ascii="Times New Roman" w:hAnsi="Times New Roman" w:cs="Times New Roman"/>
          <w:sz w:val="24"/>
          <w:szCs w:val="24"/>
        </w:rPr>
        <w:t xml:space="preserve">Convergence of genital bouquets between co-mimics could be due to the anti-aphrodisiac function of these compounds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{"citationID":"OnIznNk8","properties":{"formattedCitation":"(Gilbert, 1976; Schulz et al., 2008)","plainCitation":"(Gilbert, 1976; Schulz et al., 2008)","noteIndex":0},"citationItems":[{"id":871,"uris":["http://zotero.org/users/2671101/items/WQSBCWFM"],"uri":["http://zotero.org/users/2671101/items/WQSBCWFM"],"itemData":{"id":871,"type":"article-journal","title":"Postmating female odor in &lt;i&gt;Heliconius&lt;/i&gt; butterflies: a male-contributed antiaphrodisiac?","container-title":"Science","page":"419-420","volume":"193","issue":"4251","source":"www.sciencemag.org","abstract":"Genetic crosses between races of Heliconius erato that differ in the odor of female abdominal glands show that the odor originates in the male and is transferred to the female at mating. Behavioral observations strongly suggest that the odor is an antiaphrodisiac that helps to enforce monogamy among females.","DOI":"10.1126/science.935877","ISSN":"0036-8075, 1095-9203","note":"PMID: 935877","title-short":"Postmating female odor in Heliconius butterflies","journalAbbreviation":"Science","language":"en","author":[{"family":"Gilbert","given":"L. E."}],"issued":{"date-parts":[["1976",7,30]]}},"label":"page"},{"id":1997,"uris":["http://zotero.org/users/2671101/items/UZ6CG9VQ"],"uri":["http://zotero.org/users/2671101/items/UZ6CG9VQ"],"itemData":{"id":1997,"type":"article-journal","title":"An antiaphrodisiac in &lt;i&gt;Heliconius melpomene&lt;/i&gt; butterflies","container-title":"Journal of chemical ecology","page":"82-93","volume":"34","issue":"1","DOI":"10.1007/s10886-007-9393-z","ISSN":"0098-0331","author":[{"family":"Schulz","given":"S."},{"family":"Estrada","given":"C."},{"family":"Yildizham","given":"S."},{"family":"Boppré","given":"M."},{"family":"Gilbert","given":"L. E."}],"issued":{"date-parts":[["2008"]]}},"label":"page"}],"schema":"https://github.com/citation-style-language/schema/raw/master/csl-citation.json"}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noProof/>
          <w:sz w:val="24"/>
          <w:szCs w:val="24"/>
        </w:rPr>
        <w:t>(Gilbert, 1976; Schulz et al., 2008)</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 xml:space="preserve">. Anti-aphrodisiac compounds are transferred from males to females during mating to deter future </w:t>
      </w:r>
      <w:proofErr w:type="spellStart"/>
      <w:r w:rsidRPr="000224E9">
        <w:rPr>
          <w:rFonts w:ascii="Times New Roman" w:hAnsi="Times New Roman" w:cs="Times New Roman"/>
          <w:sz w:val="24"/>
          <w:szCs w:val="24"/>
        </w:rPr>
        <w:t>matings</w:t>
      </w:r>
      <w:proofErr w:type="spellEnd"/>
      <w:r w:rsidRPr="000224E9">
        <w:rPr>
          <w:rFonts w:ascii="Times New Roman" w:hAnsi="Times New Roman" w:cs="Times New Roman"/>
          <w:sz w:val="24"/>
          <w:szCs w:val="24"/>
        </w:rPr>
        <w:t xml:space="preserve"> from other males. Convergence in wing pattern between co-mimics could result in harassment not only by conspecific but also </w:t>
      </w:r>
      <w:proofErr w:type="spellStart"/>
      <w:r w:rsidRPr="000224E9">
        <w:rPr>
          <w:rFonts w:ascii="Times New Roman" w:hAnsi="Times New Roman" w:cs="Times New Roman"/>
          <w:sz w:val="24"/>
          <w:szCs w:val="24"/>
        </w:rPr>
        <w:t>heterospecific</w:t>
      </w:r>
      <w:proofErr w:type="spellEnd"/>
      <w:r w:rsidRPr="000224E9">
        <w:rPr>
          <w:rFonts w:ascii="Times New Roman" w:hAnsi="Times New Roman" w:cs="Times New Roman"/>
          <w:sz w:val="24"/>
          <w:szCs w:val="24"/>
        </w:rPr>
        <w:t xml:space="preserve"> males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{"citationID":"a1uskh42ikl","properties":{"formattedCitation":"(Estrada and Jiggins, 2008)","plainCitation":"(Estrada and Jiggins, 2008)","noteIndex":0},"citationItems":[{"id":1987,"uris":["http://zotero.org/users/2671101/items/BREKM7EP"],"uri":["http://zotero.org/users/2671101/items/BREKM7EP"],"itemData":{"id":1987,"type":"article-journal","title":"Interspecific sexual attraction because of convergence in warning colouration: is there a conflict between natural and sexual selection in mimetic species?","container-title":"Journal of Evolutionary Biology","page":"749-760","volume":"21","issue":"3","source":"Wiley Online Library","abstract":"When species converge in their colour patterns because of mimicry, and those patterns are also used in mate recognition, there is a probability of conflicting selection pressures. Closely related species that mimic one another are particularly likely to face such confusion because of similarities in their courtship behaviour and ecology. We conducted experiments in greenhouse conditions to study interspecific attraction between two mimetic butterfly species, Heliconius erato and Heliconius melpomene. Both species spent considerable time approaching and courting females of the co-mimic species. Experiments using wing models demonstrated the importance of colour pattern in this interspecific attraction. Although males of H. melpomene were attracted to their co-mimics as much as to their own females, H. erato males were more efficient at distinguishing conspecifics, possibly using wing odours. Although preliminary, these results suggest that the use of additional cues may have evolved in H. erato to reduce the cost of convergence in visual signals with H. melpomene. Overall, our results showed that there might be a cost of mimetic convergence because of a reduction in the efficiency of species recognition. Such cost may contribute to explain the apparently stable diversity in Müllerian mimetic patterns in many tropical butterfly assemblages.","DOI":"10.1111/j.1420-9101.2008.01517.x","ISSN":"1420-9101","title-short":"Interspecific sexual attraction because of convergence in warning colouration","language":"en","author":[{"family":"Estrada","given":"C."},{"family":"Jiggins","given":"C. D."}],"issued":{"date-parts":[["2008",5,1]]}}}],"schema":"https://github.com/citation-style-language/schema/raw/master/csl-citation.json"}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sz w:val="24"/>
          <w:lang w:val="en-US"/>
        </w:rPr>
        <w:t>(Estrada and Jiggins, 2008)</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 The use of the same anti-aphrodisiac by co-mimics could combat interspecific attraction by deterring males of both species, as highlighted by the production of (</w:t>
      </w:r>
      <w:r w:rsidRPr="000224E9">
        <w:rPr>
          <w:rFonts w:ascii="Times New Roman" w:hAnsi="Times New Roman" w:cs="Times New Roman"/>
          <w:i/>
          <w:sz w:val="24"/>
          <w:szCs w:val="24"/>
        </w:rPr>
        <w:t>E</w:t>
      </w:r>
      <w:r w:rsidRPr="000224E9">
        <w:rPr>
          <w:rFonts w:ascii="Times New Roman" w:hAnsi="Times New Roman" w:cs="Times New Roman"/>
          <w:iCs/>
          <w:sz w:val="24"/>
          <w:szCs w:val="24"/>
        </w:rPr>
        <w:t>)-</w:t>
      </w:r>
      <w:r w:rsidRPr="000224E9">
        <w:rPr>
          <w:rFonts w:ascii="Times New Roman" w:hAnsi="Times New Roman" w:cs="Times New Roman"/>
          <w:sz w:val="24"/>
          <w:szCs w:val="24"/>
        </w:rPr>
        <w:t xml:space="preserve">β-ocimene by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erato</w:t>
      </w:r>
      <w:proofErr w:type="spellEnd"/>
      <w:r w:rsidRPr="000224E9">
        <w:rPr>
          <w:rFonts w:ascii="Times New Roman" w:hAnsi="Times New Roman" w:cs="Times New Roman"/>
          <w:i/>
          <w:iCs/>
          <w:sz w:val="24"/>
          <w:szCs w:val="24"/>
        </w:rPr>
        <w:t xml:space="preserve"> </w:t>
      </w:r>
      <w:r w:rsidRPr="000224E9">
        <w:rPr>
          <w:rFonts w:ascii="Times New Roman" w:hAnsi="Times New Roman" w:cs="Times New Roman"/>
          <w:sz w:val="24"/>
          <w:szCs w:val="24"/>
        </w:rPr>
        <w:t xml:space="preserve">and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melpomene</w:t>
      </w:r>
      <w:proofErr w:type="spellEnd"/>
      <w:r w:rsidRPr="000224E9">
        <w:rPr>
          <w:rFonts w:ascii="Times New Roman" w:hAnsi="Times New Roman" w:cs="Times New Roman"/>
          <w:i/>
          <w:iCs/>
          <w:sz w:val="24"/>
          <w:szCs w:val="24"/>
        </w:rPr>
        <w:t xml:space="preserve">, </w:t>
      </w:r>
      <w:r w:rsidRPr="000224E9">
        <w:rPr>
          <w:rFonts w:ascii="Times New Roman" w:hAnsi="Times New Roman" w:cs="Times New Roman"/>
          <w:sz w:val="24"/>
          <w:szCs w:val="24"/>
        </w:rPr>
        <w:t xml:space="preserve">as well as other </w:t>
      </w:r>
      <w:proofErr w:type="spellStart"/>
      <w:r w:rsidRPr="000224E9">
        <w:rPr>
          <w:rFonts w:ascii="Times New Roman" w:hAnsi="Times New Roman" w:cs="Times New Roman"/>
          <w:i/>
          <w:iCs/>
          <w:sz w:val="24"/>
          <w:szCs w:val="24"/>
        </w:rPr>
        <w:t>Heliconius</w:t>
      </w:r>
      <w:proofErr w:type="spellEnd"/>
      <w:r w:rsidRPr="000224E9">
        <w:rPr>
          <w:rFonts w:ascii="Times New Roman" w:hAnsi="Times New Roman" w:cs="Times New Roman"/>
          <w:i/>
          <w:iCs/>
          <w:sz w:val="24"/>
          <w:szCs w:val="24"/>
        </w:rPr>
        <w:t xml:space="preserve"> </w:t>
      </w:r>
      <w:r w:rsidRPr="000224E9">
        <w:rPr>
          <w:rFonts w:ascii="Times New Roman" w:hAnsi="Times New Roman" w:cs="Times New Roman"/>
          <w:sz w:val="24"/>
          <w:szCs w:val="24"/>
        </w:rPr>
        <w:t>species</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ZOTERO_TEMP </w:instrText>
      </w:r>
      <w:r w:rsidRPr="000224E9">
        <w:rPr>
          <w:rFonts w:ascii="Times New Roman" w:hAnsi="Times New Roman" w:cs="Times New Roman"/>
          <w:sz w:val="24"/>
          <w:szCs w:val="24"/>
        </w:rPr>
        <w:fldChar w:fldCharType="separate"/>
      </w:r>
      <w:r w:rsidRPr="000224E9">
        <w:rPr>
          <w:rFonts w:ascii="Times New Roman" w:hAnsi="Times New Roman" w:cs="Times New Roman"/>
          <w:noProof/>
          <w:sz w:val="24"/>
          <w:szCs w:val="24"/>
        </w:rPr>
        <w:t xml:space="preserve"> </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{"citationID":"a1513unta1d","properties":{"formattedCitation":"(Estrada et al., 2011)","plainCitation":"(Estrada et al., 2011)","noteIndex":0},"citationItems":[{"id":838,"uris":["http://zotero.org/users/2671101/items/ISTIQRKM"],"uri":["http://zotero.org/users/2671101/items/ISTIQRKM"],"itemData":{"id":838,"type":"article-journal","title":"Sexual selection drives the evolution of antiaphrodisiac pheromones in butterflies","container-title":"Evolution; international journal of organic evolution","page":"2843-2854","volume":"65","issue":"10","source":"NCBI PubMed","abstract":"Competition for mates has resulted in sophisticated mechanisms of male control over female reproduction. Antiaphrodisiacs are pheromones transferred from males to females during mating that reduce attractiveness of females to subsequent courting males. Antiaphrodisiacs generally help unreceptive females reduce male harassment. However, lack of control over pheromone release by females and male control over the amount transferred provides males an opportunity to use antiaphrodisiacs to delay remating by females that have returned to a receptive state. We propose a model for the evolution of antiaphrodisiacs under the influence of intrasexual selection, and determine whether changes in this signal in 11 species of Heliconius butterflies are consistent with two predictions of the model. First, we find that as predicted, male-contributed chemical mixtures are complex and highly variable across species, with limited phylogenetic signal. Second, differences in rates of evolution in pheromone composition between two major clades of Heliconius are as expected: the clade with a greater potential for male-male competition (polyandrous) shows a faster rate of divergence than the one with typically monoandrous mating system. Taken together, our results provide evidence that for females, antiaphrodisiacs can be both honest signals of receptivity (helping reduce harassment) and chastity belts (a male-imposed reduction in remating).","DOI":"10.1111/j.1558-5646.2011.01352.x","ISSN":"1558-5646","note":"PMID: 21967426","journalAbbreviation":"Evolution","language":"eng","author":[{"family":"Estrada","given":"C"},{"family":"Schulz","given":"Stefan"},{"family":"Yildizhan","given":"Selma"},{"family":"Gilbert","given":"Lawrence E"}],"issued":{"date-parts":[["2011",10]]}}}],"schema":"https://github.com/citation-style-language/schema/raw/master/csl-citation.json"}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sz w:val="24"/>
          <w:lang w:val="en-US"/>
        </w:rPr>
        <w:t>(Estrada et al., 2011)</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w:t>
      </w:r>
      <w:r w:rsidRPr="000224E9">
        <w:rPr>
          <w:rFonts w:ascii="Times New Roman" w:hAnsi="Times New Roman" w:cs="Times New Roman"/>
          <w:i/>
          <w:iCs/>
          <w:sz w:val="24"/>
          <w:szCs w:val="24"/>
        </w:rPr>
        <w:t xml:space="preserve"> </w:t>
      </w:r>
    </w:p>
    <w:p w:rsidR="00A7633C" w:rsidRPr="000224E9" w:rsidRDefault="00A7633C" w:rsidP="00A7633C">
      <w:pPr>
        <w:spacing w:after="120" w:line="480" w:lineRule="auto"/>
        <w:ind w:firstLine="720"/>
        <w:rPr>
          <w:rFonts w:ascii="Times New Roman" w:hAnsi="Times New Roman" w:cs="Times New Roman"/>
          <w:sz w:val="24"/>
          <w:szCs w:val="24"/>
        </w:rPr>
      </w:pPr>
      <w:r w:rsidRPr="000224E9">
        <w:rPr>
          <w:rFonts w:ascii="Times New Roman" w:hAnsi="Times New Roman" w:cs="Times New Roman"/>
          <w:sz w:val="24"/>
          <w:szCs w:val="24"/>
        </w:rPr>
        <w:t xml:space="preserve">Compounds could also play a role in predator deterrence. Genital compounds were originally suggested to form part of the anti-predation signal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{"citationID":"hh6HmryY","properties":{"formattedCitation":"(Eltringham, 1925)","plainCitation":"(Eltringham, 1925)","noteIndex":0},"citationItems":[{"id":2226,"uris":["http://zotero.org/users/2671101/items/64E6X57I"],"uri":["http://zotero.org/users/2671101/items/64E6X57I"],"itemData":{"id":2226,"type":"article-journal","title":"On the Abdominal Glands in &lt;i&gt;Heliconius&lt;/i&gt; (Lepidoptera).","container-title":"Transactions of the Royal Entomological Society of London","page":"269-275","volume":"73","issue":"1-2","source":"Wiley Online Library","DOI":"10.1111/j.1365-2311.1925.tb02862.x","ISSN":"1365-2311","language":"en","author":[{"family":"Eltringham","given":"H."}],"issued":{"date-parts":[["1925",8,1]]}}}],"schema":"https://github.com/citation-style-language/schema/raw/master/csl-citation.json"}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noProof/>
          <w:sz w:val="24"/>
          <w:szCs w:val="24"/>
        </w:rPr>
        <w:t>(Eltringham, 1925)</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 xml:space="preserve">. We detected 2-sec-butyl-3-methoxypyrazine in the genitals of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melpomene</w:t>
      </w:r>
      <w:proofErr w:type="spellEnd"/>
      <w:r w:rsidRPr="000224E9">
        <w:rPr>
          <w:rFonts w:ascii="Times New Roman" w:hAnsi="Times New Roman" w:cs="Times New Roman"/>
          <w:sz w:val="24"/>
          <w:szCs w:val="24"/>
        </w:rPr>
        <w:t xml:space="preserve">, </w:t>
      </w:r>
      <w:r w:rsidRPr="000224E9">
        <w:rPr>
          <w:rFonts w:ascii="Times New Roman" w:hAnsi="Times New Roman" w:cs="Times New Roman"/>
          <w:i/>
          <w:iCs/>
          <w:sz w:val="24"/>
          <w:szCs w:val="24"/>
        </w:rPr>
        <w:t>H. cydno</w:t>
      </w:r>
      <w:r w:rsidRPr="000224E9">
        <w:rPr>
          <w:rFonts w:ascii="Times New Roman" w:hAnsi="Times New Roman" w:cs="Times New Roman"/>
          <w:sz w:val="24"/>
          <w:szCs w:val="24"/>
        </w:rPr>
        <w:t xml:space="preserve"> and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timareta</w:t>
      </w:r>
      <w:proofErr w:type="spellEnd"/>
      <w:r w:rsidRPr="000224E9">
        <w:rPr>
          <w:rFonts w:ascii="Times New Roman" w:hAnsi="Times New Roman" w:cs="Times New Roman"/>
          <w:sz w:val="24"/>
          <w:szCs w:val="24"/>
        </w:rPr>
        <w:t xml:space="preserve">, and 2-isobutyl-3-methoxypyrazine in the genitals of </w:t>
      </w:r>
      <w:r w:rsidRPr="000224E9">
        <w:rPr>
          <w:rFonts w:ascii="Times New Roman" w:hAnsi="Times New Roman" w:cs="Times New Roman"/>
          <w:i/>
          <w:iCs/>
          <w:sz w:val="24"/>
          <w:szCs w:val="24"/>
        </w:rPr>
        <w:t xml:space="preserve">H. </w:t>
      </w:r>
      <w:proofErr w:type="spellStart"/>
      <w:r w:rsidRPr="000224E9">
        <w:rPr>
          <w:rFonts w:ascii="Times New Roman" w:hAnsi="Times New Roman" w:cs="Times New Roman"/>
          <w:i/>
          <w:iCs/>
          <w:sz w:val="24"/>
          <w:szCs w:val="24"/>
        </w:rPr>
        <w:t>melpomene</w:t>
      </w:r>
      <w:proofErr w:type="spellEnd"/>
      <w:r w:rsidRPr="000224E9">
        <w:rPr>
          <w:rFonts w:ascii="Times New Roman" w:hAnsi="Times New Roman" w:cs="Times New Roman"/>
          <w:sz w:val="24"/>
          <w:szCs w:val="24"/>
        </w:rPr>
        <w:t xml:space="preserve"> and </w:t>
      </w:r>
      <w:r w:rsidRPr="000224E9">
        <w:rPr>
          <w:rFonts w:ascii="Times New Roman" w:hAnsi="Times New Roman" w:cs="Times New Roman"/>
          <w:i/>
          <w:iCs/>
          <w:sz w:val="24"/>
          <w:szCs w:val="24"/>
        </w:rPr>
        <w:t>H. cydno</w:t>
      </w:r>
      <w:r w:rsidRPr="000224E9">
        <w:rPr>
          <w:rFonts w:ascii="Times New Roman" w:hAnsi="Times New Roman" w:cs="Times New Roman"/>
          <w:sz w:val="24"/>
          <w:szCs w:val="24"/>
        </w:rPr>
        <w:t xml:space="preserve">, both compounds known to deter predators in the wood tiger moth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{"citationID":"eze48fwa","properties":{"formattedCitation":"(Burdfield-Steel et al., 2018; Rojas et al., 2019, 2018, 2017)","plainCitation":"(Burdfield-Steel et al., 2018; Rojas et al., 2019, 2018, 2017)","noteIndex":0},"citationItems":[{"id":3367,"uris":["http://zotero.org/users/2671101/items/H4HKG2PF"],"uri":["http://zotero.org/users/2671101/items/H4HKG2PF"],"itemData":{"id":3367,"type":"article-journal","title":"How to fight multiple enemies: target-specific chemical defences in an aposematic moth","container-title":"Proceedings. Biological Sciences","page":"20171424","volume":"284","issue":"1863","source":"PubMed","abstract":"Animals have evolved different defensive strategies to survive predation, among which chemical defences are particularly widespread and diverse. Here we investigate the function of chemical defence diversity, hypothesizing that such diversity has evolved as a response to multiple enemies. The aposematic wood tiger moth (Arctia plantaginis) displays conspicuous hindwing coloration and secretes distinct defensive fluids from its thoracic glands and abdomen. We presented the two defensive fluids from laboratory-reared moths to two biologically relevant predators, birds and ants, and measured their reaction in controlled bioassays (no information on colour was provided). We found that defensive fluids are target-specific: thoracic fluids, and particularly 2-sec-butyl-3-methoxypyrazine, which they contain, deterred birds, but caused no aversive response in ants. By contrast, abdominal fluids were particularly deterrent to ants, while birds did not find them repellent. Our study, to our knowledge, is the first to show evidence of a single species producing separate chemical defences targeted to different predator types, highlighting the importance of taking into account complex predator communities in studies on the evolution of prey defence diversity.","DOI":"10.1098/rspb.2017.1424","ISSN":"1471-2954","note":"PMID: 28954910\nPMCID: PMC5627206","title-short":"How to fight multiple enemies","journalAbbreviation":"Proc. Biol. Sci.","language":"eng","author":[{"family":"Rojas","given":"Bibiana"},{"family":"Burdfield-Steel","given":"Emily"},{"family":"Pakkanen","given":"Hannu"},{"family":"Suisto","given":"Kaisa"},{"family":"Maczka","given":"Michael"},{"family":"Schulz","given":"Stefan"},{"family":"Mappes","given":"Johanna"}],"issued":{"date-parts":[["2017",9,27]]}},"label":"page"},{"id":3330,"uris":["http://zotero.org/users/2671101/items/CMPZ9ZZQ"],"uri":["http://zotero.org/users/2671101/items/CMPZ9ZZQ"],"itemData":{"id":3330,"type":"article-journal","title":"Multimodal Aposematic Signals and Their Emerging Role in Mate Attraction","container-title":"Frontiers in Ecology and Evolution","page":"93","volume":"6","source":"Frontiers","abstract":"Chemically defended animals often display conspicuous colour patterns that predators learn to associate with their unprofitability and subsequently avoid. Such animals (i.e. aposematic), deter predators by stimulating their visual and chemical sensory channels. Hence, aposematism is considered to be ‘multimodal’. The evolution of warning signals (and to a lesser degree their accompanying chemical defences) is fundamentally linked to natural selection by predators. Lately, however, increasing evidence also points to a role of sexual selection shaping warning signal evolution. One of the species in which this has been shown is the wood tiger moth, Arctia plantaginis, which we here put forward as a promising model to investigate multimodality in aposematic and sexual signalling. A. plantaginis is an aposematic diurnal moth which exhibits sexually dimorphic colouration as well as sex-limited polymorphism in part of its range. The anti-predator function of its colouration and, more recently, its chemical defences (even when experimentally decoupled from the visual signals) have been well-demonstrated. Interestingly, recent studies have revealed differences between the two male morphs in mating success, suggesting a role of colouration in mate choice or attraction, and providing a possible explanation for its sexual dimorphism in colouration. Here, we: (1) review the lines of evidence showing the role of predation pressure and sexual selection in the evolution of multimodal aposematic signals in general, and in the wood tiger moth in particular; (2) establish gaps in current research linking sexual selection and predation as selective pressures on aposematic signals by reviewing a sample of the literature published in the last 30 years; (3) highlight the need of identifying suitable systems to address simultaneously the effect of natural and sexual selection on multimodal aposematic signals; and (4) propose directions for future research to test how aposematic signals can evolve under natural and sexual selection.","DOI":"10.3389/fevo.2018.00093","ISSN":"2296-701X","journalAbbreviation":"Front. Ecol. Evol.","language":"English","author":[{"family":"Rojas","given":"Bibiana"},{"family":"Burdfield-Steel","given":"Emily"},{"family":"De Pasqual","given":"Chiara"},{"family":"Gordon","given":"Swanne"},{"family":"Hernández","given":"Linda"},{"family":"Mappes","given":"Johanna"},{"family":"Nokelainen","given":"Ossi"},{"family":"Rönkä","given":"Katja"},{"family":"Lindstedt","given":"Carita"}],"issued":{"date-parts":[["2018"]]}},"label":"page"},{"id":3480,"uris":["http://zotero.org/users/2671101/items/BSLTFVQE"],"uri":["http://zotero.org/users/2671101/items/BSLTFVQE"],"itemData":{"id":3480,"type":"article-journal","title":"Multiple modalities in insect warning displays have additive effects against wild avian predators","container-title":"Behavioral Ecology and Sociobiology","page":"37","volume":"73","issue":"3","source":"Springer Link","abstract":"Allocation to different components of defence has been suggested as an explanation for the existence of multiple aposematic morphs in a single population. We tested whether there are trade-offs between warning colouration and chemical defence or whether these have an additive effect when combined, using blue tits (Cyanistes caeruleus) as predators and the polymorphic wood tiger moth (Arctia plantaginis) as prey. We used artificial edible models (with and without the moths’ defensive fluids) with paper wings whose colour and pattern properties matched those of real moths. When the models were presented sans defensive fluids or when the fluids were presented without colour cues, we detected no differences in initial avoidance between the two morphs. However, when the colour and chemical cues were combined, differences emerged. White wings elicited higher latency to approach regardless of the defensive fluids applied on them. After approach, however, the defensive fluids of both morphs presented on moth models elicited higher latency to attack than a water control, hinting at a repellent odour. Fluids of white moths rendered lower amounts of prey eaten regardless of wing colour, while yellow moths’ fluids provoked the highest occurrence of beak wiping behaviour. Our findings highlight the importance of accounting for interactive effects between different signal modalities, as these can create patterns not detectable when examined in isolation. Understanding these interactions is vital to determine how different components of multimodal warning displays provide protection at different stages of a predation event and, potentially, how multiple morphs can co-occur in a population.Significance statementThere are many things that can stop a predator attacking a prey such as looking scary or smelling bad, but if a predator does take a bite, tasting bad can make the difference between life and death for the prey. When combined with bright conspicuous colours, both repellent odours and deterrent tastes (i.e. chemical defences) can help predators learn to avoid unprofitable prey. However, it is unclear whether it is really the sum of these visual and chemical signals that most effectively deters predators or whether one is more important than the other. Examining the effects of warning colour and chemical defence in white and yellow wood tiger moths on wild-caught birds, we show that neither aspect of the moths’ defence in isolation is as effective for predator deterrence as the sum of both.","DOI":"10.1007/s00265-019-2643-6","ISSN":"1432-0762","journalAbbreviation":"Behav Ecol Sociobiol","language":"en","author":[{"family":"Rojas","given":"Bibiana"},{"family":"Mappes","given":"Johanna"},{"family":"Burdfield-Steel","given":"Emily"}],"issued":{"date-parts":[["2019",2,26]]}},"label":"page"},{"id":3370,"uris":["http://zotero.org/users/2671101/items/WHBEAPEZ"],"uri":["http://zotero.org/users/2671101/items/WHBEAPEZ"],"itemData":{"id":3370,"type":"article-journal","title":"De novo Synthesis of Chemical Defenses in an Aposematic Moth","container-title":"Journal of Insect Science","page":"1-4","volume":"18","issue":"2","source":"academic.oup.com","abstract":"Abstract.  Many animals protect themselves from predation with chemicals, both self-made or sequestered from their diet. The potential drivers of the diversity","DOI":"10.1093/jisesa/iey020","journalAbbreviation":"J Insect Sci","language":"en","author":[{"family":"Burdfield-Steel","given":"Emily"},{"family":"Pakkanen","given":"Hannu"},{"family":"Rojas","given":"Bibiana"},{"family":"Galarza","given":"Juan A."},{"family":"Mappes","given":"Johanna"}],"issued":{"date-parts":[["2018",3,1]]}},"label":"page"}],"schema":"https://github.com/citation-style-language/schema/raw/master/csl-citation.json"}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sz w:val="24"/>
          <w:lang w:val="en-US"/>
        </w:rPr>
        <w:t>(Burdfield-Steel et al., 2018; Rojas et al., 2019, 2018, 2017)</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 xml:space="preserve">. More generally, methoxypyrazines act as warning odours in other insects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{"citationID":"aRlv4bzs","properties":{"formattedCitation":"\\uldash{(Rothschild, Moore &amp; Brown, 1984; Vencl et al., 2016)}","plainCitation":"(Rothschild, Moore &amp; Brown, 1984; Vencl et al., 2016)","dontUpdate":true,"noteIndex":0},"citationItems":[{"id":3373,"uris":["http://zotero.org/users/2671101/items/CJ8YYTF5"],"uri":["http://zotero.org/users/2671101/items/CJ8YYTF5"],"itemData":{"id":3373,"type":"article-journal","title":"Pyrazines as warning odour components in the Monarch butterfly, &lt;i&gt;Danaus plexippus&lt;/i&gt;, and in moths of the genera &lt;i&gt;Zygaena&lt;/i&gt; and &lt;i&gt;Amata &lt;/i&gt;(Lepidoptera)","container-title":"Biological Journal of the Linnean Society","page":"375-380","volume":"23","issue":"4","source":"Wiley Online Library","abstract":"2-Methoxy-3-alkylpyrazines have been identified as odour components in Danaus plexippus, Zygaena lonicerae and an Australian Amata species, by means of coupled gas chromatography/mass spectrometry, with selected ion monitoring. Wide variability in pyrazine content was observed with D. plexippus and this was correlated with similar variability in the larval food-plants, Asclepias spp., which are presumed to be the odour sources for this butterfly. The importance of pyrazines in the biology of aposematic insects and their role as ingredients of a generalized warning system are discussed.","DOI":"10.1111/j.1095-8312.1984.tb00153.x","ISSN":"1095-8312","language":"en","author":[{"family":"Rothschild","given":"Miriam"},{"family":"Moore","given":"Barry P."},{"family":"Brown","given":"W. Vance"}],"issued":{"date-parts":[["1984",12,1]]}},"label":"page"},{"id":3364,"uris":["http://zotero.org/users/2671101/items/NW8X7P6I"],"uri":["http://zotero.org/users/2671101/items/NW8X7P6I"],"itemData":{"id":3364,"type":"article-journal","title":"Pyrazine emission by a tropical firefly: An example of chemical aposematism?","container-title":"Biotropica","page":"645-655","volume":"48","issue":"5","source":"Wiley Online Library","abstract":"Although famous for photic courtship displays, fireflies (Coleoptera: Lampyridae) are also notable for emitting strong odors when molested. The identity of volatile emissions and their possible role, along with photic signals, as aposematic warnings of unpalatability have been little explored, especially in tropical species. Pursuant to the observation that the widespread Neotropical fireflies, Photuris trivittata and Bicellonycha amoena, emit pungent odors, glows, and flashes when handled, we investigated their cuticular and headspace chemistry. Gas chromatography–mass spectrometry analyses revealed that both fireflies have species-specific cuticular hydrocarbon profiles. Photuris trivittata headspace was dominated by 2-methoxy-3-(1-methylpropyl) pyrazine (hereafter, pyrazine), on the order of 1.59 ng/individual and a suite of sesquiterpenes, while B. amoena emitted 3-methoxy-2-butenoic acid methyl ester and a few ketones. This is the first report of such compounds in fireflies. We investigated the role of pyrazine in P. trivittata's interactions with potential predators: sympatric ants, toads, and bats. Solvent-washed P. trivittata painted with pyrazine incurred lower ant predation than did their solvent-washed counterparts. Pyrazine significantly repelled ants at baits in concentrations as low as 9.8 × 10−4 ng/μl. The toad, Rhinella marina, readily accepted intact fireflies, pyrazine-coated and uncoated mealworms. Both Myotis nigricans and Molossus molossus bats rejected fireflies, but accepted both pyrazine-coated and uncoated mealworms. While pyrazine repels ants, its role as an aposematic signal warning other potential predators of firefly distastefulness requires further investigation. Our results underscore the idea that multiple enemies exert conflicting selection on firefly defenses.","DOI":"10.1111/btp.12336","ISSN":"1744-7429","title-short":"Pyrazine emission by a tropical firefly","language":"fr","author":[{"family":"Vencl","given":"Fredric V."},{"family":"Ottens","given":"Kristina"},{"family":"Dixon","given":"Marjorie M."},{"family":"Candler","given":"Sarah"},{"family":"Bernal","given":"Ximena E."},{"family":"Estrada","given":"Catalina"},{"family":"Page","given":"Rachel A."}],"issued":{"date-parts":[["2016",9,1]]}},"label":"page"}],"schema":"https://github.com/citation-style-language/schema/raw/master/csl-citation.json"}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sz w:val="24"/>
          <w:lang w:val="en-US"/>
        </w:rPr>
        <w:t xml:space="preserve">(e.g. Lepidoptera, Rothschild, Moore &amp; Brown, 1984; fireflies, Vencl et al., </w:t>
      </w:r>
      <w:r w:rsidRPr="000224E9">
        <w:rPr>
          <w:rFonts w:ascii="Times New Roman" w:hAnsi="Times New Roman" w:cs="Times New Roman"/>
          <w:sz w:val="24"/>
          <w:lang w:val="en-US"/>
        </w:rPr>
        <w:lastRenderedPageBreak/>
        <w:t>2016)</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 xml:space="preserve">, effective against avian predators </w:t>
      </w:r>
      <w:r w:rsidRPr="000224E9">
        <w:rPr>
          <w:rFonts w:ascii="Times New Roman" w:hAnsi="Times New Roman" w:cs="Times New Roman"/>
          <w:sz w:val="24"/>
          <w:szCs w:val="24"/>
        </w:rPr>
        <w:fldChar w:fldCharType="begin"/>
      </w:r>
      <w:r w:rsidRPr="000224E9">
        <w:rPr>
          <w:rFonts w:ascii="Times New Roman" w:hAnsi="Times New Roman" w:cs="Times New Roman"/>
          <w:sz w:val="24"/>
          <w:szCs w:val="24"/>
        </w:rPr>
        <w:instrText xml:space="preserve"> ADDIN ZOTERO_ITEM CSL_CITATION {"citationID":"xykb7l2V","properties":{"formattedCitation":"(Guilford et al., 1987)","plainCitation":"(Guilford et al., 1987)","noteIndex":0},"citationItems":[{"id":3376,"uris":["http://zotero.org/users/2671101/items/3YLWTB7A"],"uri":["http://zotero.org/users/2671101/items/3YLWTB7A"],"itemData":{"id":3376,"type":"article-journal","title":"The biological roles of pyrazines: evidence for a warning odour function","container-title":"Biological Journal of the Linnean Society","page":"113-128","volume":"31","issue":"2","source":"Wiley Online Library","abstract":"Recently it has been shown that pyrazines are associated with many aposematic, chemically defended insects. We have demonstrated that naive hatchling chicks, when offered drinking water to which 2-methoxy-3-isobutylpyrazine is added, develop a neophobic ‘alerting’ reaction. The birds are not only capable of forming a conditioned aversion to the pyrazine when it is paired with quinine sulphate but they can also detect it from a distance probably by olfaction. This suggests that birds, a major group of insect predators, can interpret pyrazines as alerting or warning signals. The relationship of pyrazines with other alerting signals, and their evocative qualities are discussed.","DOI":"10.1111/j.1095-8312.1987.tb01984.x","ISSN":"1095-8312","title-short":"The biological roles of pyrazines","language":"en","author":[{"family":"Guilford","given":"Tim"},{"family":"Nicol","given":"Christine"},{"family":"Rothschild","given":"Miriam"},{"family":"Moore","given":"Barry P."}],"issued":{"date-parts":[["1987",6,1]]}}}],"schema":"https://github.com/citation-style-language/schema/raw/master/csl-citation.json"} </w:instrText>
      </w:r>
      <w:r w:rsidRPr="000224E9">
        <w:rPr>
          <w:rFonts w:ascii="Times New Roman" w:hAnsi="Times New Roman" w:cs="Times New Roman"/>
          <w:sz w:val="24"/>
          <w:szCs w:val="24"/>
        </w:rPr>
        <w:fldChar w:fldCharType="separate"/>
      </w:r>
      <w:r w:rsidRPr="000224E9">
        <w:rPr>
          <w:rFonts w:ascii="Times New Roman" w:hAnsi="Times New Roman" w:cs="Times New Roman"/>
          <w:sz w:val="24"/>
          <w:lang w:val="en-US"/>
        </w:rPr>
        <w:t>(Guilford et al., 1987)</w:t>
      </w:r>
      <w:r w:rsidRPr="000224E9">
        <w:rPr>
          <w:rFonts w:ascii="Times New Roman" w:hAnsi="Times New Roman" w:cs="Times New Roman"/>
          <w:sz w:val="24"/>
          <w:szCs w:val="24"/>
        </w:rPr>
        <w:fldChar w:fldCharType="end"/>
      </w:r>
      <w:r w:rsidRPr="000224E9">
        <w:rPr>
          <w:rFonts w:ascii="Times New Roman" w:hAnsi="Times New Roman" w:cs="Times New Roman"/>
          <w:sz w:val="24"/>
          <w:szCs w:val="24"/>
        </w:rPr>
        <w:t xml:space="preserve">. Further investigation will be required to determine if odours of </w:t>
      </w:r>
      <w:proofErr w:type="spellStart"/>
      <w:r w:rsidRPr="000224E9">
        <w:rPr>
          <w:rFonts w:ascii="Times New Roman" w:hAnsi="Times New Roman" w:cs="Times New Roman"/>
          <w:i/>
          <w:iCs/>
          <w:sz w:val="24"/>
          <w:szCs w:val="24"/>
        </w:rPr>
        <w:t>Heliconius</w:t>
      </w:r>
      <w:proofErr w:type="spellEnd"/>
      <w:r w:rsidRPr="000224E9">
        <w:rPr>
          <w:rFonts w:ascii="Times New Roman" w:hAnsi="Times New Roman" w:cs="Times New Roman"/>
          <w:i/>
          <w:iCs/>
          <w:sz w:val="24"/>
          <w:szCs w:val="24"/>
        </w:rPr>
        <w:t xml:space="preserve"> </w:t>
      </w:r>
      <w:r w:rsidRPr="000224E9">
        <w:rPr>
          <w:rFonts w:ascii="Times New Roman" w:hAnsi="Times New Roman" w:cs="Times New Roman"/>
          <w:sz w:val="24"/>
          <w:szCs w:val="24"/>
        </w:rPr>
        <w:t xml:space="preserve">butterflies act as anti-predation signals. </w:t>
      </w:r>
    </w:p>
    <w:p w:rsidR="00A7633C" w:rsidRPr="000224E9" w:rsidRDefault="00A7633C" w:rsidP="00A7633C">
      <w:pPr>
        <w:spacing w:after="120" w:line="480" w:lineRule="auto"/>
        <w:ind w:firstLine="720"/>
        <w:rPr>
          <w:rFonts w:ascii="Times New Roman" w:hAnsi="Times New Roman" w:cs="Times New Roman"/>
          <w:sz w:val="24"/>
          <w:szCs w:val="24"/>
        </w:rPr>
      </w:pPr>
      <w:r w:rsidRPr="000224E9">
        <w:rPr>
          <w:rFonts w:ascii="Times New Roman" w:hAnsi="Times New Roman" w:cs="Times New Roman"/>
          <w:sz w:val="24"/>
          <w:szCs w:val="24"/>
        </w:rPr>
        <w:t xml:space="preserve">Overall, our study reveals strong species differences in bouquets and the presence of species-specific compounds, as well as intraspecific variation. A pattern of species-specificity alongside intraspecific variation could be the result of a balance between stabilising selection towards a species stereotype, sexual selection promoting diversity, and geographic segregation alongside selection and drift. A challenge for the field is the feasibility of testing for the biological relevance of hundreds of compounds in many species, but we hope that our innovative analysis will stimulate not only further targeted functional studies of putatively important compounds, but also large chemical profile surveys in other study systems of evolutionary interest. </w:t>
      </w:r>
    </w:p>
    <w:p w:rsidR="00A7633C" w:rsidRPr="000224E9" w:rsidRDefault="00A7633C" w:rsidP="00A7633C">
      <w:pPr>
        <w:spacing w:after="120" w:line="480" w:lineRule="auto"/>
        <w:rPr>
          <w:rFonts w:ascii="Times New Roman" w:hAnsi="Times New Roman" w:cs="Times New Roman"/>
          <w:b/>
          <w:bCs/>
          <w:sz w:val="28"/>
          <w:szCs w:val="28"/>
        </w:rPr>
      </w:pPr>
      <w:r w:rsidRPr="000224E9">
        <w:rPr>
          <w:rFonts w:ascii="Times New Roman" w:hAnsi="Times New Roman" w:cs="Times New Roman"/>
          <w:b/>
          <w:bCs/>
          <w:sz w:val="28"/>
          <w:szCs w:val="28"/>
        </w:rPr>
        <w:t>Acknowledgements</w:t>
      </w:r>
    </w:p>
    <w:p w:rsidR="00A7633C" w:rsidRPr="000224E9" w:rsidRDefault="00A7633C" w:rsidP="00A7633C">
      <w:pPr>
        <w:spacing w:after="0" w:line="480" w:lineRule="auto"/>
        <w:rPr>
          <w:rFonts w:ascii="Times New Roman" w:eastAsia="MS Mincho" w:hAnsi="Times New Roman" w:cs="Times New Roman"/>
          <w:color w:val="000000"/>
          <w:sz w:val="24"/>
          <w:szCs w:val="24"/>
        </w:rPr>
      </w:pPr>
      <w:r w:rsidRPr="000224E9">
        <w:rPr>
          <w:rFonts w:ascii="Times New Roman" w:eastAsia="MS Mincho" w:hAnsi="Times New Roman" w:cs="Times New Roman"/>
          <w:color w:val="000000"/>
          <w:sz w:val="24"/>
          <w:szCs w:val="24"/>
        </w:rPr>
        <w:t>KD and GMK were supported by Natural Research Council Doctoral Training Partnership (NE/L002507/1) and KD was additionally supported by a Smithsonian Tropical Research Institute Short Term Fellowship KMK was funded by a Smithsonian Institution Fellowship.</w:t>
      </w:r>
      <w:r w:rsidRPr="000224E9">
        <w:rPr>
          <w:rFonts w:ascii="Times New Roman" w:eastAsia="Times New Roman" w:hAnsi="Times New Roman" w:cs="Times New Roman"/>
          <w:sz w:val="24"/>
          <w:szCs w:val="24"/>
        </w:rPr>
        <w:t xml:space="preserve"> CRM was supported by a Smithsonian Tropical Research Institute Short Term Fellowship and Predoctoral Fellowship. </w:t>
      </w:r>
      <w:r w:rsidRPr="000224E9">
        <w:rPr>
          <w:rFonts w:ascii="Times New Roman" w:hAnsi="Times New Roman" w:cs="Times New Roman"/>
          <w:color w:val="000000"/>
          <w:sz w:val="24"/>
          <w:szCs w:val="24"/>
        </w:rPr>
        <w:t xml:space="preserve">This study was financed in part by the </w:t>
      </w:r>
      <w:proofErr w:type="spellStart"/>
      <w:r w:rsidRPr="000224E9">
        <w:rPr>
          <w:rFonts w:ascii="Times New Roman" w:hAnsi="Times New Roman" w:cs="Times New Roman"/>
          <w:color w:val="000000"/>
          <w:sz w:val="24"/>
          <w:szCs w:val="24"/>
        </w:rPr>
        <w:t>Coordenação</w:t>
      </w:r>
      <w:proofErr w:type="spellEnd"/>
      <w:r w:rsidRPr="000224E9">
        <w:rPr>
          <w:rFonts w:ascii="Times New Roman" w:hAnsi="Times New Roman" w:cs="Times New Roman"/>
          <w:color w:val="000000"/>
          <w:sz w:val="24"/>
          <w:szCs w:val="24"/>
        </w:rPr>
        <w:t xml:space="preserve"> de </w:t>
      </w:r>
      <w:proofErr w:type="spellStart"/>
      <w:r w:rsidRPr="000224E9">
        <w:rPr>
          <w:rFonts w:ascii="Times New Roman" w:hAnsi="Times New Roman" w:cs="Times New Roman"/>
          <w:color w:val="000000"/>
          <w:sz w:val="24"/>
          <w:szCs w:val="24"/>
        </w:rPr>
        <w:t>Aperfeiçoamento</w:t>
      </w:r>
      <w:proofErr w:type="spellEnd"/>
      <w:r w:rsidRPr="000224E9">
        <w:rPr>
          <w:rFonts w:ascii="Times New Roman" w:hAnsi="Times New Roman" w:cs="Times New Roman"/>
          <w:color w:val="000000"/>
          <w:sz w:val="24"/>
          <w:szCs w:val="24"/>
        </w:rPr>
        <w:t xml:space="preserve"> de </w:t>
      </w:r>
      <w:proofErr w:type="spellStart"/>
      <w:r w:rsidRPr="000224E9">
        <w:rPr>
          <w:rFonts w:ascii="Times New Roman" w:hAnsi="Times New Roman" w:cs="Times New Roman"/>
          <w:color w:val="000000"/>
          <w:sz w:val="24"/>
          <w:szCs w:val="24"/>
        </w:rPr>
        <w:t>Pessoal</w:t>
      </w:r>
      <w:proofErr w:type="spellEnd"/>
      <w:r w:rsidRPr="000224E9">
        <w:rPr>
          <w:rFonts w:ascii="Times New Roman" w:hAnsi="Times New Roman" w:cs="Times New Roman"/>
          <w:color w:val="000000"/>
          <w:sz w:val="24"/>
          <w:szCs w:val="24"/>
        </w:rPr>
        <w:t xml:space="preserve"> de </w:t>
      </w:r>
      <w:proofErr w:type="spellStart"/>
      <w:r w:rsidRPr="000224E9">
        <w:rPr>
          <w:rFonts w:ascii="Times New Roman" w:hAnsi="Times New Roman" w:cs="Times New Roman"/>
          <w:color w:val="000000"/>
          <w:sz w:val="24"/>
          <w:szCs w:val="24"/>
        </w:rPr>
        <w:t>Nível</w:t>
      </w:r>
      <w:proofErr w:type="spellEnd"/>
      <w:r w:rsidRPr="000224E9">
        <w:rPr>
          <w:rFonts w:ascii="Times New Roman" w:hAnsi="Times New Roman" w:cs="Times New Roman"/>
          <w:color w:val="000000"/>
          <w:sz w:val="24"/>
          <w:szCs w:val="24"/>
        </w:rPr>
        <w:t xml:space="preserve"> Superior – </w:t>
      </w:r>
      <w:proofErr w:type="spellStart"/>
      <w:r w:rsidRPr="000224E9">
        <w:rPr>
          <w:rFonts w:ascii="Times New Roman" w:hAnsi="Times New Roman" w:cs="Times New Roman"/>
          <w:color w:val="000000"/>
          <w:sz w:val="24"/>
          <w:szCs w:val="24"/>
        </w:rPr>
        <w:t>Brasil</w:t>
      </w:r>
      <w:proofErr w:type="spellEnd"/>
      <w:r w:rsidRPr="000224E9">
        <w:rPr>
          <w:rFonts w:ascii="Times New Roman" w:hAnsi="Times New Roman" w:cs="Times New Roman"/>
          <w:color w:val="000000"/>
          <w:sz w:val="24"/>
          <w:szCs w:val="24"/>
        </w:rPr>
        <w:t xml:space="preserve"> (CAPES) – Finance Code 001 </w:t>
      </w:r>
      <w:r w:rsidRPr="000224E9">
        <w:rPr>
          <w:rFonts w:ascii="Times New Roman" w:eastAsia="Times New Roman" w:hAnsi="Times New Roman" w:cs="Times New Roman"/>
          <w:color w:val="000000"/>
          <w:sz w:val="24"/>
          <w:szCs w:val="24"/>
        </w:rPr>
        <w:t>(MSc Scholarship for CMEF)</w:t>
      </w:r>
      <w:r w:rsidRPr="000224E9">
        <w:rPr>
          <w:rFonts w:ascii="Times New Roman" w:hAnsi="Times New Roman" w:cs="Times New Roman"/>
          <w:color w:val="000000"/>
          <w:sz w:val="24"/>
          <w:szCs w:val="24"/>
        </w:rPr>
        <w:t>.</w:t>
      </w:r>
      <w:r w:rsidRPr="000224E9">
        <w:rPr>
          <w:rFonts w:ascii="Times New Roman" w:eastAsia="Times New Roman" w:hAnsi="Times New Roman" w:cs="Times New Roman"/>
          <w:sz w:val="24"/>
          <w:szCs w:val="24"/>
        </w:rPr>
        <w:t xml:space="preserve"> CMEF was also funded by a </w:t>
      </w:r>
      <w:proofErr w:type="spellStart"/>
      <w:r w:rsidRPr="000224E9">
        <w:rPr>
          <w:rFonts w:ascii="Times New Roman" w:eastAsia="Times New Roman" w:hAnsi="Times New Roman" w:cs="Times New Roman"/>
          <w:sz w:val="24"/>
          <w:szCs w:val="24"/>
        </w:rPr>
        <w:t>Smithonsian</w:t>
      </w:r>
      <w:proofErr w:type="spellEnd"/>
      <w:r w:rsidRPr="000224E9">
        <w:rPr>
          <w:rFonts w:ascii="Times New Roman" w:eastAsia="Times New Roman" w:hAnsi="Times New Roman" w:cs="Times New Roman"/>
          <w:sz w:val="24"/>
          <w:szCs w:val="24"/>
        </w:rPr>
        <w:t xml:space="preserve"> Tropical Research institute Short Term Fellowship.</w:t>
      </w:r>
      <w:r w:rsidRPr="000224E9">
        <w:rPr>
          <w:rFonts w:ascii="Times New Roman" w:eastAsia="MS Mincho" w:hAnsi="Times New Roman" w:cs="Times New Roman"/>
          <w:color w:val="000000"/>
          <w:sz w:val="24"/>
          <w:szCs w:val="24"/>
        </w:rPr>
        <w:t xml:space="preserve"> CS was funded by COLCIENCIAS (FP44842-5-2017). ML was supported by research funds from Universidad del Rosario. KJRPB and CDJ were supported by the European Research Council (339873 </w:t>
      </w:r>
      <w:proofErr w:type="spellStart"/>
      <w:r w:rsidRPr="000224E9">
        <w:rPr>
          <w:rFonts w:ascii="Times New Roman" w:eastAsia="MS Mincho" w:hAnsi="Times New Roman" w:cs="Times New Roman"/>
          <w:color w:val="000000"/>
          <w:sz w:val="24"/>
          <w:szCs w:val="24"/>
        </w:rPr>
        <w:t>SpeciationGenetics</w:t>
      </w:r>
      <w:proofErr w:type="spellEnd"/>
      <w:r w:rsidRPr="000224E9">
        <w:rPr>
          <w:rFonts w:ascii="Times New Roman" w:eastAsia="MS Mincho" w:hAnsi="Times New Roman" w:cs="Times New Roman"/>
          <w:color w:val="000000"/>
          <w:sz w:val="24"/>
          <w:szCs w:val="24"/>
        </w:rPr>
        <w:t xml:space="preserve">). RMM was supported by an DFG Emmy </w:t>
      </w:r>
      <w:proofErr w:type="spellStart"/>
      <w:r w:rsidRPr="000224E9">
        <w:rPr>
          <w:rFonts w:ascii="Times New Roman" w:eastAsia="MS Mincho" w:hAnsi="Times New Roman" w:cs="Times New Roman"/>
          <w:color w:val="000000"/>
          <w:sz w:val="24"/>
          <w:szCs w:val="24"/>
        </w:rPr>
        <w:t>Noether</w:t>
      </w:r>
      <w:proofErr w:type="spellEnd"/>
      <w:r w:rsidRPr="000224E9">
        <w:rPr>
          <w:rFonts w:ascii="Times New Roman" w:eastAsia="MS Mincho" w:hAnsi="Times New Roman" w:cs="Times New Roman"/>
          <w:color w:val="000000"/>
          <w:sz w:val="24"/>
          <w:szCs w:val="24"/>
        </w:rPr>
        <w:t xml:space="preserve"> fellowship. WOM was supported by the Smithsonian Tropical Research Institute and NSF (DEB 1257689).</w:t>
      </w:r>
      <w:r w:rsidRPr="000224E9">
        <w:rPr>
          <w:rFonts w:ascii="Times New Roman" w:hAnsi="Times New Roman" w:cs="Times New Roman"/>
        </w:rPr>
        <w:t xml:space="preserve"> </w:t>
      </w:r>
      <w:r w:rsidRPr="000224E9">
        <w:rPr>
          <w:rFonts w:ascii="Times New Roman" w:eastAsia="MS Mincho" w:hAnsi="Times New Roman" w:cs="Times New Roman"/>
          <w:color w:val="000000"/>
          <w:sz w:val="24"/>
          <w:szCs w:val="24"/>
          <w:lang w:val="de-DE"/>
        </w:rPr>
        <w:t xml:space="preserve">SS </w:t>
      </w:r>
      <w:proofErr w:type="spellStart"/>
      <w:r w:rsidRPr="000224E9">
        <w:rPr>
          <w:rFonts w:ascii="Times New Roman" w:eastAsia="MS Mincho" w:hAnsi="Times New Roman" w:cs="Times New Roman"/>
          <w:color w:val="000000"/>
          <w:sz w:val="24"/>
          <w:szCs w:val="24"/>
          <w:lang w:val="de-DE"/>
        </w:rPr>
        <w:t>thanks</w:t>
      </w:r>
      <w:proofErr w:type="spellEnd"/>
      <w:r w:rsidRPr="000224E9">
        <w:rPr>
          <w:rFonts w:ascii="Times New Roman" w:eastAsia="MS Mincho" w:hAnsi="Times New Roman" w:cs="Times New Roman"/>
          <w:color w:val="000000"/>
          <w:sz w:val="24"/>
          <w:szCs w:val="24"/>
          <w:lang w:val="de-DE"/>
        </w:rPr>
        <w:t xml:space="preserve"> </w:t>
      </w:r>
      <w:proofErr w:type="spellStart"/>
      <w:r w:rsidRPr="000224E9">
        <w:rPr>
          <w:rFonts w:ascii="Times New Roman" w:eastAsia="MS Mincho" w:hAnsi="Times New Roman" w:cs="Times New Roman"/>
          <w:color w:val="000000"/>
          <w:sz w:val="24"/>
          <w:szCs w:val="24"/>
          <w:lang w:val="de-DE"/>
        </w:rPr>
        <w:t>the</w:t>
      </w:r>
      <w:proofErr w:type="spellEnd"/>
      <w:r w:rsidRPr="000224E9">
        <w:rPr>
          <w:rFonts w:ascii="Times New Roman" w:eastAsia="MS Mincho" w:hAnsi="Times New Roman" w:cs="Times New Roman"/>
          <w:color w:val="000000"/>
          <w:sz w:val="24"/>
          <w:szCs w:val="24"/>
          <w:lang w:val="de-DE"/>
        </w:rPr>
        <w:t xml:space="preserve"> Deutsche Forschungsgemeinschaft (DFG) </w:t>
      </w:r>
      <w:proofErr w:type="spellStart"/>
      <w:r w:rsidRPr="000224E9">
        <w:rPr>
          <w:rFonts w:ascii="Times New Roman" w:eastAsia="MS Mincho" w:hAnsi="Times New Roman" w:cs="Times New Roman"/>
          <w:color w:val="000000"/>
          <w:sz w:val="24"/>
          <w:szCs w:val="24"/>
          <w:lang w:val="de-DE"/>
        </w:rPr>
        <w:lastRenderedPageBreak/>
        <w:t>for</w:t>
      </w:r>
      <w:proofErr w:type="spellEnd"/>
      <w:r w:rsidRPr="000224E9">
        <w:rPr>
          <w:rFonts w:ascii="Times New Roman" w:eastAsia="MS Mincho" w:hAnsi="Times New Roman" w:cs="Times New Roman"/>
          <w:color w:val="000000"/>
          <w:sz w:val="24"/>
          <w:szCs w:val="24"/>
          <w:lang w:val="de-DE"/>
        </w:rPr>
        <w:t xml:space="preserve"> </w:t>
      </w:r>
      <w:proofErr w:type="spellStart"/>
      <w:r w:rsidRPr="000224E9">
        <w:rPr>
          <w:rFonts w:ascii="Times New Roman" w:eastAsia="MS Mincho" w:hAnsi="Times New Roman" w:cs="Times New Roman"/>
          <w:color w:val="000000"/>
          <w:sz w:val="24"/>
          <w:szCs w:val="24"/>
          <w:lang w:val="de-DE"/>
        </w:rPr>
        <w:t>support</w:t>
      </w:r>
      <w:proofErr w:type="spellEnd"/>
      <w:r w:rsidRPr="000224E9">
        <w:rPr>
          <w:rFonts w:ascii="Times New Roman" w:eastAsia="MS Mincho" w:hAnsi="Times New Roman" w:cs="Times New Roman"/>
          <w:color w:val="000000"/>
          <w:sz w:val="24"/>
          <w:szCs w:val="24"/>
          <w:lang w:val="de-DE"/>
        </w:rPr>
        <w:t xml:space="preserve"> </w:t>
      </w:r>
      <w:proofErr w:type="spellStart"/>
      <w:r w:rsidRPr="000224E9">
        <w:rPr>
          <w:rFonts w:ascii="Times New Roman" w:eastAsia="MS Mincho" w:hAnsi="Times New Roman" w:cs="Times New Roman"/>
          <w:color w:val="000000"/>
          <w:sz w:val="24"/>
          <w:szCs w:val="24"/>
          <w:lang w:val="de-DE"/>
        </w:rPr>
        <w:t>through</w:t>
      </w:r>
      <w:proofErr w:type="spellEnd"/>
      <w:r w:rsidRPr="000224E9">
        <w:rPr>
          <w:rFonts w:ascii="Times New Roman" w:eastAsia="MS Mincho" w:hAnsi="Times New Roman" w:cs="Times New Roman"/>
          <w:color w:val="000000"/>
          <w:sz w:val="24"/>
          <w:szCs w:val="24"/>
          <w:lang w:val="de-DE"/>
        </w:rPr>
        <w:t xml:space="preserve"> </w:t>
      </w:r>
      <w:proofErr w:type="spellStart"/>
      <w:r w:rsidRPr="000224E9">
        <w:rPr>
          <w:rFonts w:ascii="Times New Roman" w:eastAsia="MS Mincho" w:hAnsi="Times New Roman" w:cs="Times New Roman"/>
          <w:color w:val="000000"/>
          <w:sz w:val="24"/>
          <w:szCs w:val="24"/>
          <w:lang w:val="de-DE"/>
        </w:rPr>
        <w:t>grant</w:t>
      </w:r>
      <w:proofErr w:type="spellEnd"/>
      <w:r w:rsidRPr="000224E9">
        <w:rPr>
          <w:rFonts w:ascii="Times New Roman" w:eastAsia="MS Mincho" w:hAnsi="Times New Roman" w:cs="Times New Roman"/>
          <w:color w:val="000000"/>
          <w:sz w:val="24"/>
          <w:szCs w:val="24"/>
          <w:lang w:val="de-DE"/>
        </w:rPr>
        <w:t xml:space="preserve"> Schu984/12-1. </w:t>
      </w:r>
      <w:r w:rsidR="003271FB" w:rsidRPr="003271FB">
        <w:rPr>
          <w:rFonts w:ascii="Times New Roman" w:eastAsia="MS Mincho" w:hAnsi="Times New Roman" w:cs="Times New Roman"/>
          <w:color w:val="000000"/>
          <w:sz w:val="24"/>
          <w:szCs w:val="24"/>
        </w:rPr>
        <w:t>We thank Emma Curran and Nicola Nad</w:t>
      </w:r>
      <w:r w:rsidR="003271FB">
        <w:rPr>
          <w:rFonts w:ascii="Times New Roman" w:eastAsia="MS Mincho" w:hAnsi="Times New Roman" w:cs="Times New Roman"/>
          <w:color w:val="000000"/>
          <w:sz w:val="24"/>
          <w:szCs w:val="24"/>
        </w:rPr>
        <w:t xml:space="preserve">eau for sharing of data. </w:t>
      </w:r>
      <w:r w:rsidRPr="000224E9">
        <w:rPr>
          <w:rFonts w:ascii="Times New Roman" w:eastAsia="MS Mincho" w:hAnsi="Times New Roman" w:cs="Times New Roman"/>
          <w:color w:val="000000"/>
          <w:sz w:val="24"/>
          <w:szCs w:val="24"/>
        </w:rPr>
        <w:t xml:space="preserve">The authors have no conflicts of interest to declare. </w:t>
      </w:r>
    </w:p>
    <w:p w:rsidR="00A7633C" w:rsidRPr="000224E9" w:rsidRDefault="00A7633C" w:rsidP="00A7633C">
      <w:pPr>
        <w:spacing w:after="120" w:line="480" w:lineRule="auto"/>
        <w:rPr>
          <w:rFonts w:ascii="Times New Roman" w:hAnsi="Times New Roman" w:cs="Times New Roman"/>
          <w:b/>
          <w:bCs/>
          <w:sz w:val="28"/>
          <w:szCs w:val="28"/>
        </w:rPr>
      </w:pPr>
      <w:r w:rsidRPr="000224E9">
        <w:rPr>
          <w:rFonts w:ascii="Times New Roman" w:hAnsi="Times New Roman" w:cs="Times New Roman"/>
          <w:b/>
          <w:bCs/>
          <w:sz w:val="28"/>
          <w:szCs w:val="28"/>
        </w:rPr>
        <w:br w:type="page"/>
      </w:r>
    </w:p>
    <w:p w:rsidR="00A7633C" w:rsidRPr="000224E9" w:rsidRDefault="00A7633C" w:rsidP="00A7633C">
      <w:pPr>
        <w:spacing w:after="120" w:line="480" w:lineRule="auto"/>
        <w:rPr>
          <w:rFonts w:ascii="Times New Roman" w:hAnsi="Times New Roman" w:cs="Times New Roman"/>
          <w:b/>
          <w:bCs/>
          <w:sz w:val="28"/>
          <w:szCs w:val="28"/>
        </w:rPr>
      </w:pPr>
      <w:r w:rsidRPr="000224E9">
        <w:rPr>
          <w:rFonts w:ascii="Times New Roman" w:hAnsi="Times New Roman" w:cs="Times New Roman"/>
          <w:b/>
          <w:bCs/>
          <w:sz w:val="28"/>
          <w:szCs w:val="28"/>
        </w:rPr>
        <w:lastRenderedPageBreak/>
        <w:t>Author contributions</w:t>
      </w:r>
    </w:p>
    <w:p w:rsidR="00A7633C" w:rsidRPr="000224E9" w:rsidRDefault="00A7633C" w:rsidP="00A7633C">
      <w:pPr>
        <w:spacing w:after="0" w:line="480" w:lineRule="auto"/>
        <w:rPr>
          <w:rFonts w:ascii="Times New Roman" w:hAnsi="Times New Roman" w:cs="Times New Roman"/>
          <w:b/>
          <w:bCs/>
          <w:sz w:val="28"/>
          <w:szCs w:val="28"/>
        </w:rPr>
      </w:pPr>
      <w:r w:rsidRPr="000224E9">
        <w:rPr>
          <w:rFonts w:ascii="Times New Roman" w:eastAsia="MS Mincho" w:hAnsi="Times New Roman" w:cs="Times New Roman"/>
          <w:color w:val="000000"/>
          <w:sz w:val="24"/>
          <w:szCs w:val="24"/>
        </w:rPr>
        <w:t>Kathy Darragh, Gabriela Montejo-</w:t>
      </w:r>
      <w:proofErr w:type="spellStart"/>
      <w:r w:rsidRPr="000224E9">
        <w:rPr>
          <w:rFonts w:ascii="Times New Roman" w:eastAsia="MS Mincho" w:hAnsi="Times New Roman" w:cs="Times New Roman"/>
          <w:color w:val="000000"/>
          <w:sz w:val="24"/>
          <w:szCs w:val="24"/>
        </w:rPr>
        <w:t>Kovacevich</w:t>
      </w:r>
      <w:proofErr w:type="spellEnd"/>
      <w:r w:rsidRPr="000224E9">
        <w:rPr>
          <w:rFonts w:ascii="Times New Roman" w:eastAsia="MS Mincho" w:hAnsi="Times New Roman" w:cs="Times New Roman"/>
          <w:color w:val="000000"/>
          <w:sz w:val="24"/>
          <w:szCs w:val="24"/>
        </w:rPr>
        <w:t xml:space="preserve">, Krzysztof Kozak, Colin Morrison, Owen McMillan, Clarisse </w:t>
      </w:r>
      <w:proofErr w:type="spellStart"/>
      <w:r w:rsidRPr="000224E9">
        <w:rPr>
          <w:rFonts w:ascii="Times New Roman" w:eastAsia="MS Mincho" w:hAnsi="Times New Roman" w:cs="Times New Roman"/>
          <w:color w:val="000000"/>
          <w:sz w:val="24"/>
          <w:szCs w:val="24"/>
        </w:rPr>
        <w:t>Figueiredo</w:t>
      </w:r>
      <w:proofErr w:type="spellEnd"/>
      <w:r w:rsidRPr="000224E9">
        <w:rPr>
          <w:rFonts w:ascii="Times New Roman" w:eastAsia="MS Mincho" w:hAnsi="Times New Roman" w:cs="Times New Roman"/>
          <w:color w:val="000000"/>
          <w:sz w:val="24"/>
          <w:szCs w:val="24"/>
        </w:rPr>
        <w:t xml:space="preserve">, Jonathan Ready, Camilo Salazar, Mauricio Linares and Chris </w:t>
      </w:r>
      <w:proofErr w:type="spellStart"/>
      <w:r w:rsidRPr="000224E9">
        <w:rPr>
          <w:rFonts w:ascii="Times New Roman" w:eastAsia="MS Mincho" w:hAnsi="Times New Roman" w:cs="Times New Roman"/>
          <w:color w:val="000000"/>
          <w:sz w:val="24"/>
          <w:szCs w:val="24"/>
        </w:rPr>
        <w:t>Jiggins</w:t>
      </w:r>
      <w:proofErr w:type="spellEnd"/>
      <w:r w:rsidRPr="000224E9">
        <w:rPr>
          <w:rFonts w:ascii="Times New Roman" w:eastAsia="MS Mincho" w:hAnsi="Times New Roman" w:cs="Times New Roman"/>
          <w:color w:val="000000"/>
          <w:sz w:val="24"/>
          <w:szCs w:val="24"/>
        </w:rPr>
        <w:t xml:space="preserve"> collected samples. Kathy Darragh wrote the manuscript and analysed the data. Stefan Schulz assisted with the chemical analysis. Gabriela Montejo-</w:t>
      </w:r>
      <w:proofErr w:type="spellStart"/>
      <w:r w:rsidRPr="000224E9">
        <w:rPr>
          <w:rFonts w:ascii="Times New Roman" w:eastAsia="MS Mincho" w:hAnsi="Times New Roman" w:cs="Times New Roman"/>
          <w:color w:val="000000"/>
          <w:sz w:val="24"/>
          <w:szCs w:val="24"/>
        </w:rPr>
        <w:t>Kovacevich</w:t>
      </w:r>
      <w:proofErr w:type="spellEnd"/>
      <w:r w:rsidRPr="000224E9">
        <w:rPr>
          <w:rFonts w:ascii="Times New Roman" w:eastAsia="MS Mincho" w:hAnsi="Times New Roman" w:cs="Times New Roman"/>
          <w:color w:val="000000"/>
          <w:sz w:val="24"/>
          <w:szCs w:val="24"/>
        </w:rPr>
        <w:t xml:space="preserve"> created the intraspecific genetic distance matrices. Richard Merrill, Owen McMillan, Kelsey Byers and Chris </w:t>
      </w:r>
      <w:proofErr w:type="spellStart"/>
      <w:r w:rsidRPr="000224E9">
        <w:rPr>
          <w:rFonts w:ascii="Times New Roman" w:eastAsia="MS Mincho" w:hAnsi="Times New Roman" w:cs="Times New Roman"/>
          <w:color w:val="000000"/>
          <w:sz w:val="24"/>
          <w:szCs w:val="24"/>
        </w:rPr>
        <w:t>Jiggins</w:t>
      </w:r>
      <w:proofErr w:type="spellEnd"/>
      <w:r w:rsidRPr="000224E9">
        <w:rPr>
          <w:rFonts w:ascii="Times New Roman" w:eastAsia="MS Mincho" w:hAnsi="Times New Roman" w:cs="Times New Roman"/>
          <w:color w:val="000000"/>
          <w:sz w:val="24"/>
          <w:szCs w:val="24"/>
        </w:rPr>
        <w:t xml:space="preserve"> contributed to project design. All authors contributed to manuscript revisions.</w:t>
      </w:r>
    </w:p>
    <w:p w:rsidR="000D509B" w:rsidRPr="000224E9" w:rsidRDefault="000D509B" w:rsidP="000D509B">
      <w:pPr>
        <w:spacing w:after="0" w:line="480" w:lineRule="auto"/>
        <w:rPr>
          <w:rFonts w:ascii="Times New Roman" w:eastAsia="MS Mincho" w:hAnsi="Times New Roman" w:cs="Times New Roman"/>
          <w:color w:val="000000"/>
          <w:sz w:val="24"/>
          <w:szCs w:val="24"/>
        </w:rPr>
      </w:pPr>
      <w:r w:rsidRPr="000224E9">
        <w:rPr>
          <w:rFonts w:ascii="Times New Roman" w:hAnsi="Times New Roman" w:cs="Times New Roman"/>
          <w:b/>
          <w:bCs/>
          <w:sz w:val="28"/>
          <w:szCs w:val="28"/>
        </w:rPr>
        <w:t>Data availability</w:t>
      </w:r>
    </w:p>
    <w:p w:rsidR="000D509B" w:rsidRPr="000224E9" w:rsidRDefault="000D509B" w:rsidP="000D509B">
      <w:pPr>
        <w:spacing w:after="120" w:line="480" w:lineRule="auto"/>
        <w:rPr>
          <w:rFonts w:ascii="Times New Roman" w:hAnsi="Times New Roman" w:cs="Times New Roman"/>
          <w:color w:val="FF0000"/>
          <w:sz w:val="24"/>
          <w:szCs w:val="24"/>
        </w:rPr>
      </w:pPr>
      <w:r>
        <w:rPr>
          <w:rFonts w:ascii="Times New Roman" w:eastAsia="Times New Roman" w:hAnsi="Times New Roman" w:cs="Times New Roman"/>
          <w:color w:val="000000"/>
          <w:sz w:val="24"/>
          <w:szCs w:val="24"/>
        </w:rPr>
        <w:t>Sequencing data is</w:t>
      </w:r>
      <w:r>
        <w:rPr>
          <w:rFonts w:ascii="Times New Roman" w:eastAsia="Times New Roman" w:hAnsi="Times New Roman" w:cs="Times New Roman"/>
          <w:color w:val="000000"/>
          <w:sz w:val="24"/>
          <w:szCs w:val="24"/>
        </w:rPr>
        <w:t xml:space="preserve"> available from ENA under accession number </w:t>
      </w:r>
      <w:r w:rsidRPr="00240D4E">
        <w:rPr>
          <w:rFonts w:ascii="Times New Roman" w:eastAsia="Times New Roman" w:hAnsi="Times New Roman" w:cs="Times New Roman"/>
          <w:color w:val="000000"/>
          <w:sz w:val="24"/>
          <w:szCs w:val="24"/>
        </w:rPr>
        <w:t>PRJEB35570</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Other data supporting the findings of this study including </w:t>
      </w:r>
      <w:r>
        <w:rPr>
          <w:rFonts w:ascii="Times New Roman" w:eastAsia="Times New Roman" w:hAnsi="Times New Roman" w:cs="Times New Roman"/>
          <w:color w:val="000000"/>
          <w:sz w:val="24"/>
          <w:szCs w:val="24"/>
        </w:rPr>
        <w:t>GCMS chromatograms</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and R scripts used for analysis are available from Open Science Framework (OSF) </w:t>
      </w:r>
      <w:r>
        <w:rPr>
          <w:rFonts w:ascii="Times New Roman" w:eastAsia="Times New Roman" w:hAnsi="Times New Roman" w:cs="Times New Roman"/>
          <w:color w:val="000000"/>
          <w:sz w:val="24"/>
          <w:szCs w:val="24"/>
        </w:rPr>
        <w:t xml:space="preserve">at </w:t>
      </w:r>
      <w:hyperlink r:id="rId9" w:history="1">
        <w:r w:rsidRPr="00DF2FEF">
          <w:rPr>
            <w:rStyle w:val="Hyperlink"/>
            <w:rFonts w:ascii="Times New Roman" w:eastAsia="Times New Roman" w:hAnsi="Times New Roman" w:cs="Times New Roman"/>
            <w:sz w:val="24"/>
            <w:szCs w:val="24"/>
          </w:rPr>
          <w:t>https://osf.io/28</w:t>
        </w:r>
        <w:r w:rsidRPr="00DF2FEF">
          <w:rPr>
            <w:rStyle w:val="Hyperlink"/>
            <w:rFonts w:ascii="Times New Roman" w:eastAsia="Times New Roman" w:hAnsi="Times New Roman" w:cs="Times New Roman"/>
            <w:sz w:val="24"/>
            <w:szCs w:val="24"/>
          </w:rPr>
          <w:t>y</w:t>
        </w:r>
        <w:r w:rsidRPr="00DF2FEF">
          <w:rPr>
            <w:rStyle w:val="Hyperlink"/>
            <w:rFonts w:ascii="Times New Roman" w:eastAsia="Times New Roman" w:hAnsi="Times New Roman" w:cs="Times New Roman"/>
            <w:sz w:val="24"/>
            <w:szCs w:val="24"/>
          </w:rPr>
          <w:t>fk/</w:t>
        </w:r>
      </w:hyperlink>
      <w:r>
        <w:rPr>
          <w:rFonts w:ascii="Times New Roman" w:eastAsia="Times New Roman" w:hAnsi="Times New Roman" w:cs="Times New Roman"/>
          <w:color w:val="000000"/>
          <w:sz w:val="24"/>
          <w:szCs w:val="24"/>
        </w:rPr>
        <w:t xml:space="preserve"> (</w:t>
      </w:r>
      <w:r w:rsidRPr="000D509B">
        <w:rPr>
          <w:rFonts w:ascii="Times New Roman" w:eastAsia="Times New Roman" w:hAnsi="Times New Roman" w:cs="Times New Roman"/>
          <w:color w:val="000000"/>
          <w:sz w:val="24"/>
          <w:szCs w:val="24"/>
        </w:rPr>
        <w:t>DOI 10.17605/OSF.IO/28YFK</w:t>
      </w:r>
      <w:r>
        <w:rPr>
          <w:rFonts w:ascii="Times New Roman" w:eastAsia="Times New Roman" w:hAnsi="Times New Roman" w:cs="Times New Roman"/>
          <w:color w:val="000000"/>
          <w:sz w:val="24"/>
          <w:szCs w:val="24"/>
        </w:rPr>
        <w:t xml:space="preserve">). </w:t>
      </w:r>
    </w:p>
    <w:p w:rsidR="00260673" w:rsidRPr="000224E9" w:rsidRDefault="00A7633C" w:rsidP="00260673">
      <w:pPr>
        <w:spacing w:after="120" w:line="480" w:lineRule="auto"/>
        <w:rPr>
          <w:rFonts w:ascii="Times New Roman" w:hAnsi="Times New Roman" w:cs="Times New Roman"/>
          <w:color w:val="FF0000"/>
          <w:sz w:val="24"/>
          <w:szCs w:val="24"/>
        </w:rPr>
      </w:pPr>
      <w:r w:rsidRPr="000224E9">
        <w:rPr>
          <w:rFonts w:ascii="Times New Roman" w:hAnsi="Times New Roman" w:cs="Times New Roman"/>
          <w:color w:val="FF0000"/>
          <w:sz w:val="24"/>
          <w:szCs w:val="24"/>
        </w:rPr>
        <w:br w:type="page"/>
      </w:r>
    </w:p>
    <w:p w:rsidR="00A7633C" w:rsidRPr="000224E9" w:rsidRDefault="00A7633C" w:rsidP="00A7633C">
      <w:pPr>
        <w:spacing w:after="120" w:line="480" w:lineRule="auto"/>
        <w:rPr>
          <w:rFonts w:ascii="Times New Roman" w:hAnsi="Times New Roman" w:cs="Times New Roman"/>
          <w:b/>
          <w:bCs/>
          <w:sz w:val="28"/>
          <w:szCs w:val="28"/>
        </w:rPr>
      </w:pPr>
      <w:r w:rsidRPr="000224E9">
        <w:rPr>
          <w:rFonts w:ascii="Times New Roman" w:hAnsi="Times New Roman" w:cs="Times New Roman"/>
          <w:b/>
          <w:bCs/>
          <w:sz w:val="28"/>
          <w:szCs w:val="28"/>
        </w:rPr>
        <w:lastRenderedPageBreak/>
        <w:t>References</w:t>
      </w:r>
    </w:p>
    <w:p w:rsidR="002E7999" w:rsidRPr="002E7999" w:rsidRDefault="00A7633C" w:rsidP="002E7999">
      <w:pPr>
        <w:pStyle w:val="Bibliography"/>
        <w:spacing w:afterLines="60" w:after="144"/>
        <w:rPr>
          <w:rFonts w:ascii="Times New Roman" w:hAnsi="Times New Roman" w:cs="Times New Roman"/>
          <w:lang w:val="en-US"/>
        </w:rPr>
      </w:pPr>
      <w:r w:rsidRPr="002E7999">
        <w:rPr>
          <w:rFonts w:ascii="Times New Roman" w:hAnsi="Times New Roman" w:cs="Times New Roman"/>
          <w:b/>
          <w:bCs/>
        </w:rPr>
        <w:fldChar w:fldCharType="begin"/>
      </w:r>
      <w:r w:rsidR="002E7999" w:rsidRPr="002E7999">
        <w:rPr>
          <w:rFonts w:ascii="Times New Roman" w:hAnsi="Times New Roman" w:cs="Times New Roman"/>
          <w:b/>
          <w:bCs/>
        </w:rPr>
        <w:instrText xml:space="preserve"> ADDIN ZOTERO_BIBL {"uncited":[],"omitted":[],"custom":[]} CSL_BIBLIOGRAPHY </w:instrText>
      </w:r>
      <w:r w:rsidRPr="002E7999">
        <w:rPr>
          <w:rFonts w:ascii="Times New Roman" w:hAnsi="Times New Roman" w:cs="Times New Roman"/>
          <w:b/>
          <w:bCs/>
        </w:rPr>
        <w:fldChar w:fldCharType="separate"/>
      </w:r>
      <w:r w:rsidR="002E7999" w:rsidRPr="002E7999">
        <w:rPr>
          <w:rFonts w:ascii="Times New Roman" w:hAnsi="Times New Roman" w:cs="Times New Roman"/>
          <w:lang w:val="en-US"/>
        </w:rPr>
        <w:t>Bacquet, P.M.B., Brattström, O., Wang, H.-L., Allen, C.E., Löfstedt, C., Brakefield, P.M., Nieberding, C.M., 2015. Selection on male sex pheromone composition contributes to butterfly reproductive isolation. Proc. R. Soc. Lond. B Biol. Sci. 282, 20142734. https://doi.org/10.1098/rspb.2014.2734</w:t>
      </w:r>
    </w:p>
    <w:p w:rsidR="002E7999" w:rsidRPr="002E7999" w:rsidRDefault="002E7999" w:rsidP="002E7999">
      <w:pPr>
        <w:pStyle w:val="Bibliography"/>
        <w:spacing w:afterLines="60" w:after="144"/>
        <w:rPr>
          <w:rFonts w:ascii="Times New Roman" w:hAnsi="Times New Roman" w:cs="Times New Roman"/>
          <w:lang w:val="nl-NL"/>
        </w:rPr>
      </w:pPr>
      <w:r w:rsidRPr="002E7999">
        <w:rPr>
          <w:rFonts w:ascii="Times New Roman" w:hAnsi="Times New Roman" w:cs="Times New Roman"/>
          <w:lang w:val="en-US"/>
        </w:rPr>
        <w:t xml:space="preserve">Bacquet, P.M.B., de Jong, M.A., Brattström, O., Wang, H.-L., Molleman, F., Heuskin, S., Lognay, G., Löfstedt, C., Brakefield, P.M., Vanderpoorten, A., Nieberding, C.M., 2016. Differentiation in putative male sex pheromone components across and within populations of the African butterfly </w:t>
      </w:r>
      <w:r w:rsidRPr="002E7999">
        <w:rPr>
          <w:rFonts w:ascii="Times New Roman" w:hAnsi="Times New Roman" w:cs="Times New Roman"/>
          <w:i/>
          <w:iCs/>
          <w:lang w:val="en-US"/>
        </w:rPr>
        <w:t>Bicyclus anynana</w:t>
      </w:r>
      <w:r w:rsidRPr="002E7999">
        <w:rPr>
          <w:rFonts w:ascii="Times New Roman" w:hAnsi="Times New Roman" w:cs="Times New Roman"/>
          <w:lang w:val="en-US"/>
        </w:rPr>
        <w:t xml:space="preserve"> as a potential driver of reproductive isolation. </w:t>
      </w:r>
      <w:r w:rsidRPr="002E7999">
        <w:rPr>
          <w:rFonts w:ascii="Times New Roman" w:hAnsi="Times New Roman" w:cs="Times New Roman"/>
          <w:lang w:val="nl-NL"/>
        </w:rPr>
        <w:t>Ecol. Evol. 6, 6064–6084. https://doi.org/10.1002/ece3.2298</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nl-NL"/>
        </w:rPr>
        <w:t xml:space="preserve">Benedict, L., Bowie, R.C.K., 2009. </w:t>
      </w:r>
      <w:r w:rsidRPr="002E7999">
        <w:rPr>
          <w:rFonts w:ascii="Times New Roman" w:hAnsi="Times New Roman" w:cs="Times New Roman"/>
          <w:lang w:val="en-US"/>
        </w:rPr>
        <w:t>Macrogeographical variation in the song of a widely distributed African warbler. Biol. Lett. 5, 484–487. https://doi.org/10.1098/rsbl.2009.0244</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Benson, W.W., 1978. Resource partitioning in passion vine butterflies. Evol. Int. J. Org. Evol. 32, 493–518. https://doi.org/10.1111/j.1558-5646.1978.tb04593.x</w:t>
      </w:r>
    </w:p>
    <w:p w:rsidR="002E7999" w:rsidRPr="002E7999" w:rsidRDefault="002E7999" w:rsidP="002E7999">
      <w:pPr>
        <w:pStyle w:val="Bibliography"/>
        <w:spacing w:afterLines="60" w:after="144"/>
        <w:rPr>
          <w:rFonts w:ascii="Times New Roman" w:hAnsi="Times New Roman" w:cs="Times New Roman"/>
          <w:lang w:val="nl-NL"/>
        </w:rPr>
      </w:pPr>
      <w:r w:rsidRPr="002E7999">
        <w:rPr>
          <w:rFonts w:ascii="Times New Roman" w:hAnsi="Times New Roman" w:cs="Times New Roman"/>
          <w:lang w:val="en-US"/>
        </w:rPr>
        <w:t xml:space="preserve">Benson, W.W., Brown, K.S., Gilbert, L.E., 1975. Coevolution of plants and herbivores: passion flower butterflies. </w:t>
      </w:r>
      <w:r w:rsidRPr="002E7999">
        <w:rPr>
          <w:rFonts w:ascii="Times New Roman" w:hAnsi="Times New Roman" w:cs="Times New Roman"/>
          <w:lang w:val="nl-NL"/>
        </w:rPr>
        <w:t>Evol. Int. J. Org. Evol. 29, 659–680. https://doi.org/10.1111/j.1558-5646.1975.tb00861.x</w:t>
      </w:r>
    </w:p>
    <w:p w:rsidR="002E7999" w:rsidRPr="002E7999" w:rsidRDefault="002E7999" w:rsidP="002E7999">
      <w:pPr>
        <w:pStyle w:val="Bibliography"/>
        <w:spacing w:afterLines="60" w:after="144"/>
        <w:rPr>
          <w:rFonts w:ascii="Times New Roman" w:hAnsi="Times New Roman" w:cs="Times New Roman"/>
          <w:lang w:val="fr-FR"/>
        </w:rPr>
      </w:pPr>
      <w:r w:rsidRPr="002E7999">
        <w:rPr>
          <w:rFonts w:ascii="Times New Roman" w:hAnsi="Times New Roman" w:cs="Times New Roman"/>
          <w:lang w:val="en-US"/>
        </w:rPr>
        <w:t xml:space="preserve">Bittinger, K., 2017. usedist: Distance Matrix Utilities. </w:t>
      </w:r>
      <w:r w:rsidRPr="002E7999">
        <w:rPr>
          <w:rFonts w:ascii="Times New Roman" w:hAnsi="Times New Roman" w:cs="Times New Roman"/>
          <w:lang w:val="fr-FR"/>
        </w:rPr>
        <w:t>R package version 0.1.0. https://CRAN.R-project.org/package=usedist.</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fr-FR"/>
        </w:rPr>
        <w:t xml:space="preserve">Bolnick, D.I., Kirkpatrick, M., 2012. </w:t>
      </w:r>
      <w:r w:rsidRPr="002E7999">
        <w:rPr>
          <w:rFonts w:ascii="Times New Roman" w:hAnsi="Times New Roman" w:cs="Times New Roman"/>
          <w:lang w:val="en-US"/>
        </w:rPr>
        <w:t>The relationship between intraspecific assortative mating and reproductive isolation between divergent populations. Curr. Zool. 58, 484–492. https://doi.org/10.1093/czoolo/58.3.484</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Brand, P., Hinojosa-Díaz, I.A., Ayala, R., Daigle, M., Obiols, C.L.Y., Eltz, T., Ramírez, S.R., 2019. An olfactory receptor gene underlies reproductive isolation in perfume-collecting orchid bees. bioRxiv 537423. https://doi.org/10.1101/537423</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Burdfield-Steel, E., Pakkanen, H., Rojas, B., Galarza, J.A., Mappes, J., 2018. De novo Synthesis of Chemical Defenses in an Aposematic Moth. J. Insect Sci. 18, 1–4. https://doi.org/10.1093/jisesa/iey020</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 xml:space="preserve">Butlin, R.K., Hewitt, G.M., Webb, S.F., 1985. Sexual selection for intermediate optimum in </w:t>
      </w:r>
      <w:r w:rsidRPr="002E7999">
        <w:rPr>
          <w:rFonts w:ascii="Times New Roman" w:hAnsi="Times New Roman" w:cs="Times New Roman"/>
          <w:i/>
          <w:iCs/>
          <w:lang w:val="en-US"/>
        </w:rPr>
        <w:t>Chorthippus brunneus</w:t>
      </w:r>
      <w:r w:rsidRPr="002E7999">
        <w:rPr>
          <w:rFonts w:ascii="Times New Roman" w:hAnsi="Times New Roman" w:cs="Times New Roman"/>
          <w:lang w:val="en-US"/>
        </w:rPr>
        <w:t xml:space="preserve"> (Orthoptera: Acrididae). Anim. Behav. 33, 1281–1292. https://doi.org/10.1016/S0003-3472(85)80188-3</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 xml:space="preserve">Bybee, S.M., Yuan, F., Ramstetter, M.D., Llorente-Bousquets, J., Reed, R.D., Osorio, D., Briscoe, A.D., 2012. UV Photoreceptors and UV-Yellow Wing Pigments in </w:t>
      </w:r>
      <w:r w:rsidRPr="002E7999">
        <w:rPr>
          <w:rFonts w:ascii="Times New Roman" w:hAnsi="Times New Roman" w:cs="Times New Roman"/>
          <w:i/>
          <w:iCs/>
          <w:lang w:val="en-US"/>
        </w:rPr>
        <w:t>Heliconius</w:t>
      </w:r>
      <w:r w:rsidRPr="002E7999">
        <w:rPr>
          <w:rFonts w:ascii="Times New Roman" w:hAnsi="Times New Roman" w:cs="Times New Roman"/>
          <w:lang w:val="en-US"/>
        </w:rPr>
        <w:t xml:space="preserve"> Butterflies Allow a Color Signal to Serve both Mimicry and Intraspecific Communication. Am. Nat. 179, 38–51. https://doi.org/10.1086/663192</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 xml:space="preserve">Byers, K.J.R.P., Darragh, K., Musgrove, J., Almeida, D.A., Garza, S.F., Warren, I.A., Rastas, P., Kučka, M., Chan, Y.F., Merrill, R.M., Schulz, S., McMillan, W.O., Jiggins, C.D., 2019. A major locus controls a biologically active pheromone component in </w:t>
      </w:r>
      <w:r w:rsidRPr="002E7999">
        <w:rPr>
          <w:rFonts w:ascii="Times New Roman" w:hAnsi="Times New Roman" w:cs="Times New Roman"/>
          <w:i/>
          <w:iCs/>
          <w:lang w:val="en-US"/>
        </w:rPr>
        <w:t>Heliconius melpomene</w:t>
      </w:r>
      <w:r w:rsidRPr="002E7999">
        <w:rPr>
          <w:rFonts w:ascii="Times New Roman" w:hAnsi="Times New Roman" w:cs="Times New Roman"/>
          <w:lang w:val="en-US"/>
        </w:rPr>
        <w:t>. bioRxiv 739037. https://doi.org/10.1101/739037</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Cáceres, M.D., Legendre, P., 2009. Associations between species and groups of sites: indices and statistical inference. Ecology 90, 3566–3574. https://doi.org/10.1890/08-1823.1</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Campbell, P., Pasch, B., Pino, J.L., Crino, O.L., Phillips, M., Phelps, S.M., 2010. Geographic variation in the songs of neotropical singing mice: testing the relative importance of drift and local adaptation. Evolution 64, 1955–1972. https://doi.org/10.1111/j.1558-5646.2010.00962.x</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lastRenderedPageBreak/>
        <w:t>Carde, R.T., Allison, J.D., 2016. Variation in Moth Pheromones. Causes and Consequences, in: Carde, R.T., Allison, J.D. (Eds.), Pheromone Communication in Moths: Evolution, Behavior, and Application. University of California Press, Berkeley, pp. 25–39.</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Castro, É.C.P. de, Zagrobelny, M., Cardoso, M.Z., Bak, S., 2018. The arms race between heliconiine butterflies and Passiflora plants – new insights on an ancient subject. Biol. Rev. 93, 555–573. https://doi.org/10.1111/brv.12357</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Challis, R.J., Kumar, S., Dasmahapatra, K.K.K., Jiggins, C.D., Blaxter, M., 2016. Lepbase: the Lepidopteran genome database. bioRxiv 056994. https://doi.org/10.1101/056994</w:t>
      </w:r>
    </w:p>
    <w:p w:rsidR="002E7999" w:rsidRPr="002E7999" w:rsidRDefault="002E7999" w:rsidP="002E7999">
      <w:pPr>
        <w:pStyle w:val="Bibliography"/>
        <w:spacing w:afterLines="60" w:after="144"/>
        <w:rPr>
          <w:rFonts w:ascii="Times New Roman" w:hAnsi="Times New Roman" w:cs="Times New Roman"/>
          <w:lang w:val="pt-BR"/>
        </w:rPr>
      </w:pPr>
      <w:r w:rsidRPr="002E7999">
        <w:rPr>
          <w:rFonts w:ascii="Times New Roman" w:hAnsi="Times New Roman" w:cs="Times New Roman"/>
          <w:lang w:val="en-US"/>
        </w:rPr>
        <w:t xml:space="preserve">Conrad, T., Paxton, R.J., Assum, G., Ayasse, M., 2018. Divergence in male sexual odor signal and genetics across populations of the red mason bee, </w:t>
      </w:r>
      <w:r w:rsidRPr="002E7999">
        <w:rPr>
          <w:rFonts w:ascii="Times New Roman" w:hAnsi="Times New Roman" w:cs="Times New Roman"/>
          <w:i/>
          <w:iCs/>
          <w:lang w:val="en-US"/>
        </w:rPr>
        <w:t>Osmia bicornis</w:t>
      </w:r>
      <w:r w:rsidRPr="002E7999">
        <w:rPr>
          <w:rFonts w:ascii="Times New Roman" w:hAnsi="Times New Roman" w:cs="Times New Roman"/>
          <w:lang w:val="en-US"/>
        </w:rPr>
        <w:t xml:space="preserve">, in Europe. </w:t>
      </w:r>
      <w:r w:rsidRPr="002E7999">
        <w:rPr>
          <w:rFonts w:ascii="Times New Roman" w:hAnsi="Times New Roman" w:cs="Times New Roman"/>
          <w:lang w:val="pt-BR"/>
        </w:rPr>
        <w:t>PLOS ONE 13, e0193153. https://doi.org/10.1371/journal.pone.0193153</w:t>
      </w:r>
    </w:p>
    <w:p w:rsidR="002E7999" w:rsidRPr="002E7999" w:rsidRDefault="002E7999" w:rsidP="002E7999">
      <w:pPr>
        <w:pStyle w:val="Bibliography"/>
        <w:spacing w:afterLines="60" w:after="144"/>
        <w:rPr>
          <w:rFonts w:ascii="Times New Roman" w:hAnsi="Times New Roman" w:cs="Times New Roman"/>
          <w:lang w:val="pt-BR"/>
        </w:rPr>
      </w:pPr>
      <w:r w:rsidRPr="002E7999">
        <w:rPr>
          <w:rFonts w:ascii="Times New Roman" w:hAnsi="Times New Roman" w:cs="Times New Roman"/>
          <w:lang w:val="pt-BR"/>
        </w:rPr>
        <w:t>Coyne, J.A., Orr, H.A., 2004. Speciation. Sinauer, Sunderland, MA.</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pt-BR"/>
        </w:rPr>
        <w:t xml:space="preserve">Darragh, K., Byers, K.J.R.P., Merrill, R.M., McMillan, W.O., Schulz, S., Jiggins, C.D., 2019. </w:t>
      </w:r>
      <w:r w:rsidRPr="002E7999">
        <w:rPr>
          <w:rFonts w:ascii="Times New Roman" w:hAnsi="Times New Roman" w:cs="Times New Roman"/>
          <w:lang w:val="en-US"/>
        </w:rPr>
        <w:t xml:space="preserve">Male pheromone composition depends on larval but not adult diet in </w:t>
      </w:r>
      <w:r w:rsidRPr="002E7999">
        <w:rPr>
          <w:rFonts w:ascii="Times New Roman" w:hAnsi="Times New Roman" w:cs="Times New Roman"/>
          <w:i/>
          <w:iCs/>
          <w:lang w:val="en-US"/>
        </w:rPr>
        <w:t>Heliconius melpomene</w:t>
      </w:r>
      <w:r w:rsidRPr="002E7999">
        <w:rPr>
          <w:rFonts w:ascii="Times New Roman" w:hAnsi="Times New Roman" w:cs="Times New Roman"/>
          <w:lang w:val="en-US"/>
        </w:rPr>
        <w:t>. Ecol. Entomol. https://doi.org/10.1111/een.12716</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 xml:space="preserve">Darragh, K., Vanjari, S., Mann, F., Gonzalez-Rojas, M.F., Morrison, C.R., Salazar, C., Pardo-Diaz, C., Merrill, R.M., McMillan, W.O., Schulz, S., Jiggins, C.D., 2017. Male sex pheromone components in </w:t>
      </w:r>
      <w:r w:rsidRPr="002E7999">
        <w:rPr>
          <w:rFonts w:ascii="Times New Roman" w:hAnsi="Times New Roman" w:cs="Times New Roman"/>
          <w:i/>
          <w:iCs/>
          <w:lang w:val="en-US"/>
        </w:rPr>
        <w:t>Heliconius</w:t>
      </w:r>
      <w:r w:rsidRPr="002E7999">
        <w:rPr>
          <w:rFonts w:ascii="Times New Roman" w:hAnsi="Times New Roman" w:cs="Times New Roman"/>
          <w:lang w:val="en-US"/>
        </w:rPr>
        <w:t xml:space="preserve"> butterflies released by the androconia affect female choice. PeerJ 5, e3953. https://doi.org/10.7717/peerj.3953</w:t>
      </w:r>
    </w:p>
    <w:p w:rsidR="002E7999" w:rsidRPr="002E7999" w:rsidRDefault="002E7999" w:rsidP="002E7999">
      <w:pPr>
        <w:pStyle w:val="Bibliography"/>
        <w:spacing w:afterLines="60" w:after="144"/>
        <w:rPr>
          <w:rFonts w:ascii="Times New Roman" w:hAnsi="Times New Roman" w:cs="Times New Roman"/>
          <w:lang w:val="nb-NO"/>
        </w:rPr>
      </w:pPr>
      <w:r w:rsidRPr="002E7999">
        <w:rPr>
          <w:rFonts w:ascii="Times New Roman" w:hAnsi="Times New Roman" w:cs="Times New Roman"/>
          <w:lang w:val="en-US"/>
        </w:rPr>
        <w:t xml:space="preserve">Davey, J.W., Barker, S.L., Rastas, P.M., Pinharanda, A., Martin, S.H., Durbin, R., McMillan, W.O., Merrill, R.M., Jiggins, C.D., 2017. No evidence for maintenance of a sympatric </w:t>
      </w:r>
      <w:r w:rsidRPr="002E7999">
        <w:rPr>
          <w:rFonts w:ascii="Times New Roman" w:hAnsi="Times New Roman" w:cs="Times New Roman"/>
          <w:i/>
          <w:iCs/>
          <w:lang w:val="en-US"/>
        </w:rPr>
        <w:t>Heliconius</w:t>
      </w:r>
      <w:r w:rsidRPr="002E7999">
        <w:rPr>
          <w:rFonts w:ascii="Times New Roman" w:hAnsi="Times New Roman" w:cs="Times New Roman"/>
          <w:lang w:val="en-US"/>
        </w:rPr>
        <w:t xml:space="preserve"> species barrier by chromosomal inversions. </w:t>
      </w:r>
      <w:r w:rsidRPr="002E7999">
        <w:rPr>
          <w:rFonts w:ascii="Times New Roman" w:hAnsi="Times New Roman" w:cs="Times New Roman"/>
          <w:lang w:val="nb-NO"/>
        </w:rPr>
        <w:t>Evol. Lett. 1, 138–154. https://doi.org/10.1002/evl3.12</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nb-NO"/>
        </w:rPr>
        <w:t xml:space="preserve">Dettner, K., Liepert, C., 1994. </w:t>
      </w:r>
      <w:r w:rsidRPr="002E7999">
        <w:rPr>
          <w:rFonts w:ascii="Times New Roman" w:hAnsi="Times New Roman" w:cs="Times New Roman"/>
          <w:lang w:val="en-US"/>
        </w:rPr>
        <w:t>Chemical Mimicry and Camouflage. Annu. Rev. Entomol. 39, 129–154. https://doi.org/10.1146/annurev.en.39.010194.001021</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Dray, S., Dufour, A.B., 2007. The ade4 package: implementing the duality diagram for ecologists. J. Stat. Softw. 22, 1–20. https://doi.org/10.18637/jss.v022.i04</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 xml:space="preserve">Eltringham, H., 1925. On the Abdominal Glands in </w:t>
      </w:r>
      <w:r w:rsidRPr="002E7999">
        <w:rPr>
          <w:rFonts w:ascii="Times New Roman" w:hAnsi="Times New Roman" w:cs="Times New Roman"/>
          <w:i/>
          <w:iCs/>
          <w:lang w:val="en-US"/>
        </w:rPr>
        <w:t>Heliconius</w:t>
      </w:r>
      <w:r w:rsidRPr="002E7999">
        <w:rPr>
          <w:rFonts w:ascii="Times New Roman" w:hAnsi="Times New Roman" w:cs="Times New Roman"/>
          <w:lang w:val="en-US"/>
        </w:rPr>
        <w:t xml:space="preserve"> (Lepidoptera). Trans. R. Entomol. Soc. Lond. 73, 269–275. https://doi.org/10.1111/j.1365-2311.1925.tb02862.x</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Eltz, T., Whitten, W.M., Roubik, D.W., Linsenmair, K.E., 1999. Fragrance Collection, Storage, and Accumulation by Individual Male Orchid Bees. J. Chem. Ecol. 25, 157–176. https://doi.org/10.1023/A:1020897302355</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Estrada, C., Jiggins, C.D., 2008. Interspecific sexual attraction because of convergence in warning colouration: is there a conflict between natural and sexual selection in mimetic species? J. Evol. Biol. 21, 749–760. https://doi.org/10.1111/j.1420-9101.2008.01517.x</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Estrada, C., Schulz, S., Yildizhan, S., Gilbert, L.E., 2011. Sexual selection drives the evolution of antiaphrodisiac pheromones in butterflies. Evol. Int. J. Org. Evol. 65, 2843–2854. https://doi.org/10.1111/j.1558-5646.2011.01352.x</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 xml:space="preserve">Ferreira, M., Ferguson, J.W.H., 2002. Geographic variation in the calling song of the field cricket </w:t>
      </w:r>
      <w:r w:rsidRPr="002E7999">
        <w:rPr>
          <w:rFonts w:ascii="Times New Roman" w:hAnsi="Times New Roman" w:cs="Times New Roman"/>
          <w:i/>
          <w:iCs/>
          <w:lang w:val="en-US"/>
        </w:rPr>
        <w:t>Gryllus bimaculatus</w:t>
      </w:r>
      <w:r w:rsidRPr="002E7999">
        <w:rPr>
          <w:rFonts w:ascii="Times New Roman" w:hAnsi="Times New Roman" w:cs="Times New Roman"/>
          <w:lang w:val="en-US"/>
        </w:rPr>
        <w:t xml:space="preserve"> (Orthoptera: Gryllidae) and its relevance to mate recognition and mate choice. J. Zool. 257, 163–170. https://doi.org/10.1017/S0952836902000766</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 xml:space="preserve">Finkbeiner, S.D., Fishman, D.A., Osorio, D., Briscoe, A.D., 2017. Ultraviolet and yellow reflectance but not fluorescence is important for visual discrimination of conspecifics by </w:t>
      </w:r>
      <w:r w:rsidRPr="002E7999">
        <w:rPr>
          <w:rFonts w:ascii="Times New Roman" w:hAnsi="Times New Roman" w:cs="Times New Roman"/>
          <w:i/>
          <w:iCs/>
          <w:lang w:val="en-US"/>
        </w:rPr>
        <w:t>Heliconius erato</w:t>
      </w:r>
      <w:r w:rsidRPr="002E7999">
        <w:rPr>
          <w:rFonts w:ascii="Times New Roman" w:hAnsi="Times New Roman" w:cs="Times New Roman"/>
          <w:lang w:val="en-US"/>
        </w:rPr>
        <w:t>. J. Exp. Biol. 220, 1267–1276. https://doi.org/10.1242/jeb.153593</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lastRenderedPageBreak/>
        <w:t>Friberg, M., Vongvanich, N., Borg-Karlson, A.-K., Kemp, D.J., Merilaita, S., Wiklund, C., 2008. Female mate choice determines reproductive isolation between sympatric butterflies. Behav. Ecol. Sociobiol. 62, 873–886. https://doi.org/10.1007/s00265-007-0511-2</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Gerhardt, H.C., 1982. Sound Pattern Recognition in Some North American Treefrogs (Anura: Hylidae): Implications for Mate Choice. Integr. Comp. Biol. 22, 581–595. https://doi.org/10.1093/icb/22.3.581</w:t>
      </w:r>
    </w:p>
    <w:p w:rsidR="002E7999" w:rsidRPr="002E7999" w:rsidRDefault="002E7999" w:rsidP="002E7999">
      <w:pPr>
        <w:pStyle w:val="Bibliography"/>
        <w:spacing w:afterLines="60" w:after="144"/>
        <w:rPr>
          <w:rFonts w:ascii="Times New Roman" w:hAnsi="Times New Roman" w:cs="Times New Roman"/>
          <w:lang w:val="pt-BR"/>
        </w:rPr>
      </w:pPr>
      <w:r w:rsidRPr="002E7999">
        <w:rPr>
          <w:rFonts w:ascii="Times New Roman" w:hAnsi="Times New Roman" w:cs="Times New Roman"/>
          <w:lang w:val="en-US"/>
        </w:rPr>
        <w:t xml:space="preserve">Gilbert, L.E., 1976. Postmating female odor in </w:t>
      </w:r>
      <w:r w:rsidRPr="002E7999">
        <w:rPr>
          <w:rFonts w:ascii="Times New Roman" w:hAnsi="Times New Roman" w:cs="Times New Roman"/>
          <w:i/>
          <w:iCs/>
          <w:lang w:val="en-US"/>
        </w:rPr>
        <w:t>Heliconius</w:t>
      </w:r>
      <w:r w:rsidRPr="002E7999">
        <w:rPr>
          <w:rFonts w:ascii="Times New Roman" w:hAnsi="Times New Roman" w:cs="Times New Roman"/>
          <w:lang w:val="en-US"/>
        </w:rPr>
        <w:t xml:space="preserve"> butterflies: a male-contributed antiaphrodisiac? </w:t>
      </w:r>
      <w:r w:rsidRPr="002E7999">
        <w:rPr>
          <w:rFonts w:ascii="Times New Roman" w:hAnsi="Times New Roman" w:cs="Times New Roman"/>
          <w:lang w:val="pt-BR"/>
        </w:rPr>
        <w:t>Science 193, 419–420. https://doi.org/10.1126/science.935877</w:t>
      </w:r>
    </w:p>
    <w:p w:rsidR="002E7999" w:rsidRPr="002E7999" w:rsidRDefault="002E7999" w:rsidP="002E7999">
      <w:pPr>
        <w:pStyle w:val="Bibliography"/>
        <w:spacing w:afterLines="60" w:after="144"/>
        <w:rPr>
          <w:rFonts w:ascii="Times New Roman" w:hAnsi="Times New Roman" w:cs="Times New Roman"/>
          <w:lang w:val="pt-BR"/>
        </w:rPr>
      </w:pPr>
      <w:r w:rsidRPr="002E7999">
        <w:rPr>
          <w:rFonts w:ascii="Times New Roman" w:hAnsi="Times New Roman" w:cs="Times New Roman"/>
          <w:lang w:val="pt-BR"/>
        </w:rPr>
        <w:t xml:space="preserve">Giraldo, N., Salazar, C., Jiggins, C.D., Bermingham, E., Linares, M., 2008. </w:t>
      </w:r>
      <w:r w:rsidRPr="002E7999">
        <w:rPr>
          <w:rFonts w:ascii="Times New Roman" w:hAnsi="Times New Roman" w:cs="Times New Roman"/>
          <w:lang w:val="en-US"/>
        </w:rPr>
        <w:t xml:space="preserve">Two sisters in the same dress: </w:t>
      </w:r>
      <w:r w:rsidRPr="002E7999">
        <w:rPr>
          <w:rFonts w:ascii="Times New Roman" w:hAnsi="Times New Roman" w:cs="Times New Roman"/>
          <w:i/>
          <w:iCs/>
          <w:lang w:val="en-US"/>
        </w:rPr>
        <w:t>Heliconius</w:t>
      </w:r>
      <w:r w:rsidRPr="002E7999">
        <w:rPr>
          <w:rFonts w:ascii="Times New Roman" w:hAnsi="Times New Roman" w:cs="Times New Roman"/>
          <w:lang w:val="en-US"/>
        </w:rPr>
        <w:t xml:space="preserve"> cryptic species. BMC Evol. </w:t>
      </w:r>
      <w:r w:rsidRPr="002E7999">
        <w:rPr>
          <w:rFonts w:ascii="Times New Roman" w:hAnsi="Times New Roman" w:cs="Times New Roman"/>
          <w:lang w:val="pt-BR"/>
        </w:rPr>
        <w:t>Biol. 8, 324. https://doi.org/10.1186/1471-2148-8-324</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pt-BR"/>
        </w:rPr>
        <w:t xml:space="preserve">Gray, D.A., Cade, W.H., 2000. </w:t>
      </w:r>
      <w:r w:rsidRPr="002E7999">
        <w:rPr>
          <w:rFonts w:ascii="Times New Roman" w:hAnsi="Times New Roman" w:cs="Times New Roman"/>
          <w:lang w:val="en-US"/>
        </w:rPr>
        <w:t>Sexual selection and speciation in field crickets. Proc. Natl. Acad. Sci. 97, 14449–14454. https://doi.org/10.1073/pnas.97.26.14449</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Guilford, T., Nicol, C., Rothschild, M., Moore, B.P., 1987. The biological roles of pyrazines: evidence for a warning odour function. Biol. J. Linn. Soc. 31, 113–128. https://doi.org/10.1111/j.1095-8312.1987.tb01984.x</w:t>
      </w:r>
    </w:p>
    <w:p w:rsidR="002E7999" w:rsidRPr="002E7999" w:rsidRDefault="002E7999" w:rsidP="002E7999">
      <w:pPr>
        <w:pStyle w:val="Bibliography"/>
        <w:spacing w:afterLines="60" w:after="144"/>
        <w:rPr>
          <w:rFonts w:ascii="Times New Roman" w:hAnsi="Times New Roman" w:cs="Times New Roman"/>
          <w:lang w:val="it-IT"/>
        </w:rPr>
      </w:pPr>
      <w:r w:rsidRPr="002E7999">
        <w:rPr>
          <w:rFonts w:ascii="Times New Roman" w:hAnsi="Times New Roman" w:cs="Times New Roman"/>
          <w:lang w:val="en-US"/>
        </w:rPr>
        <w:t xml:space="preserve">Hankison, S.J., Ptacek, M.B., 2008. Geographical variation of genetic and phenotypic traits in the Mexican sailfin mollies, </w:t>
      </w:r>
      <w:r w:rsidRPr="002E7999">
        <w:rPr>
          <w:rFonts w:ascii="Times New Roman" w:hAnsi="Times New Roman" w:cs="Times New Roman"/>
          <w:i/>
          <w:iCs/>
          <w:lang w:val="en-US"/>
        </w:rPr>
        <w:t>Poecilia velifera</w:t>
      </w:r>
      <w:r w:rsidRPr="002E7999">
        <w:rPr>
          <w:rFonts w:ascii="Times New Roman" w:hAnsi="Times New Roman" w:cs="Times New Roman"/>
          <w:lang w:val="en-US"/>
        </w:rPr>
        <w:t xml:space="preserve"> and </w:t>
      </w:r>
      <w:r w:rsidRPr="002E7999">
        <w:rPr>
          <w:rFonts w:ascii="Times New Roman" w:hAnsi="Times New Roman" w:cs="Times New Roman"/>
          <w:i/>
          <w:iCs/>
          <w:lang w:val="en-US"/>
        </w:rPr>
        <w:t>P. petenensis</w:t>
      </w:r>
      <w:r w:rsidRPr="002E7999">
        <w:rPr>
          <w:rFonts w:ascii="Times New Roman" w:hAnsi="Times New Roman" w:cs="Times New Roman"/>
          <w:lang w:val="en-US"/>
        </w:rPr>
        <w:t xml:space="preserve">. </w:t>
      </w:r>
      <w:r w:rsidRPr="002E7999">
        <w:rPr>
          <w:rFonts w:ascii="Times New Roman" w:hAnsi="Times New Roman" w:cs="Times New Roman"/>
          <w:lang w:val="it-IT"/>
        </w:rPr>
        <w:t>Mol. Ecol. 17, 2219–2233. https://doi.org/10.1111/j.1365-294X.2008.03736.x</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it-IT"/>
        </w:rPr>
        <w:t xml:space="preserve">Heliconius Genome Consortium, 2012. </w:t>
      </w:r>
      <w:r w:rsidRPr="002E7999">
        <w:rPr>
          <w:rFonts w:ascii="Times New Roman" w:hAnsi="Times New Roman" w:cs="Times New Roman"/>
          <w:lang w:val="en-US"/>
        </w:rPr>
        <w:t>Butterfly genome reveals promiscuous exchange of mimicry adaptations among species. Nature 487, 94–98. https://doi.org/10.1038/nature11041</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Hervé, M., 2018. RVAideMemoire: Testing and Plotting Procedures for Biostatistics. R package version 0.9-69-3.</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Hijmans, R.J., 2017. geosphere: Spherical Trigonometry. R package version 1.5-7.</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Irwin, D.E., Thimgan, M.P., Irwin, J.H., 2008. Call divergence is correlated with geographic and genetic distance in greenish warblers (</w:t>
      </w:r>
      <w:r w:rsidRPr="002E7999">
        <w:rPr>
          <w:rFonts w:ascii="Times New Roman" w:hAnsi="Times New Roman" w:cs="Times New Roman"/>
          <w:i/>
          <w:iCs/>
          <w:lang w:val="en-US"/>
        </w:rPr>
        <w:t>Phylloscopus trochiloides</w:t>
      </w:r>
      <w:r w:rsidRPr="002E7999">
        <w:rPr>
          <w:rFonts w:ascii="Times New Roman" w:hAnsi="Times New Roman" w:cs="Times New Roman"/>
          <w:lang w:val="en-US"/>
        </w:rPr>
        <w:t>): a strong role for stochasticity in signal evolution? J. Evol. Biol. 21, 435–448. https://doi.org/10.1111/j.1420-9101.2007.01499.x</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Jiggins, C.D., 2017. The Ecology and Evolution of</w:t>
      </w:r>
      <w:r w:rsidRPr="002E7999">
        <w:rPr>
          <w:rFonts w:ascii="Times New Roman" w:hAnsi="Times New Roman" w:cs="Times New Roman"/>
          <w:i/>
          <w:iCs/>
          <w:lang w:val="en-US"/>
        </w:rPr>
        <w:t xml:space="preserve"> Heliconius</w:t>
      </w:r>
      <w:r w:rsidRPr="002E7999">
        <w:rPr>
          <w:rFonts w:ascii="Times New Roman" w:hAnsi="Times New Roman" w:cs="Times New Roman"/>
          <w:lang w:val="en-US"/>
        </w:rPr>
        <w:t xml:space="preserve"> Butterflies. Oxford University Press, Oxford.</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Jiggins, C.D., 2008. Ecological Speciation in Mimetic Butterflies. BioScience 58, 541–548. https://doi.org/10.1641/B580610</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Jiggins, C.D., Naisbit, R.E., Coe, R.L., Mallet, J., 2001. Reproductive isolation caused by colour pattern mimicry. Nature 411, 302–305. https://doi.org/10.1038/35077075</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Johansson, B.G., Jones, T.M., 2007. The role of chemical communication in mate choice. Biol. Rev. 82, 265–289. https://doi.org/10.1111/j.1469-185X.2007.00009.x</w:t>
      </w:r>
    </w:p>
    <w:p w:rsidR="002E7999" w:rsidRPr="002E7999" w:rsidRDefault="002E7999" w:rsidP="002E7999">
      <w:pPr>
        <w:pStyle w:val="Bibliography"/>
        <w:spacing w:afterLines="60" w:after="144"/>
        <w:rPr>
          <w:rFonts w:ascii="Times New Roman" w:hAnsi="Times New Roman" w:cs="Times New Roman"/>
          <w:lang w:val="fr-FR"/>
        </w:rPr>
      </w:pPr>
      <w:r w:rsidRPr="002E7999">
        <w:rPr>
          <w:rFonts w:ascii="Times New Roman" w:hAnsi="Times New Roman" w:cs="Times New Roman"/>
          <w:lang w:val="en-US"/>
        </w:rPr>
        <w:t xml:space="preserve">Kassambara, A., 2019. ggpubr: “ggplot2” Based Publication Ready Plots. </w:t>
      </w:r>
      <w:r w:rsidRPr="002E7999">
        <w:rPr>
          <w:rFonts w:ascii="Times New Roman" w:hAnsi="Times New Roman" w:cs="Times New Roman"/>
          <w:lang w:val="fr-FR"/>
        </w:rPr>
        <w:t>R package version 0.2.4. https://CRAN.R-project.org/package=ggpubr.</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de-DE"/>
        </w:rPr>
        <w:t xml:space="preserve">Korneliussen, T.S., Albrechtsen, A., Nielsen, R., 2014. </w:t>
      </w:r>
      <w:r w:rsidRPr="002E7999">
        <w:rPr>
          <w:rFonts w:ascii="Times New Roman" w:hAnsi="Times New Roman" w:cs="Times New Roman"/>
          <w:lang w:val="en-US"/>
        </w:rPr>
        <w:t>ANGSD: Analysis of Next Generation Sequencing Data. BMC Bioinformatics 15, 356. https://doi.org/10.1186/s12859-014-0356-4</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 xml:space="preserve">Kozak, K.M., Wahlberg, N., Neild, A.F.E., Dasmahapatra, K.K., Mallet, J., Jiggins, C.D., 2015. Multilocus species trees show the recent adaptive radiation of the mimetic </w:t>
      </w:r>
      <w:r w:rsidRPr="002E7999">
        <w:rPr>
          <w:rFonts w:ascii="Times New Roman" w:hAnsi="Times New Roman" w:cs="Times New Roman"/>
          <w:i/>
          <w:iCs/>
          <w:lang w:val="en-US"/>
        </w:rPr>
        <w:t xml:space="preserve">Heliconius </w:t>
      </w:r>
      <w:r w:rsidRPr="002E7999">
        <w:rPr>
          <w:rFonts w:ascii="Times New Roman" w:hAnsi="Times New Roman" w:cs="Times New Roman"/>
          <w:lang w:val="en-US"/>
        </w:rPr>
        <w:t>butterflies. Syst. Biol. 64, 505–524. https://doi.org/10.1093/sysbio/syv007</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lastRenderedPageBreak/>
        <w:t>Lamas, G., Jiggins, C.D., 2017. Taxonomic list, in: The Ecology and Evoution of Heliconius Butterflies. Oxford University Press, Oxford, pp. 214–244.</w:t>
      </w:r>
    </w:p>
    <w:p w:rsidR="002E7999" w:rsidRPr="002E7999" w:rsidRDefault="002E7999" w:rsidP="002E7999">
      <w:pPr>
        <w:pStyle w:val="Bibliography"/>
        <w:spacing w:afterLines="60" w:after="144"/>
        <w:rPr>
          <w:rFonts w:ascii="Times New Roman" w:hAnsi="Times New Roman" w:cs="Times New Roman"/>
          <w:lang w:val="pl-PL"/>
        </w:rPr>
      </w:pPr>
      <w:r w:rsidRPr="002E7999">
        <w:rPr>
          <w:rFonts w:ascii="Times New Roman" w:hAnsi="Times New Roman" w:cs="Times New Roman"/>
          <w:lang w:val="en-US"/>
        </w:rPr>
        <w:t xml:space="preserve">Leonhardt, S., Rasmussen, C., Schmitt, T., 2013. Genes versus environment: Geography and phylogenetic relationships shape the chemical profiles of stingless bees on a global scale. </w:t>
      </w:r>
      <w:r w:rsidRPr="002E7999">
        <w:rPr>
          <w:rFonts w:ascii="Times New Roman" w:hAnsi="Times New Roman" w:cs="Times New Roman"/>
          <w:lang w:val="pl-PL"/>
        </w:rPr>
        <w:t>Proc. Biol. Sci. 280, 20130680. https://doi.org/10.1098/rspb.2013.0680</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pl-PL"/>
        </w:rPr>
        <w:t xml:space="preserve">Li, H., Durbin, R., 2009. </w:t>
      </w:r>
      <w:r w:rsidRPr="002E7999">
        <w:rPr>
          <w:rFonts w:ascii="Times New Roman" w:hAnsi="Times New Roman" w:cs="Times New Roman"/>
          <w:lang w:val="en-US"/>
        </w:rPr>
        <w:t>Fast and accurate short read alignment with Burrows-Wheeler transform. Bioinforma. Oxf. Engl. 25, 1754–1760. https://doi.org/10.1093/bioinformatics/btp324</w:t>
      </w:r>
    </w:p>
    <w:p w:rsidR="002E7999" w:rsidRPr="002E7999" w:rsidRDefault="002E7999" w:rsidP="002E7999">
      <w:pPr>
        <w:pStyle w:val="Bibliography"/>
        <w:spacing w:afterLines="60" w:after="144"/>
        <w:rPr>
          <w:rFonts w:ascii="Times New Roman" w:hAnsi="Times New Roman" w:cs="Times New Roman"/>
          <w:lang w:val="fr-FR"/>
        </w:rPr>
      </w:pPr>
      <w:r w:rsidRPr="002E7999">
        <w:rPr>
          <w:rFonts w:ascii="Times New Roman" w:hAnsi="Times New Roman" w:cs="Times New Roman"/>
          <w:lang w:val="en-US"/>
        </w:rPr>
        <w:t xml:space="preserve">Löfstedt, C., 1993. Moth Pheromone Genetics and Evolution. </w:t>
      </w:r>
      <w:r w:rsidRPr="002E7999">
        <w:rPr>
          <w:rFonts w:ascii="Times New Roman" w:hAnsi="Times New Roman" w:cs="Times New Roman"/>
          <w:lang w:val="fr-FR"/>
        </w:rPr>
        <w:t>Philos. Trans. R. Soc. Lond. B Biol. Sci. 340, 167–177. https://doi.org/10.1098/rstb.1993.0055</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fr-FR"/>
        </w:rPr>
        <w:t xml:space="preserve">Mann, F., Vanjari, S., Rosser, N., Mann, S., Dasmahapatra, K.K., Corbin, C., Linares, M., Pardo-Diaz, C., Salazar, C., Jiggins, C., Schulz, S., 2017. </w:t>
      </w:r>
      <w:r w:rsidRPr="002E7999">
        <w:rPr>
          <w:rFonts w:ascii="Times New Roman" w:hAnsi="Times New Roman" w:cs="Times New Roman"/>
          <w:lang w:val="en-US"/>
        </w:rPr>
        <w:t xml:space="preserve">The Scent Chemistry of </w:t>
      </w:r>
      <w:r w:rsidRPr="002E7999">
        <w:rPr>
          <w:rFonts w:ascii="Times New Roman" w:hAnsi="Times New Roman" w:cs="Times New Roman"/>
          <w:i/>
          <w:iCs/>
          <w:lang w:val="en-US"/>
        </w:rPr>
        <w:t>Heliconius</w:t>
      </w:r>
      <w:r w:rsidRPr="002E7999">
        <w:rPr>
          <w:rFonts w:ascii="Times New Roman" w:hAnsi="Times New Roman" w:cs="Times New Roman"/>
          <w:lang w:val="en-US"/>
        </w:rPr>
        <w:t xml:space="preserve"> Wing Androconia. J. Chem. Ecol. 43, 843–857. https://doi.org/10.1007/s10886-017-0867-3</w:t>
      </w:r>
    </w:p>
    <w:p w:rsidR="002E7999" w:rsidRPr="002E7999" w:rsidRDefault="002E7999" w:rsidP="002E7999">
      <w:pPr>
        <w:pStyle w:val="Bibliography"/>
        <w:spacing w:afterLines="60" w:after="144"/>
        <w:rPr>
          <w:rFonts w:ascii="Times New Roman" w:hAnsi="Times New Roman" w:cs="Times New Roman"/>
          <w:lang w:val="nl-NL"/>
        </w:rPr>
      </w:pPr>
      <w:r w:rsidRPr="002E7999">
        <w:rPr>
          <w:rFonts w:ascii="Times New Roman" w:hAnsi="Times New Roman" w:cs="Times New Roman"/>
          <w:lang w:val="en-US"/>
        </w:rPr>
        <w:t xml:space="preserve">Martin, M.D., Mendelson, T.C., 2016. The accumulation of reproductive isolation in early stages of divergence supports a role for sexual selection. </w:t>
      </w:r>
      <w:r w:rsidRPr="002E7999">
        <w:rPr>
          <w:rFonts w:ascii="Times New Roman" w:hAnsi="Times New Roman" w:cs="Times New Roman"/>
          <w:lang w:val="nl-NL"/>
        </w:rPr>
        <w:t>J. Evol. Biol. 29, 676–689. https://doi.org/10.1111/jeb.12819</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nl-NL"/>
        </w:rPr>
        <w:t xml:space="preserve">Mas, F., Jallon, J.-M., 2005. </w:t>
      </w:r>
      <w:r w:rsidRPr="002E7999">
        <w:rPr>
          <w:rFonts w:ascii="Times New Roman" w:hAnsi="Times New Roman" w:cs="Times New Roman"/>
          <w:lang w:val="en-US"/>
        </w:rPr>
        <w:t xml:space="preserve">Sexual Isolation and Cuticular Hydrocarbon Differences between </w:t>
      </w:r>
      <w:r w:rsidRPr="002E7999">
        <w:rPr>
          <w:rFonts w:ascii="Times New Roman" w:hAnsi="Times New Roman" w:cs="Times New Roman"/>
          <w:i/>
          <w:iCs/>
          <w:lang w:val="en-US"/>
        </w:rPr>
        <w:t>Drosophila santomea</w:t>
      </w:r>
      <w:r w:rsidRPr="002E7999">
        <w:rPr>
          <w:rFonts w:ascii="Times New Roman" w:hAnsi="Times New Roman" w:cs="Times New Roman"/>
          <w:lang w:val="en-US"/>
        </w:rPr>
        <w:t xml:space="preserve"> and </w:t>
      </w:r>
      <w:r w:rsidRPr="002E7999">
        <w:rPr>
          <w:rFonts w:ascii="Times New Roman" w:hAnsi="Times New Roman" w:cs="Times New Roman"/>
          <w:i/>
          <w:iCs/>
          <w:lang w:val="en-US"/>
        </w:rPr>
        <w:t>Drosophila yakuba</w:t>
      </w:r>
      <w:r w:rsidRPr="002E7999">
        <w:rPr>
          <w:rFonts w:ascii="Times New Roman" w:hAnsi="Times New Roman" w:cs="Times New Roman"/>
          <w:lang w:val="en-US"/>
        </w:rPr>
        <w:t>. J. Chem. Ecol. 31, 2747–2752. https://doi.org/10.1007/s10886-005-7570-5</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McPeek, M.A., Symes, L.B., Zong, D.M., McPeek, C.L., 2011. Species recognition and patterns of population variation in the reproductive structures of a damselfly genus. Evol. Int. J. Org. Evol. 65, 419–428. https://doi.org/10.1111/j.1558-5646.2010.01138.x</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Mendelson, T.C., Shaw, K.L., 2012. The (mis)concept of species recognition. Trends Ecol. Evol. 27, 421–427. https://doi.org/10.1016/j.tree.2012.04.001</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 xml:space="preserve">Mérot, C., Frérot, B., Leppik, E., Joron, M., 2015. Beyond magic traits: Multimodal mating cues in </w:t>
      </w:r>
      <w:r w:rsidRPr="002E7999">
        <w:rPr>
          <w:rFonts w:ascii="Times New Roman" w:hAnsi="Times New Roman" w:cs="Times New Roman"/>
          <w:i/>
          <w:iCs/>
          <w:lang w:val="en-US"/>
        </w:rPr>
        <w:t>Heliconius</w:t>
      </w:r>
      <w:r w:rsidRPr="002E7999">
        <w:rPr>
          <w:rFonts w:ascii="Times New Roman" w:hAnsi="Times New Roman" w:cs="Times New Roman"/>
          <w:lang w:val="en-US"/>
        </w:rPr>
        <w:t xml:space="preserve"> butterflies. Evolution 69, 2891–2904. https://doi.org/10.1111/evo.12789</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 xml:space="preserve">Mérot, C., Mavárez, J., Evin, A., Dasmahapatra, K.K., Mallet, J., Lamas, G., Joron, M., 2013. Genetic differentiation without mimicry shift in a pair of hybridizing </w:t>
      </w:r>
      <w:r w:rsidRPr="002E7999">
        <w:rPr>
          <w:rFonts w:ascii="Times New Roman" w:hAnsi="Times New Roman" w:cs="Times New Roman"/>
          <w:i/>
          <w:iCs/>
          <w:lang w:val="en-US"/>
        </w:rPr>
        <w:t>Heliconius</w:t>
      </w:r>
      <w:r w:rsidRPr="002E7999">
        <w:rPr>
          <w:rFonts w:ascii="Times New Roman" w:hAnsi="Times New Roman" w:cs="Times New Roman"/>
          <w:lang w:val="en-US"/>
        </w:rPr>
        <w:t xml:space="preserve"> species (Lepidoptera: Nymphalidae). Biol. J. Linn. Soc. 109, 830–847. https://doi.org/10.1111/bij.12091</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 xml:space="preserve">Merrill, R.M., Chia, A., Nadeau, N.J., 2014. Divergent warning patterns contribute to assortative mating between incipient </w:t>
      </w:r>
      <w:r w:rsidRPr="002E7999">
        <w:rPr>
          <w:rFonts w:ascii="Times New Roman" w:hAnsi="Times New Roman" w:cs="Times New Roman"/>
          <w:i/>
          <w:iCs/>
          <w:lang w:val="en-US"/>
        </w:rPr>
        <w:t xml:space="preserve">Heliconius </w:t>
      </w:r>
      <w:r w:rsidRPr="002E7999">
        <w:rPr>
          <w:rFonts w:ascii="Times New Roman" w:hAnsi="Times New Roman" w:cs="Times New Roman"/>
          <w:lang w:val="en-US"/>
        </w:rPr>
        <w:t>species. Ecol. Evol. 4, 911–917. https://doi.org/10.1002/ece3.996</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 xml:space="preserve">Merrill, R.M., Dasmahapatra, K.K., Davey, J.W., Dell’Aglio, D.D., Hanly, J.J., Huber, B., Jiggins, C.D., Joron, M., Kozak, K.M., Llaurens, V., Martin, S.H., Montgomery, S.H., Morris, J., Nadeau, N.J., Pinharanda, A.L., Rosser, N., Thompson, M.J., Vanjari, S., Wallbank, R.W.R., Yu, Q., 2015. The diversification of </w:t>
      </w:r>
      <w:r w:rsidRPr="002E7999">
        <w:rPr>
          <w:rFonts w:ascii="Times New Roman" w:hAnsi="Times New Roman" w:cs="Times New Roman"/>
          <w:i/>
          <w:iCs/>
          <w:lang w:val="en-US"/>
        </w:rPr>
        <w:t>Heliconius</w:t>
      </w:r>
      <w:r w:rsidRPr="002E7999">
        <w:rPr>
          <w:rFonts w:ascii="Times New Roman" w:hAnsi="Times New Roman" w:cs="Times New Roman"/>
          <w:lang w:val="en-US"/>
        </w:rPr>
        <w:t xml:space="preserve"> butterflies: what have we learned in 150 years? J. Evol. Biol. 28, 1417–1438. https://doi.org/10.1111/jeb.12672</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Merrill, R.M., Gompert, Z., Dembeck, L.M., Kronforst, M.R., McMillan, W.O., Jiggins, C.D., 2011. Mate Preference Across the Speciation Continuum in a Clade of Mimetic Butterflies. Evolution 65, 1489–1500. https://doi.org/10.1111/j.1558-5646.2010.01216.x</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 xml:space="preserve">Merrill, R.M., Naisbit, R.E., Mallet, J., Jiggins, C.D., 2013. Ecological and genetic factors influencing the transition between host-use strategies in sympatric </w:t>
      </w:r>
      <w:r w:rsidRPr="002E7999">
        <w:rPr>
          <w:rFonts w:ascii="Times New Roman" w:hAnsi="Times New Roman" w:cs="Times New Roman"/>
          <w:i/>
          <w:iCs/>
          <w:lang w:val="en-US"/>
        </w:rPr>
        <w:t>Heliconius</w:t>
      </w:r>
      <w:r w:rsidRPr="002E7999">
        <w:rPr>
          <w:rFonts w:ascii="Times New Roman" w:hAnsi="Times New Roman" w:cs="Times New Roman"/>
          <w:lang w:val="en-US"/>
        </w:rPr>
        <w:t xml:space="preserve"> butterflies. J. Evol. Biol. 26, 1959–1967. https://doi.org/10.1111/jeb.12194</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Merrill, R.M., Rastas, P., Martin, S.H., Melo, M.C., Barker, S., Davey, J., McMillan, W.O., Jiggins, C.D., 2019. Genetic dissection of assortative mating behavior. PLOS Biol. 17, e2005902. https://doi.org/10.1371/journal.pbio.2005902</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lastRenderedPageBreak/>
        <w:t>Montgomery, S.H., Merrill, R.M., Ott, S.R., 2016. Brain composition in</w:t>
      </w:r>
      <w:r w:rsidRPr="002E7999">
        <w:rPr>
          <w:rFonts w:ascii="Times New Roman" w:hAnsi="Times New Roman" w:cs="Times New Roman"/>
          <w:i/>
          <w:iCs/>
          <w:lang w:val="en-US"/>
        </w:rPr>
        <w:t xml:space="preserve"> Heliconius</w:t>
      </w:r>
      <w:r w:rsidRPr="002E7999">
        <w:rPr>
          <w:rFonts w:ascii="Times New Roman" w:hAnsi="Times New Roman" w:cs="Times New Roman"/>
          <w:lang w:val="en-US"/>
        </w:rPr>
        <w:t xml:space="preserve"> butterflies, posteclosion growth and experience-dependent neuropil plasticity. J. Comp. Neurol. 524, 1747–1769. https://doi.org/10.1002/cne.23993</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Mullen, L.M., Vignieri, S.N., Gore, J.A., Hoekstra, H.E., 2009. Adaptive basis of geographic variation: genetic, phenotypic and environmental differences among beach mouse populations. Proc. R. Soc. Lond. B Biol. Sci. 276, 3809–3818. https://doi.org/10.1098/rspb.2009.1146</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Nagel, L., Schluter, D., 1998. Body Size, Natural Selection, and Speciation in Sticklebacks. Evolution 52, 209–218. https://doi.org/10.2307/2410936</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Nieberding, C.M., Fischer, K., Saastamoinen, M., Allen, C.E., Wallin, E.A., Hedenström, E., Brakefield, P.M., 2012. Cracking the olfactory code of a butterfly: the scent of ageing. Ecol. Lett. 15, 415–424. https://doi.org/10.1111/j.1461-0248.2012.01748.x</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Oksanen, J., Guillaume Blanchet, F., Friendly, M., Kindt, R., Legendre, P., McGlinn, D., Minchin, P., O’Hara, R., Simpson, G., Solymos, P., Stevens, H., Szoecs, E., Wagner, H., 2017. vegan: Community Ecology Package. R package version 2.4-2.</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Paradis, E., Schliep, K., 2018. ape 5.0: an environment for modern phylogenetics and evolutionary analyses in R. Bioinformatics. https://doi.org/10.1093/bioinformatics/bty633</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Pfennig, K.S., 1998. The evolution of mate choice and the potential for conflict between species and mate–quality recognition. Proc. R. Soc. Lond. B Biol. Sci. 265, 1743–1748. https://doi.org/10.1098/rspb.1998.0497</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Ptacek, M., 2000. The role of mating preferences in shaping interspecific divergence in mating signals in vertebrates. Behav. Processes 51, 111–134. https://doi.org/10.1016/S0376-6357(00)00123-6</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R Core Team, 2018. R: A language and environment for statistical computing. R Foundation for Statistical Computing, Vienna, Austria.</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Ready, J.S., Sampaio, I., Schneider, H., Vinson, C., Santos, T.D., Turner, G.F., 2006. Colour forms of Amazonian cichlid fish represent reproductively isolated species. J. Evol. Biol. 19, 1139–1148. https://doi.org/10.1111/j.1420-9101.2006.01088.x</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Rojas, B., Burdfield-Steel, E., De Pasqual, C., Gordon, S., Hernández, L., Mappes, J., Nokelainen, O., Rönkä, K., Lindstedt, C., 2018. Multimodal Aposematic Signals and Their Emerging Role in Mate Attraction. Front. Ecol. Evol. 6, 93. https://doi.org/10.3389/fevo.2018.00093</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Rojas, B., Burdfield-Steel, E., Pakkanen, H., Suisto, K., Maczka, M., Schulz, S., Mappes, J., 2017. How to fight multiple enemies: target-specific chemical defences in an aposematic moth. Proc. Biol. Sci. 284, 20171424. https://doi.org/10.1098/rspb.2017.1424</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Rojas, B., Mappes, J., Burdfield-Steel, E., 2019. Multiple modalities in insect warning displays have additive effects against wild avian predators. Behav. Ecol. Sociobiol. 73, 37. https://doi.org/10.1007/s00265-019-2643-6</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Rothschild, M., 1961. Defensive Odours and Mullerian Mimicry Among Insects. Trans. R. Entomol. Soc. Lond. 113, 101–123. https://doi.org/10.1111/j.1365-2311.1961.tb00803.x</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 xml:space="preserve">Rothschild, M., Moore, B.P., Brown, W.V., 1984. Pyrazines as warning odour components in the Monarch butterfly, </w:t>
      </w:r>
      <w:r w:rsidRPr="002E7999">
        <w:rPr>
          <w:rFonts w:ascii="Times New Roman" w:hAnsi="Times New Roman" w:cs="Times New Roman"/>
          <w:i/>
          <w:iCs/>
          <w:lang w:val="en-US"/>
        </w:rPr>
        <w:t>Danaus plexippus</w:t>
      </w:r>
      <w:r w:rsidRPr="002E7999">
        <w:rPr>
          <w:rFonts w:ascii="Times New Roman" w:hAnsi="Times New Roman" w:cs="Times New Roman"/>
          <w:lang w:val="en-US"/>
        </w:rPr>
        <w:t xml:space="preserve">, and in moths of the genera </w:t>
      </w:r>
      <w:r w:rsidRPr="002E7999">
        <w:rPr>
          <w:rFonts w:ascii="Times New Roman" w:hAnsi="Times New Roman" w:cs="Times New Roman"/>
          <w:i/>
          <w:iCs/>
          <w:lang w:val="en-US"/>
        </w:rPr>
        <w:t>Zygaena</w:t>
      </w:r>
      <w:r w:rsidRPr="002E7999">
        <w:rPr>
          <w:rFonts w:ascii="Times New Roman" w:hAnsi="Times New Roman" w:cs="Times New Roman"/>
          <w:lang w:val="en-US"/>
        </w:rPr>
        <w:t xml:space="preserve"> and </w:t>
      </w:r>
      <w:r w:rsidRPr="002E7999">
        <w:rPr>
          <w:rFonts w:ascii="Times New Roman" w:hAnsi="Times New Roman" w:cs="Times New Roman"/>
          <w:i/>
          <w:iCs/>
          <w:lang w:val="en-US"/>
        </w:rPr>
        <w:t xml:space="preserve">Amata </w:t>
      </w:r>
      <w:r w:rsidRPr="002E7999">
        <w:rPr>
          <w:rFonts w:ascii="Times New Roman" w:hAnsi="Times New Roman" w:cs="Times New Roman"/>
          <w:lang w:val="en-US"/>
        </w:rPr>
        <w:t>(Lepidoptera). Biol. J. Linn. Soc. 23, 375–380. https://doi.org/10.1111/j.1095-8312.1984.tb00153.x</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Ryan, M.J., Guerra, M.A., 2014. The mechanism of sound production in túngara frogs and its role in sexual selection and speciation. Curr. Opin. Neurobiol. 28, 54–59. https://doi.org/10.1016/j.conb.2014.06.008</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lastRenderedPageBreak/>
        <w:t>Ryan, M.J., Rand, A.S., 1993. Species Recognition and Sexual Selection as a Unitary Problem in Animal Communication. Evolution 47, 647–657. https://doi.org/10.2307/2410076</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 xml:space="preserve">Ryan, M.J., Rand, A.S., Weigt, L.A., 1996. Allozyme and Advertisement Call Variation in the Túngara Frog, </w:t>
      </w:r>
      <w:r w:rsidRPr="002E7999">
        <w:rPr>
          <w:rFonts w:ascii="Times New Roman" w:hAnsi="Times New Roman" w:cs="Times New Roman"/>
          <w:i/>
          <w:iCs/>
          <w:lang w:val="en-US"/>
        </w:rPr>
        <w:t>Physalaemus Pustulosus</w:t>
      </w:r>
      <w:r w:rsidRPr="002E7999">
        <w:rPr>
          <w:rFonts w:ascii="Times New Roman" w:hAnsi="Times New Roman" w:cs="Times New Roman"/>
          <w:lang w:val="en-US"/>
        </w:rPr>
        <w:t>. Evolution 50, 2435–2453. https://doi.org/10.1111/j.1558-5646.1996.tb03630.x</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Sánchez, A.P., Pardo-Diaz, C., Enciso-Romero, J., Muñoz, A.G., Jiggins, C.D., Salazar, C., Linares, M., 2015. An introgressed wing pattern acts as a mating cue. Evol. Int. J. Org. Evol. 69, 1619–1629. https://doi.org/10.1111/evo.12679</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 xml:space="preserve">Saveer, A.M., Becher, P.G., Birgersson, G., Hansson, B.S., Witzgall, P., Bengtsson, M., 2014. Mate recognition and reproductive isolation in the sibling species </w:t>
      </w:r>
      <w:r w:rsidRPr="002E7999">
        <w:rPr>
          <w:rFonts w:ascii="Times New Roman" w:hAnsi="Times New Roman" w:cs="Times New Roman"/>
          <w:i/>
          <w:iCs/>
          <w:lang w:val="en-US"/>
        </w:rPr>
        <w:t>Spodoptera littoralis</w:t>
      </w:r>
      <w:r w:rsidRPr="002E7999">
        <w:rPr>
          <w:rFonts w:ascii="Times New Roman" w:hAnsi="Times New Roman" w:cs="Times New Roman"/>
          <w:lang w:val="en-US"/>
        </w:rPr>
        <w:t xml:space="preserve"> and </w:t>
      </w:r>
      <w:r w:rsidRPr="002E7999">
        <w:rPr>
          <w:rFonts w:ascii="Times New Roman" w:hAnsi="Times New Roman" w:cs="Times New Roman"/>
          <w:i/>
          <w:iCs/>
          <w:lang w:val="en-US"/>
        </w:rPr>
        <w:t>Spodoptera litura</w:t>
      </w:r>
      <w:r w:rsidRPr="002E7999">
        <w:rPr>
          <w:rFonts w:ascii="Times New Roman" w:hAnsi="Times New Roman" w:cs="Times New Roman"/>
          <w:lang w:val="en-US"/>
        </w:rPr>
        <w:t>. Chem. Ecol. 2, 18. https://doi.org/10.3389/fevo.2014.00018</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 xml:space="preserve">Schulz, S., Estrada, C., Yildizham, S., Boppré, M., Gilbert, L.E., 2008. An antiaphrodisiac in </w:t>
      </w:r>
      <w:r w:rsidRPr="002E7999">
        <w:rPr>
          <w:rFonts w:ascii="Times New Roman" w:hAnsi="Times New Roman" w:cs="Times New Roman"/>
          <w:i/>
          <w:iCs/>
          <w:lang w:val="en-US"/>
        </w:rPr>
        <w:t>Heliconius melpomene</w:t>
      </w:r>
      <w:r w:rsidRPr="002E7999">
        <w:rPr>
          <w:rFonts w:ascii="Times New Roman" w:hAnsi="Times New Roman" w:cs="Times New Roman"/>
          <w:lang w:val="en-US"/>
        </w:rPr>
        <w:t xml:space="preserve"> butterflies. J. Chem. Ecol. 34, 82–93. https://doi.org/10.1007/s10886-007-9393-z</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Seehausen, O., Terai, Y., Magalhaes, I.S., Carleton, K.L., Mrosso, H.D.J., Miyagi, R., van der Sluijs, I., Schneider, M.V., Maan, M.E., Tachida, H., Imai, H., Okada, N., 2008. Speciation through sensory drive in cichlid fish. Nature 455, 620–626. https://doi.org/10.1038/nature07285</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Selz, O.M., Pierotti, M.E.R., Maan, M.E., Schmid, C., Seehausen, O., 2014. Female preference for male color is necessary and sufficient for assortative mating in 2 cichlid sister species. Behav. Ecol. 25, 612–626. https://doi.org/10.1093/beheco/aru024</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 xml:space="preserve">Sheppard, P.M., Turner, J.R.G., Brown K. S., Benson W. W., Singer M. C., 1985. Genetics and the evolution of Muellerian mimicry in </w:t>
      </w:r>
      <w:r w:rsidRPr="002E7999">
        <w:rPr>
          <w:rFonts w:ascii="Times New Roman" w:hAnsi="Times New Roman" w:cs="Times New Roman"/>
          <w:i/>
          <w:iCs/>
          <w:lang w:val="en-US"/>
        </w:rPr>
        <w:t xml:space="preserve">Heliconius </w:t>
      </w:r>
      <w:r w:rsidRPr="002E7999">
        <w:rPr>
          <w:rFonts w:ascii="Times New Roman" w:hAnsi="Times New Roman" w:cs="Times New Roman"/>
          <w:lang w:val="en-US"/>
        </w:rPr>
        <w:t>butterflies. Philos. Trans. R. Soc. Lond. B Biol. Sci. 308, 433–610. https://doi.org/10.1098/rstb.1985.0066</w:t>
      </w:r>
    </w:p>
    <w:p w:rsidR="002E7999" w:rsidRPr="00572CCF" w:rsidRDefault="002E7999" w:rsidP="002E7999">
      <w:pPr>
        <w:pStyle w:val="Bibliography"/>
        <w:spacing w:afterLines="60" w:after="144"/>
        <w:rPr>
          <w:rFonts w:ascii="Times New Roman" w:hAnsi="Times New Roman" w:cs="Times New Roman"/>
          <w:lang w:val="de-DE"/>
        </w:rPr>
      </w:pPr>
      <w:r w:rsidRPr="002E7999">
        <w:rPr>
          <w:rFonts w:ascii="Times New Roman" w:hAnsi="Times New Roman" w:cs="Times New Roman"/>
          <w:lang w:val="en-US"/>
        </w:rPr>
        <w:t xml:space="preserve">Sherratt, T.N., 2008. The evolution of Müllerian mimicry. </w:t>
      </w:r>
      <w:r w:rsidRPr="00572CCF">
        <w:rPr>
          <w:rFonts w:ascii="Times New Roman" w:hAnsi="Times New Roman" w:cs="Times New Roman"/>
          <w:lang w:val="de-DE"/>
        </w:rPr>
        <w:t>Naturwissenschaften 95, 681–695. https://doi.org/10.1007/s00114-008-0403-y</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Smadja, C.M., Butlin, R.K., 2008. On the scent of speciation: the chemosensory system and its role in premating isolation. Heredity 102, 77–97. https://doi.org/10.1038/hdy.2008.55</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 xml:space="preserve">Stoeffler, M., Maier, T.S., Tolasch, T., Steidle, J.L.M., 2007. Foreign-language Skills in Rove-Beetles? Evidence for Chemical Mimicry of Ant Alarm Pheromones in Myrmecophilous </w:t>
      </w:r>
      <w:r w:rsidRPr="002E7999">
        <w:rPr>
          <w:rFonts w:ascii="Times New Roman" w:hAnsi="Times New Roman" w:cs="Times New Roman"/>
          <w:i/>
          <w:iCs/>
          <w:lang w:val="en-US"/>
        </w:rPr>
        <w:t>Pella</w:t>
      </w:r>
      <w:r w:rsidRPr="002E7999">
        <w:rPr>
          <w:rFonts w:ascii="Times New Roman" w:hAnsi="Times New Roman" w:cs="Times New Roman"/>
          <w:lang w:val="en-US"/>
        </w:rPr>
        <w:t xml:space="preserve"> Beetles (Coleoptera: Staphylinidae). J. Chem. Ecol. 33, 1382–1392. https://doi.org/10.1007/s10886-007-9315-0</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Sun, K., Luo, L., Kimball, R.T., Wei, X., Jin, L., Jiang, T., Li, G., Feng, J., 2013. Geographic Variation in the Acoustic Traits of Greater Horseshoe Bats: Testing the Importance of Drift and Ecological Selection in Evolutionary Processes. PLOS ONE 8, e70368. https://doi.org/10.1371/journal.pone.0070368</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Van Belleghem, S.M., Rastas, P., Papanicolaou, A., Martin, S.H., Arias, C.F., Supple, M.A., Hanly, J.J., Mallet, J., Lewis, J.J., Hines, H.M., Ruiz, M., Salazar, C., Linares, M., Moreira, G.R.P., Jiggins, C.D., Counterman, B.A., McMillan, W.O., Papa, R., 2017. Complex modular architecture around a simple toolkit of wing pattern genes. Nat. Ecol. Evol. 1, 52. https://doi.org/10.1038/s41559-016-0052</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van Bergen, E., Brakefield, P.M., Heuskin, S., Zwaan, B.J., Nieberding, C.M., 2013. The scent of inbreeding: a male sex pheromone betrays inbred males. Proc. R. Soc. Lond. B Biol. Sci. 280, 20130102. https://doi.org/10.1098/rspb.2013.0102</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Vencl, F.V., Ottens, K., Dixon, M.M., Candler, S., Bernal, X.E., Estrada, C., Page, R.A., 2016. Pyrazine emission by a tropical firefly: An example of chemical aposematism? Biotropica 48, 645–655. https://doi.org/10.1111/btp.12336</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lastRenderedPageBreak/>
        <w:t>Vereecken, N.J., McNeil, J.N., 2010. Cheaters and liars: chemical mimicry at its finest. Can. J. Zool. 88, 725–752. https://doi.org/10.1139/Z10-040</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Wang, Y., Naumann, U., Wright, S.T., Warton, D.I., 2012. mvabund– an R package for model-based analysis of multivariate abundance data. Methods Ecol. Evol. 3, 471–474. https://doi.org/10.1111/j.2041-210X.2012.00190.x</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Warton, D.I., Wright, S.T., Wang, Y., 2012. Distance-based multivariate analyses confound location and dispersion effects. Methods Ecol. Evol. 3, 89–101. https://doi.org/10.1111/j.2041-210X.2011.00127.x</w:t>
      </w:r>
    </w:p>
    <w:p w:rsidR="002E7999" w:rsidRPr="00572CCF" w:rsidRDefault="002E7999" w:rsidP="002E7999">
      <w:pPr>
        <w:pStyle w:val="Bibliography"/>
        <w:spacing w:afterLines="60" w:after="144"/>
        <w:rPr>
          <w:rFonts w:ascii="Times New Roman" w:hAnsi="Times New Roman" w:cs="Times New Roman"/>
          <w:lang w:val="nb-NO"/>
        </w:rPr>
      </w:pPr>
      <w:r w:rsidRPr="002E7999">
        <w:rPr>
          <w:rFonts w:ascii="Times New Roman" w:hAnsi="Times New Roman" w:cs="Times New Roman"/>
          <w:lang w:val="en-US"/>
        </w:rPr>
        <w:t xml:space="preserve">Weber, M.G., Mitko, L., Eltz, T., Ramírez, S.R., 2016. Macroevolution of perfume signalling in orchid bees. </w:t>
      </w:r>
      <w:r w:rsidRPr="00572CCF">
        <w:rPr>
          <w:rFonts w:ascii="Times New Roman" w:hAnsi="Times New Roman" w:cs="Times New Roman"/>
          <w:lang w:val="nb-NO"/>
        </w:rPr>
        <w:t>Ecol. Lett. 19, 1314–1323. https://doi.org/10.1111/ele.12667</w:t>
      </w:r>
    </w:p>
    <w:p w:rsidR="002E7999" w:rsidRPr="002E7999" w:rsidRDefault="002E7999" w:rsidP="002E7999">
      <w:pPr>
        <w:pStyle w:val="Bibliography"/>
        <w:spacing w:afterLines="60" w:after="144"/>
        <w:rPr>
          <w:rFonts w:ascii="Times New Roman" w:hAnsi="Times New Roman" w:cs="Times New Roman"/>
          <w:lang w:val="en-US"/>
        </w:rPr>
      </w:pPr>
      <w:r w:rsidRPr="00572CCF">
        <w:rPr>
          <w:rFonts w:ascii="Times New Roman" w:hAnsi="Times New Roman" w:cs="Times New Roman"/>
          <w:lang w:val="nb-NO"/>
        </w:rPr>
        <w:t xml:space="preserve">Wickham, H., 2009. ggplot2: Elegant Graphics for Data Analysis. </w:t>
      </w:r>
      <w:r w:rsidRPr="002E7999">
        <w:rPr>
          <w:rFonts w:ascii="Times New Roman" w:hAnsi="Times New Roman" w:cs="Times New Roman"/>
          <w:lang w:val="en-US"/>
        </w:rPr>
        <w:t>Springer-Verlag new York.</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Wong, B., 2011. Points of view: Color blindness. Nat. Methods 8, 441. https://doi.org/10.1038/nmeth.1618</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Wyatt, T.D., 2014. Pheromones and Animal Behavior: Chemical Signals and Signatures. Cambridge University Press, Cambridge.</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Wyatt, T.D., 2003. Pheromones and Animal Behaviour: Communication by Smell and Taste. Cambridge University Press, Cambridge.</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 xml:space="preserve">Yildizhan, S., van Loon, J., Sramkova, A., Ayasse, M., Arsene, C., ten Broeke, C., Schulz, S., 2009. Aphrodisiac pheromones from the wings of the small cabbage white and large cabbage white butterflies, </w:t>
      </w:r>
      <w:r w:rsidRPr="002E7999">
        <w:rPr>
          <w:rFonts w:ascii="Times New Roman" w:hAnsi="Times New Roman" w:cs="Times New Roman"/>
          <w:i/>
          <w:iCs/>
          <w:lang w:val="en-US"/>
        </w:rPr>
        <w:t>Pieris rapae</w:t>
      </w:r>
      <w:r w:rsidRPr="002E7999">
        <w:rPr>
          <w:rFonts w:ascii="Times New Roman" w:hAnsi="Times New Roman" w:cs="Times New Roman"/>
          <w:lang w:val="en-US"/>
        </w:rPr>
        <w:t xml:space="preserve"> and </w:t>
      </w:r>
      <w:r w:rsidRPr="002E7999">
        <w:rPr>
          <w:rFonts w:ascii="Times New Roman" w:hAnsi="Times New Roman" w:cs="Times New Roman"/>
          <w:i/>
          <w:iCs/>
          <w:lang w:val="en-US"/>
        </w:rPr>
        <w:t>Pieris brassicae</w:t>
      </w:r>
      <w:r w:rsidRPr="002E7999">
        <w:rPr>
          <w:rFonts w:ascii="Times New Roman" w:hAnsi="Times New Roman" w:cs="Times New Roman"/>
          <w:lang w:val="en-US"/>
        </w:rPr>
        <w:t>. ChemBioChem 10, 1666–1677. https://doi.org/10.1002/cbic.200900183</w:t>
      </w:r>
    </w:p>
    <w:p w:rsidR="002E7999" w:rsidRPr="002E7999" w:rsidRDefault="002E7999" w:rsidP="002E7999">
      <w:pPr>
        <w:pStyle w:val="Bibliography"/>
        <w:spacing w:afterLines="60" w:after="144"/>
        <w:rPr>
          <w:rFonts w:ascii="Times New Roman" w:hAnsi="Times New Roman" w:cs="Times New Roman"/>
          <w:lang w:val="en-US"/>
        </w:rPr>
      </w:pPr>
      <w:r w:rsidRPr="002E7999">
        <w:rPr>
          <w:rFonts w:ascii="Times New Roman" w:hAnsi="Times New Roman" w:cs="Times New Roman"/>
          <w:lang w:val="en-US"/>
        </w:rPr>
        <w:t>Zimmermann, Y., Roubik, D.W., Eltz, T., 2006. Species-specific attraction to pheromonal analogues in orchid bees. Behav. Ecol. Sociobiol. 60, 833. https://doi.org/10.1007/s00265-006-0227-8</w:t>
      </w:r>
    </w:p>
    <w:p w:rsidR="00A7633C" w:rsidRPr="002E7999" w:rsidRDefault="00A7633C" w:rsidP="002E7999">
      <w:pPr>
        <w:spacing w:afterLines="60" w:after="144" w:line="240" w:lineRule="auto"/>
        <w:rPr>
          <w:rFonts w:ascii="Times New Roman" w:hAnsi="Times New Roman" w:cs="Times New Roman"/>
          <w:b/>
          <w:bCs/>
          <w:sz w:val="24"/>
          <w:szCs w:val="24"/>
        </w:rPr>
      </w:pPr>
      <w:r w:rsidRPr="002E7999">
        <w:rPr>
          <w:rFonts w:ascii="Times New Roman" w:hAnsi="Times New Roman" w:cs="Times New Roman"/>
          <w:b/>
          <w:bCs/>
        </w:rPr>
        <w:fldChar w:fldCharType="end"/>
      </w:r>
    </w:p>
    <w:p w:rsidR="00A7633C" w:rsidRPr="002E7999" w:rsidRDefault="00A7633C" w:rsidP="002E7999">
      <w:pPr>
        <w:spacing w:afterLines="60" w:after="144" w:line="240" w:lineRule="auto"/>
        <w:rPr>
          <w:rFonts w:ascii="Times New Roman" w:hAnsi="Times New Roman" w:cs="Times New Roman"/>
          <w:sz w:val="24"/>
          <w:szCs w:val="24"/>
        </w:rPr>
      </w:pPr>
      <w:r w:rsidRPr="002E7999">
        <w:rPr>
          <w:rFonts w:ascii="Times New Roman" w:hAnsi="Times New Roman" w:cs="Times New Roman"/>
          <w:sz w:val="24"/>
          <w:szCs w:val="24"/>
        </w:rPr>
        <w:br w:type="page"/>
      </w:r>
    </w:p>
    <w:p w:rsidR="00E83902" w:rsidRPr="000224E9" w:rsidRDefault="00E83902" w:rsidP="00E83902">
      <w:pPr>
        <w:spacing w:after="0" w:line="480" w:lineRule="auto"/>
        <w:rPr>
          <w:rFonts w:ascii="Times New Roman" w:eastAsia="MS Mincho" w:hAnsi="Times New Roman" w:cs="Times New Roman"/>
          <w:color w:val="000000"/>
          <w:sz w:val="24"/>
          <w:szCs w:val="24"/>
        </w:rPr>
      </w:pPr>
      <w:r>
        <w:rPr>
          <w:rFonts w:ascii="Times New Roman" w:hAnsi="Times New Roman" w:cs="Times New Roman"/>
          <w:b/>
          <w:bCs/>
          <w:sz w:val="28"/>
          <w:szCs w:val="28"/>
        </w:rPr>
        <w:lastRenderedPageBreak/>
        <w:t>Figure Legends</w:t>
      </w:r>
    </w:p>
    <w:p w:rsidR="00E83902" w:rsidRDefault="00E83902" w:rsidP="00E83902">
      <w:pPr>
        <w:spacing w:line="360" w:lineRule="auto"/>
        <w:rPr>
          <w:rFonts w:ascii="Times New Roman" w:hAnsi="Times New Roman" w:cs="Times New Roman"/>
          <w:b/>
          <w:bCs/>
        </w:rPr>
      </w:pPr>
      <w:r w:rsidRPr="000224E9">
        <w:rPr>
          <w:rFonts w:ascii="Times New Roman" w:hAnsi="Times New Roman" w:cs="Times New Roman"/>
          <w:b/>
          <w:bCs/>
        </w:rPr>
        <w:t xml:space="preserve">Figure 1. Map indicating species collected from twelve localities across the Neotropics. </w:t>
      </w:r>
      <w:r w:rsidRPr="00E83902">
        <w:rPr>
          <w:rFonts w:ascii="Times New Roman" w:hAnsi="Times New Roman" w:cs="Times New Roman"/>
        </w:rPr>
        <w:t xml:space="preserve">See Table A1 for sample numbers. The phylogeny was previously published by Kozak </w:t>
      </w:r>
      <w:r w:rsidRPr="00E83902">
        <w:rPr>
          <w:rFonts w:ascii="Times New Roman" w:hAnsi="Times New Roman" w:cs="Times New Roman"/>
          <w:i/>
          <w:iCs/>
        </w:rPr>
        <w:t>et al</w:t>
      </w:r>
      <w:r w:rsidRPr="00E83902">
        <w:rPr>
          <w:rFonts w:ascii="Times New Roman" w:hAnsi="Times New Roman" w:cs="Times New Roman"/>
        </w:rPr>
        <w:t xml:space="preserve">., </w:t>
      </w:r>
      <w:r w:rsidRPr="00E83902">
        <w:rPr>
          <w:rFonts w:ascii="Times New Roman" w:hAnsi="Times New Roman" w:cs="Times New Roman"/>
        </w:rPr>
        <w:fldChar w:fldCharType="begin"/>
      </w:r>
      <w:r w:rsidRPr="00E83902">
        <w:rPr>
          <w:rFonts w:ascii="Times New Roman" w:hAnsi="Times New Roman" w:cs="Times New Roman"/>
        </w:rPr>
        <w:instrText xml:space="preserve"> ADDIN ZOTERO_ITEM CSL_CITATION {"citationID":"a258jmsckvd","properties":{"formattedCitation":"(Kozak et al., 2015)","plainCitation":"(Kozak et al., 2015)","dontUpdate":true,"noteIndex":0},"citationItems":[{"id":2190,"uris":["http://zotero.org/users/2671101/items/UZ65A5JV"],"uri":["http://zotero.org/users/2671101/items/UZ65A5JV"],"itemData":{"id":2190,"type":"article-journal","title":"Multilocus species trees show the recent adaptive radiation of the mimetic &lt;i&gt;Heliconius &lt;/i&gt;butterflies","container-title":"Systematic Biology","page":"505-524","volume":"64","issue":"3","source":"PubMed Central","abstract":"Müllerian mimicry among Neotropical Heliconiini butterflies is an excellent example of natural selection, associated with the diversification of a large continental-scale radiation. Some of the processes driving the evolution of mimicry rings are likely to generate incongruent phylogenetic signals across the assemblage, and thus pose a challenge for systematics. We use a data set of 22 mitochondrial and nuclear markers from 92% of species in the tribe, obtained by Sanger sequencing and de novo assembly of short read data, to re-examine the phylogeny of Heliconiini with both supermatrix and multispecies coalescent approaches, characterize the patterns of conflicting signal, and compare the performance of various methodological approaches to reflect the heterogeneity across the data. Despite the large extent of reticulate signal and strong conflict between markers, nearly identical topologies are consistently recovered by most of the analyses, although the supermatrix approach failed to reflect the underlying variation in the history of individual loci. However, the supermatrix represents a useful approximation where multiple rare species represented by short sequences can be incorporated easily. The first comprehensive, time-calibrated phylogeny of this group is used to test the hypotheses of a diversification rate increase driven by the dramatic environmental changes in the Neotropics over the past 23 myr, or changes caused by diversity-dependent effects on the rate of diversification. We find that the rate of diversification has increased on the branch leading to the presently most species-rich genus Heliconius, but the change occurred gradually and cannot be unequivocally attributed to a specific environmental driver. Our study provides comprehensive comparison of philosophically distinct species tree reconstruction methods and provides insights into the diversification of an important insect radiation in the most biodiverse region of the planet.","DOI":"10.1093/sysbio/syv007","ISSN":"1063-5157","note":"PMID: 25634098\nPMCID: PMC4395847","journalAbbreviation":"Syst Biol","author":[{"family":"Kozak","given":"K. M."},{"family":"Wahlberg","given":"Niklas"},{"family":"Neild","given":"Andrew F. E."},{"family":"Dasmahapatra","given":"K. K."},{"family":"Mallet","given":"James"},{"family":"Jiggins","given":"Chris D."}],"issued":{"date-parts":[["2015",5]]}}}],"schema":"https://github.com/citation-style-language/schema/raw/master/csl-citation.json"} </w:instrText>
      </w:r>
      <w:r w:rsidRPr="00E83902">
        <w:rPr>
          <w:rFonts w:ascii="Times New Roman" w:hAnsi="Times New Roman" w:cs="Times New Roman"/>
        </w:rPr>
        <w:fldChar w:fldCharType="separate"/>
      </w:r>
      <w:r w:rsidRPr="00E83902">
        <w:rPr>
          <w:rFonts w:ascii="Times New Roman" w:hAnsi="Times New Roman" w:cs="Times New Roman"/>
          <w:lang w:val="en-US"/>
        </w:rPr>
        <w:t>(2015)</w:t>
      </w:r>
      <w:r w:rsidRPr="00E83902">
        <w:rPr>
          <w:rFonts w:ascii="Times New Roman" w:hAnsi="Times New Roman" w:cs="Times New Roman"/>
        </w:rPr>
        <w:fldChar w:fldCharType="end"/>
      </w:r>
      <w:r w:rsidRPr="00E83902">
        <w:rPr>
          <w:rFonts w:ascii="Times New Roman" w:hAnsi="Times New Roman" w:cs="Times New Roman"/>
        </w:rPr>
        <w:t>.</w:t>
      </w:r>
    </w:p>
    <w:p w:rsidR="00E83902" w:rsidRDefault="00E83902" w:rsidP="00E83902">
      <w:pPr>
        <w:spacing w:line="360" w:lineRule="auto"/>
        <w:rPr>
          <w:rFonts w:ascii="Times New Roman" w:hAnsi="Times New Roman" w:cs="Times New Roman"/>
        </w:rPr>
      </w:pPr>
      <w:r w:rsidRPr="000224E9">
        <w:rPr>
          <w:rFonts w:ascii="Times New Roman" w:hAnsi="Times New Roman" w:cs="Times New Roman"/>
          <w:b/>
          <w:bCs/>
        </w:rPr>
        <w:t xml:space="preserve">Figure 2. Composition of </w:t>
      </w:r>
      <w:proofErr w:type="spellStart"/>
      <w:r w:rsidRPr="000224E9">
        <w:rPr>
          <w:rFonts w:ascii="Times New Roman" w:hAnsi="Times New Roman" w:cs="Times New Roman"/>
          <w:b/>
          <w:bCs/>
        </w:rPr>
        <w:t>androconial</w:t>
      </w:r>
      <w:proofErr w:type="spellEnd"/>
      <w:r w:rsidRPr="000224E9">
        <w:rPr>
          <w:rFonts w:ascii="Times New Roman" w:hAnsi="Times New Roman" w:cs="Times New Roman"/>
          <w:b/>
          <w:bCs/>
        </w:rPr>
        <w:t xml:space="preserve"> and genital chemical bouquets across seven </w:t>
      </w:r>
      <w:proofErr w:type="spellStart"/>
      <w:r w:rsidRPr="000224E9">
        <w:rPr>
          <w:rFonts w:ascii="Times New Roman" w:hAnsi="Times New Roman" w:cs="Times New Roman"/>
          <w:b/>
          <w:bCs/>
          <w:i/>
          <w:iCs/>
        </w:rPr>
        <w:t>Heliconius</w:t>
      </w:r>
      <w:proofErr w:type="spellEnd"/>
      <w:r w:rsidRPr="000224E9">
        <w:rPr>
          <w:rFonts w:ascii="Times New Roman" w:hAnsi="Times New Roman" w:cs="Times New Roman"/>
          <w:b/>
          <w:bCs/>
          <w:i/>
          <w:iCs/>
        </w:rPr>
        <w:t xml:space="preserve"> </w:t>
      </w:r>
      <w:r w:rsidRPr="000224E9">
        <w:rPr>
          <w:rFonts w:ascii="Times New Roman" w:hAnsi="Times New Roman" w:cs="Times New Roman"/>
          <w:b/>
          <w:bCs/>
        </w:rPr>
        <w:t xml:space="preserve">species. </w:t>
      </w:r>
      <w:r w:rsidRPr="000224E9">
        <w:rPr>
          <w:rFonts w:ascii="Times New Roman" w:hAnsi="Times New Roman" w:cs="Times New Roman"/>
        </w:rPr>
        <w:t xml:space="preserve">Species significantly differ in: (A) number of </w:t>
      </w:r>
      <w:proofErr w:type="spellStart"/>
      <w:r w:rsidRPr="000224E9">
        <w:rPr>
          <w:rFonts w:ascii="Times New Roman" w:hAnsi="Times New Roman" w:cs="Times New Roman"/>
        </w:rPr>
        <w:t>androconial</w:t>
      </w:r>
      <w:proofErr w:type="spellEnd"/>
      <w:r w:rsidRPr="000224E9">
        <w:rPr>
          <w:rFonts w:ascii="Times New Roman" w:hAnsi="Times New Roman" w:cs="Times New Roman"/>
        </w:rPr>
        <w:t xml:space="preserve"> compounds (ANOVA, F</w:t>
      </w:r>
      <w:r w:rsidRPr="000224E9">
        <w:rPr>
          <w:rFonts w:ascii="Times New Roman" w:hAnsi="Times New Roman" w:cs="Times New Roman"/>
          <w:vertAlign w:val="subscript"/>
        </w:rPr>
        <w:t>6,245</w:t>
      </w:r>
      <w:r w:rsidRPr="000224E9">
        <w:rPr>
          <w:rFonts w:ascii="Times New Roman" w:hAnsi="Times New Roman" w:cs="Times New Roman"/>
        </w:rPr>
        <w:t>=21.54, p&lt;0.001), (B) number of genital compounds (</w:t>
      </w:r>
      <w:proofErr w:type="spellStart"/>
      <w:r w:rsidRPr="000224E9">
        <w:rPr>
          <w:rFonts w:ascii="Times New Roman" w:hAnsi="Times New Roman" w:cs="Times New Roman"/>
        </w:rPr>
        <w:t>ANOVa</w:t>
      </w:r>
      <w:proofErr w:type="spellEnd"/>
      <w:r w:rsidRPr="000224E9">
        <w:rPr>
          <w:rFonts w:ascii="Times New Roman" w:hAnsi="Times New Roman" w:cs="Times New Roman"/>
        </w:rPr>
        <w:t>, F</w:t>
      </w:r>
      <w:r w:rsidRPr="000224E9">
        <w:rPr>
          <w:rFonts w:ascii="Times New Roman" w:hAnsi="Times New Roman" w:cs="Times New Roman"/>
          <w:vertAlign w:val="subscript"/>
        </w:rPr>
        <w:t>6,268</w:t>
      </w:r>
      <w:r w:rsidRPr="000224E9">
        <w:rPr>
          <w:rFonts w:ascii="Times New Roman" w:hAnsi="Times New Roman" w:cs="Times New Roman"/>
        </w:rPr>
        <w:t xml:space="preserve">=36.15, p&lt;0.001), (C) amount of </w:t>
      </w:r>
      <w:proofErr w:type="spellStart"/>
      <w:r w:rsidRPr="000224E9">
        <w:rPr>
          <w:rFonts w:ascii="Times New Roman" w:hAnsi="Times New Roman" w:cs="Times New Roman"/>
        </w:rPr>
        <w:t>androconial</w:t>
      </w:r>
      <w:proofErr w:type="spellEnd"/>
      <w:r w:rsidRPr="000224E9">
        <w:rPr>
          <w:rFonts w:ascii="Times New Roman" w:hAnsi="Times New Roman" w:cs="Times New Roman"/>
        </w:rPr>
        <w:t xml:space="preserve"> compounds (ANOVA, F</w:t>
      </w:r>
      <w:r w:rsidRPr="000224E9">
        <w:rPr>
          <w:rFonts w:ascii="Times New Roman" w:hAnsi="Times New Roman" w:cs="Times New Roman"/>
          <w:vertAlign w:val="subscript"/>
        </w:rPr>
        <w:t>6,245</w:t>
      </w:r>
      <w:r w:rsidRPr="000224E9">
        <w:rPr>
          <w:rFonts w:ascii="Times New Roman" w:hAnsi="Times New Roman" w:cs="Times New Roman"/>
        </w:rPr>
        <w:t>=11.55, p&lt;0.001), (D) amount of genital compounds (ANOVA, F</w:t>
      </w:r>
      <w:r w:rsidRPr="000224E9">
        <w:rPr>
          <w:rFonts w:ascii="Times New Roman" w:hAnsi="Times New Roman" w:cs="Times New Roman"/>
          <w:vertAlign w:val="subscript"/>
        </w:rPr>
        <w:t>6,268</w:t>
      </w:r>
      <w:r w:rsidRPr="000224E9">
        <w:rPr>
          <w:rFonts w:ascii="Times New Roman" w:hAnsi="Times New Roman" w:cs="Times New Roman"/>
        </w:rPr>
        <w:t>=11.62, p&lt;0.001). Four outlier individuals were removed from C.</w:t>
      </w:r>
    </w:p>
    <w:p w:rsidR="00E83902" w:rsidRPr="00E83902" w:rsidRDefault="00E83902" w:rsidP="00E83902">
      <w:pPr>
        <w:spacing w:line="360" w:lineRule="auto"/>
        <w:rPr>
          <w:rFonts w:ascii="Times New Roman" w:eastAsia="MS Mincho" w:hAnsi="Times New Roman" w:cs="Times New Roman"/>
          <w:iCs/>
          <w:color w:val="000000"/>
        </w:rPr>
      </w:pPr>
      <w:r w:rsidRPr="000224E9">
        <w:rPr>
          <w:rFonts w:ascii="Times New Roman" w:hAnsi="Times New Roman" w:cs="Times New Roman"/>
          <w:b/>
          <w:bCs/>
        </w:rPr>
        <w:t xml:space="preserve">Figure 3. </w:t>
      </w:r>
      <w:r w:rsidRPr="000224E9">
        <w:rPr>
          <w:rFonts w:ascii="Times New Roman" w:eastAsia="MS Mincho" w:hAnsi="Times New Roman" w:cs="Times New Roman"/>
          <w:b/>
          <w:bCs/>
          <w:color w:val="000000"/>
        </w:rPr>
        <w:t xml:space="preserve">NMDS (non-metric multidimensional scaling) plot illustrating in three dimensions the variation in chemical compounds of male </w:t>
      </w:r>
      <w:proofErr w:type="spellStart"/>
      <w:r w:rsidRPr="000224E9">
        <w:rPr>
          <w:rFonts w:ascii="Times New Roman" w:eastAsia="MS Mincho" w:hAnsi="Times New Roman" w:cs="Times New Roman"/>
          <w:b/>
          <w:bCs/>
          <w:i/>
          <w:color w:val="000000"/>
        </w:rPr>
        <w:t>Heliconius</w:t>
      </w:r>
      <w:proofErr w:type="spellEnd"/>
      <w:r w:rsidRPr="000224E9">
        <w:rPr>
          <w:rFonts w:ascii="Times New Roman" w:eastAsia="MS Mincho" w:hAnsi="Times New Roman" w:cs="Times New Roman"/>
          <w:b/>
          <w:bCs/>
          <w:i/>
          <w:color w:val="000000"/>
        </w:rPr>
        <w:t xml:space="preserve"> </w:t>
      </w:r>
      <w:r w:rsidRPr="000224E9">
        <w:rPr>
          <w:rFonts w:ascii="Times New Roman" w:eastAsia="MS Mincho" w:hAnsi="Times New Roman" w:cs="Times New Roman"/>
          <w:b/>
          <w:bCs/>
          <w:iCs/>
          <w:color w:val="000000"/>
        </w:rPr>
        <w:t>of different species.</w:t>
      </w:r>
      <w:r w:rsidRPr="000224E9">
        <w:rPr>
          <w:rFonts w:ascii="Times New Roman" w:eastAsia="MS Mincho" w:hAnsi="Times New Roman" w:cs="Times New Roman"/>
          <w:b/>
          <w:bCs/>
          <w:i/>
          <w:color w:val="000000"/>
        </w:rPr>
        <w:t xml:space="preserve"> </w:t>
      </w:r>
      <w:r w:rsidRPr="000224E9">
        <w:rPr>
          <w:rFonts w:ascii="Times New Roman" w:eastAsia="MS Mincho" w:hAnsi="Times New Roman" w:cs="Times New Roman"/>
          <w:iCs/>
          <w:color w:val="000000"/>
        </w:rPr>
        <w:t xml:space="preserve">A) </w:t>
      </w:r>
      <w:proofErr w:type="spellStart"/>
      <w:r w:rsidRPr="000224E9">
        <w:rPr>
          <w:rFonts w:ascii="Times New Roman" w:eastAsia="MS Mincho" w:hAnsi="Times New Roman" w:cs="Times New Roman"/>
          <w:iCs/>
          <w:color w:val="000000"/>
        </w:rPr>
        <w:t>Androconial</w:t>
      </w:r>
      <w:proofErr w:type="spellEnd"/>
      <w:r w:rsidRPr="000224E9">
        <w:rPr>
          <w:rFonts w:ascii="Times New Roman" w:eastAsia="MS Mincho" w:hAnsi="Times New Roman" w:cs="Times New Roman"/>
          <w:iCs/>
          <w:color w:val="000000"/>
        </w:rPr>
        <w:t xml:space="preserve"> compound bouquets differ significantly between species. Stress=0.155.  B) Genital bouquets also differ significantly between species. Stress=0.121.</w:t>
      </w:r>
    </w:p>
    <w:p w:rsidR="00E83902" w:rsidRPr="00E83902" w:rsidRDefault="00E83902" w:rsidP="00E83902">
      <w:pPr>
        <w:spacing w:line="360" w:lineRule="auto"/>
        <w:rPr>
          <w:rFonts w:ascii="Times New Roman" w:eastAsia="MS Mincho" w:hAnsi="Times New Roman" w:cs="Times New Roman"/>
          <w:iCs/>
          <w:color w:val="000000"/>
        </w:rPr>
      </w:pPr>
      <w:r w:rsidRPr="000224E9">
        <w:rPr>
          <w:rFonts w:ascii="Times New Roman" w:hAnsi="Times New Roman" w:cs="Times New Roman"/>
          <w:b/>
          <w:bCs/>
        </w:rPr>
        <w:t xml:space="preserve">Figure 4. Plots of </w:t>
      </w:r>
      <w:proofErr w:type="spellStart"/>
      <w:r w:rsidRPr="000224E9">
        <w:rPr>
          <w:rFonts w:ascii="Times New Roman" w:hAnsi="Times New Roman" w:cs="Times New Roman"/>
          <w:b/>
          <w:bCs/>
        </w:rPr>
        <w:t>androconial</w:t>
      </w:r>
      <w:proofErr w:type="spellEnd"/>
      <w:r w:rsidRPr="000224E9">
        <w:rPr>
          <w:rFonts w:ascii="Times New Roman" w:hAnsi="Times New Roman" w:cs="Times New Roman"/>
          <w:b/>
          <w:bCs/>
        </w:rPr>
        <w:t xml:space="preserve">, genital and genetic distance between </w:t>
      </w:r>
      <w:r w:rsidRPr="000224E9">
        <w:rPr>
          <w:rFonts w:ascii="Times New Roman" w:hAnsi="Times New Roman" w:cs="Times New Roman"/>
          <w:b/>
          <w:bCs/>
          <w:i/>
          <w:iCs/>
        </w:rPr>
        <w:t xml:space="preserve">H. </w:t>
      </w:r>
      <w:proofErr w:type="spellStart"/>
      <w:r w:rsidRPr="000224E9">
        <w:rPr>
          <w:rFonts w:ascii="Times New Roman" w:hAnsi="Times New Roman" w:cs="Times New Roman"/>
          <w:b/>
          <w:bCs/>
          <w:i/>
          <w:iCs/>
        </w:rPr>
        <w:t>erato</w:t>
      </w:r>
      <w:proofErr w:type="spellEnd"/>
      <w:r w:rsidRPr="000224E9">
        <w:rPr>
          <w:rFonts w:ascii="Times New Roman" w:hAnsi="Times New Roman" w:cs="Times New Roman"/>
          <w:b/>
          <w:bCs/>
        </w:rPr>
        <w:t xml:space="preserve"> populations. </w:t>
      </w:r>
      <w:r w:rsidRPr="000224E9">
        <w:rPr>
          <w:rFonts w:ascii="Times New Roman" w:hAnsi="Times New Roman" w:cs="Times New Roman"/>
        </w:rPr>
        <w:t xml:space="preserve">A) </w:t>
      </w:r>
      <w:r w:rsidRPr="000224E9">
        <w:rPr>
          <w:rFonts w:ascii="Times New Roman" w:eastAsia="MS Mincho" w:hAnsi="Times New Roman" w:cs="Times New Roman"/>
          <w:color w:val="000000"/>
        </w:rPr>
        <w:t xml:space="preserve">NMDS (non-metric multidimensional scaling) plot illustrating in three dimensions the variation in </w:t>
      </w:r>
      <w:proofErr w:type="spellStart"/>
      <w:r w:rsidRPr="000224E9">
        <w:rPr>
          <w:rFonts w:ascii="Times New Roman" w:eastAsia="MS Mincho" w:hAnsi="Times New Roman" w:cs="Times New Roman"/>
          <w:color w:val="000000"/>
        </w:rPr>
        <w:t>androconial</w:t>
      </w:r>
      <w:proofErr w:type="spellEnd"/>
      <w:r w:rsidRPr="000224E9">
        <w:rPr>
          <w:rFonts w:ascii="Times New Roman" w:eastAsia="MS Mincho" w:hAnsi="Times New Roman" w:cs="Times New Roman"/>
          <w:color w:val="000000"/>
        </w:rPr>
        <w:t xml:space="preserve"> chemical compounds</w:t>
      </w:r>
      <w:r w:rsidRPr="000224E9">
        <w:rPr>
          <w:rFonts w:ascii="Times New Roman" w:eastAsia="MS Mincho" w:hAnsi="Times New Roman" w:cs="Times New Roman"/>
          <w:iCs/>
          <w:color w:val="000000"/>
        </w:rPr>
        <w:t>. Stress=0.174.</w:t>
      </w:r>
      <w:r w:rsidRPr="000224E9">
        <w:rPr>
          <w:rFonts w:ascii="Times New Roman" w:eastAsia="MS Mincho" w:hAnsi="Times New Roman" w:cs="Times New Roman"/>
          <w:i/>
          <w:color w:val="000000"/>
        </w:rPr>
        <w:t xml:space="preserve"> </w:t>
      </w:r>
      <w:r w:rsidRPr="000224E9">
        <w:rPr>
          <w:rFonts w:ascii="Times New Roman" w:eastAsia="MS Mincho" w:hAnsi="Times New Roman" w:cs="Times New Roman"/>
          <w:iCs/>
          <w:color w:val="000000"/>
        </w:rPr>
        <w:t xml:space="preserve">B) NMDS plot illustrating in three dimensions the variation in genital chemical compounds. Stress=0.118. C) MDS plot illustrating in two dimensions the genetic distance between populations of </w:t>
      </w:r>
      <w:r w:rsidRPr="000224E9">
        <w:rPr>
          <w:rFonts w:ascii="Times New Roman" w:eastAsia="MS Mincho" w:hAnsi="Times New Roman" w:cs="Times New Roman"/>
          <w:i/>
          <w:color w:val="000000"/>
        </w:rPr>
        <w:t xml:space="preserve">H. </w:t>
      </w:r>
      <w:proofErr w:type="spellStart"/>
      <w:r w:rsidRPr="000224E9">
        <w:rPr>
          <w:rFonts w:ascii="Times New Roman" w:eastAsia="MS Mincho" w:hAnsi="Times New Roman" w:cs="Times New Roman"/>
          <w:i/>
          <w:color w:val="000000"/>
        </w:rPr>
        <w:t>erato</w:t>
      </w:r>
      <w:proofErr w:type="spellEnd"/>
      <w:r w:rsidRPr="000224E9">
        <w:rPr>
          <w:rFonts w:ascii="Times New Roman" w:eastAsia="MS Mincho" w:hAnsi="Times New Roman" w:cs="Times New Roman"/>
          <w:iCs/>
          <w:color w:val="000000"/>
        </w:rPr>
        <w:t>.</w:t>
      </w:r>
    </w:p>
    <w:p w:rsidR="00E83902" w:rsidRDefault="00E83902" w:rsidP="00E83902">
      <w:pPr>
        <w:spacing w:line="360" w:lineRule="auto"/>
        <w:rPr>
          <w:rFonts w:ascii="Times New Roman" w:eastAsia="MS Mincho" w:hAnsi="Times New Roman" w:cs="Times New Roman"/>
          <w:iCs/>
          <w:color w:val="000000"/>
        </w:rPr>
      </w:pPr>
      <w:r w:rsidRPr="000224E9">
        <w:rPr>
          <w:rFonts w:ascii="Times New Roman" w:hAnsi="Times New Roman" w:cs="Times New Roman"/>
          <w:b/>
          <w:bCs/>
        </w:rPr>
        <w:t xml:space="preserve">Figure 5. Plots of </w:t>
      </w:r>
      <w:proofErr w:type="spellStart"/>
      <w:r w:rsidRPr="000224E9">
        <w:rPr>
          <w:rFonts w:ascii="Times New Roman" w:hAnsi="Times New Roman" w:cs="Times New Roman"/>
          <w:b/>
          <w:bCs/>
        </w:rPr>
        <w:t>androconial</w:t>
      </w:r>
      <w:proofErr w:type="spellEnd"/>
      <w:r w:rsidRPr="000224E9">
        <w:rPr>
          <w:rFonts w:ascii="Times New Roman" w:hAnsi="Times New Roman" w:cs="Times New Roman"/>
          <w:b/>
          <w:bCs/>
        </w:rPr>
        <w:t xml:space="preserve">, genital and genetic distance between </w:t>
      </w:r>
      <w:r w:rsidRPr="000224E9">
        <w:rPr>
          <w:rFonts w:ascii="Times New Roman" w:hAnsi="Times New Roman" w:cs="Times New Roman"/>
          <w:b/>
          <w:bCs/>
          <w:i/>
          <w:iCs/>
        </w:rPr>
        <w:t xml:space="preserve">H. </w:t>
      </w:r>
      <w:proofErr w:type="spellStart"/>
      <w:r w:rsidRPr="000224E9">
        <w:rPr>
          <w:rFonts w:ascii="Times New Roman" w:hAnsi="Times New Roman" w:cs="Times New Roman"/>
          <w:b/>
          <w:bCs/>
          <w:i/>
          <w:iCs/>
        </w:rPr>
        <w:t>melpomene</w:t>
      </w:r>
      <w:proofErr w:type="spellEnd"/>
      <w:r w:rsidRPr="000224E9">
        <w:rPr>
          <w:rFonts w:ascii="Times New Roman" w:hAnsi="Times New Roman" w:cs="Times New Roman"/>
          <w:b/>
          <w:bCs/>
        </w:rPr>
        <w:t xml:space="preserve"> populations. </w:t>
      </w:r>
      <w:r w:rsidRPr="000224E9">
        <w:rPr>
          <w:rFonts w:ascii="Times New Roman" w:hAnsi="Times New Roman" w:cs="Times New Roman"/>
        </w:rPr>
        <w:t xml:space="preserve">A) </w:t>
      </w:r>
      <w:r w:rsidRPr="000224E9">
        <w:rPr>
          <w:rFonts w:ascii="Times New Roman" w:eastAsia="MS Mincho" w:hAnsi="Times New Roman" w:cs="Times New Roman"/>
          <w:color w:val="000000"/>
        </w:rPr>
        <w:t xml:space="preserve">NMDS (non-metric multidimensional scaling) plot illustrating in three dimensions the variation in </w:t>
      </w:r>
      <w:proofErr w:type="spellStart"/>
      <w:r w:rsidRPr="000224E9">
        <w:rPr>
          <w:rFonts w:ascii="Times New Roman" w:eastAsia="MS Mincho" w:hAnsi="Times New Roman" w:cs="Times New Roman"/>
          <w:color w:val="000000"/>
        </w:rPr>
        <w:t>androconial</w:t>
      </w:r>
      <w:proofErr w:type="spellEnd"/>
      <w:r w:rsidRPr="000224E9">
        <w:rPr>
          <w:rFonts w:ascii="Times New Roman" w:eastAsia="MS Mincho" w:hAnsi="Times New Roman" w:cs="Times New Roman"/>
          <w:color w:val="000000"/>
        </w:rPr>
        <w:t xml:space="preserve"> chemical compounds</w:t>
      </w:r>
      <w:r w:rsidRPr="000224E9">
        <w:rPr>
          <w:rFonts w:ascii="Times New Roman" w:eastAsia="MS Mincho" w:hAnsi="Times New Roman" w:cs="Times New Roman"/>
          <w:iCs/>
          <w:color w:val="000000"/>
        </w:rPr>
        <w:t>. Stress=0.151.</w:t>
      </w:r>
      <w:r w:rsidRPr="000224E9">
        <w:rPr>
          <w:rFonts w:ascii="Times New Roman" w:eastAsia="MS Mincho" w:hAnsi="Times New Roman" w:cs="Times New Roman"/>
          <w:i/>
          <w:color w:val="000000"/>
        </w:rPr>
        <w:t xml:space="preserve"> </w:t>
      </w:r>
      <w:r w:rsidRPr="000224E9">
        <w:rPr>
          <w:rFonts w:ascii="Times New Roman" w:eastAsia="MS Mincho" w:hAnsi="Times New Roman" w:cs="Times New Roman"/>
          <w:iCs/>
          <w:color w:val="000000"/>
        </w:rPr>
        <w:t xml:space="preserve">B) NMDS plot illustrating in three dimensions the variation in genital chemical compounds. Stress=0.161. C) MDS plot illustrating in two dimensions the genetic distance between populations of </w:t>
      </w:r>
      <w:r w:rsidRPr="000224E9">
        <w:rPr>
          <w:rFonts w:ascii="Times New Roman" w:eastAsia="MS Mincho" w:hAnsi="Times New Roman" w:cs="Times New Roman"/>
          <w:i/>
          <w:color w:val="000000"/>
        </w:rPr>
        <w:t xml:space="preserve">H. </w:t>
      </w:r>
      <w:proofErr w:type="spellStart"/>
      <w:r w:rsidRPr="000224E9">
        <w:rPr>
          <w:rFonts w:ascii="Times New Roman" w:eastAsia="MS Mincho" w:hAnsi="Times New Roman" w:cs="Times New Roman"/>
          <w:i/>
          <w:color w:val="000000"/>
        </w:rPr>
        <w:t>melpomene</w:t>
      </w:r>
      <w:proofErr w:type="spellEnd"/>
      <w:r w:rsidRPr="000224E9">
        <w:rPr>
          <w:rFonts w:ascii="Times New Roman" w:eastAsia="MS Mincho" w:hAnsi="Times New Roman" w:cs="Times New Roman"/>
          <w:iCs/>
          <w:color w:val="000000"/>
        </w:rPr>
        <w:t>.</w:t>
      </w:r>
    </w:p>
    <w:p w:rsidR="00E83902" w:rsidRPr="000224E9" w:rsidRDefault="00E83902" w:rsidP="00E83902">
      <w:pPr>
        <w:spacing w:line="360" w:lineRule="auto"/>
        <w:rPr>
          <w:rFonts w:ascii="Times New Roman" w:hAnsi="Times New Roman" w:cs="Times New Roman"/>
        </w:rPr>
      </w:pPr>
      <w:r w:rsidRPr="000224E9">
        <w:rPr>
          <w:rFonts w:ascii="Times New Roman" w:hAnsi="Times New Roman" w:cs="Times New Roman"/>
          <w:b/>
          <w:bCs/>
        </w:rPr>
        <w:t xml:space="preserve">Figure 6. </w:t>
      </w:r>
      <w:r w:rsidRPr="000224E9">
        <w:rPr>
          <w:rFonts w:ascii="Times New Roman" w:eastAsia="MS Mincho" w:hAnsi="Times New Roman" w:cs="Times New Roman"/>
          <w:b/>
          <w:bCs/>
          <w:color w:val="000000"/>
        </w:rPr>
        <w:t xml:space="preserve">NMDS (non-metric multidimensional scaling) plot illustrating in three dimensions the variation in chemical compounds of male </w:t>
      </w:r>
      <w:proofErr w:type="spellStart"/>
      <w:r w:rsidRPr="000224E9">
        <w:rPr>
          <w:rFonts w:ascii="Times New Roman" w:eastAsia="MS Mincho" w:hAnsi="Times New Roman" w:cs="Times New Roman"/>
          <w:b/>
          <w:bCs/>
          <w:i/>
          <w:color w:val="000000"/>
        </w:rPr>
        <w:t>Heliconius</w:t>
      </w:r>
      <w:proofErr w:type="spellEnd"/>
      <w:r w:rsidRPr="000224E9">
        <w:rPr>
          <w:rFonts w:ascii="Times New Roman" w:eastAsia="MS Mincho" w:hAnsi="Times New Roman" w:cs="Times New Roman"/>
          <w:b/>
          <w:bCs/>
          <w:i/>
          <w:color w:val="000000"/>
        </w:rPr>
        <w:t xml:space="preserve"> </w:t>
      </w:r>
      <w:r w:rsidRPr="000224E9">
        <w:rPr>
          <w:rFonts w:ascii="Times New Roman" w:eastAsia="MS Mincho" w:hAnsi="Times New Roman" w:cs="Times New Roman"/>
          <w:b/>
          <w:bCs/>
          <w:iCs/>
          <w:color w:val="000000"/>
        </w:rPr>
        <w:t xml:space="preserve">from Panama and Western Ecuador. </w:t>
      </w:r>
      <w:r w:rsidRPr="000224E9">
        <w:rPr>
          <w:rFonts w:ascii="Times New Roman" w:eastAsia="MS Mincho" w:hAnsi="Times New Roman" w:cs="Times New Roman"/>
          <w:i/>
          <w:color w:val="000000"/>
        </w:rPr>
        <w:t xml:space="preserve">H. </w:t>
      </w:r>
      <w:proofErr w:type="spellStart"/>
      <w:r w:rsidRPr="000224E9">
        <w:rPr>
          <w:rFonts w:ascii="Times New Roman" w:eastAsia="MS Mincho" w:hAnsi="Times New Roman" w:cs="Times New Roman"/>
          <w:i/>
          <w:color w:val="000000"/>
        </w:rPr>
        <w:t>erato</w:t>
      </w:r>
      <w:proofErr w:type="spellEnd"/>
      <w:r w:rsidRPr="000224E9">
        <w:rPr>
          <w:rFonts w:ascii="Times New Roman" w:eastAsia="MS Mincho" w:hAnsi="Times New Roman" w:cs="Times New Roman"/>
          <w:i/>
          <w:color w:val="000000"/>
        </w:rPr>
        <w:t xml:space="preserve"> </w:t>
      </w:r>
      <w:r w:rsidRPr="000224E9">
        <w:rPr>
          <w:rFonts w:ascii="Times New Roman" w:eastAsia="MS Mincho" w:hAnsi="Times New Roman" w:cs="Times New Roman"/>
          <w:iCs/>
          <w:color w:val="000000"/>
        </w:rPr>
        <w:t xml:space="preserve">and </w:t>
      </w:r>
      <w:r w:rsidRPr="000224E9">
        <w:rPr>
          <w:rFonts w:ascii="Times New Roman" w:eastAsia="MS Mincho" w:hAnsi="Times New Roman" w:cs="Times New Roman"/>
          <w:i/>
          <w:color w:val="000000"/>
        </w:rPr>
        <w:t xml:space="preserve">H. </w:t>
      </w:r>
      <w:proofErr w:type="spellStart"/>
      <w:r w:rsidRPr="000224E9">
        <w:rPr>
          <w:rFonts w:ascii="Times New Roman" w:eastAsia="MS Mincho" w:hAnsi="Times New Roman" w:cs="Times New Roman"/>
          <w:i/>
          <w:color w:val="000000"/>
        </w:rPr>
        <w:t>melpomene</w:t>
      </w:r>
      <w:proofErr w:type="spellEnd"/>
      <w:r w:rsidRPr="000224E9">
        <w:rPr>
          <w:rFonts w:ascii="Times New Roman" w:eastAsia="MS Mincho" w:hAnsi="Times New Roman" w:cs="Times New Roman"/>
          <w:iCs/>
          <w:color w:val="000000"/>
        </w:rPr>
        <w:t xml:space="preserve"> are co-mimics (circles), whilst </w:t>
      </w:r>
      <w:r w:rsidRPr="000224E9">
        <w:rPr>
          <w:rFonts w:ascii="Times New Roman" w:eastAsia="MS Mincho" w:hAnsi="Times New Roman" w:cs="Times New Roman"/>
          <w:i/>
          <w:color w:val="000000"/>
        </w:rPr>
        <w:t>H. cydno</w:t>
      </w:r>
      <w:r w:rsidRPr="000224E9">
        <w:rPr>
          <w:rFonts w:ascii="Times New Roman" w:eastAsia="MS Mincho" w:hAnsi="Times New Roman" w:cs="Times New Roman"/>
          <w:iCs/>
          <w:color w:val="000000"/>
        </w:rPr>
        <w:t xml:space="preserve">, </w:t>
      </w:r>
      <w:r w:rsidRPr="000224E9">
        <w:rPr>
          <w:rFonts w:ascii="Times New Roman" w:eastAsia="MS Mincho" w:hAnsi="Times New Roman" w:cs="Times New Roman"/>
          <w:i/>
          <w:color w:val="000000"/>
        </w:rPr>
        <w:t xml:space="preserve">H. </w:t>
      </w:r>
      <w:proofErr w:type="spellStart"/>
      <w:r w:rsidRPr="000224E9">
        <w:rPr>
          <w:rFonts w:ascii="Times New Roman" w:eastAsia="MS Mincho" w:hAnsi="Times New Roman" w:cs="Times New Roman"/>
          <w:i/>
          <w:color w:val="000000"/>
        </w:rPr>
        <w:t>eleuchia</w:t>
      </w:r>
      <w:proofErr w:type="spellEnd"/>
      <w:r w:rsidRPr="000224E9">
        <w:rPr>
          <w:rFonts w:ascii="Times New Roman" w:eastAsia="MS Mincho" w:hAnsi="Times New Roman" w:cs="Times New Roman"/>
          <w:iCs/>
          <w:color w:val="000000"/>
        </w:rPr>
        <w:t xml:space="preserve"> and </w:t>
      </w:r>
      <w:r w:rsidRPr="000224E9">
        <w:rPr>
          <w:rFonts w:ascii="Times New Roman" w:eastAsia="MS Mincho" w:hAnsi="Times New Roman" w:cs="Times New Roman"/>
          <w:i/>
          <w:color w:val="000000"/>
        </w:rPr>
        <w:t xml:space="preserve">H. </w:t>
      </w:r>
      <w:proofErr w:type="spellStart"/>
      <w:r w:rsidRPr="000224E9">
        <w:rPr>
          <w:rFonts w:ascii="Times New Roman" w:eastAsia="MS Mincho" w:hAnsi="Times New Roman" w:cs="Times New Roman"/>
          <w:i/>
          <w:color w:val="000000"/>
        </w:rPr>
        <w:t>sapho</w:t>
      </w:r>
      <w:proofErr w:type="spellEnd"/>
      <w:r w:rsidRPr="000224E9">
        <w:rPr>
          <w:rFonts w:ascii="Times New Roman" w:eastAsia="MS Mincho" w:hAnsi="Times New Roman" w:cs="Times New Roman"/>
          <w:iCs/>
          <w:color w:val="000000"/>
        </w:rPr>
        <w:t xml:space="preserve"> form a second co-mimicry group (triangles). </w:t>
      </w:r>
      <w:r w:rsidRPr="000224E9">
        <w:rPr>
          <w:rFonts w:ascii="Times New Roman" w:eastAsia="MS Mincho" w:hAnsi="Times New Roman" w:cs="Times New Roman"/>
          <w:i/>
          <w:color w:val="000000"/>
        </w:rPr>
        <w:t xml:space="preserve"> </w:t>
      </w:r>
      <w:r w:rsidRPr="000224E9">
        <w:rPr>
          <w:rFonts w:ascii="Times New Roman" w:eastAsia="MS Mincho" w:hAnsi="Times New Roman" w:cs="Times New Roman"/>
          <w:iCs/>
          <w:color w:val="000000"/>
        </w:rPr>
        <w:t xml:space="preserve">A) </w:t>
      </w:r>
      <w:proofErr w:type="spellStart"/>
      <w:r w:rsidRPr="000224E9">
        <w:rPr>
          <w:rFonts w:ascii="Times New Roman" w:eastAsia="MS Mincho" w:hAnsi="Times New Roman" w:cs="Times New Roman"/>
          <w:iCs/>
          <w:color w:val="000000"/>
        </w:rPr>
        <w:t>Androconial</w:t>
      </w:r>
      <w:proofErr w:type="spellEnd"/>
      <w:r w:rsidRPr="000224E9">
        <w:rPr>
          <w:rFonts w:ascii="Times New Roman" w:eastAsia="MS Mincho" w:hAnsi="Times New Roman" w:cs="Times New Roman"/>
          <w:iCs/>
          <w:color w:val="000000"/>
        </w:rPr>
        <w:t xml:space="preserve"> chemical bouquets. Stress=0.098 B) Genital chemical bouquets</w:t>
      </w:r>
      <w:r w:rsidRPr="000224E9">
        <w:rPr>
          <w:rFonts w:ascii="Times New Roman" w:hAnsi="Times New Roman" w:cs="Times New Roman"/>
        </w:rPr>
        <w:t xml:space="preserve">. </w:t>
      </w:r>
      <w:r w:rsidRPr="000224E9">
        <w:rPr>
          <w:rFonts w:ascii="Times New Roman" w:eastAsia="MS Mincho" w:hAnsi="Times New Roman" w:cs="Times New Roman"/>
          <w:iCs/>
          <w:color w:val="000000"/>
        </w:rPr>
        <w:t>Stress=0.094.</w:t>
      </w:r>
    </w:p>
    <w:p w:rsidR="00E83902" w:rsidRDefault="00E83902" w:rsidP="00A7633C">
      <w:pPr>
        <w:spacing w:afterLines="30" w:after="72" w:line="240" w:lineRule="auto"/>
        <w:rPr>
          <w:rFonts w:ascii="Times New Roman" w:hAnsi="Times New Roman" w:cs="Times New Roman"/>
          <w:b/>
          <w:bCs/>
        </w:rPr>
      </w:pPr>
      <w:r>
        <w:rPr>
          <w:rFonts w:ascii="Times New Roman" w:hAnsi="Times New Roman" w:cs="Times New Roman"/>
          <w:b/>
          <w:bCs/>
        </w:rPr>
        <w:br w:type="page"/>
      </w:r>
    </w:p>
    <w:p w:rsidR="00A7633C" w:rsidRPr="000224E9" w:rsidRDefault="00A7633C" w:rsidP="00A7633C">
      <w:pPr>
        <w:spacing w:afterLines="30" w:after="72" w:line="240" w:lineRule="auto"/>
        <w:rPr>
          <w:rFonts w:ascii="Times New Roman" w:hAnsi="Times New Roman" w:cs="Times New Roman"/>
          <w:b/>
          <w:bCs/>
        </w:rPr>
      </w:pPr>
      <w:r w:rsidRPr="000224E9">
        <w:rPr>
          <w:rFonts w:ascii="Times New Roman" w:hAnsi="Times New Roman" w:cs="Times New Roman"/>
          <w:b/>
          <w:bCs/>
        </w:rPr>
        <w:lastRenderedPageBreak/>
        <w:t xml:space="preserve">Table 1: </w:t>
      </w:r>
      <w:proofErr w:type="spellStart"/>
      <w:r w:rsidRPr="000224E9">
        <w:rPr>
          <w:rFonts w:ascii="Times New Roman" w:hAnsi="Times New Roman" w:cs="Times New Roman"/>
          <w:b/>
          <w:bCs/>
        </w:rPr>
        <w:t>Androconial</w:t>
      </w:r>
      <w:proofErr w:type="spellEnd"/>
      <w:r w:rsidRPr="000224E9">
        <w:rPr>
          <w:rFonts w:ascii="Times New Roman" w:hAnsi="Times New Roman" w:cs="Times New Roman"/>
          <w:b/>
          <w:bCs/>
        </w:rPr>
        <w:t xml:space="preserve"> compounds which are the best indicators of species identity. A is a measure of species specificity of the compounds, B is a measure of species coverage, and </w:t>
      </w:r>
      <w:proofErr w:type="spellStart"/>
      <w:r w:rsidRPr="000224E9">
        <w:rPr>
          <w:rFonts w:ascii="Times New Roman" w:hAnsi="Times New Roman" w:cs="Times New Roman"/>
          <w:b/>
          <w:bCs/>
        </w:rPr>
        <w:t>sqrtIV</w:t>
      </w:r>
      <w:proofErr w:type="spellEnd"/>
      <w:r w:rsidRPr="000224E9">
        <w:rPr>
          <w:rFonts w:ascii="Times New Roman" w:hAnsi="Times New Roman" w:cs="Times New Roman"/>
          <w:b/>
          <w:bCs/>
        </w:rPr>
        <w:t xml:space="preserve"> is the indicator value which considers both A and B and ranges from 0 (compound not present in any individuals of that species) to 1 (compound only present in that species, and present in all individuals).</w:t>
      </w:r>
    </w:p>
    <w:p w:rsidR="00A7633C" w:rsidRPr="000224E9" w:rsidRDefault="00A7633C" w:rsidP="00A7633C">
      <w:pPr>
        <w:spacing w:afterLines="30" w:after="72" w:line="240" w:lineRule="auto"/>
        <w:rPr>
          <w:rFonts w:ascii="Times New Roman" w:hAnsi="Times New Roman" w:cs="Times New Roman"/>
          <w:b/>
          <w:bCs/>
          <w:sz w:val="24"/>
          <w:szCs w:val="24"/>
        </w:rPr>
      </w:pPr>
    </w:p>
    <w:tbl>
      <w:tblPr>
        <w:tblStyle w:val="TableGrid"/>
        <w:tblW w:w="8505" w:type="dxa"/>
        <w:jc w:val="center"/>
        <w:tblLook w:val="04A0" w:firstRow="1" w:lastRow="0" w:firstColumn="1" w:lastColumn="0" w:noHBand="0" w:noVBand="1"/>
      </w:tblPr>
      <w:tblGrid>
        <w:gridCol w:w="4807"/>
        <w:gridCol w:w="1414"/>
        <w:gridCol w:w="1274"/>
        <w:gridCol w:w="1010"/>
      </w:tblGrid>
      <w:tr w:rsidR="00A7633C" w:rsidRPr="000224E9" w:rsidTr="00544F2A">
        <w:trPr>
          <w:jc w:val="center"/>
        </w:trPr>
        <w:tc>
          <w:tcPr>
            <w:tcW w:w="5090" w:type="dxa"/>
            <w:tcBorders>
              <w:top w:val="nil"/>
              <w:left w:val="nil"/>
              <w:bottom w:val="single" w:sz="4" w:space="0" w:color="auto"/>
              <w:right w:val="nil"/>
            </w:tcBorders>
          </w:tcPr>
          <w:p w:rsidR="00A7633C" w:rsidRPr="000224E9" w:rsidRDefault="00A7633C" w:rsidP="00544F2A">
            <w:pPr>
              <w:rPr>
                <w:rFonts w:ascii="Times New Roman" w:hAnsi="Times New Roman" w:cs="Times New Roman"/>
                <w:b/>
                <w:bCs/>
                <w:sz w:val="28"/>
                <w:szCs w:val="28"/>
              </w:rPr>
            </w:pPr>
            <w:r w:rsidRPr="000224E9">
              <w:rPr>
                <w:rFonts w:ascii="Times New Roman" w:hAnsi="Times New Roman" w:cs="Times New Roman"/>
                <w:b/>
                <w:bCs/>
                <w:sz w:val="28"/>
                <w:szCs w:val="28"/>
              </w:rPr>
              <w:t>Species/compound</w:t>
            </w:r>
          </w:p>
        </w:tc>
        <w:tc>
          <w:tcPr>
            <w:tcW w:w="1414" w:type="dxa"/>
            <w:tcBorders>
              <w:top w:val="nil"/>
              <w:left w:val="nil"/>
              <w:bottom w:val="single" w:sz="4" w:space="0" w:color="auto"/>
              <w:right w:val="nil"/>
            </w:tcBorders>
          </w:tcPr>
          <w:p w:rsidR="00A7633C" w:rsidRPr="000224E9" w:rsidRDefault="00A7633C" w:rsidP="00544F2A">
            <w:pPr>
              <w:rPr>
                <w:rFonts w:ascii="Times New Roman" w:hAnsi="Times New Roman" w:cs="Times New Roman"/>
                <w:b/>
                <w:bCs/>
                <w:sz w:val="28"/>
                <w:szCs w:val="28"/>
              </w:rPr>
            </w:pPr>
            <w:r w:rsidRPr="000224E9">
              <w:rPr>
                <w:rFonts w:ascii="Times New Roman" w:hAnsi="Times New Roman" w:cs="Times New Roman"/>
                <w:b/>
                <w:bCs/>
                <w:sz w:val="28"/>
                <w:szCs w:val="28"/>
              </w:rPr>
              <w:t>A: specificity</w:t>
            </w:r>
          </w:p>
        </w:tc>
        <w:tc>
          <w:tcPr>
            <w:tcW w:w="991" w:type="dxa"/>
            <w:tcBorders>
              <w:top w:val="nil"/>
              <w:left w:val="nil"/>
              <w:bottom w:val="single" w:sz="4" w:space="0" w:color="auto"/>
              <w:right w:val="nil"/>
            </w:tcBorders>
          </w:tcPr>
          <w:p w:rsidR="00A7633C" w:rsidRPr="000224E9" w:rsidRDefault="00A7633C" w:rsidP="00544F2A">
            <w:pPr>
              <w:rPr>
                <w:rFonts w:ascii="Times New Roman" w:hAnsi="Times New Roman" w:cs="Times New Roman"/>
                <w:b/>
                <w:bCs/>
                <w:sz w:val="28"/>
                <w:szCs w:val="28"/>
              </w:rPr>
            </w:pPr>
            <w:r w:rsidRPr="000224E9">
              <w:rPr>
                <w:rFonts w:ascii="Times New Roman" w:hAnsi="Times New Roman" w:cs="Times New Roman"/>
                <w:b/>
                <w:bCs/>
                <w:sz w:val="28"/>
                <w:szCs w:val="28"/>
              </w:rPr>
              <w:t>B: coverage</w:t>
            </w:r>
          </w:p>
        </w:tc>
        <w:tc>
          <w:tcPr>
            <w:tcW w:w="1010" w:type="dxa"/>
            <w:tcBorders>
              <w:top w:val="nil"/>
              <w:left w:val="nil"/>
              <w:bottom w:val="single" w:sz="4" w:space="0" w:color="auto"/>
              <w:right w:val="nil"/>
            </w:tcBorders>
          </w:tcPr>
          <w:p w:rsidR="00A7633C" w:rsidRPr="000224E9" w:rsidRDefault="00A7633C" w:rsidP="00544F2A">
            <w:pPr>
              <w:rPr>
                <w:rFonts w:ascii="Times New Roman" w:hAnsi="Times New Roman" w:cs="Times New Roman"/>
                <w:b/>
                <w:bCs/>
                <w:sz w:val="28"/>
                <w:szCs w:val="28"/>
              </w:rPr>
            </w:pPr>
            <w:proofErr w:type="spellStart"/>
            <w:r w:rsidRPr="000224E9">
              <w:rPr>
                <w:rFonts w:ascii="Times New Roman" w:hAnsi="Times New Roman" w:cs="Times New Roman"/>
                <w:b/>
                <w:bCs/>
                <w:sz w:val="28"/>
                <w:szCs w:val="28"/>
              </w:rPr>
              <w:t>sqrtIV</w:t>
            </w:r>
            <w:proofErr w:type="spellEnd"/>
          </w:p>
        </w:tc>
      </w:tr>
      <w:tr w:rsidR="00A7633C" w:rsidRPr="000224E9" w:rsidTr="00544F2A">
        <w:trPr>
          <w:jc w:val="center"/>
        </w:trPr>
        <w:tc>
          <w:tcPr>
            <w:tcW w:w="5090" w:type="dxa"/>
            <w:tcBorders>
              <w:top w:val="nil"/>
              <w:left w:val="nil"/>
              <w:bottom w:val="single" w:sz="4" w:space="0" w:color="auto"/>
              <w:right w:val="nil"/>
            </w:tcBorders>
          </w:tcPr>
          <w:p w:rsidR="00A7633C" w:rsidRPr="000224E9" w:rsidRDefault="00A7633C" w:rsidP="00544F2A">
            <w:pPr>
              <w:rPr>
                <w:rFonts w:ascii="Times New Roman" w:hAnsi="Times New Roman" w:cs="Times New Roman"/>
                <w:b/>
                <w:bCs/>
                <w:i/>
                <w:iCs/>
                <w:sz w:val="28"/>
                <w:szCs w:val="28"/>
              </w:rPr>
            </w:pPr>
            <w:r w:rsidRPr="000224E9">
              <w:rPr>
                <w:rFonts w:ascii="Times New Roman" w:hAnsi="Times New Roman" w:cs="Times New Roman"/>
                <w:b/>
                <w:bCs/>
                <w:i/>
                <w:iCs/>
                <w:sz w:val="28"/>
                <w:szCs w:val="28"/>
              </w:rPr>
              <w:t>H. cydno</w:t>
            </w:r>
          </w:p>
        </w:tc>
        <w:tc>
          <w:tcPr>
            <w:tcW w:w="1414" w:type="dxa"/>
            <w:tcBorders>
              <w:top w:val="nil"/>
              <w:left w:val="nil"/>
              <w:bottom w:val="single" w:sz="4" w:space="0" w:color="auto"/>
              <w:right w:val="nil"/>
            </w:tcBorders>
          </w:tcPr>
          <w:p w:rsidR="00A7633C" w:rsidRPr="000224E9" w:rsidRDefault="00A7633C" w:rsidP="00544F2A">
            <w:pPr>
              <w:rPr>
                <w:rFonts w:ascii="Times New Roman" w:hAnsi="Times New Roman" w:cs="Times New Roman"/>
                <w:b/>
                <w:bCs/>
                <w:sz w:val="28"/>
                <w:szCs w:val="28"/>
              </w:rPr>
            </w:pPr>
          </w:p>
        </w:tc>
        <w:tc>
          <w:tcPr>
            <w:tcW w:w="991" w:type="dxa"/>
            <w:tcBorders>
              <w:top w:val="nil"/>
              <w:left w:val="nil"/>
              <w:bottom w:val="single" w:sz="4" w:space="0" w:color="auto"/>
              <w:right w:val="nil"/>
            </w:tcBorders>
          </w:tcPr>
          <w:p w:rsidR="00A7633C" w:rsidRPr="000224E9" w:rsidRDefault="00A7633C" w:rsidP="00544F2A">
            <w:pPr>
              <w:rPr>
                <w:rFonts w:ascii="Times New Roman" w:hAnsi="Times New Roman" w:cs="Times New Roman"/>
                <w:b/>
                <w:bCs/>
                <w:sz w:val="28"/>
                <w:szCs w:val="28"/>
              </w:rPr>
            </w:pPr>
          </w:p>
        </w:tc>
        <w:tc>
          <w:tcPr>
            <w:tcW w:w="1010" w:type="dxa"/>
            <w:tcBorders>
              <w:top w:val="nil"/>
              <w:left w:val="nil"/>
              <w:bottom w:val="single" w:sz="4" w:space="0" w:color="auto"/>
              <w:right w:val="nil"/>
            </w:tcBorders>
          </w:tcPr>
          <w:p w:rsidR="00A7633C" w:rsidRPr="000224E9" w:rsidRDefault="00A7633C" w:rsidP="00544F2A">
            <w:pPr>
              <w:rPr>
                <w:rFonts w:ascii="Times New Roman" w:hAnsi="Times New Roman" w:cs="Times New Roman"/>
                <w:b/>
                <w:bCs/>
                <w:sz w:val="28"/>
                <w:szCs w:val="28"/>
              </w:rPr>
            </w:pPr>
          </w:p>
        </w:tc>
      </w:tr>
      <w:tr w:rsidR="00A7633C" w:rsidRPr="000224E9" w:rsidTr="00544F2A">
        <w:trPr>
          <w:jc w:val="center"/>
        </w:trPr>
        <w:tc>
          <w:tcPr>
            <w:tcW w:w="5090"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r w:rsidRPr="000224E9">
              <w:rPr>
                <w:rFonts w:ascii="Times New Roman" w:hAnsi="Times New Roman" w:cs="Times New Roman"/>
                <w:sz w:val="24"/>
                <w:szCs w:val="24"/>
              </w:rPr>
              <w:t>Unknown aromatic (RI=2130)</w:t>
            </w:r>
          </w:p>
        </w:tc>
        <w:tc>
          <w:tcPr>
            <w:tcW w:w="1414"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r w:rsidRPr="000224E9">
              <w:rPr>
                <w:rFonts w:ascii="Times New Roman" w:hAnsi="Times New Roman" w:cs="Times New Roman"/>
                <w:sz w:val="24"/>
                <w:szCs w:val="24"/>
              </w:rPr>
              <w:t>1</w:t>
            </w:r>
          </w:p>
        </w:tc>
        <w:tc>
          <w:tcPr>
            <w:tcW w:w="991"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r w:rsidRPr="000224E9">
              <w:rPr>
                <w:rFonts w:ascii="Times New Roman" w:hAnsi="Times New Roman" w:cs="Times New Roman"/>
                <w:sz w:val="24"/>
                <w:szCs w:val="24"/>
              </w:rPr>
              <w:t>0.667</w:t>
            </w:r>
          </w:p>
        </w:tc>
        <w:tc>
          <w:tcPr>
            <w:tcW w:w="1010"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r w:rsidRPr="000224E9">
              <w:rPr>
                <w:rFonts w:ascii="Times New Roman" w:hAnsi="Times New Roman" w:cs="Times New Roman"/>
                <w:sz w:val="24"/>
                <w:szCs w:val="24"/>
              </w:rPr>
              <w:t>0.816</w:t>
            </w:r>
          </w:p>
        </w:tc>
      </w:tr>
      <w:tr w:rsidR="00A7633C" w:rsidRPr="000224E9" w:rsidTr="00544F2A">
        <w:trPr>
          <w:jc w:val="center"/>
        </w:trPr>
        <w:tc>
          <w:tcPr>
            <w:tcW w:w="5090" w:type="dxa"/>
            <w:tcBorders>
              <w:top w:val="nil"/>
              <w:left w:val="nil"/>
              <w:bottom w:val="single" w:sz="4" w:space="0" w:color="auto"/>
              <w:right w:val="nil"/>
            </w:tcBorders>
          </w:tcPr>
          <w:p w:rsidR="00A7633C" w:rsidRPr="000224E9" w:rsidRDefault="00A7633C" w:rsidP="00544F2A">
            <w:pPr>
              <w:rPr>
                <w:rFonts w:ascii="Times New Roman" w:hAnsi="Times New Roman" w:cs="Times New Roman"/>
                <w:b/>
                <w:bCs/>
                <w:i/>
                <w:iCs/>
                <w:sz w:val="28"/>
                <w:szCs w:val="28"/>
              </w:rPr>
            </w:pPr>
            <w:r w:rsidRPr="000224E9">
              <w:rPr>
                <w:rFonts w:ascii="Times New Roman" w:hAnsi="Times New Roman" w:cs="Times New Roman"/>
                <w:b/>
                <w:bCs/>
                <w:i/>
                <w:iCs/>
                <w:sz w:val="28"/>
                <w:szCs w:val="28"/>
              </w:rPr>
              <w:t xml:space="preserve">H. </w:t>
            </w:r>
            <w:proofErr w:type="spellStart"/>
            <w:r w:rsidRPr="000224E9">
              <w:rPr>
                <w:rFonts w:ascii="Times New Roman" w:hAnsi="Times New Roman" w:cs="Times New Roman"/>
                <w:b/>
                <w:bCs/>
                <w:i/>
                <w:iCs/>
                <w:sz w:val="28"/>
                <w:szCs w:val="28"/>
              </w:rPr>
              <w:t>eleuchia</w:t>
            </w:r>
            <w:proofErr w:type="spellEnd"/>
          </w:p>
        </w:tc>
        <w:tc>
          <w:tcPr>
            <w:tcW w:w="1414" w:type="dxa"/>
            <w:tcBorders>
              <w:top w:val="nil"/>
              <w:left w:val="nil"/>
              <w:bottom w:val="single" w:sz="4" w:space="0" w:color="auto"/>
              <w:right w:val="nil"/>
            </w:tcBorders>
          </w:tcPr>
          <w:p w:rsidR="00A7633C" w:rsidRPr="000224E9" w:rsidRDefault="00A7633C" w:rsidP="00544F2A">
            <w:pPr>
              <w:rPr>
                <w:rFonts w:ascii="Times New Roman" w:hAnsi="Times New Roman" w:cs="Times New Roman"/>
                <w:sz w:val="28"/>
                <w:szCs w:val="28"/>
              </w:rPr>
            </w:pPr>
          </w:p>
        </w:tc>
        <w:tc>
          <w:tcPr>
            <w:tcW w:w="991" w:type="dxa"/>
            <w:tcBorders>
              <w:top w:val="nil"/>
              <w:left w:val="nil"/>
              <w:bottom w:val="single" w:sz="4" w:space="0" w:color="auto"/>
              <w:right w:val="nil"/>
            </w:tcBorders>
          </w:tcPr>
          <w:p w:rsidR="00A7633C" w:rsidRPr="000224E9" w:rsidRDefault="00A7633C" w:rsidP="00544F2A">
            <w:pPr>
              <w:rPr>
                <w:rFonts w:ascii="Times New Roman" w:hAnsi="Times New Roman" w:cs="Times New Roman"/>
                <w:sz w:val="28"/>
                <w:szCs w:val="28"/>
              </w:rPr>
            </w:pPr>
          </w:p>
        </w:tc>
        <w:tc>
          <w:tcPr>
            <w:tcW w:w="1010" w:type="dxa"/>
            <w:tcBorders>
              <w:top w:val="nil"/>
              <w:left w:val="nil"/>
              <w:bottom w:val="single" w:sz="4" w:space="0" w:color="auto"/>
              <w:right w:val="nil"/>
            </w:tcBorders>
          </w:tcPr>
          <w:p w:rsidR="00A7633C" w:rsidRPr="000224E9" w:rsidRDefault="00A7633C" w:rsidP="00544F2A">
            <w:pPr>
              <w:rPr>
                <w:rFonts w:ascii="Times New Roman" w:hAnsi="Times New Roman" w:cs="Times New Roman"/>
                <w:sz w:val="28"/>
                <w:szCs w:val="28"/>
              </w:rPr>
            </w:pPr>
          </w:p>
        </w:tc>
      </w:tr>
      <w:tr w:rsidR="00A7633C" w:rsidRPr="000224E9" w:rsidTr="00544F2A">
        <w:trPr>
          <w:jc w:val="center"/>
        </w:trPr>
        <w:tc>
          <w:tcPr>
            <w:tcW w:w="5090"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proofErr w:type="spellStart"/>
            <w:r w:rsidRPr="000224E9">
              <w:rPr>
                <w:rFonts w:ascii="Times New Roman" w:hAnsi="Times New Roman" w:cs="Times New Roman"/>
                <w:sz w:val="24"/>
                <w:szCs w:val="24"/>
              </w:rPr>
              <w:t>Hexahydrofarnesylacetone</w:t>
            </w:r>
            <w:proofErr w:type="spellEnd"/>
          </w:p>
        </w:tc>
        <w:tc>
          <w:tcPr>
            <w:tcW w:w="1414"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r w:rsidRPr="000224E9">
              <w:rPr>
                <w:rFonts w:ascii="Times New Roman" w:hAnsi="Times New Roman" w:cs="Times New Roman"/>
                <w:sz w:val="24"/>
                <w:szCs w:val="24"/>
              </w:rPr>
              <w:t>0.747</w:t>
            </w:r>
          </w:p>
        </w:tc>
        <w:tc>
          <w:tcPr>
            <w:tcW w:w="991"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r w:rsidRPr="000224E9">
              <w:rPr>
                <w:rFonts w:ascii="Times New Roman" w:hAnsi="Times New Roman" w:cs="Times New Roman"/>
                <w:sz w:val="24"/>
                <w:szCs w:val="24"/>
              </w:rPr>
              <w:t>1</w:t>
            </w:r>
          </w:p>
        </w:tc>
        <w:tc>
          <w:tcPr>
            <w:tcW w:w="1010"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r w:rsidRPr="000224E9">
              <w:rPr>
                <w:rFonts w:ascii="Times New Roman" w:hAnsi="Times New Roman" w:cs="Times New Roman"/>
                <w:sz w:val="24"/>
                <w:szCs w:val="24"/>
              </w:rPr>
              <w:t>0.864</w:t>
            </w:r>
          </w:p>
        </w:tc>
      </w:tr>
      <w:tr w:rsidR="00A7633C" w:rsidRPr="000224E9" w:rsidTr="00544F2A">
        <w:trPr>
          <w:trHeight w:val="632"/>
          <w:jc w:val="center"/>
        </w:trPr>
        <w:tc>
          <w:tcPr>
            <w:tcW w:w="5090" w:type="dxa"/>
            <w:tcBorders>
              <w:top w:val="nil"/>
              <w:left w:val="nil"/>
              <w:bottom w:val="single" w:sz="4" w:space="0" w:color="auto"/>
              <w:right w:val="nil"/>
            </w:tcBorders>
          </w:tcPr>
          <w:p w:rsidR="00A7633C" w:rsidRPr="000224E9" w:rsidRDefault="00A7633C" w:rsidP="00544F2A">
            <w:pPr>
              <w:rPr>
                <w:rFonts w:ascii="Times New Roman" w:hAnsi="Times New Roman" w:cs="Times New Roman"/>
                <w:b/>
                <w:bCs/>
                <w:i/>
                <w:iCs/>
                <w:sz w:val="28"/>
                <w:szCs w:val="28"/>
              </w:rPr>
            </w:pPr>
            <w:r w:rsidRPr="000224E9">
              <w:rPr>
                <w:rFonts w:ascii="Times New Roman" w:hAnsi="Times New Roman" w:cs="Times New Roman"/>
                <w:b/>
                <w:bCs/>
                <w:i/>
                <w:iCs/>
                <w:sz w:val="28"/>
                <w:szCs w:val="28"/>
              </w:rPr>
              <w:t xml:space="preserve">H. </w:t>
            </w:r>
            <w:proofErr w:type="spellStart"/>
            <w:r w:rsidRPr="000224E9">
              <w:rPr>
                <w:rFonts w:ascii="Times New Roman" w:hAnsi="Times New Roman" w:cs="Times New Roman"/>
                <w:b/>
                <w:bCs/>
                <w:i/>
                <w:iCs/>
                <w:sz w:val="28"/>
                <w:szCs w:val="28"/>
              </w:rPr>
              <w:t>elevatus</w:t>
            </w:r>
            <w:proofErr w:type="spellEnd"/>
          </w:p>
        </w:tc>
        <w:tc>
          <w:tcPr>
            <w:tcW w:w="1414" w:type="dxa"/>
            <w:tcBorders>
              <w:top w:val="nil"/>
              <w:left w:val="nil"/>
              <w:bottom w:val="single" w:sz="4" w:space="0" w:color="auto"/>
              <w:right w:val="nil"/>
            </w:tcBorders>
          </w:tcPr>
          <w:p w:rsidR="00A7633C" w:rsidRPr="000224E9" w:rsidRDefault="00A7633C" w:rsidP="00544F2A">
            <w:pPr>
              <w:rPr>
                <w:rFonts w:ascii="Times New Roman" w:hAnsi="Times New Roman" w:cs="Times New Roman"/>
                <w:sz w:val="28"/>
                <w:szCs w:val="28"/>
              </w:rPr>
            </w:pPr>
          </w:p>
        </w:tc>
        <w:tc>
          <w:tcPr>
            <w:tcW w:w="991" w:type="dxa"/>
            <w:tcBorders>
              <w:top w:val="nil"/>
              <w:left w:val="nil"/>
              <w:bottom w:val="single" w:sz="4" w:space="0" w:color="auto"/>
              <w:right w:val="nil"/>
            </w:tcBorders>
          </w:tcPr>
          <w:p w:rsidR="00A7633C" w:rsidRPr="000224E9" w:rsidRDefault="00A7633C" w:rsidP="00544F2A">
            <w:pPr>
              <w:rPr>
                <w:rFonts w:ascii="Times New Roman" w:hAnsi="Times New Roman" w:cs="Times New Roman"/>
                <w:sz w:val="28"/>
                <w:szCs w:val="28"/>
              </w:rPr>
            </w:pPr>
          </w:p>
        </w:tc>
        <w:tc>
          <w:tcPr>
            <w:tcW w:w="1010" w:type="dxa"/>
            <w:tcBorders>
              <w:top w:val="nil"/>
              <w:left w:val="nil"/>
              <w:bottom w:val="single" w:sz="4" w:space="0" w:color="auto"/>
              <w:right w:val="nil"/>
            </w:tcBorders>
          </w:tcPr>
          <w:p w:rsidR="00A7633C" w:rsidRPr="000224E9" w:rsidRDefault="00A7633C" w:rsidP="00544F2A">
            <w:pPr>
              <w:rPr>
                <w:rFonts w:ascii="Times New Roman" w:hAnsi="Times New Roman" w:cs="Times New Roman"/>
                <w:sz w:val="28"/>
                <w:szCs w:val="28"/>
              </w:rPr>
            </w:pPr>
          </w:p>
        </w:tc>
      </w:tr>
      <w:tr w:rsidR="00A7633C" w:rsidRPr="000224E9" w:rsidTr="00544F2A">
        <w:trPr>
          <w:jc w:val="center"/>
        </w:trPr>
        <w:tc>
          <w:tcPr>
            <w:tcW w:w="5090"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proofErr w:type="spellStart"/>
            <w:r w:rsidRPr="000224E9">
              <w:rPr>
                <w:rFonts w:ascii="Times New Roman" w:hAnsi="Times New Roman" w:cs="Times New Roman"/>
                <w:sz w:val="24"/>
                <w:szCs w:val="24"/>
              </w:rPr>
              <w:t>Homovanillylalcohol</w:t>
            </w:r>
            <w:proofErr w:type="spellEnd"/>
          </w:p>
        </w:tc>
        <w:tc>
          <w:tcPr>
            <w:tcW w:w="1414"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r w:rsidRPr="000224E9">
              <w:rPr>
                <w:rFonts w:ascii="Times New Roman" w:hAnsi="Times New Roman" w:cs="Times New Roman"/>
                <w:sz w:val="24"/>
                <w:szCs w:val="24"/>
              </w:rPr>
              <w:t>0.912</w:t>
            </w:r>
          </w:p>
        </w:tc>
        <w:tc>
          <w:tcPr>
            <w:tcW w:w="991"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r w:rsidRPr="000224E9">
              <w:rPr>
                <w:rFonts w:ascii="Times New Roman" w:hAnsi="Times New Roman" w:cs="Times New Roman"/>
                <w:sz w:val="24"/>
                <w:szCs w:val="24"/>
              </w:rPr>
              <w:t>1</w:t>
            </w:r>
          </w:p>
        </w:tc>
        <w:tc>
          <w:tcPr>
            <w:tcW w:w="1010"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r w:rsidRPr="000224E9">
              <w:rPr>
                <w:rFonts w:ascii="Times New Roman" w:hAnsi="Times New Roman" w:cs="Times New Roman"/>
                <w:sz w:val="24"/>
                <w:szCs w:val="24"/>
              </w:rPr>
              <w:t>0.955</w:t>
            </w:r>
          </w:p>
        </w:tc>
      </w:tr>
      <w:tr w:rsidR="00A7633C" w:rsidRPr="000224E9" w:rsidTr="00544F2A">
        <w:trPr>
          <w:jc w:val="center"/>
        </w:trPr>
        <w:tc>
          <w:tcPr>
            <w:tcW w:w="5090" w:type="dxa"/>
            <w:tcBorders>
              <w:top w:val="nil"/>
              <w:left w:val="nil"/>
              <w:bottom w:val="single" w:sz="4" w:space="0" w:color="auto"/>
              <w:right w:val="nil"/>
            </w:tcBorders>
          </w:tcPr>
          <w:p w:rsidR="00A7633C" w:rsidRPr="000224E9" w:rsidRDefault="00A7633C" w:rsidP="00544F2A">
            <w:pPr>
              <w:rPr>
                <w:rFonts w:ascii="Times New Roman" w:hAnsi="Times New Roman" w:cs="Times New Roman"/>
                <w:b/>
                <w:bCs/>
                <w:i/>
                <w:iCs/>
                <w:sz w:val="28"/>
                <w:szCs w:val="28"/>
              </w:rPr>
            </w:pPr>
            <w:r w:rsidRPr="000224E9">
              <w:rPr>
                <w:rFonts w:ascii="Times New Roman" w:hAnsi="Times New Roman" w:cs="Times New Roman"/>
                <w:b/>
                <w:bCs/>
                <w:i/>
                <w:iCs/>
                <w:sz w:val="28"/>
                <w:szCs w:val="28"/>
              </w:rPr>
              <w:t xml:space="preserve">H. </w:t>
            </w:r>
            <w:proofErr w:type="spellStart"/>
            <w:r w:rsidRPr="000224E9">
              <w:rPr>
                <w:rFonts w:ascii="Times New Roman" w:hAnsi="Times New Roman" w:cs="Times New Roman"/>
                <w:b/>
                <w:bCs/>
                <w:i/>
                <w:iCs/>
                <w:sz w:val="28"/>
                <w:szCs w:val="28"/>
              </w:rPr>
              <w:t>erato</w:t>
            </w:r>
            <w:proofErr w:type="spellEnd"/>
          </w:p>
        </w:tc>
        <w:tc>
          <w:tcPr>
            <w:tcW w:w="1414" w:type="dxa"/>
            <w:tcBorders>
              <w:top w:val="nil"/>
              <w:left w:val="nil"/>
              <w:bottom w:val="single" w:sz="4" w:space="0" w:color="auto"/>
              <w:right w:val="nil"/>
            </w:tcBorders>
          </w:tcPr>
          <w:p w:rsidR="00A7633C" w:rsidRPr="000224E9" w:rsidRDefault="00A7633C" w:rsidP="00544F2A">
            <w:pPr>
              <w:rPr>
                <w:rFonts w:ascii="Times New Roman" w:hAnsi="Times New Roman" w:cs="Times New Roman"/>
                <w:sz w:val="28"/>
                <w:szCs w:val="28"/>
              </w:rPr>
            </w:pPr>
          </w:p>
        </w:tc>
        <w:tc>
          <w:tcPr>
            <w:tcW w:w="991" w:type="dxa"/>
            <w:tcBorders>
              <w:top w:val="nil"/>
              <w:left w:val="nil"/>
              <w:bottom w:val="single" w:sz="4" w:space="0" w:color="auto"/>
              <w:right w:val="nil"/>
            </w:tcBorders>
          </w:tcPr>
          <w:p w:rsidR="00A7633C" w:rsidRPr="000224E9" w:rsidRDefault="00A7633C" w:rsidP="00544F2A">
            <w:pPr>
              <w:rPr>
                <w:rFonts w:ascii="Times New Roman" w:hAnsi="Times New Roman" w:cs="Times New Roman"/>
                <w:sz w:val="28"/>
                <w:szCs w:val="28"/>
              </w:rPr>
            </w:pPr>
          </w:p>
        </w:tc>
        <w:tc>
          <w:tcPr>
            <w:tcW w:w="1010" w:type="dxa"/>
            <w:tcBorders>
              <w:top w:val="nil"/>
              <w:left w:val="nil"/>
              <w:bottom w:val="single" w:sz="4" w:space="0" w:color="auto"/>
              <w:right w:val="nil"/>
            </w:tcBorders>
          </w:tcPr>
          <w:p w:rsidR="00A7633C" w:rsidRPr="000224E9" w:rsidRDefault="00A7633C" w:rsidP="00544F2A">
            <w:pPr>
              <w:rPr>
                <w:rFonts w:ascii="Times New Roman" w:hAnsi="Times New Roman" w:cs="Times New Roman"/>
                <w:sz w:val="28"/>
                <w:szCs w:val="28"/>
              </w:rPr>
            </w:pPr>
          </w:p>
        </w:tc>
      </w:tr>
      <w:tr w:rsidR="00A7633C" w:rsidRPr="000224E9" w:rsidTr="00544F2A">
        <w:trPr>
          <w:jc w:val="center"/>
        </w:trPr>
        <w:tc>
          <w:tcPr>
            <w:tcW w:w="5090"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proofErr w:type="spellStart"/>
            <w:r w:rsidRPr="000224E9">
              <w:rPr>
                <w:rFonts w:ascii="Times New Roman" w:hAnsi="Times New Roman" w:cs="Times New Roman"/>
                <w:sz w:val="24"/>
                <w:szCs w:val="24"/>
              </w:rPr>
              <w:t>Geranylgeranylacetone</w:t>
            </w:r>
            <w:proofErr w:type="spellEnd"/>
          </w:p>
        </w:tc>
        <w:tc>
          <w:tcPr>
            <w:tcW w:w="1414"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r w:rsidRPr="000224E9">
              <w:rPr>
                <w:rFonts w:ascii="Times New Roman" w:hAnsi="Times New Roman" w:cs="Times New Roman"/>
                <w:sz w:val="24"/>
                <w:szCs w:val="24"/>
              </w:rPr>
              <w:t>1</w:t>
            </w:r>
          </w:p>
        </w:tc>
        <w:tc>
          <w:tcPr>
            <w:tcW w:w="991"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r w:rsidRPr="000224E9">
              <w:rPr>
                <w:rFonts w:ascii="Times New Roman" w:hAnsi="Times New Roman" w:cs="Times New Roman"/>
                <w:sz w:val="24"/>
                <w:szCs w:val="24"/>
              </w:rPr>
              <w:t>1</w:t>
            </w:r>
          </w:p>
        </w:tc>
        <w:tc>
          <w:tcPr>
            <w:tcW w:w="1010"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r w:rsidRPr="000224E9">
              <w:rPr>
                <w:rFonts w:ascii="Times New Roman" w:hAnsi="Times New Roman" w:cs="Times New Roman"/>
                <w:sz w:val="24"/>
                <w:szCs w:val="24"/>
              </w:rPr>
              <w:t>1</w:t>
            </w:r>
          </w:p>
        </w:tc>
      </w:tr>
      <w:tr w:rsidR="00A7633C" w:rsidRPr="000224E9" w:rsidTr="00544F2A">
        <w:trPr>
          <w:jc w:val="center"/>
        </w:trPr>
        <w:tc>
          <w:tcPr>
            <w:tcW w:w="5090" w:type="dxa"/>
            <w:tcBorders>
              <w:top w:val="nil"/>
              <w:left w:val="nil"/>
              <w:bottom w:val="single" w:sz="4" w:space="0" w:color="auto"/>
              <w:right w:val="nil"/>
            </w:tcBorders>
          </w:tcPr>
          <w:p w:rsidR="00A7633C" w:rsidRPr="000224E9" w:rsidRDefault="00A7633C" w:rsidP="00544F2A">
            <w:pPr>
              <w:rPr>
                <w:rFonts w:ascii="Times New Roman" w:hAnsi="Times New Roman" w:cs="Times New Roman"/>
                <w:b/>
                <w:bCs/>
                <w:i/>
                <w:iCs/>
                <w:sz w:val="28"/>
                <w:szCs w:val="28"/>
              </w:rPr>
            </w:pPr>
            <w:r w:rsidRPr="000224E9">
              <w:rPr>
                <w:rFonts w:ascii="Times New Roman" w:hAnsi="Times New Roman" w:cs="Times New Roman"/>
                <w:b/>
                <w:bCs/>
                <w:i/>
                <w:iCs/>
                <w:sz w:val="28"/>
                <w:szCs w:val="28"/>
              </w:rPr>
              <w:t xml:space="preserve">H. </w:t>
            </w:r>
            <w:proofErr w:type="spellStart"/>
            <w:r w:rsidRPr="000224E9">
              <w:rPr>
                <w:rFonts w:ascii="Times New Roman" w:hAnsi="Times New Roman" w:cs="Times New Roman"/>
                <w:b/>
                <w:bCs/>
                <w:i/>
                <w:iCs/>
                <w:sz w:val="28"/>
                <w:szCs w:val="28"/>
              </w:rPr>
              <w:t>melpomene</w:t>
            </w:r>
            <w:proofErr w:type="spellEnd"/>
            <w:r w:rsidRPr="000224E9">
              <w:rPr>
                <w:rFonts w:ascii="Times New Roman" w:hAnsi="Times New Roman" w:cs="Times New Roman"/>
                <w:b/>
                <w:bCs/>
                <w:i/>
                <w:iCs/>
                <w:sz w:val="28"/>
                <w:szCs w:val="28"/>
              </w:rPr>
              <w:t xml:space="preserve"> </w:t>
            </w:r>
          </w:p>
        </w:tc>
        <w:tc>
          <w:tcPr>
            <w:tcW w:w="1414" w:type="dxa"/>
            <w:tcBorders>
              <w:top w:val="nil"/>
              <w:left w:val="nil"/>
              <w:bottom w:val="single" w:sz="4" w:space="0" w:color="auto"/>
              <w:right w:val="nil"/>
            </w:tcBorders>
          </w:tcPr>
          <w:p w:rsidR="00A7633C" w:rsidRPr="000224E9" w:rsidRDefault="00A7633C" w:rsidP="00544F2A">
            <w:pPr>
              <w:rPr>
                <w:rFonts w:ascii="Times New Roman" w:hAnsi="Times New Roman" w:cs="Times New Roman"/>
                <w:sz w:val="28"/>
                <w:szCs w:val="28"/>
              </w:rPr>
            </w:pPr>
          </w:p>
        </w:tc>
        <w:tc>
          <w:tcPr>
            <w:tcW w:w="991" w:type="dxa"/>
            <w:tcBorders>
              <w:top w:val="nil"/>
              <w:left w:val="nil"/>
              <w:bottom w:val="single" w:sz="4" w:space="0" w:color="auto"/>
              <w:right w:val="nil"/>
            </w:tcBorders>
          </w:tcPr>
          <w:p w:rsidR="00A7633C" w:rsidRPr="000224E9" w:rsidRDefault="00A7633C" w:rsidP="00544F2A">
            <w:pPr>
              <w:rPr>
                <w:rFonts w:ascii="Times New Roman" w:hAnsi="Times New Roman" w:cs="Times New Roman"/>
                <w:sz w:val="28"/>
                <w:szCs w:val="28"/>
              </w:rPr>
            </w:pPr>
          </w:p>
        </w:tc>
        <w:tc>
          <w:tcPr>
            <w:tcW w:w="1010" w:type="dxa"/>
            <w:tcBorders>
              <w:top w:val="nil"/>
              <w:left w:val="nil"/>
              <w:bottom w:val="single" w:sz="4" w:space="0" w:color="auto"/>
              <w:right w:val="nil"/>
            </w:tcBorders>
          </w:tcPr>
          <w:p w:rsidR="00A7633C" w:rsidRPr="000224E9" w:rsidRDefault="00A7633C" w:rsidP="00544F2A">
            <w:pPr>
              <w:rPr>
                <w:rFonts w:ascii="Times New Roman" w:hAnsi="Times New Roman" w:cs="Times New Roman"/>
                <w:sz w:val="28"/>
                <w:szCs w:val="28"/>
              </w:rPr>
            </w:pPr>
          </w:p>
        </w:tc>
      </w:tr>
      <w:tr w:rsidR="00A7633C" w:rsidRPr="000224E9" w:rsidTr="00544F2A">
        <w:trPr>
          <w:jc w:val="center"/>
        </w:trPr>
        <w:tc>
          <w:tcPr>
            <w:tcW w:w="5090"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proofErr w:type="spellStart"/>
            <w:r w:rsidRPr="000224E9">
              <w:rPr>
                <w:rFonts w:ascii="Times New Roman" w:hAnsi="Times New Roman" w:cs="Times New Roman"/>
                <w:sz w:val="24"/>
                <w:szCs w:val="24"/>
              </w:rPr>
              <w:t>Octadecanal</w:t>
            </w:r>
            <w:proofErr w:type="spellEnd"/>
          </w:p>
        </w:tc>
        <w:tc>
          <w:tcPr>
            <w:tcW w:w="1414"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r w:rsidRPr="000224E9">
              <w:rPr>
                <w:rFonts w:ascii="Times New Roman" w:hAnsi="Times New Roman" w:cs="Times New Roman"/>
                <w:sz w:val="24"/>
                <w:szCs w:val="24"/>
              </w:rPr>
              <w:t>0.999</w:t>
            </w:r>
          </w:p>
        </w:tc>
        <w:tc>
          <w:tcPr>
            <w:tcW w:w="991"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r w:rsidRPr="000224E9">
              <w:rPr>
                <w:rFonts w:ascii="Times New Roman" w:hAnsi="Times New Roman" w:cs="Times New Roman"/>
                <w:sz w:val="24"/>
                <w:szCs w:val="24"/>
              </w:rPr>
              <w:t>1</w:t>
            </w:r>
          </w:p>
        </w:tc>
        <w:tc>
          <w:tcPr>
            <w:tcW w:w="1010"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r w:rsidRPr="000224E9">
              <w:rPr>
                <w:rFonts w:ascii="Times New Roman" w:hAnsi="Times New Roman" w:cs="Times New Roman"/>
                <w:sz w:val="24"/>
                <w:szCs w:val="24"/>
              </w:rPr>
              <w:t>1</w:t>
            </w:r>
          </w:p>
        </w:tc>
      </w:tr>
      <w:tr w:rsidR="00A7633C" w:rsidRPr="000224E9" w:rsidTr="00544F2A">
        <w:trPr>
          <w:jc w:val="center"/>
        </w:trPr>
        <w:tc>
          <w:tcPr>
            <w:tcW w:w="5090" w:type="dxa"/>
            <w:tcBorders>
              <w:top w:val="nil"/>
              <w:left w:val="nil"/>
              <w:bottom w:val="single" w:sz="4" w:space="0" w:color="auto"/>
              <w:right w:val="nil"/>
            </w:tcBorders>
          </w:tcPr>
          <w:p w:rsidR="00A7633C" w:rsidRPr="000224E9" w:rsidRDefault="00A7633C" w:rsidP="00544F2A">
            <w:pPr>
              <w:rPr>
                <w:rFonts w:ascii="Times New Roman" w:hAnsi="Times New Roman" w:cs="Times New Roman"/>
                <w:b/>
                <w:bCs/>
                <w:i/>
                <w:iCs/>
                <w:sz w:val="28"/>
                <w:szCs w:val="28"/>
              </w:rPr>
            </w:pPr>
            <w:r w:rsidRPr="000224E9">
              <w:rPr>
                <w:rFonts w:ascii="Times New Roman" w:hAnsi="Times New Roman" w:cs="Times New Roman"/>
                <w:b/>
                <w:bCs/>
                <w:i/>
                <w:iCs/>
                <w:sz w:val="28"/>
                <w:szCs w:val="28"/>
              </w:rPr>
              <w:t xml:space="preserve">H. </w:t>
            </w:r>
            <w:proofErr w:type="spellStart"/>
            <w:r w:rsidRPr="000224E9">
              <w:rPr>
                <w:rFonts w:ascii="Times New Roman" w:hAnsi="Times New Roman" w:cs="Times New Roman"/>
                <w:b/>
                <w:bCs/>
                <w:i/>
                <w:iCs/>
                <w:sz w:val="28"/>
                <w:szCs w:val="28"/>
              </w:rPr>
              <w:t>sapho</w:t>
            </w:r>
            <w:proofErr w:type="spellEnd"/>
          </w:p>
        </w:tc>
        <w:tc>
          <w:tcPr>
            <w:tcW w:w="1414" w:type="dxa"/>
            <w:tcBorders>
              <w:top w:val="nil"/>
              <w:left w:val="nil"/>
              <w:bottom w:val="single" w:sz="4" w:space="0" w:color="auto"/>
              <w:right w:val="nil"/>
            </w:tcBorders>
          </w:tcPr>
          <w:p w:rsidR="00A7633C" w:rsidRPr="000224E9" w:rsidRDefault="00A7633C" w:rsidP="00544F2A">
            <w:pPr>
              <w:rPr>
                <w:rFonts w:ascii="Times New Roman" w:hAnsi="Times New Roman" w:cs="Times New Roman"/>
                <w:sz w:val="28"/>
                <w:szCs w:val="28"/>
              </w:rPr>
            </w:pPr>
          </w:p>
        </w:tc>
        <w:tc>
          <w:tcPr>
            <w:tcW w:w="991" w:type="dxa"/>
            <w:tcBorders>
              <w:top w:val="nil"/>
              <w:left w:val="nil"/>
              <w:bottom w:val="single" w:sz="4" w:space="0" w:color="auto"/>
              <w:right w:val="nil"/>
            </w:tcBorders>
          </w:tcPr>
          <w:p w:rsidR="00A7633C" w:rsidRPr="000224E9" w:rsidRDefault="00A7633C" w:rsidP="00544F2A">
            <w:pPr>
              <w:rPr>
                <w:rFonts w:ascii="Times New Roman" w:hAnsi="Times New Roman" w:cs="Times New Roman"/>
                <w:sz w:val="28"/>
                <w:szCs w:val="28"/>
              </w:rPr>
            </w:pPr>
          </w:p>
        </w:tc>
        <w:tc>
          <w:tcPr>
            <w:tcW w:w="1010" w:type="dxa"/>
            <w:tcBorders>
              <w:top w:val="nil"/>
              <w:left w:val="nil"/>
              <w:bottom w:val="single" w:sz="4" w:space="0" w:color="auto"/>
              <w:right w:val="nil"/>
            </w:tcBorders>
          </w:tcPr>
          <w:p w:rsidR="00A7633C" w:rsidRPr="000224E9" w:rsidRDefault="00A7633C" w:rsidP="00544F2A">
            <w:pPr>
              <w:rPr>
                <w:rFonts w:ascii="Times New Roman" w:hAnsi="Times New Roman" w:cs="Times New Roman"/>
                <w:sz w:val="28"/>
                <w:szCs w:val="28"/>
              </w:rPr>
            </w:pPr>
          </w:p>
        </w:tc>
      </w:tr>
      <w:tr w:rsidR="00A7633C" w:rsidRPr="000224E9" w:rsidTr="00544F2A">
        <w:trPr>
          <w:jc w:val="center"/>
        </w:trPr>
        <w:tc>
          <w:tcPr>
            <w:tcW w:w="5090"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r w:rsidRPr="000224E9">
              <w:rPr>
                <w:rFonts w:ascii="Times New Roman" w:hAnsi="Times New Roman" w:cs="Times New Roman"/>
                <w:sz w:val="24"/>
                <w:szCs w:val="24"/>
              </w:rPr>
              <w:t>Methyl 4-hydroxy-3-methoxybenzoate</w:t>
            </w:r>
          </w:p>
        </w:tc>
        <w:tc>
          <w:tcPr>
            <w:tcW w:w="1414"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r w:rsidRPr="000224E9">
              <w:rPr>
                <w:rFonts w:ascii="Times New Roman" w:hAnsi="Times New Roman" w:cs="Times New Roman"/>
                <w:sz w:val="24"/>
                <w:szCs w:val="24"/>
              </w:rPr>
              <w:t>0.866</w:t>
            </w:r>
          </w:p>
        </w:tc>
        <w:tc>
          <w:tcPr>
            <w:tcW w:w="991"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r w:rsidRPr="000224E9">
              <w:rPr>
                <w:rFonts w:ascii="Times New Roman" w:hAnsi="Times New Roman" w:cs="Times New Roman"/>
                <w:sz w:val="24"/>
                <w:szCs w:val="24"/>
              </w:rPr>
              <w:t>1</w:t>
            </w:r>
          </w:p>
        </w:tc>
        <w:tc>
          <w:tcPr>
            <w:tcW w:w="1010"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r w:rsidRPr="000224E9">
              <w:rPr>
                <w:rFonts w:ascii="Times New Roman" w:hAnsi="Times New Roman" w:cs="Times New Roman"/>
                <w:sz w:val="24"/>
                <w:szCs w:val="24"/>
              </w:rPr>
              <w:t>0.931</w:t>
            </w:r>
          </w:p>
        </w:tc>
      </w:tr>
      <w:tr w:rsidR="00A7633C" w:rsidRPr="000224E9" w:rsidTr="00544F2A">
        <w:trPr>
          <w:jc w:val="center"/>
        </w:trPr>
        <w:tc>
          <w:tcPr>
            <w:tcW w:w="5090" w:type="dxa"/>
            <w:tcBorders>
              <w:top w:val="nil"/>
              <w:left w:val="nil"/>
              <w:bottom w:val="single" w:sz="4" w:space="0" w:color="auto"/>
              <w:right w:val="nil"/>
            </w:tcBorders>
          </w:tcPr>
          <w:p w:rsidR="00A7633C" w:rsidRPr="000224E9" w:rsidRDefault="00A7633C" w:rsidP="00544F2A">
            <w:pPr>
              <w:rPr>
                <w:rFonts w:ascii="Times New Roman" w:hAnsi="Times New Roman" w:cs="Times New Roman"/>
                <w:b/>
                <w:bCs/>
                <w:i/>
                <w:iCs/>
                <w:sz w:val="28"/>
                <w:szCs w:val="28"/>
              </w:rPr>
            </w:pPr>
            <w:r w:rsidRPr="000224E9">
              <w:rPr>
                <w:rFonts w:ascii="Times New Roman" w:hAnsi="Times New Roman" w:cs="Times New Roman"/>
                <w:b/>
                <w:bCs/>
                <w:i/>
                <w:iCs/>
                <w:sz w:val="28"/>
                <w:szCs w:val="28"/>
              </w:rPr>
              <w:t xml:space="preserve">H. </w:t>
            </w:r>
            <w:proofErr w:type="spellStart"/>
            <w:r w:rsidRPr="000224E9">
              <w:rPr>
                <w:rFonts w:ascii="Times New Roman" w:hAnsi="Times New Roman" w:cs="Times New Roman"/>
                <w:b/>
                <w:bCs/>
                <w:i/>
                <w:iCs/>
                <w:sz w:val="28"/>
                <w:szCs w:val="28"/>
              </w:rPr>
              <w:t>timareta</w:t>
            </w:r>
            <w:proofErr w:type="spellEnd"/>
          </w:p>
        </w:tc>
        <w:tc>
          <w:tcPr>
            <w:tcW w:w="1414" w:type="dxa"/>
            <w:tcBorders>
              <w:top w:val="nil"/>
              <w:left w:val="nil"/>
              <w:bottom w:val="single" w:sz="4" w:space="0" w:color="auto"/>
              <w:right w:val="nil"/>
            </w:tcBorders>
          </w:tcPr>
          <w:p w:rsidR="00A7633C" w:rsidRPr="000224E9" w:rsidRDefault="00A7633C" w:rsidP="00544F2A">
            <w:pPr>
              <w:rPr>
                <w:rFonts w:ascii="Times New Roman" w:hAnsi="Times New Roman" w:cs="Times New Roman"/>
                <w:sz w:val="28"/>
                <w:szCs w:val="28"/>
              </w:rPr>
            </w:pPr>
          </w:p>
        </w:tc>
        <w:tc>
          <w:tcPr>
            <w:tcW w:w="991" w:type="dxa"/>
            <w:tcBorders>
              <w:top w:val="nil"/>
              <w:left w:val="nil"/>
              <w:bottom w:val="single" w:sz="4" w:space="0" w:color="auto"/>
              <w:right w:val="nil"/>
            </w:tcBorders>
          </w:tcPr>
          <w:p w:rsidR="00A7633C" w:rsidRPr="000224E9" w:rsidRDefault="00A7633C" w:rsidP="00544F2A">
            <w:pPr>
              <w:rPr>
                <w:rFonts w:ascii="Times New Roman" w:hAnsi="Times New Roman" w:cs="Times New Roman"/>
                <w:sz w:val="28"/>
                <w:szCs w:val="28"/>
              </w:rPr>
            </w:pPr>
          </w:p>
        </w:tc>
        <w:tc>
          <w:tcPr>
            <w:tcW w:w="1010" w:type="dxa"/>
            <w:tcBorders>
              <w:top w:val="nil"/>
              <w:left w:val="nil"/>
              <w:bottom w:val="single" w:sz="4" w:space="0" w:color="auto"/>
              <w:right w:val="nil"/>
            </w:tcBorders>
          </w:tcPr>
          <w:p w:rsidR="00A7633C" w:rsidRPr="000224E9" w:rsidRDefault="00A7633C" w:rsidP="00544F2A">
            <w:pPr>
              <w:rPr>
                <w:rFonts w:ascii="Times New Roman" w:hAnsi="Times New Roman" w:cs="Times New Roman"/>
                <w:sz w:val="28"/>
                <w:szCs w:val="28"/>
              </w:rPr>
            </w:pPr>
          </w:p>
        </w:tc>
      </w:tr>
      <w:tr w:rsidR="00A7633C" w:rsidRPr="000224E9" w:rsidTr="00544F2A">
        <w:trPr>
          <w:jc w:val="center"/>
        </w:trPr>
        <w:tc>
          <w:tcPr>
            <w:tcW w:w="5090" w:type="dxa"/>
            <w:tcBorders>
              <w:top w:val="single" w:sz="4" w:space="0" w:color="auto"/>
              <w:left w:val="nil"/>
              <w:right w:val="nil"/>
            </w:tcBorders>
          </w:tcPr>
          <w:p w:rsidR="00A7633C" w:rsidRPr="000224E9" w:rsidRDefault="00A7633C" w:rsidP="00544F2A">
            <w:pPr>
              <w:rPr>
                <w:rFonts w:ascii="Times New Roman" w:hAnsi="Times New Roman" w:cs="Times New Roman"/>
                <w:sz w:val="24"/>
                <w:szCs w:val="24"/>
              </w:rPr>
            </w:pPr>
            <w:r w:rsidRPr="000224E9">
              <w:rPr>
                <w:rFonts w:ascii="Times New Roman" w:hAnsi="Times New Roman" w:cs="Times New Roman"/>
                <w:sz w:val="24"/>
                <w:szCs w:val="24"/>
              </w:rPr>
              <w:t>5-Decanolide</w:t>
            </w:r>
          </w:p>
        </w:tc>
        <w:tc>
          <w:tcPr>
            <w:tcW w:w="1414" w:type="dxa"/>
            <w:tcBorders>
              <w:top w:val="single" w:sz="4" w:space="0" w:color="auto"/>
              <w:left w:val="nil"/>
              <w:right w:val="nil"/>
            </w:tcBorders>
          </w:tcPr>
          <w:p w:rsidR="00A7633C" w:rsidRPr="000224E9" w:rsidRDefault="00A7633C" w:rsidP="00544F2A">
            <w:pPr>
              <w:rPr>
                <w:rFonts w:ascii="Times New Roman" w:hAnsi="Times New Roman" w:cs="Times New Roman"/>
                <w:sz w:val="24"/>
                <w:szCs w:val="24"/>
              </w:rPr>
            </w:pPr>
            <w:r w:rsidRPr="000224E9">
              <w:rPr>
                <w:rFonts w:ascii="Times New Roman" w:hAnsi="Times New Roman" w:cs="Times New Roman"/>
                <w:sz w:val="24"/>
                <w:szCs w:val="24"/>
              </w:rPr>
              <w:t>1</w:t>
            </w:r>
          </w:p>
        </w:tc>
        <w:tc>
          <w:tcPr>
            <w:tcW w:w="991" w:type="dxa"/>
            <w:tcBorders>
              <w:top w:val="single" w:sz="4" w:space="0" w:color="auto"/>
              <w:left w:val="nil"/>
              <w:right w:val="nil"/>
            </w:tcBorders>
          </w:tcPr>
          <w:p w:rsidR="00A7633C" w:rsidRPr="000224E9" w:rsidRDefault="00A7633C" w:rsidP="00544F2A">
            <w:pPr>
              <w:rPr>
                <w:rFonts w:ascii="Times New Roman" w:hAnsi="Times New Roman" w:cs="Times New Roman"/>
                <w:sz w:val="24"/>
                <w:szCs w:val="24"/>
              </w:rPr>
            </w:pPr>
            <w:r w:rsidRPr="000224E9">
              <w:rPr>
                <w:rFonts w:ascii="Times New Roman" w:hAnsi="Times New Roman" w:cs="Times New Roman"/>
                <w:sz w:val="24"/>
                <w:szCs w:val="24"/>
              </w:rPr>
              <w:t>0.889</w:t>
            </w:r>
          </w:p>
        </w:tc>
        <w:tc>
          <w:tcPr>
            <w:tcW w:w="1010" w:type="dxa"/>
            <w:tcBorders>
              <w:top w:val="single" w:sz="4" w:space="0" w:color="auto"/>
              <w:left w:val="nil"/>
              <w:right w:val="nil"/>
            </w:tcBorders>
          </w:tcPr>
          <w:p w:rsidR="00A7633C" w:rsidRPr="000224E9" w:rsidRDefault="00A7633C" w:rsidP="00544F2A">
            <w:pPr>
              <w:rPr>
                <w:rFonts w:ascii="Times New Roman" w:hAnsi="Times New Roman" w:cs="Times New Roman"/>
                <w:sz w:val="24"/>
                <w:szCs w:val="24"/>
              </w:rPr>
            </w:pPr>
            <w:r w:rsidRPr="000224E9">
              <w:rPr>
                <w:rFonts w:ascii="Times New Roman" w:hAnsi="Times New Roman" w:cs="Times New Roman"/>
                <w:sz w:val="24"/>
                <w:szCs w:val="24"/>
              </w:rPr>
              <w:t>0.943</w:t>
            </w:r>
          </w:p>
        </w:tc>
      </w:tr>
      <w:tr w:rsidR="00A7633C" w:rsidRPr="000224E9" w:rsidTr="00544F2A">
        <w:trPr>
          <w:jc w:val="center"/>
        </w:trPr>
        <w:tc>
          <w:tcPr>
            <w:tcW w:w="5090"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p>
          <w:p w:rsidR="00A7633C" w:rsidRPr="000224E9" w:rsidRDefault="00A7633C" w:rsidP="00544F2A">
            <w:pPr>
              <w:spacing w:afterLines="30" w:after="72" w:line="240" w:lineRule="auto"/>
              <w:rPr>
                <w:rFonts w:ascii="Times New Roman" w:hAnsi="Times New Roman" w:cs="Times New Roman"/>
                <w:sz w:val="24"/>
                <w:szCs w:val="24"/>
              </w:rPr>
            </w:pPr>
          </w:p>
        </w:tc>
        <w:tc>
          <w:tcPr>
            <w:tcW w:w="1414"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p>
        </w:tc>
        <w:tc>
          <w:tcPr>
            <w:tcW w:w="991"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p>
        </w:tc>
        <w:tc>
          <w:tcPr>
            <w:tcW w:w="1010"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p>
        </w:tc>
      </w:tr>
    </w:tbl>
    <w:p w:rsidR="00A7633C" w:rsidRPr="000224E9" w:rsidRDefault="00A7633C" w:rsidP="00A7633C">
      <w:pPr>
        <w:spacing w:afterLines="30" w:after="72" w:line="240" w:lineRule="auto"/>
        <w:rPr>
          <w:rFonts w:ascii="Times New Roman" w:hAnsi="Times New Roman" w:cs="Times New Roman"/>
          <w:b/>
          <w:bCs/>
        </w:rPr>
      </w:pPr>
    </w:p>
    <w:p w:rsidR="00A7633C" w:rsidRPr="000224E9" w:rsidRDefault="00A7633C" w:rsidP="00A7633C">
      <w:pPr>
        <w:spacing w:afterLines="30" w:after="72" w:line="240" w:lineRule="auto"/>
        <w:rPr>
          <w:rFonts w:ascii="Times New Roman" w:hAnsi="Times New Roman" w:cs="Times New Roman"/>
          <w:b/>
          <w:bCs/>
        </w:rPr>
      </w:pPr>
    </w:p>
    <w:p w:rsidR="00A7633C" w:rsidRPr="000224E9" w:rsidRDefault="00A7633C" w:rsidP="00A7633C">
      <w:pPr>
        <w:spacing w:afterLines="30" w:after="72" w:line="240" w:lineRule="auto"/>
        <w:rPr>
          <w:rFonts w:ascii="Times New Roman" w:hAnsi="Times New Roman" w:cs="Times New Roman"/>
          <w:b/>
          <w:bCs/>
        </w:rPr>
      </w:pPr>
    </w:p>
    <w:p w:rsidR="00A7633C" w:rsidRPr="000224E9" w:rsidRDefault="00A7633C" w:rsidP="00A7633C">
      <w:pPr>
        <w:spacing w:afterLines="30" w:after="72" w:line="240" w:lineRule="auto"/>
        <w:rPr>
          <w:rFonts w:ascii="Times New Roman" w:hAnsi="Times New Roman" w:cs="Times New Roman"/>
          <w:b/>
          <w:bCs/>
        </w:rPr>
      </w:pPr>
    </w:p>
    <w:p w:rsidR="00A7633C" w:rsidRPr="000224E9" w:rsidRDefault="00A7633C" w:rsidP="00A7633C">
      <w:pPr>
        <w:spacing w:afterLines="30" w:after="72" w:line="240" w:lineRule="auto"/>
        <w:rPr>
          <w:rFonts w:ascii="Times New Roman" w:hAnsi="Times New Roman" w:cs="Times New Roman"/>
          <w:b/>
          <w:bCs/>
        </w:rPr>
      </w:pPr>
    </w:p>
    <w:p w:rsidR="00A7633C" w:rsidRPr="000224E9" w:rsidRDefault="00A7633C" w:rsidP="00A7633C">
      <w:pPr>
        <w:spacing w:afterLines="30" w:after="72" w:line="240" w:lineRule="auto"/>
        <w:rPr>
          <w:rFonts w:ascii="Times New Roman" w:hAnsi="Times New Roman" w:cs="Times New Roman"/>
          <w:b/>
          <w:bCs/>
        </w:rPr>
      </w:pPr>
    </w:p>
    <w:p w:rsidR="00A7633C" w:rsidRPr="000224E9" w:rsidRDefault="00A7633C" w:rsidP="00A7633C">
      <w:pPr>
        <w:spacing w:afterLines="30" w:after="72" w:line="240" w:lineRule="auto"/>
        <w:rPr>
          <w:rFonts w:ascii="Times New Roman" w:hAnsi="Times New Roman" w:cs="Times New Roman"/>
          <w:b/>
          <w:bCs/>
        </w:rPr>
      </w:pPr>
    </w:p>
    <w:p w:rsidR="00A7633C" w:rsidRPr="000224E9" w:rsidRDefault="00A7633C" w:rsidP="00A7633C">
      <w:pPr>
        <w:spacing w:afterLines="30" w:after="72" w:line="240" w:lineRule="auto"/>
        <w:rPr>
          <w:rFonts w:ascii="Times New Roman" w:hAnsi="Times New Roman" w:cs="Times New Roman"/>
          <w:b/>
          <w:bCs/>
        </w:rPr>
      </w:pPr>
    </w:p>
    <w:p w:rsidR="00A7633C" w:rsidRPr="000224E9" w:rsidRDefault="00A7633C" w:rsidP="00A7633C">
      <w:pPr>
        <w:spacing w:afterLines="30" w:after="72" w:line="240" w:lineRule="auto"/>
        <w:rPr>
          <w:rFonts w:ascii="Times New Roman" w:hAnsi="Times New Roman" w:cs="Times New Roman"/>
          <w:b/>
          <w:bCs/>
        </w:rPr>
      </w:pPr>
      <w:r w:rsidRPr="000224E9">
        <w:rPr>
          <w:rFonts w:ascii="Times New Roman" w:hAnsi="Times New Roman" w:cs="Times New Roman"/>
          <w:b/>
          <w:bCs/>
        </w:rPr>
        <w:lastRenderedPageBreak/>
        <w:t xml:space="preserve">Table 2: Genital compounds which are the best indicators of species identity. A, B, and </w:t>
      </w:r>
      <w:proofErr w:type="spellStart"/>
      <w:r w:rsidRPr="000224E9">
        <w:rPr>
          <w:rFonts w:ascii="Times New Roman" w:hAnsi="Times New Roman" w:cs="Times New Roman"/>
          <w:b/>
          <w:bCs/>
        </w:rPr>
        <w:t>sqrtIV</w:t>
      </w:r>
      <w:proofErr w:type="spellEnd"/>
      <w:r w:rsidRPr="000224E9">
        <w:rPr>
          <w:rFonts w:ascii="Times New Roman" w:hAnsi="Times New Roman" w:cs="Times New Roman"/>
          <w:b/>
          <w:bCs/>
        </w:rPr>
        <w:t xml:space="preserve"> as in Table 1. </w:t>
      </w:r>
    </w:p>
    <w:p w:rsidR="00A7633C" w:rsidRPr="000224E9" w:rsidRDefault="00A7633C" w:rsidP="00A7633C">
      <w:pPr>
        <w:spacing w:afterLines="30" w:after="72" w:line="240" w:lineRule="auto"/>
        <w:rPr>
          <w:rFonts w:ascii="Times New Roman" w:hAnsi="Times New Roman" w:cs="Times New Roman"/>
          <w:b/>
          <w:bCs/>
          <w:sz w:val="24"/>
          <w:szCs w:val="24"/>
        </w:rPr>
      </w:pPr>
    </w:p>
    <w:p w:rsidR="00A7633C" w:rsidRPr="000224E9" w:rsidRDefault="00A7633C" w:rsidP="00A7633C">
      <w:pPr>
        <w:spacing w:afterLines="30" w:after="72" w:line="240" w:lineRule="auto"/>
        <w:rPr>
          <w:rFonts w:ascii="Times New Roman" w:hAnsi="Times New Roman" w:cs="Times New Roman"/>
          <w:b/>
          <w:bCs/>
          <w:sz w:val="24"/>
          <w:szCs w:val="24"/>
        </w:rPr>
      </w:pPr>
    </w:p>
    <w:tbl>
      <w:tblPr>
        <w:tblStyle w:val="TableGrid"/>
        <w:tblW w:w="8505" w:type="dxa"/>
        <w:jc w:val="center"/>
        <w:tblLook w:val="04A0" w:firstRow="1" w:lastRow="0" w:firstColumn="1" w:lastColumn="0" w:noHBand="0" w:noVBand="1"/>
      </w:tblPr>
      <w:tblGrid>
        <w:gridCol w:w="4807"/>
        <w:gridCol w:w="1414"/>
        <w:gridCol w:w="1274"/>
        <w:gridCol w:w="1010"/>
      </w:tblGrid>
      <w:tr w:rsidR="00A7633C" w:rsidRPr="000224E9" w:rsidTr="00544F2A">
        <w:trPr>
          <w:jc w:val="center"/>
        </w:trPr>
        <w:tc>
          <w:tcPr>
            <w:tcW w:w="4807" w:type="dxa"/>
            <w:tcBorders>
              <w:top w:val="nil"/>
              <w:left w:val="nil"/>
              <w:bottom w:val="single" w:sz="4" w:space="0" w:color="auto"/>
              <w:right w:val="nil"/>
            </w:tcBorders>
          </w:tcPr>
          <w:p w:rsidR="00A7633C" w:rsidRPr="000224E9" w:rsidRDefault="00A7633C" w:rsidP="00544F2A">
            <w:pPr>
              <w:rPr>
                <w:rFonts w:ascii="Times New Roman" w:hAnsi="Times New Roman" w:cs="Times New Roman"/>
                <w:b/>
                <w:bCs/>
                <w:i/>
                <w:iCs/>
                <w:sz w:val="28"/>
                <w:szCs w:val="28"/>
              </w:rPr>
            </w:pPr>
            <w:r w:rsidRPr="000224E9">
              <w:rPr>
                <w:rFonts w:ascii="Times New Roman" w:hAnsi="Times New Roman" w:cs="Times New Roman"/>
                <w:b/>
                <w:bCs/>
                <w:sz w:val="28"/>
                <w:szCs w:val="28"/>
              </w:rPr>
              <w:t>Species/compound</w:t>
            </w:r>
          </w:p>
        </w:tc>
        <w:tc>
          <w:tcPr>
            <w:tcW w:w="1414" w:type="dxa"/>
            <w:tcBorders>
              <w:top w:val="nil"/>
              <w:left w:val="nil"/>
              <w:bottom w:val="single" w:sz="4" w:space="0" w:color="auto"/>
              <w:right w:val="nil"/>
            </w:tcBorders>
          </w:tcPr>
          <w:p w:rsidR="00A7633C" w:rsidRPr="000224E9" w:rsidRDefault="00A7633C" w:rsidP="00544F2A">
            <w:pPr>
              <w:rPr>
                <w:rFonts w:ascii="Times New Roman" w:hAnsi="Times New Roman" w:cs="Times New Roman"/>
                <w:b/>
                <w:bCs/>
                <w:sz w:val="28"/>
                <w:szCs w:val="28"/>
              </w:rPr>
            </w:pPr>
            <w:r w:rsidRPr="000224E9">
              <w:rPr>
                <w:rFonts w:ascii="Times New Roman" w:hAnsi="Times New Roman" w:cs="Times New Roman"/>
                <w:b/>
                <w:bCs/>
                <w:sz w:val="28"/>
                <w:szCs w:val="28"/>
              </w:rPr>
              <w:t>A: specificity</w:t>
            </w:r>
          </w:p>
        </w:tc>
        <w:tc>
          <w:tcPr>
            <w:tcW w:w="1274" w:type="dxa"/>
            <w:tcBorders>
              <w:top w:val="nil"/>
              <w:left w:val="nil"/>
              <w:bottom w:val="single" w:sz="4" w:space="0" w:color="auto"/>
              <w:right w:val="nil"/>
            </w:tcBorders>
          </w:tcPr>
          <w:p w:rsidR="00A7633C" w:rsidRPr="000224E9" w:rsidRDefault="00A7633C" w:rsidP="00544F2A">
            <w:pPr>
              <w:rPr>
                <w:rFonts w:ascii="Times New Roman" w:hAnsi="Times New Roman" w:cs="Times New Roman"/>
                <w:b/>
                <w:bCs/>
                <w:sz w:val="28"/>
                <w:szCs w:val="28"/>
              </w:rPr>
            </w:pPr>
            <w:r w:rsidRPr="000224E9">
              <w:rPr>
                <w:rFonts w:ascii="Times New Roman" w:hAnsi="Times New Roman" w:cs="Times New Roman"/>
                <w:b/>
                <w:bCs/>
                <w:sz w:val="28"/>
                <w:szCs w:val="28"/>
              </w:rPr>
              <w:t>B: coverage</w:t>
            </w:r>
          </w:p>
        </w:tc>
        <w:tc>
          <w:tcPr>
            <w:tcW w:w="1010" w:type="dxa"/>
            <w:tcBorders>
              <w:top w:val="nil"/>
              <w:left w:val="nil"/>
              <w:bottom w:val="single" w:sz="4" w:space="0" w:color="auto"/>
              <w:right w:val="nil"/>
            </w:tcBorders>
          </w:tcPr>
          <w:p w:rsidR="00A7633C" w:rsidRPr="000224E9" w:rsidRDefault="00A7633C" w:rsidP="00544F2A">
            <w:pPr>
              <w:rPr>
                <w:rFonts w:ascii="Times New Roman" w:hAnsi="Times New Roman" w:cs="Times New Roman"/>
                <w:b/>
                <w:bCs/>
                <w:sz w:val="28"/>
                <w:szCs w:val="28"/>
              </w:rPr>
            </w:pPr>
            <w:proofErr w:type="spellStart"/>
            <w:r w:rsidRPr="000224E9">
              <w:rPr>
                <w:rFonts w:ascii="Times New Roman" w:hAnsi="Times New Roman" w:cs="Times New Roman"/>
                <w:b/>
                <w:bCs/>
                <w:sz w:val="28"/>
                <w:szCs w:val="28"/>
              </w:rPr>
              <w:t>sqrtIV</w:t>
            </w:r>
            <w:proofErr w:type="spellEnd"/>
          </w:p>
        </w:tc>
      </w:tr>
      <w:tr w:rsidR="00A7633C" w:rsidRPr="000224E9" w:rsidTr="00544F2A">
        <w:trPr>
          <w:jc w:val="center"/>
        </w:trPr>
        <w:tc>
          <w:tcPr>
            <w:tcW w:w="4807" w:type="dxa"/>
            <w:tcBorders>
              <w:top w:val="nil"/>
              <w:left w:val="nil"/>
              <w:bottom w:val="single" w:sz="4" w:space="0" w:color="auto"/>
              <w:right w:val="nil"/>
            </w:tcBorders>
          </w:tcPr>
          <w:p w:rsidR="00A7633C" w:rsidRPr="000224E9" w:rsidRDefault="00A7633C" w:rsidP="00544F2A">
            <w:pPr>
              <w:rPr>
                <w:rFonts w:ascii="Times New Roman" w:hAnsi="Times New Roman" w:cs="Times New Roman"/>
                <w:b/>
                <w:bCs/>
                <w:i/>
                <w:iCs/>
                <w:sz w:val="28"/>
                <w:szCs w:val="28"/>
              </w:rPr>
            </w:pPr>
            <w:r w:rsidRPr="000224E9">
              <w:rPr>
                <w:rFonts w:ascii="Times New Roman" w:hAnsi="Times New Roman" w:cs="Times New Roman"/>
                <w:b/>
                <w:bCs/>
                <w:i/>
                <w:iCs/>
                <w:sz w:val="28"/>
                <w:szCs w:val="28"/>
              </w:rPr>
              <w:t>H. cydno</w:t>
            </w:r>
          </w:p>
        </w:tc>
        <w:tc>
          <w:tcPr>
            <w:tcW w:w="1414" w:type="dxa"/>
            <w:tcBorders>
              <w:top w:val="nil"/>
              <w:left w:val="nil"/>
              <w:bottom w:val="single" w:sz="4" w:space="0" w:color="auto"/>
              <w:right w:val="nil"/>
            </w:tcBorders>
          </w:tcPr>
          <w:p w:rsidR="00A7633C" w:rsidRPr="000224E9" w:rsidRDefault="00A7633C" w:rsidP="00544F2A">
            <w:pPr>
              <w:rPr>
                <w:rFonts w:ascii="Times New Roman" w:hAnsi="Times New Roman" w:cs="Times New Roman"/>
                <w:b/>
                <w:bCs/>
                <w:sz w:val="28"/>
                <w:szCs w:val="28"/>
              </w:rPr>
            </w:pPr>
          </w:p>
        </w:tc>
        <w:tc>
          <w:tcPr>
            <w:tcW w:w="1274" w:type="dxa"/>
            <w:tcBorders>
              <w:top w:val="nil"/>
              <w:left w:val="nil"/>
              <w:bottom w:val="single" w:sz="4" w:space="0" w:color="auto"/>
              <w:right w:val="nil"/>
            </w:tcBorders>
          </w:tcPr>
          <w:p w:rsidR="00A7633C" w:rsidRPr="000224E9" w:rsidRDefault="00A7633C" w:rsidP="00544F2A">
            <w:pPr>
              <w:rPr>
                <w:rFonts w:ascii="Times New Roman" w:hAnsi="Times New Roman" w:cs="Times New Roman"/>
                <w:b/>
                <w:bCs/>
                <w:sz w:val="28"/>
                <w:szCs w:val="28"/>
              </w:rPr>
            </w:pPr>
          </w:p>
        </w:tc>
        <w:tc>
          <w:tcPr>
            <w:tcW w:w="1010" w:type="dxa"/>
            <w:tcBorders>
              <w:top w:val="nil"/>
              <w:left w:val="nil"/>
              <w:bottom w:val="single" w:sz="4" w:space="0" w:color="auto"/>
              <w:right w:val="nil"/>
            </w:tcBorders>
          </w:tcPr>
          <w:p w:rsidR="00A7633C" w:rsidRPr="000224E9" w:rsidRDefault="00A7633C" w:rsidP="00544F2A">
            <w:pPr>
              <w:rPr>
                <w:rFonts w:ascii="Times New Roman" w:hAnsi="Times New Roman" w:cs="Times New Roman"/>
                <w:b/>
                <w:bCs/>
                <w:sz w:val="28"/>
                <w:szCs w:val="28"/>
              </w:rPr>
            </w:pPr>
          </w:p>
        </w:tc>
      </w:tr>
      <w:tr w:rsidR="00A7633C" w:rsidRPr="000224E9" w:rsidTr="00544F2A">
        <w:trPr>
          <w:jc w:val="center"/>
        </w:trPr>
        <w:tc>
          <w:tcPr>
            <w:tcW w:w="4807"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r w:rsidRPr="000224E9">
              <w:rPr>
                <w:rFonts w:ascii="Times New Roman" w:hAnsi="Times New Roman" w:cs="Times New Roman"/>
                <w:sz w:val="24"/>
                <w:szCs w:val="24"/>
              </w:rPr>
              <w:t>Unknown ester (RI=1390)</w:t>
            </w:r>
          </w:p>
        </w:tc>
        <w:tc>
          <w:tcPr>
            <w:tcW w:w="1414"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r w:rsidRPr="000224E9">
              <w:rPr>
                <w:rFonts w:ascii="Times New Roman" w:hAnsi="Times New Roman" w:cs="Times New Roman"/>
                <w:sz w:val="24"/>
                <w:szCs w:val="24"/>
              </w:rPr>
              <w:t>0.999</w:t>
            </w:r>
          </w:p>
        </w:tc>
        <w:tc>
          <w:tcPr>
            <w:tcW w:w="1274"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r w:rsidRPr="000224E9">
              <w:rPr>
                <w:rFonts w:ascii="Times New Roman" w:hAnsi="Times New Roman" w:cs="Times New Roman"/>
                <w:sz w:val="24"/>
                <w:szCs w:val="24"/>
              </w:rPr>
              <w:t>1</w:t>
            </w:r>
          </w:p>
        </w:tc>
        <w:tc>
          <w:tcPr>
            <w:tcW w:w="1010"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r w:rsidRPr="000224E9">
              <w:rPr>
                <w:rFonts w:ascii="Times New Roman" w:hAnsi="Times New Roman" w:cs="Times New Roman"/>
                <w:sz w:val="24"/>
                <w:szCs w:val="24"/>
              </w:rPr>
              <w:t>0.999</w:t>
            </w:r>
          </w:p>
        </w:tc>
      </w:tr>
      <w:tr w:rsidR="00A7633C" w:rsidRPr="000224E9" w:rsidTr="00544F2A">
        <w:trPr>
          <w:jc w:val="center"/>
        </w:trPr>
        <w:tc>
          <w:tcPr>
            <w:tcW w:w="4807" w:type="dxa"/>
            <w:tcBorders>
              <w:top w:val="nil"/>
              <w:left w:val="nil"/>
              <w:bottom w:val="single" w:sz="4" w:space="0" w:color="auto"/>
              <w:right w:val="nil"/>
            </w:tcBorders>
          </w:tcPr>
          <w:p w:rsidR="00A7633C" w:rsidRPr="000224E9" w:rsidRDefault="00A7633C" w:rsidP="00544F2A">
            <w:pPr>
              <w:rPr>
                <w:rFonts w:ascii="Times New Roman" w:hAnsi="Times New Roman" w:cs="Times New Roman"/>
                <w:b/>
                <w:bCs/>
                <w:i/>
                <w:iCs/>
                <w:sz w:val="28"/>
                <w:szCs w:val="28"/>
              </w:rPr>
            </w:pPr>
            <w:r w:rsidRPr="000224E9">
              <w:rPr>
                <w:rFonts w:ascii="Times New Roman" w:hAnsi="Times New Roman" w:cs="Times New Roman"/>
                <w:b/>
                <w:bCs/>
                <w:i/>
                <w:iCs/>
                <w:sz w:val="28"/>
                <w:szCs w:val="28"/>
              </w:rPr>
              <w:t xml:space="preserve">H. </w:t>
            </w:r>
            <w:proofErr w:type="spellStart"/>
            <w:r w:rsidRPr="000224E9">
              <w:rPr>
                <w:rFonts w:ascii="Times New Roman" w:hAnsi="Times New Roman" w:cs="Times New Roman"/>
                <w:b/>
                <w:bCs/>
                <w:i/>
                <w:iCs/>
                <w:sz w:val="28"/>
                <w:szCs w:val="28"/>
              </w:rPr>
              <w:t>eleuchia</w:t>
            </w:r>
            <w:proofErr w:type="spellEnd"/>
          </w:p>
        </w:tc>
        <w:tc>
          <w:tcPr>
            <w:tcW w:w="1414" w:type="dxa"/>
            <w:tcBorders>
              <w:top w:val="nil"/>
              <w:left w:val="nil"/>
              <w:bottom w:val="single" w:sz="4" w:space="0" w:color="auto"/>
              <w:right w:val="nil"/>
            </w:tcBorders>
          </w:tcPr>
          <w:p w:rsidR="00A7633C" w:rsidRPr="000224E9" w:rsidRDefault="00A7633C" w:rsidP="00544F2A">
            <w:pPr>
              <w:rPr>
                <w:rFonts w:ascii="Times New Roman" w:hAnsi="Times New Roman" w:cs="Times New Roman"/>
                <w:sz w:val="28"/>
                <w:szCs w:val="28"/>
              </w:rPr>
            </w:pPr>
          </w:p>
        </w:tc>
        <w:tc>
          <w:tcPr>
            <w:tcW w:w="1274" w:type="dxa"/>
            <w:tcBorders>
              <w:top w:val="nil"/>
              <w:left w:val="nil"/>
              <w:bottom w:val="single" w:sz="4" w:space="0" w:color="auto"/>
              <w:right w:val="nil"/>
            </w:tcBorders>
          </w:tcPr>
          <w:p w:rsidR="00A7633C" w:rsidRPr="000224E9" w:rsidRDefault="00A7633C" w:rsidP="00544F2A">
            <w:pPr>
              <w:rPr>
                <w:rFonts w:ascii="Times New Roman" w:hAnsi="Times New Roman" w:cs="Times New Roman"/>
                <w:sz w:val="28"/>
                <w:szCs w:val="28"/>
              </w:rPr>
            </w:pPr>
          </w:p>
        </w:tc>
        <w:tc>
          <w:tcPr>
            <w:tcW w:w="1010" w:type="dxa"/>
            <w:tcBorders>
              <w:top w:val="nil"/>
              <w:left w:val="nil"/>
              <w:bottom w:val="single" w:sz="4" w:space="0" w:color="auto"/>
              <w:right w:val="nil"/>
            </w:tcBorders>
          </w:tcPr>
          <w:p w:rsidR="00A7633C" w:rsidRPr="000224E9" w:rsidRDefault="00A7633C" w:rsidP="00544F2A">
            <w:pPr>
              <w:rPr>
                <w:rFonts w:ascii="Times New Roman" w:hAnsi="Times New Roman" w:cs="Times New Roman"/>
                <w:sz w:val="28"/>
                <w:szCs w:val="28"/>
              </w:rPr>
            </w:pPr>
          </w:p>
        </w:tc>
      </w:tr>
      <w:tr w:rsidR="00A7633C" w:rsidRPr="000224E9" w:rsidTr="00544F2A">
        <w:trPr>
          <w:jc w:val="center"/>
        </w:trPr>
        <w:tc>
          <w:tcPr>
            <w:tcW w:w="4807"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r w:rsidRPr="000224E9">
              <w:rPr>
                <w:rFonts w:ascii="Times New Roman" w:hAnsi="Times New Roman" w:cs="Times New Roman"/>
                <w:sz w:val="24"/>
                <w:szCs w:val="24"/>
              </w:rPr>
              <w:t>Unknown macrolide RI=1878</w:t>
            </w:r>
          </w:p>
        </w:tc>
        <w:tc>
          <w:tcPr>
            <w:tcW w:w="1414"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r w:rsidRPr="000224E9">
              <w:rPr>
                <w:rFonts w:ascii="Times New Roman" w:hAnsi="Times New Roman" w:cs="Times New Roman"/>
                <w:sz w:val="24"/>
                <w:szCs w:val="24"/>
              </w:rPr>
              <w:t>0.969</w:t>
            </w:r>
          </w:p>
        </w:tc>
        <w:tc>
          <w:tcPr>
            <w:tcW w:w="1274"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r w:rsidRPr="000224E9">
              <w:rPr>
                <w:rFonts w:ascii="Times New Roman" w:hAnsi="Times New Roman" w:cs="Times New Roman"/>
                <w:sz w:val="24"/>
                <w:szCs w:val="24"/>
              </w:rPr>
              <w:t>1</w:t>
            </w:r>
          </w:p>
        </w:tc>
        <w:tc>
          <w:tcPr>
            <w:tcW w:w="1010"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r w:rsidRPr="000224E9">
              <w:rPr>
                <w:rFonts w:ascii="Times New Roman" w:hAnsi="Times New Roman" w:cs="Times New Roman"/>
                <w:sz w:val="24"/>
                <w:szCs w:val="24"/>
              </w:rPr>
              <w:t>0.984</w:t>
            </w:r>
          </w:p>
        </w:tc>
      </w:tr>
      <w:tr w:rsidR="00A7633C" w:rsidRPr="000224E9" w:rsidTr="00544F2A">
        <w:trPr>
          <w:jc w:val="center"/>
        </w:trPr>
        <w:tc>
          <w:tcPr>
            <w:tcW w:w="4807" w:type="dxa"/>
            <w:tcBorders>
              <w:top w:val="nil"/>
              <w:left w:val="nil"/>
              <w:bottom w:val="single" w:sz="4" w:space="0" w:color="auto"/>
              <w:right w:val="nil"/>
            </w:tcBorders>
          </w:tcPr>
          <w:p w:rsidR="00A7633C" w:rsidRPr="000224E9" w:rsidRDefault="00A7633C" w:rsidP="00544F2A">
            <w:pPr>
              <w:rPr>
                <w:rFonts w:ascii="Times New Roman" w:hAnsi="Times New Roman" w:cs="Times New Roman"/>
                <w:b/>
                <w:bCs/>
                <w:i/>
                <w:iCs/>
                <w:sz w:val="28"/>
                <w:szCs w:val="28"/>
              </w:rPr>
            </w:pPr>
            <w:r w:rsidRPr="000224E9">
              <w:rPr>
                <w:rFonts w:ascii="Times New Roman" w:hAnsi="Times New Roman" w:cs="Times New Roman"/>
                <w:b/>
                <w:bCs/>
                <w:i/>
                <w:iCs/>
                <w:sz w:val="28"/>
                <w:szCs w:val="28"/>
              </w:rPr>
              <w:t xml:space="preserve">H. </w:t>
            </w:r>
            <w:proofErr w:type="spellStart"/>
            <w:r w:rsidRPr="000224E9">
              <w:rPr>
                <w:rFonts w:ascii="Times New Roman" w:hAnsi="Times New Roman" w:cs="Times New Roman"/>
                <w:b/>
                <w:bCs/>
                <w:i/>
                <w:iCs/>
                <w:sz w:val="28"/>
                <w:szCs w:val="28"/>
              </w:rPr>
              <w:t>elevatus</w:t>
            </w:r>
            <w:proofErr w:type="spellEnd"/>
          </w:p>
        </w:tc>
        <w:tc>
          <w:tcPr>
            <w:tcW w:w="1414" w:type="dxa"/>
            <w:tcBorders>
              <w:top w:val="nil"/>
              <w:left w:val="nil"/>
              <w:bottom w:val="single" w:sz="4" w:space="0" w:color="auto"/>
              <w:right w:val="nil"/>
            </w:tcBorders>
          </w:tcPr>
          <w:p w:rsidR="00A7633C" w:rsidRPr="000224E9" w:rsidRDefault="00A7633C" w:rsidP="00544F2A">
            <w:pPr>
              <w:rPr>
                <w:rFonts w:ascii="Times New Roman" w:hAnsi="Times New Roman" w:cs="Times New Roman"/>
                <w:sz w:val="28"/>
                <w:szCs w:val="28"/>
              </w:rPr>
            </w:pPr>
          </w:p>
        </w:tc>
        <w:tc>
          <w:tcPr>
            <w:tcW w:w="1274" w:type="dxa"/>
            <w:tcBorders>
              <w:top w:val="nil"/>
              <w:left w:val="nil"/>
              <w:bottom w:val="single" w:sz="4" w:space="0" w:color="auto"/>
              <w:right w:val="nil"/>
            </w:tcBorders>
          </w:tcPr>
          <w:p w:rsidR="00A7633C" w:rsidRPr="000224E9" w:rsidRDefault="00A7633C" w:rsidP="00544F2A">
            <w:pPr>
              <w:rPr>
                <w:rFonts w:ascii="Times New Roman" w:hAnsi="Times New Roman" w:cs="Times New Roman"/>
                <w:sz w:val="28"/>
                <w:szCs w:val="28"/>
              </w:rPr>
            </w:pPr>
          </w:p>
        </w:tc>
        <w:tc>
          <w:tcPr>
            <w:tcW w:w="1010" w:type="dxa"/>
            <w:tcBorders>
              <w:top w:val="nil"/>
              <w:left w:val="nil"/>
              <w:bottom w:val="single" w:sz="4" w:space="0" w:color="auto"/>
              <w:right w:val="nil"/>
            </w:tcBorders>
          </w:tcPr>
          <w:p w:rsidR="00A7633C" w:rsidRPr="000224E9" w:rsidRDefault="00A7633C" w:rsidP="00544F2A">
            <w:pPr>
              <w:rPr>
                <w:rFonts w:ascii="Times New Roman" w:hAnsi="Times New Roman" w:cs="Times New Roman"/>
                <w:sz w:val="28"/>
                <w:szCs w:val="28"/>
              </w:rPr>
            </w:pPr>
          </w:p>
        </w:tc>
      </w:tr>
      <w:tr w:rsidR="00A7633C" w:rsidRPr="000224E9" w:rsidTr="00544F2A">
        <w:trPr>
          <w:jc w:val="center"/>
        </w:trPr>
        <w:tc>
          <w:tcPr>
            <w:tcW w:w="4807"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proofErr w:type="spellStart"/>
            <w:r w:rsidRPr="000224E9">
              <w:rPr>
                <w:rFonts w:ascii="Times New Roman" w:hAnsi="Times New Roman" w:cs="Times New Roman"/>
                <w:sz w:val="24"/>
                <w:szCs w:val="24"/>
              </w:rPr>
              <w:t>Icosenol</w:t>
            </w:r>
            <w:proofErr w:type="spellEnd"/>
            <w:r w:rsidRPr="000224E9">
              <w:rPr>
                <w:rFonts w:ascii="Times New Roman" w:hAnsi="Times New Roman" w:cs="Times New Roman"/>
                <w:sz w:val="24"/>
                <w:szCs w:val="24"/>
              </w:rPr>
              <w:t xml:space="preserve"> </w:t>
            </w:r>
          </w:p>
        </w:tc>
        <w:tc>
          <w:tcPr>
            <w:tcW w:w="1414"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r w:rsidRPr="000224E9">
              <w:rPr>
                <w:rFonts w:ascii="Times New Roman" w:hAnsi="Times New Roman" w:cs="Times New Roman"/>
                <w:sz w:val="24"/>
                <w:szCs w:val="24"/>
              </w:rPr>
              <w:t>0.908</w:t>
            </w:r>
          </w:p>
        </w:tc>
        <w:tc>
          <w:tcPr>
            <w:tcW w:w="1274"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r w:rsidRPr="000224E9">
              <w:rPr>
                <w:rFonts w:ascii="Times New Roman" w:hAnsi="Times New Roman" w:cs="Times New Roman"/>
                <w:sz w:val="24"/>
                <w:szCs w:val="24"/>
              </w:rPr>
              <w:t>1</w:t>
            </w:r>
          </w:p>
        </w:tc>
        <w:tc>
          <w:tcPr>
            <w:tcW w:w="1010"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r w:rsidRPr="000224E9">
              <w:rPr>
                <w:rFonts w:ascii="Times New Roman" w:hAnsi="Times New Roman" w:cs="Times New Roman"/>
                <w:sz w:val="24"/>
                <w:szCs w:val="24"/>
              </w:rPr>
              <w:t>0.953</w:t>
            </w:r>
          </w:p>
        </w:tc>
      </w:tr>
      <w:tr w:rsidR="00A7633C" w:rsidRPr="000224E9" w:rsidTr="00544F2A">
        <w:trPr>
          <w:jc w:val="center"/>
        </w:trPr>
        <w:tc>
          <w:tcPr>
            <w:tcW w:w="4807" w:type="dxa"/>
            <w:tcBorders>
              <w:top w:val="nil"/>
              <w:left w:val="nil"/>
              <w:bottom w:val="single" w:sz="4" w:space="0" w:color="auto"/>
              <w:right w:val="nil"/>
            </w:tcBorders>
          </w:tcPr>
          <w:p w:rsidR="00A7633C" w:rsidRPr="000224E9" w:rsidRDefault="00A7633C" w:rsidP="00544F2A">
            <w:pPr>
              <w:rPr>
                <w:rFonts w:ascii="Times New Roman" w:hAnsi="Times New Roman" w:cs="Times New Roman"/>
                <w:b/>
                <w:bCs/>
                <w:i/>
                <w:iCs/>
                <w:sz w:val="28"/>
                <w:szCs w:val="28"/>
              </w:rPr>
            </w:pPr>
            <w:r w:rsidRPr="000224E9">
              <w:rPr>
                <w:rFonts w:ascii="Times New Roman" w:hAnsi="Times New Roman" w:cs="Times New Roman"/>
                <w:b/>
                <w:bCs/>
                <w:i/>
                <w:iCs/>
                <w:sz w:val="28"/>
                <w:szCs w:val="28"/>
              </w:rPr>
              <w:t xml:space="preserve">H. </w:t>
            </w:r>
            <w:proofErr w:type="spellStart"/>
            <w:r w:rsidRPr="000224E9">
              <w:rPr>
                <w:rFonts w:ascii="Times New Roman" w:hAnsi="Times New Roman" w:cs="Times New Roman"/>
                <w:b/>
                <w:bCs/>
                <w:i/>
                <w:iCs/>
                <w:sz w:val="28"/>
                <w:szCs w:val="28"/>
              </w:rPr>
              <w:t>erato</w:t>
            </w:r>
            <w:proofErr w:type="spellEnd"/>
          </w:p>
        </w:tc>
        <w:tc>
          <w:tcPr>
            <w:tcW w:w="1414" w:type="dxa"/>
            <w:tcBorders>
              <w:top w:val="nil"/>
              <w:left w:val="nil"/>
              <w:bottom w:val="single" w:sz="4" w:space="0" w:color="auto"/>
              <w:right w:val="nil"/>
            </w:tcBorders>
          </w:tcPr>
          <w:p w:rsidR="00A7633C" w:rsidRPr="000224E9" w:rsidRDefault="00A7633C" w:rsidP="00544F2A">
            <w:pPr>
              <w:rPr>
                <w:rFonts w:ascii="Times New Roman" w:hAnsi="Times New Roman" w:cs="Times New Roman"/>
                <w:sz w:val="28"/>
                <w:szCs w:val="28"/>
              </w:rPr>
            </w:pPr>
          </w:p>
        </w:tc>
        <w:tc>
          <w:tcPr>
            <w:tcW w:w="1274" w:type="dxa"/>
            <w:tcBorders>
              <w:top w:val="nil"/>
              <w:left w:val="nil"/>
              <w:bottom w:val="single" w:sz="4" w:space="0" w:color="auto"/>
              <w:right w:val="nil"/>
            </w:tcBorders>
          </w:tcPr>
          <w:p w:rsidR="00A7633C" w:rsidRPr="000224E9" w:rsidRDefault="00A7633C" w:rsidP="00544F2A">
            <w:pPr>
              <w:rPr>
                <w:rFonts w:ascii="Times New Roman" w:hAnsi="Times New Roman" w:cs="Times New Roman"/>
                <w:sz w:val="28"/>
                <w:szCs w:val="28"/>
              </w:rPr>
            </w:pPr>
          </w:p>
        </w:tc>
        <w:tc>
          <w:tcPr>
            <w:tcW w:w="1010" w:type="dxa"/>
            <w:tcBorders>
              <w:top w:val="nil"/>
              <w:left w:val="nil"/>
              <w:bottom w:val="single" w:sz="4" w:space="0" w:color="auto"/>
              <w:right w:val="nil"/>
            </w:tcBorders>
          </w:tcPr>
          <w:p w:rsidR="00A7633C" w:rsidRPr="000224E9" w:rsidRDefault="00A7633C" w:rsidP="00544F2A">
            <w:pPr>
              <w:rPr>
                <w:rFonts w:ascii="Times New Roman" w:hAnsi="Times New Roman" w:cs="Times New Roman"/>
                <w:sz w:val="28"/>
                <w:szCs w:val="28"/>
              </w:rPr>
            </w:pPr>
          </w:p>
        </w:tc>
      </w:tr>
      <w:tr w:rsidR="00A7633C" w:rsidRPr="000224E9" w:rsidTr="00544F2A">
        <w:trPr>
          <w:jc w:val="center"/>
        </w:trPr>
        <w:tc>
          <w:tcPr>
            <w:tcW w:w="4807"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r w:rsidRPr="000224E9">
              <w:rPr>
                <w:rFonts w:ascii="Times New Roman" w:hAnsi="Times New Roman" w:cs="Times New Roman"/>
                <w:sz w:val="24"/>
                <w:szCs w:val="24"/>
              </w:rPr>
              <w:t>Unknown terpene ester (RI=2494)</w:t>
            </w:r>
          </w:p>
        </w:tc>
        <w:tc>
          <w:tcPr>
            <w:tcW w:w="1414"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r w:rsidRPr="000224E9">
              <w:rPr>
                <w:rFonts w:ascii="Times New Roman" w:hAnsi="Times New Roman" w:cs="Times New Roman"/>
                <w:sz w:val="24"/>
                <w:szCs w:val="24"/>
              </w:rPr>
              <w:t>1</w:t>
            </w:r>
          </w:p>
        </w:tc>
        <w:tc>
          <w:tcPr>
            <w:tcW w:w="1274"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r w:rsidRPr="000224E9">
              <w:rPr>
                <w:rFonts w:ascii="Times New Roman" w:hAnsi="Times New Roman" w:cs="Times New Roman"/>
                <w:sz w:val="24"/>
                <w:szCs w:val="24"/>
              </w:rPr>
              <w:t>1</w:t>
            </w:r>
          </w:p>
        </w:tc>
        <w:tc>
          <w:tcPr>
            <w:tcW w:w="1010"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r w:rsidRPr="000224E9">
              <w:rPr>
                <w:rFonts w:ascii="Times New Roman" w:hAnsi="Times New Roman" w:cs="Times New Roman"/>
                <w:sz w:val="24"/>
                <w:szCs w:val="24"/>
              </w:rPr>
              <w:t>1</w:t>
            </w:r>
          </w:p>
        </w:tc>
      </w:tr>
      <w:tr w:rsidR="00A7633C" w:rsidRPr="000224E9" w:rsidTr="00544F2A">
        <w:trPr>
          <w:jc w:val="center"/>
        </w:trPr>
        <w:tc>
          <w:tcPr>
            <w:tcW w:w="4807" w:type="dxa"/>
            <w:tcBorders>
              <w:top w:val="nil"/>
              <w:left w:val="nil"/>
              <w:bottom w:val="single" w:sz="4" w:space="0" w:color="auto"/>
              <w:right w:val="nil"/>
            </w:tcBorders>
          </w:tcPr>
          <w:p w:rsidR="00A7633C" w:rsidRPr="000224E9" w:rsidRDefault="00A7633C" w:rsidP="00544F2A">
            <w:pPr>
              <w:rPr>
                <w:rFonts w:ascii="Times New Roman" w:hAnsi="Times New Roman" w:cs="Times New Roman"/>
                <w:b/>
                <w:bCs/>
                <w:i/>
                <w:iCs/>
                <w:sz w:val="28"/>
                <w:szCs w:val="28"/>
              </w:rPr>
            </w:pPr>
            <w:r w:rsidRPr="000224E9">
              <w:rPr>
                <w:rFonts w:ascii="Times New Roman" w:hAnsi="Times New Roman" w:cs="Times New Roman"/>
                <w:b/>
                <w:bCs/>
                <w:i/>
                <w:iCs/>
                <w:sz w:val="28"/>
                <w:szCs w:val="28"/>
              </w:rPr>
              <w:t xml:space="preserve">H. </w:t>
            </w:r>
            <w:proofErr w:type="spellStart"/>
            <w:r w:rsidRPr="000224E9">
              <w:rPr>
                <w:rFonts w:ascii="Times New Roman" w:hAnsi="Times New Roman" w:cs="Times New Roman"/>
                <w:b/>
                <w:bCs/>
                <w:i/>
                <w:iCs/>
                <w:sz w:val="28"/>
                <w:szCs w:val="28"/>
              </w:rPr>
              <w:t>melpomene</w:t>
            </w:r>
            <w:proofErr w:type="spellEnd"/>
            <w:r w:rsidRPr="000224E9">
              <w:rPr>
                <w:rFonts w:ascii="Times New Roman" w:hAnsi="Times New Roman" w:cs="Times New Roman"/>
                <w:b/>
                <w:bCs/>
                <w:i/>
                <w:iCs/>
                <w:sz w:val="28"/>
                <w:szCs w:val="28"/>
              </w:rPr>
              <w:t xml:space="preserve"> </w:t>
            </w:r>
          </w:p>
        </w:tc>
        <w:tc>
          <w:tcPr>
            <w:tcW w:w="1414" w:type="dxa"/>
            <w:tcBorders>
              <w:top w:val="nil"/>
              <w:left w:val="nil"/>
              <w:bottom w:val="single" w:sz="4" w:space="0" w:color="auto"/>
              <w:right w:val="nil"/>
            </w:tcBorders>
          </w:tcPr>
          <w:p w:rsidR="00A7633C" w:rsidRPr="000224E9" w:rsidRDefault="00A7633C" w:rsidP="00544F2A">
            <w:pPr>
              <w:rPr>
                <w:rFonts w:ascii="Times New Roman" w:hAnsi="Times New Roman" w:cs="Times New Roman"/>
                <w:sz w:val="28"/>
                <w:szCs w:val="28"/>
              </w:rPr>
            </w:pPr>
          </w:p>
        </w:tc>
        <w:tc>
          <w:tcPr>
            <w:tcW w:w="1274" w:type="dxa"/>
            <w:tcBorders>
              <w:top w:val="nil"/>
              <w:left w:val="nil"/>
              <w:bottom w:val="single" w:sz="4" w:space="0" w:color="auto"/>
              <w:right w:val="nil"/>
            </w:tcBorders>
          </w:tcPr>
          <w:p w:rsidR="00A7633C" w:rsidRPr="000224E9" w:rsidRDefault="00A7633C" w:rsidP="00544F2A">
            <w:pPr>
              <w:rPr>
                <w:rFonts w:ascii="Times New Roman" w:hAnsi="Times New Roman" w:cs="Times New Roman"/>
                <w:sz w:val="28"/>
                <w:szCs w:val="28"/>
              </w:rPr>
            </w:pPr>
          </w:p>
        </w:tc>
        <w:tc>
          <w:tcPr>
            <w:tcW w:w="1010" w:type="dxa"/>
            <w:tcBorders>
              <w:top w:val="nil"/>
              <w:left w:val="nil"/>
              <w:bottom w:val="single" w:sz="4" w:space="0" w:color="auto"/>
              <w:right w:val="nil"/>
            </w:tcBorders>
          </w:tcPr>
          <w:p w:rsidR="00A7633C" w:rsidRPr="000224E9" w:rsidRDefault="00A7633C" w:rsidP="00544F2A">
            <w:pPr>
              <w:rPr>
                <w:rFonts w:ascii="Times New Roman" w:hAnsi="Times New Roman" w:cs="Times New Roman"/>
                <w:sz w:val="28"/>
                <w:szCs w:val="28"/>
              </w:rPr>
            </w:pPr>
          </w:p>
        </w:tc>
      </w:tr>
      <w:tr w:rsidR="00A7633C" w:rsidRPr="000224E9" w:rsidTr="00544F2A">
        <w:trPr>
          <w:jc w:val="center"/>
        </w:trPr>
        <w:tc>
          <w:tcPr>
            <w:tcW w:w="4807"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r w:rsidRPr="000224E9">
              <w:rPr>
                <w:rFonts w:ascii="Times New Roman" w:hAnsi="Times New Roman" w:cs="Times New Roman"/>
                <w:iCs/>
                <w:sz w:val="24"/>
                <w:szCs w:val="24"/>
              </w:rPr>
              <w:t>(</w:t>
            </w:r>
            <w:r w:rsidRPr="000224E9">
              <w:rPr>
                <w:rFonts w:ascii="Times New Roman" w:hAnsi="Times New Roman" w:cs="Times New Roman"/>
                <w:i/>
                <w:sz w:val="24"/>
                <w:szCs w:val="24"/>
              </w:rPr>
              <w:t>E</w:t>
            </w:r>
            <w:r w:rsidRPr="000224E9">
              <w:rPr>
                <w:rFonts w:ascii="Times New Roman" w:hAnsi="Times New Roman" w:cs="Times New Roman"/>
                <w:iCs/>
                <w:sz w:val="24"/>
                <w:szCs w:val="24"/>
              </w:rPr>
              <w:t>)-</w:t>
            </w:r>
            <w:r w:rsidRPr="000224E9">
              <w:rPr>
                <w:rFonts w:ascii="Times New Roman" w:hAnsi="Times New Roman" w:cs="Times New Roman"/>
                <w:sz w:val="24"/>
                <w:szCs w:val="24"/>
              </w:rPr>
              <w:t xml:space="preserve">β-Ocimene </w:t>
            </w:r>
          </w:p>
        </w:tc>
        <w:tc>
          <w:tcPr>
            <w:tcW w:w="1414"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r w:rsidRPr="000224E9">
              <w:rPr>
                <w:rFonts w:ascii="Times New Roman" w:hAnsi="Times New Roman" w:cs="Times New Roman"/>
                <w:sz w:val="24"/>
                <w:szCs w:val="24"/>
              </w:rPr>
              <w:t>0.865</w:t>
            </w:r>
          </w:p>
        </w:tc>
        <w:tc>
          <w:tcPr>
            <w:tcW w:w="1274"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r w:rsidRPr="000224E9">
              <w:rPr>
                <w:rFonts w:ascii="Times New Roman" w:hAnsi="Times New Roman" w:cs="Times New Roman"/>
                <w:sz w:val="24"/>
                <w:szCs w:val="24"/>
              </w:rPr>
              <w:t>1</w:t>
            </w:r>
          </w:p>
        </w:tc>
        <w:tc>
          <w:tcPr>
            <w:tcW w:w="1010"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r w:rsidRPr="000224E9">
              <w:rPr>
                <w:rFonts w:ascii="Times New Roman" w:hAnsi="Times New Roman" w:cs="Times New Roman"/>
                <w:sz w:val="24"/>
                <w:szCs w:val="24"/>
              </w:rPr>
              <w:t>0.930</w:t>
            </w:r>
          </w:p>
        </w:tc>
      </w:tr>
      <w:tr w:rsidR="00A7633C" w:rsidRPr="000224E9" w:rsidTr="00544F2A">
        <w:trPr>
          <w:jc w:val="center"/>
        </w:trPr>
        <w:tc>
          <w:tcPr>
            <w:tcW w:w="4807" w:type="dxa"/>
            <w:tcBorders>
              <w:top w:val="nil"/>
              <w:left w:val="nil"/>
              <w:bottom w:val="single" w:sz="4" w:space="0" w:color="auto"/>
              <w:right w:val="nil"/>
            </w:tcBorders>
          </w:tcPr>
          <w:p w:rsidR="00A7633C" w:rsidRPr="000224E9" w:rsidRDefault="00A7633C" w:rsidP="00544F2A">
            <w:pPr>
              <w:rPr>
                <w:rFonts w:ascii="Times New Roman" w:hAnsi="Times New Roman" w:cs="Times New Roman"/>
                <w:b/>
                <w:bCs/>
                <w:i/>
                <w:iCs/>
                <w:sz w:val="28"/>
                <w:szCs w:val="28"/>
              </w:rPr>
            </w:pPr>
            <w:r w:rsidRPr="000224E9">
              <w:rPr>
                <w:rFonts w:ascii="Times New Roman" w:hAnsi="Times New Roman" w:cs="Times New Roman"/>
                <w:b/>
                <w:bCs/>
                <w:i/>
                <w:iCs/>
                <w:sz w:val="28"/>
                <w:szCs w:val="28"/>
              </w:rPr>
              <w:t xml:space="preserve">H. </w:t>
            </w:r>
            <w:proofErr w:type="spellStart"/>
            <w:r w:rsidRPr="000224E9">
              <w:rPr>
                <w:rFonts w:ascii="Times New Roman" w:hAnsi="Times New Roman" w:cs="Times New Roman"/>
                <w:b/>
                <w:bCs/>
                <w:i/>
                <w:iCs/>
                <w:sz w:val="28"/>
                <w:szCs w:val="28"/>
              </w:rPr>
              <w:t>sapho</w:t>
            </w:r>
            <w:proofErr w:type="spellEnd"/>
          </w:p>
        </w:tc>
        <w:tc>
          <w:tcPr>
            <w:tcW w:w="1414" w:type="dxa"/>
            <w:tcBorders>
              <w:top w:val="nil"/>
              <w:left w:val="nil"/>
              <w:bottom w:val="single" w:sz="4" w:space="0" w:color="auto"/>
              <w:right w:val="nil"/>
            </w:tcBorders>
          </w:tcPr>
          <w:p w:rsidR="00A7633C" w:rsidRPr="000224E9" w:rsidRDefault="00A7633C" w:rsidP="00544F2A">
            <w:pPr>
              <w:rPr>
                <w:rFonts w:ascii="Times New Roman" w:hAnsi="Times New Roman" w:cs="Times New Roman"/>
                <w:sz w:val="28"/>
                <w:szCs w:val="28"/>
              </w:rPr>
            </w:pPr>
          </w:p>
        </w:tc>
        <w:tc>
          <w:tcPr>
            <w:tcW w:w="1274" w:type="dxa"/>
            <w:tcBorders>
              <w:top w:val="nil"/>
              <w:left w:val="nil"/>
              <w:bottom w:val="single" w:sz="4" w:space="0" w:color="auto"/>
              <w:right w:val="nil"/>
            </w:tcBorders>
          </w:tcPr>
          <w:p w:rsidR="00A7633C" w:rsidRPr="000224E9" w:rsidRDefault="00A7633C" w:rsidP="00544F2A">
            <w:pPr>
              <w:rPr>
                <w:rFonts w:ascii="Times New Roman" w:hAnsi="Times New Roman" w:cs="Times New Roman"/>
                <w:sz w:val="28"/>
                <w:szCs w:val="28"/>
              </w:rPr>
            </w:pPr>
          </w:p>
        </w:tc>
        <w:tc>
          <w:tcPr>
            <w:tcW w:w="1010" w:type="dxa"/>
            <w:tcBorders>
              <w:top w:val="nil"/>
              <w:left w:val="nil"/>
              <w:bottom w:val="single" w:sz="4" w:space="0" w:color="auto"/>
              <w:right w:val="nil"/>
            </w:tcBorders>
          </w:tcPr>
          <w:p w:rsidR="00A7633C" w:rsidRPr="000224E9" w:rsidRDefault="00A7633C" w:rsidP="00544F2A">
            <w:pPr>
              <w:rPr>
                <w:rFonts w:ascii="Times New Roman" w:hAnsi="Times New Roman" w:cs="Times New Roman"/>
                <w:sz w:val="28"/>
                <w:szCs w:val="28"/>
              </w:rPr>
            </w:pPr>
          </w:p>
        </w:tc>
      </w:tr>
      <w:tr w:rsidR="00A7633C" w:rsidRPr="000224E9" w:rsidTr="00544F2A">
        <w:trPr>
          <w:jc w:val="center"/>
        </w:trPr>
        <w:tc>
          <w:tcPr>
            <w:tcW w:w="4807"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r w:rsidRPr="000224E9">
              <w:rPr>
                <w:rFonts w:ascii="Times New Roman" w:hAnsi="Times New Roman" w:cs="Times New Roman"/>
                <w:iCs/>
                <w:sz w:val="24"/>
                <w:szCs w:val="24"/>
              </w:rPr>
              <w:t>(</w:t>
            </w:r>
            <w:r w:rsidRPr="000224E9">
              <w:rPr>
                <w:rFonts w:ascii="Times New Roman" w:hAnsi="Times New Roman" w:cs="Times New Roman"/>
                <w:i/>
                <w:sz w:val="24"/>
                <w:szCs w:val="24"/>
              </w:rPr>
              <w:t>Z</w:t>
            </w:r>
            <w:r w:rsidRPr="000224E9">
              <w:rPr>
                <w:rFonts w:ascii="Times New Roman" w:hAnsi="Times New Roman" w:cs="Times New Roman"/>
                <w:iCs/>
                <w:sz w:val="24"/>
                <w:szCs w:val="24"/>
              </w:rPr>
              <w:t>)</w:t>
            </w:r>
            <w:r w:rsidRPr="000224E9">
              <w:rPr>
                <w:rFonts w:ascii="Times New Roman" w:hAnsi="Times New Roman" w:cs="Times New Roman"/>
                <w:sz w:val="24"/>
                <w:szCs w:val="24"/>
              </w:rPr>
              <w:t xml:space="preserve">-3-Hexenyl </w:t>
            </w:r>
            <w:proofErr w:type="spellStart"/>
            <w:r w:rsidRPr="000224E9">
              <w:rPr>
                <w:rFonts w:ascii="Times New Roman" w:hAnsi="Times New Roman" w:cs="Times New Roman"/>
                <w:sz w:val="24"/>
                <w:szCs w:val="24"/>
              </w:rPr>
              <w:t>isobutyrate</w:t>
            </w:r>
            <w:proofErr w:type="spellEnd"/>
            <w:r w:rsidRPr="000224E9">
              <w:rPr>
                <w:rFonts w:ascii="Times New Roman" w:hAnsi="Times New Roman" w:cs="Times New Roman"/>
                <w:sz w:val="24"/>
                <w:szCs w:val="24"/>
              </w:rPr>
              <w:t xml:space="preserve"> &amp; unknown (RI=1691)</w:t>
            </w:r>
          </w:p>
        </w:tc>
        <w:tc>
          <w:tcPr>
            <w:tcW w:w="1414"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r w:rsidRPr="000224E9">
              <w:rPr>
                <w:rFonts w:ascii="Times New Roman" w:hAnsi="Times New Roman" w:cs="Times New Roman"/>
                <w:sz w:val="24"/>
                <w:szCs w:val="24"/>
              </w:rPr>
              <w:t>0.957</w:t>
            </w:r>
          </w:p>
        </w:tc>
        <w:tc>
          <w:tcPr>
            <w:tcW w:w="1274"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r w:rsidRPr="000224E9">
              <w:rPr>
                <w:rFonts w:ascii="Times New Roman" w:hAnsi="Times New Roman" w:cs="Times New Roman"/>
                <w:sz w:val="24"/>
                <w:szCs w:val="24"/>
              </w:rPr>
              <w:t>0.923</w:t>
            </w:r>
          </w:p>
        </w:tc>
        <w:tc>
          <w:tcPr>
            <w:tcW w:w="1010" w:type="dxa"/>
            <w:tcBorders>
              <w:top w:val="single" w:sz="4" w:space="0" w:color="auto"/>
              <w:left w:val="nil"/>
              <w:bottom w:val="nil"/>
              <w:right w:val="nil"/>
            </w:tcBorders>
          </w:tcPr>
          <w:p w:rsidR="00A7633C" w:rsidRPr="000224E9" w:rsidRDefault="00A7633C" w:rsidP="00544F2A">
            <w:pPr>
              <w:rPr>
                <w:rFonts w:ascii="Times New Roman" w:hAnsi="Times New Roman" w:cs="Times New Roman"/>
                <w:sz w:val="24"/>
                <w:szCs w:val="24"/>
              </w:rPr>
            </w:pPr>
            <w:r w:rsidRPr="000224E9">
              <w:rPr>
                <w:rFonts w:ascii="Times New Roman" w:hAnsi="Times New Roman" w:cs="Times New Roman"/>
                <w:sz w:val="24"/>
                <w:szCs w:val="24"/>
              </w:rPr>
              <w:t>0.940</w:t>
            </w:r>
          </w:p>
        </w:tc>
      </w:tr>
      <w:tr w:rsidR="00A7633C" w:rsidRPr="000224E9" w:rsidTr="00544F2A">
        <w:trPr>
          <w:jc w:val="center"/>
        </w:trPr>
        <w:tc>
          <w:tcPr>
            <w:tcW w:w="4807" w:type="dxa"/>
            <w:tcBorders>
              <w:top w:val="nil"/>
              <w:left w:val="nil"/>
              <w:bottom w:val="single" w:sz="4" w:space="0" w:color="auto"/>
              <w:right w:val="nil"/>
            </w:tcBorders>
          </w:tcPr>
          <w:p w:rsidR="00A7633C" w:rsidRPr="000224E9" w:rsidRDefault="00A7633C" w:rsidP="00544F2A">
            <w:pPr>
              <w:rPr>
                <w:rFonts w:ascii="Times New Roman" w:hAnsi="Times New Roman" w:cs="Times New Roman"/>
                <w:b/>
                <w:bCs/>
                <w:i/>
                <w:iCs/>
                <w:sz w:val="28"/>
                <w:szCs w:val="28"/>
              </w:rPr>
            </w:pPr>
            <w:r w:rsidRPr="000224E9">
              <w:rPr>
                <w:rFonts w:ascii="Times New Roman" w:hAnsi="Times New Roman" w:cs="Times New Roman"/>
                <w:b/>
                <w:bCs/>
                <w:i/>
                <w:iCs/>
                <w:sz w:val="28"/>
                <w:szCs w:val="28"/>
              </w:rPr>
              <w:t xml:space="preserve">H. </w:t>
            </w:r>
            <w:proofErr w:type="spellStart"/>
            <w:r w:rsidRPr="000224E9">
              <w:rPr>
                <w:rFonts w:ascii="Times New Roman" w:hAnsi="Times New Roman" w:cs="Times New Roman"/>
                <w:b/>
                <w:bCs/>
                <w:i/>
                <w:iCs/>
                <w:sz w:val="28"/>
                <w:szCs w:val="28"/>
              </w:rPr>
              <w:t>timareta</w:t>
            </w:r>
            <w:proofErr w:type="spellEnd"/>
          </w:p>
        </w:tc>
        <w:tc>
          <w:tcPr>
            <w:tcW w:w="1414" w:type="dxa"/>
            <w:tcBorders>
              <w:top w:val="nil"/>
              <w:left w:val="nil"/>
              <w:bottom w:val="single" w:sz="4" w:space="0" w:color="auto"/>
              <w:right w:val="nil"/>
            </w:tcBorders>
          </w:tcPr>
          <w:p w:rsidR="00A7633C" w:rsidRPr="000224E9" w:rsidRDefault="00A7633C" w:rsidP="00544F2A">
            <w:pPr>
              <w:rPr>
                <w:rFonts w:ascii="Times New Roman" w:hAnsi="Times New Roman" w:cs="Times New Roman"/>
                <w:sz w:val="28"/>
                <w:szCs w:val="28"/>
              </w:rPr>
            </w:pPr>
          </w:p>
        </w:tc>
        <w:tc>
          <w:tcPr>
            <w:tcW w:w="1274" w:type="dxa"/>
            <w:tcBorders>
              <w:top w:val="nil"/>
              <w:left w:val="nil"/>
              <w:bottom w:val="single" w:sz="4" w:space="0" w:color="auto"/>
              <w:right w:val="nil"/>
            </w:tcBorders>
          </w:tcPr>
          <w:p w:rsidR="00A7633C" w:rsidRPr="000224E9" w:rsidRDefault="00A7633C" w:rsidP="00544F2A">
            <w:pPr>
              <w:rPr>
                <w:rFonts w:ascii="Times New Roman" w:hAnsi="Times New Roman" w:cs="Times New Roman"/>
                <w:sz w:val="28"/>
                <w:szCs w:val="28"/>
              </w:rPr>
            </w:pPr>
          </w:p>
        </w:tc>
        <w:tc>
          <w:tcPr>
            <w:tcW w:w="1010" w:type="dxa"/>
            <w:tcBorders>
              <w:top w:val="nil"/>
              <w:left w:val="nil"/>
              <w:bottom w:val="single" w:sz="4" w:space="0" w:color="auto"/>
              <w:right w:val="nil"/>
            </w:tcBorders>
          </w:tcPr>
          <w:p w:rsidR="00A7633C" w:rsidRPr="000224E9" w:rsidRDefault="00A7633C" w:rsidP="00544F2A">
            <w:pPr>
              <w:rPr>
                <w:rFonts w:ascii="Times New Roman" w:hAnsi="Times New Roman" w:cs="Times New Roman"/>
                <w:sz w:val="28"/>
                <w:szCs w:val="28"/>
              </w:rPr>
            </w:pPr>
          </w:p>
        </w:tc>
      </w:tr>
      <w:tr w:rsidR="00A7633C" w:rsidRPr="000224E9" w:rsidTr="00544F2A">
        <w:trPr>
          <w:jc w:val="center"/>
        </w:trPr>
        <w:tc>
          <w:tcPr>
            <w:tcW w:w="4807" w:type="dxa"/>
            <w:tcBorders>
              <w:top w:val="single" w:sz="4" w:space="0" w:color="auto"/>
              <w:left w:val="nil"/>
              <w:bottom w:val="single" w:sz="4" w:space="0" w:color="auto"/>
              <w:right w:val="nil"/>
            </w:tcBorders>
          </w:tcPr>
          <w:p w:rsidR="00A7633C" w:rsidRPr="000224E9" w:rsidRDefault="00A7633C" w:rsidP="00544F2A">
            <w:pPr>
              <w:rPr>
                <w:rFonts w:ascii="Times New Roman" w:hAnsi="Times New Roman" w:cs="Times New Roman"/>
                <w:sz w:val="24"/>
                <w:szCs w:val="24"/>
              </w:rPr>
            </w:pPr>
            <w:r w:rsidRPr="000224E9">
              <w:rPr>
                <w:rFonts w:ascii="Times New Roman" w:hAnsi="Times New Roman" w:cs="Times New Roman"/>
                <w:sz w:val="24"/>
                <w:szCs w:val="24"/>
              </w:rPr>
              <w:t>Butyl oleate &amp; (</w:t>
            </w:r>
            <w:r w:rsidRPr="000224E9">
              <w:rPr>
                <w:rFonts w:ascii="Times New Roman" w:hAnsi="Times New Roman" w:cs="Times New Roman"/>
                <w:i/>
                <w:iCs/>
                <w:sz w:val="24"/>
                <w:szCs w:val="24"/>
              </w:rPr>
              <w:t>Z</w:t>
            </w:r>
            <w:r w:rsidRPr="000224E9">
              <w:rPr>
                <w:rFonts w:ascii="Times New Roman" w:hAnsi="Times New Roman" w:cs="Times New Roman"/>
                <w:sz w:val="24"/>
                <w:szCs w:val="24"/>
              </w:rPr>
              <w:t>)-9-octadecen-13-olide</w:t>
            </w:r>
          </w:p>
        </w:tc>
        <w:tc>
          <w:tcPr>
            <w:tcW w:w="1414" w:type="dxa"/>
            <w:tcBorders>
              <w:top w:val="single" w:sz="4" w:space="0" w:color="auto"/>
              <w:left w:val="nil"/>
              <w:bottom w:val="single" w:sz="4" w:space="0" w:color="auto"/>
              <w:right w:val="nil"/>
            </w:tcBorders>
          </w:tcPr>
          <w:p w:rsidR="00A7633C" w:rsidRPr="000224E9" w:rsidRDefault="00A7633C" w:rsidP="00544F2A">
            <w:pPr>
              <w:rPr>
                <w:rFonts w:ascii="Times New Roman" w:hAnsi="Times New Roman" w:cs="Times New Roman"/>
                <w:sz w:val="24"/>
                <w:szCs w:val="24"/>
              </w:rPr>
            </w:pPr>
            <w:r w:rsidRPr="000224E9">
              <w:rPr>
                <w:rFonts w:ascii="Times New Roman" w:hAnsi="Times New Roman" w:cs="Times New Roman"/>
                <w:sz w:val="24"/>
                <w:szCs w:val="24"/>
              </w:rPr>
              <w:t>0.915</w:t>
            </w:r>
          </w:p>
        </w:tc>
        <w:tc>
          <w:tcPr>
            <w:tcW w:w="1274" w:type="dxa"/>
            <w:tcBorders>
              <w:top w:val="single" w:sz="4" w:space="0" w:color="auto"/>
              <w:left w:val="nil"/>
              <w:bottom w:val="single" w:sz="4" w:space="0" w:color="auto"/>
              <w:right w:val="nil"/>
            </w:tcBorders>
          </w:tcPr>
          <w:p w:rsidR="00A7633C" w:rsidRPr="000224E9" w:rsidRDefault="00A7633C" w:rsidP="00544F2A">
            <w:pPr>
              <w:rPr>
                <w:rFonts w:ascii="Times New Roman" w:hAnsi="Times New Roman" w:cs="Times New Roman"/>
                <w:sz w:val="24"/>
                <w:szCs w:val="24"/>
              </w:rPr>
            </w:pPr>
            <w:r w:rsidRPr="000224E9">
              <w:rPr>
                <w:rFonts w:ascii="Times New Roman" w:hAnsi="Times New Roman" w:cs="Times New Roman"/>
                <w:sz w:val="24"/>
                <w:szCs w:val="24"/>
              </w:rPr>
              <w:t>1</w:t>
            </w:r>
          </w:p>
        </w:tc>
        <w:tc>
          <w:tcPr>
            <w:tcW w:w="1010" w:type="dxa"/>
            <w:tcBorders>
              <w:top w:val="single" w:sz="4" w:space="0" w:color="auto"/>
              <w:left w:val="nil"/>
              <w:bottom w:val="single" w:sz="4" w:space="0" w:color="auto"/>
              <w:right w:val="nil"/>
            </w:tcBorders>
          </w:tcPr>
          <w:p w:rsidR="00A7633C" w:rsidRPr="000224E9" w:rsidRDefault="00A7633C" w:rsidP="00544F2A">
            <w:pPr>
              <w:rPr>
                <w:rFonts w:ascii="Times New Roman" w:hAnsi="Times New Roman" w:cs="Times New Roman"/>
                <w:sz w:val="24"/>
                <w:szCs w:val="24"/>
              </w:rPr>
            </w:pPr>
            <w:r w:rsidRPr="000224E9">
              <w:rPr>
                <w:rFonts w:ascii="Times New Roman" w:hAnsi="Times New Roman" w:cs="Times New Roman"/>
                <w:sz w:val="24"/>
                <w:szCs w:val="24"/>
              </w:rPr>
              <w:t>0.956</w:t>
            </w:r>
          </w:p>
        </w:tc>
      </w:tr>
    </w:tbl>
    <w:p w:rsidR="00A7633C" w:rsidRPr="000224E9" w:rsidRDefault="00A7633C" w:rsidP="00A7633C">
      <w:pPr>
        <w:spacing w:afterLines="30" w:after="72" w:line="240" w:lineRule="auto"/>
        <w:rPr>
          <w:rFonts w:ascii="Times New Roman" w:hAnsi="Times New Roman" w:cs="Times New Roman"/>
          <w:b/>
          <w:bCs/>
          <w:sz w:val="24"/>
          <w:szCs w:val="24"/>
        </w:rPr>
      </w:pPr>
    </w:p>
    <w:p w:rsidR="00A7633C" w:rsidRPr="000224E9" w:rsidRDefault="00A7633C" w:rsidP="00A7633C">
      <w:pPr>
        <w:spacing w:afterLines="30" w:after="72" w:line="240" w:lineRule="auto"/>
        <w:rPr>
          <w:rFonts w:ascii="Times New Roman" w:hAnsi="Times New Roman" w:cs="Times New Roman"/>
          <w:b/>
          <w:bCs/>
          <w:sz w:val="24"/>
          <w:szCs w:val="24"/>
        </w:rPr>
      </w:pPr>
    </w:p>
    <w:p w:rsidR="00A7633C" w:rsidRPr="000224E9" w:rsidRDefault="00A7633C" w:rsidP="00A7633C">
      <w:pPr>
        <w:rPr>
          <w:rFonts w:ascii="Times New Roman" w:hAnsi="Times New Roman" w:cs="Times New Roman"/>
          <w:b/>
          <w:bCs/>
        </w:rPr>
      </w:pPr>
    </w:p>
    <w:p w:rsidR="00A7633C" w:rsidRPr="000224E9" w:rsidRDefault="00A7633C" w:rsidP="00A7633C">
      <w:pPr>
        <w:rPr>
          <w:rFonts w:ascii="Times New Roman" w:hAnsi="Times New Roman" w:cs="Times New Roman"/>
          <w:b/>
          <w:bCs/>
        </w:rPr>
      </w:pPr>
    </w:p>
    <w:p w:rsidR="00A7633C" w:rsidRPr="000224E9" w:rsidRDefault="00A7633C" w:rsidP="00A7633C">
      <w:pPr>
        <w:rPr>
          <w:rFonts w:ascii="Times New Roman" w:hAnsi="Times New Roman" w:cs="Times New Roman"/>
          <w:b/>
          <w:bCs/>
        </w:rPr>
      </w:pPr>
    </w:p>
    <w:p w:rsidR="00A7633C" w:rsidRPr="000224E9" w:rsidRDefault="00A7633C" w:rsidP="00A7633C">
      <w:pPr>
        <w:rPr>
          <w:rFonts w:ascii="Times New Roman" w:hAnsi="Times New Roman" w:cs="Times New Roman"/>
          <w:b/>
          <w:bCs/>
        </w:rPr>
      </w:pPr>
    </w:p>
    <w:p w:rsidR="00544F2A" w:rsidRPr="000224E9" w:rsidRDefault="00544F2A">
      <w:pPr>
        <w:rPr>
          <w:rFonts w:ascii="Times New Roman" w:hAnsi="Times New Roman" w:cs="Times New Roman"/>
        </w:rPr>
      </w:pPr>
    </w:p>
    <w:p w:rsidR="00544F2A" w:rsidRPr="000224E9" w:rsidRDefault="00544F2A">
      <w:pPr>
        <w:rPr>
          <w:rFonts w:ascii="Times New Roman" w:hAnsi="Times New Roman" w:cs="Times New Roman"/>
        </w:rPr>
      </w:pPr>
      <w:bookmarkStart w:id="0" w:name="_GoBack"/>
      <w:bookmarkEnd w:id="0"/>
    </w:p>
    <w:sectPr w:rsidR="00544F2A" w:rsidRPr="000224E9" w:rsidSect="00544F2A">
      <w:footerReference w:type="even" r:id="rId10"/>
      <w:footerReference w:type="default" r:id="rId11"/>
      <w:pgSz w:w="11900" w:h="16840"/>
      <w:pgMar w:top="1440" w:right="1440" w:bottom="1440" w:left="1440" w:header="720" w:footer="720" w:gutter="0"/>
      <w:lnNumType w:countBy="1" w:restart="continuous"/>
      <w:cols w:space="720"/>
      <w:docGrid w:linePitch="40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C1564" w:rsidRDefault="007C1564">
      <w:pPr>
        <w:spacing w:after="0" w:line="240" w:lineRule="auto"/>
      </w:pPr>
      <w:r>
        <w:separator/>
      </w:r>
    </w:p>
  </w:endnote>
  <w:endnote w:type="continuationSeparator" w:id="0">
    <w:p w:rsidR="007C1564" w:rsidRDefault="007C15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 w:name="Liberation Sans">
    <w:altName w:val="Arial"/>
    <w:panose1 w:val="020B0604020202020204"/>
    <w:charset w:val="00"/>
    <w:family w:val="swiss"/>
    <w:pitch w:val="variable"/>
    <w:sig w:usb0="A00002AF" w:usb1="500078FB"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DengXian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396040968"/>
      <w:docPartObj>
        <w:docPartGallery w:val="Page Numbers (Bottom of Page)"/>
        <w:docPartUnique/>
      </w:docPartObj>
    </w:sdtPr>
    <w:sdtEndPr>
      <w:rPr>
        <w:rStyle w:val="PageNumber"/>
      </w:rPr>
    </w:sdtEndPr>
    <w:sdtContent>
      <w:p w:rsidR="00484994" w:rsidRDefault="00484994" w:rsidP="00544F2A">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rsidR="00484994" w:rsidRDefault="00484994" w:rsidP="00544F2A">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14723787"/>
      <w:docPartObj>
        <w:docPartGallery w:val="Page Numbers (Bottom of Page)"/>
        <w:docPartUnique/>
      </w:docPartObj>
    </w:sdtPr>
    <w:sdtEndPr>
      <w:rPr>
        <w:rStyle w:val="PageNumber"/>
      </w:rPr>
    </w:sdtEndPr>
    <w:sdtContent>
      <w:p w:rsidR="00484994" w:rsidRDefault="00484994" w:rsidP="00544F2A">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rsidR="00484994" w:rsidRDefault="00484994" w:rsidP="00544F2A">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C1564" w:rsidRDefault="007C1564">
      <w:pPr>
        <w:spacing w:after="0" w:line="240" w:lineRule="auto"/>
      </w:pPr>
      <w:r>
        <w:separator/>
      </w:r>
    </w:p>
  </w:footnote>
  <w:footnote w:type="continuationSeparator" w:id="0">
    <w:p w:rsidR="007C1564" w:rsidRDefault="007C156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50" type="#_x0000_t75" style="width:8pt;height:7pt;visibility:visible;mso-wrap-style:square" o:bullet="t">
        <v:imagedata r:id="rId1" o:title=""/>
      </v:shape>
    </w:pict>
  </w:numPicBullet>
  <w:numPicBullet w:numPicBulletId="1">
    <w:pict>
      <v:shape id="_x0000_i1151" type="#_x0000_t75" style="width:8pt;height:7pt;visibility:visible;mso-wrap-style:square" o:bullet="t">
        <v:imagedata r:id="rId2" o:title=""/>
      </v:shape>
    </w:pict>
  </w:numPicBullet>
  <w:numPicBullet w:numPicBulletId="2">
    <w:pict>
      <v:shape id="_x0000_i1152" type="#_x0000_t75" style="width:5pt;height:5pt;visibility:visible;mso-wrap-style:square" o:bullet="t">
        <v:imagedata r:id="rId3" o:title=""/>
      </v:shape>
    </w:pict>
  </w:numPicBullet>
  <w:numPicBullet w:numPicBulletId="3">
    <w:pict>
      <v:shape id="_x0000_i1153" type="#_x0000_t75" style="width:4pt;height:4pt;visibility:visible;mso-wrap-style:square" o:bullet="t">
        <v:imagedata r:id="rId4" o:title=""/>
      </v:shape>
    </w:pict>
  </w:numPicBullet>
  <w:abstractNum w:abstractNumId="0" w15:restartNumberingAfterBreak="0">
    <w:nsid w:val="07934CEC"/>
    <w:multiLevelType w:val="hybridMultilevel"/>
    <w:tmpl w:val="F2B83E1E"/>
    <w:lvl w:ilvl="0" w:tplc="D4BAA5F4">
      <w:start w:val="8"/>
      <w:numFmt w:val="bullet"/>
      <w:lvlText w:val=""/>
      <w:lvlJc w:val="left"/>
      <w:pPr>
        <w:ind w:left="720" w:hanging="360"/>
      </w:pPr>
      <w:rPr>
        <w:rFonts w:ascii="Wingdings" w:eastAsiaTheme="minorHAnsi" w:hAnsi="Wingdings"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5E82702"/>
    <w:multiLevelType w:val="hybridMultilevel"/>
    <w:tmpl w:val="41941BC6"/>
    <w:lvl w:ilvl="0" w:tplc="4EA6B3EE">
      <w:start w:val="8"/>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82B3D05"/>
    <w:multiLevelType w:val="hybridMultilevel"/>
    <w:tmpl w:val="68BC6D88"/>
    <w:lvl w:ilvl="0" w:tplc="7EBC91E6">
      <w:start w:val="1"/>
      <w:numFmt w:val="bullet"/>
      <w:lvlText w:val=""/>
      <w:lvlPicBulletId w:val="0"/>
      <w:lvlJc w:val="left"/>
      <w:pPr>
        <w:tabs>
          <w:tab w:val="num" w:pos="360"/>
        </w:tabs>
        <w:ind w:left="360" w:hanging="360"/>
      </w:pPr>
      <w:rPr>
        <w:rFonts w:ascii="Symbol" w:hAnsi="Symbol" w:hint="default"/>
      </w:rPr>
    </w:lvl>
    <w:lvl w:ilvl="1" w:tplc="CBB0A02A" w:tentative="1">
      <w:start w:val="1"/>
      <w:numFmt w:val="bullet"/>
      <w:lvlText w:val=""/>
      <w:lvlJc w:val="left"/>
      <w:pPr>
        <w:tabs>
          <w:tab w:val="num" w:pos="1080"/>
        </w:tabs>
        <w:ind w:left="1080" w:hanging="360"/>
      </w:pPr>
      <w:rPr>
        <w:rFonts w:ascii="Symbol" w:hAnsi="Symbol" w:hint="default"/>
      </w:rPr>
    </w:lvl>
    <w:lvl w:ilvl="2" w:tplc="1BEC7102" w:tentative="1">
      <w:start w:val="1"/>
      <w:numFmt w:val="bullet"/>
      <w:lvlText w:val=""/>
      <w:lvlJc w:val="left"/>
      <w:pPr>
        <w:tabs>
          <w:tab w:val="num" w:pos="1800"/>
        </w:tabs>
        <w:ind w:left="1800" w:hanging="360"/>
      </w:pPr>
      <w:rPr>
        <w:rFonts w:ascii="Symbol" w:hAnsi="Symbol" w:hint="default"/>
      </w:rPr>
    </w:lvl>
    <w:lvl w:ilvl="3" w:tplc="DCE25A42" w:tentative="1">
      <w:start w:val="1"/>
      <w:numFmt w:val="bullet"/>
      <w:lvlText w:val=""/>
      <w:lvlJc w:val="left"/>
      <w:pPr>
        <w:tabs>
          <w:tab w:val="num" w:pos="2520"/>
        </w:tabs>
        <w:ind w:left="2520" w:hanging="360"/>
      </w:pPr>
      <w:rPr>
        <w:rFonts w:ascii="Symbol" w:hAnsi="Symbol" w:hint="default"/>
      </w:rPr>
    </w:lvl>
    <w:lvl w:ilvl="4" w:tplc="1682CD4E" w:tentative="1">
      <w:start w:val="1"/>
      <w:numFmt w:val="bullet"/>
      <w:lvlText w:val=""/>
      <w:lvlJc w:val="left"/>
      <w:pPr>
        <w:tabs>
          <w:tab w:val="num" w:pos="3240"/>
        </w:tabs>
        <w:ind w:left="3240" w:hanging="360"/>
      </w:pPr>
      <w:rPr>
        <w:rFonts w:ascii="Symbol" w:hAnsi="Symbol" w:hint="default"/>
      </w:rPr>
    </w:lvl>
    <w:lvl w:ilvl="5" w:tplc="A306CBFA" w:tentative="1">
      <w:start w:val="1"/>
      <w:numFmt w:val="bullet"/>
      <w:lvlText w:val=""/>
      <w:lvlJc w:val="left"/>
      <w:pPr>
        <w:tabs>
          <w:tab w:val="num" w:pos="3960"/>
        </w:tabs>
        <w:ind w:left="3960" w:hanging="360"/>
      </w:pPr>
      <w:rPr>
        <w:rFonts w:ascii="Symbol" w:hAnsi="Symbol" w:hint="default"/>
      </w:rPr>
    </w:lvl>
    <w:lvl w:ilvl="6" w:tplc="E3C45098" w:tentative="1">
      <w:start w:val="1"/>
      <w:numFmt w:val="bullet"/>
      <w:lvlText w:val=""/>
      <w:lvlJc w:val="left"/>
      <w:pPr>
        <w:tabs>
          <w:tab w:val="num" w:pos="4680"/>
        </w:tabs>
        <w:ind w:left="4680" w:hanging="360"/>
      </w:pPr>
      <w:rPr>
        <w:rFonts w:ascii="Symbol" w:hAnsi="Symbol" w:hint="default"/>
      </w:rPr>
    </w:lvl>
    <w:lvl w:ilvl="7" w:tplc="71B240BA" w:tentative="1">
      <w:start w:val="1"/>
      <w:numFmt w:val="bullet"/>
      <w:lvlText w:val=""/>
      <w:lvlJc w:val="left"/>
      <w:pPr>
        <w:tabs>
          <w:tab w:val="num" w:pos="5400"/>
        </w:tabs>
        <w:ind w:left="5400" w:hanging="360"/>
      </w:pPr>
      <w:rPr>
        <w:rFonts w:ascii="Symbol" w:hAnsi="Symbol" w:hint="default"/>
      </w:rPr>
    </w:lvl>
    <w:lvl w:ilvl="8" w:tplc="8BA83174" w:tentative="1">
      <w:start w:val="1"/>
      <w:numFmt w:val="bullet"/>
      <w:lvlText w:val=""/>
      <w:lvlJc w:val="left"/>
      <w:pPr>
        <w:tabs>
          <w:tab w:val="num" w:pos="6120"/>
        </w:tabs>
        <w:ind w:left="6120" w:hanging="360"/>
      </w:pPr>
      <w:rPr>
        <w:rFonts w:ascii="Symbol" w:hAnsi="Symbol" w:hint="default"/>
      </w:rPr>
    </w:lvl>
  </w:abstractNum>
  <w:abstractNum w:abstractNumId="3" w15:restartNumberingAfterBreak="0">
    <w:nsid w:val="36B030A3"/>
    <w:multiLevelType w:val="hybridMultilevel"/>
    <w:tmpl w:val="27F426B6"/>
    <w:lvl w:ilvl="0" w:tplc="63F40D32">
      <w:start w:val="1"/>
      <w:numFmt w:val="bullet"/>
      <w:lvlText w:val=""/>
      <w:lvlPicBulletId w:val="3"/>
      <w:lvlJc w:val="left"/>
      <w:pPr>
        <w:tabs>
          <w:tab w:val="num" w:pos="720"/>
        </w:tabs>
        <w:ind w:left="720" w:hanging="360"/>
      </w:pPr>
      <w:rPr>
        <w:rFonts w:ascii="Symbol" w:hAnsi="Symbol" w:hint="default"/>
      </w:rPr>
    </w:lvl>
    <w:lvl w:ilvl="1" w:tplc="822076E4" w:tentative="1">
      <w:start w:val="1"/>
      <w:numFmt w:val="bullet"/>
      <w:lvlText w:val=""/>
      <w:lvlJc w:val="left"/>
      <w:pPr>
        <w:tabs>
          <w:tab w:val="num" w:pos="1440"/>
        </w:tabs>
        <w:ind w:left="1440" w:hanging="360"/>
      </w:pPr>
      <w:rPr>
        <w:rFonts w:ascii="Symbol" w:hAnsi="Symbol" w:hint="default"/>
      </w:rPr>
    </w:lvl>
    <w:lvl w:ilvl="2" w:tplc="653E5AEE" w:tentative="1">
      <w:start w:val="1"/>
      <w:numFmt w:val="bullet"/>
      <w:lvlText w:val=""/>
      <w:lvlJc w:val="left"/>
      <w:pPr>
        <w:tabs>
          <w:tab w:val="num" w:pos="2160"/>
        </w:tabs>
        <w:ind w:left="2160" w:hanging="360"/>
      </w:pPr>
      <w:rPr>
        <w:rFonts w:ascii="Symbol" w:hAnsi="Symbol" w:hint="default"/>
      </w:rPr>
    </w:lvl>
    <w:lvl w:ilvl="3" w:tplc="CE3691B4" w:tentative="1">
      <w:start w:val="1"/>
      <w:numFmt w:val="bullet"/>
      <w:lvlText w:val=""/>
      <w:lvlJc w:val="left"/>
      <w:pPr>
        <w:tabs>
          <w:tab w:val="num" w:pos="2880"/>
        </w:tabs>
        <w:ind w:left="2880" w:hanging="360"/>
      </w:pPr>
      <w:rPr>
        <w:rFonts w:ascii="Symbol" w:hAnsi="Symbol" w:hint="default"/>
      </w:rPr>
    </w:lvl>
    <w:lvl w:ilvl="4" w:tplc="3F680166" w:tentative="1">
      <w:start w:val="1"/>
      <w:numFmt w:val="bullet"/>
      <w:lvlText w:val=""/>
      <w:lvlJc w:val="left"/>
      <w:pPr>
        <w:tabs>
          <w:tab w:val="num" w:pos="3600"/>
        </w:tabs>
        <w:ind w:left="3600" w:hanging="360"/>
      </w:pPr>
      <w:rPr>
        <w:rFonts w:ascii="Symbol" w:hAnsi="Symbol" w:hint="default"/>
      </w:rPr>
    </w:lvl>
    <w:lvl w:ilvl="5" w:tplc="19E8236C" w:tentative="1">
      <w:start w:val="1"/>
      <w:numFmt w:val="bullet"/>
      <w:lvlText w:val=""/>
      <w:lvlJc w:val="left"/>
      <w:pPr>
        <w:tabs>
          <w:tab w:val="num" w:pos="4320"/>
        </w:tabs>
        <w:ind w:left="4320" w:hanging="360"/>
      </w:pPr>
      <w:rPr>
        <w:rFonts w:ascii="Symbol" w:hAnsi="Symbol" w:hint="default"/>
      </w:rPr>
    </w:lvl>
    <w:lvl w:ilvl="6" w:tplc="443C0164" w:tentative="1">
      <w:start w:val="1"/>
      <w:numFmt w:val="bullet"/>
      <w:lvlText w:val=""/>
      <w:lvlJc w:val="left"/>
      <w:pPr>
        <w:tabs>
          <w:tab w:val="num" w:pos="5040"/>
        </w:tabs>
        <w:ind w:left="5040" w:hanging="360"/>
      </w:pPr>
      <w:rPr>
        <w:rFonts w:ascii="Symbol" w:hAnsi="Symbol" w:hint="default"/>
      </w:rPr>
    </w:lvl>
    <w:lvl w:ilvl="7" w:tplc="94B44A7C" w:tentative="1">
      <w:start w:val="1"/>
      <w:numFmt w:val="bullet"/>
      <w:lvlText w:val=""/>
      <w:lvlJc w:val="left"/>
      <w:pPr>
        <w:tabs>
          <w:tab w:val="num" w:pos="5760"/>
        </w:tabs>
        <w:ind w:left="5760" w:hanging="360"/>
      </w:pPr>
      <w:rPr>
        <w:rFonts w:ascii="Symbol" w:hAnsi="Symbol" w:hint="default"/>
      </w:rPr>
    </w:lvl>
    <w:lvl w:ilvl="8" w:tplc="D7127C08"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44E958C5"/>
    <w:multiLevelType w:val="hybridMultilevel"/>
    <w:tmpl w:val="806E81BC"/>
    <w:lvl w:ilvl="0" w:tplc="6822760E">
      <w:start w:val="1"/>
      <w:numFmt w:val="bullet"/>
      <w:lvlText w:val=""/>
      <w:lvlPicBulletId w:val="1"/>
      <w:lvlJc w:val="left"/>
      <w:pPr>
        <w:tabs>
          <w:tab w:val="num" w:pos="360"/>
        </w:tabs>
        <w:ind w:left="360" w:hanging="360"/>
      </w:pPr>
      <w:rPr>
        <w:rFonts w:ascii="Symbol" w:hAnsi="Symbol" w:hint="default"/>
      </w:rPr>
    </w:lvl>
    <w:lvl w:ilvl="1" w:tplc="79B801F4" w:tentative="1">
      <w:start w:val="1"/>
      <w:numFmt w:val="bullet"/>
      <w:lvlText w:val=""/>
      <w:lvlJc w:val="left"/>
      <w:pPr>
        <w:tabs>
          <w:tab w:val="num" w:pos="1080"/>
        </w:tabs>
        <w:ind w:left="1080" w:hanging="360"/>
      </w:pPr>
      <w:rPr>
        <w:rFonts w:ascii="Symbol" w:hAnsi="Symbol" w:hint="default"/>
      </w:rPr>
    </w:lvl>
    <w:lvl w:ilvl="2" w:tplc="658C35D4" w:tentative="1">
      <w:start w:val="1"/>
      <w:numFmt w:val="bullet"/>
      <w:lvlText w:val=""/>
      <w:lvlJc w:val="left"/>
      <w:pPr>
        <w:tabs>
          <w:tab w:val="num" w:pos="1800"/>
        </w:tabs>
        <w:ind w:left="1800" w:hanging="360"/>
      </w:pPr>
      <w:rPr>
        <w:rFonts w:ascii="Symbol" w:hAnsi="Symbol" w:hint="default"/>
      </w:rPr>
    </w:lvl>
    <w:lvl w:ilvl="3" w:tplc="8C1A34D2" w:tentative="1">
      <w:start w:val="1"/>
      <w:numFmt w:val="bullet"/>
      <w:lvlText w:val=""/>
      <w:lvlJc w:val="left"/>
      <w:pPr>
        <w:tabs>
          <w:tab w:val="num" w:pos="2520"/>
        </w:tabs>
        <w:ind w:left="2520" w:hanging="360"/>
      </w:pPr>
      <w:rPr>
        <w:rFonts w:ascii="Symbol" w:hAnsi="Symbol" w:hint="default"/>
      </w:rPr>
    </w:lvl>
    <w:lvl w:ilvl="4" w:tplc="D9E002FA" w:tentative="1">
      <w:start w:val="1"/>
      <w:numFmt w:val="bullet"/>
      <w:lvlText w:val=""/>
      <w:lvlJc w:val="left"/>
      <w:pPr>
        <w:tabs>
          <w:tab w:val="num" w:pos="3240"/>
        </w:tabs>
        <w:ind w:left="3240" w:hanging="360"/>
      </w:pPr>
      <w:rPr>
        <w:rFonts w:ascii="Symbol" w:hAnsi="Symbol" w:hint="default"/>
      </w:rPr>
    </w:lvl>
    <w:lvl w:ilvl="5" w:tplc="9306C19A" w:tentative="1">
      <w:start w:val="1"/>
      <w:numFmt w:val="bullet"/>
      <w:lvlText w:val=""/>
      <w:lvlJc w:val="left"/>
      <w:pPr>
        <w:tabs>
          <w:tab w:val="num" w:pos="3960"/>
        </w:tabs>
        <w:ind w:left="3960" w:hanging="360"/>
      </w:pPr>
      <w:rPr>
        <w:rFonts w:ascii="Symbol" w:hAnsi="Symbol" w:hint="default"/>
      </w:rPr>
    </w:lvl>
    <w:lvl w:ilvl="6" w:tplc="EAC8BB30" w:tentative="1">
      <w:start w:val="1"/>
      <w:numFmt w:val="bullet"/>
      <w:lvlText w:val=""/>
      <w:lvlJc w:val="left"/>
      <w:pPr>
        <w:tabs>
          <w:tab w:val="num" w:pos="4680"/>
        </w:tabs>
        <w:ind w:left="4680" w:hanging="360"/>
      </w:pPr>
      <w:rPr>
        <w:rFonts w:ascii="Symbol" w:hAnsi="Symbol" w:hint="default"/>
      </w:rPr>
    </w:lvl>
    <w:lvl w:ilvl="7" w:tplc="AE0C9718" w:tentative="1">
      <w:start w:val="1"/>
      <w:numFmt w:val="bullet"/>
      <w:lvlText w:val=""/>
      <w:lvlJc w:val="left"/>
      <w:pPr>
        <w:tabs>
          <w:tab w:val="num" w:pos="5400"/>
        </w:tabs>
        <w:ind w:left="5400" w:hanging="360"/>
      </w:pPr>
      <w:rPr>
        <w:rFonts w:ascii="Symbol" w:hAnsi="Symbol" w:hint="default"/>
      </w:rPr>
    </w:lvl>
    <w:lvl w:ilvl="8" w:tplc="D8A6EAB2" w:tentative="1">
      <w:start w:val="1"/>
      <w:numFmt w:val="bullet"/>
      <w:lvlText w:val=""/>
      <w:lvlJc w:val="left"/>
      <w:pPr>
        <w:tabs>
          <w:tab w:val="num" w:pos="6120"/>
        </w:tabs>
        <w:ind w:left="6120" w:hanging="360"/>
      </w:pPr>
      <w:rPr>
        <w:rFonts w:ascii="Symbol" w:hAnsi="Symbol" w:hint="default"/>
      </w:rPr>
    </w:lvl>
  </w:abstractNum>
  <w:abstractNum w:abstractNumId="5" w15:restartNumberingAfterBreak="0">
    <w:nsid w:val="46613932"/>
    <w:multiLevelType w:val="hybridMultilevel"/>
    <w:tmpl w:val="FA0C3B86"/>
    <w:lvl w:ilvl="0" w:tplc="0BAC43C0">
      <w:start w:val="1"/>
      <w:numFmt w:val="bullet"/>
      <w:lvlText w:val=""/>
      <w:lvlPicBulletId w:val="0"/>
      <w:lvlJc w:val="left"/>
      <w:pPr>
        <w:tabs>
          <w:tab w:val="num" w:pos="360"/>
        </w:tabs>
        <w:ind w:left="360" w:hanging="360"/>
      </w:pPr>
      <w:rPr>
        <w:rFonts w:ascii="Symbol" w:hAnsi="Symbol" w:hint="default"/>
      </w:rPr>
    </w:lvl>
    <w:lvl w:ilvl="1" w:tplc="A7BC71DC" w:tentative="1">
      <w:start w:val="1"/>
      <w:numFmt w:val="bullet"/>
      <w:lvlText w:val=""/>
      <w:lvlJc w:val="left"/>
      <w:pPr>
        <w:tabs>
          <w:tab w:val="num" w:pos="1080"/>
        </w:tabs>
        <w:ind w:left="1080" w:hanging="360"/>
      </w:pPr>
      <w:rPr>
        <w:rFonts w:ascii="Symbol" w:hAnsi="Symbol" w:hint="default"/>
      </w:rPr>
    </w:lvl>
    <w:lvl w:ilvl="2" w:tplc="944CC98C" w:tentative="1">
      <w:start w:val="1"/>
      <w:numFmt w:val="bullet"/>
      <w:lvlText w:val=""/>
      <w:lvlJc w:val="left"/>
      <w:pPr>
        <w:tabs>
          <w:tab w:val="num" w:pos="1800"/>
        </w:tabs>
        <w:ind w:left="1800" w:hanging="360"/>
      </w:pPr>
      <w:rPr>
        <w:rFonts w:ascii="Symbol" w:hAnsi="Symbol" w:hint="default"/>
      </w:rPr>
    </w:lvl>
    <w:lvl w:ilvl="3" w:tplc="BB54FAD8" w:tentative="1">
      <w:start w:val="1"/>
      <w:numFmt w:val="bullet"/>
      <w:lvlText w:val=""/>
      <w:lvlJc w:val="left"/>
      <w:pPr>
        <w:tabs>
          <w:tab w:val="num" w:pos="2520"/>
        </w:tabs>
        <w:ind w:left="2520" w:hanging="360"/>
      </w:pPr>
      <w:rPr>
        <w:rFonts w:ascii="Symbol" w:hAnsi="Symbol" w:hint="default"/>
      </w:rPr>
    </w:lvl>
    <w:lvl w:ilvl="4" w:tplc="FE0829CA" w:tentative="1">
      <w:start w:val="1"/>
      <w:numFmt w:val="bullet"/>
      <w:lvlText w:val=""/>
      <w:lvlJc w:val="left"/>
      <w:pPr>
        <w:tabs>
          <w:tab w:val="num" w:pos="3240"/>
        </w:tabs>
        <w:ind w:left="3240" w:hanging="360"/>
      </w:pPr>
      <w:rPr>
        <w:rFonts w:ascii="Symbol" w:hAnsi="Symbol" w:hint="default"/>
      </w:rPr>
    </w:lvl>
    <w:lvl w:ilvl="5" w:tplc="ABA8B646" w:tentative="1">
      <w:start w:val="1"/>
      <w:numFmt w:val="bullet"/>
      <w:lvlText w:val=""/>
      <w:lvlJc w:val="left"/>
      <w:pPr>
        <w:tabs>
          <w:tab w:val="num" w:pos="3960"/>
        </w:tabs>
        <w:ind w:left="3960" w:hanging="360"/>
      </w:pPr>
      <w:rPr>
        <w:rFonts w:ascii="Symbol" w:hAnsi="Symbol" w:hint="default"/>
      </w:rPr>
    </w:lvl>
    <w:lvl w:ilvl="6" w:tplc="17928E7C" w:tentative="1">
      <w:start w:val="1"/>
      <w:numFmt w:val="bullet"/>
      <w:lvlText w:val=""/>
      <w:lvlJc w:val="left"/>
      <w:pPr>
        <w:tabs>
          <w:tab w:val="num" w:pos="4680"/>
        </w:tabs>
        <w:ind w:left="4680" w:hanging="360"/>
      </w:pPr>
      <w:rPr>
        <w:rFonts w:ascii="Symbol" w:hAnsi="Symbol" w:hint="default"/>
      </w:rPr>
    </w:lvl>
    <w:lvl w:ilvl="7" w:tplc="BB74D76E" w:tentative="1">
      <w:start w:val="1"/>
      <w:numFmt w:val="bullet"/>
      <w:lvlText w:val=""/>
      <w:lvlJc w:val="left"/>
      <w:pPr>
        <w:tabs>
          <w:tab w:val="num" w:pos="5400"/>
        </w:tabs>
        <w:ind w:left="5400" w:hanging="360"/>
      </w:pPr>
      <w:rPr>
        <w:rFonts w:ascii="Symbol" w:hAnsi="Symbol" w:hint="default"/>
      </w:rPr>
    </w:lvl>
    <w:lvl w:ilvl="8" w:tplc="425E6B4E" w:tentative="1">
      <w:start w:val="1"/>
      <w:numFmt w:val="bullet"/>
      <w:lvlText w:val=""/>
      <w:lvlJc w:val="left"/>
      <w:pPr>
        <w:tabs>
          <w:tab w:val="num" w:pos="6120"/>
        </w:tabs>
        <w:ind w:left="6120" w:hanging="360"/>
      </w:pPr>
      <w:rPr>
        <w:rFonts w:ascii="Symbol" w:hAnsi="Symbol" w:hint="default"/>
      </w:rPr>
    </w:lvl>
  </w:abstractNum>
  <w:abstractNum w:abstractNumId="6" w15:restartNumberingAfterBreak="0">
    <w:nsid w:val="5DEE3B33"/>
    <w:multiLevelType w:val="hybridMultilevel"/>
    <w:tmpl w:val="9CACF8F2"/>
    <w:lvl w:ilvl="0" w:tplc="F8AA4B7E">
      <w:start w:val="1"/>
      <w:numFmt w:val="bullet"/>
      <w:lvlText w:val=""/>
      <w:lvlPicBulletId w:val="0"/>
      <w:lvlJc w:val="left"/>
      <w:pPr>
        <w:tabs>
          <w:tab w:val="num" w:pos="360"/>
        </w:tabs>
        <w:ind w:left="360" w:hanging="360"/>
      </w:pPr>
      <w:rPr>
        <w:rFonts w:ascii="Symbol" w:hAnsi="Symbol" w:hint="default"/>
      </w:rPr>
    </w:lvl>
    <w:lvl w:ilvl="1" w:tplc="77767334" w:tentative="1">
      <w:start w:val="1"/>
      <w:numFmt w:val="bullet"/>
      <w:lvlText w:val=""/>
      <w:lvlJc w:val="left"/>
      <w:pPr>
        <w:tabs>
          <w:tab w:val="num" w:pos="1080"/>
        </w:tabs>
        <w:ind w:left="1080" w:hanging="360"/>
      </w:pPr>
      <w:rPr>
        <w:rFonts w:ascii="Symbol" w:hAnsi="Symbol" w:hint="default"/>
      </w:rPr>
    </w:lvl>
    <w:lvl w:ilvl="2" w:tplc="F716AA5A" w:tentative="1">
      <w:start w:val="1"/>
      <w:numFmt w:val="bullet"/>
      <w:lvlText w:val=""/>
      <w:lvlJc w:val="left"/>
      <w:pPr>
        <w:tabs>
          <w:tab w:val="num" w:pos="1800"/>
        </w:tabs>
        <w:ind w:left="1800" w:hanging="360"/>
      </w:pPr>
      <w:rPr>
        <w:rFonts w:ascii="Symbol" w:hAnsi="Symbol" w:hint="default"/>
      </w:rPr>
    </w:lvl>
    <w:lvl w:ilvl="3" w:tplc="EFF05A4A" w:tentative="1">
      <w:start w:val="1"/>
      <w:numFmt w:val="bullet"/>
      <w:lvlText w:val=""/>
      <w:lvlJc w:val="left"/>
      <w:pPr>
        <w:tabs>
          <w:tab w:val="num" w:pos="2520"/>
        </w:tabs>
        <w:ind w:left="2520" w:hanging="360"/>
      </w:pPr>
      <w:rPr>
        <w:rFonts w:ascii="Symbol" w:hAnsi="Symbol" w:hint="default"/>
      </w:rPr>
    </w:lvl>
    <w:lvl w:ilvl="4" w:tplc="47DE764C" w:tentative="1">
      <w:start w:val="1"/>
      <w:numFmt w:val="bullet"/>
      <w:lvlText w:val=""/>
      <w:lvlJc w:val="left"/>
      <w:pPr>
        <w:tabs>
          <w:tab w:val="num" w:pos="3240"/>
        </w:tabs>
        <w:ind w:left="3240" w:hanging="360"/>
      </w:pPr>
      <w:rPr>
        <w:rFonts w:ascii="Symbol" w:hAnsi="Symbol" w:hint="default"/>
      </w:rPr>
    </w:lvl>
    <w:lvl w:ilvl="5" w:tplc="AE34B7A4" w:tentative="1">
      <w:start w:val="1"/>
      <w:numFmt w:val="bullet"/>
      <w:lvlText w:val=""/>
      <w:lvlJc w:val="left"/>
      <w:pPr>
        <w:tabs>
          <w:tab w:val="num" w:pos="3960"/>
        </w:tabs>
        <w:ind w:left="3960" w:hanging="360"/>
      </w:pPr>
      <w:rPr>
        <w:rFonts w:ascii="Symbol" w:hAnsi="Symbol" w:hint="default"/>
      </w:rPr>
    </w:lvl>
    <w:lvl w:ilvl="6" w:tplc="C35E7D3C" w:tentative="1">
      <w:start w:val="1"/>
      <w:numFmt w:val="bullet"/>
      <w:lvlText w:val=""/>
      <w:lvlJc w:val="left"/>
      <w:pPr>
        <w:tabs>
          <w:tab w:val="num" w:pos="4680"/>
        </w:tabs>
        <w:ind w:left="4680" w:hanging="360"/>
      </w:pPr>
      <w:rPr>
        <w:rFonts w:ascii="Symbol" w:hAnsi="Symbol" w:hint="default"/>
      </w:rPr>
    </w:lvl>
    <w:lvl w:ilvl="7" w:tplc="045A4538" w:tentative="1">
      <w:start w:val="1"/>
      <w:numFmt w:val="bullet"/>
      <w:lvlText w:val=""/>
      <w:lvlJc w:val="left"/>
      <w:pPr>
        <w:tabs>
          <w:tab w:val="num" w:pos="5400"/>
        </w:tabs>
        <w:ind w:left="5400" w:hanging="360"/>
      </w:pPr>
      <w:rPr>
        <w:rFonts w:ascii="Symbol" w:hAnsi="Symbol" w:hint="default"/>
      </w:rPr>
    </w:lvl>
    <w:lvl w:ilvl="8" w:tplc="D584D352" w:tentative="1">
      <w:start w:val="1"/>
      <w:numFmt w:val="bullet"/>
      <w:lvlText w:val=""/>
      <w:lvlJc w:val="left"/>
      <w:pPr>
        <w:tabs>
          <w:tab w:val="num" w:pos="6120"/>
        </w:tabs>
        <w:ind w:left="6120" w:hanging="360"/>
      </w:pPr>
      <w:rPr>
        <w:rFonts w:ascii="Symbol" w:hAnsi="Symbol" w:hint="default"/>
      </w:rPr>
    </w:lvl>
  </w:abstractNum>
  <w:abstractNum w:abstractNumId="7" w15:restartNumberingAfterBreak="0">
    <w:nsid w:val="79075D3A"/>
    <w:multiLevelType w:val="hybridMultilevel"/>
    <w:tmpl w:val="9D44C2CA"/>
    <w:lvl w:ilvl="0" w:tplc="62303CA0">
      <w:start w:val="1"/>
      <w:numFmt w:val="bullet"/>
      <w:lvlText w:val=""/>
      <w:lvlPicBulletId w:val="0"/>
      <w:lvlJc w:val="left"/>
      <w:pPr>
        <w:tabs>
          <w:tab w:val="num" w:pos="360"/>
        </w:tabs>
        <w:ind w:left="360" w:hanging="360"/>
      </w:pPr>
      <w:rPr>
        <w:rFonts w:ascii="Symbol" w:hAnsi="Symbol" w:hint="default"/>
      </w:rPr>
    </w:lvl>
    <w:lvl w:ilvl="1" w:tplc="4B9C2272" w:tentative="1">
      <w:start w:val="1"/>
      <w:numFmt w:val="bullet"/>
      <w:lvlText w:val=""/>
      <w:lvlJc w:val="left"/>
      <w:pPr>
        <w:tabs>
          <w:tab w:val="num" w:pos="1080"/>
        </w:tabs>
        <w:ind w:left="1080" w:hanging="360"/>
      </w:pPr>
      <w:rPr>
        <w:rFonts w:ascii="Symbol" w:hAnsi="Symbol" w:hint="default"/>
      </w:rPr>
    </w:lvl>
    <w:lvl w:ilvl="2" w:tplc="F6083ABC" w:tentative="1">
      <w:start w:val="1"/>
      <w:numFmt w:val="bullet"/>
      <w:lvlText w:val=""/>
      <w:lvlJc w:val="left"/>
      <w:pPr>
        <w:tabs>
          <w:tab w:val="num" w:pos="1800"/>
        </w:tabs>
        <w:ind w:left="1800" w:hanging="360"/>
      </w:pPr>
      <w:rPr>
        <w:rFonts w:ascii="Symbol" w:hAnsi="Symbol" w:hint="default"/>
      </w:rPr>
    </w:lvl>
    <w:lvl w:ilvl="3" w:tplc="A666026E" w:tentative="1">
      <w:start w:val="1"/>
      <w:numFmt w:val="bullet"/>
      <w:lvlText w:val=""/>
      <w:lvlJc w:val="left"/>
      <w:pPr>
        <w:tabs>
          <w:tab w:val="num" w:pos="2520"/>
        </w:tabs>
        <w:ind w:left="2520" w:hanging="360"/>
      </w:pPr>
      <w:rPr>
        <w:rFonts w:ascii="Symbol" w:hAnsi="Symbol" w:hint="default"/>
      </w:rPr>
    </w:lvl>
    <w:lvl w:ilvl="4" w:tplc="95D22E3E" w:tentative="1">
      <w:start w:val="1"/>
      <w:numFmt w:val="bullet"/>
      <w:lvlText w:val=""/>
      <w:lvlJc w:val="left"/>
      <w:pPr>
        <w:tabs>
          <w:tab w:val="num" w:pos="3240"/>
        </w:tabs>
        <w:ind w:left="3240" w:hanging="360"/>
      </w:pPr>
      <w:rPr>
        <w:rFonts w:ascii="Symbol" w:hAnsi="Symbol" w:hint="default"/>
      </w:rPr>
    </w:lvl>
    <w:lvl w:ilvl="5" w:tplc="4C6C3994" w:tentative="1">
      <w:start w:val="1"/>
      <w:numFmt w:val="bullet"/>
      <w:lvlText w:val=""/>
      <w:lvlJc w:val="left"/>
      <w:pPr>
        <w:tabs>
          <w:tab w:val="num" w:pos="3960"/>
        </w:tabs>
        <w:ind w:left="3960" w:hanging="360"/>
      </w:pPr>
      <w:rPr>
        <w:rFonts w:ascii="Symbol" w:hAnsi="Symbol" w:hint="default"/>
      </w:rPr>
    </w:lvl>
    <w:lvl w:ilvl="6" w:tplc="4E3CD476" w:tentative="1">
      <w:start w:val="1"/>
      <w:numFmt w:val="bullet"/>
      <w:lvlText w:val=""/>
      <w:lvlJc w:val="left"/>
      <w:pPr>
        <w:tabs>
          <w:tab w:val="num" w:pos="4680"/>
        </w:tabs>
        <w:ind w:left="4680" w:hanging="360"/>
      </w:pPr>
      <w:rPr>
        <w:rFonts w:ascii="Symbol" w:hAnsi="Symbol" w:hint="default"/>
      </w:rPr>
    </w:lvl>
    <w:lvl w:ilvl="7" w:tplc="4BA80188" w:tentative="1">
      <w:start w:val="1"/>
      <w:numFmt w:val="bullet"/>
      <w:lvlText w:val=""/>
      <w:lvlJc w:val="left"/>
      <w:pPr>
        <w:tabs>
          <w:tab w:val="num" w:pos="5400"/>
        </w:tabs>
        <w:ind w:left="5400" w:hanging="360"/>
      </w:pPr>
      <w:rPr>
        <w:rFonts w:ascii="Symbol" w:hAnsi="Symbol" w:hint="default"/>
      </w:rPr>
    </w:lvl>
    <w:lvl w:ilvl="8" w:tplc="F9CA7F92" w:tentative="1">
      <w:start w:val="1"/>
      <w:numFmt w:val="bullet"/>
      <w:lvlText w:val=""/>
      <w:lvlJc w:val="left"/>
      <w:pPr>
        <w:tabs>
          <w:tab w:val="num" w:pos="6120"/>
        </w:tabs>
        <w:ind w:left="6120" w:hanging="360"/>
      </w:pPr>
      <w:rPr>
        <w:rFonts w:ascii="Symbol" w:hAnsi="Symbol" w:hint="default"/>
      </w:rPr>
    </w:lvl>
  </w:abstractNum>
  <w:abstractNum w:abstractNumId="8" w15:restartNumberingAfterBreak="0">
    <w:nsid w:val="7C6F7449"/>
    <w:multiLevelType w:val="hybridMultilevel"/>
    <w:tmpl w:val="BB5C4352"/>
    <w:lvl w:ilvl="0" w:tplc="019C2960">
      <w:start w:val="1"/>
      <w:numFmt w:val="bullet"/>
      <w:lvlText w:val=""/>
      <w:lvlPicBulletId w:val="2"/>
      <w:lvlJc w:val="left"/>
      <w:pPr>
        <w:tabs>
          <w:tab w:val="num" w:pos="720"/>
        </w:tabs>
        <w:ind w:left="720" w:hanging="360"/>
      </w:pPr>
      <w:rPr>
        <w:rFonts w:ascii="Symbol" w:hAnsi="Symbol" w:hint="default"/>
      </w:rPr>
    </w:lvl>
    <w:lvl w:ilvl="1" w:tplc="9432B656" w:tentative="1">
      <w:start w:val="1"/>
      <w:numFmt w:val="bullet"/>
      <w:lvlText w:val=""/>
      <w:lvlJc w:val="left"/>
      <w:pPr>
        <w:tabs>
          <w:tab w:val="num" w:pos="1440"/>
        </w:tabs>
        <w:ind w:left="1440" w:hanging="360"/>
      </w:pPr>
      <w:rPr>
        <w:rFonts w:ascii="Symbol" w:hAnsi="Symbol" w:hint="default"/>
      </w:rPr>
    </w:lvl>
    <w:lvl w:ilvl="2" w:tplc="7CD446C2" w:tentative="1">
      <w:start w:val="1"/>
      <w:numFmt w:val="bullet"/>
      <w:lvlText w:val=""/>
      <w:lvlJc w:val="left"/>
      <w:pPr>
        <w:tabs>
          <w:tab w:val="num" w:pos="2160"/>
        </w:tabs>
        <w:ind w:left="2160" w:hanging="360"/>
      </w:pPr>
      <w:rPr>
        <w:rFonts w:ascii="Symbol" w:hAnsi="Symbol" w:hint="default"/>
      </w:rPr>
    </w:lvl>
    <w:lvl w:ilvl="3" w:tplc="F43E72B4" w:tentative="1">
      <w:start w:val="1"/>
      <w:numFmt w:val="bullet"/>
      <w:lvlText w:val=""/>
      <w:lvlJc w:val="left"/>
      <w:pPr>
        <w:tabs>
          <w:tab w:val="num" w:pos="2880"/>
        </w:tabs>
        <w:ind w:left="2880" w:hanging="360"/>
      </w:pPr>
      <w:rPr>
        <w:rFonts w:ascii="Symbol" w:hAnsi="Symbol" w:hint="default"/>
      </w:rPr>
    </w:lvl>
    <w:lvl w:ilvl="4" w:tplc="E264DC58" w:tentative="1">
      <w:start w:val="1"/>
      <w:numFmt w:val="bullet"/>
      <w:lvlText w:val=""/>
      <w:lvlJc w:val="left"/>
      <w:pPr>
        <w:tabs>
          <w:tab w:val="num" w:pos="3600"/>
        </w:tabs>
        <w:ind w:left="3600" w:hanging="360"/>
      </w:pPr>
      <w:rPr>
        <w:rFonts w:ascii="Symbol" w:hAnsi="Symbol" w:hint="default"/>
      </w:rPr>
    </w:lvl>
    <w:lvl w:ilvl="5" w:tplc="A776CA18" w:tentative="1">
      <w:start w:val="1"/>
      <w:numFmt w:val="bullet"/>
      <w:lvlText w:val=""/>
      <w:lvlJc w:val="left"/>
      <w:pPr>
        <w:tabs>
          <w:tab w:val="num" w:pos="4320"/>
        </w:tabs>
        <w:ind w:left="4320" w:hanging="360"/>
      </w:pPr>
      <w:rPr>
        <w:rFonts w:ascii="Symbol" w:hAnsi="Symbol" w:hint="default"/>
      </w:rPr>
    </w:lvl>
    <w:lvl w:ilvl="6" w:tplc="B172FD54" w:tentative="1">
      <w:start w:val="1"/>
      <w:numFmt w:val="bullet"/>
      <w:lvlText w:val=""/>
      <w:lvlJc w:val="left"/>
      <w:pPr>
        <w:tabs>
          <w:tab w:val="num" w:pos="5040"/>
        </w:tabs>
        <w:ind w:left="5040" w:hanging="360"/>
      </w:pPr>
      <w:rPr>
        <w:rFonts w:ascii="Symbol" w:hAnsi="Symbol" w:hint="default"/>
      </w:rPr>
    </w:lvl>
    <w:lvl w:ilvl="7" w:tplc="1062BBA4" w:tentative="1">
      <w:start w:val="1"/>
      <w:numFmt w:val="bullet"/>
      <w:lvlText w:val=""/>
      <w:lvlJc w:val="left"/>
      <w:pPr>
        <w:tabs>
          <w:tab w:val="num" w:pos="5760"/>
        </w:tabs>
        <w:ind w:left="5760" w:hanging="360"/>
      </w:pPr>
      <w:rPr>
        <w:rFonts w:ascii="Symbol" w:hAnsi="Symbol" w:hint="default"/>
      </w:rPr>
    </w:lvl>
    <w:lvl w:ilvl="8" w:tplc="17DC9988" w:tentative="1">
      <w:start w:val="1"/>
      <w:numFmt w:val="bullet"/>
      <w:lvlText w:val=""/>
      <w:lvlJc w:val="left"/>
      <w:pPr>
        <w:tabs>
          <w:tab w:val="num" w:pos="6480"/>
        </w:tabs>
        <w:ind w:left="6480" w:hanging="360"/>
      </w:pPr>
      <w:rPr>
        <w:rFonts w:ascii="Symbol" w:hAnsi="Symbol" w:hint="default"/>
      </w:rPr>
    </w:lvl>
  </w:abstractNum>
  <w:num w:numId="1">
    <w:abstractNumId w:val="1"/>
  </w:num>
  <w:num w:numId="2">
    <w:abstractNumId w:val="0"/>
  </w:num>
  <w:num w:numId="3">
    <w:abstractNumId w:val="6"/>
  </w:num>
  <w:num w:numId="4">
    <w:abstractNumId w:val="5"/>
  </w:num>
  <w:num w:numId="5">
    <w:abstractNumId w:val="2"/>
  </w:num>
  <w:num w:numId="6">
    <w:abstractNumId w:val="7"/>
  </w:num>
  <w:num w:numId="7">
    <w:abstractNumId w:val="4"/>
  </w:num>
  <w:num w:numId="8">
    <w:abstractNumId w:val="8"/>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633C"/>
    <w:rsid w:val="000224E9"/>
    <w:rsid w:val="0002412B"/>
    <w:rsid w:val="000D509B"/>
    <w:rsid w:val="001075F2"/>
    <w:rsid w:val="00132EFE"/>
    <w:rsid w:val="001C0B00"/>
    <w:rsid w:val="001D0399"/>
    <w:rsid w:val="00242C01"/>
    <w:rsid w:val="00245CFA"/>
    <w:rsid w:val="00260673"/>
    <w:rsid w:val="00282ACC"/>
    <w:rsid w:val="002C1AFD"/>
    <w:rsid w:val="002C2901"/>
    <w:rsid w:val="002E7999"/>
    <w:rsid w:val="003271FB"/>
    <w:rsid w:val="00332747"/>
    <w:rsid w:val="00352826"/>
    <w:rsid w:val="003A48C1"/>
    <w:rsid w:val="00447406"/>
    <w:rsid w:val="00484994"/>
    <w:rsid w:val="004F1B65"/>
    <w:rsid w:val="00522C4F"/>
    <w:rsid w:val="00544F2A"/>
    <w:rsid w:val="00572CCF"/>
    <w:rsid w:val="00757A2C"/>
    <w:rsid w:val="007C1564"/>
    <w:rsid w:val="0088293A"/>
    <w:rsid w:val="009056F9"/>
    <w:rsid w:val="00914C82"/>
    <w:rsid w:val="009555A8"/>
    <w:rsid w:val="00980230"/>
    <w:rsid w:val="00A53587"/>
    <w:rsid w:val="00A7633C"/>
    <w:rsid w:val="00AA2FEC"/>
    <w:rsid w:val="00AD138B"/>
    <w:rsid w:val="00B050D5"/>
    <w:rsid w:val="00B54B72"/>
    <w:rsid w:val="00C34081"/>
    <w:rsid w:val="00C36F5D"/>
    <w:rsid w:val="00C47FF0"/>
    <w:rsid w:val="00C677AD"/>
    <w:rsid w:val="00C95633"/>
    <w:rsid w:val="00CC6A0F"/>
    <w:rsid w:val="00D00C9F"/>
    <w:rsid w:val="00D0409B"/>
    <w:rsid w:val="00DC0271"/>
    <w:rsid w:val="00E83902"/>
    <w:rsid w:val="00EB1FD0"/>
    <w:rsid w:val="00F35B53"/>
    <w:rsid w:val="00F9571C"/>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3013AB"/>
  <w14:defaultImageDpi w14:val="32767"/>
  <w15:chartTrackingRefBased/>
  <w15:docId w15:val="{B8F2BE4C-526C-B943-B234-C0EA6384E2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A7633C"/>
    <w:pPr>
      <w:spacing w:after="200" w:line="276" w:lineRule="auto"/>
    </w:pPr>
    <w:rPr>
      <w:rFonts w:eastAsiaTheme="minorHAnsi"/>
      <w:sz w:val="22"/>
      <w:szCs w:val="22"/>
      <w:lang w:val="en-GB"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LineNumber">
    <w:name w:val="line number"/>
    <w:basedOn w:val="DefaultParagraphFont"/>
    <w:uiPriority w:val="99"/>
    <w:unhideWhenUsed/>
    <w:rsid w:val="00A7633C"/>
    <w:rPr>
      <w:rFonts w:ascii="Times New Roman" w:hAnsi="Times New Roman"/>
      <w:sz w:val="22"/>
    </w:rPr>
  </w:style>
  <w:style w:type="paragraph" w:styleId="Bibliography">
    <w:name w:val="Bibliography"/>
    <w:basedOn w:val="Normal"/>
    <w:next w:val="Normal"/>
    <w:uiPriority w:val="37"/>
    <w:unhideWhenUsed/>
    <w:rsid w:val="00A7633C"/>
    <w:pPr>
      <w:spacing w:after="0" w:line="240" w:lineRule="auto"/>
      <w:ind w:left="720" w:hanging="720"/>
    </w:pPr>
  </w:style>
  <w:style w:type="table" w:styleId="TableGrid">
    <w:name w:val="Table Grid"/>
    <w:basedOn w:val="TableNormal"/>
    <w:uiPriority w:val="39"/>
    <w:rsid w:val="00A763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7633C"/>
    <w:pPr>
      <w:ind w:left="720"/>
      <w:contextualSpacing/>
    </w:pPr>
  </w:style>
  <w:style w:type="character" w:styleId="CommentReference">
    <w:name w:val="annotation reference"/>
    <w:basedOn w:val="DefaultParagraphFont"/>
    <w:uiPriority w:val="99"/>
    <w:semiHidden/>
    <w:unhideWhenUsed/>
    <w:rsid w:val="00A7633C"/>
    <w:rPr>
      <w:sz w:val="16"/>
      <w:szCs w:val="16"/>
    </w:rPr>
  </w:style>
  <w:style w:type="paragraph" w:styleId="CommentText">
    <w:name w:val="annotation text"/>
    <w:basedOn w:val="Normal"/>
    <w:link w:val="CommentTextChar"/>
    <w:uiPriority w:val="99"/>
    <w:semiHidden/>
    <w:unhideWhenUsed/>
    <w:rsid w:val="00A7633C"/>
    <w:pPr>
      <w:spacing w:line="240" w:lineRule="auto"/>
    </w:pPr>
    <w:rPr>
      <w:sz w:val="20"/>
      <w:szCs w:val="20"/>
    </w:rPr>
  </w:style>
  <w:style w:type="character" w:customStyle="1" w:styleId="CommentTextChar">
    <w:name w:val="Comment Text Char"/>
    <w:basedOn w:val="DefaultParagraphFont"/>
    <w:link w:val="CommentText"/>
    <w:uiPriority w:val="99"/>
    <w:semiHidden/>
    <w:rsid w:val="00A7633C"/>
    <w:rPr>
      <w:rFonts w:eastAsiaTheme="minorHAnsi"/>
      <w:sz w:val="20"/>
      <w:szCs w:val="20"/>
      <w:lang w:val="en-GB" w:eastAsia="en-US"/>
    </w:rPr>
  </w:style>
  <w:style w:type="paragraph" w:styleId="CommentSubject">
    <w:name w:val="annotation subject"/>
    <w:basedOn w:val="CommentText"/>
    <w:next w:val="CommentText"/>
    <w:link w:val="CommentSubjectChar"/>
    <w:uiPriority w:val="99"/>
    <w:semiHidden/>
    <w:unhideWhenUsed/>
    <w:rsid w:val="00A7633C"/>
    <w:rPr>
      <w:b/>
      <w:bCs/>
    </w:rPr>
  </w:style>
  <w:style w:type="character" w:customStyle="1" w:styleId="CommentSubjectChar">
    <w:name w:val="Comment Subject Char"/>
    <w:basedOn w:val="CommentTextChar"/>
    <w:link w:val="CommentSubject"/>
    <w:uiPriority w:val="99"/>
    <w:semiHidden/>
    <w:rsid w:val="00A7633C"/>
    <w:rPr>
      <w:rFonts w:eastAsiaTheme="minorHAnsi"/>
      <w:b/>
      <w:bCs/>
      <w:sz w:val="20"/>
      <w:szCs w:val="20"/>
      <w:lang w:val="en-GB" w:eastAsia="en-US"/>
    </w:rPr>
  </w:style>
  <w:style w:type="paragraph" w:styleId="BalloonText">
    <w:name w:val="Balloon Text"/>
    <w:basedOn w:val="Normal"/>
    <w:link w:val="BalloonTextChar"/>
    <w:uiPriority w:val="99"/>
    <w:semiHidden/>
    <w:unhideWhenUsed/>
    <w:rsid w:val="00A7633C"/>
    <w:pPr>
      <w:spacing w:after="0" w:line="240" w:lineRule="auto"/>
    </w:pPr>
    <w:rPr>
      <w:rFonts w:ascii="Liberation Sans" w:hAnsi="Liberation Sans"/>
      <w:sz w:val="16"/>
      <w:szCs w:val="16"/>
    </w:rPr>
  </w:style>
  <w:style w:type="character" w:customStyle="1" w:styleId="BalloonTextChar">
    <w:name w:val="Balloon Text Char"/>
    <w:basedOn w:val="DefaultParagraphFont"/>
    <w:link w:val="BalloonText"/>
    <w:uiPriority w:val="99"/>
    <w:semiHidden/>
    <w:rsid w:val="00A7633C"/>
    <w:rPr>
      <w:rFonts w:ascii="Liberation Sans" w:eastAsiaTheme="minorHAnsi" w:hAnsi="Liberation Sans"/>
      <w:sz w:val="16"/>
      <w:szCs w:val="16"/>
      <w:lang w:val="en-GB" w:eastAsia="en-US"/>
    </w:rPr>
  </w:style>
  <w:style w:type="paragraph" w:styleId="Revision">
    <w:name w:val="Revision"/>
    <w:hidden/>
    <w:uiPriority w:val="99"/>
    <w:semiHidden/>
    <w:rsid w:val="00A7633C"/>
    <w:rPr>
      <w:rFonts w:eastAsiaTheme="minorHAnsi"/>
      <w:sz w:val="22"/>
      <w:szCs w:val="22"/>
      <w:lang w:val="en-GB" w:eastAsia="en-US"/>
    </w:rPr>
  </w:style>
  <w:style w:type="character" w:styleId="Hyperlink">
    <w:name w:val="Hyperlink"/>
    <w:basedOn w:val="DefaultParagraphFont"/>
    <w:uiPriority w:val="99"/>
    <w:unhideWhenUsed/>
    <w:rsid w:val="00A7633C"/>
    <w:rPr>
      <w:color w:val="0000FF"/>
      <w:u w:val="single"/>
    </w:rPr>
  </w:style>
  <w:style w:type="character" w:styleId="UnresolvedMention">
    <w:name w:val="Unresolved Mention"/>
    <w:basedOn w:val="DefaultParagraphFont"/>
    <w:uiPriority w:val="99"/>
    <w:rsid w:val="00A7633C"/>
    <w:rPr>
      <w:color w:val="605E5C"/>
      <w:shd w:val="clear" w:color="auto" w:fill="E1DFDD"/>
    </w:rPr>
  </w:style>
  <w:style w:type="paragraph" w:styleId="Footer">
    <w:name w:val="footer"/>
    <w:basedOn w:val="Normal"/>
    <w:link w:val="FooterChar"/>
    <w:uiPriority w:val="99"/>
    <w:unhideWhenUsed/>
    <w:rsid w:val="00A7633C"/>
    <w:pPr>
      <w:tabs>
        <w:tab w:val="center" w:pos="4680"/>
        <w:tab w:val="right" w:pos="9360"/>
      </w:tabs>
      <w:spacing w:after="0" w:line="240" w:lineRule="auto"/>
    </w:pPr>
  </w:style>
  <w:style w:type="character" w:customStyle="1" w:styleId="FooterChar">
    <w:name w:val="Footer Char"/>
    <w:basedOn w:val="DefaultParagraphFont"/>
    <w:link w:val="Footer"/>
    <w:uiPriority w:val="99"/>
    <w:rsid w:val="00A7633C"/>
    <w:rPr>
      <w:rFonts w:eastAsiaTheme="minorHAnsi"/>
      <w:sz w:val="22"/>
      <w:szCs w:val="22"/>
      <w:lang w:val="en-GB" w:eastAsia="en-US"/>
    </w:rPr>
  </w:style>
  <w:style w:type="character" w:styleId="PageNumber">
    <w:name w:val="page number"/>
    <w:basedOn w:val="DefaultParagraphFont"/>
    <w:uiPriority w:val="99"/>
    <w:semiHidden/>
    <w:unhideWhenUsed/>
    <w:rsid w:val="00A7633C"/>
  </w:style>
  <w:style w:type="character" w:styleId="FollowedHyperlink">
    <w:name w:val="FollowedHyperlink"/>
    <w:basedOn w:val="DefaultParagraphFont"/>
    <w:uiPriority w:val="99"/>
    <w:semiHidden/>
    <w:unhideWhenUsed/>
    <w:rsid w:val="00A7633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76599">
      <w:bodyDiv w:val="1"/>
      <w:marLeft w:val="0"/>
      <w:marRight w:val="0"/>
      <w:marTop w:val="0"/>
      <w:marBottom w:val="0"/>
      <w:divBdr>
        <w:top w:val="none" w:sz="0" w:space="0" w:color="auto"/>
        <w:left w:val="none" w:sz="0" w:space="0" w:color="auto"/>
        <w:bottom w:val="none" w:sz="0" w:space="0" w:color="auto"/>
        <w:right w:val="none" w:sz="0" w:space="0" w:color="auto"/>
      </w:divBdr>
    </w:div>
    <w:div w:id="67961761">
      <w:bodyDiv w:val="1"/>
      <w:marLeft w:val="0"/>
      <w:marRight w:val="0"/>
      <w:marTop w:val="0"/>
      <w:marBottom w:val="0"/>
      <w:divBdr>
        <w:top w:val="none" w:sz="0" w:space="0" w:color="auto"/>
        <w:left w:val="none" w:sz="0" w:space="0" w:color="auto"/>
        <w:bottom w:val="none" w:sz="0" w:space="0" w:color="auto"/>
        <w:right w:val="none" w:sz="0" w:space="0" w:color="auto"/>
      </w:divBdr>
    </w:div>
    <w:div w:id="229656095">
      <w:bodyDiv w:val="1"/>
      <w:marLeft w:val="0"/>
      <w:marRight w:val="0"/>
      <w:marTop w:val="0"/>
      <w:marBottom w:val="0"/>
      <w:divBdr>
        <w:top w:val="none" w:sz="0" w:space="0" w:color="auto"/>
        <w:left w:val="none" w:sz="0" w:space="0" w:color="auto"/>
        <w:bottom w:val="none" w:sz="0" w:space="0" w:color="auto"/>
        <w:right w:val="none" w:sz="0" w:space="0" w:color="auto"/>
      </w:divBdr>
    </w:div>
    <w:div w:id="351147172">
      <w:bodyDiv w:val="1"/>
      <w:marLeft w:val="0"/>
      <w:marRight w:val="0"/>
      <w:marTop w:val="0"/>
      <w:marBottom w:val="0"/>
      <w:divBdr>
        <w:top w:val="none" w:sz="0" w:space="0" w:color="auto"/>
        <w:left w:val="none" w:sz="0" w:space="0" w:color="auto"/>
        <w:bottom w:val="none" w:sz="0" w:space="0" w:color="auto"/>
        <w:right w:val="none" w:sz="0" w:space="0" w:color="auto"/>
      </w:divBdr>
    </w:div>
    <w:div w:id="361365607">
      <w:bodyDiv w:val="1"/>
      <w:marLeft w:val="0"/>
      <w:marRight w:val="0"/>
      <w:marTop w:val="0"/>
      <w:marBottom w:val="0"/>
      <w:divBdr>
        <w:top w:val="none" w:sz="0" w:space="0" w:color="auto"/>
        <w:left w:val="none" w:sz="0" w:space="0" w:color="auto"/>
        <w:bottom w:val="none" w:sz="0" w:space="0" w:color="auto"/>
        <w:right w:val="none" w:sz="0" w:space="0" w:color="auto"/>
      </w:divBdr>
    </w:div>
    <w:div w:id="396518080">
      <w:bodyDiv w:val="1"/>
      <w:marLeft w:val="0"/>
      <w:marRight w:val="0"/>
      <w:marTop w:val="0"/>
      <w:marBottom w:val="0"/>
      <w:divBdr>
        <w:top w:val="none" w:sz="0" w:space="0" w:color="auto"/>
        <w:left w:val="none" w:sz="0" w:space="0" w:color="auto"/>
        <w:bottom w:val="none" w:sz="0" w:space="0" w:color="auto"/>
        <w:right w:val="none" w:sz="0" w:space="0" w:color="auto"/>
      </w:divBdr>
    </w:div>
    <w:div w:id="413743868">
      <w:bodyDiv w:val="1"/>
      <w:marLeft w:val="0"/>
      <w:marRight w:val="0"/>
      <w:marTop w:val="0"/>
      <w:marBottom w:val="0"/>
      <w:divBdr>
        <w:top w:val="none" w:sz="0" w:space="0" w:color="auto"/>
        <w:left w:val="none" w:sz="0" w:space="0" w:color="auto"/>
        <w:bottom w:val="none" w:sz="0" w:space="0" w:color="auto"/>
        <w:right w:val="none" w:sz="0" w:space="0" w:color="auto"/>
      </w:divBdr>
    </w:div>
    <w:div w:id="417559295">
      <w:bodyDiv w:val="1"/>
      <w:marLeft w:val="0"/>
      <w:marRight w:val="0"/>
      <w:marTop w:val="0"/>
      <w:marBottom w:val="0"/>
      <w:divBdr>
        <w:top w:val="none" w:sz="0" w:space="0" w:color="auto"/>
        <w:left w:val="none" w:sz="0" w:space="0" w:color="auto"/>
        <w:bottom w:val="none" w:sz="0" w:space="0" w:color="auto"/>
        <w:right w:val="none" w:sz="0" w:space="0" w:color="auto"/>
      </w:divBdr>
    </w:div>
    <w:div w:id="478613954">
      <w:bodyDiv w:val="1"/>
      <w:marLeft w:val="0"/>
      <w:marRight w:val="0"/>
      <w:marTop w:val="0"/>
      <w:marBottom w:val="0"/>
      <w:divBdr>
        <w:top w:val="none" w:sz="0" w:space="0" w:color="auto"/>
        <w:left w:val="none" w:sz="0" w:space="0" w:color="auto"/>
        <w:bottom w:val="none" w:sz="0" w:space="0" w:color="auto"/>
        <w:right w:val="none" w:sz="0" w:space="0" w:color="auto"/>
      </w:divBdr>
    </w:div>
    <w:div w:id="489564554">
      <w:bodyDiv w:val="1"/>
      <w:marLeft w:val="0"/>
      <w:marRight w:val="0"/>
      <w:marTop w:val="0"/>
      <w:marBottom w:val="0"/>
      <w:divBdr>
        <w:top w:val="none" w:sz="0" w:space="0" w:color="auto"/>
        <w:left w:val="none" w:sz="0" w:space="0" w:color="auto"/>
        <w:bottom w:val="none" w:sz="0" w:space="0" w:color="auto"/>
        <w:right w:val="none" w:sz="0" w:space="0" w:color="auto"/>
      </w:divBdr>
    </w:div>
    <w:div w:id="502010280">
      <w:bodyDiv w:val="1"/>
      <w:marLeft w:val="0"/>
      <w:marRight w:val="0"/>
      <w:marTop w:val="0"/>
      <w:marBottom w:val="0"/>
      <w:divBdr>
        <w:top w:val="none" w:sz="0" w:space="0" w:color="auto"/>
        <w:left w:val="none" w:sz="0" w:space="0" w:color="auto"/>
        <w:bottom w:val="none" w:sz="0" w:space="0" w:color="auto"/>
        <w:right w:val="none" w:sz="0" w:space="0" w:color="auto"/>
      </w:divBdr>
    </w:div>
    <w:div w:id="680862716">
      <w:bodyDiv w:val="1"/>
      <w:marLeft w:val="0"/>
      <w:marRight w:val="0"/>
      <w:marTop w:val="0"/>
      <w:marBottom w:val="0"/>
      <w:divBdr>
        <w:top w:val="none" w:sz="0" w:space="0" w:color="auto"/>
        <w:left w:val="none" w:sz="0" w:space="0" w:color="auto"/>
        <w:bottom w:val="none" w:sz="0" w:space="0" w:color="auto"/>
        <w:right w:val="none" w:sz="0" w:space="0" w:color="auto"/>
      </w:divBdr>
    </w:div>
    <w:div w:id="734740578">
      <w:bodyDiv w:val="1"/>
      <w:marLeft w:val="0"/>
      <w:marRight w:val="0"/>
      <w:marTop w:val="0"/>
      <w:marBottom w:val="0"/>
      <w:divBdr>
        <w:top w:val="none" w:sz="0" w:space="0" w:color="auto"/>
        <w:left w:val="none" w:sz="0" w:space="0" w:color="auto"/>
        <w:bottom w:val="none" w:sz="0" w:space="0" w:color="auto"/>
        <w:right w:val="none" w:sz="0" w:space="0" w:color="auto"/>
      </w:divBdr>
    </w:div>
    <w:div w:id="776799017">
      <w:bodyDiv w:val="1"/>
      <w:marLeft w:val="0"/>
      <w:marRight w:val="0"/>
      <w:marTop w:val="0"/>
      <w:marBottom w:val="0"/>
      <w:divBdr>
        <w:top w:val="none" w:sz="0" w:space="0" w:color="auto"/>
        <w:left w:val="none" w:sz="0" w:space="0" w:color="auto"/>
        <w:bottom w:val="none" w:sz="0" w:space="0" w:color="auto"/>
        <w:right w:val="none" w:sz="0" w:space="0" w:color="auto"/>
      </w:divBdr>
    </w:div>
    <w:div w:id="785777682">
      <w:bodyDiv w:val="1"/>
      <w:marLeft w:val="0"/>
      <w:marRight w:val="0"/>
      <w:marTop w:val="0"/>
      <w:marBottom w:val="0"/>
      <w:divBdr>
        <w:top w:val="none" w:sz="0" w:space="0" w:color="auto"/>
        <w:left w:val="none" w:sz="0" w:space="0" w:color="auto"/>
        <w:bottom w:val="none" w:sz="0" w:space="0" w:color="auto"/>
        <w:right w:val="none" w:sz="0" w:space="0" w:color="auto"/>
      </w:divBdr>
    </w:div>
    <w:div w:id="889460320">
      <w:bodyDiv w:val="1"/>
      <w:marLeft w:val="0"/>
      <w:marRight w:val="0"/>
      <w:marTop w:val="0"/>
      <w:marBottom w:val="0"/>
      <w:divBdr>
        <w:top w:val="none" w:sz="0" w:space="0" w:color="auto"/>
        <w:left w:val="none" w:sz="0" w:space="0" w:color="auto"/>
        <w:bottom w:val="none" w:sz="0" w:space="0" w:color="auto"/>
        <w:right w:val="none" w:sz="0" w:space="0" w:color="auto"/>
      </w:divBdr>
    </w:div>
    <w:div w:id="904921867">
      <w:bodyDiv w:val="1"/>
      <w:marLeft w:val="0"/>
      <w:marRight w:val="0"/>
      <w:marTop w:val="0"/>
      <w:marBottom w:val="0"/>
      <w:divBdr>
        <w:top w:val="none" w:sz="0" w:space="0" w:color="auto"/>
        <w:left w:val="none" w:sz="0" w:space="0" w:color="auto"/>
        <w:bottom w:val="none" w:sz="0" w:space="0" w:color="auto"/>
        <w:right w:val="none" w:sz="0" w:space="0" w:color="auto"/>
      </w:divBdr>
    </w:div>
    <w:div w:id="940917050">
      <w:bodyDiv w:val="1"/>
      <w:marLeft w:val="0"/>
      <w:marRight w:val="0"/>
      <w:marTop w:val="0"/>
      <w:marBottom w:val="0"/>
      <w:divBdr>
        <w:top w:val="none" w:sz="0" w:space="0" w:color="auto"/>
        <w:left w:val="none" w:sz="0" w:space="0" w:color="auto"/>
        <w:bottom w:val="none" w:sz="0" w:space="0" w:color="auto"/>
        <w:right w:val="none" w:sz="0" w:space="0" w:color="auto"/>
      </w:divBdr>
    </w:div>
    <w:div w:id="1224831015">
      <w:bodyDiv w:val="1"/>
      <w:marLeft w:val="0"/>
      <w:marRight w:val="0"/>
      <w:marTop w:val="0"/>
      <w:marBottom w:val="0"/>
      <w:divBdr>
        <w:top w:val="none" w:sz="0" w:space="0" w:color="auto"/>
        <w:left w:val="none" w:sz="0" w:space="0" w:color="auto"/>
        <w:bottom w:val="none" w:sz="0" w:space="0" w:color="auto"/>
        <w:right w:val="none" w:sz="0" w:space="0" w:color="auto"/>
      </w:divBdr>
    </w:div>
    <w:div w:id="1240872067">
      <w:bodyDiv w:val="1"/>
      <w:marLeft w:val="0"/>
      <w:marRight w:val="0"/>
      <w:marTop w:val="0"/>
      <w:marBottom w:val="0"/>
      <w:divBdr>
        <w:top w:val="none" w:sz="0" w:space="0" w:color="auto"/>
        <w:left w:val="none" w:sz="0" w:space="0" w:color="auto"/>
        <w:bottom w:val="none" w:sz="0" w:space="0" w:color="auto"/>
        <w:right w:val="none" w:sz="0" w:space="0" w:color="auto"/>
      </w:divBdr>
    </w:div>
    <w:div w:id="1253274436">
      <w:bodyDiv w:val="1"/>
      <w:marLeft w:val="0"/>
      <w:marRight w:val="0"/>
      <w:marTop w:val="0"/>
      <w:marBottom w:val="0"/>
      <w:divBdr>
        <w:top w:val="none" w:sz="0" w:space="0" w:color="auto"/>
        <w:left w:val="none" w:sz="0" w:space="0" w:color="auto"/>
        <w:bottom w:val="none" w:sz="0" w:space="0" w:color="auto"/>
        <w:right w:val="none" w:sz="0" w:space="0" w:color="auto"/>
      </w:divBdr>
    </w:div>
    <w:div w:id="1345745905">
      <w:bodyDiv w:val="1"/>
      <w:marLeft w:val="0"/>
      <w:marRight w:val="0"/>
      <w:marTop w:val="0"/>
      <w:marBottom w:val="0"/>
      <w:divBdr>
        <w:top w:val="none" w:sz="0" w:space="0" w:color="auto"/>
        <w:left w:val="none" w:sz="0" w:space="0" w:color="auto"/>
        <w:bottom w:val="none" w:sz="0" w:space="0" w:color="auto"/>
        <w:right w:val="none" w:sz="0" w:space="0" w:color="auto"/>
      </w:divBdr>
    </w:div>
    <w:div w:id="1374499552">
      <w:bodyDiv w:val="1"/>
      <w:marLeft w:val="0"/>
      <w:marRight w:val="0"/>
      <w:marTop w:val="0"/>
      <w:marBottom w:val="0"/>
      <w:divBdr>
        <w:top w:val="none" w:sz="0" w:space="0" w:color="auto"/>
        <w:left w:val="none" w:sz="0" w:space="0" w:color="auto"/>
        <w:bottom w:val="none" w:sz="0" w:space="0" w:color="auto"/>
        <w:right w:val="none" w:sz="0" w:space="0" w:color="auto"/>
      </w:divBdr>
    </w:div>
    <w:div w:id="1402559883">
      <w:bodyDiv w:val="1"/>
      <w:marLeft w:val="0"/>
      <w:marRight w:val="0"/>
      <w:marTop w:val="0"/>
      <w:marBottom w:val="0"/>
      <w:divBdr>
        <w:top w:val="none" w:sz="0" w:space="0" w:color="auto"/>
        <w:left w:val="none" w:sz="0" w:space="0" w:color="auto"/>
        <w:bottom w:val="none" w:sz="0" w:space="0" w:color="auto"/>
        <w:right w:val="none" w:sz="0" w:space="0" w:color="auto"/>
      </w:divBdr>
    </w:div>
    <w:div w:id="1432357066">
      <w:bodyDiv w:val="1"/>
      <w:marLeft w:val="0"/>
      <w:marRight w:val="0"/>
      <w:marTop w:val="0"/>
      <w:marBottom w:val="0"/>
      <w:divBdr>
        <w:top w:val="none" w:sz="0" w:space="0" w:color="auto"/>
        <w:left w:val="none" w:sz="0" w:space="0" w:color="auto"/>
        <w:bottom w:val="none" w:sz="0" w:space="0" w:color="auto"/>
        <w:right w:val="none" w:sz="0" w:space="0" w:color="auto"/>
      </w:divBdr>
    </w:div>
    <w:div w:id="1478648528">
      <w:bodyDiv w:val="1"/>
      <w:marLeft w:val="0"/>
      <w:marRight w:val="0"/>
      <w:marTop w:val="0"/>
      <w:marBottom w:val="0"/>
      <w:divBdr>
        <w:top w:val="none" w:sz="0" w:space="0" w:color="auto"/>
        <w:left w:val="none" w:sz="0" w:space="0" w:color="auto"/>
        <w:bottom w:val="none" w:sz="0" w:space="0" w:color="auto"/>
        <w:right w:val="none" w:sz="0" w:space="0" w:color="auto"/>
      </w:divBdr>
    </w:div>
    <w:div w:id="1486626855">
      <w:bodyDiv w:val="1"/>
      <w:marLeft w:val="0"/>
      <w:marRight w:val="0"/>
      <w:marTop w:val="0"/>
      <w:marBottom w:val="0"/>
      <w:divBdr>
        <w:top w:val="none" w:sz="0" w:space="0" w:color="auto"/>
        <w:left w:val="none" w:sz="0" w:space="0" w:color="auto"/>
        <w:bottom w:val="none" w:sz="0" w:space="0" w:color="auto"/>
        <w:right w:val="none" w:sz="0" w:space="0" w:color="auto"/>
      </w:divBdr>
    </w:div>
    <w:div w:id="1541819716">
      <w:bodyDiv w:val="1"/>
      <w:marLeft w:val="0"/>
      <w:marRight w:val="0"/>
      <w:marTop w:val="0"/>
      <w:marBottom w:val="0"/>
      <w:divBdr>
        <w:top w:val="none" w:sz="0" w:space="0" w:color="auto"/>
        <w:left w:val="none" w:sz="0" w:space="0" w:color="auto"/>
        <w:bottom w:val="none" w:sz="0" w:space="0" w:color="auto"/>
        <w:right w:val="none" w:sz="0" w:space="0" w:color="auto"/>
      </w:divBdr>
    </w:div>
    <w:div w:id="1542865001">
      <w:bodyDiv w:val="1"/>
      <w:marLeft w:val="0"/>
      <w:marRight w:val="0"/>
      <w:marTop w:val="0"/>
      <w:marBottom w:val="0"/>
      <w:divBdr>
        <w:top w:val="none" w:sz="0" w:space="0" w:color="auto"/>
        <w:left w:val="none" w:sz="0" w:space="0" w:color="auto"/>
        <w:bottom w:val="none" w:sz="0" w:space="0" w:color="auto"/>
        <w:right w:val="none" w:sz="0" w:space="0" w:color="auto"/>
      </w:divBdr>
    </w:div>
    <w:div w:id="1558589530">
      <w:bodyDiv w:val="1"/>
      <w:marLeft w:val="0"/>
      <w:marRight w:val="0"/>
      <w:marTop w:val="0"/>
      <w:marBottom w:val="0"/>
      <w:divBdr>
        <w:top w:val="none" w:sz="0" w:space="0" w:color="auto"/>
        <w:left w:val="none" w:sz="0" w:space="0" w:color="auto"/>
        <w:bottom w:val="none" w:sz="0" w:space="0" w:color="auto"/>
        <w:right w:val="none" w:sz="0" w:space="0" w:color="auto"/>
      </w:divBdr>
    </w:div>
    <w:div w:id="1596983196">
      <w:bodyDiv w:val="1"/>
      <w:marLeft w:val="0"/>
      <w:marRight w:val="0"/>
      <w:marTop w:val="0"/>
      <w:marBottom w:val="0"/>
      <w:divBdr>
        <w:top w:val="none" w:sz="0" w:space="0" w:color="auto"/>
        <w:left w:val="none" w:sz="0" w:space="0" w:color="auto"/>
        <w:bottom w:val="none" w:sz="0" w:space="0" w:color="auto"/>
        <w:right w:val="none" w:sz="0" w:space="0" w:color="auto"/>
      </w:divBdr>
    </w:div>
    <w:div w:id="1601714096">
      <w:bodyDiv w:val="1"/>
      <w:marLeft w:val="0"/>
      <w:marRight w:val="0"/>
      <w:marTop w:val="0"/>
      <w:marBottom w:val="0"/>
      <w:divBdr>
        <w:top w:val="none" w:sz="0" w:space="0" w:color="auto"/>
        <w:left w:val="none" w:sz="0" w:space="0" w:color="auto"/>
        <w:bottom w:val="none" w:sz="0" w:space="0" w:color="auto"/>
        <w:right w:val="none" w:sz="0" w:space="0" w:color="auto"/>
      </w:divBdr>
    </w:div>
    <w:div w:id="1602949234">
      <w:bodyDiv w:val="1"/>
      <w:marLeft w:val="0"/>
      <w:marRight w:val="0"/>
      <w:marTop w:val="0"/>
      <w:marBottom w:val="0"/>
      <w:divBdr>
        <w:top w:val="none" w:sz="0" w:space="0" w:color="auto"/>
        <w:left w:val="none" w:sz="0" w:space="0" w:color="auto"/>
        <w:bottom w:val="none" w:sz="0" w:space="0" w:color="auto"/>
        <w:right w:val="none" w:sz="0" w:space="0" w:color="auto"/>
      </w:divBdr>
    </w:div>
    <w:div w:id="1702776448">
      <w:bodyDiv w:val="1"/>
      <w:marLeft w:val="0"/>
      <w:marRight w:val="0"/>
      <w:marTop w:val="0"/>
      <w:marBottom w:val="0"/>
      <w:divBdr>
        <w:top w:val="none" w:sz="0" w:space="0" w:color="auto"/>
        <w:left w:val="none" w:sz="0" w:space="0" w:color="auto"/>
        <w:bottom w:val="none" w:sz="0" w:space="0" w:color="auto"/>
        <w:right w:val="none" w:sz="0" w:space="0" w:color="auto"/>
      </w:divBdr>
    </w:div>
    <w:div w:id="1761176793">
      <w:bodyDiv w:val="1"/>
      <w:marLeft w:val="0"/>
      <w:marRight w:val="0"/>
      <w:marTop w:val="0"/>
      <w:marBottom w:val="0"/>
      <w:divBdr>
        <w:top w:val="none" w:sz="0" w:space="0" w:color="auto"/>
        <w:left w:val="none" w:sz="0" w:space="0" w:color="auto"/>
        <w:bottom w:val="none" w:sz="0" w:space="0" w:color="auto"/>
        <w:right w:val="none" w:sz="0" w:space="0" w:color="auto"/>
      </w:divBdr>
    </w:div>
    <w:div w:id="1777140563">
      <w:bodyDiv w:val="1"/>
      <w:marLeft w:val="0"/>
      <w:marRight w:val="0"/>
      <w:marTop w:val="0"/>
      <w:marBottom w:val="0"/>
      <w:divBdr>
        <w:top w:val="none" w:sz="0" w:space="0" w:color="auto"/>
        <w:left w:val="none" w:sz="0" w:space="0" w:color="auto"/>
        <w:bottom w:val="none" w:sz="0" w:space="0" w:color="auto"/>
        <w:right w:val="none" w:sz="0" w:space="0" w:color="auto"/>
      </w:divBdr>
    </w:div>
    <w:div w:id="1866673948">
      <w:bodyDiv w:val="1"/>
      <w:marLeft w:val="0"/>
      <w:marRight w:val="0"/>
      <w:marTop w:val="0"/>
      <w:marBottom w:val="0"/>
      <w:divBdr>
        <w:top w:val="none" w:sz="0" w:space="0" w:color="auto"/>
        <w:left w:val="none" w:sz="0" w:space="0" w:color="auto"/>
        <w:bottom w:val="none" w:sz="0" w:space="0" w:color="auto"/>
        <w:right w:val="none" w:sz="0" w:space="0" w:color="auto"/>
      </w:divBdr>
    </w:div>
    <w:div w:id="1956670392">
      <w:bodyDiv w:val="1"/>
      <w:marLeft w:val="0"/>
      <w:marRight w:val="0"/>
      <w:marTop w:val="0"/>
      <w:marBottom w:val="0"/>
      <w:divBdr>
        <w:top w:val="none" w:sz="0" w:space="0" w:color="auto"/>
        <w:left w:val="none" w:sz="0" w:space="0" w:color="auto"/>
        <w:bottom w:val="none" w:sz="0" w:space="0" w:color="auto"/>
        <w:right w:val="none" w:sz="0" w:space="0" w:color="auto"/>
      </w:divBdr>
    </w:div>
    <w:div w:id="2009211548">
      <w:bodyDiv w:val="1"/>
      <w:marLeft w:val="0"/>
      <w:marRight w:val="0"/>
      <w:marTop w:val="0"/>
      <w:marBottom w:val="0"/>
      <w:divBdr>
        <w:top w:val="none" w:sz="0" w:space="0" w:color="auto"/>
        <w:left w:val="none" w:sz="0" w:space="0" w:color="auto"/>
        <w:bottom w:val="none" w:sz="0" w:space="0" w:color="auto"/>
        <w:right w:val="none" w:sz="0" w:space="0" w:color="auto"/>
      </w:divBdr>
    </w:div>
    <w:div w:id="2019041139">
      <w:bodyDiv w:val="1"/>
      <w:marLeft w:val="0"/>
      <w:marRight w:val="0"/>
      <w:marTop w:val="0"/>
      <w:marBottom w:val="0"/>
      <w:divBdr>
        <w:top w:val="none" w:sz="0" w:space="0" w:color="auto"/>
        <w:left w:val="none" w:sz="0" w:space="0" w:color="auto"/>
        <w:bottom w:val="none" w:sz="0" w:space="0" w:color="auto"/>
        <w:right w:val="none" w:sz="0" w:space="0" w:color="auto"/>
      </w:divBdr>
    </w:div>
    <w:div w:id="2026441271">
      <w:bodyDiv w:val="1"/>
      <w:marLeft w:val="0"/>
      <w:marRight w:val="0"/>
      <w:marTop w:val="0"/>
      <w:marBottom w:val="0"/>
      <w:divBdr>
        <w:top w:val="none" w:sz="0" w:space="0" w:color="auto"/>
        <w:left w:val="none" w:sz="0" w:space="0" w:color="auto"/>
        <w:bottom w:val="none" w:sz="0" w:space="0" w:color="auto"/>
        <w:right w:val="none" w:sz="0" w:space="0" w:color="auto"/>
      </w:divBdr>
    </w:div>
    <w:div w:id="2039158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sf.io/28yfk/"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kd350@cam.ac.uk"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osf.io/28yfk/" TargetMode="External"/></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37</Pages>
  <Words>53119</Words>
  <Characters>302780</Characters>
  <Application>Microsoft Office Word</Application>
  <DocSecurity>0</DocSecurity>
  <Lines>2523</Lines>
  <Paragraphs>710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355189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Kathleen Darragh</dc:creator>
  <cp:keywords/>
  <dc:description/>
  <cp:lastModifiedBy>Kathleen Darragh</cp:lastModifiedBy>
  <cp:revision>4</cp:revision>
  <dcterms:created xsi:type="dcterms:W3CDTF">2020-01-21T22:18:00Z</dcterms:created>
  <dcterms:modified xsi:type="dcterms:W3CDTF">2020-01-21T22:34:00Z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zotero-version="5.0.76"&gt;&lt;session id="iBZaFwWL"/&gt;&lt;style id="http://www.zotero.org/styles/elsevier-harvard" hasBibliography="1" bibliographyStyleHasBeenSet="1"/&gt;&lt;prefs&gt;&lt;pref name="fieldType" value="Field"/&gt;&lt;pref name="automaticJournal</vt:lpwstr>
  </property>
  <property fmtid="{D5CDD505-2E9C-101B-9397-08002B2CF9AE}" pid="3" name="ZOTERO_PREF_2">
    <vt:lpwstr>Abbreviations" value="true"/&gt;&lt;/prefs&gt;&lt;/data&gt;</vt:lpwstr>
  </property>
</Properties>
</file>