
<file path=[Content_Types].xml><?xml version="1.0" encoding="utf-8"?>
<Types xmlns="http://schemas.openxmlformats.org/package/2006/content-types">
  <Default Extension="bin" ContentType="application/vnd.ms-word.attachedToolbar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107140" w14:textId="1F6B6BB1" w:rsidR="00F7688E" w:rsidRPr="00397AA7" w:rsidRDefault="004A143B" w:rsidP="00C76A6E">
      <w:pPr>
        <w:spacing w:line="360" w:lineRule="auto"/>
        <w:jc w:val="both"/>
        <w:outlineLvl w:val="0"/>
        <w:rPr>
          <w:rFonts w:asciiTheme="minorHAnsi" w:hAnsiTheme="minorHAnsi" w:cstheme="minorHAnsi"/>
        </w:rPr>
      </w:pPr>
      <w:bookmarkStart w:id="0" w:name="_GoBack"/>
      <w:bookmarkEnd w:id="0"/>
      <w:r w:rsidRPr="00397AA7">
        <w:rPr>
          <w:rFonts w:asciiTheme="minorHAnsi" w:hAnsiTheme="minorHAnsi" w:cstheme="minorHAnsi"/>
          <w:b/>
        </w:rPr>
        <w:t xml:space="preserve">Title: </w:t>
      </w:r>
      <w:r w:rsidRPr="00397AA7">
        <w:rPr>
          <w:rFonts w:asciiTheme="minorHAnsi" w:hAnsiTheme="minorHAnsi" w:cstheme="minorHAnsi"/>
        </w:rPr>
        <w:t xml:space="preserve">A Multicentre study of anticoagulation in operable chronic thromboembolic pulmonary hypertension </w:t>
      </w:r>
    </w:p>
    <w:p w14:paraId="770F2476" w14:textId="1AF6C7CB" w:rsidR="00044FC7" w:rsidRPr="00397AA7" w:rsidRDefault="00044FC7" w:rsidP="00C76A6E">
      <w:pPr>
        <w:spacing w:line="360" w:lineRule="auto"/>
        <w:jc w:val="both"/>
        <w:outlineLvl w:val="0"/>
        <w:rPr>
          <w:rFonts w:asciiTheme="minorHAnsi" w:hAnsiTheme="minorHAnsi" w:cstheme="minorHAnsi"/>
          <w:b/>
        </w:rPr>
      </w:pPr>
    </w:p>
    <w:p w14:paraId="375FCEDC" w14:textId="3DC3D9E7" w:rsidR="00044FC7" w:rsidRPr="00397AA7" w:rsidRDefault="00044FC7" w:rsidP="00C76A6E">
      <w:pPr>
        <w:pStyle w:val="NormalWeb"/>
        <w:spacing w:before="0" w:beforeAutospacing="0" w:after="0" w:afterAutospacing="0" w:line="360" w:lineRule="auto"/>
        <w:contextualSpacing/>
        <w:rPr>
          <w:rFonts w:asciiTheme="minorHAnsi" w:hAnsiTheme="minorHAnsi" w:cstheme="minorHAnsi"/>
        </w:rPr>
      </w:pPr>
      <w:r w:rsidRPr="00397AA7">
        <w:rPr>
          <w:rFonts w:asciiTheme="minorHAnsi" w:hAnsiTheme="minorHAnsi" w:cstheme="minorHAnsi"/>
          <w:b/>
          <w:color w:val="000000" w:themeColor="text1"/>
        </w:rPr>
        <w:t>Short Title</w:t>
      </w:r>
      <w:r w:rsidRPr="00397AA7">
        <w:rPr>
          <w:rFonts w:asciiTheme="minorHAnsi" w:hAnsiTheme="minorHAnsi" w:cstheme="minorHAnsi"/>
          <w:color w:val="000000" w:themeColor="text1"/>
        </w:rPr>
        <w:t xml:space="preserve">: Anticoagulation in </w:t>
      </w:r>
      <w:r w:rsidR="00226FA3" w:rsidRPr="00397AA7">
        <w:rPr>
          <w:rFonts w:asciiTheme="minorHAnsi" w:hAnsiTheme="minorHAnsi" w:cstheme="minorHAnsi"/>
          <w:color w:val="000000" w:themeColor="text1"/>
        </w:rPr>
        <w:t>chronic thromboembolism</w:t>
      </w:r>
    </w:p>
    <w:p w14:paraId="70E0FE32" w14:textId="0284AD84" w:rsidR="004A143B" w:rsidRPr="00397AA7" w:rsidRDefault="004A143B" w:rsidP="00C76A6E">
      <w:pPr>
        <w:spacing w:line="360" w:lineRule="auto"/>
        <w:jc w:val="both"/>
        <w:outlineLvl w:val="0"/>
        <w:rPr>
          <w:rFonts w:asciiTheme="minorHAnsi" w:hAnsiTheme="minorHAnsi" w:cstheme="minorHAnsi"/>
          <w:color w:val="000000" w:themeColor="text1"/>
        </w:rPr>
      </w:pPr>
    </w:p>
    <w:p w14:paraId="4C243187" w14:textId="1C9D8117" w:rsidR="00307686" w:rsidRPr="00397AA7" w:rsidRDefault="004A143B" w:rsidP="00C76A6E">
      <w:pPr>
        <w:spacing w:line="360" w:lineRule="auto"/>
        <w:jc w:val="both"/>
        <w:outlineLvl w:val="0"/>
        <w:rPr>
          <w:rFonts w:asciiTheme="minorHAnsi" w:hAnsiTheme="minorHAnsi" w:cstheme="minorHAnsi"/>
          <w:color w:val="000000" w:themeColor="text1"/>
        </w:rPr>
      </w:pPr>
      <w:r w:rsidRPr="00397AA7">
        <w:rPr>
          <w:rFonts w:asciiTheme="minorHAnsi" w:hAnsiTheme="minorHAnsi" w:cstheme="minorHAnsi"/>
          <w:b/>
          <w:color w:val="000000" w:themeColor="text1"/>
        </w:rPr>
        <w:t>Authors:</w:t>
      </w:r>
      <w:r w:rsidRPr="00397AA7">
        <w:rPr>
          <w:rFonts w:asciiTheme="minorHAnsi" w:hAnsiTheme="minorHAnsi" w:cstheme="minorHAnsi"/>
          <w:color w:val="000000" w:themeColor="text1"/>
        </w:rPr>
        <w:t xml:space="preserve"> </w:t>
      </w:r>
      <w:r w:rsidR="00307686" w:rsidRPr="00397AA7">
        <w:rPr>
          <w:rFonts w:asciiTheme="minorHAnsi" w:hAnsiTheme="minorHAnsi" w:cstheme="minorHAnsi"/>
        </w:rPr>
        <w:t>Katherine Bunclark</w:t>
      </w:r>
      <w:r w:rsidRPr="00397AA7">
        <w:rPr>
          <w:rFonts w:asciiTheme="minorHAnsi" w:hAnsiTheme="minorHAnsi" w:cstheme="minorHAnsi"/>
        </w:rPr>
        <w:t>*</w:t>
      </w:r>
      <w:r w:rsidR="00307686" w:rsidRPr="00397AA7">
        <w:rPr>
          <w:rFonts w:asciiTheme="minorHAnsi" w:hAnsiTheme="minorHAnsi" w:cstheme="minorHAnsi"/>
        </w:rPr>
        <w:t>, Michael Newnham</w:t>
      </w:r>
      <w:r w:rsidRPr="00397AA7">
        <w:rPr>
          <w:rFonts w:asciiTheme="minorHAnsi" w:hAnsiTheme="minorHAnsi" w:cstheme="minorHAnsi"/>
        </w:rPr>
        <w:t>*</w:t>
      </w:r>
      <w:r w:rsidRPr="00397AA7">
        <w:rPr>
          <w:rFonts w:asciiTheme="minorHAnsi" w:hAnsiTheme="minorHAnsi" w:cstheme="minorHAnsi"/>
          <w:color w:val="1C1D1E"/>
          <w:shd w:val="clear" w:color="auto" w:fill="FFFFFF"/>
        </w:rPr>
        <w:t>†</w:t>
      </w:r>
      <w:r w:rsidR="00307686" w:rsidRPr="00397AA7">
        <w:rPr>
          <w:rFonts w:asciiTheme="minorHAnsi" w:hAnsiTheme="minorHAnsi" w:cstheme="minorHAnsi"/>
        </w:rPr>
        <w:t xml:space="preserve"> Yi-Da Chiu</w:t>
      </w:r>
      <w:r w:rsidRPr="00397AA7">
        <w:rPr>
          <w:rFonts w:asciiTheme="minorHAnsi" w:hAnsiTheme="minorHAnsi" w:cstheme="minorHAnsi"/>
        </w:rPr>
        <w:t>*</w:t>
      </w:r>
      <w:r w:rsidRPr="00397AA7">
        <w:rPr>
          <w:rFonts w:asciiTheme="minorHAnsi" w:hAnsiTheme="minorHAnsi" w:cstheme="minorHAnsi"/>
          <w:color w:val="1C1D1E"/>
          <w:shd w:val="clear" w:color="auto" w:fill="FFFFFF"/>
        </w:rPr>
        <w:t>‡</w:t>
      </w:r>
      <w:r w:rsidR="00307686" w:rsidRPr="00397AA7">
        <w:rPr>
          <w:rFonts w:asciiTheme="minorHAnsi" w:hAnsiTheme="minorHAnsi" w:cstheme="minorHAnsi"/>
        </w:rPr>
        <w:t>, Alessandro Ruggiero</w:t>
      </w:r>
      <w:r w:rsidRPr="00397AA7">
        <w:rPr>
          <w:rFonts w:asciiTheme="minorHAnsi" w:hAnsiTheme="minorHAnsi" w:cstheme="minorHAnsi"/>
        </w:rPr>
        <w:t>*</w:t>
      </w:r>
      <w:r w:rsidR="00307686" w:rsidRPr="00397AA7">
        <w:rPr>
          <w:rFonts w:asciiTheme="minorHAnsi" w:hAnsiTheme="minorHAnsi" w:cstheme="minorHAnsi"/>
        </w:rPr>
        <w:t>, Sofia S Villar</w:t>
      </w:r>
      <w:r w:rsidRPr="00397AA7">
        <w:rPr>
          <w:rFonts w:asciiTheme="minorHAnsi" w:hAnsiTheme="minorHAnsi" w:cstheme="minorHAnsi"/>
        </w:rPr>
        <w:t>*</w:t>
      </w:r>
      <w:r w:rsidRPr="00397AA7">
        <w:rPr>
          <w:rFonts w:asciiTheme="minorHAnsi" w:hAnsiTheme="minorHAnsi" w:cstheme="minorHAnsi"/>
          <w:color w:val="1C1D1E"/>
          <w:shd w:val="clear" w:color="auto" w:fill="FFFFFF"/>
        </w:rPr>
        <w:t>‡,</w:t>
      </w:r>
      <w:r w:rsidR="00307686" w:rsidRPr="00397AA7">
        <w:rPr>
          <w:rFonts w:asciiTheme="minorHAnsi" w:hAnsiTheme="minorHAnsi" w:cstheme="minorHAnsi"/>
        </w:rPr>
        <w:t xml:space="preserve"> John</w:t>
      </w:r>
      <w:r w:rsidR="00D73FCB" w:rsidRPr="00397AA7">
        <w:rPr>
          <w:rFonts w:asciiTheme="minorHAnsi" w:hAnsiTheme="minorHAnsi" w:cstheme="minorHAnsi"/>
        </w:rPr>
        <w:t xml:space="preserve"> E</w:t>
      </w:r>
      <w:r w:rsidR="00307686" w:rsidRPr="00397AA7">
        <w:rPr>
          <w:rFonts w:asciiTheme="minorHAnsi" w:hAnsiTheme="minorHAnsi" w:cstheme="minorHAnsi"/>
        </w:rPr>
        <w:t xml:space="preserve"> Cannon</w:t>
      </w:r>
      <w:r w:rsidRPr="00397AA7">
        <w:rPr>
          <w:rFonts w:asciiTheme="minorHAnsi" w:hAnsiTheme="minorHAnsi" w:cstheme="minorHAnsi"/>
        </w:rPr>
        <w:t>*</w:t>
      </w:r>
      <w:r w:rsidR="00307686" w:rsidRPr="00397AA7">
        <w:rPr>
          <w:rFonts w:asciiTheme="minorHAnsi" w:hAnsiTheme="minorHAnsi" w:cstheme="minorHAnsi"/>
        </w:rPr>
        <w:t>, Gerry Coghlan</w:t>
      </w:r>
      <w:r w:rsidRPr="00397AA7">
        <w:rPr>
          <w:rFonts w:asciiTheme="minorHAnsi" w:hAnsiTheme="minorHAnsi" w:cstheme="minorHAnsi"/>
          <w:color w:val="1C1D1E"/>
          <w:shd w:val="clear" w:color="auto" w:fill="FFFFFF"/>
        </w:rPr>
        <w:t>§</w:t>
      </w:r>
      <w:r w:rsidR="00307686" w:rsidRPr="00397AA7">
        <w:rPr>
          <w:rFonts w:asciiTheme="minorHAnsi" w:hAnsiTheme="minorHAnsi" w:cstheme="minorHAnsi"/>
        </w:rPr>
        <w:t>, Paul A Corris</w:t>
      </w:r>
      <w:r w:rsidRPr="00397AA7">
        <w:rPr>
          <w:rFonts w:asciiTheme="minorHAnsi" w:hAnsiTheme="minorHAnsi" w:cstheme="minorHAnsi"/>
          <w:color w:val="1C1D1E"/>
          <w:shd w:val="clear" w:color="auto" w:fill="FFFFFF"/>
        </w:rPr>
        <w:t>¶,</w:t>
      </w:r>
      <w:r w:rsidR="00307686" w:rsidRPr="00397AA7">
        <w:rPr>
          <w:rFonts w:asciiTheme="minorHAnsi" w:hAnsiTheme="minorHAnsi" w:cstheme="minorHAnsi"/>
        </w:rPr>
        <w:t xml:space="preserve"> Luke Howard</w:t>
      </w:r>
      <w:r w:rsidRPr="00397AA7">
        <w:rPr>
          <w:rFonts w:asciiTheme="minorHAnsi" w:hAnsiTheme="minorHAnsi" w:cstheme="minorHAnsi"/>
        </w:rPr>
        <w:t>**</w:t>
      </w:r>
      <w:r w:rsidR="00307686" w:rsidRPr="00397AA7">
        <w:rPr>
          <w:rFonts w:asciiTheme="minorHAnsi" w:hAnsiTheme="minorHAnsi" w:cstheme="minorHAnsi"/>
        </w:rPr>
        <w:t>, David Jenkins</w:t>
      </w:r>
      <w:r w:rsidRPr="00397AA7">
        <w:rPr>
          <w:rFonts w:asciiTheme="minorHAnsi" w:hAnsiTheme="minorHAnsi" w:cstheme="minorHAnsi"/>
        </w:rPr>
        <w:t>*</w:t>
      </w:r>
      <w:r w:rsidR="00307686" w:rsidRPr="00397AA7">
        <w:rPr>
          <w:rFonts w:asciiTheme="minorHAnsi" w:hAnsiTheme="minorHAnsi" w:cstheme="minorHAnsi"/>
        </w:rPr>
        <w:t>, Martin Johnson</w:t>
      </w:r>
      <w:r w:rsidRPr="00397AA7">
        <w:rPr>
          <w:rFonts w:asciiTheme="minorHAnsi" w:hAnsiTheme="minorHAnsi" w:cstheme="minorHAnsi"/>
          <w:color w:val="1C1D1E"/>
          <w:shd w:val="clear" w:color="auto" w:fill="FFFFFF"/>
        </w:rPr>
        <w:t>††</w:t>
      </w:r>
      <w:r w:rsidR="00307686" w:rsidRPr="00397AA7">
        <w:rPr>
          <w:rFonts w:asciiTheme="minorHAnsi" w:hAnsiTheme="minorHAnsi" w:cstheme="minorHAnsi"/>
        </w:rPr>
        <w:t>, David G Kiely</w:t>
      </w:r>
      <w:r w:rsidRPr="00397AA7">
        <w:rPr>
          <w:rFonts w:asciiTheme="minorHAnsi" w:hAnsiTheme="minorHAnsi" w:cstheme="minorHAnsi"/>
          <w:color w:val="1C1D1E"/>
          <w:shd w:val="clear" w:color="auto" w:fill="FFFFFF"/>
        </w:rPr>
        <w:t>‡‡</w:t>
      </w:r>
      <w:r w:rsidR="00307686" w:rsidRPr="00397AA7">
        <w:rPr>
          <w:rFonts w:asciiTheme="minorHAnsi" w:hAnsiTheme="minorHAnsi" w:cstheme="minorHAnsi"/>
        </w:rPr>
        <w:t>, Choo Ng</w:t>
      </w:r>
      <w:r w:rsidRPr="00397AA7">
        <w:rPr>
          <w:rFonts w:asciiTheme="minorHAnsi" w:hAnsiTheme="minorHAnsi" w:cstheme="minorHAnsi"/>
        </w:rPr>
        <w:t>*</w:t>
      </w:r>
      <w:r w:rsidR="00307686" w:rsidRPr="00397AA7">
        <w:rPr>
          <w:rFonts w:asciiTheme="minorHAnsi" w:hAnsiTheme="minorHAnsi" w:cstheme="minorHAnsi"/>
        </w:rPr>
        <w:t>, Nicholas Screaton</w:t>
      </w:r>
      <w:r w:rsidRPr="00397AA7">
        <w:rPr>
          <w:rFonts w:asciiTheme="minorHAnsi" w:hAnsiTheme="minorHAnsi" w:cstheme="minorHAnsi"/>
        </w:rPr>
        <w:t>*</w:t>
      </w:r>
      <w:r w:rsidR="00307686" w:rsidRPr="00397AA7">
        <w:rPr>
          <w:rFonts w:asciiTheme="minorHAnsi" w:hAnsiTheme="minorHAnsi" w:cstheme="minorHAnsi"/>
        </w:rPr>
        <w:t>, Karen Sheares</w:t>
      </w:r>
      <w:r w:rsidRPr="00397AA7">
        <w:rPr>
          <w:rFonts w:asciiTheme="minorHAnsi" w:hAnsiTheme="minorHAnsi" w:cstheme="minorHAnsi"/>
        </w:rPr>
        <w:t>*</w:t>
      </w:r>
      <w:r w:rsidR="00307686" w:rsidRPr="00397AA7">
        <w:rPr>
          <w:rFonts w:asciiTheme="minorHAnsi" w:hAnsiTheme="minorHAnsi" w:cstheme="minorHAnsi"/>
        </w:rPr>
        <w:t>, Dolores Taboada</w:t>
      </w:r>
      <w:r w:rsidRPr="00397AA7">
        <w:rPr>
          <w:rFonts w:asciiTheme="minorHAnsi" w:hAnsiTheme="minorHAnsi" w:cstheme="minorHAnsi"/>
        </w:rPr>
        <w:t>*</w:t>
      </w:r>
      <w:r w:rsidR="00307686" w:rsidRPr="00397AA7">
        <w:rPr>
          <w:rFonts w:asciiTheme="minorHAnsi" w:hAnsiTheme="minorHAnsi" w:cstheme="minorHAnsi"/>
        </w:rPr>
        <w:t>, Steven Tsui</w:t>
      </w:r>
      <w:r w:rsidRPr="00397AA7">
        <w:rPr>
          <w:rFonts w:asciiTheme="minorHAnsi" w:hAnsiTheme="minorHAnsi" w:cstheme="minorHAnsi"/>
        </w:rPr>
        <w:t>*</w:t>
      </w:r>
      <w:r w:rsidR="00307686" w:rsidRPr="00397AA7">
        <w:rPr>
          <w:rFonts w:asciiTheme="minorHAnsi" w:hAnsiTheme="minorHAnsi" w:cstheme="minorHAnsi"/>
        </w:rPr>
        <w:t>, S John Wort</w:t>
      </w:r>
      <w:r w:rsidRPr="00397AA7">
        <w:rPr>
          <w:rFonts w:asciiTheme="minorHAnsi" w:hAnsiTheme="minorHAnsi" w:cstheme="minorHAnsi"/>
          <w:color w:val="1C1D1E"/>
          <w:shd w:val="clear" w:color="auto" w:fill="FFFFFF"/>
        </w:rPr>
        <w:t>§§</w:t>
      </w:r>
      <w:r w:rsidR="00307686" w:rsidRPr="00397AA7">
        <w:rPr>
          <w:rFonts w:asciiTheme="minorHAnsi" w:hAnsiTheme="minorHAnsi" w:cstheme="minorHAnsi"/>
        </w:rPr>
        <w:t>, Joanna Pepke-Zaba</w:t>
      </w:r>
      <w:r w:rsidRPr="00397AA7">
        <w:rPr>
          <w:rFonts w:asciiTheme="minorHAnsi" w:hAnsiTheme="minorHAnsi" w:cstheme="minorHAnsi"/>
        </w:rPr>
        <w:t>*</w:t>
      </w:r>
      <w:r w:rsidR="00307686" w:rsidRPr="00397AA7">
        <w:rPr>
          <w:rFonts w:asciiTheme="minorHAnsi" w:hAnsiTheme="minorHAnsi" w:cstheme="minorHAnsi"/>
        </w:rPr>
        <w:t>, Mark Toshner</w:t>
      </w:r>
      <w:r w:rsidRPr="00397AA7">
        <w:rPr>
          <w:rFonts w:asciiTheme="minorHAnsi" w:hAnsiTheme="minorHAnsi" w:cstheme="minorHAnsi"/>
        </w:rPr>
        <w:t>*</w:t>
      </w:r>
      <w:r w:rsidR="00307686" w:rsidRPr="00397AA7">
        <w:rPr>
          <w:rFonts w:asciiTheme="minorHAnsi" w:hAnsiTheme="minorHAnsi" w:cstheme="minorHAnsi"/>
        </w:rPr>
        <w:t>,</w:t>
      </w:r>
      <w:r w:rsidRPr="00397AA7">
        <w:rPr>
          <w:rFonts w:asciiTheme="minorHAnsi" w:hAnsiTheme="minorHAnsi" w:cstheme="minorHAnsi"/>
          <w:color w:val="1C1D1E"/>
          <w:shd w:val="clear" w:color="auto" w:fill="FFFFFF"/>
        </w:rPr>
        <w:t>†</w:t>
      </w:r>
    </w:p>
    <w:p w14:paraId="238CF7FD" w14:textId="6AD6EAD7" w:rsidR="00307686" w:rsidRPr="00397AA7" w:rsidRDefault="00307686" w:rsidP="00C76A6E">
      <w:pPr>
        <w:spacing w:line="360" w:lineRule="auto"/>
        <w:jc w:val="both"/>
        <w:outlineLvl w:val="0"/>
        <w:rPr>
          <w:rFonts w:asciiTheme="minorHAnsi" w:hAnsiTheme="minorHAnsi" w:cstheme="minorHAnsi"/>
          <w:b/>
        </w:rPr>
      </w:pPr>
    </w:p>
    <w:p w14:paraId="51FC2CD2" w14:textId="75C5A219" w:rsidR="004A143B" w:rsidRPr="00397AA7" w:rsidRDefault="004A143B" w:rsidP="00C76A6E">
      <w:pPr>
        <w:spacing w:line="360" w:lineRule="auto"/>
        <w:jc w:val="both"/>
        <w:outlineLvl w:val="0"/>
        <w:rPr>
          <w:rFonts w:asciiTheme="minorHAnsi" w:hAnsiTheme="minorHAnsi" w:cstheme="minorHAnsi"/>
          <w:b/>
        </w:rPr>
      </w:pPr>
      <w:r w:rsidRPr="00397AA7">
        <w:rPr>
          <w:rFonts w:asciiTheme="minorHAnsi" w:hAnsiTheme="minorHAnsi" w:cstheme="minorHAnsi"/>
          <w:b/>
        </w:rPr>
        <w:t>Affiliations:</w:t>
      </w:r>
    </w:p>
    <w:p w14:paraId="7212669F" w14:textId="76FAA749" w:rsidR="00307686" w:rsidRPr="00397AA7" w:rsidRDefault="004A143B" w:rsidP="00C76A6E">
      <w:pPr>
        <w:spacing w:line="360" w:lineRule="auto"/>
        <w:jc w:val="both"/>
        <w:rPr>
          <w:rFonts w:asciiTheme="minorHAnsi" w:hAnsiTheme="minorHAnsi" w:cstheme="minorHAnsi"/>
        </w:rPr>
      </w:pPr>
      <w:r w:rsidRPr="00397AA7">
        <w:rPr>
          <w:rFonts w:asciiTheme="minorHAnsi" w:hAnsiTheme="minorHAnsi" w:cstheme="minorHAnsi"/>
          <w:vertAlign w:val="superscript"/>
        </w:rPr>
        <w:t xml:space="preserve">*      </w:t>
      </w:r>
      <w:r w:rsidR="00307686" w:rsidRPr="00397AA7">
        <w:rPr>
          <w:rFonts w:asciiTheme="minorHAnsi" w:hAnsiTheme="minorHAnsi" w:cstheme="minorHAnsi"/>
        </w:rPr>
        <w:t>Royal Papworth Hospital NHS Foundation Trust, Cambridge, U.K.</w:t>
      </w:r>
    </w:p>
    <w:p w14:paraId="46F7C711" w14:textId="3B205D29" w:rsidR="00307686" w:rsidRPr="00397AA7" w:rsidRDefault="004A143B" w:rsidP="00C76A6E">
      <w:pPr>
        <w:spacing w:line="360" w:lineRule="auto"/>
        <w:jc w:val="both"/>
        <w:rPr>
          <w:rFonts w:asciiTheme="minorHAnsi" w:hAnsiTheme="minorHAnsi" w:cstheme="minorHAnsi"/>
        </w:rPr>
      </w:pPr>
      <w:r w:rsidRPr="00397AA7">
        <w:rPr>
          <w:rFonts w:asciiTheme="minorHAnsi" w:hAnsiTheme="minorHAnsi" w:cstheme="minorHAnsi"/>
          <w:color w:val="1C1D1E"/>
          <w:shd w:val="clear" w:color="auto" w:fill="FFFFFF"/>
        </w:rPr>
        <w:t xml:space="preserve">†    </w:t>
      </w:r>
      <w:r w:rsidR="00307686" w:rsidRPr="00397AA7">
        <w:rPr>
          <w:rFonts w:asciiTheme="minorHAnsi" w:hAnsiTheme="minorHAnsi" w:cstheme="minorHAnsi"/>
        </w:rPr>
        <w:t>Department of Medicine, University of Cambridge, Cambridge, U.K.</w:t>
      </w:r>
    </w:p>
    <w:p w14:paraId="2A9CA0D5" w14:textId="2C979419" w:rsidR="00307686" w:rsidRPr="00397AA7" w:rsidRDefault="004A143B" w:rsidP="00C76A6E">
      <w:pPr>
        <w:spacing w:line="360" w:lineRule="auto"/>
        <w:jc w:val="both"/>
        <w:rPr>
          <w:rFonts w:asciiTheme="minorHAnsi" w:hAnsiTheme="minorHAnsi" w:cstheme="minorHAnsi"/>
        </w:rPr>
      </w:pPr>
      <w:r w:rsidRPr="00397AA7">
        <w:rPr>
          <w:rFonts w:asciiTheme="minorHAnsi" w:hAnsiTheme="minorHAnsi" w:cstheme="minorHAnsi"/>
          <w:color w:val="1C1D1E"/>
          <w:shd w:val="clear" w:color="auto" w:fill="FFFFFF"/>
        </w:rPr>
        <w:t xml:space="preserve">‡    </w:t>
      </w:r>
      <w:r w:rsidR="00307686" w:rsidRPr="00397AA7">
        <w:rPr>
          <w:rFonts w:asciiTheme="minorHAnsi" w:hAnsiTheme="minorHAnsi" w:cstheme="minorHAnsi"/>
        </w:rPr>
        <w:t xml:space="preserve">MRC BSU, University of Cambridge, Cambridge, U.K. </w:t>
      </w:r>
    </w:p>
    <w:p w14:paraId="55D2D40F" w14:textId="7814811D" w:rsidR="00307686" w:rsidRPr="00397AA7" w:rsidRDefault="004A143B" w:rsidP="00C76A6E">
      <w:pPr>
        <w:spacing w:line="360" w:lineRule="auto"/>
        <w:jc w:val="both"/>
        <w:outlineLvl w:val="0"/>
        <w:rPr>
          <w:rFonts w:asciiTheme="minorHAnsi" w:hAnsiTheme="minorHAnsi" w:cstheme="minorHAnsi"/>
        </w:rPr>
      </w:pPr>
      <w:r w:rsidRPr="00397AA7">
        <w:rPr>
          <w:rFonts w:asciiTheme="minorHAnsi" w:hAnsiTheme="minorHAnsi" w:cstheme="minorHAnsi"/>
          <w:color w:val="1C1D1E"/>
          <w:shd w:val="clear" w:color="auto" w:fill="FFFFFF"/>
        </w:rPr>
        <w:t xml:space="preserve">§    </w:t>
      </w:r>
      <w:r w:rsidR="00307686" w:rsidRPr="00397AA7">
        <w:rPr>
          <w:rFonts w:asciiTheme="minorHAnsi" w:hAnsiTheme="minorHAnsi" w:cstheme="minorHAnsi"/>
        </w:rPr>
        <w:t xml:space="preserve">Royal Free Hospital, London, UK </w:t>
      </w:r>
    </w:p>
    <w:p w14:paraId="141E24A2" w14:textId="2604CEB4" w:rsidR="00307686" w:rsidRPr="00397AA7" w:rsidRDefault="004A143B" w:rsidP="00C76A6E">
      <w:pPr>
        <w:spacing w:line="360" w:lineRule="auto"/>
        <w:jc w:val="both"/>
        <w:rPr>
          <w:rFonts w:asciiTheme="minorHAnsi" w:hAnsiTheme="minorHAnsi" w:cstheme="minorHAnsi"/>
        </w:rPr>
      </w:pPr>
      <w:r w:rsidRPr="00397AA7">
        <w:rPr>
          <w:rFonts w:asciiTheme="minorHAnsi" w:hAnsiTheme="minorHAnsi" w:cstheme="minorHAnsi"/>
          <w:color w:val="1C1D1E"/>
          <w:shd w:val="clear" w:color="auto" w:fill="FFFFFF"/>
        </w:rPr>
        <w:t xml:space="preserve">¶    </w:t>
      </w:r>
      <w:r w:rsidR="00307686" w:rsidRPr="00397AA7">
        <w:rPr>
          <w:rFonts w:asciiTheme="minorHAnsi" w:hAnsiTheme="minorHAnsi" w:cstheme="minorHAnsi"/>
        </w:rPr>
        <w:t>Institute of Cellular Medicine, Newcastle Upon Tyne, UK</w:t>
      </w:r>
    </w:p>
    <w:p w14:paraId="637024E1" w14:textId="4246B2B8" w:rsidR="00307686" w:rsidRPr="00397AA7" w:rsidRDefault="004A143B" w:rsidP="00C76A6E">
      <w:pPr>
        <w:spacing w:line="360" w:lineRule="auto"/>
        <w:jc w:val="both"/>
        <w:outlineLvl w:val="0"/>
        <w:rPr>
          <w:rFonts w:asciiTheme="minorHAnsi" w:hAnsiTheme="minorHAnsi" w:cstheme="minorHAnsi"/>
        </w:rPr>
      </w:pPr>
      <w:r w:rsidRPr="00397AA7">
        <w:rPr>
          <w:rFonts w:asciiTheme="minorHAnsi" w:hAnsiTheme="minorHAnsi" w:cstheme="minorHAnsi"/>
          <w:vertAlign w:val="superscript"/>
        </w:rPr>
        <w:t xml:space="preserve">**     </w:t>
      </w:r>
      <w:r w:rsidR="00307686" w:rsidRPr="00397AA7">
        <w:rPr>
          <w:rFonts w:asciiTheme="minorHAnsi" w:hAnsiTheme="minorHAnsi" w:cstheme="minorHAnsi"/>
        </w:rPr>
        <w:t>National Heart and Lung Institute, London, UK</w:t>
      </w:r>
    </w:p>
    <w:p w14:paraId="6043B742" w14:textId="0F3A1510" w:rsidR="00307686" w:rsidRPr="00397AA7" w:rsidRDefault="004A143B" w:rsidP="00C76A6E">
      <w:pPr>
        <w:spacing w:line="360" w:lineRule="auto"/>
        <w:jc w:val="both"/>
        <w:rPr>
          <w:rFonts w:asciiTheme="minorHAnsi" w:hAnsiTheme="minorHAnsi" w:cstheme="minorHAnsi"/>
        </w:rPr>
      </w:pPr>
      <w:r w:rsidRPr="00397AA7">
        <w:rPr>
          <w:rFonts w:asciiTheme="minorHAnsi" w:hAnsiTheme="minorHAnsi" w:cstheme="minorHAnsi"/>
          <w:color w:val="1C1D1E"/>
          <w:shd w:val="clear" w:color="auto" w:fill="FFFFFF"/>
        </w:rPr>
        <w:t xml:space="preserve">††  </w:t>
      </w:r>
      <w:r w:rsidR="00307686" w:rsidRPr="00397AA7">
        <w:rPr>
          <w:rFonts w:asciiTheme="minorHAnsi" w:hAnsiTheme="minorHAnsi" w:cstheme="minorHAnsi"/>
        </w:rPr>
        <w:t>Golden Jubilee National Hospital, Glasgow, UK</w:t>
      </w:r>
    </w:p>
    <w:p w14:paraId="20DA51EB" w14:textId="08F08C11" w:rsidR="00307686" w:rsidRPr="00397AA7" w:rsidRDefault="004A143B" w:rsidP="00C76A6E">
      <w:pPr>
        <w:spacing w:line="360" w:lineRule="auto"/>
        <w:jc w:val="both"/>
        <w:rPr>
          <w:rFonts w:asciiTheme="minorHAnsi" w:hAnsiTheme="minorHAnsi" w:cstheme="minorHAnsi"/>
        </w:rPr>
      </w:pPr>
      <w:r w:rsidRPr="00397AA7">
        <w:rPr>
          <w:rFonts w:asciiTheme="minorHAnsi" w:hAnsiTheme="minorHAnsi" w:cstheme="minorHAnsi"/>
          <w:color w:val="1C1D1E"/>
          <w:shd w:val="clear" w:color="auto" w:fill="FFFFFF"/>
        </w:rPr>
        <w:t xml:space="preserve">‡‡  </w:t>
      </w:r>
      <w:r w:rsidR="00307686" w:rsidRPr="00397AA7">
        <w:rPr>
          <w:rFonts w:asciiTheme="minorHAnsi" w:hAnsiTheme="minorHAnsi" w:cstheme="minorHAnsi"/>
        </w:rPr>
        <w:t>Sheffield Teaching Hospitals, Sheffield, UK</w:t>
      </w:r>
    </w:p>
    <w:p w14:paraId="72857045" w14:textId="40A9C508" w:rsidR="00307686" w:rsidRPr="00397AA7" w:rsidRDefault="004A143B" w:rsidP="00C76A6E">
      <w:pPr>
        <w:spacing w:line="360" w:lineRule="auto"/>
        <w:jc w:val="both"/>
        <w:rPr>
          <w:rFonts w:asciiTheme="minorHAnsi" w:hAnsiTheme="minorHAnsi" w:cstheme="minorHAnsi"/>
        </w:rPr>
      </w:pPr>
      <w:r w:rsidRPr="00397AA7">
        <w:rPr>
          <w:rFonts w:asciiTheme="minorHAnsi" w:hAnsiTheme="minorHAnsi" w:cstheme="minorHAnsi"/>
          <w:color w:val="1C1D1E"/>
          <w:shd w:val="clear" w:color="auto" w:fill="FFFFFF"/>
        </w:rPr>
        <w:t>§§</w:t>
      </w:r>
      <w:r w:rsidRPr="00397AA7">
        <w:rPr>
          <w:rFonts w:asciiTheme="minorHAnsi" w:hAnsiTheme="minorHAnsi" w:cstheme="minorHAnsi"/>
        </w:rPr>
        <w:t xml:space="preserve"> </w:t>
      </w:r>
      <w:r w:rsidR="00307686" w:rsidRPr="00397AA7">
        <w:rPr>
          <w:rFonts w:asciiTheme="minorHAnsi" w:hAnsiTheme="minorHAnsi" w:cstheme="minorHAnsi"/>
        </w:rPr>
        <w:t xml:space="preserve">Royal Brompton </w:t>
      </w:r>
      <w:r w:rsidRPr="00397AA7">
        <w:rPr>
          <w:rFonts w:asciiTheme="minorHAnsi" w:hAnsiTheme="minorHAnsi" w:cstheme="minorHAnsi"/>
        </w:rPr>
        <w:t>Hospital</w:t>
      </w:r>
      <w:r w:rsidR="00307686" w:rsidRPr="00397AA7">
        <w:rPr>
          <w:rFonts w:asciiTheme="minorHAnsi" w:hAnsiTheme="minorHAnsi" w:cstheme="minorHAnsi"/>
        </w:rPr>
        <w:t>, London, UK</w:t>
      </w:r>
    </w:p>
    <w:p w14:paraId="5800A5FA" w14:textId="77777777" w:rsidR="00C76A6E" w:rsidRPr="00397AA7" w:rsidRDefault="00C76A6E" w:rsidP="00C76A6E">
      <w:pPr>
        <w:pStyle w:val="NormalWeb"/>
        <w:spacing w:after="0" w:afterAutospacing="0" w:line="360" w:lineRule="auto"/>
        <w:contextualSpacing/>
        <w:outlineLvl w:val="0"/>
        <w:rPr>
          <w:rFonts w:asciiTheme="minorHAnsi" w:hAnsiTheme="minorHAnsi" w:cstheme="minorHAnsi"/>
          <w:b/>
        </w:rPr>
      </w:pPr>
    </w:p>
    <w:p w14:paraId="23ED078E" w14:textId="77777777" w:rsidR="00C76A6E" w:rsidRPr="00397AA7" w:rsidRDefault="00C76A6E" w:rsidP="00C76A6E">
      <w:pPr>
        <w:pStyle w:val="NormalWeb"/>
        <w:spacing w:after="0" w:afterAutospacing="0" w:line="360" w:lineRule="auto"/>
        <w:contextualSpacing/>
        <w:outlineLvl w:val="0"/>
        <w:rPr>
          <w:rFonts w:asciiTheme="minorHAnsi" w:hAnsiTheme="minorHAnsi" w:cstheme="minorHAnsi"/>
          <w:b/>
        </w:rPr>
      </w:pPr>
    </w:p>
    <w:p w14:paraId="737DC577" w14:textId="77777777" w:rsidR="00C76A6E" w:rsidRPr="00397AA7" w:rsidRDefault="00C76A6E" w:rsidP="00C76A6E">
      <w:pPr>
        <w:pStyle w:val="NormalWeb"/>
        <w:spacing w:after="0" w:afterAutospacing="0" w:line="360" w:lineRule="auto"/>
        <w:contextualSpacing/>
        <w:outlineLvl w:val="0"/>
        <w:rPr>
          <w:rFonts w:asciiTheme="minorHAnsi" w:hAnsiTheme="minorHAnsi" w:cstheme="minorHAnsi"/>
          <w:b/>
        </w:rPr>
      </w:pPr>
    </w:p>
    <w:p w14:paraId="04310759" w14:textId="5747AB26" w:rsidR="00307686" w:rsidRPr="00397AA7" w:rsidRDefault="00307686" w:rsidP="00C76A6E">
      <w:pPr>
        <w:pStyle w:val="NormalWeb"/>
        <w:spacing w:after="0" w:afterAutospacing="0" w:line="360" w:lineRule="auto"/>
        <w:contextualSpacing/>
        <w:outlineLvl w:val="0"/>
        <w:rPr>
          <w:rFonts w:asciiTheme="minorHAnsi" w:hAnsiTheme="minorHAnsi" w:cstheme="minorHAnsi"/>
          <w:b/>
        </w:rPr>
      </w:pPr>
      <w:r w:rsidRPr="00397AA7">
        <w:rPr>
          <w:rFonts w:asciiTheme="minorHAnsi" w:hAnsiTheme="minorHAnsi" w:cstheme="minorHAnsi"/>
          <w:b/>
        </w:rPr>
        <w:t>Corresponding author:</w:t>
      </w:r>
    </w:p>
    <w:p w14:paraId="7697A2F8" w14:textId="4371F5CC" w:rsidR="004A143B" w:rsidRPr="00397AA7" w:rsidRDefault="00307686" w:rsidP="00C76A6E">
      <w:pPr>
        <w:pStyle w:val="NormalWeb"/>
        <w:spacing w:after="0" w:afterAutospacing="0" w:line="360" w:lineRule="auto"/>
        <w:contextualSpacing/>
        <w:outlineLvl w:val="0"/>
        <w:rPr>
          <w:rFonts w:asciiTheme="minorHAnsi" w:hAnsiTheme="minorHAnsi" w:cstheme="minorHAnsi"/>
        </w:rPr>
      </w:pPr>
      <w:r w:rsidRPr="00397AA7">
        <w:rPr>
          <w:rFonts w:asciiTheme="minorHAnsi" w:hAnsiTheme="minorHAnsi" w:cstheme="minorHAnsi"/>
        </w:rPr>
        <w:t>Dr Mark Toshner</w:t>
      </w:r>
      <w:r w:rsidR="004A143B" w:rsidRPr="00397AA7">
        <w:rPr>
          <w:rFonts w:asciiTheme="minorHAnsi" w:hAnsiTheme="minorHAnsi" w:cstheme="minorHAnsi"/>
        </w:rPr>
        <w:t>, MB ChB MD</w:t>
      </w:r>
    </w:p>
    <w:p w14:paraId="25C6D768" w14:textId="21EF9360" w:rsidR="00E36FB6" w:rsidRPr="00397AA7" w:rsidRDefault="00E36FB6" w:rsidP="00C76A6E">
      <w:pPr>
        <w:pStyle w:val="NormalWeb"/>
        <w:spacing w:after="0" w:afterAutospacing="0" w:line="360" w:lineRule="auto"/>
        <w:contextualSpacing/>
        <w:outlineLvl w:val="0"/>
        <w:rPr>
          <w:rFonts w:asciiTheme="minorHAnsi" w:hAnsiTheme="minorHAnsi" w:cstheme="minorHAnsi"/>
          <w:b/>
        </w:rPr>
      </w:pPr>
      <w:r w:rsidRPr="00397AA7">
        <w:rPr>
          <w:rFonts w:asciiTheme="minorHAnsi" w:hAnsiTheme="minorHAnsi" w:cstheme="minorHAnsi"/>
        </w:rPr>
        <w:t>Pulmonary Vascular Diseases Unit,</w:t>
      </w:r>
      <w:r w:rsidR="004A143B" w:rsidRPr="00397AA7">
        <w:rPr>
          <w:rFonts w:asciiTheme="minorHAnsi" w:hAnsiTheme="minorHAnsi" w:cstheme="minorHAnsi"/>
          <w:b/>
        </w:rPr>
        <w:t xml:space="preserve"> </w:t>
      </w:r>
      <w:r w:rsidR="00307686" w:rsidRPr="00397AA7">
        <w:rPr>
          <w:rFonts w:asciiTheme="minorHAnsi" w:hAnsiTheme="minorHAnsi" w:cstheme="minorHAnsi"/>
        </w:rPr>
        <w:t xml:space="preserve">Royal Papworth Hospital, </w:t>
      </w:r>
      <w:r w:rsidRPr="00397AA7">
        <w:rPr>
          <w:rFonts w:asciiTheme="minorHAnsi" w:hAnsiTheme="minorHAnsi" w:cstheme="minorHAnsi"/>
          <w:color w:val="222222"/>
          <w:shd w:val="clear" w:color="auto" w:fill="FFFFFF"/>
        </w:rPr>
        <w:t>Robinson Way, Cambridge, UK CB2 0AY</w:t>
      </w:r>
    </w:p>
    <w:p w14:paraId="21E0C52E" w14:textId="77777777" w:rsidR="004A143B" w:rsidRPr="00397AA7" w:rsidRDefault="00307686" w:rsidP="00C76A6E">
      <w:pPr>
        <w:pStyle w:val="NormalWeb"/>
        <w:spacing w:before="0" w:beforeAutospacing="0" w:after="0" w:afterAutospacing="0" w:line="360" w:lineRule="auto"/>
        <w:contextualSpacing/>
        <w:rPr>
          <w:rFonts w:asciiTheme="minorHAnsi" w:hAnsiTheme="minorHAnsi" w:cstheme="minorHAnsi"/>
          <w:color w:val="212121"/>
          <w:shd w:val="clear" w:color="auto" w:fill="FFFFFF"/>
        </w:rPr>
      </w:pPr>
      <w:r w:rsidRPr="00397AA7">
        <w:rPr>
          <w:rFonts w:asciiTheme="minorHAnsi" w:hAnsiTheme="minorHAnsi" w:cstheme="minorHAnsi"/>
          <w:b/>
          <w:color w:val="000000" w:themeColor="text1"/>
        </w:rPr>
        <w:t>Email</w:t>
      </w:r>
      <w:r w:rsidRPr="00397AA7">
        <w:rPr>
          <w:rFonts w:asciiTheme="minorHAnsi" w:hAnsiTheme="minorHAnsi" w:cstheme="minorHAnsi"/>
          <w:color w:val="000000" w:themeColor="text1"/>
        </w:rPr>
        <w:t xml:space="preserve">: mark.toshner@nhs.net  </w:t>
      </w:r>
      <w:r w:rsidRPr="00397AA7">
        <w:rPr>
          <w:rFonts w:asciiTheme="minorHAnsi" w:hAnsiTheme="minorHAnsi" w:cstheme="minorHAnsi"/>
          <w:b/>
          <w:color w:val="000000" w:themeColor="text1"/>
        </w:rPr>
        <w:t>Tel:</w:t>
      </w:r>
      <w:r w:rsidRPr="00397AA7">
        <w:rPr>
          <w:rFonts w:asciiTheme="minorHAnsi" w:hAnsiTheme="minorHAnsi" w:cstheme="minorHAnsi"/>
          <w:color w:val="000000" w:themeColor="text1"/>
        </w:rPr>
        <w:t xml:space="preserve"> </w:t>
      </w:r>
      <w:r w:rsidR="004A143B" w:rsidRPr="00397AA7">
        <w:rPr>
          <w:rFonts w:asciiTheme="minorHAnsi" w:hAnsiTheme="minorHAnsi" w:cstheme="minorHAnsi"/>
          <w:color w:val="000000" w:themeColor="text1"/>
        </w:rPr>
        <w:t>+44 (</w:t>
      </w:r>
      <w:r w:rsidR="00E36FB6" w:rsidRPr="00397AA7">
        <w:rPr>
          <w:rFonts w:asciiTheme="minorHAnsi" w:hAnsiTheme="minorHAnsi" w:cstheme="minorHAnsi"/>
          <w:color w:val="212121"/>
          <w:shd w:val="clear" w:color="auto" w:fill="FFFFFF"/>
        </w:rPr>
        <w:t>0</w:t>
      </w:r>
      <w:r w:rsidR="004A143B" w:rsidRPr="00397AA7">
        <w:rPr>
          <w:rFonts w:asciiTheme="minorHAnsi" w:hAnsiTheme="minorHAnsi" w:cstheme="minorHAnsi"/>
          <w:color w:val="212121"/>
          <w:shd w:val="clear" w:color="auto" w:fill="FFFFFF"/>
        </w:rPr>
        <w:t>)</w:t>
      </w:r>
      <w:r w:rsidR="00E36FB6" w:rsidRPr="00397AA7">
        <w:rPr>
          <w:rFonts w:asciiTheme="minorHAnsi" w:hAnsiTheme="minorHAnsi" w:cstheme="minorHAnsi"/>
          <w:color w:val="212121"/>
          <w:shd w:val="clear" w:color="auto" w:fill="FFFFFF"/>
        </w:rPr>
        <w:t>1223 639697</w:t>
      </w:r>
    </w:p>
    <w:p w14:paraId="296E953C" w14:textId="480D1814" w:rsidR="00E36FB6" w:rsidRPr="00397AA7" w:rsidRDefault="00E36FB6" w:rsidP="00C76A6E">
      <w:pPr>
        <w:spacing w:line="360" w:lineRule="auto"/>
        <w:jc w:val="both"/>
        <w:rPr>
          <w:rFonts w:asciiTheme="minorHAnsi" w:hAnsiTheme="minorHAnsi" w:cstheme="minorHAnsi"/>
          <w:color w:val="000000" w:themeColor="text1"/>
        </w:rPr>
      </w:pPr>
    </w:p>
    <w:p w14:paraId="396183D8" w14:textId="6D0BC15E" w:rsidR="00C76A6E" w:rsidRPr="00397AA7" w:rsidRDefault="00C76A6E" w:rsidP="00C76A6E">
      <w:pPr>
        <w:spacing w:line="360" w:lineRule="auto"/>
        <w:jc w:val="both"/>
        <w:rPr>
          <w:rFonts w:asciiTheme="minorHAnsi" w:hAnsiTheme="minorHAnsi" w:cstheme="minorHAnsi"/>
          <w:color w:val="000000" w:themeColor="text1"/>
        </w:rPr>
      </w:pPr>
    </w:p>
    <w:p w14:paraId="7706336C" w14:textId="43EFB53D" w:rsidR="00C76A6E" w:rsidRPr="00397AA7" w:rsidRDefault="00C76A6E" w:rsidP="00C76A6E">
      <w:pPr>
        <w:spacing w:line="360" w:lineRule="auto"/>
        <w:jc w:val="both"/>
        <w:rPr>
          <w:rFonts w:asciiTheme="minorHAnsi" w:hAnsiTheme="minorHAnsi" w:cstheme="minorHAnsi"/>
          <w:color w:val="000000" w:themeColor="text1"/>
        </w:rPr>
      </w:pPr>
    </w:p>
    <w:p w14:paraId="5E08C7EC" w14:textId="1B28D77D" w:rsidR="00A04A32" w:rsidRPr="00397AA7" w:rsidRDefault="007F6270" w:rsidP="00953CEA">
      <w:pPr>
        <w:spacing w:line="360" w:lineRule="auto"/>
        <w:jc w:val="both"/>
        <w:rPr>
          <w:rFonts w:asciiTheme="minorHAnsi" w:hAnsiTheme="minorHAnsi" w:cstheme="minorHAnsi"/>
          <w:b/>
          <w:color w:val="000000" w:themeColor="text1"/>
        </w:rPr>
      </w:pPr>
      <w:r w:rsidRPr="00397AA7">
        <w:rPr>
          <w:rFonts w:asciiTheme="minorHAnsi" w:hAnsiTheme="minorHAnsi" w:cstheme="minorHAnsi"/>
          <w:b/>
          <w:color w:val="000000" w:themeColor="text1"/>
        </w:rPr>
        <w:lastRenderedPageBreak/>
        <w:t>Essentials</w:t>
      </w:r>
      <w:r w:rsidR="004A143B" w:rsidRPr="00397AA7">
        <w:rPr>
          <w:rFonts w:asciiTheme="minorHAnsi" w:hAnsiTheme="minorHAnsi" w:cstheme="minorHAnsi"/>
          <w:b/>
          <w:color w:val="000000" w:themeColor="text1"/>
        </w:rPr>
        <w:t xml:space="preserve">: </w:t>
      </w:r>
    </w:p>
    <w:p w14:paraId="43A822A6" w14:textId="49CC02C5" w:rsidR="00A04A32" w:rsidRPr="00397AA7" w:rsidRDefault="007F240C" w:rsidP="00953CEA">
      <w:pPr>
        <w:pStyle w:val="ListParagraph"/>
        <w:numPr>
          <w:ilvl w:val="0"/>
          <w:numId w:val="13"/>
        </w:numPr>
        <w:spacing w:line="360" w:lineRule="auto"/>
        <w:jc w:val="both"/>
        <w:rPr>
          <w:rFonts w:asciiTheme="minorHAnsi" w:hAnsiTheme="minorHAnsi" w:cstheme="minorHAnsi"/>
          <w:color w:val="222222"/>
          <w:shd w:val="clear" w:color="auto" w:fill="FFFFFF"/>
        </w:rPr>
      </w:pPr>
      <w:r w:rsidRPr="00397AA7">
        <w:rPr>
          <w:rFonts w:asciiTheme="minorHAnsi" w:hAnsiTheme="minorHAnsi" w:cstheme="minorHAnsi"/>
          <w:color w:val="222222"/>
          <w:shd w:val="clear" w:color="auto" w:fill="FFFFFF"/>
        </w:rPr>
        <w:t>Life-long a</w:t>
      </w:r>
      <w:r w:rsidR="00A04A32" w:rsidRPr="00397AA7">
        <w:rPr>
          <w:rFonts w:asciiTheme="minorHAnsi" w:hAnsiTheme="minorHAnsi" w:cstheme="minorHAnsi"/>
          <w:color w:val="222222"/>
          <w:shd w:val="clear" w:color="auto" w:fill="FFFFFF"/>
        </w:rPr>
        <w:t>nticoagulation i</w:t>
      </w:r>
      <w:r w:rsidR="00C76A6E" w:rsidRPr="00397AA7">
        <w:rPr>
          <w:rFonts w:asciiTheme="minorHAnsi" w:hAnsiTheme="minorHAnsi" w:cstheme="minorHAnsi"/>
          <w:color w:val="222222"/>
          <w:shd w:val="clear" w:color="auto" w:fill="FFFFFF"/>
        </w:rPr>
        <w:t>s</w:t>
      </w:r>
      <w:r w:rsidR="00A04A32" w:rsidRPr="00397AA7">
        <w:rPr>
          <w:rFonts w:asciiTheme="minorHAnsi" w:hAnsiTheme="minorHAnsi" w:cstheme="minorHAnsi"/>
          <w:color w:val="222222"/>
          <w:shd w:val="clear" w:color="auto" w:fill="FFFFFF"/>
        </w:rPr>
        <w:t xml:space="preserve"> </w:t>
      </w:r>
      <w:r w:rsidR="00C76A6E" w:rsidRPr="00397AA7">
        <w:rPr>
          <w:rFonts w:asciiTheme="minorHAnsi" w:hAnsiTheme="minorHAnsi" w:cstheme="minorHAnsi"/>
          <w:color w:val="222222"/>
          <w:shd w:val="clear" w:color="auto" w:fill="FFFFFF"/>
        </w:rPr>
        <w:t xml:space="preserve">recommended in thromboembolic pulmonary hypertension (CTEPH) </w:t>
      </w:r>
    </w:p>
    <w:p w14:paraId="6D74C980" w14:textId="453A4CE4" w:rsidR="00A04A32" w:rsidRPr="00397AA7" w:rsidRDefault="00953CEA" w:rsidP="00953CEA">
      <w:pPr>
        <w:pStyle w:val="ListParagraph"/>
        <w:numPr>
          <w:ilvl w:val="0"/>
          <w:numId w:val="13"/>
        </w:numPr>
        <w:spacing w:line="360" w:lineRule="auto"/>
        <w:jc w:val="both"/>
        <w:rPr>
          <w:rFonts w:asciiTheme="minorHAnsi" w:hAnsiTheme="minorHAnsi" w:cstheme="minorHAnsi"/>
          <w:color w:val="000000" w:themeColor="text1"/>
          <w:shd w:val="clear" w:color="auto" w:fill="FFFFFF"/>
        </w:rPr>
      </w:pPr>
      <w:r w:rsidRPr="00397AA7">
        <w:rPr>
          <w:rFonts w:asciiTheme="minorHAnsi" w:hAnsiTheme="minorHAnsi" w:cstheme="minorHAnsi"/>
          <w:color w:val="000000" w:themeColor="text1"/>
          <w:shd w:val="clear" w:color="auto" w:fill="FFFFFF"/>
        </w:rPr>
        <w:t>We provide</w:t>
      </w:r>
      <w:r w:rsidR="00A04A32" w:rsidRPr="00397AA7">
        <w:rPr>
          <w:rFonts w:asciiTheme="minorHAnsi" w:hAnsiTheme="minorHAnsi" w:cstheme="minorHAnsi"/>
          <w:color w:val="000000" w:themeColor="text1"/>
          <w:shd w:val="clear" w:color="auto" w:fill="FFFFFF"/>
        </w:rPr>
        <w:t xml:space="preserve"> the largest evaluation of anticoagulation outcomes and complication rates in CTEPH</w:t>
      </w:r>
    </w:p>
    <w:p w14:paraId="0DC9BD45" w14:textId="34AE0194" w:rsidR="004A143B" w:rsidRPr="00397AA7" w:rsidRDefault="004A143B" w:rsidP="00953CEA">
      <w:pPr>
        <w:pStyle w:val="ListParagraph"/>
        <w:numPr>
          <w:ilvl w:val="0"/>
          <w:numId w:val="13"/>
        </w:numPr>
        <w:spacing w:line="360" w:lineRule="auto"/>
        <w:jc w:val="both"/>
        <w:rPr>
          <w:rFonts w:asciiTheme="minorHAnsi" w:hAnsiTheme="minorHAnsi" w:cstheme="minorHAnsi"/>
          <w:color w:val="222222"/>
          <w:shd w:val="clear" w:color="auto" w:fill="FFFFFF"/>
        </w:rPr>
      </w:pPr>
      <w:r w:rsidRPr="00397AA7">
        <w:rPr>
          <w:rFonts w:asciiTheme="minorHAnsi" w:hAnsiTheme="minorHAnsi" w:cstheme="minorHAnsi"/>
          <w:color w:val="222222"/>
          <w:shd w:val="clear" w:color="auto" w:fill="FFFFFF"/>
        </w:rPr>
        <w:t>Bleeding rates were similar but recurrent thromboembolism higher with Direct Oral Anticoagulants</w:t>
      </w:r>
    </w:p>
    <w:p w14:paraId="5FCA2FE6" w14:textId="1241F416" w:rsidR="004A143B" w:rsidRPr="00397AA7" w:rsidRDefault="004A143B" w:rsidP="00953CEA">
      <w:pPr>
        <w:pStyle w:val="ListParagraph"/>
        <w:numPr>
          <w:ilvl w:val="0"/>
          <w:numId w:val="13"/>
        </w:numPr>
        <w:spacing w:line="360" w:lineRule="auto"/>
        <w:jc w:val="both"/>
        <w:rPr>
          <w:rFonts w:asciiTheme="minorHAnsi" w:hAnsiTheme="minorHAnsi" w:cstheme="minorHAnsi"/>
          <w:color w:val="222222"/>
          <w:shd w:val="clear" w:color="auto" w:fill="FFFFFF"/>
        </w:rPr>
      </w:pPr>
      <w:r w:rsidRPr="00397AA7">
        <w:rPr>
          <w:rFonts w:asciiTheme="minorHAnsi" w:hAnsiTheme="minorHAnsi" w:cstheme="minorHAnsi"/>
          <w:color w:val="222222"/>
          <w:shd w:val="clear" w:color="auto" w:fill="FFFFFF"/>
        </w:rPr>
        <w:t xml:space="preserve">We provide a strong rationale for </w:t>
      </w:r>
      <w:r w:rsidR="007F240C" w:rsidRPr="00397AA7">
        <w:rPr>
          <w:rFonts w:asciiTheme="minorHAnsi" w:hAnsiTheme="minorHAnsi" w:cstheme="minorHAnsi"/>
          <w:color w:val="222222"/>
          <w:shd w:val="clear" w:color="auto" w:fill="FFFFFF"/>
        </w:rPr>
        <w:t>further</w:t>
      </w:r>
      <w:r w:rsidRPr="00397AA7">
        <w:rPr>
          <w:rFonts w:asciiTheme="minorHAnsi" w:hAnsiTheme="minorHAnsi" w:cstheme="minorHAnsi"/>
          <w:color w:val="222222"/>
          <w:shd w:val="clear" w:color="auto" w:fill="FFFFFF"/>
        </w:rPr>
        <w:t xml:space="preserve"> prospective study of anticoagulation in CTEPH</w:t>
      </w:r>
    </w:p>
    <w:p w14:paraId="6D9C143A" w14:textId="68A48E88" w:rsidR="004A143B" w:rsidRPr="00397AA7" w:rsidRDefault="004A143B" w:rsidP="00A04A32">
      <w:pPr>
        <w:spacing w:line="480" w:lineRule="auto"/>
        <w:jc w:val="both"/>
        <w:rPr>
          <w:rFonts w:asciiTheme="minorHAnsi" w:hAnsiTheme="minorHAnsi" w:cstheme="minorHAnsi"/>
          <w:color w:val="000000" w:themeColor="text1"/>
        </w:rPr>
      </w:pPr>
    </w:p>
    <w:p w14:paraId="0BFCF118" w14:textId="01B9D899" w:rsidR="00953CEA" w:rsidRPr="00397AA7" w:rsidRDefault="00953CEA" w:rsidP="00A04A32">
      <w:pPr>
        <w:spacing w:line="480" w:lineRule="auto"/>
        <w:jc w:val="both"/>
        <w:rPr>
          <w:rFonts w:asciiTheme="minorHAnsi" w:hAnsiTheme="minorHAnsi" w:cstheme="minorHAnsi"/>
          <w:color w:val="000000" w:themeColor="text1"/>
        </w:rPr>
      </w:pPr>
    </w:p>
    <w:p w14:paraId="51B725DF" w14:textId="7A34B001" w:rsidR="00953CEA" w:rsidRPr="00397AA7" w:rsidRDefault="00953CEA" w:rsidP="00A04A32">
      <w:pPr>
        <w:spacing w:line="480" w:lineRule="auto"/>
        <w:jc w:val="both"/>
        <w:rPr>
          <w:rFonts w:asciiTheme="minorHAnsi" w:hAnsiTheme="minorHAnsi" w:cstheme="minorHAnsi"/>
          <w:color w:val="000000" w:themeColor="text1"/>
        </w:rPr>
      </w:pPr>
    </w:p>
    <w:p w14:paraId="52511EF5" w14:textId="0D1D7BF1" w:rsidR="00953CEA" w:rsidRPr="00397AA7" w:rsidRDefault="00953CEA" w:rsidP="00A04A32">
      <w:pPr>
        <w:spacing w:line="480" w:lineRule="auto"/>
        <w:jc w:val="both"/>
        <w:rPr>
          <w:rFonts w:asciiTheme="minorHAnsi" w:hAnsiTheme="minorHAnsi" w:cstheme="minorHAnsi"/>
          <w:color w:val="000000" w:themeColor="text1"/>
        </w:rPr>
      </w:pPr>
    </w:p>
    <w:p w14:paraId="3F288559" w14:textId="10907509" w:rsidR="00953CEA" w:rsidRPr="00397AA7" w:rsidRDefault="00953CEA" w:rsidP="00A04A32">
      <w:pPr>
        <w:spacing w:line="480" w:lineRule="auto"/>
        <w:jc w:val="both"/>
        <w:rPr>
          <w:rFonts w:asciiTheme="minorHAnsi" w:hAnsiTheme="minorHAnsi" w:cstheme="minorHAnsi"/>
          <w:color w:val="000000" w:themeColor="text1"/>
        </w:rPr>
      </w:pPr>
    </w:p>
    <w:p w14:paraId="10E69B9C" w14:textId="79EC7221" w:rsidR="00953CEA" w:rsidRPr="00397AA7" w:rsidRDefault="00953CEA" w:rsidP="00A04A32">
      <w:pPr>
        <w:spacing w:line="480" w:lineRule="auto"/>
        <w:jc w:val="both"/>
        <w:rPr>
          <w:rFonts w:asciiTheme="minorHAnsi" w:hAnsiTheme="minorHAnsi" w:cstheme="minorHAnsi"/>
          <w:color w:val="000000" w:themeColor="text1"/>
        </w:rPr>
      </w:pPr>
    </w:p>
    <w:p w14:paraId="7EE3609C" w14:textId="73FE2DFD" w:rsidR="00953CEA" w:rsidRPr="00397AA7" w:rsidRDefault="00953CEA" w:rsidP="00A04A32">
      <w:pPr>
        <w:spacing w:line="480" w:lineRule="auto"/>
        <w:jc w:val="both"/>
        <w:rPr>
          <w:rFonts w:asciiTheme="minorHAnsi" w:hAnsiTheme="minorHAnsi" w:cstheme="minorHAnsi"/>
          <w:color w:val="000000" w:themeColor="text1"/>
        </w:rPr>
      </w:pPr>
    </w:p>
    <w:p w14:paraId="793743B5" w14:textId="582D803F" w:rsidR="00953CEA" w:rsidRPr="00397AA7" w:rsidRDefault="00953CEA" w:rsidP="00A04A32">
      <w:pPr>
        <w:spacing w:line="480" w:lineRule="auto"/>
        <w:jc w:val="both"/>
        <w:rPr>
          <w:rFonts w:asciiTheme="minorHAnsi" w:hAnsiTheme="minorHAnsi" w:cstheme="minorHAnsi"/>
          <w:color w:val="000000" w:themeColor="text1"/>
        </w:rPr>
      </w:pPr>
    </w:p>
    <w:p w14:paraId="649DD6B6" w14:textId="1642FE8E" w:rsidR="00953CEA" w:rsidRPr="00397AA7" w:rsidRDefault="00953CEA" w:rsidP="00A04A32">
      <w:pPr>
        <w:spacing w:line="480" w:lineRule="auto"/>
        <w:jc w:val="both"/>
        <w:rPr>
          <w:rFonts w:asciiTheme="minorHAnsi" w:hAnsiTheme="minorHAnsi" w:cstheme="minorHAnsi"/>
          <w:color w:val="000000" w:themeColor="text1"/>
        </w:rPr>
      </w:pPr>
    </w:p>
    <w:p w14:paraId="232C396C" w14:textId="72A3A1AC" w:rsidR="00953CEA" w:rsidRPr="00397AA7" w:rsidRDefault="00953CEA" w:rsidP="00A04A32">
      <w:pPr>
        <w:spacing w:line="480" w:lineRule="auto"/>
        <w:jc w:val="both"/>
        <w:rPr>
          <w:rFonts w:asciiTheme="minorHAnsi" w:hAnsiTheme="minorHAnsi" w:cstheme="minorHAnsi"/>
          <w:color w:val="000000" w:themeColor="text1"/>
        </w:rPr>
      </w:pPr>
    </w:p>
    <w:p w14:paraId="0A7E4198" w14:textId="28A70C4F" w:rsidR="00953CEA" w:rsidRPr="00397AA7" w:rsidRDefault="00953CEA" w:rsidP="00A04A32">
      <w:pPr>
        <w:spacing w:line="480" w:lineRule="auto"/>
        <w:jc w:val="both"/>
        <w:rPr>
          <w:rFonts w:asciiTheme="minorHAnsi" w:hAnsiTheme="minorHAnsi" w:cstheme="minorHAnsi"/>
          <w:color w:val="000000" w:themeColor="text1"/>
        </w:rPr>
      </w:pPr>
    </w:p>
    <w:p w14:paraId="2B8FECFF" w14:textId="4B83B240" w:rsidR="00953CEA" w:rsidRPr="00397AA7" w:rsidRDefault="00953CEA" w:rsidP="00A04A32">
      <w:pPr>
        <w:spacing w:line="480" w:lineRule="auto"/>
        <w:jc w:val="both"/>
        <w:rPr>
          <w:rFonts w:asciiTheme="minorHAnsi" w:hAnsiTheme="minorHAnsi" w:cstheme="minorHAnsi"/>
          <w:color w:val="000000" w:themeColor="text1"/>
        </w:rPr>
      </w:pPr>
    </w:p>
    <w:p w14:paraId="165A2342" w14:textId="1B0764EF" w:rsidR="00953CEA" w:rsidRPr="00397AA7" w:rsidRDefault="00953CEA" w:rsidP="00A04A32">
      <w:pPr>
        <w:spacing w:line="480" w:lineRule="auto"/>
        <w:jc w:val="both"/>
        <w:rPr>
          <w:rFonts w:asciiTheme="minorHAnsi" w:hAnsiTheme="minorHAnsi" w:cstheme="minorHAnsi"/>
          <w:color w:val="000000" w:themeColor="text1"/>
        </w:rPr>
      </w:pPr>
    </w:p>
    <w:p w14:paraId="05B7E305" w14:textId="7A8CE126" w:rsidR="00953CEA" w:rsidRPr="00397AA7" w:rsidRDefault="00953CEA" w:rsidP="00A04A32">
      <w:pPr>
        <w:spacing w:line="480" w:lineRule="auto"/>
        <w:jc w:val="both"/>
        <w:rPr>
          <w:rFonts w:asciiTheme="minorHAnsi" w:hAnsiTheme="minorHAnsi" w:cstheme="minorHAnsi"/>
          <w:color w:val="000000" w:themeColor="text1"/>
        </w:rPr>
      </w:pPr>
    </w:p>
    <w:p w14:paraId="09A660B3" w14:textId="4ED86A19" w:rsidR="00953CEA" w:rsidRPr="00397AA7" w:rsidRDefault="00953CEA" w:rsidP="00A04A32">
      <w:pPr>
        <w:spacing w:line="480" w:lineRule="auto"/>
        <w:jc w:val="both"/>
        <w:rPr>
          <w:rFonts w:asciiTheme="minorHAnsi" w:hAnsiTheme="minorHAnsi" w:cstheme="minorHAnsi"/>
          <w:color w:val="000000" w:themeColor="text1"/>
        </w:rPr>
      </w:pPr>
    </w:p>
    <w:p w14:paraId="5F6B2E53" w14:textId="2DDD1FEA" w:rsidR="00953CEA" w:rsidRPr="00397AA7" w:rsidRDefault="00953CEA" w:rsidP="00A04A32">
      <w:pPr>
        <w:spacing w:line="480" w:lineRule="auto"/>
        <w:jc w:val="both"/>
        <w:rPr>
          <w:rFonts w:asciiTheme="minorHAnsi" w:hAnsiTheme="minorHAnsi" w:cstheme="minorHAnsi"/>
          <w:color w:val="000000" w:themeColor="text1"/>
        </w:rPr>
      </w:pPr>
    </w:p>
    <w:p w14:paraId="171E0DDB" w14:textId="770646B9" w:rsidR="00953CEA" w:rsidRPr="00397AA7" w:rsidRDefault="00953CEA" w:rsidP="00A04A32">
      <w:pPr>
        <w:spacing w:line="480" w:lineRule="auto"/>
        <w:jc w:val="both"/>
        <w:rPr>
          <w:rFonts w:asciiTheme="minorHAnsi" w:hAnsiTheme="minorHAnsi" w:cstheme="minorHAnsi"/>
          <w:color w:val="000000" w:themeColor="text1"/>
        </w:rPr>
      </w:pPr>
    </w:p>
    <w:p w14:paraId="66EBCABD" w14:textId="59412F1A" w:rsidR="00A11BE4" w:rsidRPr="00397AA7" w:rsidRDefault="00307686" w:rsidP="00A04A32">
      <w:pPr>
        <w:spacing w:line="480" w:lineRule="auto"/>
        <w:jc w:val="both"/>
        <w:rPr>
          <w:rFonts w:asciiTheme="minorHAnsi" w:hAnsiTheme="minorHAnsi" w:cstheme="minorHAnsi"/>
          <w:b/>
          <w:color w:val="000000" w:themeColor="text1"/>
        </w:rPr>
      </w:pPr>
      <w:r w:rsidRPr="00397AA7">
        <w:rPr>
          <w:rFonts w:asciiTheme="minorHAnsi" w:hAnsiTheme="minorHAnsi" w:cstheme="minorHAnsi"/>
          <w:b/>
          <w:color w:val="000000" w:themeColor="text1"/>
        </w:rPr>
        <w:lastRenderedPageBreak/>
        <w:t>Abstract</w:t>
      </w:r>
      <w:r w:rsidR="004A143B" w:rsidRPr="00397AA7">
        <w:rPr>
          <w:rFonts w:asciiTheme="minorHAnsi" w:hAnsiTheme="minorHAnsi" w:cstheme="minorHAnsi"/>
          <w:b/>
          <w:color w:val="000000" w:themeColor="text1"/>
        </w:rPr>
        <w:t xml:space="preserve">: </w:t>
      </w:r>
    </w:p>
    <w:p w14:paraId="766897F6" w14:textId="6DB74561" w:rsidR="00307686" w:rsidRPr="00397AA7" w:rsidRDefault="00307686" w:rsidP="00A04A32">
      <w:pPr>
        <w:spacing w:line="480" w:lineRule="auto"/>
        <w:jc w:val="both"/>
        <w:rPr>
          <w:rFonts w:asciiTheme="minorHAnsi" w:hAnsiTheme="minorHAnsi" w:cstheme="minorHAnsi"/>
          <w:color w:val="000000"/>
          <w:shd w:val="clear" w:color="auto" w:fill="FFFFFF"/>
        </w:rPr>
      </w:pPr>
      <w:r w:rsidRPr="00397AA7">
        <w:rPr>
          <w:rFonts w:asciiTheme="minorHAnsi" w:hAnsiTheme="minorHAnsi" w:cstheme="minorHAnsi"/>
          <w:b/>
          <w:color w:val="000000"/>
          <w:shd w:val="clear" w:color="auto" w:fill="FFFFFF"/>
        </w:rPr>
        <w:t>Background</w:t>
      </w:r>
      <w:r w:rsidRPr="00397AA7">
        <w:rPr>
          <w:rFonts w:asciiTheme="minorHAnsi" w:hAnsiTheme="minorHAnsi" w:cstheme="minorHAnsi"/>
          <w:color w:val="000000"/>
          <w:shd w:val="clear" w:color="auto" w:fill="FFFFFF"/>
        </w:rPr>
        <w:t xml:space="preserve">: Chronic thromboembolic pulmonary hypertension (CTEPH) is an uncommon complication of acute pulmonary emboli necessitating lifelong anticoagulation. Despite this, little data exists on the safety and efficacy of Vitamin K Antagonists (VKAs) in CTEPH and none for Direct Oral Anticoagulants (DOACs).  </w:t>
      </w:r>
    </w:p>
    <w:p w14:paraId="5190434C" w14:textId="77777777" w:rsidR="004A143B" w:rsidRPr="00397AA7" w:rsidRDefault="004A143B" w:rsidP="00A04A32">
      <w:pPr>
        <w:spacing w:line="480" w:lineRule="auto"/>
        <w:jc w:val="both"/>
        <w:rPr>
          <w:rFonts w:asciiTheme="minorHAnsi" w:hAnsiTheme="minorHAnsi" w:cstheme="minorHAnsi"/>
          <w:color w:val="000000"/>
          <w:shd w:val="clear" w:color="auto" w:fill="FFFFFF"/>
        </w:rPr>
      </w:pPr>
      <w:r w:rsidRPr="00397AA7">
        <w:rPr>
          <w:rFonts w:asciiTheme="minorHAnsi" w:hAnsiTheme="minorHAnsi" w:cstheme="minorHAnsi"/>
          <w:b/>
          <w:color w:val="000000"/>
          <w:shd w:val="clear" w:color="auto" w:fill="FFFFFF"/>
        </w:rPr>
        <w:t xml:space="preserve">Objectives: </w:t>
      </w:r>
      <w:r w:rsidRPr="00397AA7">
        <w:rPr>
          <w:rFonts w:asciiTheme="minorHAnsi" w:hAnsiTheme="minorHAnsi" w:cstheme="minorHAnsi"/>
          <w:color w:val="000000"/>
          <w:shd w:val="clear" w:color="auto" w:fill="FFFFFF"/>
        </w:rPr>
        <w:t>To evaluate outcomes and complication rates in CTEPH following Pulmonary Endarterectomy (PEA) for individuals receiving VKAs or DOACs.</w:t>
      </w:r>
    </w:p>
    <w:p w14:paraId="2AED98B8" w14:textId="25B2F7B0" w:rsidR="004A143B" w:rsidRPr="00397AA7" w:rsidRDefault="004A143B" w:rsidP="00A04A32">
      <w:pPr>
        <w:spacing w:line="480" w:lineRule="auto"/>
        <w:jc w:val="both"/>
        <w:rPr>
          <w:rFonts w:asciiTheme="minorHAnsi" w:hAnsiTheme="minorHAnsi" w:cstheme="minorHAnsi"/>
          <w:color w:val="000000"/>
          <w:shd w:val="clear" w:color="auto" w:fill="FFFFFF"/>
        </w:rPr>
      </w:pPr>
      <w:r w:rsidRPr="00397AA7">
        <w:rPr>
          <w:rFonts w:asciiTheme="minorHAnsi" w:hAnsiTheme="minorHAnsi" w:cstheme="minorHAnsi"/>
          <w:b/>
          <w:color w:val="000000"/>
          <w:shd w:val="clear" w:color="auto" w:fill="FFFFFF"/>
        </w:rPr>
        <w:t xml:space="preserve">Methods: </w:t>
      </w:r>
      <w:r w:rsidRPr="00397AA7">
        <w:rPr>
          <w:rFonts w:asciiTheme="minorHAnsi" w:hAnsiTheme="minorHAnsi" w:cstheme="minorHAnsi"/>
          <w:color w:val="000000"/>
          <w:shd w:val="clear" w:color="auto" w:fill="FFFFFF"/>
        </w:rPr>
        <w:t xml:space="preserve">Consecutive CTEPH patients undergoing PEA between 2007 and 2018 were included in a retrospective analysis. Post-operative outcomes, recurrent venous thromboembolism (VTE) and bleeding events were obtained from patient medical records. </w:t>
      </w:r>
    </w:p>
    <w:p w14:paraId="359999FC" w14:textId="323A6CBC" w:rsidR="004A143B" w:rsidRPr="00397AA7" w:rsidRDefault="004A143B" w:rsidP="00A04A32">
      <w:pPr>
        <w:spacing w:line="480" w:lineRule="auto"/>
        <w:jc w:val="both"/>
        <w:rPr>
          <w:rFonts w:asciiTheme="minorHAnsi" w:hAnsiTheme="minorHAnsi" w:cstheme="minorHAnsi"/>
          <w:color w:val="000000" w:themeColor="text1"/>
          <w:shd w:val="clear" w:color="auto" w:fill="FFFFFF"/>
        </w:rPr>
      </w:pPr>
      <w:r w:rsidRPr="00397AA7">
        <w:rPr>
          <w:rFonts w:asciiTheme="minorHAnsi" w:hAnsiTheme="minorHAnsi" w:cstheme="minorHAnsi"/>
          <w:b/>
          <w:color w:val="000000"/>
          <w:shd w:val="clear" w:color="auto" w:fill="FFFFFF"/>
        </w:rPr>
        <w:t xml:space="preserve">Results: </w:t>
      </w:r>
      <w:r w:rsidRPr="00397AA7">
        <w:rPr>
          <w:rFonts w:asciiTheme="minorHAnsi" w:hAnsiTheme="minorHAnsi" w:cstheme="minorHAnsi"/>
          <w:color w:val="000000"/>
          <w:shd w:val="clear" w:color="auto" w:fill="FFFFFF"/>
        </w:rPr>
        <w:t>794 individuals were treated with VKAs and 206 with DOACs following PEA. Mean observation period was 612 (SD</w:t>
      </w:r>
      <w:r w:rsidR="00256D9F" w:rsidRPr="00397AA7">
        <w:rPr>
          <w:rFonts w:asciiTheme="minorHAnsi" w:hAnsiTheme="minorHAnsi" w:cstheme="minorHAnsi"/>
          <w:color w:val="000000"/>
          <w:shd w:val="clear" w:color="auto" w:fill="FFFFFF"/>
        </w:rPr>
        <w:t>:</w:t>
      </w:r>
      <w:r w:rsidRPr="00397AA7">
        <w:rPr>
          <w:rFonts w:asciiTheme="minorHAnsi" w:hAnsiTheme="minorHAnsi" w:cstheme="minorHAnsi"/>
          <w:color w:val="000000"/>
          <w:shd w:val="clear" w:color="auto" w:fill="FFFFFF"/>
        </w:rPr>
        <w:t xml:space="preserve"> 702) days. Significant improvements in haemodynamics and functional status were observed in both groups following PEA (p &lt; 0.001). Major bleeding events were equivalent (p = 1)</w:t>
      </w:r>
      <w:r w:rsidRPr="00397AA7">
        <w:rPr>
          <w:rFonts w:asciiTheme="minorHAnsi" w:hAnsiTheme="minorHAnsi" w:cstheme="minorHAnsi"/>
          <w:color w:val="000000" w:themeColor="text1"/>
          <w:shd w:val="clear" w:color="auto" w:fill="FFFFFF"/>
        </w:rPr>
        <w:t xml:space="preserve"> in those treated with VKAs (0.67%/person-year) and DOACs (0.68%/person-year). VTE recurrence was proportionately higher (p = 0.008) with DOACs (4.62%/person-year) than VKAs (0.76%/person-year), although survival did not differ. </w:t>
      </w:r>
      <w:r w:rsidRPr="00397AA7">
        <w:rPr>
          <w:rFonts w:asciiTheme="minorHAnsi" w:hAnsiTheme="minorHAnsi" w:cstheme="minorHAnsi"/>
          <w:color w:val="FF0000"/>
          <w:shd w:val="clear" w:color="auto" w:fill="FFFFFF"/>
        </w:rPr>
        <w:t xml:space="preserve"> </w:t>
      </w:r>
    </w:p>
    <w:p w14:paraId="3D71B7FA" w14:textId="3A8F3054" w:rsidR="00307686" w:rsidRPr="00397AA7" w:rsidRDefault="00307686" w:rsidP="00A04A32">
      <w:pPr>
        <w:spacing w:line="480" w:lineRule="auto"/>
        <w:jc w:val="both"/>
        <w:rPr>
          <w:rFonts w:asciiTheme="minorHAnsi" w:hAnsiTheme="minorHAnsi" w:cstheme="minorHAnsi"/>
        </w:rPr>
      </w:pPr>
      <w:r w:rsidRPr="00397AA7">
        <w:rPr>
          <w:rFonts w:asciiTheme="minorHAnsi" w:hAnsiTheme="minorHAnsi" w:cstheme="minorHAnsi"/>
          <w:b/>
          <w:color w:val="000000"/>
          <w:shd w:val="clear" w:color="auto" w:fill="FFFFFF"/>
        </w:rPr>
        <w:t>Conclusions</w:t>
      </w:r>
      <w:r w:rsidRPr="00397AA7">
        <w:rPr>
          <w:rFonts w:asciiTheme="minorHAnsi" w:hAnsiTheme="minorHAnsi" w:cstheme="minorHAnsi"/>
          <w:i/>
          <w:color w:val="000000"/>
          <w:shd w:val="clear" w:color="auto" w:fill="FFFFFF"/>
        </w:rPr>
        <w:t xml:space="preserve">: </w:t>
      </w:r>
      <w:r w:rsidRPr="00397AA7">
        <w:rPr>
          <w:rFonts w:asciiTheme="minorHAnsi" w:hAnsiTheme="minorHAnsi" w:cstheme="minorHAnsi"/>
          <w:color w:val="000000"/>
          <w:shd w:val="clear" w:color="auto" w:fill="FFFFFF"/>
        </w:rPr>
        <w:t>Post</w:t>
      </w:r>
      <w:r w:rsidR="004A143B" w:rsidRPr="00397AA7">
        <w:rPr>
          <w:rFonts w:asciiTheme="minorHAnsi" w:hAnsiTheme="minorHAnsi" w:cstheme="minorHAnsi"/>
          <w:color w:val="000000"/>
          <w:shd w:val="clear" w:color="auto" w:fill="FFFFFF"/>
        </w:rPr>
        <w:t>-</w:t>
      </w:r>
      <w:r w:rsidRPr="00397AA7">
        <w:rPr>
          <w:rFonts w:asciiTheme="minorHAnsi" w:hAnsiTheme="minorHAnsi" w:cstheme="minorHAnsi"/>
          <w:color w:val="000000"/>
          <w:shd w:val="clear" w:color="auto" w:fill="FFFFFF"/>
        </w:rPr>
        <w:t xml:space="preserve">PEA functional and haemodynamic outcomes appear unaffected by anticoagulant choice. </w:t>
      </w:r>
      <w:r w:rsidRPr="00397AA7">
        <w:rPr>
          <w:rFonts w:asciiTheme="minorHAnsi" w:hAnsiTheme="minorHAnsi" w:cstheme="minorHAnsi"/>
        </w:rPr>
        <w:t xml:space="preserve">Bleeding events were similar, but recurrent VTE rates significantly higher in those receiving DOACs.  Our study provides a strong rationale for </w:t>
      </w:r>
      <w:r w:rsidR="00952DAA" w:rsidRPr="00397AA7">
        <w:rPr>
          <w:rFonts w:asciiTheme="minorHAnsi" w:hAnsiTheme="minorHAnsi" w:cstheme="minorHAnsi"/>
        </w:rPr>
        <w:t xml:space="preserve">prospective </w:t>
      </w:r>
      <w:r w:rsidRPr="00397AA7">
        <w:rPr>
          <w:rFonts w:asciiTheme="minorHAnsi" w:hAnsiTheme="minorHAnsi" w:cstheme="minorHAnsi"/>
        </w:rPr>
        <w:t xml:space="preserve">registry data </w:t>
      </w:r>
      <w:r w:rsidR="00952DAA" w:rsidRPr="00397AA7">
        <w:rPr>
          <w:rFonts w:asciiTheme="minorHAnsi" w:hAnsiTheme="minorHAnsi" w:cstheme="minorHAnsi"/>
        </w:rPr>
        <w:t>and/</w:t>
      </w:r>
      <w:r w:rsidRPr="00397AA7">
        <w:rPr>
          <w:rFonts w:asciiTheme="minorHAnsi" w:hAnsiTheme="minorHAnsi" w:cstheme="minorHAnsi"/>
        </w:rPr>
        <w:t xml:space="preserve">or studies to evaluate the safety of DOACs in CTEPH. </w:t>
      </w:r>
    </w:p>
    <w:p w14:paraId="0EACC420" w14:textId="4DB3C359" w:rsidR="00307686" w:rsidRPr="00397AA7" w:rsidRDefault="00307686" w:rsidP="00A04A32">
      <w:pPr>
        <w:spacing w:line="480" w:lineRule="auto"/>
        <w:jc w:val="both"/>
        <w:rPr>
          <w:rFonts w:asciiTheme="minorHAnsi" w:hAnsiTheme="minorHAnsi" w:cstheme="minorHAnsi"/>
          <w:color w:val="000000" w:themeColor="text1"/>
        </w:rPr>
      </w:pPr>
    </w:p>
    <w:p w14:paraId="5E5EB917" w14:textId="5977023A" w:rsidR="004A143B" w:rsidRPr="00397AA7" w:rsidRDefault="004A143B" w:rsidP="00A04A32">
      <w:pPr>
        <w:spacing w:line="480" w:lineRule="auto"/>
        <w:jc w:val="both"/>
        <w:rPr>
          <w:rFonts w:asciiTheme="minorHAnsi" w:hAnsiTheme="minorHAnsi" w:cstheme="minorHAnsi"/>
          <w:color w:val="000000" w:themeColor="text1"/>
        </w:rPr>
      </w:pPr>
      <w:r w:rsidRPr="00397AA7">
        <w:rPr>
          <w:rFonts w:asciiTheme="minorHAnsi" w:hAnsiTheme="minorHAnsi" w:cstheme="minorHAnsi"/>
          <w:b/>
          <w:color w:val="000000" w:themeColor="text1"/>
        </w:rPr>
        <w:t xml:space="preserve">Keywords: </w:t>
      </w:r>
      <w:r w:rsidRPr="00397AA7">
        <w:rPr>
          <w:rFonts w:asciiTheme="minorHAnsi" w:hAnsiTheme="minorHAnsi" w:cstheme="minorHAnsi"/>
          <w:color w:val="000000" w:themeColor="text1"/>
        </w:rPr>
        <w:t xml:space="preserve">Anticoagulant, complications, pulmonary hypertension, </w:t>
      </w:r>
      <w:r w:rsidR="006E3E1B" w:rsidRPr="00397AA7">
        <w:rPr>
          <w:rFonts w:asciiTheme="minorHAnsi" w:hAnsiTheme="minorHAnsi" w:cstheme="minorHAnsi"/>
          <w:color w:val="000000" w:themeColor="text1"/>
        </w:rPr>
        <w:t xml:space="preserve">venous thromboembolism, </w:t>
      </w:r>
      <w:r w:rsidRPr="00397AA7">
        <w:rPr>
          <w:rFonts w:asciiTheme="minorHAnsi" w:hAnsiTheme="minorHAnsi" w:cstheme="minorHAnsi"/>
          <w:color w:val="000000" w:themeColor="text1"/>
        </w:rPr>
        <w:t>warfarin</w:t>
      </w:r>
    </w:p>
    <w:p w14:paraId="0510ABA5" w14:textId="77777777" w:rsidR="004A143B" w:rsidRPr="00397AA7" w:rsidRDefault="004A143B" w:rsidP="00A04A32">
      <w:pPr>
        <w:spacing w:line="480" w:lineRule="auto"/>
        <w:jc w:val="both"/>
        <w:rPr>
          <w:rFonts w:asciiTheme="minorHAnsi" w:hAnsiTheme="minorHAnsi" w:cstheme="minorHAnsi"/>
          <w:b/>
          <w:color w:val="000000" w:themeColor="text1"/>
        </w:rPr>
      </w:pPr>
    </w:p>
    <w:p w14:paraId="77DC137C" w14:textId="50E480AB" w:rsidR="004A143B" w:rsidRPr="00397AA7" w:rsidRDefault="004A143B" w:rsidP="00A04A32">
      <w:pPr>
        <w:spacing w:line="480" w:lineRule="auto"/>
        <w:jc w:val="both"/>
        <w:rPr>
          <w:rFonts w:asciiTheme="minorHAnsi" w:hAnsiTheme="minorHAnsi" w:cstheme="minorHAnsi"/>
          <w:color w:val="000000" w:themeColor="text1"/>
        </w:rPr>
      </w:pPr>
    </w:p>
    <w:p w14:paraId="1F2E383B" w14:textId="77777777" w:rsidR="0038150B" w:rsidRPr="00397AA7" w:rsidRDefault="0038150B" w:rsidP="00A04A32">
      <w:pPr>
        <w:spacing w:line="480" w:lineRule="auto"/>
        <w:jc w:val="both"/>
        <w:outlineLvl w:val="0"/>
        <w:rPr>
          <w:rFonts w:asciiTheme="minorHAnsi" w:hAnsiTheme="minorHAnsi" w:cstheme="minorHAnsi"/>
          <w:b/>
        </w:rPr>
      </w:pPr>
      <w:r w:rsidRPr="00397AA7">
        <w:rPr>
          <w:rFonts w:asciiTheme="minorHAnsi" w:hAnsiTheme="minorHAnsi" w:cstheme="minorHAnsi"/>
          <w:b/>
        </w:rPr>
        <w:t xml:space="preserve">Introduction </w:t>
      </w:r>
    </w:p>
    <w:p w14:paraId="0D7D483C" w14:textId="5B351733" w:rsidR="00802B87" w:rsidRPr="00397AA7" w:rsidRDefault="0038150B" w:rsidP="00A04A32">
      <w:pPr>
        <w:spacing w:line="480" w:lineRule="auto"/>
        <w:jc w:val="both"/>
        <w:rPr>
          <w:rFonts w:asciiTheme="minorHAnsi" w:hAnsiTheme="minorHAnsi" w:cstheme="minorHAnsi"/>
        </w:rPr>
      </w:pPr>
      <w:r w:rsidRPr="00397AA7">
        <w:rPr>
          <w:rFonts w:asciiTheme="minorHAnsi" w:hAnsiTheme="minorHAnsi" w:cstheme="minorHAnsi"/>
        </w:rPr>
        <w:t xml:space="preserve">Chronic thromboembolic pulmonary hypertension (CTEPH) is </w:t>
      </w:r>
      <w:r w:rsidR="003C2D74" w:rsidRPr="00397AA7">
        <w:rPr>
          <w:rFonts w:asciiTheme="minorHAnsi" w:hAnsiTheme="minorHAnsi" w:cstheme="minorHAnsi"/>
        </w:rPr>
        <w:t>an uncommon</w:t>
      </w:r>
      <w:r w:rsidRPr="00397AA7">
        <w:rPr>
          <w:rFonts w:asciiTheme="minorHAnsi" w:hAnsiTheme="minorHAnsi" w:cstheme="minorHAnsi"/>
        </w:rPr>
        <w:t xml:space="preserve"> complication of acute pulmonary embolism</w:t>
      </w:r>
      <w:r w:rsidR="00511EEA" w:rsidRPr="00397AA7">
        <w:rPr>
          <w:rFonts w:asciiTheme="minorHAnsi" w:hAnsiTheme="minorHAnsi" w:cstheme="minorHAnsi"/>
        </w:rPr>
        <w:t xml:space="preserve"> [</w:t>
      </w:r>
      <w:r w:rsidR="00C23B9A" w:rsidRPr="00397AA7">
        <w:rPr>
          <w:rFonts w:asciiTheme="minorHAnsi" w:hAnsiTheme="minorHAnsi" w:cstheme="minorHAnsi"/>
        </w:rPr>
        <w:fldChar w:fldCharType="begin" w:fldLock="1"/>
      </w:r>
      <w:r w:rsidR="006A1EA5" w:rsidRPr="00397AA7">
        <w:rPr>
          <w:rFonts w:asciiTheme="minorHAnsi" w:hAnsiTheme="minorHAnsi" w:cstheme="minorHAnsi"/>
        </w:rPr>
        <w:instrText xml:space="preserve">ADDIN CSL_CITATION {"citationItems":[{"id":"ITEM-1","itemData":{"DOI":"10.1183/13993003.01792-2016","ISSN":"1399-3003","PMID":"28232411","abstract":"The incidence of chronic thromboembolic pulmonary hypertension (CTEPH) after pulmonary embolism (PE) is relevant for management decisions but is currently unknown.We performed a meta-analysis of studies including consecutive PE patients followed for CTEPH. Study cohorts were predefined as \"all comers\", \"survivors\" or \"survivors without major comorbidities\". CTEPH incidences were calculated using random effects models.We selected 16 studies totalling 4047 PE patients who were mostly followed up for &gt;2-years. In 1186 all comers (two studies), the pooled CTEPH incidence was 0.56% (95% CI 0.1-1.0). In 999 survivors (four studies) CTEPH incidence was 3.2% (95% CI 2.0-4.4). In 1775 survivors without major comorbidities (nine studies), CTEPH incidence was 2.8% (95% CI 1.5-4.1). Both recurrent venous thromboembolism and unprovoked PE were significantly associated with a higher risk of CTEPH, with odds ratios of 3.2 (95% CI 1.7-5.9) and 4.1 (95% CI 2.1-8.2) respectively. The pooled CTEPH incidence in 12 studies that did not use right heart catheterisation as the diagnostic standard was 6.3% (95% CI 4.1-8.4).The 0.56% incidence in the all-comer group probably provides the best reflection of the incidence of CTEPH after PE on the population level. The </w:instrText>
      </w:r>
      <w:r w:rsidR="006A1EA5" w:rsidRPr="00397AA7">
        <w:rPr>
          <w:rFonts w:ascii="Cambria Math" w:eastAsia="MS Mincho" w:hAnsi="Cambria Math" w:cs="Cambria Math"/>
        </w:rPr>
        <w:instrText>∼</w:instrText>
      </w:r>
      <w:r w:rsidR="006A1EA5" w:rsidRPr="00397AA7">
        <w:rPr>
          <w:rFonts w:asciiTheme="minorHAnsi" w:hAnsiTheme="minorHAnsi" w:cstheme="minorHAnsi"/>
        </w:rPr>
        <w:instrText>3% incidences in the survivor categories may be more relevant for daily clinical practice. Studies that assessed CTEPH diagnosis by tests other than right heart catheterisation provide overestimated CTEPH incidences.","author":[{"dropping-particle":"","family":"Ende-Verhaar","given":"Yvonne M","non-dropping-particle":"","parse-names":false,"suffix":""},{"dropping-particle":"","family":"Cannegieter","given":"Suzanne C","non-dropping-particle":"","parse-names":false,"suffix":""},{"dropping-particle":"","family":"Vonk Noordegraaf","given":"Anton","non-dropping-particle":"","parse-names":false,"suffix":""},{"dropping-particle":"","family":"Delcroix","given":"Marion","non-dropping-particle":"","parse-names":false,"suffix":""},{"dropping-particle":"","family":"Pruszczyk","given":"Piotr","non-dropping-particle":"","parse-names":false,"suffix":""},{"dropping-particle":"","family":"Mairuhu","given":"Albert T A","non-dropping-particle":"","parse-names":false,"suffix":""},{"dropping-particle":"V","family":"Huisman","given":"Menno","non-dropping-particle":"","parse-names":false,"suffix":""},{"dropping-particle":"","family":"Klok","given":"Frederikus A","non-dropping-particle":"","parse-names":false,"suffix":""}],"container-title":"The European respiratory journal","id":"ITEM-1","issue":"2","issued":{"date-parts":[["2017"]]},"page":"1601792","title":"Incidence of chronic thromboembolic pulmonary hypertension after acute pulmonary embolism: a contemporary view of the published literature.","type":"article-journal","volume":"49"},"uris":["http://www.mendeley.com/documents/?uuid=90f2d3c6-c54d-4e89-9d89-7b9ea78dd2ec"]}],"mendeley":{"formattedCitation":"&lt;sup&gt;1&lt;/sup&gt;","plainTextFormattedCitation":"1","previouslyFormattedCitation":"&lt;sup&gt;1&lt;/sup&gt;"},"properties":{"noteIndex":0},"schema":"https://github.com/citation-style-language/schema/raw/master/csl-citation.json"}</w:instrText>
      </w:r>
      <w:r w:rsidR="00C23B9A" w:rsidRPr="00397AA7">
        <w:rPr>
          <w:rFonts w:asciiTheme="minorHAnsi" w:hAnsiTheme="minorHAnsi" w:cstheme="minorHAnsi"/>
        </w:rPr>
        <w:fldChar w:fldCharType="separate"/>
      </w:r>
      <w:r w:rsidR="00C23B9A" w:rsidRPr="00397AA7">
        <w:rPr>
          <w:rFonts w:asciiTheme="minorHAnsi" w:hAnsiTheme="minorHAnsi" w:cstheme="minorHAnsi"/>
          <w:noProof/>
        </w:rPr>
        <w:t>1</w:t>
      </w:r>
      <w:r w:rsidR="00C23B9A" w:rsidRPr="00397AA7">
        <w:rPr>
          <w:rFonts w:asciiTheme="minorHAnsi" w:hAnsiTheme="minorHAnsi" w:cstheme="minorHAnsi"/>
        </w:rPr>
        <w:fldChar w:fldCharType="end"/>
      </w:r>
      <w:r w:rsidR="00511EEA" w:rsidRPr="00397AA7">
        <w:rPr>
          <w:rFonts w:asciiTheme="minorHAnsi" w:hAnsiTheme="minorHAnsi" w:cstheme="minorHAnsi"/>
        </w:rPr>
        <w:t>]</w:t>
      </w:r>
      <w:r w:rsidR="00EF120B" w:rsidRPr="00397AA7">
        <w:rPr>
          <w:rFonts w:asciiTheme="minorHAnsi" w:hAnsiTheme="minorHAnsi" w:cstheme="minorHAnsi"/>
        </w:rPr>
        <w:t xml:space="preserve">. It is </w:t>
      </w:r>
      <w:r w:rsidRPr="00397AA7">
        <w:rPr>
          <w:rFonts w:asciiTheme="minorHAnsi" w:hAnsiTheme="minorHAnsi" w:cstheme="minorHAnsi"/>
        </w:rPr>
        <w:t xml:space="preserve">characterised by </w:t>
      </w:r>
      <w:r w:rsidR="00EF120B" w:rsidRPr="00397AA7">
        <w:rPr>
          <w:rFonts w:asciiTheme="minorHAnsi" w:hAnsiTheme="minorHAnsi" w:cstheme="minorHAnsi"/>
        </w:rPr>
        <w:t>the</w:t>
      </w:r>
      <w:r w:rsidR="000516F0" w:rsidRPr="00397AA7">
        <w:rPr>
          <w:rFonts w:asciiTheme="minorHAnsi" w:hAnsiTheme="minorHAnsi" w:cstheme="minorHAnsi"/>
        </w:rPr>
        <w:t xml:space="preserve"> elevat</w:t>
      </w:r>
      <w:r w:rsidR="00EF120B" w:rsidRPr="00397AA7">
        <w:rPr>
          <w:rFonts w:asciiTheme="minorHAnsi" w:hAnsiTheme="minorHAnsi" w:cstheme="minorHAnsi"/>
        </w:rPr>
        <w:t>ion of</w:t>
      </w:r>
      <w:r w:rsidRPr="00397AA7">
        <w:rPr>
          <w:rFonts w:asciiTheme="minorHAnsi" w:hAnsiTheme="minorHAnsi" w:cstheme="minorHAnsi"/>
        </w:rPr>
        <w:t xml:space="preserve"> mean pulmonary artery pressure</w:t>
      </w:r>
      <w:r w:rsidR="000516F0" w:rsidRPr="00397AA7">
        <w:rPr>
          <w:rFonts w:asciiTheme="minorHAnsi" w:hAnsiTheme="minorHAnsi" w:cstheme="minorHAnsi"/>
        </w:rPr>
        <w:t xml:space="preserve"> </w:t>
      </w:r>
      <w:r w:rsidRPr="00397AA7">
        <w:rPr>
          <w:rFonts w:asciiTheme="minorHAnsi" w:hAnsiTheme="minorHAnsi" w:cstheme="minorHAnsi"/>
        </w:rPr>
        <w:t>in the presence of organised occlusive thromboemboli in the pulmonary arteries following at least three months of effective anticoagulation</w:t>
      </w:r>
      <w:r w:rsidR="00DA2276" w:rsidRPr="00397AA7">
        <w:rPr>
          <w:rFonts w:asciiTheme="minorHAnsi" w:hAnsiTheme="minorHAnsi" w:cstheme="minorHAnsi"/>
        </w:rPr>
        <w:t xml:space="preserve"> [</w:t>
      </w:r>
      <w:r w:rsidR="00DA2276" w:rsidRPr="00397AA7">
        <w:rPr>
          <w:rFonts w:asciiTheme="minorHAnsi" w:hAnsiTheme="minorHAnsi" w:cstheme="minorHAnsi"/>
        </w:rPr>
        <w:fldChar w:fldCharType="begin" w:fldLock="1"/>
      </w:r>
      <w:r w:rsidR="00DA2276" w:rsidRPr="00397AA7">
        <w:rPr>
          <w:rFonts w:asciiTheme="minorHAnsi" w:hAnsiTheme="minorHAnsi" w:cstheme="minorHAnsi"/>
        </w:rPr>
        <w:instrText xml:space="preserve">ADDIN CSL_CITATION {"citationItems":[{"id":"ITEM-1","itemData":{"DOI":"10.1183/13993003.01792-2016","ISSN":"1399-3003","PMID":"28232411","abstract":"The incidence of chronic thromboembolic pulmonary hypertension (CTEPH) after pulmonary embolism (PE) is relevant for management decisions but is currently unknown.We performed a meta-analysis of studies including consecutive PE patients followed for CTEPH. Study cohorts were predefined as \"all comers\", \"survivors\" or \"survivors without major comorbidities\". CTEPH incidences were calculated using random effects models.We selected 16 studies totalling 4047 PE patients who were mostly followed up for &gt;2-years. In 1186 all comers (two studies), the pooled CTEPH incidence was 0.56% (95% CI 0.1-1.0). In 999 survivors (four studies) CTEPH incidence was 3.2% (95% CI 2.0-4.4). In 1775 survivors without major comorbidities (nine studies), CTEPH incidence was 2.8% (95% CI 1.5-4.1). Both recurrent venous thromboembolism and unprovoked PE were significantly associated with a higher risk of CTEPH, with odds ratios of 3.2 (95% CI 1.7-5.9) and 4.1 (95% CI 2.1-8.2) respectively. The pooled CTEPH incidence in 12 studies that did not use right heart catheterisation as the diagnostic standard was 6.3% (95% CI 4.1-8.4).The 0.56% incidence in the all-comer group probably provides the best reflection of the incidence of CTEPH after PE on the population level. The </w:instrText>
      </w:r>
      <w:r w:rsidR="00DA2276" w:rsidRPr="00397AA7">
        <w:rPr>
          <w:rFonts w:ascii="Cambria Math" w:eastAsia="MS Mincho" w:hAnsi="Cambria Math" w:cs="Cambria Math"/>
        </w:rPr>
        <w:instrText>∼</w:instrText>
      </w:r>
      <w:r w:rsidR="00DA2276" w:rsidRPr="00397AA7">
        <w:rPr>
          <w:rFonts w:asciiTheme="minorHAnsi" w:hAnsiTheme="minorHAnsi" w:cstheme="minorHAnsi"/>
        </w:rPr>
        <w:instrText>3% incidences in the survivor categories may be more relevant for daily clinical practice. Studies that assessed CTEPH diagnosis by tests other than right heart catheterisation provide overestimated CTEPH incidences.","author":[{"dropping-particle":"","family":"Ende-Verhaar","given":"Yvonne M","non-dropping-particle":"","parse-names":false,"suffix":""},{"dropping-particle":"","family":"Cannegieter","given":"Suzanne C","non-dropping-particle":"","parse-names":false,"suffix":""},{"dropping-particle":"","family":"Vonk Noordegraaf","given":"Anton","non-dropping-particle":"","parse-names":false,"suffix":""},{"dropping-particle":"","family":"Delcroix","given":"Marion","non-dropping-particle":"","parse-names":false,"suffix":""},{"dropping-particle":"","family":"Pruszczyk","given":"Piotr","non-dropping-particle":"","parse-names":false,"suffix":""},{"dropping-particle":"","family":"Mairuhu","given":"Albert T A","non-dropping-particle":"","parse-names":false,"suffix":""},{"dropping-particle":"V","family":"Huisman","given":"Menno","non-dropping-particle":"","parse-names":false,"suffix":""},{"dropping-particle":"","family":"Klok","given":"Frederikus A","non-dropping-particle":"","parse-names":false,"suffix":""}],"container-title":"The European respiratory journal","id":"ITEM-1","issue":"2","issued":{"date-parts":[["2017"]]},"page":"1601792","title":"Incidence of chronic thromboembolic pulmonary hypertension after acute pulmonary embolism: a contemporary view of the published literature.","type":"article-journal","volume":"49"},"uris":["http://www.mendeley.com/documents/?uuid=90f2d3c6-c54d-4e89-9d89-7b9ea78dd2ec"]}],"mendeley":{"formattedCitation":"&lt;sup&gt;1&lt;/sup&gt;","plainTextFormattedCitation":"1","previouslyFormattedCitation":"&lt;sup&gt;1&lt;/sup&gt;"},"properties":{"noteIndex":0},"schema":"https://github.com/citation-style-language/schema/raw/master/csl-citation.json"}</w:instrText>
      </w:r>
      <w:r w:rsidR="00DA2276" w:rsidRPr="00397AA7">
        <w:rPr>
          <w:rFonts w:asciiTheme="minorHAnsi" w:hAnsiTheme="minorHAnsi" w:cstheme="minorHAnsi"/>
        </w:rPr>
        <w:fldChar w:fldCharType="separate"/>
      </w:r>
      <w:r w:rsidR="00DA2276" w:rsidRPr="00397AA7">
        <w:rPr>
          <w:rFonts w:asciiTheme="minorHAnsi" w:hAnsiTheme="minorHAnsi" w:cstheme="minorHAnsi"/>
          <w:noProof/>
        </w:rPr>
        <w:t>1</w:t>
      </w:r>
      <w:r w:rsidR="00DA2276" w:rsidRPr="00397AA7">
        <w:rPr>
          <w:rFonts w:asciiTheme="minorHAnsi" w:hAnsiTheme="minorHAnsi" w:cstheme="minorHAnsi"/>
        </w:rPr>
        <w:fldChar w:fldCharType="end"/>
      </w:r>
      <w:r w:rsidR="00DA2276" w:rsidRPr="00397AA7">
        <w:rPr>
          <w:rFonts w:asciiTheme="minorHAnsi" w:hAnsiTheme="minorHAnsi" w:cstheme="minorHAnsi"/>
        </w:rPr>
        <w:t>]</w:t>
      </w:r>
      <w:r w:rsidRPr="00397AA7">
        <w:rPr>
          <w:rFonts w:asciiTheme="minorHAnsi" w:hAnsiTheme="minorHAnsi" w:cstheme="minorHAnsi"/>
        </w:rPr>
        <w:t xml:space="preserve">. Pulmonary endarterectomy (PEA) is the </w:t>
      </w:r>
      <w:r w:rsidR="0051146C" w:rsidRPr="00397AA7">
        <w:rPr>
          <w:rFonts w:asciiTheme="minorHAnsi" w:hAnsiTheme="minorHAnsi" w:cstheme="minorHAnsi"/>
        </w:rPr>
        <w:t xml:space="preserve">treatment of choice </w:t>
      </w:r>
      <w:r w:rsidR="004508F3" w:rsidRPr="00397AA7">
        <w:rPr>
          <w:rFonts w:asciiTheme="minorHAnsi" w:hAnsiTheme="minorHAnsi" w:cstheme="minorHAnsi"/>
        </w:rPr>
        <w:t xml:space="preserve">in those with </w:t>
      </w:r>
      <w:r w:rsidR="00680508" w:rsidRPr="00397AA7">
        <w:rPr>
          <w:rFonts w:asciiTheme="minorHAnsi" w:hAnsiTheme="minorHAnsi" w:cstheme="minorHAnsi"/>
          <w:color w:val="000000"/>
          <w:shd w:val="clear" w:color="auto" w:fill="FFFFFF"/>
        </w:rPr>
        <w:t>surgically accessible thrombi</w:t>
      </w:r>
      <w:r w:rsidR="00511EEA" w:rsidRPr="00397AA7">
        <w:rPr>
          <w:rFonts w:asciiTheme="minorHAnsi" w:hAnsiTheme="minorHAnsi" w:cstheme="minorHAnsi"/>
          <w:color w:val="000000"/>
          <w:shd w:val="clear" w:color="auto" w:fill="FFFFFF"/>
        </w:rPr>
        <w:t xml:space="preserve"> [</w:t>
      </w:r>
      <w:r w:rsidR="006E4C34" w:rsidRPr="00397AA7">
        <w:rPr>
          <w:rFonts w:asciiTheme="minorHAnsi" w:hAnsiTheme="minorHAnsi" w:cstheme="minorHAnsi"/>
          <w:color w:val="000000"/>
          <w:shd w:val="clear" w:color="auto" w:fill="FFFFFF"/>
        </w:rPr>
        <w:fldChar w:fldCharType="begin" w:fldLock="1"/>
      </w:r>
      <w:r w:rsidR="006A1EA5" w:rsidRPr="00397AA7">
        <w:rPr>
          <w:rFonts w:asciiTheme="minorHAnsi" w:hAnsiTheme="minorHAnsi" w:cstheme="minorHAnsi"/>
          <w:color w:val="000000"/>
          <w:shd w:val="clear" w:color="auto" w:fill="FFFFFF"/>
        </w:rPr>
        <w:instrText>ADDIN CSL_CITATION {"citationItems":[{"id":"ITEM-1","itemData":{"DOI":"10.1093/eurheartj/ehv317","ISBN":"1522-9645","ISSN":"0195-668X","PMID":"26320113","abstract":"ALAT : alanine aminotransferase ASAT : aspartate aminotransferase APAH : associated pulmonary arterial hypertension BAS : balloon atrial septostomy BMPR2 : bone morphogenetic protein receptor 2 BNP : brain natriuretic peptide BPA : balloon pulmonary angioplasty BREATHE : Bosentan Randomised trial of Endothelin Antagonist THErapy CAV1 : caveolin-1 CCB : calcium channel blocker cGMP : cyclic guanosine monophosphate CHD : congenital heart disease CI : cardiac index CMR : cardiac magnetic resonance CO : cardiac output COPD : chronic obstructive pulmonary disease Cpc-PH : combined post-capillary and pre-capillary pulmonary hypertension CPET : cardiopulmonary exercise testing CPFE : combined pulmonary fibrosis and emphysema CT : computed tomography CTD : connective tissue disease CTPA : computed tomography pulmonary angiogram CTEPH : chronic thromboembolic pulmonary hypertension DLCO : diffusing capacity of the lung for carbon monoxide DPAH : drug-induced pulmonary arterial hypertension DPG : diastolic pressure gradient (diastolic PAP − mean PAWP) EACVI : European association of cardiovascular imaging ECG : electrocardiogram ECMO : extracorporeal membrane oxygenation EIF2AK4 : eukaryotic translation initiation factor 2 alpha kinase 4 EMA : European Medicines Agency ERA : endothelin receptor antagonist FC : functional class FDA : US Food and Drug Administration HAART : highly active antiretroviral therapy HIV : human immunodeficiency virus HF-pEF : heart failure with preserved left ventricular ejection fraction HPAH : heritable pulmonary arterial hypertension HRCT : high resolution computed tomography ICU : intensive care unit INR : international normalized ratio IPAH : idiopathic pulmonary arterial hypertension Ipc-PH : isolated post-capillary pulmonary hypertension IPF : idiopathic pulmonary fibrosis i.v. : intravenous IVC : inferior vena cava LA : left atrium/atrial LHD : left heart disease LV : left ventricle/ventricular MR : magnetic resonance NYHA : New York Heart Association NO : nitric oxide NT-proBNP : N-terminal pro-brain natriuretic peptide PA : pulmonary artery PaCO2 : arterial carbon dioxide pressure PaO2 : arterial oxygen pressure PAH : pulmonary arterial hypertension PAP : pulmonary arterial pressure PAPm : mean pulmonary arterial pressure PAPs : systolic pulmonary arterial pressure PAWP : pulmonary artery wedge pressure PASP : pulmonary artery systolic pressure PCH : pulmonary capillary haemangiomatosis PDE-5i : phosphodiesterase type 5 inhibit…","author":[{"dropping-particle":"","family":"Galiè","given":"Nazzareno","non-dropping-particle":"","parse-names":false,"suffix":""},{"dropping-particle":"","family":"Humbert","given":"Marc","non-dropping-particle":"","parse-names":false,"suffix":""},{"dropping-particle":"","family":"Vachiery","given":"Jean-Luc","non-dropping-particle":"","parse-names":false,"suffix":""},{"dropping-particle":"","family":"Gibbs","given":"Simon","non-dropping-particle":"","parse-names":false,"suffix":""},{"dropping-particle":"","family":"Lang","given":"Irene","non-dropping-particle":"","parse-names":false,"suffix":""},{"dropping-particle":"","family":"Torbicki","given":"Adam","non-dropping-particle":"","parse-names":false,"suffix":""},{"dropping-particle":"","family":"Simonneau","given":"Gérald","non-dropping-particle":"","parse-names":false,"suffix":""},{"dropping-particle":"","family":"Peacock","given":"Andrew","non-dropping-particle":"","parse-names":false,"suffix":""},{"dropping-particle":"","family":"Vonk Noordegraaf","given":"Anton","non-dropping-particle":"","parse-names":false,"suffix":""},{"dropping-particle":"","family":"Beghetti","given":"Maurice","non-dropping-particle":"","parse-names":false,"suffix":""},{"dropping-particle":"","family":"Ghofrani","given":"Ardeschir","non-dropping-particle":"","parse-names":false,"suffix":""},{"dropping-particle":"","family":"Gomez Sanchez","given":"Miguel Angel","non-dropping-particle":"","parse-names":false,"suffix":""},{"dropping-particle":"","family":"Hansmann","given":"Georg","non-dropping-particle":"","parse-names":false,"suffix":""},{"dropping-particle":"","family":"Klepetko","given":"Walter","non-dropping-particle":"","parse-names":false,"suffix":""},{"dropping-particle":"","family":"Lancellotti","given":"Patrizio","non-dropping-particle":"","parse-names":false,"suffix":""},{"dropping-particle":"","family":"Matucci","given":"Marco","non-dropping-particle":"","parse-names":false,"suffix":""},{"dropping-particle":"","family":"McDonagh","given":"Theresa","non-dropping-particle":"","parse-names":false,"suffix":""},{"dropping-particle":"","family":"Pierard","given":"Luc A.","non-dropping-particle":"","parse-names":false,"suffix":""},{"dropping-particle":"","family":"Trindade","given":"Pedro T.","non-dropping-particle":"","parse-names":false,"suffix":""},{"dropping-particle":"","family":"Zompatori","given":"Maurizio","non-dropping-particle":"","parse-names":false,"suffix":""},{"dropping-particle":"","family":"Hoeper","given":"Marius","non-dropping-particle":"","parse-names":false,"suffix":""}],"container-title":"European Heart Journal","id":"ITEM-1","issue":"1","issued":{"date-parts":[["2016"]]},"page":"67-119","title":"2015 ESC/ERS Guidelines for the diagnosis and treatment of pulmonary hypertension","type":"article-journal","volume":"37"},"uris":["http://www.mendeley.com/documents/?uuid=2c807873-3d32-4389-b5c4-57ab6a6bd272"]}],"mendeley":{"formattedCitation":"&lt;sup&gt;2&lt;/sup&gt;","plainTextFormattedCitation":"2","previouslyFormattedCitation":"&lt;sup&gt;2&lt;/sup&gt;"},"properties":{"noteIndex":0},"schema":"https://github.com/citation-style-language/schema/raw/master/csl-citation.json"}</w:instrText>
      </w:r>
      <w:r w:rsidR="006E4C34" w:rsidRPr="00397AA7">
        <w:rPr>
          <w:rFonts w:asciiTheme="minorHAnsi" w:hAnsiTheme="minorHAnsi" w:cstheme="minorHAnsi"/>
          <w:color w:val="000000"/>
          <w:shd w:val="clear" w:color="auto" w:fill="FFFFFF"/>
        </w:rPr>
        <w:fldChar w:fldCharType="separate"/>
      </w:r>
      <w:r w:rsidR="00C23B9A" w:rsidRPr="00397AA7">
        <w:rPr>
          <w:rFonts w:asciiTheme="minorHAnsi" w:hAnsiTheme="minorHAnsi" w:cstheme="minorHAnsi"/>
          <w:noProof/>
          <w:color w:val="000000"/>
          <w:shd w:val="clear" w:color="auto" w:fill="FFFFFF"/>
        </w:rPr>
        <w:t>2</w:t>
      </w:r>
      <w:r w:rsidR="006E4C34" w:rsidRPr="00397AA7">
        <w:rPr>
          <w:rFonts w:asciiTheme="minorHAnsi" w:hAnsiTheme="minorHAnsi" w:cstheme="minorHAnsi"/>
          <w:color w:val="000000"/>
          <w:shd w:val="clear" w:color="auto" w:fill="FFFFFF"/>
        </w:rPr>
        <w:fldChar w:fldCharType="end"/>
      </w:r>
      <w:r w:rsidR="004508F3" w:rsidRPr="00397AA7">
        <w:rPr>
          <w:rFonts w:asciiTheme="minorHAnsi" w:hAnsiTheme="minorHAnsi" w:cstheme="minorHAnsi"/>
          <w:color w:val="000000"/>
          <w:shd w:val="clear" w:color="auto" w:fill="FFFFFF"/>
        </w:rPr>
        <w:t>,</w:t>
      </w:r>
      <w:r w:rsidR="004508F3" w:rsidRPr="00397AA7">
        <w:rPr>
          <w:rFonts w:asciiTheme="minorHAnsi" w:hAnsiTheme="minorHAnsi" w:cstheme="minorHAnsi"/>
          <w:color w:val="000000"/>
          <w:shd w:val="clear" w:color="auto" w:fill="FFFFFF"/>
        </w:rPr>
        <w:fldChar w:fldCharType="begin" w:fldLock="1"/>
      </w:r>
      <w:r w:rsidR="006A1EA5" w:rsidRPr="00397AA7">
        <w:rPr>
          <w:rFonts w:asciiTheme="minorHAnsi" w:hAnsiTheme="minorHAnsi" w:cstheme="minorHAnsi"/>
          <w:color w:val="000000"/>
          <w:shd w:val="clear" w:color="auto" w:fill="FFFFFF"/>
        </w:rPr>
        <w:instrText>ADDIN CSL_CITATION {"citationItems":[{"id":"ITEM-1","itemData":{"DOI":"10.1016/j.jacc.2013.10.024","ISBN":"1558-3597 (Electronic)\\r0735-1097 (Linking)","ISSN":"1558-3597","PMID":"24355646","abstract":"Since the last World Symposium on Pulmonary Hypertension in 2008, we have witnessed numerous and exciting developments in chronic thromboembolic pulmonary hypertension (CTEPH). Emerging clinical data and advances in technology have led to reinforcing and updated guidance on diagnostic approaches to pulmonary hypertension, guidelines that we hope will lead to better recognition and more timely diagnosis of CTEPH. We have new data on treatment practices across international boundaries as well as long-term outcomes for CTEPH patients treated with or without pulmonary endarterectomy. Furthermore, we have expanded data on alternative treatment options for select CTEPH patients, including data from multiple clinical trials of medical therapy, including 1 recent pivotal trial, and compelling case series of percutaneous pulmonary angioplasty. Lastly, we have garnered more experience, and on a larger international scale, with pulmonary endarterectomy, which is the treatment of choice for operable CTEPH. This report overviews and highlights these important interval developments as deliberated among our task force of CTEPH experts and presented at the 2013 World Symposium on Pulmonary Hypertension in Nice, France. (J Am Coll Cardiol 2013;62:D92–9) ª 2013 by the American College of Cardiology Foundation Chronic thromboembolic pulmonary hypertension (CTEPH) is a potentially curable cause of pulmonary hypertension (PH). In the previous 4th World Symposium on Pulmonary Hypertension at Dana Point, California, in 2008, this topic was addressed in 2 overlapping task forces: 1) Interventional and Surgical Modalities of Treatment in Pulmonary Hyper-tension; and 2) Diagnosis, Assessment, and Treatment of Non-PAH Pulmonary Hypertension (1,2). For the current symposium, a separate dedicated task force consisting of experts from both medical and surgical specialties was estab-lished to focus on this unique and important cause of PH. The goals of this task force were to provide key updates,","author":[{"dropping-particle":"","family":"Kim","given":"Nick H","non-dropping-particle":"","parse-names":false,"suffix":""},{"dropping-particle":"","family":"Delcroix","given":"Marion","non-dropping-particle":"","parse-names":false,"suffix":""},{"dropping-particle":"","family":"Jenkins","given":"David P","non-dropping-particle":"","parse-names":false,"suffix":""},{"dropping-particle":"","family":"Bs","given":"Mb","non-dropping-particle":"","parse-names":false,"suffix":""},{"dropping-particle":"","family":"Channick","given":"Richard","non-dropping-particle":"","parse-names":false,"suffix":""},{"dropping-particle":"","family":"Dartevelle","given":"Philippe","non-dropping-particle":"","parse-names":false,"suffix":""},{"dropping-particle":"","family":"Jansa","given":"Pavel","non-dropping-particle":"","parse-names":false,"suffix":""},{"dropping-particle":"","family":"Lang","given":"Irene","non-dropping-particle":"","parse-names":false,"suffix":""},{"dropping-particle":"","family":"Madani","given":"Michael M","non-dropping-particle":"","parse-names":false,"suffix":""},{"dropping-particle":"","family":"Ogino","given":"Hitoshi","non-dropping-particle":"","parse-names":false,"suffix":""},{"dropping-particle":"","family":"Pengo","given":"Vittorio","non-dropping-particle":"","parse-names":false,"suffix":""},{"dropping-particle":"","family":"Mayer","given":"Eckhard","non-dropping-particle":"","parse-names":false,"suffix":""}],"container-title":"Journal of the American College of Cardiology","id":"ITEM-1","issued":{"date-parts":[["2013"]]},"page":"D92-D99","title":"Chronic Thromboembolic Pulmonary Hypertension","type":"article-journal","volume":"62"},"uris":["http://www.mendeley.com/documents/?uuid=d69da23c-9d85-4175-9328-691beaaa1f04"]}],"mendeley":{"formattedCitation":"&lt;sup&gt;3&lt;/sup&gt;","plainTextFormattedCitation":"3","previouslyFormattedCitation":"&lt;sup&gt;3&lt;/sup&gt;"},"properties":{"noteIndex":0},"schema":"https://github.com/citation-style-language/schema/raw/master/csl-citation.json"}</w:instrText>
      </w:r>
      <w:r w:rsidR="004508F3" w:rsidRPr="00397AA7">
        <w:rPr>
          <w:rFonts w:asciiTheme="minorHAnsi" w:hAnsiTheme="minorHAnsi" w:cstheme="minorHAnsi"/>
          <w:color w:val="000000"/>
          <w:shd w:val="clear" w:color="auto" w:fill="FFFFFF"/>
        </w:rPr>
        <w:fldChar w:fldCharType="separate"/>
      </w:r>
      <w:r w:rsidR="00C23B9A" w:rsidRPr="00397AA7">
        <w:rPr>
          <w:rFonts w:asciiTheme="minorHAnsi" w:hAnsiTheme="minorHAnsi" w:cstheme="minorHAnsi"/>
          <w:noProof/>
          <w:color w:val="000000"/>
          <w:shd w:val="clear" w:color="auto" w:fill="FFFFFF"/>
        </w:rPr>
        <w:t>3</w:t>
      </w:r>
      <w:r w:rsidR="004508F3" w:rsidRPr="00397AA7">
        <w:rPr>
          <w:rFonts w:asciiTheme="minorHAnsi" w:hAnsiTheme="minorHAnsi" w:cstheme="minorHAnsi"/>
          <w:color w:val="000000"/>
          <w:shd w:val="clear" w:color="auto" w:fill="FFFFFF"/>
        </w:rPr>
        <w:fldChar w:fldCharType="end"/>
      </w:r>
      <w:r w:rsidR="00511EEA" w:rsidRPr="00397AA7">
        <w:rPr>
          <w:rFonts w:asciiTheme="minorHAnsi" w:hAnsiTheme="minorHAnsi" w:cstheme="minorHAnsi"/>
          <w:color w:val="000000"/>
          <w:shd w:val="clear" w:color="auto" w:fill="FFFFFF"/>
        </w:rPr>
        <w:t>].</w:t>
      </w:r>
      <w:r w:rsidRPr="00397AA7">
        <w:rPr>
          <w:rFonts w:asciiTheme="minorHAnsi" w:hAnsiTheme="minorHAnsi" w:cstheme="minorHAnsi"/>
        </w:rPr>
        <w:t xml:space="preserve"> Lifelong anticoagulation is recommended</w:t>
      </w:r>
      <w:r w:rsidR="00680508" w:rsidRPr="00397AA7">
        <w:rPr>
          <w:rFonts w:asciiTheme="minorHAnsi" w:hAnsiTheme="minorHAnsi" w:cstheme="minorHAnsi"/>
        </w:rPr>
        <w:t xml:space="preserve"> in all</w:t>
      </w:r>
      <w:r w:rsidR="00525A63" w:rsidRPr="00397AA7">
        <w:rPr>
          <w:rFonts w:asciiTheme="minorHAnsi" w:hAnsiTheme="minorHAnsi" w:cstheme="minorHAnsi"/>
          <w:vertAlign w:val="superscript"/>
        </w:rPr>
        <w:t xml:space="preserve"> </w:t>
      </w:r>
      <w:r w:rsidR="00511EEA" w:rsidRPr="00397AA7">
        <w:rPr>
          <w:rFonts w:asciiTheme="minorHAnsi" w:hAnsiTheme="minorHAnsi" w:cstheme="minorHAnsi"/>
        </w:rPr>
        <w:t>[</w:t>
      </w:r>
      <w:r w:rsidR="003574B0" w:rsidRPr="00397AA7">
        <w:rPr>
          <w:rFonts w:asciiTheme="minorHAnsi" w:hAnsiTheme="minorHAnsi" w:cstheme="minorHAnsi"/>
        </w:rPr>
        <w:t>2</w:t>
      </w:r>
      <w:r w:rsidR="006A52CF" w:rsidRPr="00397AA7">
        <w:rPr>
          <w:rFonts w:asciiTheme="minorHAnsi" w:hAnsiTheme="minorHAnsi" w:cstheme="minorHAnsi"/>
        </w:rPr>
        <w:t>,</w:t>
      </w:r>
      <w:r w:rsidR="003574B0" w:rsidRPr="00397AA7">
        <w:rPr>
          <w:rFonts w:asciiTheme="minorHAnsi" w:hAnsiTheme="minorHAnsi" w:cstheme="minorHAnsi"/>
        </w:rPr>
        <w:t>3</w:t>
      </w:r>
      <w:r w:rsidR="00511EEA" w:rsidRPr="00397AA7">
        <w:rPr>
          <w:rFonts w:asciiTheme="minorHAnsi" w:hAnsiTheme="minorHAnsi" w:cstheme="minorHAnsi"/>
        </w:rPr>
        <w:t>].</w:t>
      </w:r>
      <w:r w:rsidR="00802B87" w:rsidRPr="00397AA7">
        <w:rPr>
          <w:rFonts w:asciiTheme="minorHAnsi" w:hAnsiTheme="minorHAnsi" w:cstheme="minorHAnsi"/>
        </w:rPr>
        <w:t xml:space="preserve"> </w:t>
      </w:r>
    </w:p>
    <w:p w14:paraId="4A66B1C9" w14:textId="77777777" w:rsidR="00367AAE" w:rsidRPr="00397AA7" w:rsidRDefault="00367AAE" w:rsidP="00A04A32">
      <w:pPr>
        <w:spacing w:line="480" w:lineRule="auto"/>
        <w:jc w:val="both"/>
        <w:rPr>
          <w:rFonts w:asciiTheme="minorHAnsi" w:hAnsiTheme="minorHAnsi" w:cstheme="minorHAnsi"/>
        </w:rPr>
      </w:pPr>
    </w:p>
    <w:p w14:paraId="4A0E4EF7" w14:textId="066A25F7" w:rsidR="00F648FE" w:rsidRPr="00397AA7" w:rsidRDefault="00F648FE" w:rsidP="00A04A32">
      <w:pPr>
        <w:spacing w:line="480" w:lineRule="auto"/>
        <w:jc w:val="both"/>
        <w:rPr>
          <w:rFonts w:asciiTheme="minorHAnsi" w:hAnsiTheme="minorHAnsi" w:cstheme="minorHAnsi"/>
          <w:color w:val="000000" w:themeColor="text1"/>
        </w:rPr>
      </w:pPr>
      <w:r w:rsidRPr="00397AA7">
        <w:rPr>
          <w:rFonts w:asciiTheme="minorHAnsi" w:hAnsiTheme="minorHAnsi" w:cstheme="minorHAnsi"/>
        </w:rPr>
        <w:t xml:space="preserve">Conventionally, Vitamin K antagonists (VKAs) </w:t>
      </w:r>
      <w:r w:rsidR="00367AAE" w:rsidRPr="00397AA7">
        <w:rPr>
          <w:rFonts w:asciiTheme="minorHAnsi" w:hAnsiTheme="minorHAnsi" w:cstheme="minorHAnsi"/>
        </w:rPr>
        <w:t xml:space="preserve">have </w:t>
      </w:r>
      <w:r w:rsidRPr="00397AA7">
        <w:rPr>
          <w:rFonts w:asciiTheme="minorHAnsi" w:hAnsiTheme="minorHAnsi" w:cstheme="minorHAnsi"/>
        </w:rPr>
        <w:t xml:space="preserve">been </w:t>
      </w:r>
      <w:r w:rsidR="00C23B9A" w:rsidRPr="00397AA7">
        <w:rPr>
          <w:rFonts w:asciiTheme="minorHAnsi" w:hAnsiTheme="minorHAnsi" w:cstheme="minorHAnsi"/>
        </w:rPr>
        <w:t>used</w:t>
      </w:r>
      <w:r w:rsidRPr="00397AA7">
        <w:rPr>
          <w:rFonts w:asciiTheme="minorHAnsi" w:hAnsiTheme="minorHAnsi" w:cstheme="minorHAnsi"/>
        </w:rPr>
        <w:t xml:space="preserve"> in the treatment</w:t>
      </w:r>
      <w:r w:rsidR="00367AAE" w:rsidRPr="00397AA7">
        <w:rPr>
          <w:rFonts w:asciiTheme="minorHAnsi" w:hAnsiTheme="minorHAnsi" w:cstheme="minorHAnsi"/>
        </w:rPr>
        <w:t xml:space="preserve"> of CTEPH</w:t>
      </w:r>
      <w:r w:rsidR="00511EEA" w:rsidRPr="00397AA7">
        <w:rPr>
          <w:rFonts w:asciiTheme="minorHAnsi" w:hAnsiTheme="minorHAnsi" w:cstheme="minorHAnsi"/>
        </w:rPr>
        <w:t xml:space="preserve"> [</w:t>
      </w:r>
      <w:r w:rsidR="0038150B" w:rsidRPr="00397AA7">
        <w:rPr>
          <w:rFonts w:asciiTheme="minorHAnsi" w:hAnsiTheme="minorHAnsi" w:cstheme="minorHAnsi"/>
        </w:rPr>
        <w:t>2</w:t>
      </w:r>
      <w:r w:rsidR="00511EEA" w:rsidRPr="00397AA7">
        <w:rPr>
          <w:rFonts w:asciiTheme="minorHAnsi" w:hAnsiTheme="minorHAnsi" w:cstheme="minorHAnsi"/>
        </w:rPr>
        <w:t>].</w:t>
      </w:r>
      <w:r w:rsidR="00236BAB" w:rsidRPr="00397AA7">
        <w:rPr>
          <w:rFonts w:asciiTheme="minorHAnsi" w:hAnsiTheme="minorHAnsi" w:cstheme="minorHAnsi"/>
        </w:rPr>
        <w:t xml:space="preserve"> Although </w:t>
      </w:r>
      <w:r w:rsidR="00D27CFB" w:rsidRPr="00397AA7">
        <w:rPr>
          <w:rFonts w:asciiTheme="minorHAnsi" w:hAnsiTheme="minorHAnsi" w:cstheme="minorHAnsi"/>
        </w:rPr>
        <w:t xml:space="preserve">these compounds </w:t>
      </w:r>
      <w:r w:rsidR="00236BAB" w:rsidRPr="00397AA7">
        <w:rPr>
          <w:rFonts w:asciiTheme="minorHAnsi" w:hAnsiTheme="minorHAnsi" w:cstheme="minorHAnsi"/>
        </w:rPr>
        <w:t xml:space="preserve">have </w:t>
      </w:r>
      <w:r w:rsidR="00D27CFB" w:rsidRPr="00397AA7">
        <w:rPr>
          <w:rFonts w:asciiTheme="minorHAnsi" w:hAnsiTheme="minorHAnsi" w:cstheme="minorHAnsi"/>
        </w:rPr>
        <w:t>proven</w:t>
      </w:r>
      <w:r w:rsidR="00236BAB" w:rsidRPr="00397AA7">
        <w:rPr>
          <w:rFonts w:asciiTheme="minorHAnsi" w:hAnsiTheme="minorHAnsi" w:cstheme="minorHAnsi"/>
        </w:rPr>
        <w:t xml:space="preserve"> to be safe and effective in the management of acute </w:t>
      </w:r>
      <w:r w:rsidR="0071011B" w:rsidRPr="00397AA7">
        <w:rPr>
          <w:rFonts w:asciiTheme="minorHAnsi" w:hAnsiTheme="minorHAnsi" w:cstheme="minorHAnsi"/>
        </w:rPr>
        <w:t>venous thromboembolism (VTE</w:t>
      </w:r>
      <w:r w:rsidR="00EF120B" w:rsidRPr="00397AA7">
        <w:rPr>
          <w:rFonts w:asciiTheme="minorHAnsi" w:hAnsiTheme="minorHAnsi" w:cstheme="minorHAnsi"/>
        </w:rPr>
        <w:t>)</w:t>
      </w:r>
      <w:r w:rsidR="00367AAE" w:rsidRPr="00397AA7">
        <w:rPr>
          <w:rFonts w:asciiTheme="minorHAnsi" w:hAnsiTheme="minorHAnsi" w:cstheme="minorHAnsi"/>
        </w:rPr>
        <w:t xml:space="preserve"> </w:t>
      </w:r>
      <w:r w:rsidR="003C2D74" w:rsidRPr="00397AA7">
        <w:rPr>
          <w:rFonts w:asciiTheme="minorHAnsi" w:hAnsiTheme="minorHAnsi" w:cstheme="minorHAnsi"/>
          <w:color w:val="000000" w:themeColor="text1"/>
        </w:rPr>
        <w:t xml:space="preserve">limited data </w:t>
      </w:r>
      <w:r w:rsidR="00DA2276" w:rsidRPr="00397AA7">
        <w:rPr>
          <w:rFonts w:asciiTheme="minorHAnsi" w:hAnsiTheme="minorHAnsi" w:cstheme="minorHAnsi"/>
          <w:color w:val="000000" w:themeColor="text1"/>
        </w:rPr>
        <w:t xml:space="preserve">exists </w:t>
      </w:r>
      <w:r w:rsidR="000516F0" w:rsidRPr="00397AA7">
        <w:rPr>
          <w:rFonts w:asciiTheme="minorHAnsi" w:hAnsiTheme="minorHAnsi" w:cstheme="minorHAnsi"/>
          <w:color w:val="000000" w:themeColor="text1"/>
        </w:rPr>
        <w:t>in</w:t>
      </w:r>
      <w:r w:rsidR="003C2D74" w:rsidRPr="00397AA7">
        <w:rPr>
          <w:rFonts w:asciiTheme="minorHAnsi" w:hAnsiTheme="minorHAnsi" w:cstheme="minorHAnsi"/>
          <w:color w:val="000000" w:themeColor="text1"/>
        </w:rPr>
        <w:t xml:space="preserve"> CTEPH </w:t>
      </w:r>
      <w:r w:rsidR="00511EEA" w:rsidRPr="00397AA7">
        <w:rPr>
          <w:rFonts w:asciiTheme="minorHAnsi" w:hAnsiTheme="minorHAnsi" w:cstheme="minorHAnsi"/>
          <w:color w:val="000000" w:themeColor="text1"/>
        </w:rPr>
        <w:t>[</w:t>
      </w:r>
      <w:r w:rsidR="003C6E1A" w:rsidRPr="00397AA7">
        <w:rPr>
          <w:rFonts w:asciiTheme="minorHAnsi" w:hAnsiTheme="minorHAnsi" w:cstheme="minorHAnsi"/>
          <w:color w:val="000000" w:themeColor="text1"/>
        </w:rPr>
        <w:fldChar w:fldCharType="begin" w:fldLock="1"/>
      </w:r>
      <w:r w:rsidR="006A1EA5" w:rsidRPr="00397AA7">
        <w:rPr>
          <w:rFonts w:asciiTheme="minorHAnsi" w:hAnsiTheme="minorHAnsi" w:cstheme="minorHAnsi"/>
          <w:color w:val="000000" w:themeColor="text1"/>
        </w:rPr>
        <w:instrText>ADDIN CSL_CITATION {"citationItems":[{"id":"ITEM-1","itemData":{"DOI":"10.1183/09031936.00039212","ISSN":"0903-1936","PMID":"22936704","abstract":"Vitamin K antagonists are advised in pulmonary arterial hypertension patients despite a lack of safety data. We reviewed major bleeding in three classes of pulmonary hypertension patients, all receiving vitamin K antagonists. Bleeding event rates were 5.4 per 100 patient-years for patients with idiopathic pulmonary arterial hypertension, 19 per 100 patient-years for connective tissue disease related pulmonary arterial hypertension patients and 2.4 per 100 patient-years for chronic thromboembolic pulmonary hypertension patients. Life tables analysis showed that event-free survival was worse in patients with connective tissue disease related pulmonary hypertension than in patients with idiopathic pulmonary arterial hypertension (Wilcoxon=12.8; p&lt;0.001), and patients with chronic thromboembolic pulmonary hypertension (Wilcoxon=23.2; p&lt;0.001). Patients with idiopathic pulmonary arterial hypertension suffered more events than patients with chronic thromboembolic pulmonary hypertension (Wilcoxon=7.2; p&lt;0.01). Major bleeding was independent of age, sex, target international normalised ratio (INR) range, documented INR, vitamin K antagonist type, or right atrial pressure, but was associated with use of prostacyclin analogues. Major bleeding risk during vitamin K antagonist therapy differs among groups of patients with pulmonary hypertension. Further research regarding optimal anticoagulant therapy is needed, as well as risk-benefit analyses for pulmonary hypertension patients with a higher bleeding propensity.","author":[{"dropping-particle":"","family":"Henkens","given":"I. R.","non-dropping-particle":"","parse-names":false,"suffix":""},{"dropping-particle":"","family":"Hazenoot","given":"T.","non-dropping-particle":"","parse-names":false,"suffix":""},{"dropping-particle":"","family":"Boonstra","given":"A.","non-dropping-particle":"","parse-names":false,"suffix":""},{"dropping-particle":"V.","family":"Huisman","given":"M.","non-dropping-particle":"","parse-names":false,"suffix":""},{"dropping-particle":"","family":"Vonk-Noordegraaf","given":"A.","non-dropping-particle":"","parse-names":false,"suffix":""}],"container-title":"European Respiratory Journal","id":"ITEM-1","issued":{"date-parts":[["2012"]]},"title":"Major bleeding with vitamin K antagonist anticoagulants in pulmonary hypertension","type":"article"},"uris":["http://www.mendeley.com/documents/?uuid=6c41fb8b-b5c4-319b-a9d1-35be43ecfe63"]}],"mendeley":{"formattedCitation":"&lt;sup&gt;4&lt;/sup&gt;","plainTextFormattedCitation":"4","previouslyFormattedCitation":"&lt;sup&gt;4&lt;/sup&gt;"},"properties":{"noteIndex":0},"schema":"https://github.com/citation-style-language/schema/raw/master/csl-citation.json"}</w:instrText>
      </w:r>
      <w:r w:rsidR="003C6E1A" w:rsidRPr="00397AA7">
        <w:rPr>
          <w:rFonts w:asciiTheme="minorHAnsi" w:hAnsiTheme="minorHAnsi" w:cstheme="minorHAnsi"/>
          <w:color w:val="000000" w:themeColor="text1"/>
        </w:rPr>
        <w:fldChar w:fldCharType="separate"/>
      </w:r>
      <w:r w:rsidR="003C6E1A" w:rsidRPr="00397AA7">
        <w:rPr>
          <w:rFonts w:asciiTheme="minorHAnsi" w:hAnsiTheme="minorHAnsi" w:cstheme="minorHAnsi"/>
          <w:noProof/>
          <w:color w:val="000000" w:themeColor="text1"/>
        </w:rPr>
        <w:t>4</w:t>
      </w:r>
      <w:r w:rsidR="003C6E1A" w:rsidRPr="00397AA7">
        <w:rPr>
          <w:rFonts w:asciiTheme="minorHAnsi" w:hAnsiTheme="minorHAnsi" w:cstheme="minorHAnsi"/>
          <w:color w:val="000000" w:themeColor="text1"/>
        </w:rPr>
        <w:fldChar w:fldCharType="end"/>
      </w:r>
      <w:r w:rsidR="003C6E1A" w:rsidRPr="00397AA7">
        <w:rPr>
          <w:rFonts w:asciiTheme="minorHAnsi" w:hAnsiTheme="minorHAnsi" w:cstheme="minorHAnsi"/>
          <w:color w:val="000000" w:themeColor="text1"/>
        </w:rPr>
        <w:t>,</w:t>
      </w:r>
      <w:r w:rsidR="000F46D5" w:rsidRPr="00397AA7">
        <w:rPr>
          <w:rFonts w:asciiTheme="minorHAnsi" w:hAnsiTheme="minorHAnsi" w:cstheme="minorHAnsi"/>
          <w:color w:val="000000" w:themeColor="text1"/>
        </w:rPr>
        <w:fldChar w:fldCharType="begin" w:fldLock="1"/>
      </w:r>
      <w:r w:rsidR="006A1EA5" w:rsidRPr="00397AA7">
        <w:rPr>
          <w:rFonts w:asciiTheme="minorHAnsi" w:hAnsiTheme="minorHAnsi" w:cstheme="minorHAnsi"/>
          <w:color w:val="000000" w:themeColor="text1"/>
        </w:rPr>
        <w:instrText>ADDIN CSL_CITATION {"citationItems":[{"id":"ITEM-1","itemData":{"DOI":"10.1177/2045893217717258","ISSN":"20458940","author":[{"dropping-particle":"","family":"Jujo-Sanada","given":"Takayuki","non-dropping-particle":"","parse-names":false,"suffix":""},{"dropping-particle":"","family":"Tanabe","given":"Nobuhiro","non-dropping-particle":"","parse-names":false,"suffix":""},{"dropping-particle":"","family":"Sakao","given":"Seiichiro","non-dropping-particle":"","parse-names":false,"suffix":""},{"dropping-particle":"","family":"Sugiura","given":"Toshihiko","non-dropping-particle":"","parse-names":false,"suffix":""},{"dropping-particle":"","family":"Sekine","given":"Ayumi","non-dropping-particle":"","parse-names":false,"suffix":""},{"dropping-particle":"","family":"Nishimura","given":"Rintaro","non-dropping-particle":"","parse-names":false,"suffix":""},{"dropping-particle":"","family":"Suda","given":"Rika","non-dropping-particle":"","parse-names":false,"suffix":""},{"dropping-particle":"","family":"Naito","given":"Akira","non-dropping-particle":"","parse-names":false,"suffix":""},{"dropping-particle":"","family":"Miwa","given":"Hideki","non-dropping-particle":"","parse-names":false,"suffix":""},{"dropping-particle":"","family":"Yamamoto","given":"Keiko","non-dropping-particle":"","parse-names":false,"suffix":""},{"dropping-particle":"","family":"Sasaki","given":"Akane","non-dropping-particle":"","parse-names":false,"suffix":""},{"dropping-particle":"","family":"Matsumura","given":"Akane","non-dropping-particle":"","parse-names":false,"suffix":""},{"dropping-particle":"","family":"Ema","given":"Ryogo","non-dropping-particle":"","parse-names":false,"suffix":""},{"dropping-particle":"","family":"Kasai","given":"Hajime","non-dropping-particle":"","parse-names":false,"suffix":""},{"dropping-particle":"","family":"Kato","given":"Fumiaki","non-dropping-particle":"","parse-names":false,"suffix":""},{"dropping-particle":"","family":"Tatsumi","given":"Koichiro","non-dropping-particle":"","parse-names":false,"suffix":""}],"container-title":"Pulmonary Circulation","id":"ITEM-1","issued":{"date-parts":[["2017"]]},"title":"The anticoagulant effects of warfarin and the bleeding risk associated with its use in patients with chronic thromboembolic pulmonary hypertension at a specialist center in Japan: A retrospective cohort study","type":"article"},"uris":["http://www.mendeley.com/documents/?uuid=8bdb1db6-3cdb-39f9-bb10-ed4bcd65e4c8"]}],"mendeley":{"formattedCitation":"&lt;sup&gt;5&lt;/sup&gt;","plainTextFormattedCitation":"5","previouslyFormattedCitation":"&lt;sup&gt;5&lt;/sup&gt;"},"properties":{"noteIndex":0},"schema":"https://github.com/citation-style-language/schema/raw/master/csl-citation.json"}</w:instrText>
      </w:r>
      <w:r w:rsidR="000F46D5" w:rsidRPr="00397AA7">
        <w:rPr>
          <w:rFonts w:asciiTheme="minorHAnsi" w:hAnsiTheme="minorHAnsi" w:cstheme="minorHAnsi"/>
          <w:color w:val="000000" w:themeColor="text1"/>
        </w:rPr>
        <w:fldChar w:fldCharType="separate"/>
      </w:r>
      <w:r w:rsidR="000F46D5" w:rsidRPr="00397AA7">
        <w:rPr>
          <w:rFonts w:asciiTheme="minorHAnsi" w:hAnsiTheme="minorHAnsi" w:cstheme="minorHAnsi"/>
          <w:noProof/>
          <w:color w:val="000000" w:themeColor="text1"/>
        </w:rPr>
        <w:t>5</w:t>
      </w:r>
      <w:r w:rsidR="000F46D5" w:rsidRPr="00397AA7">
        <w:rPr>
          <w:rFonts w:asciiTheme="minorHAnsi" w:hAnsiTheme="minorHAnsi" w:cstheme="minorHAnsi"/>
          <w:color w:val="000000" w:themeColor="text1"/>
        </w:rPr>
        <w:fldChar w:fldCharType="end"/>
      </w:r>
      <w:r w:rsidR="00511EEA" w:rsidRPr="00397AA7">
        <w:rPr>
          <w:rFonts w:asciiTheme="minorHAnsi" w:hAnsiTheme="minorHAnsi" w:cstheme="minorHAnsi"/>
          <w:color w:val="000000" w:themeColor="text1"/>
        </w:rPr>
        <w:t>].</w:t>
      </w:r>
      <w:r w:rsidR="001F50EA" w:rsidRPr="00397AA7">
        <w:rPr>
          <w:rFonts w:asciiTheme="minorHAnsi" w:hAnsiTheme="minorHAnsi" w:cstheme="minorHAnsi"/>
          <w:color w:val="000000" w:themeColor="text1"/>
        </w:rPr>
        <w:t xml:space="preserve"> </w:t>
      </w:r>
      <w:r w:rsidR="0056363F" w:rsidRPr="00397AA7">
        <w:rPr>
          <w:rFonts w:asciiTheme="minorHAnsi" w:hAnsiTheme="minorHAnsi" w:cstheme="minorHAnsi"/>
          <w:color w:val="000000" w:themeColor="text1"/>
        </w:rPr>
        <w:t xml:space="preserve">Henken’s </w:t>
      </w:r>
      <w:r w:rsidR="0056363F" w:rsidRPr="00397AA7">
        <w:rPr>
          <w:rFonts w:asciiTheme="minorHAnsi" w:hAnsiTheme="minorHAnsi" w:cstheme="minorHAnsi"/>
          <w:i/>
          <w:color w:val="000000" w:themeColor="text1"/>
        </w:rPr>
        <w:t>et al</w:t>
      </w:r>
      <w:r w:rsidR="0056363F" w:rsidRPr="00397AA7">
        <w:rPr>
          <w:rFonts w:asciiTheme="minorHAnsi" w:hAnsiTheme="minorHAnsi" w:cstheme="minorHAnsi"/>
          <w:color w:val="000000" w:themeColor="text1"/>
        </w:rPr>
        <w:t xml:space="preserve"> (2014) </w:t>
      </w:r>
      <w:r w:rsidR="001F50EA" w:rsidRPr="00397AA7">
        <w:rPr>
          <w:rFonts w:asciiTheme="minorHAnsi" w:hAnsiTheme="minorHAnsi" w:cstheme="minorHAnsi"/>
          <w:color w:val="000000" w:themeColor="text1"/>
        </w:rPr>
        <w:t xml:space="preserve">reported </w:t>
      </w:r>
      <w:r w:rsidR="0056363F" w:rsidRPr="00397AA7">
        <w:rPr>
          <w:rFonts w:asciiTheme="minorHAnsi" w:hAnsiTheme="minorHAnsi" w:cstheme="minorHAnsi"/>
          <w:color w:val="000000" w:themeColor="text1"/>
        </w:rPr>
        <w:t>a major bleeding rate of 2.4%</w:t>
      </w:r>
      <w:r w:rsidR="00DA2276" w:rsidRPr="00397AA7">
        <w:rPr>
          <w:rFonts w:asciiTheme="minorHAnsi" w:hAnsiTheme="minorHAnsi" w:cstheme="minorHAnsi"/>
          <w:color w:val="000000" w:themeColor="text1"/>
        </w:rPr>
        <w:t>/</w:t>
      </w:r>
      <w:r w:rsidR="0056363F" w:rsidRPr="00397AA7">
        <w:rPr>
          <w:rFonts w:asciiTheme="minorHAnsi" w:hAnsiTheme="minorHAnsi" w:cstheme="minorHAnsi"/>
          <w:color w:val="000000" w:themeColor="text1"/>
        </w:rPr>
        <w:t>person-year</w:t>
      </w:r>
      <w:r w:rsidR="004F7659" w:rsidRPr="00397AA7">
        <w:rPr>
          <w:rFonts w:asciiTheme="minorHAnsi" w:hAnsiTheme="minorHAnsi" w:cstheme="minorHAnsi"/>
          <w:color w:val="000000" w:themeColor="text1"/>
        </w:rPr>
        <w:t xml:space="preserve"> </w:t>
      </w:r>
      <w:r w:rsidR="000516F0" w:rsidRPr="00397AA7">
        <w:rPr>
          <w:rFonts w:asciiTheme="minorHAnsi" w:hAnsiTheme="minorHAnsi" w:cstheme="minorHAnsi"/>
          <w:color w:val="000000" w:themeColor="text1"/>
        </w:rPr>
        <w:t>and</w:t>
      </w:r>
      <w:r w:rsidR="0056363F" w:rsidRPr="00397AA7">
        <w:rPr>
          <w:rFonts w:asciiTheme="minorHAnsi" w:hAnsiTheme="minorHAnsi" w:cstheme="minorHAnsi"/>
          <w:color w:val="000000" w:themeColor="text1"/>
        </w:rPr>
        <w:t xml:space="preserve"> Jujo-Sanada </w:t>
      </w:r>
      <w:r w:rsidR="0056363F" w:rsidRPr="00397AA7">
        <w:rPr>
          <w:rFonts w:asciiTheme="minorHAnsi" w:hAnsiTheme="minorHAnsi" w:cstheme="minorHAnsi"/>
          <w:i/>
          <w:color w:val="000000" w:themeColor="text1"/>
        </w:rPr>
        <w:t>et al</w:t>
      </w:r>
      <w:r w:rsidR="0056363F" w:rsidRPr="00397AA7">
        <w:rPr>
          <w:rFonts w:asciiTheme="minorHAnsi" w:hAnsiTheme="minorHAnsi" w:cstheme="minorHAnsi"/>
          <w:color w:val="000000" w:themeColor="text1"/>
        </w:rPr>
        <w:t xml:space="preserve"> (2017) </w:t>
      </w:r>
      <w:r w:rsidR="004F7659" w:rsidRPr="00397AA7">
        <w:rPr>
          <w:rFonts w:asciiTheme="minorHAnsi" w:hAnsiTheme="minorHAnsi" w:cstheme="minorHAnsi"/>
          <w:color w:val="000000" w:themeColor="text1"/>
        </w:rPr>
        <w:t>major bl</w:t>
      </w:r>
      <w:r w:rsidR="00954179" w:rsidRPr="00397AA7">
        <w:rPr>
          <w:rFonts w:asciiTheme="minorHAnsi" w:hAnsiTheme="minorHAnsi" w:cstheme="minorHAnsi"/>
          <w:color w:val="000000" w:themeColor="text1"/>
        </w:rPr>
        <w:t xml:space="preserve">eeding and VTE recurrence rates </w:t>
      </w:r>
      <w:r w:rsidR="00AC11D8" w:rsidRPr="00397AA7">
        <w:rPr>
          <w:rFonts w:asciiTheme="minorHAnsi" w:hAnsiTheme="minorHAnsi" w:cstheme="minorHAnsi"/>
          <w:color w:val="000000" w:themeColor="text1"/>
        </w:rPr>
        <w:t>of</w:t>
      </w:r>
      <w:r w:rsidR="001F50EA" w:rsidRPr="00397AA7">
        <w:rPr>
          <w:rFonts w:asciiTheme="minorHAnsi" w:hAnsiTheme="minorHAnsi" w:cstheme="minorHAnsi"/>
          <w:color w:val="000000" w:themeColor="text1"/>
        </w:rPr>
        <w:t xml:space="preserve"> </w:t>
      </w:r>
      <w:r w:rsidR="0056363F" w:rsidRPr="00397AA7">
        <w:rPr>
          <w:rFonts w:asciiTheme="minorHAnsi" w:hAnsiTheme="minorHAnsi" w:cstheme="minorHAnsi"/>
          <w:color w:val="000000" w:themeColor="text1"/>
        </w:rPr>
        <w:t xml:space="preserve">5% </w:t>
      </w:r>
      <w:r w:rsidR="004F7659" w:rsidRPr="00397AA7">
        <w:rPr>
          <w:rFonts w:asciiTheme="minorHAnsi" w:hAnsiTheme="minorHAnsi" w:cstheme="minorHAnsi"/>
          <w:color w:val="000000" w:themeColor="text1"/>
        </w:rPr>
        <w:t>and 1.2%</w:t>
      </w:r>
      <w:r w:rsidR="000516F0" w:rsidRPr="00397AA7">
        <w:rPr>
          <w:rFonts w:asciiTheme="minorHAnsi" w:hAnsiTheme="minorHAnsi" w:cstheme="minorHAnsi"/>
          <w:color w:val="000000" w:themeColor="text1"/>
        </w:rPr>
        <w:t>/</w:t>
      </w:r>
      <w:r w:rsidR="00700E61" w:rsidRPr="00397AA7">
        <w:rPr>
          <w:rFonts w:asciiTheme="minorHAnsi" w:hAnsiTheme="minorHAnsi" w:cstheme="minorHAnsi"/>
          <w:color w:val="000000" w:themeColor="text1"/>
        </w:rPr>
        <w:t>person-year</w:t>
      </w:r>
      <w:r w:rsidR="00954179" w:rsidRPr="00397AA7">
        <w:rPr>
          <w:rFonts w:asciiTheme="minorHAnsi" w:hAnsiTheme="minorHAnsi" w:cstheme="minorHAnsi"/>
          <w:color w:val="000000" w:themeColor="text1"/>
        </w:rPr>
        <w:t>, respectively</w:t>
      </w:r>
      <w:r w:rsidR="0056363F" w:rsidRPr="00397AA7">
        <w:rPr>
          <w:rFonts w:asciiTheme="minorHAnsi" w:hAnsiTheme="minorHAnsi" w:cstheme="minorHAnsi"/>
          <w:color w:val="000000" w:themeColor="text1"/>
        </w:rPr>
        <w:t xml:space="preserve"> in CTEPH patients</w:t>
      </w:r>
      <w:r w:rsidR="00DA2276" w:rsidRPr="00397AA7">
        <w:rPr>
          <w:rFonts w:asciiTheme="minorHAnsi" w:hAnsiTheme="minorHAnsi" w:cstheme="minorHAnsi"/>
          <w:color w:val="000000" w:themeColor="text1"/>
        </w:rPr>
        <w:t xml:space="preserve"> treated with VKAs</w:t>
      </w:r>
      <w:r w:rsidR="000F46D5" w:rsidRPr="00397AA7">
        <w:rPr>
          <w:rFonts w:asciiTheme="minorHAnsi" w:hAnsiTheme="minorHAnsi" w:cstheme="minorHAnsi"/>
          <w:color w:val="000000" w:themeColor="text1"/>
        </w:rPr>
        <w:t xml:space="preserve"> </w:t>
      </w:r>
      <w:r w:rsidR="00511EEA" w:rsidRPr="00397AA7">
        <w:rPr>
          <w:rFonts w:asciiTheme="minorHAnsi" w:hAnsiTheme="minorHAnsi" w:cstheme="minorHAnsi"/>
          <w:color w:val="000000" w:themeColor="text1"/>
        </w:rPr>
        <w:t>[</w:t>
      </w:r>
      <w:r w:rsidR="0068642D" w:rsidRPr="00397AA7">
        <w:rPr>
          <w:rFonts w:asciiTheme="minorHAnsi" w:hAnsiTheme="minorHAnsi" w:cstheme="minorHAnsi"/>
          <w:color w:val="000000" w:themeColor="text1"/>
        </w:rPr>
        <w:fldChar w:fldCharType="begin" w:fldLock="1"/>
      </w:r>
      <w:r w:rsidR="006A1EA5" w:rsidRPr="00397AA7">
        <w:rPr>
          <w:rFonts w:asciiTheme="minorHAnsi" w:hAnsiTheme="minorHAnsi" w:cstheme="minorHAnsi"/>
          <w:color w:val="000000" w:themeColor="text1"/>
        </w:rPr>
        <w:instrText>ADDIN CSL_CITATION {"citationItems":[{"id":"ITEM-1","itemData":{"DOI":"10.1183/09031936.00039212","ISSN":"0903-1936","PMID":"22936704","abstract":"Vitamin K antagonists are advised in pulmonary arterial hypertension patients despite a lack of safety data. We reviewed major bleeding in three classes of pulmonary hypertension patients, all receiving vitamin K antagonists. Bleeding event rates were 5.4 per 100 patient-years for patients with idiopathic pulmonary arterial hypertension, 19 per 100 patient-years for connective tissue disease related pulmonary arterial hypertension patients and 2.4 per 100 patient-years for chronic thromboembolic pulmonary hypertension patients. Life tables analysis showed that event-free survival was worse in patients with connective tissue disease related pulmonary hypertension than in patients with idiopathic pulmonary arterial hypertension (Wilcoxon=12.8; p&lt;0.001), and patients with chronic thromboembolic pulmonary hypertension (Wilcoxon=23.2; p&lt;0.001). Patients with idiopathic pulmonary arterial hypertension suffered more events than patients with chronic thromboembolic pulmonary hypertension (Wilcoxon=7.2; p&lt;0.01). Major bleeding was independent of age, sex, target international normalised ratio (INR) range, documented INR, vitamin K antagonist type, or right atrial pressure, but was associated with use of prostacyclin analogues. Major bleeding risk during vitamin K antagonist therapy differs among groups of patients with pulmonary hypertension. Further research regarding optimal anticoagulant therapy is needed, as well as risk-benefit analyses for pulmonary hypertension patients with a higher bleeding propensity.","author":[{"dropping-particle":"","family":"Henkens","given":"I. R.","non-dropping-particle":"","parse-names":false,"suffix":""},{"dropping-particle":"","family":"Hazenoot","given":"T.","non-dropping-particle":"","parse-names":false,"suffix":""},{"dropping-particle":"","family":"Boonstra","given":"A.","non-dropping-particle":"","parse-names":false,"suffix":""},{"dropping-particle":"V.","family":"Huisman","given":"M.","non-dropping-particle":"","parse-names":false,"suffix":""},{"dropping-particle":"","family":"Vonk-Noordegraaf","given":"A.","non-dropping-particle":"","parse-names":false,"suffix":""}],"container-title":"European Respiratory Journal","id":"ITEM-1","issued":{"date-parts":[["2012"]]},"title":"Major bleeding with vitamin K antagonist anticoagulants in pulmonary hypertension","type":"article"},"uris":["http://www.mendeley.com/documents/?uuid=6c41fb8b-b5c4-319b-a9d1-35be43ecfe63"]}],"mendeley":{"formattedCitation":"&lt;sup&gt;4&lt;/sup&gt;","plainTextFormattedCitation":"4","previouslyFormattedCitation":"&lt;sup&gt;4&lt;/sup&gt;"},"properties":{"noteIndex":0},"schema":"https://github.com/citation-style-language/schema/raw/master/csl-citation.json"}</w:instrText>
      </w:r>
      <w:r w:rsidR="0068642D" w:rsidRPr="00397AA7">
        <w:rPr>
          <w:rFonts w:asciiTheme="minorHAnsi" w:hAnsiTheme="minorHAnsi" w:cstheme="minorHAnsi"/>
          <w:color w:val="000000" w:themeColor="text1"/>
        </w:rPr>
        <w:fldChar w:fldCharType="separate"/>
      </w:r>
      <w:r w:rsidR="0068642D" w:rsidRPr="00397AA7">
        <w:rPr>
          <w:rFonts w:asciiTheme="minorHAnsi" w:hAnsiTheme="minorHAnsi" w:cstheme="minorHAnsi"/>
          <w:noProof/>
          <w:color w:val="000000" w:themeColor="text1"/>
        </w:rPr>
        <w:t>4</w:t>
      </w:r>
      <w:r w:rsidR="0068642D" w:rsidRPr="00397AA7">
        <w:rPr>
          <w:rFonts w:asciiTheme="minorHAnsi" w:hAnsiTheme="minorHAnsi" w:cstheme="minorHAnsi"/>
          <w:color w:val="000000" w:themeColor="text1"/>
        </w:rPr>
        <w:fldChar w:fldCharType="end"/>
      </w:r>
      <w:r w:rsidR="0068642D" w:rsidRPr="00397AA7">
        <w:rPr>
          <w:rFonts w:asciiTheme="minorHAnsi" w:hAnsiTheme="minorHAnsi" w:cstheme="minorHAnsi"/>
          <w:color w:val="000000" w:themeColor="text1"/>
        </w:rPr>
        <w:t>,</w:t>
      </w:r>
      <w:r w:rsidR="005448A8" w:rsidRPr="00397AA7">
        <w:rPr>
          <w:rFonts w:asciiTheme="minorHAnsi" w:hAnsiTheme="minorHAnsi" w:cstheme="minorHAnsi"/>
          <w:color w:val="000000" w:themeColor="text1"/>
        </w:rPr>
        <w:fldChar w:fldCharType="begin" w:fldLock="1"/>
      </w:r>
      <w:r w:rsidR="006A1EA5" w:rsidRPr="00397AA7">
        <w:rPr>
          <w:rFonts w:asciiTheme="minorHAnsi" w:hAnsiTheme="minorHAnsi" w:cstheme="minorHAnsi"/>
          <w:color w:val="000000" w:themeColor="text1"/>
        </w:rPr>
        <w:instrText>ADDIN CSL_CITATION {"citationItems":[{"id":"ITEM-1","itemData":{"DOI":"10.1177/2045893217717258","ISSN":"20458940","author":[{"dropping-particle":"","family":"Jujo-Sanada","given":"Takayuki","non-dropping-particle":"","parse-names":false,"suffix":""},{"dropping-particle":"","family":"Tanabe","given":"Nobuhiro","non-dropping-particle":"","parse-names":false,"suffix":""},{"dropping-particle":"","family":"Sakao","given":"Seiichiro","non-dropping-particle":"","parse-names":false,"suffix":""},{"dropping-particle":"","family":"Sugiura","given":"Toshihiko","non-dropping-particle":"","parse-names":false,"suffix":""},{"dropping-particle":"","family":"Sekine","given":"Ayumi","non-dropping-particle":"","parse-names":false,"suffix":""},{"dropping-particle":"","family":"Nishimura","given":"Rintaro","non-dropping-particle":"","parse-names":false,"suffix":""},{"dropping-particle":"","family":"Suda","given":"Rika","non-dropping-particle":"","parse-names":false,"suffix":""},{"dropping-particle":"","family":"Naito","given":"Akira","non-dropping-particle":"","parse-names":false,"suffix":""},{"dropping-particle":"","family":"Miwa","given":"Hideki","non-dropping-particle":"","parse-names":false,"suffix":""},{"dropping-particle":"","family":"Yamamoto","given":"Keiko","non-dropping-particle":"","parse-names":false,"suffix":""},{"dropping-particle":"","family":"Sasaki","given":"Akane","non-dropping-particle":"","parse-names":false,"suffix":""},{"dropping-particle":"","family":"Matsumura","given":"Akane","non-dropping-particle":"","parse-names":false,"suffix":""},{"dropping-particle":"","family":"Ema","given":"Ryogo","non-dropping-particle":"","parse-names":false,"suffix":""},{"dropping-particle":"","family":"Kasai","given":"Hajime","non-dropping-particle":"","parse-names":false,"suffix":""},{"dropping-particle":"","family":"Kato","given":"Fumiaki","non-dropping-particle":"","parse-names":false,"suffix":""},{"dropping-particle":"","family":"Tatsumi","given":"Koichiro","non-dropping-particle":"","parse-names":false,"suffix":""}],"container-title":"Pulmonary Circulation","id":"ITEM-1","issued":{"date-parts":[["2017"]]},"title":"The anticoagulant effects of warfarin and the bleeding risk associated with its use in patients with chronic thromboembolic pulmonary hypertension at a specialist center in Japan: A retrospective cohort study","type":"article"},"uris":["http://www.mendeley.com/documents/?uuid=8bdb1db6-3cdb-39f9-bb10-ed4bcd65e4c8"]}],"mendeley":{"formattedCitation":"&lt;sup&gt;5&lt;/sup&gt;","plainTextFormattedCitation":"5","previouslyFormattedCitation":"&lt;sup&gt;5&lt;/sup&gt;"},"properties":{"noteIndex":0},"schema":"https://github.com/citation-style-language/schema/raw/master/csl-citation.json"}</w:instrText>
      </w:r>
      <w:r w:rsidR="005448A8" w:rsidRPr="00397AA7">
        <w:rPr>
          <w:rFonts w:asciiTheme="minorHAnsi" w:hAnsiTheme="minorHAnsi" w:cstheme="minorHAnsi"/>
          <w:color w:val="000000" w:themeColor="text1"/>
        </w:rPr>
        <w:fldChar w:fldCharType="separate"/>
      </w:r>
      <w:r w:rsidR="005448A8" w:rsidRPr="00397AA7">
        <w:rPr>
          <w:rFonts w:asciiTheme="minorHAnsi" w:hAnsiTheme="minorHAnsi" w:cstheme="minorHAnsi"/>
          <w:noProof/>
          <w:color w:val="000000" w:themeColor="text1"/>
        </w:rPr>
        <w:t>5</w:t>
      </w:r>
      <w:r w:rsidR="005448A8" w:rsidRPr="00397AA7">
        <w:rPr>
          <w:rFonts w:asciiTheme="minorHAnsi" w:hAnsiTheme="minorHAnsi" w:cstheme="minorHAnsi"/>
          <w:color w:val="000000" w:themeColor="text1"/>
        </w:rPr>
        <w:fldChar w:fldCharType="end"/>
      </w:r>
      <w:r w:rsidR="00511EEA" w:rsidRPr="00397AA7">
        <w:rPr>
          <w:rFonts w:asciiTheme="minorHAnsi" w:hAnsiTheme="minorHAnsi" w:cstheme="minorHAnsi"/>
          <w:color w:val="000000" w:themeColor="text1"/>
        </w:rPr>
        <w:t>].</w:t>
      </w:r>
      <w:r w:rsidR="0056363F" w:rsidRPr="00397AA7">
        <w:rPr>
          <w:rFonts w:asciiTheme="minorHAnsi" w:hAnsiTheme="minorHAnsi" w:cstheme="minorHAnsi"/>
          <w:color w:val="000000" w:themeColor="text1"/>
        </w:rPr>
        <w:t xml:space="preserve"> </w:t>
      </w:r>
    </w:p>
    <w:p w14:paraId="7DF57F47" w14:textId="77777777" w:rsidR="0038150B" w:rsidRPr="00397AA7" w:rsidRDefault="0038150B" w:rsidP="00A04A32">
      <w:pPr>
        <w:spacing w:line="480" w:lineRule="auto"/>
        <w:jc w:val="both"/>
        <w:rPr>
          <w:rFonts w:asciiTheme="minorHAnsi" w:hAnsiTheme="minorHAnsi" w:cstheme="minorHAnsi"/>
        </w:rPr>
      </w:pPr>
    </w:p>
    <w:p w14:paraId="27D412AE" w14:textId="796E562A" w:rsidR="006F505C" w:rsidRPr="00397AA7" w:rsidRDefault="00523DB9" w:rsidP="00A04A32">
      <w:pPr>
        <w:spacing w:line="480" w:lineRule="auto"/>
        <w:jc w:val="both"/>
        <w:rPr>
          <w:rFonts w:asciiTheme="minorHAnsi" w:hAnsiTheme="minorHAnsi" w:cstheme="minorHAnsi"/>
        </w:rPr>
      </w:pPr>
      <w:r w:rsidRPr="00397AA7">
        <w:rPr>
          <w:rFonts w:asciiTheme="minorHAnsi" w:hAnsiTheme="minorHAnsi" w:cstheme="minorHAnsi"/>
        </w:rPr>
        <w:t>In recent years, four d</w:t>
      </w:r>
      <w:r w:rsidR="00AF6587" w:rsidRPr="00397AA7">
        <w:rPr>
          <w:rFonts w:asciiTheme="minorHAnsi" w:hAnsiTheme="minorHAnsi" w:cstheme="minorHAnsi"/>
        </w:rPr>
        <w:t>irect</w:t>
      </w:r>
      <w:r w:rsidR="0038150B" w:rsidRPr="00397AA7">
        <w:rPr>
          <w:rFonts w:asciiTheme="minorHAnsi" w:hAnsiTheme="minorHAnsi" w:cstheme="minorHAnsi"/>
        </w:rPr>
        <w:t xml:space="preserve"> oral anticoagulants (DOACs) have been approved</w:t>
      </w:r>
      <w:r w:rsidR="00AF6587" w:rsidRPr="00397AA7">
        <w:rPr>
          <w:rFonts w:asciiTheme="minorHAnsi" w:hAnsiTheme="minorHAnsi" w:cstheme="minorHAnsi"/>
        </w:rPr>
        <w:t xml:space="preserve"> </w:t>
      </w:r>
      <w:r w:rsidR="003B2277" w:rsidRPr="00397AA7">
        <w:rPr>
          <w:rFonts w:asciiTheme="minorHAnsi" w:hAnsiTheme="minorHAnsi" w:cstheme="minorHAnsi"/>
        </w:rPr>
        <w:t xml:space="preserve">for the treatment of </w:t>
      </w:r>
      <w:r w:rsidR="00AF6587" w:rsidRPr="00397AA7">
        <w:rPr>
          <w:rFonts w:asciiTheme="minorHAnsi" w:hAnsiTheme="minorHAnsi" w:cstheme="minorHAnsi"/>
        </w:rPr>
        <w:t xml:space="preserve">acute </w:t>
      </w:r>
      <w:r w:rsidR="0038150B" w:rsidRPr="00397AA7">
        <w:rPr>
          <w:rFonts w:asciiTheme="minorHAnsi" w:hAnsiTheme="minorHAnsi" w:cstheme="minorHAnsi"/>
        </w:rPr>
        <w:t>VTE</w:t>
      </w:r>
      <w:r w:rsidR="00AC11D8" w:rsidRPr="00397AA7">
        <w:rPr>
          <w:rFonts w:asciiTheme="minorHAnsi" w:hAnsiTheme="minorHAnsi" w:cstheme="minorHAnsi"/>
        </w:rPr>
        <w:t xml:space="preserve"> in the UK</w:t>
      </w:r>
      <w:r w:rsidR="001E176B" w:rsidRPr="00397AA7">
        <w:rPr>
          <w:rFonts w:asciiTheme="minorHAnsi" w:hAnsiTheme="minorHAnsi" w:cstheme="minorHAnsi"/>
        </w:rPr>
        <w:t xml:space="preserve"> (Edoxaban, Rivaroxaban, Dabigatran and Apixaban)</w:t>
      </w:r>
      <w:r w:rsidR="00511EEA" w:rsidRPr="00397AA7">
        <w:rPr>
          <w:rFonts w:asciiTheme="minorHAnsi" w:hAnsiTheme="minorHAnsi" w:cstheme="minorHAnsi"/>
        </w:rPr>
        <w:t xml:space="preserve"> [</w:t>
      </w:r>
      <w:r w:rsidR="00A7557F" w:rsidRPr="00397AA7">
        <w:rPr>
          <w:rFonts w:asciiTheme="minorHAnsi" w:hAnsiTheme="minorHAnsi" w:cstheme="minorHAnsi"/>
        </w:rPr>
        <w:t>6,7,8,9</w:t>
      </w:r>
      <w:r w:rsidR="00511EEA" w:rsidRPr="00397AA7">
        <w:rPr>
          <w:rFonts w:asciiTheme="minorHAnsi" w:hAnsiTheme="minorHAnsi" w:cstheme="minorHAnsi"/>
        </w:rPr>
        <w:t>].</w:t>
      </w:r>
      <w:r w:rsidR="00E82EFF" w:rsidRPr="00397AA7">
        <w:rPr>
          <w:rFonts w:asciiTheme="minorHAnsi" w:hAnsiTheme="minorHAnsi" w:cstheme="minorHAnsi"/>
          <w:vertAlign w:val="superscript"/>
        </w:rPr>
        <w:t xml:space="preserve"> </w:t>
      </w:r>
      <w:r w:rsidR="00AF6587" w:rsidRPr="00397AA7">
        <w:rPr>
          <w:rFonts w:asciiTheme="minorHAnsi" w:hAnsiTheme="minorHAnsi" w:cstheme="minorHAnsi"/>
        </w:rPr>
        <w:t xml:space="preserve">Large-scale studies in </w:t>
      </w:r>
      <w:r w:rsidR="00A4639A" w:rsidRPr="00397AA7">
        <w:rPr>
          <w:rFonts w:asciiTheme="minorHAnsi" w:hAnsiTheme="minorHAnsi" w:cstheme="minorHAnsi"/>
        </w:rPr>
        <w:t>acute</w:t>
      </w:r>
      <w:r w:rsidR="00AF6587" w:rsidRPr="00397AA7">
        <w:rPr>
          <w:rFonts w:asciiTheme="minorHAnsi" w:hAnsiTheme="minorHAnsi" w:cstheme="minorHAnsi"/>
        </w:rPr>
        <w:t xml:space="preserve"> VTE </w:t>
      </w:r>
      <w:r w:rsidR="00A4639A" w:rsidRPr="00397AA7">
        <w:rPr>
          <w:rFonts w:asciiTheme="minorHAnsi" w:hAnsiTheme="minorHAnsi" w:cstheme="minorHAnsi"/>
        </w:rPr>
        <w:t>indicate</w:t>
      </w:r>
      <w:r w:rsidR="00AF6587" w:rsidRPr="00397AA7">
        <w:rPr>
          <w:rFonts w:asciiTheme="minorHAnsi" w:hAnsiTheme="minorHAnsi" w:cstheme="minorHAnsi"/>
        </w:rPr>
        <w:t xml:space="preserve"> DOACs to be as effect</w:t>
      </w:r>
      <w:r w:rsidR="00CA0C43" w:rsidRPr="00397AA7">
        <w:rPr>
          <w:rFonts w:asciiTheme="minorHAnsi" w:hAnsiTheme="minorHAnsi" w:cstheme="minorHAnsi"/>
        </w:rPr>
        <w:t>ive in preventing VTE</w:t>
      </w:r>
      <w:r w:rsidR="00AF6587" w:rsidRPr="00397AA7">
        <w:rPr>
          <w:rFonts w:asciiTheme="minorHAnsi" w:hAnsiTheme="minorHAnsi" w:cstheme="minorHAnsi"/>
        </w:rPr>
        <w:t xml:space="preserve"> </w:t>
      </w:r>
      <w:r w:rsidR="00A4639A" w:rsidRPr="00397AA7">
        <w:rPr>
          <w:rFonts w:asciiTheme="minorHAnsi" w:hAnsiTheme="minorHAnsi" w:cstheme="minorHAnsi"/>
        </w:rPr>
        <w:t xml:space="preserve">and </w:t>
      </w:r>
      <w:r w:rsidR="00AF6587" w:rsidRPr="00397AA7">
        <w:rPr>
          <w:rFonts w:asciiTheme="minorHAnsi" w:hAnsiTheme="minorHAnsi" w:cstheme="minorHAnsi"/>
        </w:rPr>
        <w:t xml:space="preserve">with </w:t>
      </w:r>
      <w:r w:rsidR="003C2D74" w:rsidRPr="00397AA7">
        <w:rPr>
          <w:rFonts w:asciiTheme="minorHAnsi" w:hAnsiTheme="minorHAnsi" w:cstheme="minorHAnsi"/>
        </w:rPr>
        <w:t>fewer</w:t>
      </w:r>
      <w:r w:rsidR="00AF6587" w:rsidRPr="00397AA7">
        <w:rPr>
          <w:rFonts w:asciiTheme="minorHAnsi" w:hAnsiTheme="minorHAnsi" w:cstheme="minorHAnsi"/>
        </w:rPr>
        <w:t xml:space="preserve"> major bleeding complications</w:t>
      </w:r>
      <w:r w:rsidR="00A4639A" w:rsidRPr="00397AA7">
        <w:rPr>
          <w:rFonts w:asciiTheme="minorHAnsi" w:hAnsiTheme="minorHAnsi" w:cstheme="minorHAnsi"/>
        </w:rPr>
        <w:t xml:space="preserve"> than VKAs</w:t>
      </w:r>
      <w:r w:rsidR="00511EEA" w:rsidRPr="00397AA7">
        <w:rPr>
          <w:rFonts w:asciiTheme="minorHAnsi" w:hAnsiTheme="minorHAnsi" w:cstheme="minorHAnsi"/>
        </w:rPr>
        <w:t xml:space="preserve"> [</w:t>
      </w:r>
      <w:r w:rsidR="00A7557F" w:rsidRPr="00397AA7">
        <w:rPr>
          <w:rFonts w:asciiTheme="minorHAnsi" w:hAnsiTheme="minorHAnsi" w:cstheme="minorHAnsi"/>
        </w:rPr>
        <w:t>10</w:t>
      </w:r>
      <w:r w:rsidR="00C21DC7" w:rsidRPr="00397AA7">
        <w:rPr>
          <w:rFonts w:asciiTheme="minorHAnsi" w:hAnsiTheme="minorHAnsi" w:cstheme="minorHAnsi"/>
        </w:rPr>
        <w:t>,</w:t>
      </w:r>
      <w:r w:rsidR="00A7557F" w:rsidRPr="00397AA7">
        <w:rPr>
          <w:rFonts w:asciiTheme="minorHAnsi" w:hAnsiTheme="minorHAnsi" w:cstheme="minorHAnsi"/>
        </w:rPr>
        <w:t>11</w:t>
      </w:r>
      <w:r w:rsidR="00C21DC7" w:rsidRPr="00397AA7">
        <w:rPr>
          <w:rFonts w:asciiTheme="minorHAnsi" w:hAnsiTheme="minorHAnsi" w:cstheme="minorHAnsi"/>
        </w:rPr>
        <w:t>,</w:t>
      </w:r>
      <w:r w:rsidR="00A7557F" w:rsidRPr="00397AA7">
        <w:rPr>
          <w:rFonts w:asciiTheme="minorHAnsi" w:hAnsiTheme="minorHAnsi" w:cstheme="minorHAnsi"/>
        </w:rPr>
        <w:t>12</w:t>
      </w:r>
      <w:r w:rsidR="00511EEA" w:rsidRPr="00397AA7">
        <w:rPr>
          <w:rFonts w:asciiTheme="minorHAnsi" w:hAnsiTheme="minorHAnsi" w:cstheme="minorHAnsi"/>
        </w:rPr>
        <w:t>].</w:t>
      </w:r>
      <w:r w:rsidR="0038150B" w:rsidRPr="00397AA7">
        <w:rPr>
          <w:rFonts w:asciiTheme="minorHAnsi" w:hAnsiTheme="minorHAnsi" w:cstheme="minorHAnsi"/>
        </w:rPr>
        <w:t xml:space="preserve"> Given the similar efficacy, </w:t>
      </w:r>
      <w:r w:rsidR="00A4639A" w:rsidRPr="00397AA7">
        <w:rPr>
          <w:rFonts w:asciiTheme="minorHAnsi" w:hAnsiTheme="minorHAnsi" w:cstheme="minorHAnsi"/>
        </w:rPr>
        <w:t xml:space="preserve">potential </w:t>
      </w:r>
      <w:r w:rsidR="0038150B" w:rsidRPr="00397AA7">
        <w:rPr>
          <w:rFonts w:asciiTheme="minorHAnsi" w:hAnsiTheme="minorHAnsi" w:cstheme="minorHAnsi"/>
        </w:rPr>
        <w:t xml:space="preserve">lower side-effect profile and administrative convenience of DOACs over VKAs, </w:t>
      </w:r>
      <w:r w:rsidR="00A85A2D" w:rsidRPr="00397AA7">
        <w:rPr>
          <w:rFonts w:asciiTheme="minorHAnsi" w:hAnsiTheme="minorHAnsi" w:cstheme="minorHAnsi"/>
        </w:rPr>
        <w:t xml:space="preserve">the number of patients </w:t>
      </w:r>
      <w:r w:rsidR="00A4639A" w:rsidRPr="00397AA7">
        <w:rPr>
          <w:rFonts w:asciiTheme="minorHAnsi" w:hAnsiTheme="minorHAnsi" w:cstheme="minorHAnsi"/>
        </w:rPr>
        <w:t xml:space="preserve">on DOACs </w:t>
      </w:r>
      <w:r w:rsidR="00A85A2D" w:rsidRPr="00397AA7">
        <w:rPr>
          <w:rFonts w:asciiTheme="minorHAnsi" w:hAnsiTheme="minorHAnsi" w:cstheme="minorHAnsi"/>
        </w:rPr>
        <w:t xml:space="preserve">presenting to CTEPH centres </w:t>
      </w:r>
      <w:r w:rsidR="00636DCA" w:rsidRPr="00397AA7">
        <w:rPr>
          <w:rFonts w:asciiTheme="minorHAnsi" w:hAnsiTheme="minorHAnsi" w:cstheme="minorHAnsi"/>
        </w:rPr>
        <w:t xml:space="preserve">is rising and in some </w:t>
      </w:r>
      <w:r w:rsidR="00A4639A" w:rsidRPr="00397AA7">
        <w:rPr>
          <w:rFonts w:asciiTheme="minorHAnsi" w:hAnsiTheme="minorHAnsi" w:cstheme="minorHAnsi"/>
        </w:rPr>
        <w:t xml:space="preserve">regions </w:t>
      </w:r>
      <w:r w:rsidR="006B0B86" w:rsidRPr="00397AA7">
        <w:rPr>
          <w:rFonts w:asciiTheme="minorHAnsi" w:hAnsiTheme="minorHAnsi" w:cstheme="minorHAnsi"/>
        </w:rPr>
        <w:t xml:space="preserve">now </w:t>
      </w:r>
      <w:r w:rsidR="00A4639A" w:rsidRPr="00397AA7">
        <w:rPr>
          <w:rFonts w:asciiTheme="minorHAnsi" w:hAnsiTheme="minorHAnsi" w:cstheme="minorHAnsi"/>
        </w:rPr>
        <w:t>supersedes</w:t>
      </w:r>
      <w:r w:rsidR="00D618E0" w:rsidRPr="00397AA7">
        <w:rPr>
          <w:rFonts w:asciiTheme="minorHAnsi" w:hAnsiTheme="minorHAnsi" w:cstheme="minorHAnsi"/>
        </w:rPr>
        <w:t xml:space="preserve"> </w:t>
      </w:r>
      <w:r w:rsidR="00A4639A" w:rsidRPr="00397AA7">
        <w:rPr>
          <w:rFonts w:asciiTheme="minorHAnsi" w:hAnsiTheme="minorHAnsi" w:cstheme="minorHAnsi"/>
        </w:rPr>
        <w:t>VKA</w:t>
      </w:r>
      <w:r w:rsidR="00E14F2D" w:rsidRPr="00397AA7">
        <w:rPr>
          <w:rFonts w:asciiTheme="minorHAnsi" w:hAnsiTheme="minorHAnsi" w:cstheme="minorHAnsi"/>
        </w:rPr>
        <w:t xml:space="preserve"> use</w:t>
      </w:r>
      <w:r w:rsidR="00511EEA" w:rsidRPr="00397AA7">
        <w:rPr>
          <w:rFonts w:asciiTheme="minorHAnsi" w:hAnsiTheme="minorHAnsi" w:cstheme="minorHAnsi"/>
        </w:rPr>
        <w:t xml:space="preserve"> [</w:t>
      </w:r>
      <w:r w:rsidR="00050753" w:rsidRPr="00397AA7">
        <w:rPr>
          <w:rFonts w:asciiTheme="minorHAnsi" w:hAnsiTheme="minorHAnsi" w:cstheme="minorHAnsi"/>
        </w:rPr>
        <w:t>13</w:t>
      </w:r>
      <w:r w:rsidR="00511EEA" w:rsidRPr="00397AA7">
        <w:rPr>
          <w:rFonts w:asciiTheme="minorHAnsi" w:hAnsiTheme="minorHAnsi" w:cstheme="minorHAnsi"/>
        </w:rPr>
        <w:t>].</w:t>
      </w:r>
      <w:r w:rsidR="00A85A2D" w:rsidRPr="00397AA7">
        <w:rPr>
          <w:rFonts w:asciiTheme="minorHAnsi" w:hAnsiTheme="minorHAnsi" w:cstheme="minorHAnsi"/>
        </w:rPr>
        <w:t xml:space="preserve"> </w:t>
      </w:r>
      <w:r w:rsidR="00D618E0" w:rsidRPr="00397AA7">
        <w:rPr>
          <w:rFonts w:asciiTheme="minorHAnsi" w:hAnsiTheme="minorHAnsi" w:cstheme="minorHAnsi"/>
        </w:rPr>
        <w:t xml:space="preserve">Given </w:t>
      </w:r>
      <w:r w:rsidR="009D1A62" w:rsidRPr="00397AA7">
        <w:rPr>
          <w:rFonts w:asciiTheme="minorHAnsi" w:hAnsiTheme="minorHAnsi" w:cstheme="minorHAnsi"/>
        </w:rPr>
        <w:t xml:space="preserve">limited </w:t>
      </w:r>
      <w:r w:rsidR="00D618E0" w:rsidRPr="00397AA7">
        <w:rPr>
          <w:rFonts w:asciiTheme="minorHAnsi" w:hAnsiTheme="minorHAnsi" w:cstheme="minorHAnsi"/>
        </w:rPr>
        <w:t>data regarding the safety and efficacy o</w:t>
      </w:r>
      <w:r w:rsidR="003C627D" w:rsidRPr="00397AA7">
        <w:rPr>
          <w:rFonts w:asciiTheme="minorHAnsi" w:hAnsiTheme="minorHAnsi" w:cstheme="minorHAnsi"/>
        </w:rPr>
        <w:t>f VKAs in CTEPH and the evolving</w:t>
      </w:r>
      <w:r w:rsidR="00D618E0" w:rsidRPr="00397AA7">
        <w:rPr>
          <w:rFonts w:asciiTheme="minorHAnsi" w:hAnsiTheme="minorHAnsi" w:cstheme="minorHAnsi"/>
        </w:rPr>
        <w:t xml:space="preserve"> us</w:t>
      </w:r>
      <w:r w:rsidR="00675FAC" w:rsidRPr="00397AA7">
        <w:rPr>
          <w:rFonts w:asciiTheme="minorHAnsi" w:hAnsiTheme="minorHAnsi" w:cstheme="minorHAnsi"/>
        </w:rPr>
        <w:t>e of DOACs</w:t>
      </w:r>
      <w:r w:rsidR="009D1A62" w:rsidRPr="00397AA7">
        <w:rPr>
          <w:rFonts w:asciiTheme="minorHAnsi" w:hAnsiTheme="minorHAnsi" w:cstheme="minorHAnsi"/>
        </w:rPr>
        <w:t>,</w:t>
      </w:r>
      <w:r w:rsidR="00675FAC" w:rsidRPr="00397AA7">
        <w:rPr>
          <w:rFonts w:asciiTheme="minorHAnsi" w:hAnsiTheme="minorHAnsi" w:cstheme="minorHAnsi"/>
        </w:rPr>
        <w:t xml:space="preserve"> an evaluation of anticoagulation in CTEPH is </w:t>
      </w:r>
      <w:r w:rsidR="009D1A62" w:rsidRPr="00397AA7">
        <w:rPr>
          <w:rFonts w:asciiTheme="minorHAnsi" w:hAnsiTheme="minorHAnsi" w:cstheme="minorHAnsi"/>
        </w:rPr>
        <w:t>warranted</w:t>
      </w:r>
      <w:r w:rsidR="00C56192" w:rsidRPr="00397AA7">
        <w:rPr>
          <w:rFonts w:asciiTheme="minorHAnsi" w:hAnsiTheme="minorHAnsi" w:cstheme="minorHAnsi"/>
        </w:rPr>
        <w:t xml:space="preserve">. </w:t>
      </w:r>
      <w:r w:rsidR="00675FAC" w:rsidRPr="00397AA7">
        <w:rPr>
          <w:rFonts w:asciiTheme="minorHAnsi" w:hAnsiTheme="minorHAnsi" w:cstheme="minorHAnsi"/>
        </w:rPr>
        <w:t xml:space="preserve"> </w:t>
      </w:r>
    </w:p>
    <w:p w14:paraId="18EC7575" w14:textId="4262C812" w:rsidR="004A143B" w:rsidRPr="00397AA7" w:rsidRDefault="004A143B" w:rsidP="00A04A32">
      <w:pPr>
        <w:spacing w:line="480" w:lineRule="auto"/>
        <w:jc w:val="both"/>
        <w:rPr>
          <w:rFonts w:asciiTheme="minorHAnsi" w:hAnsiTheme="minorHAnsi" w:cstheme="minorHAnsi"/>
        </w:rPr>
      </w:pPr>
    </w:p>
    <w:p w14:paraId="385010E3" w14:textId="6AA3C547" w:rsidR="00084951" w:rsidRPr="00397AA7" w:rsidRDefault="001C7D38" w:rsidP="00A04A32">
      <w:pPr>
        <w:spacing w:line="480" w:lineRule="auto"/>
        <w:jc w:val="both"/>
        <w:rPr>
          <w:rFonts w:asciiTheme="minorHAnsi" w:hAnsiTheme="minorHAnsi" w:cstheme="minorHAnsi"/>
        </w:rPr>
      </w:pPr>
      <w:r w:rsidRPr="00397AA7">
        <w:rPr>
          <w:rFonts w:asciiTheme="minorHAnsi" w:hAnsiTheme="minorHAnsi" w:cstheme="minorHAnsi"/>
          <w:b/>
        </w:rPr>
        <w:t>M</w:t>
      </w:r>
      <w:r w:rsidR="0038150B" w:rsidRPr="00397AA7">
        <w:rPr>
          <w:rFonts w:asciiTheme="minorHAnsi" w:hAnsiTheme="minorHAnsi" w:cstheme="minorHAnsi"/>
          <w:b/>
        </w:rPr>
        <w:t>ethod</w:t>
      </w:r>
      <w:r w:rsidR="003B2277" w:rsidRPr="00397AA7">
        <w:rPr>
          <w:rFonts w:asciiTheme="minorHAnsi" w:hAnsiTheme="minorHAnsi" w:cstheme="minorHAnsi"/>
          <w:b/>
        </w:rPr>
        <w:t>s</w:t>
      </w:r>
    </w:p>
    <w:p w14:paraId="72A4B365" w14:textId="33832F37" w:rsidR="00084951" w:rsidRPr="00397AA7" w:rsidRDefault="00084951" w:rsidP="00A04A32">
      <w:pPr>
        <w:spacing w:line="480" w:lineRule="auto"/>
        <w:jc w:val="both"/>
        <w:outlineLvl w:val="0"/>
        <w:rPr>
          <w:rFonts w:asciiTheme="minorHAnsi" w:hAnsiTheme="minorHAnsi" w:cstheme="minorHAnsi"/>
          <w:u w:val="single"/>
        </w:rPr>
      </w:pPr>
      <w:r w:rsidRPr="00397AA7">
        <w:rPr>
          <w:rFonts w:asciiTheme="minorHAnsi" w:hAnsiTheme="minorHAnsi" w:cstheme="minorHAnsi"/>
          <w:u w:val="single"/>
        </w:rPr>
        <w:t>Patient Selection</w:t>
      </w:r>
    </w:p>
    <w:p w14:paraId="11FBF135" w14:textId="7F540F87" w:rsidR="00B83C20" w:rsidRPr="00397AA7" w:rsidRDefault="0038150B" w:rsidP="00A04A32">
      <w:pPr>
        <w:spacing w:line="480" w:lineRule="auto"/>
        <w:jc w:val="both"/>
        <w:rPr>
          <w:rFonts w:asciiTheme="minorHAnsi" w:hAnsiTheme="minorHAnsi" w:cstheme="minorHAnsi"/>
        </w:rPr>
      </w:pPr>
      <w:r w:rsidRPr="00397AA7">
        <w:rPr>
          <w:rFonts w:asciiTheme="minorHAnsi" w:hAnsiTheme="minorHAnsi" w:cstheme="minorHAnsi"/>
        </w:rPr>
        <w:t>Consecutive CTEPH patients undergoing</w:t>
      </w:r>
      <w:r w:rsidR="009E4BF3" w:rsidRPr="00397AA7">
        <w:rPr>
          <w:rFonts w:asciiTheme="minorHAnsi" w:hAnsiTheme="minorHAnsi" w:cstheme="minorHAnsi"/>
        </w:rPr>
        <w:t xml:space="preserve"> </w:t>
      </w:r>
      <w:r w:rsidRPr="00397AA7">
        <w:rPr>
          <w:rFonts w:asciiTheme="minorHAnsi" w:hAnsiTheme="minorHAnsi" w:cstheme="minorHAnsi"/>
        </w:rPr>
        <w:t>PEA</w:t>
      </w:r>
      <w:r w:rsidR="00434607" w:rsidRPr="00397AA7">
        <w:rPr>
          <w:rFonts w:asciiTheme="minorHAnsi" w:hAnsiTheme="minorHAnsi" w:cstheme="minorHAnsi"/>
        </w:rPr>
        <w:t xml:space="preserve"> at the UK National PEA</w:t>
      </w:r>
      <w:r w:rsidRPr="00397AA7">
        <w:rPr>
          <w:rFonts w:asciiTheme="minorHAnsi" w:hAnsiTheme="minorHAnsi" w:cstheme="minorHAnsi"/>
        </w:rPr>
        <w:t xml:space="preserve"> Centre (Royal Papworth Hospital) </w:t>
      </w:r>
      <w:r w:rsidR="00434607" w:rsidRPr="00397AA7">
        <w:rPr>
          <w:rFonts w:asciiTheme="minorHAnsi" w:hAnsiTheme="minorHAnsi" w:cstheme="minorHAnsi"/>
        </w:rPr>
        <w:t xml:space="preserve">between </w:t>
      </w:r>
      <w:r w:rsidR="00852D8E" w:rsidRPr="00397AA7">
        <w:rPr>
          <w:rFonts w:asciiTheme="minorHAnsi" w:hAnsiTheme="minorHAnsi" w:cstheme="minorHAnsi"/>
        </w:rPr>
        <w:t xml:space="preserve">1 </w:t>
      </w:r>
      <w:r w:rsidR="00434607" w:rsidRPr="00397AA7">
        <w:rPr>
          <w:rFonts w:asciiTheme="minorHAnsi" w:hAnsiTheme="minorHAnsi" w:cstheme="minorHAnsi"/>
        </w:rPr>
        <w:t xml:space="preserve">August 2007 and </w:t>
      </w:r>
      <w:r w:rsidR="00521709" w:rsidRPr="00397AA7">
        <w:rPr>
          <w:rFonts w:asciiTheme="minorHAnsi" w:hAnsiTheme="minorHAnsi" w:cstheme="minorHAnsi"/>
        </w:rPr>
        <w:t>30</w:t>
      </w:r>
      <w:r w:rsidR="00852D8E" w:rsidRPr="00397AA7">
        <w:rPr>
          <w:rFonts w:asciiTheme="minorHAnsi" w:hAnsiTheme="minorHAnsi" w:cstheme="minorHAnsi"/>
        </w:rPr>
        <w:t xml:space="preserve"> </w:t>
      </w:r>
      <w:r w:rsidR="00521709" w:rsidRPr="00397AA7">
        <w:rPr>
          <w:rFonts w:asciiTheme="minorHAnsi" w:hAnsiTheme="minorHAnsi" w:cstheme="minorHAnsi"/>
        </w:rPr>
        <w:t>June</w:t>
      </w:r>
      <w:r w:rsidR="00434607" w:rsidRPr="00397AA7">
        <w:rPr>
          <w:rFonts w:asciiTheme="minorHAnsi" w:hAnsiTheme="minorHAnsi" w:cstheme="minorHAnsi"/>
        </w:rPr>
        <w:t xml:space="preserve"> 201</w:t>
      </w:r>
      <w:r w:rsidR="00521709" w:rsidRPr="00397AA7">
        <w:rPr>
          <w:rFonts w:asciiTheme="minorHAnsi" w:hAnsiTheme="minorHAnsi" w:cstheme="minorHAnsi"/>
        </w:rPr>
        <w:t xml:space="preserve">8 </w:t>
      </w:r>
      <w:r w:rsidRPr="00397AA7">
        <w:rPr>
          <w:rFonts w:asciiTheme="minorHAnsi" w:hAnsiTheme="minorHAnsi" w:cstheme="minorHAnsi"/>
        </w:rPr>
        <w:t>were included in a retrospective analysis</w:t>
      </w:r>
      <w:r w:rsidR="006967F6" w:rsidRPr="00397AA7">
        <w:rPr>
          <w:rFonts w:asciiTheme="minorHAnsi" w:hAnsiTheme="minorHAnsi" w:cstheme="minorHAnsi"/>
        </w:rPr>
        <w:t>.</w:t>
      </w:r>
      <w:r w:rsidR="00C01D4B" w:rsidRPr="00397AA7">
        <w:rPr>
          <w:rFonts w:asciiTheme="minorHAnsi" w:hAnsiTheme="minorHAnsi" w:cstheme="minorHAnsi"/>
        </w:rPr>
        <w:t xml:space="preserve"> </w:t>
      </w:r>
      <w:r w:rsidR="00EF120B" w:rsidRPr="00397AA7">
        <w:rPr>
          <w:rFonts w:asciiTheme="minorHAnsi" w:hAnsiTheme="minorHAnsi" w:cstheme="minorHAnsi"/>
        </w:rPr>
        <w:t xml:space="preserve">Follow-up was included up to 1 March 2019. </w:t>
      </w:r>
      <w:r w:rsidR="00C01D4B" w:rsidRPr="00397AA7">
        <w:rPr>
          <w:rFonts w:asciiTheme="minorHAnsi" w:hAnsiTheme="minorHAnsi" w:cstheme="minorHAnsi"/>
        </w:rPr>
        <w:t>Paediatric cases, t</w:t>
      </w:r>
      <w:r w:rsidR="00AC11D8" w:rsidRPr="00397AA7">
        <w:rPr>
          <w:rFonts w:asciiTheme="minorHAnsi" w:hAnsiTheme="minorHAnsi" w:cstheme="minorHAnsi"/>
        </w:rPr>
        <w:t>hose with chronic thromboembolism without pulmonary hypertension</w:t>
      </w:r>
      <w:r w:rsidR="007557B9" w:rsidRPr="00397AA7">
        <w:rPr>
          <w:rFonts w:asciiTheme="minorHAnsi" w:hAnsiTheme="minorHAnsi" w:cstheme="minorHAnsi"/>
        </w:rPr>
        <w:t xml:space="preserve"> </w:t>
      </w:r>
      <w:r w:rsidR="00C01D4B" w:rsidRPr="00397AA7">
        <w:rPr>
          <w:rFonts w:asciiTheme="minorHAnsi" w:hAnsiTheme="minorHAnsi" w:cstheme="minorHAnsi"/>
        </w:rPr>
        <w:t>(</w:t>
      </w:r>
      <w:r w:rsidR="000516F0" w:rsidRPr="00397AA7">
        <w:rPr>
          <w:rFonts w:asciiTheme="minorHAnsi" w:hAnsiTheme="minorHAnsi" w:cstheme="minorHAnsi"/>
        </w:rPr>
        <w:t>mpap</w:t>
      </w:r>
      <w:r w:rsidR="00C01D4B" w:rsidRPr="00397AA7">
        <w:rPr>
          <w:rFonts w:asciiTheme="minorHAnsi" w:hAnsiTheme="minorHAnsi" w:cstheme="minorHAnsi"/>
        </w:rPr>
        <w:t xml:space="preserve"> </w:t>
      </w:r>
      <w:r w:rsidR="00256D9F" w:rsidRPr="00397AA7">
        <w:rPr>
          <w:rFonts w:asciiTheme="minorHAnsi" w:hAnsiTheme="minorHAnsi" w:cstheme="minorHAnsi"/>
        </w:rPr>
        <w:sym w:font="Symbol" w:char="F0A3"/>
      </w:r>
      <w:r w:rsidR="00DA2276" w:rsidRPr="00397AA7">
        <w:rPr>
          <w:rFonts w:asciiTheme="minorHAnsi" w:hAnsiTheme="minorHAnsi" w:cstheme="minorHAnsi"/>
        </w:rPr>
        <w:t xml:space="preserve"> </w:t>
      </w:r>
      <w:r w:rsidR="00C01D4B" w:rsidRPr="00397AA7">
        <w:rPr>
          <w:rFonts w:asciiTheme="minorHAnsi" w:hAnsiTheme="minorHAnsi" w:cstheme="minorHAnsi"/>
        </w:rPr>
        <w:t>2</w:t>
      </w:r>
      <w:r w:rsidR="00521709" w:rsidRPr="00397AA7">
        <w:rPr>
          <w:rFonts w:asciiTheme="minorHAnsi" w:hAnsiTheme="minorHAnsi" w:cstheme="minorHAnsi"/>
        </w:rPr>
        <w:t>0</w:t>
      </w:r>
      <w:r w:rsidR="00C01D4B" w:rsidRPr="00397AA7">
        <w:rPr>
          <w:rFonts w:asciiTheme="minorHAnsi" w:hAnsiTheme="minorHAnsi" w:cstheme="minorHAnsi"/>
        </w:rPr>
        <w:t>mmHg)</w:t>
      </w:r>
      <w:r w:rsidR="00511EEA" w:rsidRPr="00397AA7">
        <w:rPr>
          <w:rFonts w:asciiTheme="minorHAnsi" w:hAnsiTheme="minorHAnsi" w:cstheme="minorHAnsi"/>
        </w:rPr>
        <w:t xml:space="preserve"> </w:t>
      </w:r>
      <w:r w:rsidR="00511EEA" w:rsidRPr="00397AA7">
        <w:rPr>
          <w:rFonts w:asciiTheme="minorHAnsi" w:hAnsiTheme="minorHAnsi" w:cstheme="minorHAnsi"/>
          <w:color w:val="000000" w:themeColor="text1"/>
        </w:rPr>
        <w:t>[</w:t>
      </w:r>
      <w:r w:rsidR="00050753" w:rsidRPr="00397AA7">
        <w:rPr>
          <w:rFonts w:asciiTheme="minorHAnsi" w:hAnsiTheme="minorHAnsi" w:cstheme="minorHAnsi"/>
          <w:color w:val="000000" w:themeColor="text1"/>
        </w:rPr>
        <w:t>14</w:t>
      </w:r>
      <w:r w:rsidR="00511EEA" w:rsidRPr="00397AA7">
        <w:rPr>
          <w:rFonts w:asciiTheme="minorHAnsi" w:hAnsiTheme="minorHAnsi" w:cstheme="minorHAnsi"/>
          <w:color w:val="000000" w:themeColor="text1"/>
        </w:rPr>
        <w:t>]</w:t>
      </w:r>
      <w:r w:rsidR="00C01D4B" w:rsidRPr="00397AA7">
        <w:rPr>
          <w:rFonts w:asciiTheme="minorHAnsi" w:hAnsiTheme="minorHAnsi" w:cstheme="minorHAnsi"/>
          <w:color w:val="000000" w:themeColor="text1"/>
        </w:rPr>
        <w:t xml:space="preserve"> </w:t>
      </w:r>
      <w:r w:rsidR="00C01D4B" w:rsidRPr="00397AA7">
        <w:rPr>
          <w:rFonts w:asciiTheme="minorHAnsi" w:hAnsiTheme="minorHAnsi" w:cstheme="minorHAnsi"/>
        </w:rPr>
        <w:t>and individuals with CTEPH mimicking conditions (eg. vasculitis and sarcoma) were excluded from analysis</w:t>
      </w:r>
      <w:r w:rsidR="00C17D38" w:rsidRPr="00397AA7">
        <w:rPr>
          <w:rFonts w:asciiTheme="minorHAnsi" w:hAnsiTheme="minorHAnsi" w:cstheme="minorHAnsi"/>
        </w:rPr>
        <w:t>.</w:t>
      </w:r>
      <w:r w:rsidR="00F04757" w:rsidRPr="00397AA7">
        <w:rPr>
          <w:rFonts w:asciiTheme="minorHAnsi" w:hAnsiTheme="minorHAnsi" w:cstheme="minorHAnsi"/>
        </w:rPr>
        <w:t xml:space="preserve"> The diagnosis of CTEPH was </w:t>
      </w:r>
      <w:r w:rsidR="00511EEA" w:rsidRPr="00397AA7">
        <w:rPr>
          <w:rFonts w:asciiTheme="minorHAnsi" w:hAnsiTheme="minorHAnsi" w:cstheme="minorHAnsi"/>
        </w:rPr>
        <w:t xml:space="preserve">based on international criteria </w:t>
      </w:r>
      <w:r w:rsidR="00511EEA" w:rsidRPr="00397AA7">
        <w:rPr>
          <w:rFonts w:asciiTheme="minorHAnsi" w:hAnsiTheme="minorHAnsi" w:cstheme="minorHAnsi"/>
          <w:color w:val="000000" w:themeColor="text1"/>
        </w:rPr>
        <w:t>[</w:t>
      </w:r>
      <w:r w:rsidR="00F04757" w:rsidRPr="00397AA7">
        <w:rPr>
          <w:rFonts w:asciiTheme="minorHAnsi" w:hAnsiTheme="minorHAnsi" w:cstheme="minorHAnsi"/>
          <w:color w:val="000000" w:themeColor="text1"/>
        </w:rPr>
        <w:t>1</w:t>
      </w:r>
      <w:r w:rsidR="00511EEA" w:rsidRPr="00397AA7">
        <w:rPr>
          <w:rFonts w:asciiTheme="minorHAnsi" w:hAnsiTheme="minorHAnsi" w:cstheme="minorHAnsi"/>
          <w:color w:val="000000" w:themeColor="text1"/>
        </w:rPr>
        <w:t>].</w:t>
      </w:r>
      <w:r w:rsidR="003F53F5" w:rsidRPr="00397AA7">
        <w:rPr>
          <w:rFonts w:asciiTheme="minorHAnsi" w:hAnsiTheme="minorHAnsi" w:cstheme="minorHAnsi"/>
          <w:color w:val="000000" w:themeColor="text1"/>
        </w:rPr>
        <w:t xml:space="preserve"> </w:t>
      </w:r>
      <w:r w:rsidRPr="00397AA7">
        <w:rPr>
          <w:rFonts w:asciiTheme="minorHAnsi" w:hAnsiTheme="minorHAnsi" w:cstheme="minorHAnsi"/>
        </w:rPr>
        <w:t xml:space="preserve">Suitability for </w:t>
      </w:r>
      <w:r w:rsidR="00207750" w:rsidRPr="00397AA7">
        <w:rPr>
          <w:rFonts w:asciiTheme="minorHAnsi" w:hAnsiTheme="minorHAnsi" w:cstheme="minorHAnsi"/>
        </w:rPr>
        <w:t>PEA</w:t>
      </w:r>
      <w:r w:rsidR="009E4BF3" w:rsidRPr="00397AA7">
        <w:rPr>
          <w:rFonts w:asciiTheme="minorHAnsi" w:hAnsiTheme="minorHAnsi" w:cstheme="minorHAnsi"/>
        </w:rPr>
        <w:t xml:space="preserve"> </w:t>
      </w:r>
      <w:r w:rsidRPr="00397AA7">
        <w:rPr>
          <w:rFonts w:asciiTheme="minorHAnsi" w:hAnsiTheme="minorHAnsi" w:cstheme="minorHAnsi"/>
        </w:rPr>
        <w:t>was determined by a m</w:t>
      </w:r>
      <w:r w:rsidR="00AC11D8" w:rsidRPr="00397AA7">
        <w:rPr>
          <w:rFonts w:asciiTheme="minorHAnsi" w:hAnsiTheme="minorHAnsi" w:cstheme="minorHAnsi"/>
        </w:rPr>
        <w:t>ultidisciplinary team comprised</w:t>
      </w:r>
      <w:r w:rsidRPr="00397AA7">
        <w:rPr>
          <w:rFonts w:asciiTheme="minorHAnsi" w:hAnsiTheme="minorHAnsi" w:cstheme="minorHAnsi"/>
        </w:rPr>
        <w:t xml:space="preserve"> of pulmonary hypertension physicians, specialist cardiothoracic radiologists and pu</w:t>
      </w:r>
      <w:r w:rsidR="00434607" w:rsidRPr="00397AA7">
        <w:rPr>
          <w:rFonts w:asciiTheme="minorHAnsi" w:hAnsiTheme="minorHAnsi" w:cstheme="minorHAnsi"/>
        </w:rPr>
        <w:t>lmonary endarterectomy surgeons.</w:t>
      </w:r>
      <w:r w:rsidR="00245CCD" w:rsidRPr="00397AA7">
        <w:rPr>
          <w:rFonts w:asciiTheme="minorHAnsi" w:hAnsiTheme="minorHAnsi" w:cstheme="minorHAnsi"/>
        </w:rPr>
        <w:t xml:space="preserve"> PEA was based on surgical technique</w:t>
      </w:r>
      <w:r w:rsidR="009D1A62" w:rsidRPr="00397AA7">
        <w:rPr>
          <w:rFonts w:asciiTheme="minorHAnsi" w:hAnsiTheme="minorHAnsi" w:cstheme="minorHAnsi"/>
        </w:rPr>
        <w:t xml:space="preserve"> as </w:t>
      </w:r>
      <w:r w:rsidR="00245CCD" w:rsidRPr="00397AA7">
        <w:rPr>
          <w:rFonts w:asciiTheme="minorHAnsi" w:hAnsiTheme="minorHAnsi" w:cstheme="minorHAnsi"/>
        </w:rPr>
        <w:t>previously described</w:t>
      </w:r>
      <w:r w:rsidR="00511EEA" w:rsidRPr="00397AA7">
        <w:rPr>
          <w:rFonts w:asciiTheme="minorHAnsi" w:hAnsiTheme="minorHAnsi" w:cstheme="minorHAnsi"/>
        </w:rPr>
        <w:t xml:space="preserve"> [</w:t>
      </w:r>
      <w:r w:rsidR="00050753" w:rsidRPr="00397AA7">
        <w:rPr>
          <w:rFonts w:asciiTheme="minorHAnsi" w:hAnsiTheme="minorHAnsi" w:cstheme="minorHAnsi"/>
        </w:rPr>
        <w:t>15</w:t>
      </w:r>
      <w:r w:rsidR="00511EEA" w:rsidRPr="00397AA7">
        <w:rPr>
          <w:rFonts w:asciiTheme="minorHAnsi" w:hAnsiTheme="minorHAnsi" w:cstheme="minorHAnsi"/>
        </w:rPr>
        <w:t>].</w:t>
      </w:r>
      <w:r w:rsidR="00EF120B" w:rsidRPr="00397AA7">
        <w:rPr>
          <w:rFonts w:asciiTheme="minorHAnsi" w:hAnsiTheme="minorHAnsi" w:cstheme="minorHAnsi"/>
        </w:rPr>
        <w:t xml:space="preserve"> Follow-up was for a minimum of one year at Royal Papworth Hospital and up to five years under the care of one of the eight UK specialist pulmonary hypertension centres following PEA. </w:t>
      </w:r>
      <w:r w:rsidR="00B83C20" w:rsidRPr="00397AA7">
        <w:rPr>
          <w:rFonts w:asciiTheme="minorHAnsi" w:hAnsiTheme="minorHAnsi" w:cstheme="minorHAnsi"/>
        </w:rPr>
        <w:t xml:space="preserve">This study was </w:t>
      </w:r>
      <w:r w:rsidR="001C7D38" w:rsidRPr="00397AA7">
        <w:rPr>
          <w:rFonts w:asciiTheme="minorHAnsi" w:hAnsiTheme="minorHAnsi" w:cstheme="minorHAnsi"/>
        </w:rPr>
        <w:t xml:space="preserve">deemed </w:t>
      </w:r>
      <w:r w:rsidR="00DD2C85" w:rsidRPr="00397AA7">
        <w:rPr>
          <w:rFonts w:asciiTheme="minorHAnsi" w:hAnsiTheme="minorHAnsi" w:cstheme="minorHAnsi"/>
        </w:rPr>
        <w:t xml:space="preserve">to be </w:t>
      </w:r>
      <w:r w:rsidR="001C7D38" w:rsidRPr="00397AA7">
        <w:rPr>
          <w:rFonts w:asciiTheme="minorHAnsi" w:hAnsiTheme="minorHAnsi" w:cstheme="minorHAnsi"/>
        </w:rPr>
        <w:t xml:space="preserve">research without requiring ethics </w:t>
      </w:r>
      <w:r w:rsidR="00DD2C85" w:rsidRPr="00397AA7">
        <w:rPr>
          <w:rFonts w:asciiTheme="minorHAnsi" w:hAnsiTheme="minorHAnsi" w:cstheme="minorHAnsi"/>
        </w:rPr>
        <w:t xml:space="preserve">by the Royal Papworth Hospital R&amp;D department. </w:t>
      </w:r>
    </w:p>
    <w:p w14:paraId="3130D654" w14:textId="77777777" w:rsidR="00F433EE" w:rsidRPr="00397AA7" w:rsidRDefault="00F433EE" w:rsidP="00A04A32">
      <w:pPr>
        <w:spacing w:line="480" w:lineRule="auto"/>
        <w:jc w:val="both"/>
        <w:rPr>
          <w:rFonts w:asciiTheme="minorHAnsi" w:hAnsiTheme="minorHAnsi" w:cstheme="minorHAnsi"/>
        </w:rPr>
      </w:pPr>
    </w:p>
    <w:p w14:paraId="399B1B06" w14:textId="5BD36988" w:rsidR="00F433EE" w:rsidRPr="00397AA7" w:rsidRDefault="00F433EE" w:rsidP="00A04A32">
      <w:pPr>
        <w:spacing w:line="480" w:lineRule="auto"/>
        <w:jc w:val="both"/>
        <w:outlineLvl w:val="0"/>
        <w:rPr>
          <w:rFonts w:asciiTheme="minorHAnsi" w:hAnsiTheme="minorHAnsi" w:cstheme="minorHAnsi"/>
          <w:u w:val="single"/>
        </w:rPr>
      </w:pPr>
      <w:r w:rsidRPr="00397AA7">
        <w:rPr>
          <w:rFonts w:asciiTheme="minorHAnsi" w:hAnsiTheme="minorHAnsi" w:cstheme="minorHAnsi"/>
          <w:u w:val="single"/>
        </w:rPr>
        <w:t>Study Design</w:t>
      </w:r>
    </w:p>
    <w:p w14:paraId="540A0AA0" w14:textId="13B9DFC0" w:rsidR="006D0BB7" w:rsidRPr="00397AA7" w:rsidRDefault="00C17D38" w:rsidP="00A04A32">
      <w:pPr>
        <w:spacing w:line="480" w:lineRule="auto"/>
        <w:jc w:val="both"/>
        <w:rPr>
          <w:rFonts w:asciiTheme="minorHAnsi" w:hAnsiTheme="minorHAnsi" w:cstheme="minorHAnsi"/>
        </w:rPr>
      </w:pPr>
      <w:r w:rsidRPr="00397AA7">
        <w:rPr>
          <w:rFonts w:asciiTheme="minorHAnsi" w:hAnsiTheme="minorHAnsi" w:cstheme="minorHAnsi"/>
        </w:rPr>
        <w:t>Demographic, f</w:t>
      </w:r>
      <w:r w:rsidR="00F433EE" w:rsidRPr="00397AA7">
        <w:rPr>
          <w:rFonts w:asciiTheme="minorHAnsi" w:hAnsiTheme="minorHAnsi" w:cstheme="minorHAnsi"/>
        </w:rPr>
        <w:t>unctional and haemodynamic data at pre-operative baseline and first follow-up within one year of PEA were collected prospectively in dedicated databases at R</w:t>
      </w:r>
      <w:r w:rsidR="00750EE4" w:rsidRPr="00397AA7">
        <w:rPr>
          <w:rFonts w:asciiTheme="minorHAnsi" w:hAnsiTheme="minorHAnsi" w:cstheme="minorHAnsi"/>
        </w:rPr>
        <w:t>oyal Papworth Hospital. Patient-</w:t>
      </w:r>
      <w:r w:rsidR="00F433EE" w:rsidRPr="00397AA7">
        <w:rPr>
          <w:rFonts w:asciiTheme="minorHAnsi" w:hAnsiTheme="minorHAnsi" w:cstheme="minorHAnsi"/>
        </w:rPr>
        <w:t>reported outcomes w</w:t>
      </w:r>
      <w:r w:rsidRPr="00397AA7">
        <w:rPr>
          <w:rFonts w:asciiTheme="minorHAnsi" w:hAnsiTheme="minorHAnsi" w:cstheme="minorHAnsi"/>
        </w:rPr>
        <w:t>ere</w:t>
      </w:r>
      <w:r w:rsidR="00F433EE" w:rsidRPr="00397AA7">
        <w:rPr>
          <w:rFonts w:asciiTheme="minorHAnsi" w:hAnsiTheme="minorHAnsi" w:cstheme="minorHAnsi"/>
        </w:rPr>
        <w:t xml:space="preserve"> assessed the Cambridge Pulmonary Hypertension Outcome Review (CAMPHOR), a pulmonary hypertension specific health-related outcome measure</w:t>
      </w:r>
      <w:r w:rsidR="00511EEA" w:rsidRPr="00397AA7">
        <w:rPr>
          <w:rFonts w:asciiTheme="minorHAnsi" w:hAnsiTheme="minorHAnsi" w:cstheme="minorHAnsi"/>
        </w:rPr>
        <w:t xml:space="preserve"> </w:t>
      </w:r>
      <w:r w:rsidR="00B3160D" w:rsidRPr="00397AA7">
        <w:rPr>
          <w:rFonts w:asciiTheme="minorHAnsi" w:hAnsiTheme="minorHAnsi" w:cstheme="minorHAnsi"/>
        </w:rPr>
        <w:t xml:space="preserve">comprising three scales evaluating symptoms, activity levels and quality of life. Symptom and Quality of Life scales are both scored out of 25 with Activities having a maximum score of 30. Each CAMPHOR scale is negatively weighted so that a higher </w:t>
      </w:r>
      <w:r w:rsidR="00B3160D" w:rsidRPr="00397AA7">
        <w:rPr>
          <w:rFonts w:asciiTheme="minorHAnsi" w:hAnsiTheme="minorHAnsi" w:cstheme="minorHAnsi"/>
        </w:rPr>
        <w:lastRenderedPageBreak/>
        <w:t xml:space="preserve">score reflects worse quality-of-life and greater functional limitation </w:t>
      </w:r>
      <w:r w:rsidR="00511EEA" w:rsidRPr="00397AA7">
        <w:rPr>
          <w:rFonts w:asciiTheme="minorHAnsi" w:hAnsiTheme="minorHAnsi" w:cstheme="minorHAnsi"/>
        </w:rPr>
        <w:t>[</w:t>
      </w:r>
      <w:r w:rsidR="00050753" w:rsidRPr="00397AA7">
        <w:rPr>
          <w:rFonts w:asciiTheme="minorHAnsi" w:hAnsiTheme="minorHAnsi" w:cstheme="minorHAnsi"/>
        </w:rPr>
        <w:t>16</w:t>
      </w:r>
      <w:r w:rsidR="00511EEA" w:rsidRPr="00397AA7">
        <w:rPr>
          <w:rFonts w:asciiTheme="minorHAnsi" w:hAnsiTheme="minorHAnsi" w:cstheme="minorHAnsi"/>
        </w:rPr>
        <w:t>]</w:t>
      </w:r>
      <w:r w:rsidR="00F433EE" w:rsidRPr="00397AA7">
        <w:rPr>
          <w:rFonts w:asciiTheme="minorHAnsi" w:hAnsiTheme="minorHAnsi" w:cstheme="minorHAnsi"/>
        </w:rPr>
        <w:t xml:space="preserve">. </w:t>
      </w:r>
      <w:r w:rsidR="00B3160D" w:rsidRPr="00397AA7">
        <w:rPr>
          <w:rFonts w:asciiTheme="minorHAnsi" w:hAnsiTheme="minorHAnsi" w:cstheme="minorHAnsi"/>
        </w:rPr>
        <w:t>Longitudinal</w:t>
      </w:r>
      <w:r w:rsidR="00D305EE" w:rsidRPr="00397AA7">
        <w:rPr>
          <w:rFonts w:asciiTheme="minorHAnsi" w:hAnsiTheme="minorHAnsi" w:cstheme="minorHAnsi"/>
        </w:rPr>
        <w:t xml:space="preserve"> data </w:t>
      </w:r>
      <w:r w:rsidR="00B3160D" w:rsidRPr="00397AA7">
        <w:rPr>
          <w:rFonts w:asciiTheme="minorHAnsi" w:hAnsiTheme="minorHAnsi" w:cstheme="minorHAnsi"/>
        </w:rPr>
        <w:t xml:space="preserve">regarding </w:t>
      </w:r>
      <w:r w:rsidR="00D305EE" w:rsidRPr="00397AA7">
        <w:rPr>
          <w:rFonts w:asciiTheme="minorHAnsi" w:hAnsiTheme="minorHAnsi" w:cstheme="minorHAnsi"/>
        </w:rPr>
        <w:t>anticoagulation and complications w</w:t>
      </w:r>
      <w:r w:rsidR="00B3160D" w:rsidRPr="00397AA7">
        <w:rPr>
          <w:rFonts w:asciiTheme="minorHAnsi" w:hAnsiTheme="minorHAnsi" w:cstheme="minorHAnsi"/>
        </w:rPr>
        <w:t>as</w:t>
      </w:r>
      <w:r w:rsidR="00D305EE" w:rsidRPr="00397AA7">
        <w:rPr>
          <w:rFonts w:asciiTheme="minorHAnsi" w:hAnsiTheme="minorHAnsi" w:cstheme="minorHAnsi"/>
        </w:rPr>
        <w:t xml:space="preserve"> retrospectively assessed</w:t>
      </w:r>
      <w:r w:rsidR="006C51C0" w:rsidRPr="00397AA7">
        <w:rPr>
          <w:rFonts w:asciiTheme="minorHAnsi" w:hAnsiTheme="minorHAnsi" w:cstheme="minorHAnsi"/>
        </w:rPr>
        <w:t xml:space="preserve"> from review of patient medical records</w:t>
      </w:r>
      <w:r w:rsidR="00642EA7" w:rsidRPr="00397AA7">
        <w:rPr>
          <w:rFonts w:asciiTheme="minorHAnsi" w:hAnsiTheme="minorHAnsi" w:cstheme="minorHAnsi"/>
        </w:rPr>
        <w:t xml:space="preserve">. </w:t>
      </w:r>
      <w:r w:rsidR="00DE0A12" w:rsidRPr="00397AA7">
        <w:rPr>
          <w:rFonts w:asciiTheme="minorHAnsi" w:hAnsiTheme="minorHAnsi" w:cstheme="minorHAnsi"/>
        </w:rPr>
        <w:t>Thrombophilia was deemed if there was a history of Factor V Leiden, Prothrombin</w:t>
      </w:r>
      <w:r w:rsidR="00F130CF" w:rsidRPr="00397AA7">
        <w:rPr>
          <w:rFonts w:asciiTheme="minorHAnsi" w:hAnsiTheme="minorHAnsi" w:cstheme="minorHAnsi"/>
        </w:rPr>
        <w:t xml:space="preserve"> gene</w:t>
      </w:r>
      <w:r w:rsidR="00DE0A12" w:rsidRPr="00397AA7">
        <w:rPr>
          <w:rFonts w:asciiTheme="minorHAnsi" w:hAnsiTheme="minorHAnsi" w:cstheme="minorHAnsi"/>
        </w:rPr>
        <w:t xml:space="preserve"> mutation, Protein C, S or Antithrombin III deficiency or Antiphospholipid Syndrome. </w:t>
      </w:r>
      <w:r w:rsidR="005A37F8" w:rsidRPr="00397AA7">
        <w:rPr>
          <w:rFonts w:asciiTheme="minorHAnsi" w:hAnsiTheme="minorHAnsi" w:cstheme="minorHAnsi"/>
        </w:rPr>
        <w:t xml:space="preserve">International Normalised Ratio (INR) management for VKAs was undertaken by local anticoagulation services with the exception of inpatient admission to Royal Papworth Hospital. </w:t>
      </w:r>
    </w:p>
    <w:p w14:paraId="7D710A00" w14:textId="1E0FECB0" w:rsidR="00321C97" w:rsidRPr="00397AA7" w:rsidRDefault="00321C97" w:rsidP="00A04A32">
      <w:pPr>
        <w:spacing w:line="480" w:lineRule="auto"/>
        <w:jc w:val="both"/>
        <w:rPr>
          <w:rFonts w:asciiTheme="minorHAnsi" w:hAnsiTheme="minorHAnsi" w:cstheme="minorHAnsi"/>
        </w:rPr>
      </w:pPr>
    </w:p>
    <w:p w14:paraId="63F7CBF7" w14:textId="3D75804D" w:rsidR="005F4794" w:rsidRPr="00397AA7" w:rsidRDefault="005F4794" w:rsidP="00A04A32">
      <w:pPr>
        <w:spacing w:line="480" w:lineRule="auto"/>
        <w:jc w:val="both"/>
        <w:rPr>
          <w:rFonts w:asciiTheme="minorHAnsi" w:hAnsiTheme="minorHAnsi" w:cstheme="minorHAnsi"/>
          <w:color w:val="000000" w:themeColor="text1"/>
          <w:u w:val="single"/>
        </w:rPr>
      </w:pPr>
      <w:r w:rsidRPr="00397AA7">
        <w:rPr>
          <w:rFonts w:asciiTheme="minorHAnsi" w:hAnsiTheme="minorHAnsi" w:cstheme="minorHAnsi"/>
          <w:color w:val="000000" w:themeColor="text1"/>
          <w:u w:val="single"/>
        </w:rPr>
        <w:t xml:space="preserve">Anticoagulation management </w:t>
      </w:r>
    </w:p>
    <w:p w14:paraId="16DF0BA3" w14:textId="7C80C991" w:rsidR="00FD4269" w:rsidRPr="00397AA7" w:rsidRDefault="00FE6062" w:rsidP="00A04A32">
      <w:pPr>
        <w:spacing w:line="480" w:lineRule="auto"/>
        <w:jc w:val="both"/>
        <w:rPr>
          <w:rFonts w:asciiTheme="minorHAnsi" w:hAnsiTheme="minorHAnsi" w:cstheme="minorHAnsi"/>
        </w:rPr>
      </w:pPr>
      <w:r w:rsidRPr="00397AA7">
        <w:rPr>
          <w:rFonts w:asciiTheme="minorHAnsi" w:hAnsiTheme="minorHAnsi" w:cstheme="minorHAnsi"/>
        </w:rPr>
        <w:t>Standard surgical practice at Royal Papworth Hospital is</w:t>
      </w:r>
      <w:r w:rsidR="00642EA7" w:rsidRPr="00397AA7">
        <w:rPr>
          <w:rFonts w:asciiTheme="minorHAnsi" w:hAnsiTheme="minorHAnsi" w:cstheme="minorHAnsi"/>
        </w:rPr>
        <w:t xml:space="preserve"> for oral anticoagulation to be discontinued </w:t>
      </w:r>
      <w:r w:rsidRPr="00397AA7">
        <w:rPr>
          <w:rFonts w:asciiTheme="minorHAnsi" w:hAnsiTheme="minorHAnsi" w:cstheme="minorHAnsi"/>
        </w:rPr>
        <w:t>at the time of PEA. VKAs</w:t>
      </w:r>
      <w:r w:rsidR="005D1D9C" w:rsidRPr="00397AA7">
        <w:rPr>
          <w:rFonts w:asciiTheme="minorHAnsi" w:hAnsiTheme="minorHAnsi" w:cstheme="minorHAnsi"/>
        </w:rPr>
        <w:t xml:space="preserve"> </w:t>
      </w:r>
      <w:r w:rsidR="009B2882" w:rsidRPr="00397AA7">
        <w:rPr>
          <w:rFonts w:asciiTheme="minorHAnsi" w:hAnsiTheme="minorHAnsi" w:cstheme="minorHAnsi"/>
        </w:rPr>
        <w:t>are</w:t>
      </w:r>
      <w:r w:rsidRPr="00397AA7">
        <w:rPr>
          <w:rFonts w:asciiTheme="minorHAnsi" w:hAnsiTheme="minorHAnsi" w:cstheme="minorHAnsi"/>
        </w:rPr>
        <w:t xml:space="preserve"> </w:t>
      </w:r>
      <w:r w:rsidR="005D1D9C" w:rsidRPr="00397AA7">
        <w:rPr>
          <w:rFonts w:asciiTheme="minorHAnsi" w:hAnsiTheme="minorHAnsi" w:cstheme="minorHAnsi"/>
        </w:rPr>
        <w:t>stopped five</w:t>
      </w:r>
      <w:r w:rsidR="00166E9D" w:rsidRPr="00397AA7">
        <w:rPr>
          <w:rFonts w:asciiTheme="minorHAnsi" w:hAnsiTheme="minorHAnsi" w:cstheme="minorHAnsi"/>
        </w:rPr>
        <w:t xml:space="preserve"> days </w:t>
      </w:r>
      <w:r w:rsidR="00F130CF" w:rsidRPr="00397AA7">
        <w:rPr>
          <w:rFonts w:asciiTheme="minorHAnsi" w:hAnsiTheme="minorHAnsi" w:cstheme="minorHAnsi"/>
        </w:rPr>
        <w:t>and DOACs 24-72</w:t>
      </w:r>
      <w:r w:rsidRPr="00397AA7">
        <w:rPr>
          <w:rFonts w:asciiTheme="minorHAnsi" w:hAnsiTheme="minorHAnsi" w:cstheme="minorHAnsi"/>
        </w:rPr>
        <w:t xml:space="preserve"> hours prior to PEA dependent on</w:t>
      </w:r>
      <w:r w:rsidR="00F130CF" w:rsidRPr="00397AA7">
        <w:rPr>
          <w:rFonts w:asciiTheme="minorHAnsi" w:hAnsiTheme="minorHAnsi" w:cstheme="minorHAnsi"/>
        </w:rPr>
        <w:t xml:space="preserve"> the</w:t>
      </w:r>
      <w:r w:rsidRPr="00397AA7">
        <w:rPr>
          <w:rFonts w:asciiTheme="minorHAnsi" w:hAnsiTheme="minorHAnsi" w:cstheme="minorHAnsi"/>
        </w:rPr>
        <w:t xml:space="preserve"> agent</w:t>
      </w:r>
      <w:r w:rsidR="00F130CF" w:rsidRPr="00397AA7">
        <w:rPr>
          <w:rFonts w:asciiTheme="minorHAnsi" w:hAnsiTheme="minorHAnsi" w:cstheme="minorHAnsi"/>
        </w:rPr>
        <w:t>’s</w:t>
      </w:r>
      <w:r w:rsidRPr="00397AA7">
        <w:rPr>
          <w:rFonts w:asciiTheme="minorHAnsi" w:hAnsiTheme="minorHAnsi" w:cstheme="minorHAnsi"/>
        </w:rPr>
        <w:t xml:space="preserve"> half-life. </w:t>
      </w:r>
      <w:r w:rsidR="00605715" w:rsidRPr="00397AA7">
        <w:rPr>
          <w:rFonts w:asciiTheme="minorHAnsi" w:hAnsiTheme="minorHAnsi" w:cstheme="minorHAnsi"/>
        </w:rPr>
        <w:t>Subcutaneous t</w:t>
      </w:r>
      <w:r w:rsidR="00F937BC" w:rsidRPr="00397AA7">
        <w:rPr>
          <w:rFonts w:asciiTheme="minorHAnsi" w:hAnsiTheme="minorHAnsi" w:cstheme="minorHAnsi"/>
        </w:rPr>
        <w:t>reatment dose</w:t>
      </w:r>
      <w:r w:rsidR="00605715" w:rsidRPr="00397AA7">
        <w:rPr>
          <w:rFonts w:asciiTheme="minorHAnsi" w:hAnsiTheme="minorHAnsi" w:cstheme="minorHAnsi"/>
        </w:rPr>
        <w:t xml:space="preserve"> low molecular weight heparin</w:t>
      </w:r>
      <w:r w:rsidR="00F937BC" w:rsidRPr="00397AA7">
        <w:rPr>
          <w:rFonts w:asciiTheme="minorHAnsi" w:hAnsiTheme="minorHAnsi" w:cstheme="minorHAnsi"/>
        </w:rPr>
        <w:t xml:space="preserve"> </w:t>
      </w:r>
      <w:r w:rsidR="00605715" w:rsidRPr="00397AA7">
        <w:rPr>
          <w:rFonts w:asciiTheme="minorHAnsi" w:hAnsiTheme="minorHAnsi" w:cstheme="minorHAnsi"/>
        </w:rPr>
        <w:t>(</w:t>
      </w:r>
      <w:r w:rsidR="00F937BC" w:rsidRPr="00397AA7">
        <w:rPr>
          <w:rFonts w:asciiTheme="minorHAnsi" w:hAnsiTheme="minorHAnsi" w:cstheme="minorHAnsi"/>
        </w:rPr>
        <w:t>LMWH</w:t>
      </w:r>
      <w:r w:rsidR="00605715" w:rsidRPr="00397AA7">
        <w:rPr>
          <w:rFonts w:asciiTheme="minorHAnsi" w:hAnsiTheme="minorHAnsi" w:cstheme="minorHAnsi"/>
        </w:rPr>
        <w:t>)</w:t>
      </w:r>
      <w:r w:rsidR="00F937BC" w:rsidRPr="00397AA7">
        <w:rPr>
          <w:rFonts w:asciiTheme="minorHAnsi" w:hAnsiTheme="minorHAnsi" w:cstheme="minorHAnsi"/>
        </w:rPr>
        <w:t xml:space="preserve"> is commenced Day 2 post-operatively and continued until oral anticoagulation is stabilised. VKAs are </w:t>
      </w:r>
      <w:r w:rsidR="0043545A" w:rsidRPr="00397AA7">
        <w:rPr>
          <w:rFonts w:asciiTheme="minorHAnsi" w:hAnsiTheme="minorHAnsi" w:cstheme="minorHAnsi"/>
        </w:rPr>
        <w:t xml:space="preserve">recommenced at maintenance dose </w:t>
      </w:r>
      <w:r w:rsidR="00F937BC" w:rsidRPr="00397AA7">
        <w:rPr>
          <w:rFonts w:asciiTheme="minorHAnsi" w:hAnsiTheme="minorHAnsi" w:cstheme="minorHAnsi"/>
        </w:rPr>
        <w:t>on patient discharge</w:t>
      </w:r>
      <w:r w:rsidR="005D1D9C" w:rsidRPr="00397AA7">
        <w:rPr>
          <w:rFonts w:asciiTheme="minorHAnsi" w:hAnsiTheme="minorHAnsi" w:cstheme="minorHAnsi"/>
        </w:rPr>
        <w:t xml:space="preserve"> from the Intensive Care Unit</w:t>
      </w:r>
      <w:r w:rsidR="00A81174" w:rsidRPr="00397AA7">
        <w:rPr>
          <w:rFonts w:asciiTheme="minorHAnsi" w:hAnsiTheme="minorHAnsi" w:cstheme="minorHAnsi"/>
        </w:rPr>
        <w:t xml:space="preserve"> </w:t>
      </w:r>
      <w:r w:rsidR="00031E01" w:rsidRPr="00397AA7">
        <w:rPr>
          <w:rFonts w:asciiTheme="minorHAnsi" w:hAnsiTheme="minorHAnsi" w:cstheme="minorHAnsi"/>
        </w:rPr>
        <w:t xml:space="preserve">with a </w:t>
      </w:r>
      <w:r w:rsidR="00014C62" w:rsidRPr="00397AA7">
        <w:rPr>
          <w:rFonts w:asciiTheme="minorHAnsi" w:hAnsiTheme="minorHAnsi" w:cstheme="minorHAnsi"/>
        </w:rPr>
        <w:t xml:space="preserve">standard </w:t>
      </w:r>
      <w:r w:rsidR="00031E01" w:rsidRPr="00397AA7">
        <w:rPr>
          <w:rFonts w:asciiTheme="minorHAnsi" w:hAnsiTheme="minorHAnsi" w:cstheme="minorHAnsi"/>
        </w:rPr>
        <w:t xml:space="preserve">target International Normalised Ratio (INR) range of 2 - 3. </w:t>
      </w:r>
      <w:r w:rsidR="0043545A" w:rsidRPr="00397AA7">
        <w:rPr>
          <w:rFonts w:asciiTheme="minorHAnsi" w:hAnsiTheme="minorHAnsi" w:cstheme="minorHAnsi"/>
        </w:rPr>
        <w:t>DOACs</w:t>
      </w:r>
      <w:r w:rsidR="00F937BC" w:rsidRPr="00397AA7">
        <w:rPr>
          <w:rFonts w:asciiTheme="minorHAnsi" w:hAnsiTheme="minorHAnsi" w:cstheme="minorHAnsi"/>
        </w:rPr>
        <w:t xml:space="preserve"> </w:t>
      </w:r>
      <w:r w:rsidR="00031E01" w:rsidRPr="00397AA7">
        <w:rPr>
          <w:rFonts w:asciiTheme="minorHAnsi" w:hAnsiTheme="minorHAnsi" w:cstheme="minorHAnsi"/>
        </w:rPr>
        <w:t>were recommenced at an individual’s usual dose at</w:t>
      </w:r>
      <w:r w:rsidR="00511EEA" w:rsidRPr="00397AA7">
        <w:rPr>
          <w:rFonts w:asciiTheme="minorHAnsi" w:hAnsiTheme="minorHAnsi" w:cstheme="minorHAnsi"/>
        </w:rPr>
        <w:t xml:space="preserve"> time of hospital discharge.</w:t>
      </w:r>
      <w:r w:rsidR="00166E9D" w:rsidRPr="00397AA7">
        <w:rPr>
          <w:rFonts w:asciiTheme="minorHAnsi" w:hAnsiTheme="minorHAnsi" w:cstheme="minorHAnsi"/>
        </w:rPr>
        <w:t xml:space="preserve"> </w:t>
      </w:r>
      <w:r w:rsidR="00FD4269" w:rsidRPr="00397AA7">
        <w:rPr>
          <w:rFonts w:asciiTheme="minorHAnsi" w:hAnsiTheme="minorHAnsi" w:cstheme="minorHAnsi"/>
        </w:rPr>
        <w:t>Given the alteration to anticoagulation regimes and the additional contribution of the surgical procedure including cardiac bypass</w:t>
      </w:r>
      <w:r w:rsidR="00B72DD1" w:rsidRPr="00397AA7">
        <w:rPr>
          <w:rFonts w:asciiTheme="minorHAnsi" w:hAnsiTheme="minorHAnsi" w:cstheme="minorHAnsi"/>
        </w:rPr>
        <w:t xml:space="preserve"> in the perioperative period</w:t>
      </w:r>
      <w:r w:rsidR="00FD4269" w:rsidRPr="00397AA7">
        <w:rPr>
          <w:rFonts w:asciiTheme="minorHAnsi" w:hAnsiTheme="minorHAnsi" w:cstheme="minorHAnsi"/>
        </w:rPr>
        <w:t xml:space="preserve">, mortality and complication rates during the period between PEA and recommencement of oral anticoagulation were excluded from analysis. </w:t>
      </w:r>
    </w:p>
    <w:p w14:paraId="73C1B95B" w14:textId="77777777" w:rsidR="004A143B" w:rsidRPr="00397AA7" w:rsidRDefault="004A143B" w:rsidP="00A04A32">
      <w:pPr>
        <w:spacing w:line="480" w:lineRule="auto"/>
        <w:jc w:val="both"/>
        <w:rPr>
          <w:rFonts w:asciiTheme="minorHAnsi" w:hAnsiTheme="minorHAnsi" w:cstheme="minorHAnsi"/>
          <w:color w:val="000000" w:themeColor="text1"/>
        </w:rPr>
      </w:pPr>
    </w:p>
    <w:p w14:paraId="33DE9181" w14:textId="5E0A97FE" w:rsidR="004A143B" w:rsidRPr="00397AA7" w:rsidRDefault="004A143B" w:rsidP="00A04A32">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t xml:space="preserve">Life-long anticoagulation is recommended in all following PEA. The management of long-term anticoagulation after PEA hospital discharge was undertaken by the patient’s General Practice or local anticoagulation clinic with oversight from a specialist Pulmonary Hypertension centre. </w:t>
      </w:r>
      <w:r w:rsidRPr="00397AA7">
        <w:rPr>
          <w:rFonts w:asciiTheme="minorHAnsi" w:hAnsiTheme="minorHAnsi" w:cstheme="minorHAnsi"/>
          <w:color w:val="000000" w:themeColor="text1"/>
        </w:rPr>
        <w:lastRenderedPageBreak/>
        <w:t xml:space="preserve">Those treated with VKAs were maintained with an INR in the target range of 2 to 3, unless otherwise indicated by Haematology services. Should the INR fall beneath the target range, patients were recommended treatment with concomitant treatment dose subcutaneous low molecular weight heparin until the INR returned to the required range, as per standard UK CTEPH practice. </w:t>
      </w:r>
    </w:p>
    <w:p w14:paraId="5775DB11" w14:textId="77777777" w:rsidR="00E060F2" w:rsidRPr="00397AA7" w:rsidRDefault="00E060F2" w:rsidP="00A04A32">
      <w:pPr>
        <w:spacing w:line="480" w:lineRule="auto"/>
        <w:jc w:val="both"/>
        <w:rPr>
          <w:rFonts w:asciiTheme="minorHAnsi" w:hAnsiTheme="minorHAnsi" w:cstheme="minorHAnsi"/>
          <w:color w:val="000000" w:themeColor="text1"/>
        </w:rPr>
      </w:pPr>
    </w:p>
    <w:p w14:paraId="119FD62B" w14:textId="64FD0BC2" w:rsidR="00E060F2" w:rsidRPr="00397AA7" w:rsidRDefault="00E060F2" w:rsidP="00A04A32">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t>As access to primary care data was not available, INR measurements from patient review at Royal Papworth Hospital were collated as a measure of compliance/adherence. Samples taken at the 3-6 month visit following PEA were excluded. This visit involves a routine right heart catheter and historical practice has been to stop VKAs and cover with treatment dose subcutaneous LMWH when undertaking invasive procedures</w:t>
      </w:r>
    </w:p>
    <w:p w14:paraId="3DF00C3B" w14:textId="56804753" w:rsidR="00CE1B5F" w:rsidRPr="00397AA7" w:rsidRDefault="00CE1B5F" w:rsidP="00A04A32">
      <w:pPr>
        <w:spacing w:line="480" w:lineRule="auto"/>
        <w:jc w:val="both"/>
        <w:rPr>
          <w:rFonts w:asciiTheme="minorHAnsi" w:hAnsiTheme="minorHAnsi" w:cstheme="minorHAnsi"/>
          <w:color w:val="FF0000"/>
        </w:rPr>
      </w:pPr>
    </w:p>
    <w:p w14:paraId="59741968" w14:textId="5063F495" w:rsidR="005173EF" w:rsidRPr="00397AA7" w:rsidRDefault="0016558A" w:rsidP="00A04A32">
      <w:pPr>
        <w:spacing w:line="480" w:lineRule="auto"/>
        <w:jc w:val="both"/>
        <w:outlineLvl w:val="0"/>
        <w:rPr>
          <w:rFonts w:asciiTheme="minorHAnsi" w:hAnsiTheme="minorHAnsi" w:cstheme="minorHAnsi"/>
          <w:u w:val="single"/>
        </w:rPr>
      </w:pPr>
      <w:r w:rsidRPr="00397AA7">
        <w:rPr>
          <w:rFonts w:asciiTheme="minorHAnsi" w:hAnsiTheme="minorHAnsi" w:cstheme="minorHAnsi"/>
          <w:u w:val="single"/>
        </w:rPr>
        <w:t>Bleeding</w:t>
      </w:r>
      <w:r w:rsidR="005173EF" w:rsidRPr="00397AA7">
        <w:rPr>
          <w:rFonts w:asciiTheme="minorHAnsi" w:hAnsiTheme="minorHAnsi" w:cstheme="minorHAnsi"/>
          <w:u w:val="single"/>
        </w:rPr>
        <w:t xml:space="preserve"> events and VTE recurrence</w:t>
      </w:r>
    </w:p>
    <w:p w14:paraId="76F7EE1E" w14:textId="5BA3EF09" w:rsidR="00FD4269" w:rsidRPr="00397AA7" w:rsidRDefault="00DA2276" w:rsidP="00A04A32">
      <w:pPr>
        <w:spacing w:line="480" w:lineRule="auto"/>
        <w:jc w:val="both"/>
        <w:rPr>
          <w:rFonts w:asciiTheme="minorHAnsi" w:hAnsiTheme="minorHAnsi" w:cstheme="minorHAnsi"/>
        </w:rPr>
      </w:pPr>
      <w:r w:rsidRPr="00397AA7">
        <w:rPr>
          <w:rFonts w:asciiTheme="minorHAnsi" w:hAnsiTheme="minorHAnsi" w:cstheme="minorHAnsi"/>
        </w:rPr>
        <w:t xml:space="preserve">Bleeding events were identified and categorised into ‘major bleeding’ or ‘clinically relevant non-major bleeding’ using </w:t>
      </w:r>
      <w:r w:rsidR="00077E74" w:rsidRPr="00397AA7">
        <w:rPr>
          <w:rFonts w:asciiTheme="minorHAnsi" w:hAnsiTheme="minorHAnsi" w:cstheme="minorHAnsi"/>
        </w:rPr>
        <w:t>International Society on Thrombosis</w:t>
      </w:r>
      <w:r w:rsidR="00EF25DF" w:rsidRPr="00397AA7">
        <w:rPr>
          <w:rFonts w:asciiTheme="minorHAnsi" w:hAnsiTheme="minorHAnsi" w:cstheme="minorHAnsi"/>
        </w:rPr>
        <w:t xml:space="preserve"> and Haemostasis</w:t>
      </w:r>
      <w:r w:rsidRPr="00397AA7">
        <w:rPr>
          <w:rFonts w:asciiTheme="minorHAnsi" w:hAnsiTheme="minorHAnsi" w:cstheme="minorHAnsi"/>
        </w:rPr>
        <w:t xml:space="preserve"> criteria </w:t>
      </w:r>
      <w:r w:rsidR="000B3440" w:rsidRPr="00397AA7">
        <w:rPr>
          <w:rFonts w:asciiTheme="minorHAnsi" w:hAnsiTheme="minorHAnsi" w:cstheme="minorHAnsi"/>
        </w:rPr>
        <w:t xml:space="preserve"> </w:t>
      </w:r>
      <w:r w:rsidR="00EF120B" w:rsidRPr="00397AA7">
        <w:rPr>
          <w:rFonts w:asciiTheme="minorHAnsi" w:hAnsiTheme="minorHAnsi" w:cstheme="minorHAnsi"/>
        </w:rPr>
        <w:t>[</w:t>
      </w:r>
      <w:r w:rsidR="00BC00C6" w:rsidRPr="00397AA7">
        <w:rPr>
          <w:rFonts w:asciiTheme="minorHAnsi" w:hAnsiTheme="minorHAnsi" w:cstheme="minorHAnsi"/>
        </w:rPr>
        <w:t>17</w:t>
      </w:r>
      <w:r w:rsidR="00E204E3" w:rsidRPr="00397AA7">
        <w:rPr>
          <w:rFonts w:asciiTheme="minorHAnsi" w:hAnsiTheme="minorHAnsi" w:cstheme="minorHAnsi"/>
        </w:rPr>
        <w:t>]</w:t>
      </w:r>
      <w:r w:rsidR="006961DB" w:rsidRPr="00397AA7">
        <w:rPr>
          <w:rFonts w:asciiTheme="minorHAnsi" w:hAnsiTheme="minorHAnsi" w:cstheme="minorHAnsi"/>
        </w:rPr>
        <w:t>.</w:t>
      </w:r>
      <w:r w:rsidR="009D4076" w:rsidRPr="00397AA7">
        <w:rPr>
          <w:rFonts w:asciiTheme="minorHAnsi" w:hAnsiTheme="minorHAnsi" w:cstheme="minorHAnsi"/>
        </w:rPr>
        <w:t xml:space="preserve"> </w:t>
      </w:r>
      <w:r w:rsidR="0016558A" w:rsidRPr="00397AA7">
        <w:rPr>
          <w:rFonts w:asciiTheme="minorHAnsi" w:hAnsiTheme="minorHAnsi" w:cstheme="minorHAnsi"/>
        </w:rPr>
        <w:t xml:space="preserve">Major bleeding </w:t>
      </w:r>
      <w:r w:rsidR="009D4076" w:rsidRPr="00397AA7">
        <w:rPr>
          <w:rFonts w:asciiTheme="minorHAnsi" w:hAnsiTheme="minorHAnsi" w:cstheme="minorHAnsi"/>
        </w:rPr>
        <w:t>was</w:t>
      </w:r>
      <w:r w:rsidR="0016558A" w:rsidRPr="00397AA7">
        <w:rPr>
          <w:rFonts w:asciiTheme="minorHAnsi" w:hAnsiTheme="minorHAnsi" w:cstheme="minorHAnsi"/>
        </w:rPr>
        <w:t xml:space="preserve"> defined as </w:t>
      </w:r>
      <w:r w:rsidR="00E17C48" w:rsidRPr="00397AA7">
        <w:rPr>
          <w:rFonts w:asciiTheme="minorHAnsi" w:hAnsiTheme="minorHAnsi" w:cstheme="minorHAnsi"/>
        </w:rPr>
        <w:t>symptomatic</w:t>
      </w:r>
      <w:r w:rsidRPr="00397AA7">
        <w:rPr>
          <w:rFonts w:asciiTheme="minorHAnsi" w:hAnsiTheme="minorHAnsi" w:cstheme="minorHAnsi"/>
        </w:rPr>
        <w:t xml:space="preserve"> events which</w:t>
      </w:r>
      <w:r w:rsidR="00E17C48" w:rsidRPr="00397AA7">
        <w:rPr>
          <w:rFonts w:asciiTheme="minorHAnsi" w:hAnsiTheme="minorHAnsi" w:cstheme="minorHAnsi"/>
        </w:rPr>
        <w:t xml:space="preserve"> </w:t>
      </w:r>
      <w:r w:rsidRPr="00397AA7">
        <w:rPr>
          <w:rFonts w:asciiTheme="minorHAnsi" w:hAnsiTheme="minorHAnsi" w:cstheme="minorHAnsi"/>
        </w:rPr>
        <w:t>resulted</w:t>
      </w:r>
      <w:r w:rsidR="004366FD" w:rsidRPr="00397AA7">
        <w:rPr>
          <w:rFonts w:asciiTheme="minorHAnsi" w:hAnsiTheme="minorHAnsi" w:cstheme="minorHAnsi"/>
        </w:rPr>
        <w:t xml:space="preserve"> in the </w:t>
      </w:r>
      <w:r w:rsidR="0016558A" w:rsidRPr="00397AA7">
        <w:rPr>
          <w:rFonts w:asciiTheme="minorHAnsi" w:hAnsiTheme="minorHAnsi" w:cstheme="minorHAnsi"/>
        </w:rPr>
        <w:t>transfusion</w:t>
      </w:r>
      <w:r w:rsidR="004366FD" w:rsidRPr="00397AA7">
        <w:rPr>
          <w:rFonts w:asciiTheme="minorHAnsi" w:hAnsiTheme="minorHAnsi" w:cstheme="minorHAnsi"/>
        </w:rPr>
        <w:t xml:space="preserve"> of </w:t>
      </w:r>
      <w:r w:rsidRPr="00397AA7">
        <w:rPr>
          <w:rFonts w:asciiTheme="minorHAnsi" w:hAnsiTheme="minorHAnsi" w:cstheme="minorHAnsi"/>
        </w:rPr>
        <w:sym w:font="Symbol" w:char="F0B3"/>
      </w:r>
      <w:r w:rsidRPr="00397AA7">
        <w:rPr>
          <w:rFonts w:asciiTheme="minorHAnsi" w:hAnsiTheme="minorHAnsi" w:cstheme="minorHAnsi"/>
        </w:rPr>
        <w:t xml:space="preserve"> </w:t>
      </w:r>
      <w:r w:rsidR="004366FD" w:rsidRPr="00397AA7">
        <w:rPr>
          <w:rFonts w:asciiTheme="minorHAnsi" w:hAnsiTheme="minorHAnsi" w:cstheme="minorHAnsi"/>
        </w:rPr>
        <w:t>2 red cell</w:t>
      </w:r>
      <w:r w:rsidR="00EF120B" w:rsidRPr="00397AA7">
        <w:rPr>
          <w:rFonts w:asciiTheme="minorHAnsi" w:hAnsiTheme="minorHAnsi" w:cstheme="minorHAnsi"/>
        </w:rPr>
        <w:t xml:space="preserve"> units</w:t>
      </w:r>
      <w:r w:rsidR="0016558A" w:rsidRPr="00397AA7">
        <w:rPr>
          <w:rFonts w:asciiTheme="minorHAnsi" w:hAnsiTheme="minorHAnsi" w:cstheme="minorHAnsi"/>
        </w:rPr>
        <w:t>, involve</w:t>
      </w:r>
      <w:r w:rsidR="00496A3D" w:rsidRPr="00397AA7">
        <w:rPr>
          <w:rFonts w:asciiTheme="minorHAnsi" w:hAnsiTheme="minorHAnsi" w:cstheme="minorHAnsi"/>
        </w:rPr>
        <w:t>d a critical site or were fatal; c</w:t>
      </w:r>
      <w:r w:rsidR="0016558A" w:rsidRPr="00397AA7">
        <w:rPr>
          <w:rFonts w:asciiTheme="minorHAnsi" w:hAnsiTheme="minorHAnsi" w:cstheme="minorHAnsi"/>
        </w:rPr>
        <w:t xml:space="preserve">ritical sites </w:t>
      </w:r>
      <w:r w:rsidR="009D4076" w:rsidRPr="00397AA7">
        <w:rPr>
          <w:rFonts w:asciiTheme="minorHAnsi" w:hAnsiTheme="minorHAnsi" w:cstheme="minorHAnsi"/>
        </w:rPr>
        <w:t>being</w:t>
      </w:r>
      <w:r w:rsidR="0016558A" w:rsidRPr="00397AA7">
        <w:rPr>
          <w:rFonts w:asciiTheme="minorHAnsi" w:hAnsiTheme="minorHAnsi" w:cstheme="minorHAnsi"/>
        </w:rPr>
        <w:t xml:space="preserve"> the central nervous system, </w:t>
      </w:r>
      <w:r w:rsidR="00E17C48" w:rsidRPr="00397AA7">
        <w:rPr>
          <w:rFonts w:asciiTheme="minorHAnsi" w:hAnsiTheme="minorHAnsi" w:cstheme="minorHAnsi"/>
        </w:rPr>
        <w:t xml:space="preserve">retroperitoneum, pericardium, intraocular and </w:t>
      </w:r>
      <w:r w:rsidR="0016558A" w:rsidRPr="00397AA7">
        <w:rPr>
          <w:rFonts w:asciiTheme="minorHAnsi" w:hAnsiTheme="minorHAnsi" w:cstheme="minorHAnsi"/>
        </w:rPr>
        <w:t xml:space="preserve">respiratory tract. </w:t>
      </w:r>
      <w:r w:rsidR="0077321B" w:rsidRPr="00397AA7">
        <w:rPr>
          <w:rFonts w:asciiTheme="minorHAnsi" w:hAnsiTheme="minorHAnsi" w:cstheme="minorHAnsi"/>
        </w:rPr>
        <w:t>C</w:t>
      </w:r>
      <w:r w:rsidR="0016558A" w:rsidRPr="00397AA7">
        <w:rPr>
          <w:rFonts w:asciiTheme="minorHAnsi" w:hAnsiTheme="minorHAnsi" w:cstheme="minorHAnsi"/>
        </w:rPr>
        <w:t>linically relevant</w:t>
      </w:r>
      <w:r w:rsidR="00947EA0" w:rsidRPr="00397AA7">
        <w:rPr>
          <w:rFonts w:asciiTheme="minorHAnsi" w:hAnsiTheme="minorHAnsi" w:cstheme="minorHAnsi"/>
        </w:rPr>
        <w:t xml:space="preserve"> non-major</w:t>
      </w:r>
      <w:r w:rsidR="0016558A" w:rsidRPr="00397AA7">
        <w:rPr>
          <w:rFonts w:asciiTheme="minorHAnsi" w:hAnsiTheme="minorHAnsi" w:cstheme="minorHAnsi"/>
        </w:rPr>
        <w:t xml:space="preserve"> bleeding </w:t>
      </w:r>
      <w:r w:rsidR="0077321B" w:rsidRPr="00397AA7">
        <w:rPr>
          <w:rFonts w:asciiTheme="minorHAnsi" w:hAnsiTheme="minorHAnsi" w:cstheme="minorHAnsi"/>
        </w:rPr>
        <w:t xml:space="preserve">was </w:t>
      </w:r>
      <w:r w:rsidR="009D4076" w:rsidRPr="00397AA7">
        <w:rPr>
          <w:rFonts w:asciiTheme="minorHAnsi" w:hAnsiTheme="minorHAnsi" w:cstheme="minorHAnsi"/>
        </w:rPr>
        <w:t xml:space="preserve">defined </w:t>
      </w:r>
      <w:r w:rsidR="00947EA0" w:rsidRPr="00397AA7">
        <w:rPr>
          <w:rFonts w:asciiTheme="minorHAnsi" w:hAnsiTheme="minorHAnsi" w:cstheme="minorHAnsi"/>
        </w:rPr>
        <w:t xml:space="preserve">as overt bleeding that did not meet the criteria </w:t>
      </w:r>
      <w:r w:rsidR="009D4076" w:rsidRPr="00397AA7">
        <w:rPr>
          <w:rFonts w:asciiTheme="minorHAnsi" w:hAnsiTheme="minorHAnsi" w:cstheme="minorHAnsi"/>
        </w:rPr>
        <w:t>for major bleeding but was associated with medical intervention, unscheduled contact with a physician, interruption of anticoagulation, or discomfort or impairment of activities of daily life.</w:t>
      </w:r>
      <w:r w:rsidR="00E204E3" w:rsidRPr="00397AA7">
        <w:rPr>
          <w:rFonts w:asciiTheme="minorHAnsi" w:hAnsiTheme="minorHAnsi" w:cstheme="minorHAnsi"/>
        </w:rPr>
        <w:t xml:space="preserve"> </w:t>
      </w:r>
    </w:p>
    <w:p w14:paraId="68DFDCCD" w14:textId="77777777" w:rsidR="009A02F8" w:rsidRPr="00397AA7" w:rsidRDefault="009A02F8" w:rsidP="00A04A32">
      <w:pPr>
        <w:spacing w:line="480" w:lineRule="auto"/>
        <w:rPr>
          <w:rFonts w:asciiTheme="minorHAnsi" w:hAnsiTheme="minorHAnsi" w:cstheme="minorHAnsi"/>
          <w:color w:val="1C1D1E"/>
        </w:rPr>
      </w:pPr>
    </w:p>
    <w:p w14:paraId="3D292945" w14:textId="08A42BBB" w:rsidR="00B72DD1" w:rsidRPr="00397AA7" w:rsidRDefault="00EF120B" w:rsidP="00A04A32">
      <w:pPr>
        <w:spacing w:line="480" w:lineRule="auto"/>
        <w:jc w:val="both"/>
        <w:rPr>
          <w:rFonts w:asciiTheme="minorHAnsi" w:hAnsiTheme="minorHAnsi" w:cstheme="minorHAnsi"/>
        </w:rPr>
      </w:pPr>
      <w:r w:rsidRPr="00397AA7">
        <w:rPr>
          <w:rFonts w:asciiTheme="minorHAnsi" w:hAnsiTheme="minorHAnsi" w:cstheme="minorHAnsi"/>
        </w:rPr>
        <w:t>VTE recurrence was</w:t>
      </w:r>
      <w:r w:rsidR="002F4091" w:rsidRPr="00397AA7">
        <w:rPr>
          <w:rFonts w:asciiTheme="minorHAnsi" w:hAnsiTheme="minorHAnsi" w:cstheme="minorHAnsi"/>
        </w:rPr>
        <w:t xml:space="preserve"> recorded </w:t>
      </w:r>
      <w:r w:rsidR="00687EE9" w:rsidRPr="00397AA7">
        <w:rPr>
          <w:rFonts w:asciiTheme="minorHAnsi" w:hAnsiTheme="minorHAnsi" w:cstheme="minorHAnsi"/>
        </w:rPr>
        <w:t xml:space="preserve">for all </w:t>
      </w:r>
      <w:r w:rsidR="00B72DD1" w:rsidRPr="00397AA7">
        <w:rPr>
          <w:rFonts w:asciiTheme="minorHAnsi" w:hAnsiTheme="minorHAnsi" w:cstheme="minorHAnsi"/>
        </w:rPr>
        <w:t xml:space="preserve">episodes of </w:t>
      </w:r>
      <w:r w:rsidR="002F4091" w:rsidRPr="00397AA7">
        <w:rPr>
          <w:rFonts w:asciiTheme="minorHAnsi" w:hAnsiTheme="minorHAnsi" w:cstheme="minorHAnsi"/>
        </w:rPr>
        <w:t>acute pulmonary</w:t>
      </w:r>
      <w:r w:rsidRPr="00397AA7">
        <w:rPr>
          <w:rFonts w:asciiTheme="minorHAnsi" w:hAnsiTheme="minorHAnsi" w:cstheme="minorHAnsi"/>
        </w:rPr>
        <w:t xml:space="preserve"> thromboembolism </w:t>
      </w:r>
      <w:r w:rsidR="00461C4F" w:rsidRPr="00397AA7">
        <w:rPr>
          <w:rFonts w:asciiTheme="minorHAnsi" w:hAnsiTheme="minorHAnsi" w:cstheme="minorHAnsi"/>
        </w:rPr>
        <w:t xml:space="preserve">(PE) </w:t>
      </w:r>
      <w:r w:rsidR="002F4091" w:rsidRPr="00397AA7">
        <w:rPr>
          <w:rFonts w:asciiTheme="minorHAnsi" w:hAnsiTheme="minorHAnsi" w:cstheme="minorHAnsi"/>
        </w:rPr>
        <w:t>or deep vein thromboembolism</w:t>
      </w:r>
      <w:r w:rsidR="00375BBE" w:rsidRPr="00397AA7">
        <w:rPr>
          <w:rFonts w:asciiTheme="minorHAnsi" w:hAnsiTheme="minorHAnsi" w:cstheme="minorHAnsi"/>
        </w:rPr>
        <w:t xml:space="preserve"> </w:t>
      </w:r>
      <w:r w:rsidR="001B0229" w:rsidRPr="00397AA7">
        <w:rPr>
          <w:rFonts w:asciiTheme="minorHAnsi" w:hAnsiTheme="minorHAnsi" w:cstheme="minorHAnsi"/>
        </w:rPr>
        <w:t xml:space="preserve">(DVT) </w:t>
      </w:r>
      <w:r w:rsidR="00B72DD1" w:rsidRPr="00397AA7">
        <w:rPr>
          <w:rFonts w:asciiTheme="minorHAnsi" w:hAnsiTheme="minorHAnsi" w:cstheme="minorHAnsi"/>
        </w:rPr>
        <w:t xml:space="preserve">documented in medical records </w:t>
      </w:r>
      <w:r w:rsidR="00F34F5E" w:rsidRPr="00397AA7">
        <w:rPr>
          <w:rFonts w:asciiTheme="minorHAnsi" w:hAnsiTheme="minorHAnsi" w:cstheme="minorHAnsi"/>
        </w:rPr>
        <w:t xml:space="preserve">following PEA </w:t>
      </w:r>
      <w:r w:rsidRPr="00397AA7">
        <w:rPr>
          <w:rFonts w:asciiTheme="minorHAnsi" w:hAnsiTheme="minorHAnsi" w:cstheme="minorHAnsi"/>
        </w:rPr>
        <w:t xml:space="preserve">and </w:t>
      </w:r>
      <w:r w:rsidR="00461C4F" w:rsidRPr="00397AA7">
        <w:rPr>
          <w:rFonts w:asciiTheme="minorHAnsi" w:hAnsiTheme="minorHAnsi" w:cstheme="minorHAnsi"/>
        </w:rPr>
        <w:t xml:space="preserve">after </w:t>
      </w:r>
      <w:r w:rsidR="00461C4F" w:rsidRPr="00397AA7">
        <w:rPr>
          <w:rFonts w:asciiTheme="minorHAnsi" w:hAnsiTheme="minorHAnsi" w:cstheme="minorHAnsi"/>
        </w:rPr>
        <w:lastRenderedPageBreak/>
        <w:t>re-stabilisation of oral anticoagulation</w:t>
      </w:r>
      <w:r w:rsidR="002F4091" w:rsidRPr="00397AA7">
        <w:rPr>
          <w:rFonts w:asciiTheme="minorHAnsi" w:hAnsiTheme="minorHAnsi" w:cstheme="minorHAnsi"/>
        </w:rPr>
        <w:t>.</w:t>
      </w:r>
      <w:r w:rsidR="00DA2276" w:rsidRPr="00397AA7">
        <w:rPr>
          <w:rFonts w:asciiTheme="minorHAnsi" w:hAnsiTheme="minorHAnsi" w:cstheme="minorHAnsi"/>
        </w:rPr>
        <w:t xml:space="preserve"> </w:t>
      </w:r>
      <w:r w:rsidR="00C8644E" w:rsidRPr="00397AA7">
        <w:rPr>
          <w:rFonts w:asciiTheme="minorHAnsi" w:hAnsiTheme="minorHAnsi" w:cstheme="minorHAnsi"/>
        </w:rPr>
        <w:t>As all patients</w:t>
      </w:r>
      <w:r w:rsidRPr="00397AA7">
        <w:rPr>
          <w:rFonts w:asciiTheme="minorHAnsi" w:hAnsiTheme="minorHAnsi" w:cstheme="minorHAnsi"/>
        </w:rPr>
        <w:t xml:space="preserve"> routinely</w:t>
      </w:r>
      <w:r w:rsidR="00C8644E" w:rsidRPr="00397AA7">
        <w:rPr>
          <w:rFonts w:asciiTheme="minorHAnsi" w:hAnsiTheme="minorHAnsi" w:cstheme="minorHAnsi"/>
        </w:rPr>
        <w:t xml:space="preserve"> undergo CT Pulmonary Angiogram</w:t>
      </w:r>
      <w:r w:rsidRPr="00397AA7">
        <w:rPr>
          <w:rFonts w:asciiTheme="minorHAnsi" w:hAnsiTheme="minorHAnsi" w:cstheme="minorHAnsi"/>
        </w:rPr>
        <w:t xml:space="preserve"> (CTPA)</w:t>
      </w:r>
      <w:r w:rsidR="00C8644E" w:rsidRPr="00397AA7">
        <w:rPr>
          <w:rFonts w:asciiTheme="minorHAnsi" w:hAnsiTheme="minorHAnsi" w:cstheme="minorHAnsi"/>
        </w:rPr>
        <w:t xml:space="preserve"> imaging in the year following PEA, imaging reports were also text-mined using phrases associated with recurrent VTE to enhance event capture</w:t>
      </w:r>
      <w:r w:rsidR="00C55D1F" w:rsidRPr="00397AA7">
        <w:rPr>
          <w:rFonts w:asciiTheme="minorHAnsi" w:hAnsiTheme="minorHAnsi" w:cstheme="minorHAnsi"/>
        </w:rPr>
        <w:t xml:space="preserve">.  </w:t>
      </w:r>
      <w:r w:rsidR="00423171" w:rsidRPr="00397AA7">
        <w:rPr>
          <w:rFonts w:asciiTheme="minorHAnsi" w:hAnsiTheme="minorHAnsi" w:cstheme="minorHAnsi"/>
        </w:rPr>
        <w:t xml:space="preserve">All </w:t>
      </w:r>
      <w:r w:rsidR="00C8644E" w:rsidRPr="00397AA7">
        <w:rPr>
          <w:rFonts w:asciiTheme="minorHAnsi" w:hAnsiTheme="minorHAnsi" w:cstheme="minorHAnsi"/>
        </w:rPr>
        <w:t xml:space="preserve">identified </w:t>
      </w:r>
      <w:r w:rsidR="004646D8" w:rsidRPr="00397AA7">
        <w:rPr>
          <w:rFonts w:asciiTheme="minorHAnsi" w:hAnsiTheme="minorHAnsi" w:cstheme="minorHAnsi"/>
        </w:rPr>
        <w:t xml:space="preserve">episodes of recurrent </w:t>
      </w:r>
      <w:r w:rsidR="00C35CD0" w:rsidRPr="00397AA7">
        <w:rPr>
          <w:rFonts w:asciiTheme="minorHAnsi" w:hAnsiTheme="minorHAnsi" w:cstheme="minorHAnsi"/>
        </w:rPr>
        <w:t>PE</w:t>
      </w:r>
      <w:r w:rsidR="004646D8" w:rsidRPr="00397AA7">
        <w:rPr>
          <w:rFonts w:asciiTheme="minorHAnsi" w:hAnsiTheme="minorHAnsi" w:cstheme="minorHAnsi"/>
        </w:rPr>
        <w:t xml:space="preserve"> were confirmed </w:t>
      </w:r>
      <w:r w:rsidR="00322266" w:rsidRPr="00397AA7">
        <w:rPr>
          <w:rFonts w:asciiTheme="minorHAnsi" w:hAnsiTheme="minorHAnsi" w:cstheme="minorHAnsi"/>
        </w:rPr>
        <w:t xml:space="preserve">by </w:t>
      </w:r>
      <w:r w:rsidR="001A4320" w:rsidRPr="00397AA7">
        <w:rPr>
          <w:rFonts w:asciiTheme="minorHAnsi" w:hAnsiTheme="minorHAnsi" w:cstheme="minorHAnsi"/>
        </w:rPr>
        <w:t xml:space="preserve">a </w:t>
      </w:r>
      <w:r w:rsidR="006522FA" w:rsidRPr="00397AA7">
        <w:rPr>
          <w:rFonts w:asciiTheme="minorHAnsi" w:hAnsiTheme="minorHAnsi" w:cstheme="minorHAnsi"/>
        </w:rPr>
        <w:t>sub-specialised CTEPH</w:t>
      </w:r>
      <w:r w:rsidR="008F7119" w:rsidRPr="00397AA7">
        <w:rPr>
          <w:rFonts w:asciiTheme="minorHAnsi" w:hAnsiTheme="minorHAnsi" w:cstheme="minorHAnsi"/>
        </w:rPr>
        <w:t xml:space="preserve"> </w:t>
      </w:r>
      <w:r w:rsidR="006522FA" w:rsidRPr="00397AA7">
        <w:rPr>
          <w:rFonts w:asciiTheme="minorHAnsi" w:hAnsiTheme="minorHAnsi" w:cstheme="minorHAnsi"/>
        </w:rPr>
        <w:t>R</w:t>
      </w:r>
      <w:r w:rsidR="008F7119" w:rsidRPr="00397AA7">
        <w:rPr>
          <w:rFonts w:asciiTheme="minorHAnsi" w:hAnsiTheme="minorHAnsi" w:cstheme="minorHAnsi"/>
        </w:rPr>
        <w:t>adiologist</w:t>
      </w:r>
      <w:r w:rsidR="006522FA" w:rsidRPr="00397AA7">
        <w:rPr>
          <w:rFonts w:asciiTheme="minorHAnsi" w:hAnsiTheme="minorHAnsi" w:cstheme="minorHAnsi"/>
        </w:rPr>
        <w:t xml:space="preserve"> during departmental MDT</w:t>
      </w:r>
      <w:r w:rsidR="001A4320" w:rsidRPr="00397AA7">
        <w:rPr>
          <w:rFonts w:asciiTheme="minorHAnsi" w:hAnsiTheme="minorHAnsi" w:cstheme="minorHAnsi"/>
        </w:rPr>
        <w:t xml:space="preserve">. </w:t>
      </w:r>
    </w:p>
    <w:p w14:paraId="0D768040" w14:textId="77777777" w:rsidR="00A773F5" w:rsidRPr="00397AA7" w:rsidRDefault="00A773F5" w:rsidP="00A04A32">
      <w:pPr>
        <w:spacing w:line="480" w:lineRule="auto"/>
        <w:jc w:val="both"/>
        <w:rPr>
          <w:rFonts w:asciiTheme="minorHAnsi" w:hAnsiTheme="minorHAnsi" w:cstheme="minorHAnsi"/>
        </w:rPr>
      </w:pPr>
    </w:p>
    <w:p w14:paraId="4EEABD33" w14:textId="77777777" w:rsidR="00A773F5" w:rsidRPr="00397AA7" w:rsidRDefault="00A773F5" w:rsidP="00A04A32">
      <w:pPr>
        <w:spacing w:line="480" w:lineRule="auto"/>
        <w:jc w:val="both"/>
        <w:outlineLvl w:val="0"/>
        <w:rPr>
          <w:rFonts w:asciiTheme="minorHAnsi" w:hAnsiTheme="minorHAnsi" w:cstheme="minorHAnsi"/>
          <w:u w:val="single"/>
        </w:rPr>
      </w:pPr>
      <w:r w:rsidRPr="00397AA7">
        <w:rPr>
          <w:rFonts w:asciiTheme="minorHAnsi" w:hAnsiTheme="minorHAnsi" w:cstheme="minorHAnsi"/>
          <w:u w:val="single"/>
        </w:rPr>
        <w:t>Survival</w:t>
      </w:r>
    </w:p>
    <w:p w14:paraId="1E693156" w14:textId="147FEF8A" w:rsidR="00A773F5" w:rsidRPr="00397AA7" w:rsidRDefault="00A773F5" w:rsidP="00A04A32">
      <w:pPr>
        <w:spacing w:line="480" w:lineRule="auto"/>
        <w:jc w:val="both"/>
        <w:rPr>
          <w:rFonts w:asciiTheme="minorHAnsi" w:hAnsiTheme="minorHAnsi" w:cstheme="minorHAnsi"/>
        </w:rPr>
      </w:pPr>
      <w:r w:rsidRPr="00397AA7">
        <w:rPr>
          <w:rFonts w:asciiTheme="minorHAnsi" w:hAnsiTheme="minorHAnsi" w:cstheme="minorHAnsi"/>
        </w:rPr>
        <w:t xml:space="preserve">Post-PEA survival was calculated using a censoring date of last review or </w:t>
      </w:r>
      <w:r w:rsidR="00750EE4" w:rsidRPr="00397AA7">
        <w:rPr>
          <w:rFonts w:asciiTheme="minorHAnsi" w:hAnsiTheme="minorHAnsi" w:cstheme="minorHAnsi"/>
        </w:rPr>
        <w:t xml:space="preserve">1 </w:t>
      </w:r>
      <w:r w:rsidR="00521709" w:rsidRPr="00397AA7">
        <w:rPr>
          <w:rFonts w:asciiTheme="minorHAnsi" w:hAnsiTheme="minorHAnsi" w:cstheme="minorHAnsi"/>
        </w:rPr>
        <w:t>March</w:t>
      </w:r>
      <w:r w:rsidRPr="00397AA7">
        <w:rPr>
          <w:rFonts w:asciiTheme="minorHAnsi" w:hAnsiTheme="minorHAnsi" w:cstheme="minorHAnsi"/>
        </w:rPr>
        <w:t xml:space="preserve"> 201</w:t>
      </w:r>
      <w:r w:rsidR="00521709" w:rsidRPr="00397AA7">
        <w:rPr>
          <w:rFonts w:asciiTheme="minorHAnsi" w:hAnsiTheme="minorHAnsi" w:cstheme="minorHAnsi"/>
        </w:rPr>
        <w:t>9</w:t>
      </w:r>
      <w:r w:rsidRPr="00397AA7">
        <w:rPr>
          <w:rFonts w:asciiTheme="minorHAnsi" w:hAnsiTheme="minorHAnsi" w:cstheme="minorHAnsi"/>
        </w:rPr>
        <w:t xml:space="preserve"> whichever was latest. The NHS summary care record tracking system was used for survival status (searched </w:t>
      </w:r>
      <w:r w:rsidR="00521709" w:rsidRPr="00397AA7">
        <w:rPr>
          <w:rFonts w:asciiTheme="minorHAnsi" w:hAnsiTheme="minorHAnsi" w:cstheme="minorHAnsi"/>
        </w:rPr>
        <w:t>1</w:t>
      </w:r>
      <w:r w:rsidRPr="00397AA7">
        <w:rPr>
          <w:rFonts w:asciiTheme="minorHAnsi" w:hAnsiTheme="minorHAnsi" w:cstheme="minorHAnsi"/>
        </w:rPr>
        <w:t xml:space="preserve"> </w:t>
      </w:r>
      <w:r w:rsidR="00521709" w:rsidRPr="00397AA7">
        <w:rPr>
          <w:rFonts w:asciiTheme="minorHAnsi" w:hAnsiTheme="minorHAnsi" w:cstheme="minorHAnsi"/>
        </w:rPr>
        <w:t>March</w:t>
      </w:r>
      <w:r w:rsidRPr="00397AA7">
        <w:rPr>
          <w:rFonts w:asciiTheme="minorHAnsi" w:hAnsiTheme="minorHAnsi" w:cstheme="minorHAnsi"/>
        </w:rPr>
        <w:t xml:space="preserve"> 201</w:t>
      </w:r>
      <w:r w:rsidR="00521709" w:rsidRPr="00397AA7">
        <w:rPr>
          <w:rFonts w:asciiTheme="minorHAnsi" w:hAnsiTheme="minorHAnsi" w:cstheme="minorHAnsi"/>
        </w:rPr>
        <w:t>9</w:t>
      </w:r>
      <w:r w:rsidRPr="00397AA7">
        <w:rPr>
          <w:rFonts w:asciiTheme="minorHAnsi" w:hAnsiTheme="minorHAnsi" w:cstheme="minorHAnsi"/>
        </w:rPr>
        <w:t xml:space="preserve">). </w:t>
      </w:r>
    </w:p>
    <w:p w14:paraId="06F818C1" w14:textId="77777777" w:rsidR="003B2277" w:rsidRPr="00397AA7" w:rsidRDefault="003B2277" w:rsidP="00A04A32">
      <w:pPr>
        <w:spacing w:line="480" w:lineRule="auto"/>
        <w:jc w:val="both"/>
        <w:rPr>
          <w:rFonts w:asciiTheme="minorHAnsi" w:hAnsiTheme="minorHAnsi" w:cstheme="minorHAnsi"/>
        </w:rPr>
      </w:pPr>
    </w:p>
    <w:p w14:paraId="20197EA7" w14:textId="0D1C90EE" w:rsidR="00F673DC" w:rsidRPr="00397AA7" w:rsidRDefault="00F673DC" w:rsidP="00A04A32">
      <w:pPr>
        <w:spacing w:line="480" w:lineRule="auto"/>
        <w:jc w:val="both"/>
        <w:outlineLvl w:val="0"/>
        <w:rPr>
          <w:rFonts w:asciiTheme="minorHAnsi" w:hAnsiTheme="minorHAnsi" w:cstheme="minorHAnsi"/>
          <w:u w:val="single"/>
        </w:rPr>
      </w:pPr>
      <w:r w:rsidRPr="00397AA7">
        <w:rPr>
          <w:rFonts w:asciiTheme="minorHAnsi" w:hAnsiTheme="minorHAnsi" w:cstheme="minorHAnsi"/>
          <w:u w:val="single"/>
        </w:rPr>
        <w:t>Statistical analysis</w:t>
      </w:r>
    </w:p>
    <w:p w14:paraId="0ECBF6D7" w14:textId="6887BE25" w:rsidR="00521709" w:rsidRPr="00397AA7" w:rsidRDefault="00521709" w:rsidP="00A04A32">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t>Baseline characteristics and outcome variables were expressed as numbers and percentages for categorical data and mean</w:t>
      </w:r>
      <w:r w:rsidR="009A3EEF" w:rsidRPr="00397AA7">
        <w:rPr>
          <w:rFonts w:asciiTheme="minorHAnsi" w:hAnsiTheme="minorHAnsi" w:cstheme="minorHAnsi"/>
          <w:color w:val="000000" w:themeColor="text1"/>
        </w:rPr>
        <w:t xml:space="preserve"> +/-</w:t>
      </w:r>
      <w:r w:rsidRPr="00397AA7">
        <w:rPr>
          <w:rFonts w:asciiTheme="minorHAnsi" w:hAnsiTheme="minorHAnsi" w:cstheme="minorHAnsi"/>
          <w:color w:val="000000" w:themeColor="text1"/>
        </w:rPr>
        <w:t xml:space="preserve"> standard deviation or median (interquartile range) for continuous variables according to data distribution.</w:t>
      </w:r>
      <w:r w:rsidR="00CB2412" w:rsidRPr="00397AA7">
        <w:rPr>
          <w:rFonts w:asciiTheme="minorHAnsi" w:hAnsiTheme="minorHAnsi" w:cstheme="minorHAnsi"/>
          <w:color w:val="000000" w:themeColor="text1"/>
        </w:rPr>
        <w:t xml:space="preserve"> Variable missingness was calculated and reported (Supplemental Table 1). Missingness rates for key outcome variables of recurrent VTE, bleeding events and survival for those receiving VKA or DOACs was 1.6%, 1.6% and 0% respectively</w:t>
      </w:r>
      <w:r w:rsidR="00CB2412" w:rsidRPr="00397AA7">
        <w:rPr>
          <w:rFonts w:asciiTheme="minorHAnsi" w:hAnsiTheme="minorHAnsi" w:cstheme="minorHAnsi"/>
          <w:b/>
          <w:color w:val="FF0000"/>
        </w:rPr>
        <w:t xml:space="preserve">. </w:t>
      </w:r>
      <w:r w:rsidR="00E060F2" w:rsidRPr="00397AA7">
        <w:rPr>
          <w:rFonts w:asciiTheme="minorHAnsi" w:hAnsiTheme="minorHAnsi" w:cstheme="minorHAnsi"/>
          <w:color w:val="000000" w:themeColor="text1"/>
        </w:rPr>
        <w:t>Complete cases data was used in analyses</w:t>
      </w:r>
      <w:r w:rsidR="00E060F2" w:rsidRPr="00397AA7">
        <w:rPr>
          <w:rFonts w:asciiTheme="minorHAnsi" w:hAnsiTheme="minorHAnsi" w:cstheme="minorHAnsi"/>
          <w:b/>
          <w:color w:val="000000" w:themeColor="text1"/>
        </w:rPr>
        <w:t>.</w:t>
      </w:r>
      <w:r w:rsidR="00E060F2" w:rsidRPr="00397AA7">
        <w:rPr>
          <w:rFonts w:asciiTheme="minorHAnsi" w:hAnsiTheme="minorHAnsi" w:cstheme="minorHAnsi"/>
          <w:b/>
          <w:color w:val="FF0000"/>
        </w:rPr>
        <w:t xml:space="preserve"> </w:t>
      </w:r>
      <w:r w:rsidRPr="00397AA7">
        <w:rPr>
          <w:rFonts w:asciiTheme="minorHAnsi" w:hAnsiTheme="minorHAnsi" w:cstheme="minorHAnsi"/>
          <w:color w:val="000000" w:themeColor="text1"/>
        </w:rPr>
        <w:t>Between-group and within group comparisons were made using parametric and non-parametric tests as appropriate. A p-value of &lt; 0.05 was considered significant. Multiple comparisons where corrected for, where necessary, using a false discovery rate and adjusted p-values reported. Statistical analysis was performed using R version 3.5.1 (wwww.r-project.org)</w:t>
      </w:r>
      <w:r w:rsidRPr="00397AA7">
        <w:rPr>
          <w:rFonts w:asciiTheme="minorHAnsi" w:hAnsiTheme="minorHAnsi" w:cstheme="minorHAnsi"/>
          <w:color w:val="FF0000"/>
        </w:rPr>
        <w:t xml:space="preserve"> </w:t>
      </w:r>
      <w:r w:rsidR="00511EEA" w:rsidRPr="00397AA7">
        <w:rPr>
          <w:rFonts w:asciiTheme="minorHAnsi" w:hAnsiTheme="minorHAnsi" w:cstheme="minorHAnsi"/>
          <w:color w:val="000000" w:themeColor="text1"/>
        </w:rPr>
        <w:t>[</w:t>
      </w:r>
      <w:r w:rsidR="00BC00C6" w:rsidRPr="00397AA7">
        <w:rPr>
          <w:rFonts w:asciiTheme="minorHAnsi" w:hAnsiTheme="minorHAnsi" w:cstheme="minorHAnsi"/>
          <w:color w:val="000000" w:themeColor="text1"/>
        </w:rPr>
        <w:t>18</w:t>
      </w:r>
      <w:r w:rsidR="00511EEA" w:rsidRPr="00397AA7">
        <w:rPr>
          <w:rFonts w:asciiTheme="minorHAnsi" w:hAnsiTheme="minorHAnsi" w:cstheme="minorHAnsi"/>
          <w:color w:val="000000" w:themeColor="text1"/>
        </w:rPr>
        <w:t>].</w:t>
      </w:r>
      <w:r w:rsidR="00F673DC" w:rsidRPr="00397AA7">
        <w:rPr>
          <w:rFonts w:asciiTheme="minorHAnsi" w:hAnsiTheme="minorHAnsi" w:cstheme="minorHAnsi"/>
          <w:color w:val="000000" w:themeColor="text1"/>
          <w:vertAlign w:val="superscript"/>
        </w:rPr>
        <w:t xml:space="preserve"> </w:t>
      </w:r>
    </w:p>
    <w:p w14:paraId="7B9896EE" w14:textId="03C5FDF4" w:rsidR="0038150B" w:rsidRPr="00397AA7" w:rsidRDefault="0038150B" w:rsidP="00A04A32">
      <w:pPr>
        <w:spacing w:line="480" w:lineRule="auto"/>
        <w:jc w:val="both"/>
        <w:rPr>
          <w:rFonts w:asciiTheme="minorHAnsi" w:hAnsiTheme="minorHAnsi" w:cstheme="minorHAnsi"/>
        </w:rPr>
      </w:pPr>
    </w:p>
    <w:p w14:paraId="5DAC3595" w14:textId="32907AF5" w:rsidR="00256D9F" w:rsidRPr="00397AA7" w:rsidRDefault="00256D9F" w:rsidP="00A04A32">
      <w:pPr>
        <w:spacing w:line="480" w:lineRule="auto"/>
        <w:jc w:val="both"/>
        <w:rPr>
          <w:rFonts w:asciiTheme="minorHAnsi" w:hAnsiTheme="minorHAnsi" w:cstheme="minorHAnsi"/>
        </w:rPr>
      </w:pPr>
    </w:p>
    <w:p w14:paraId="6BC9DD12" w14:textId="77777777" w:rsidR="00256D9F" w:rsidRPr="00397AA7" w:rsidRDefault="00256D9F" w:rsidP="00A04A32">
      <w:pPr>
        <w:spacing w:line="480" w:lineRule="auto"/>
        <w:jc w:val="both"/>
        <w:rPr>
          <w:rFonts w:asciiTheme="minorHAnsi" w:hAnsiTheme="minorHAnsi" w:cstheme="minorHAnsi"/>
        </w:rPr>
      </w:pPr>
    </w:p>
    <w:p w14:paraId="11A2A3DD" w14:textId="53253EEC" w:rsidR="00D546A9" w:rsidRPr="00397AA7" w:rsidRDefault="006937DB" w:rsidP="00A04A32">
      <w:pPr>
        <w:spacing w:line="480" w:lineRule="auto"/>
        <w:jc w:val="both"/>
        <w:outlineLvl w:val="0"/>
        <w:rPr>
          <w:rFonts w:asciiTheme="minorHAnsi" w:hAnsiTheme="minorHAnsi" w:cstheme="minorHAnsi"/>
          <w:b/>
          <w:color w:val="000000" w:themeColor="text1"/>
        </w:rPr>
      </w:pPr>
      <w:r w:rsidRPr="00397AA7">
        <w:rPr>
          <w:rFonts w:asciiTheme="minorHAnsi" w:hAnsiTheme="minorHAnsi" w:cstheme="minorHAnsi"/>
          <w:b/>
          <w:color w:val="000000" w:themeColor="text1"/>
        </w:rPr>
        <w:t>Results</w:t>
      </w:r>
    </w:p>
    <w:p w14:paraId="7BED269F" w14:textId="77777777" w:rsidR="00CE1F6D" w:rsidRPr="00397AA7" w:rsidRDefault="00CE1F6D" w:rsidP="00CE1F6D">
      <w:pPr>
        <w:spacing w:line="480" w:lineRule="auto"/>
        <w:jc w:val="both"/>
        <w:outlineLvl w:val="0"/>
        <w:rPr>
          <w:rFonts w:asciiTheme="minorHAnsi" w:hAnsiTheme="minorHAnsi" w:cstheme="minorHAnsi"/>
          <w:color w:val="000000" w:themeColor="text1"/>
          <w:u w:val="single"/>
        </w:rPr>
      </w:pPr>
      <w:r w:rsidRPr="00397AA7">
        <w:rPr>
          <w:rFonts w:asciiTheme="minorHAnsi" w:hAnsiTheme="minorHAnsi" w:cstheme="minorHAnsi"/>
          <w:color w:val="000000" w:themeColor="text1"/>
          <w:u w:val="single"/>
        </w:rPr>
        <w:t>Cohort characteristics</w:t>
      </w:r>
    </w:p>
    <w:p w14:paraId="53EF9BF8" w14:textId="77777777" w:rsidR="00CE1F6D" w:rsidRPr="00397AA7" w:rsidRDefault="00CE1F6D" w:rsidP="00CE1F6D">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t>During the study period 1322 individuals underwent PEA. There were 90 deaths prior to first post-operative follow-up.  Mean follow-up duration was 612 +/- 702 days. Pre-operative patient characteristics and post-operative outcomes at first follow-up within one year of PEA are summarised in Table 1.</w:t>
      </w:r>
    </w:p>
    <w:p w14:paraId="2A3F5CD3" w14:textId="77777777" w:rsidR="00CE1F6D" w:rsidRPr="00397AA7" w:rsidRDefault="00CE1F6D" w:rsidP="00CE1F6D">
      <w:pPr>
        <w:spacing w:line="480" w:lineRule="auto"/>
        <w:jc w:val="both"/>
        <w:rPr>
          <w:rFonts w:asciiTheme="minorHAnsi" w:hAnsiTheme="minorHAnsi" w:cstheme="minorHAnsi"/>
          <w:color w:val="000000" w:themeColor="text1"/>
        </w:rPr>
      </w:pPr>
    </w:p>
    <w:p w14:paraId="5BD8DB6C" w14:textId="77777777" w:rsidR="00CE1F6D" w:rsidRPr="00397AA7" w:rsidRDefault="00CE1F6D" w:rsidP="00CE1F6D">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t>The median age was 62 (22) years and 54% were male. 8.4% had a history of malignancy, although only 0.4% had active malignancy, or were receiving treatment for malignancy at the time of PEA (all were warfarinised). An additional two patients were diagnosed with malignancy after PEA but prior to first follow-up</w:t>
      </w:r>
      <w:r w:rsidRPr="00397AA7">
        <w:rPr>
          <w:rFonts w:asciiTheme="minorHAnsi" w:hAnsiTheme="minorHAnsi" w:cstheme="minorHAnsi"/>
          <w:color w:val="FF0000"/>
        </w:rPr>
        <w:t xml:space="preserve">. </w:t>
      </w:r>
      <w:r w:rsidRPr="00397AA7">
        <w:rPr>
          <w:rFonts w:asciiTheme="minorHAnsi" w:hAnsiTheme="minorHAnsi" w:cstheme="minorHAnsi"/>
          <w:color w:val="000000" w:themeColor="text1"/>
        </w:rPr>
        <w:t>Pre-operative mPAP was 44 (16) mmHg, pulmonary vascular resistance 651 (493) dynes</w:t>
      </w:r>
      <w:r w:rsidRPr="00397AA7">
        <w:rPr>
          <w:rFonts w:asciiTheme="minorHAnsi" w:hAnsiTheme="minorHAnsi" w:cstheme="minorHAnsi"/>
          <w:color w:val="000000" w:themeColor="text1"/>
          <w:vertAlign w:val="superscript"/>
        </w:rPr>
        <w:t>.</w:t>
      </w:r>
      <w:r w:rsidRPr="00397AA7">
        <w:rPr>
          <w:rFonts w:asciiTheme="minorHAnsi" w:hAnsiTheme="minorHAnsi" w:cstheme="minorHAnsi"/>
          <w:color w:val="000000" w:themeColor="text1"/>
        </w:rPr>
        <w:t>s</w:t>
      </w:r>
      <w:r w:rsidRPr="00397AA7">
        <w:rPr>
          <w:rFonts w:asciiTheme="minorHAnsi" w:hAnsiTheme="minorHAnsi" w:cstheme="minorHAnsi"/>
          <w:color w:val="000000" w:themeColor="text1"/>
          <w:vertAlign w:val="superscript"/>
        </w:rPr>
        <w:t>-1.</w:t>
      </w:r>
      <w:r w:rsidRPr="00397AA7">
        <w:rPr>
          <w:rFonts w:asciiTheme="minorHAnsi" w:hAnsiTheme="minorHAnsi" w:cstheme="minorHAnsi"/>
          <w:color w:val="000000" w:themeColor="text1"/>
        </w:rPr>
        <w:t>cm</w:t>
      </w:r>
      <w:r w:rsidRPr="00397AA7">
        <w:rPr>
          <w:rFonts w:asciiTheme="minorHAnsi" w:hAnsiTheme="minorHAnsi" w:cstheme="minorHAnsi"/>
          <w:color w:val="000000" w:themeColor="text1"/>
          <w:vertAlign w:val="superscript"/>
        </w:rPr>
        <w:t xml:space="preserve">-5 </w:t>
      </w:r>
      <w:r w:rsidRPr="00397AA7">
        <w:rPr>
          <w:rFonts w:asciiTheme="minorHAnsi" w:hAnsiTheme="minorHAnsi" w:cstheme="minorHAnsi"/>
          <w:color w:val="000000" w:themeColor="text1"/>
        </w:rPr>
        <w:t>and cardiac index 2.12 (0.8)  l</w:t>
      </w:r>
      <w:r w:rsidRPr="00397AA7">
        <w:rPr>
          <w:rFonts w:asciiTheme="minorHAnsi" w:hAnsiTheme="minorHAnsi" w:cstheme="minorHAnsi"/>
          <w:color w:val="000000" w:themeColor="text1"/>
          <w:vertAlign w:val="superscript"/>
        </w:rPr>
        <w:t>.</w:t>
      </w:r>
      <w:r w:rsidRPr="00397AA7">
        <w:rPr>
          <w:rFonts w:asciiTheme="minorHAnsi" w:hAnsiTheme="minorHAnsi" w:cstheme="minorHAnsi"/>
          <w:color w:val="000000" w:themeColor="text1"/>
        </w:rPr>
        <w:t>min</w:t>
      </w:r>
      <w:r w:rsidRPr="00397AA7">
        <w:rPr>
          <w:rFonts w:asciiTheme="minorHAnsi" w:hAnsiTheme="minorHAnsi" w:cstheme="minorHAnsi"/>
          <w:color w:val="000000" w:themeColor="text1"/>
          <w:vertAlign w:val="superscript"/>
        </w:rPr>
        <w:t>-.</w:t>
      </w:r>
      <w:r w:rsidRPr="00397AA7">
        <w:rPr>
          <w:rFonts w:asciiTheme="minorHAnsi" w:hAnsiTheme="minorHAnsi" w:cstheme="minorHAnsi"/>
          <w:color w:val="000000" w:themeColor="text1"/>
        </w:rPr>
        <w:t>m</w:t>
      </w:r>
      <w:r w:rsidRPr="00397AA7">
        <w:rPr>
          <w:rFonts w:asciiTheme="minorHAnsi" w:hAnsiTheme="minorHAnsi" w:cstheme="minorHAnsi"/>
          <w:color w:val="000000" w:themeColor="text1"/>
          <w:vertAlign w:val="superscript"/>
        </w:rPr>
        <w:t>2</w:t>
      </w:r>
      <w:r w:rsidRPr="00397AA7">
        <w:rPr>
          <w:rFonts w:asciiTheme="minorHAnsi" w:hAnsiTheme="minorHAnsi" w:cstheme="minorHAnsi"/>
          <w:color w:val="000000" w:themeColor="text1"/>
        </w:rPr>
        <w:t>.  Prior to PEA 85% of patients were in NYHA functional class III or IV and six-minute walk distance was 310 (200) m. Significant improvements in haemodynamics, functional status and self-reported outcomes were seen following PEA (p &lt; 0.001).</w:t>
      </w:r>
    </w:p>
    <w:p w14:paraId="2966B718" w14:textId="77777777" w:rsidR="00CE1F6D" w:rsidRPr="00397AA7" w:rsidRDefault="00CE1F6D" w:rsidP="00CE1F6D">
      <w:pPr>
        <w:spacing w:line="480" w:lineRule="auto"/>
        <w:jc w:val="both"/>
        <w:rPr>
          <w:rFonts w:asciiTheme="minorHAnsi" w:hAnsiTheme="minorHAnsi" w:cstheme="minorHAnsi"/>
          <w:color w:val="000000" w:themeColor="text1"/>
        </w:rPr>
      </w:pPr>
    </w:p>
    <w:p w14:paraId="648AED08" w14:textId="77777777" w:rsidR="00CE1F6D" w:rsidRPr="00397AA7" w:rsidRDefault="00CE1F6D" w:rsidP="00CE1F6D">
      <w:pPr>
        <w:spacing w:line="480" w:lineRule="auto"/>
        <w:jc w:val="both"/>
        <w:outlineLvl w:val="0"/>
        <w:rPr>
          <w:rFonts w:asciiTheme="minorHAnsi" w:hAnsiTheme="minorHAnsi" w:cstheme="minorHAnsi"/>
          <w:color w:val="000000" w:themeColor="text1"/>
          <w:u w:val="single"/>
        </w:rPr>
      </w:pPr>
      <w:r w:rsidRPr="00397AA7">
        <w:rPr>
          <w:rFonts w:asciiTheme="minorHAnsi" w:hAnsiTheme="minorHAnsi" w:cstheme="minorHAnsi"/>
          <w:color w:val="000000" w:themeColor="text1"/>
          <w:u w:val="single"/>
        </w:rPr>
        <w:t>Anticoagulation group characteristics at time of PEA</w:t>
      </w:r>
    </w:p>
    <w:p w14:paraId="40B43987" w14:textId="77777777" w:rsidR="00CE1F6D" w:rsidRPr="00397AA7" w:rsidRDefault="00CE1F6D" w:rsidP="00CE1F6D">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t xml:space="preserve">Anticoagulation data prior to PEA was available for 1078 individuals. 808 were treated with VKAs (75%) and 204 with DOACs (19%). 60 individuals were anticoagulated with subcutaneous or intravenous heparins (6%) and three patients were on Fondaparinux (&lt; 1%). Three patients were not anticoagulated prior to PEA. </w:t>
      </w:r>
    </w:p>
    <w:p w14:paraId="5D0FBFEA" w14:textId="77777777" w:rsidR="00CE1F6D" w:rsidRPr="00397AA7" w:rsidRDefault="00CE1F6D" w:rsidP="00CE1F6D">
      <w:pPr>
        <w:spacing w:line="480" w:lineRule="auto"/>
        <w:jc w:val="both"/>
        <w:rPr>
          <w:rFonts w:asciiTheme="minorHAnsi" w:hAnsiTheme="minorHAnsi" w:cstheme="minorHAnsi"/>
          <w:color w:val="000000" w:themeColor="text1"/>
        </w:rPr>
      </w:pPr>
    </w:p>
    <w:p w14:paraId="404265F9" w14:textId="77777777" w:rsidR="00CE1F6D" w:rsidRPr="00397AA7" w:rsidRDefault="00CE1F6D" w:rsidP="00CE1F6D">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lastRenderedPageBreak/>
        <w:t xml:space="preserve">The most common pre-operative VKA was Warfarin (99%) with Acenocoumarol used in 0.7% and Phenindione in 0.1%. Rivaroxaban was the most frequently prescribed DOAC (76%) with Apixaban, Dabigatran and Edoxaban prescribed in 19%, 4% and 1% respectively. One additional individual was on dual DOAC therapy pre-operatively (Apixaban with Dabigatran). The proportion of patients prescribed DOACs steadily increased over time from &lt; 1% in 2007 – 2008 to 55% in 2017-2018. </w:t>
      </w:r>
    </w:p>
    <w:p w14:paraId="4E4EE5DC" w14:textId="77777777" w:rsidR="00CE1F6D" w:rsidRPr="00397AA7" w:rsidRDefault="00CE1F6D" w:rsidP="00CE1F6D">
      <w:pPr>
        <w:spacing w:line="480" w:lineRule="auto"/>
        <w:jc w:val="both"/>
        <w:rPr>
          <w:rFonts w:asciiTheme="minorHAnsi" w:hAnsiTheme="minorHAnsi" w:cstheme="minorHAnsi"/>
          <w:color w:val="FF0000"/>
        </w:rPr>
      </w:pPr>
    </w:p>
    <w:p w14:paraId="43D5120C" w14:textId="77777777" w:rsidR="00CE1F6D" w:rsidRPr="00397AA7" w:rsidRDefault="00CE1F6D" w:rsidP="00CE1F6D">
      <w:pPr>
        <w:spacing w:line="480" w:lineRule="auto"/>
        <w:jc w:val="both"/>
        <w:rPr>
          <w:rFonts w:asciiTheme="minorHAnsi" w:hAnsiTheme="minorHAnsi" w:cstheme="minorHAnsi"/>
          <w:color w:val="FF0000"/>
        </w:rPr>
      </w:pPr>
      <w:r w:rsidRPr="00397AA7">
        <w:rPr>
          <w:rFonts w:asciiTheme="minorHAnsi" w:hAnsiTheme="minorHAnsi" w:cstheme="minorHAnsi"/>
          <w:color w:val="000000" w:themeColor="text1"/>
        </w:rPr>
        <w:t xml:space="preserve">Prescribed anticoagulant was not dependent on patient demographics (Table 2). Age, sex and body mass index did not differ between anticoagulation groups. Although the incidence of Antiphospholipid Syndrome (4.0% vs 1.5%) and indeed any underlying thrombophilia (7.2% vs 3.9%) was higher in those receiving VKAs compared to DOACs, the difference failed to reach statistical significance. The exclusion of those with APS from analysis did not alter findings (Supplemental Table 2), nor did the presence, or absence, of Inferior Vena Cava filters (Supplemental Table 3). </w:t>
      </w:r>
    </w:p>
    <w:p w14:paraId="60222A21" w14:textId="77777777" w:rsidR="00CE1F6D" w:rsidRPr="00397AA7" w:rsidRDefault="00CE1F6D" w:rsidP="00CE1F6D">
      <w:pPr>
        <w:spacing w:line="480" w:lineRule="auto"/>
        <w:jc w:val="both"/>
        <w:rPr>
          <w:rFonts w:asciiTheme="minorHAnsi" w:hAnsiTheme="minorHAnsi" w:cstheme="minorHAnsi"/>
          <w:color w:val="FF0000"/>
        </w:rPr>
      </w:pPr>
    </w:p>
    <w:p w14:paraId="19B710AD" w14:textId="77777777" w:rsidR="00CE1F6D" w:rsidRPr="00397AA7" w:rsidRDefault="00CE1F6D" w:rsidP="00CE1F6D">
      <w:pPr>
        <w:spacing w:line="480" w:lineRule="auto"/>
        <w:jc w:val="both"/>
        <w:outlineLvl w:val="0"/>
        <w:rPr>
          <w:rFonts w:asciiTheme="minorHAnsi" w:hAnsiTheme="minorHAnsi" w:cstheme="minorHAnsi"/>
          <w:color w:val="000000" w:themeColor="text1"/>
          <w:u w:val="single"/>
        </w:rPr>
      </w:pPr>
      <w:r w:rsidRPr="00397AA7">
        <w:rPr>
          <w:rFonts w:asciiTheme="minorHAnsi" w:hAnsiTheme="minorHAnsi" w:cstheme="minorHAnsi"/>
          <w:color w:val="000000" w:themeColor="text1"/>
          <w:u w:val="single"/>
        </w:rPr>
        <w:t xml:space="preserve">Post-operative anticoagulation </w:t>
      </w:r>
    </w:p>
    <w:p w14:paraId="1F078AC7" w14:textId="77777777" w:rsidR="00CE1F6D" w:rsidRPr="00397AA7" w:rsidRDefault="00CE1F6D" w:rsidP="00CE1F6D">
      <w:pPr>
        <w:spacing w:line="480" w:lineRule="auto"/>
        <w:jc w:val="both"/>
        <w:outlineLvl w:val="0"/>
        <w:rPr>
          <w:rFonts w:asciiTheme="minorHAnsi" w:hAnsiTheme="minorHAnsi" w:cstheme="minorHAnsi"/>
          <w:color w:val="000000" w:themeColor="text1"/>
        </w:rPr>
      </w:pPr>
      <w:r w:rsidRPr="00397AA7">
        <w:rPr>
          <w:rFonts w:asciiTheme="minorHAnsi" w:hAnsiTheme="minorHAnsi" w:cstheme="minorHAnsi"/>
          <w:color w:val="000000" w:themeColor="text1"/>
        </w:rPr>
        <w:t xml:space="preserve">Post-operative anticoagulation was documented for 1,057 patients (Table 2). 794 were treated with VKAs and 206 with DOACs. Warfarin remained the most popular VKA (99%) and Rivaroxaban the most popular DOAC (77%). </w:t>
      </w:r>
    </w:p>
    <w:p w14:paraId="7F63A42B" w14:textId="77777777" w:rsidR="00CE1F6D" w:rsidRPr="00397AA7" w:rsidRDefault="00CE1F6D" w:rsidP="00CE1F6D">
      <w:pPr>
        <w:spacing w:line="480" w:lineRule="auto"/>
        <w:jc w:val="both"/>
        <w:outlineLvl w:val="0"/>
        <w:rPr>
          <w:rFonts w:asciiTheme="minorHAnsi" w:hAnsiTheme="minorHAnsi" w:cstheme="minorHAnsi"/>
          <w:color w:val="000000" w:themeColor="text1"/>
        </w:rPr>
      </w:pPr>
    </w:p>
    <w:p w14:paraId="2C9E0873" w14:textId="77777777" w:rsidR="00CE1F6D" w:rsidRPr="00397AA7" w:rsidRDefault="00CE1F6D" w:rsidP="00CE1F6D">
      <w:pPr>
        <w:spacing w:line="480" w:lineRule="auto"/>
        <w:jc w:val="both"/>
        <w:outlineLvl w:val="0"/>
        <w:rPr>
          <w:rFonts w:asciiTheme="minorHAnsi" w:hAnsiTheme="minorHAnsi" w:cstheme="minorHAnsi"/>
          <w:color w:val="000000" w:themeColor="text1"/>
        </w:rPr>
      </w:pPr>
      <w:r w:rsidRPr="00397AA7">
        <w:rPr>
          <w:rFonts w:asciiTheme="minorHAnsi" w:hAnsiTheme="minorHAnsi" w:cstheme="minorHAnsi"/>
          <w:color w:val="000000" w:themeColor="text1"/>
        </w:rPr>
        <w:t xml:space="preserve">Change in anticoagulant class following PEA was recorded for 71 individuals. A move from heparin-based regimes to oral anticoagulation accounted for the majority of changes occurring prior to first follow-up (n = 27). Changes occurring during longer term follow-up </w:t>
      </w:r>
      <w:r w:rsidRPr="00397AA7">
        <w:rPr>
          <w:rFonts w:asciiTheme="minorHAnsi" w:hAnsiTheme="minorHAnsi" w:cstheme="minorHAnsi"/>
          <w:color w:val="000000" w:themeColor="text1"/>
        </w:rPr>
        <w:lastRenderedPageBreak/>
        <w:t xml:space="preserve">were most commonly from VKA to DOAC due to the administrative convenience of DOACs or difficulty in maintaining INR control. </w:t>
      </w:r>
    </w:p>
    <w:p w14:paraId="45B6DCF3" w14:textId="77777777" w:rsidR="00CE1F6D" w:rsidRPr="00397AA7" w:rsidRDefault="00CE1F6D" w:rsidP="00CE1F6D">
      <w:pPr>
        <w:spacing w:line="480" w:lineRule="auto"/>
        <w:jc w:val="both"/>
        <w:outlineLvl w:val="0"/>
        <w:rPr>
          <w:rFonts w:asciiTheme="minorHAnsi" w:hAnsiTheme="minorHAnsi" w:cstheme="minorHAnsi"/>
          <w:color w:val="000000" w:themeColor="text1"/>
        </w:rPr>
      </w:pPr>
    </w:p>
    <w:p w14:paraId="13472076" w14:textId="77777777" w:rsidR="00CE1F6D" w:rsidRPr="00397AA7" w:rsidRDefault="00CE1F6D" w:rsidP="00CE1F6D">
      <w:pPr>
        <w:spacing w:after="240"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t xml:space="preserve">INR measurements from post-operative review at Royal Papworth Hospital were collated. A total of 2054 INR measurements were obtained of which 1039 (51%) had an INR above a threshold of 2. </w:t>
      </w:r>
    </w:p>
    <w:p w14:paraId="2AB4FB9A" w14:textId="77777777" w:rsidR="00CE1F6D" w:rsidRPr="00397AA7" w:rsidRDefault="00CE1F6D" w:rsidP="00CE1F6D">
      <w:pPr>
        <w:spacing w:line="480" w:lineRule="auto"/>
        <w:jc w:val="both"/>
        <w:rPr>
          <w:rFonts w:asciiTheme="minorHAnsi" w:hAnsiTheme="minorHAnsi" w:cstheme="minorHAnsi"/>
          <w:color w:val="000000" w:themeColor="text1"/>
          <w:u w:val="single"/>
        </w:rPr>
      </w:pPr>
      <w:r w:rsidRPr="00397AA7">
        <w:rPr>
          <w:rFonts w:asciiTheme="minorHAnsi" w:hAnsiTheme="minorHAnsi" w:cstheme="minorHAnsi"/>
          <w:color w:val="000000" w:themeColor="text1"/>
          <w:u w:val="single"/>
        </w:rPr>
        <w:t xml:space="preserve">Post-PEA outcomes </w:t>
      </w:r>
    </w:p>
    <w:p w14:paraId="7C250747" w14:textId="77777777" w:rsidR="00CE1F6D" w:rsidRPr="00397AA7" w:rsidRDefault="00CE1F6D" w:rsidP="00CE1F6D">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t xml:space="preserve">Improvements in haemodynamics, functional status and self-reported outcomes were seen with PEA in those receiving both VKAs and DOACs (p &lt; 0.001). Outcomes were unaffected by anticoagulation class (p &gt; 0.05). Significant residual pulmonary hypertension (mPAP </w:t>
      </w:r>
      <w:r w:rsidRPr="00397AA7">
        <w:rPr>
          <w:rFonts w:asciiTheme="minorHAnsi" w:hAnsiTheme="minorHAnsi" w:cstheme="minorHAnsi"/>
          <w:color w:val="000000" w:themeColor="text1"/>
        </w:rPr>
        <w:sym w:font="Symbol" w:char="F0B3"/>
      </w:r>
      <w:r w:rsidRPr="00397AA7">
        <w:rPr>
          <w:rFonts w:asciiTheme="minorHAnsi" w:hAnsiTheme="minorHAnsi" w:cstheme="minorHAnsi"/>
          <w:color w:val="000000" w:themeColor="text1"/>
        </w:rPr>
        <w:t xml:space="preserve"> 38mmHg) was observed in 113 (14%) with VKAs and 20 (9.7%) with DOACs. </w:t>
      </w:r>
    </w:p>
    <w:p w14:paraId="339521CF" w14:textId="77777777" w:rsidR="00CE1F6D" w:rsidRPr="00397AA7" w:rsidRDefault="00CE1F6D" w:rsidP="00CE1F6D">
      <w:pPr>
        <w:spacing w:line="480" w:lineRule="auto"/>
        <w:jc w:val="both"/>
        <w:rPr>
          <w:rFonts w:asciiTheme="minorHAnsi" w:hAnsiTheme="minorHAnsi" w:cstheme="minorHAnsi"/>
          <w:color w:val="FF0000"/>
        </w:rPr>
      </w:pPr>
    </w:p>
    <w:p w14:paraId="7B3ED524" w14:textId="77777777" w:rsidR="00CE1F6D" w:rsidRPr="00397AA7" w:rsidRDefault="00CE1F6D" w:rsidP="00CE1F6D">
      <w:pPr>
        <w:spacing w:line="480" w:lineRule="auto"/>
        <w:jc w:val="both"/>
        <w:outlineLvl w:val="0"/>
        <w:rPr>
          <w:rFonts w:asciiTheme="minorHAnsi" w:hAnsiTheme="minorHAnsi" w:cstheme="minorHAnsi"/>
          <w:color w:val="000000" w:themeColor="text1"/>
          <w:u w:val="single"/>
        </w:rPr>
      </w:pPr>
      <w:r w:rsidRPr="00397AA7">
        <w:rPr>
          <w:rFonts w:asciiTheme="minorHAnsi" w:hAnsiTheme="minorHAnsi" w:cstheme="minorHAnsi"/>
          <w:color w:val="000000" w:themeColor="text1"/>
          <w:u w:val="single"/>
        </w:rPr>
        <w:t>Recurrent VTE</w:t>
      </w:r>
    </w:p>
    <w:p w14:paraId="3483C934" w14:textId="77777777" w:rsidR="00CE1F6D" w:rsidRPr="00397AA7" w:rsidRDefault="00CE1F6D" w:rsidP="00CE1F6D">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t xml:space="preserve">There were 22 episodes of recurrent VTE across 20 individuals post-PEA (1.17%/person-year). All events were pulmonary thromboemboli with the exception of one lower limb deep vein thrombosis (Table 3). Thrombophilia status for all VTEs was known. No events occurred in association with underlying malignancy. Median time to VTE recurrence following PEA was 5.8 (5.4) months. Seven PEs were incidental findings on routine post-operative imaging in asymptomatic individuals. </w:t>
      </w:r>
    </w:p>
    <w:p w14:paraId="3ECAA4EF" w14:textId="77777777" w:rsidR="00CE1F6D" w:rsidRPr="00397AA7" w:rsidRDefault="00CE1F6D" w:rsidP="00CE1F6D">
      <w:pPr>
        <w:spacing w:line="480" w:lineRule="auto"/>
        <w:jc w:val="both"/>
        <w:rPr>
          <w:rFonts w:asciiTheme="minorHAnsi" w:hAnsiTheme="minorHAnsi" w:cstheme="minorHAnsi"/>
          <w:color w:val="000000" w:themeColor="text1"/>
        </w:rPr>
      </w:pPr>
    </w:p>
    <w:p w14:paraId="7F2644E1" w14:textId="77777777" w:rsidR="00CE1F6D" w:rsidRPr="00397AA7" w:rsidRDefault="00CE1F6D" w:rsidP="00CE1F6D">
      <w:pPr>
        <w:spacing w:line="480" w:lineRule="auto"/>
        <w:jc w:val="both"/>
        <w:rPr>
          <w:rFonts w:asciiTheme="minorHAnsi" w:hAnsiTheme="minorHAnsi" w:cstheme="minorHAnsi"/>
          <w:b/>
          <w:color w:val="FF0000"/>
        </w:rPr>
      </w:pPr>
      <w:r w:rsidRPr="00397AA7">
        <w:rPr>
          <w:rFonts w:asciiTheme="minorHAnsi" w:hAnsiTheme="minorHAnsi" w:cstheme="minorHAnsi"/>
          <w:color w:val="000000" w:themeColor="text1"/>
        </w:rPr>
        <w:t xml:space="preserve">Twelve VTEs occurred with VKA use (0.76%/person-year). Warfarin was the VKA in all instances. Four episodes were associated with INRs beneath target range. Two events occurred with INRs within the target range in the context of underlying thrombophilia </w:t>
      </w:r>
      <w:r w:rsidRPr="00397AA7">
        <w:rPr>
          <w:rFonts w:asciiTheme="minorHAnsi" w:hAnsiTheme="minorHAnsi" w:cstheme="minorHAnsi"/>
          <w:color w:val="000000" w:themeColor="text1"/>
        </w:rPr>
        <w:lastRenderedPageBreak/>
        <w:t>(Antiphospholipid Syndrome). One individual underwent bilateral lung transplantation and one balloon pulmonary angioplasty for residual CTEPH following VTE recurrence. Rates of recurrent VTE with VKAs did not differ between those with (pre-2014), and without (post-2014), Inferior Vena Cava filters in-situ (p = 0.585).</w:t>
      </w:r>
    </w:p>
    <w:p w14:paraId="7A2D66B1" w14:textId="77777777" w:rsidR="00CE1F6D" w:rsidRPr="00397AA7" w:rsidRDefault="00CE1F6D" w:rsidP="00CE1F6D">
      <w:pPr>
        <w:spacing w:line="480" w:lineRule="auto"/>
        <w:jc w:val="both"/>
        <w:rPr>
          <w:rFonts w:asciiTheme="minorHAnsi" w:hAnsiTheme="minorHAnsi" w:cstheme="minorHAnsi"/>
          <w:color w:val="FF0000"/>
        </w:rPr>
      </w:pPr>
    </w:p>
    <w:p w14:paraId="3AC9975A" w14:textId="77777777" w:rsidR="00CE1F6D" w:rsidRPr="00397AA7" w:rsidRDefault="00CE1F6D" w:rsidP="00CE1F6D">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t xml:space="preserve">Ten VTE events were associated with DOACs (4.62%/person-year). Four events occurred in the context of subtherapeutic dosing. One individual had underlying thrombophilia (Antiphospholipid Syndrome) with recurrent VTE resulting in urgent re-do PEA following a period of anticoagulation non-compliance. </w:t>
      </w:r>
    </w:p>
    <w:p w14:paraId="62C025B2" w14:textId="77777777" w:rsidR="00CE1F6D" w:rsidRPr="00397AA7" w:rsidRDefault="00CE1F6D" w:rsidP="00CE1F6D">
      <w:pPr>
        <w:spacing w:line="480" w:lineRule="auto"/>
        <w:jc w:val="both"/>
        <w:rPr>
          <w:rFonts w:asciiTheme="minorHAnsi" w:hAnsiTheme="minorHAnsi" w:cstheme="minorHAnsi"/>
          <w:color w:val="000000" w:themeColor="text1"/>
        </w:rPr>
      </w:pPr>
    </w:p>
    <w:p w14:paraId="0072FAE1" w14:textId="77777777" w:rsidR="00CE1F6D" w:rsidRPr="00397AA7" w:rsidRDefault="00CE1F6D" w:rsidP="00CE1F6D">
      <w:pPr>
        <w:spacing w:line="480" w:lineRule="auto"/>
        <w:jc w:val="both"/>
        <w:rPr>
          <w:rFonts w:asciiTheme="minorHAnsi" w:hAnsiTheme="minorHAnsi" w:cstheme="minorHAnsi"/>
          <w:color w:val="FF0000"/>
        </w:rPr>
      </w:pPr>
      <w:r w:rsidRPr="00397AA7">
        <w:rPr>
          <w:rFonts w:asciiTheme="minorHAnsi" w:hAnsiTheme="minorHAnsi" w:cstheme="minorHAnsi"/>
          <w:color w:val="000000" w:themeColor="text1"/>
        </w:rPr>
        <w:t xml:space="preserve">Rates of VTE recurrence were significantly higher in those treated with DOACs compared to VKAs (p = 0.008). Statistical significance remained even with the removal of those with prothrombic Antiphospholipid Syndrome (p = 0.011) </w:t>
      </w:r>
    </w:p>
    <w:p w14:paraId="560F3BB7" w14:textId="77777777" w:rsidR="00CE1F6D" w:rsidRPr="00397AA7" w:rsidRDefault="00CE1F6D" w:rsidP="00CE1F6D">
      <w:pPr>
        <w:spacing w:line="480" w:lineRule="auto"/>
        <w:jc w:val="both"/>
        <w:rPr>
          <w:rFonts w:asciiTheme="minorHAnsi" w:hAnsiTheme="minorHAnsi" w:cstheme="minorHAnsi"/>
          <w:color w:val="FF0000"/>
        </w:rPr>
      </w:pPr>
    </w:p>
    <w:p w14:paraId="2172BB3E" w14:textId="77777777" w:rsidR="00CE1F6D" w:rsidRPr="00397AA7" w:rsidRDefault="00CE1F6D" w:rsidP="00CE1F6D">
      <w:pPr>
        <w:spacing w:line="480" w:lineRule="auto"/>
        <w:jc w:val="both"/>
        <w:outlineLvl w:val="0"/>
        <w:rPr>
          <w:rFonts w:asciiTheme="minorHAnsi" w:hAnsiTheme="minorHAnsi" w:cstheme="minorHAnsi"/>
          <w:color w:val="000000" w:themeColor="text1"/>
          <w:u w:val="single"/>
        </w:rPr>
      </w:pPr>
      <w:r w:rsidRPr="00397AA7">
        <w:rPr>
          <w:rFonts w:asciiTheme="minorHAnsi" w:hAnsiTheme="minorHAnsi" w:cstheme="minorHAnsi"/>
          <w:color w:val="000000" w:themeColor="text1"/>
          <w:u w:val="single"/>
        </w:rPr>
        <w:t>Bleeding events</w:t>
      </w:r>
    </w:p>
    <w:p w14:paraId="4985FDB5" w14:textId="77777777" w:rsidR="00CE1F6D" w:rsidRPr="00397AA7" w:rsidRDefault="00CE1F6D" w:rsidP="00CE1F6D">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t xml:space="preserve">There were 12 bleeding events during follow-up, of which 8 were classified as major (Table 3). Major bleeding in VKA (0.67%/person-year) and DOAC (0.68%/person-year) groups did not differ significantly (p-value = 1). Bleeding events were not associated with significant hepatic disease or concomitant antiplatelet therapy. Two individuals were treated pulmonary vasodilators (Riociguat) at the time of bleeding event. </w:t>
      </w:r>
    </w:p>
    <w:p w14:paraId="3462EDD5" w14:textId="77777777" w:rsidR="00CE1F6D" w:rsidRPr="00397AA7" w:rsidRDefault="00CE1F6D" w:rsidP="00CE1F6D">
      <w:pPr>
        <w:spacing w:line="480" w:lineRule="auto"/>
        <w:jc w:val="both"/>
        <w:outlineLvl w:val="0"/>
        <w:rPr>
          <w:rFonts w:asciiTheme="minorHAnsi" w:hAnsiTheme="minorHAnsi" w:cstheme="minorHAnsi"/>
          <w:color w:val="000000" w:themeColor="text1"/>
        </w:rPr>
      </w:pPr>
    </w:p>
    <w:p w14:paraId="524ADF7E" w14:textId="77777777" w:rsidR="00CE1F6D" w:rsidRPr="00397AA7" w:rsidRDefault="00CE1F6D" w:rsidP="00CE1F6D">
      <w:pPr>
        <w:spacing w:line="480" w:lineRule="auto"/>
        <w:jc w:val="both"/>
        <w:outlineLvl w:val="0"/>
        <w:rPr>
          <w:rFonts w:asciiTheme="minorHAnsi" w:hAnsiTheme="minorHAnsi" w:cstheme="minorHAnsi"/>
          <w:color w:val="000000" w:themeColor="text1"/>
        </w:rPr>
      </w:pPr>
      <w:r w:rsidRPr="00397AA7">
        <w:rPr>
          <w:rFonts w:asciiTheme="minorHAnsi" w:hAnsiTheme="minorHAnsi" w:cstheme="minorHAnsi"/>
          <w:color w:val="000000" w:themeColor="text1"/>
        </w:rPr>
        <w:t xml:space="preserve">Ten bleeding events occurred with VKA use (7 major, 3 clinically relevant non-major), all of whom were warfarinised. Mortality resulted from three major bleeding events; one ruptured abdominal aortic aneurysm, one traumatic intracranial haemorrhage and one gastrointestinal </w:t>
      </w:r>
      <w:r w:rsidRPr="00397AA7">
        <w:rPr>
          <w:rFonts w:asciiTheme="minorHAnsi" w:hAnsiTheme="minorHAnsi" w:cstheme="minorHAnsi"/>
          <w:color w:val="000000" w:themeColor="text1"/>
        </w:rPr>
        <w:lastRenderedPageBreak/>
        <w:t xml:space="preserve">haemorrhage secondary to gastric adenocarcinoma. Of the four remaining major bleeding events, two were subdural haematomas (one associated with a labile INR) and two were associated with underlying malignancy (gastrointestinal and bladder). There were three clinically relevant non-major bleeding events; two diffuse subcutaneous haematomas (one of which occurred following a fall) and one episode of epistaxis requiring hospital attendance in the context of a supratherapeutic INR. </w:t>
      </w:r>
    </w:p>
    <w:p w14:paraId="1D6CB9D2" w14:textId="77777777" w:rsidR="00CE1F6D" w:rsidRPr="00397AA7" w:rsidRDefault="00CE1F6D" w:rsidP="00CE1F6D">
      <w:pPr>
        <w:spacing w:line="480" w:lineRule="auto"/>
        <w:jc w:val="both"/>
        <w:outlineLvl w:val="0"/>
        <w:rPr>
          <w:rFonts w:asciiTheme="minorHAnsi" w:hAnsiTheme="minorHAnsi" w:cstheme="minorHAnsi"/>
          <w:color w:val="000000" w:themeColor="text1"/>
        </w:rPr>
      </w:pPr>
    </w:p>
    <w:p w14:paraId="6F2166FB" w14:textId="77777777" w:rsidR="00CE1F6D" w:rsidRPr="00397AA7" w:rsidRDefault="00CE1F6D" w:rsidP="00CE1F6D">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t xml:space="preserve">Two bleeding events occurred with DOACs; both of which were gastrointestinal. The one major bleeding event was massive haematemesis secondary to erosive oesophagitis in the context of Riociguat therapy. The one recorded clinically relevant non-major bleeding event was rectal bleeding which resulted in the patient self-downtitrating their DOAC dose with recurrent VTE diagnosed thereafter. </w:t>
      </w:r>
    </w:p>
    <w:p w14:paraId="6F78A623" w14:textId="77777777" w:rsidR="00CE1F6D" w:rsidRPr="00397AA7" w:rsidRDefault="00CE1F6D" w:rsidP="00CE1F6D">
      <w:pPr>
        <w:spacing w:line="480" w:lineRule="auto"/>
        <w:jc w:val="both"/>
        <w:rPr>
          <w:rFonts w:asciiTheme="minorHAnsi" w:hAnsiTheme="minorHAnsi" w:cstheme="minorHAnsi"/>
          <w:color w:val="FF0000"/>
        </w:rPr>
      </w:pPr>
    </w:p>
    <w:p w14:paraId="028A8FC5" w14:textId="77777777" w:rsidR="00CE1F6D" w:rsidRPr="00397AA7" w:rsidRDefault="00CE1F6D" w:rsidP="00CE1F6D">
      <w:pPr>
        <w:spacing w:line="480" w:lineRule="auto"/>
        <w:jc w:val="both"/>
        <w:outlineLvl w:val="0"/>
        <w:rPr>
          <w:rFonts w:asciiTheme="minorHAnsi" w:hAnsiTheme="minorHAnsi" w:cstheme="minorHAnsi"/>
          <w:color w:val="000000" w:themeColor="text1"/>
          <w:u w:val="single"/>
        </w:rPr>
      </w:pPr>
      <w:r w:rsidRPr="00397AA7">
        <w:rPr>
          <w:rFonts w:asciiTheme="minorHAnsi" w:hAnsiTheme="minorHAnsi" w:cstheme="minorHAnsi"/>
          <w:color w:val="000000" w:themeColor="text1"/>
          <w:u w:val="single"/>
        </w:rPr>
        <w:t xml:space="preserve">Survival </w:t>
      </w:r>
    </w:p>
    <w:p w14:paraId="18BA2035" w14:textId="77777777" w:rsidR="00CE1F6D" w:rsidRPr="00397AA7" w:rsidRDefault="00CE1F6D" w:rsidP="00CE1F6D">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t xml:space="preserve">A total of 115 deaths occurred between the post-operative reinstitution of oral anticoagulation and five-years post-PEA. 106 deaths occurred in those treated with VKAs and 9 with DOACs. One, three and five-year survival was 94%, 90%, 84% in the VKA group and 96%, 96% and 92% in the DOAC group. Given the propensity for DOAC prescribing in the latter part of the cohort and that survival rates following PEA are known to have improved over time (learning curve with respect to patient selection, surgical technique and post-operative management), Cox Proportional Hazards modelling was performed with year of PEA as a co-variate amongst others selected from prior regression analyses. Independent predictors of survival were age at PEA and post-operative PVR, mPAP, cardiac index and six-minute walk distance (Supplemental Table 4). Anticoagulation class was not an independent predictor of </w:t>
      </w:r>
      <w:r w:rsidRPr="00397AA7">
        <w:rPr>
          <w:rFonts w:asciiTheme="minorHAnsi" w:hAnsiTheme="minorHAnsi" w:cstheme="minorHAnsi"/>
          <w:color w:val="000000" w:themeColor="text1"/>
        </w:rPr>
        <w:lastRenderedPageBreak/>
        <w:t xml:space="preserve">survival and its addition to the Cox Proportional Hazards model failed to improve model fit (likelihood ratio p-value = 0.295; Figure 1). </w:t>
      </w:r>
    </w:p>
    <w:p w14:paraId="3772481B" w14:textId="77777777" w:rsidR="00CE1F6D" w:rsidRPr="00397AA7" w:rsidRDefault="00CE1F6D" w:rsidP="00CE1F6D">
      <w:pPr>
        <w:spacing w:line="480" w:lineRule="auto"/>
        <w:jc w:val="both"/>
        <w:rPr>
          <w:rFonts w:asciiTheme="minorHAnsi" w:hAnsiTheme="minorHAnsi" w:cstheme="minorHAnsi"/>
          <w:color w:val="000000" w:themeColor="text1"/>
        </w:rPr>
      </w:pPr>
    </w:p>
    <w:p w14:paraId="7A57C5A3" w14:textId="3D10B632" w:rsidR="0066107F" w:rsidRPr="00397AA7" w:rsidRDefault="0066107F" w:rsidP="00A04A32">
      <w:pPr>
        <w:spacing w:line="480" w:lineRule="auto"/>
        <w:jc w:val="both"/>
        <w:outlineLvl w:val="0"/>
        <w:rPr>
          <w:rFonts w:asciiTheme="minorHAnsi" w:hAnsiTheme="minorHAnsi" w:cstheme="minorHAnsi"/>
          <w:b/>
        </w:rPr>
      </w:pPr>
      <w:r w:rsidRPr="00397AA7">
        <w:rPr>
          <w:rFonts w:asciiTheme="minorHAnsi" w:hAnsiTheme="minorHAnsi" w:cstheme="minorHAnsi"/>
          <w:b/>
        </w:rPr>
        <w:t xml:space="preserve">Discussion </w:t>
      </w:r>
    </w:p>
    <w:p w14:paraId="105ED29A" w14:textId="2A6D24CB" w:rsidR="00D45498" w:rsidRPr="00397AA7" w:rsidRDefault="00D45498" w:rsidP="00A04A32">
      <w:pPr>
        <w:spacing w:line="480" w:lineRule="auto"/>
        <w:jc w:val="both"/>
        <w:rPr>
          <w:rFonts w:asciiTheme="minorHAnsi" w:hAnsiTheme="minorHAnsi" w:cstheme="minorHAnsi"/>
        </w:rPr>
      </w:pPr>
      <w:r w:rsidRPr="00397AA7">
        <w:rPr>
          <w:rFonts w:asciiTheme="minorHAnsi" w:hAnsiTheme="minorHAnsi" w:cstheme="minorHAnsi"/>
        </w:rPr>
        <w:t>Whilst the efficacy and safety of VKAs has been</w:t>
      </w:r>
      <w:r w:rsidR="000947C1" w:rsidRPr="00397AA7">
        <w:rPr>
          <w:rFonts w:asciiTheme="minorHAnsi" w:hAnsiTheme="minorHAnsi" w:cstheme="minorHAnsi"/>
        </w:rPr>
        <w:t xml:space="preserve"> well</w:t>
      </w:r>
      <w:r w:rsidR="00673A4C" w:rsidRPr="00397AA7">
        <w:rPr>
          <w:rFonts w:asciiTheme="minorHAnsi" w:hAnsiTheme="minorHAnsi" w:cstheme="minorHAnsi"/>
        </w:rPr>
        <w:t xml:space="preserve"> </w:t>
      </w:r>
      <w:r w:rsidRPr="00397AA7">
        <w:rPr>
          <w:rFonts w:asciiTheme="minorHAnsi" w:hAnsiTheme="minorHAnsi" w:cstheme="minorHAnsi"/>
        </w:rPr>
        <w:t xml:space="preserve">established </w:t>
      </w:r>
      <w:r w:rsidR="000947C1" w:rsidRPr="00397AA7">
        <w:rPr>
          <w:rFonts w:asciiTheme="minorHAnsi" w:hAnsiTheme="minorHAnsi" w:cstheme="minorHAnsi"/>
        </w:rPr>
        <w:t>in</w:t>
      </w:r>
      <w:r w:rsidRPr="00397AA7">
        <w:rPr>
          <w:rFonts w:asciiTheme="minorHAnsi" w:hAnsiTheme="minorHAnsi" w:cstheme="minorHAnsi"/>
        </w:rPr>
        <w:t xml:space="preserve"> atrial fibrillation and acute VTE, their risk/benefit profile in CTEPH is </w:t>
      </w:r>
      <w:r w:rsidR="000947C1" w:rsidRPr="00397AA7">
        <w:rPr>
          <w:rFonts w:asciiTheme="minorHAnsi" w:hAnsiTheme="minorHAnsi" w:cstheme="minorHAnsi"/>
        </w:rPr>
        <w:t>largely un</w:t>
      </w:r>
      <w:r w:rsidRPr="00397AA7">
        <w:rPr>
          <w:rFonts w:asciiTheme="minorHAnsi" w:hAnsiTheme="minorHAnsi" w:cstheme="minorHAnsi"/>
        </w:rPr>
        <w:t>known. Moreover, no CTEPH-specific data exists to support the emerging use of DOACs, despite</w:t>
      </w:r>
      <w:r w:rsidR="00673A4C" w:rsidRPr="00397AA7">
        <w:rPr>
          <w:rFonts w:asciiTheme="minorHAnsi" w:hAnsiTheme="minorHAnsi" w:cstheme="minorHAnsi"/>
        </w:rPr>
        <w:t xml:space="preserve"> </w:t>
      </w:r>
      <w:r w:rsidRPr="00397AA7">
        <w:rPr>
          <w:rFonts w:asciiTheme="minorHAnsi" w:hAnsiTheme="minorHAnsi" w:cstheme="minorHAnsi"/>
        </w:rPr>
        <w:t xml:space="preserve">superseding VKA use in many CTEPH centres. </w:t>
      </w:r>
    </w:p>
    <w:p w14:paraId="4E6B61B1" w14:textId="77777777" w:rsidR="00D45498" w:rsidRPr="00397AA7" w:rsidRDefault="00D45498" w:rsidP="00A04A32">
      <w:pPr>
        <w:spacing w:line="480" w:lineRule="auto"/>
        <w:jc w:val="both"/>
        <w:rPr>
          <w:rFonts w:asciiTheme="minorHAnsi" w:hAnsiTheme="minorHAnsi" w:cstheme="minorHAnsi"/>
        </w:rPr>
      </w:pPr>
    </w:p>
    <w:p w14:paraId="12D7FFEF" w14:textId="767E9571" w:rsidR="00D45498" w:rsidRPr="00397AA7" w:rsidRDefault="00D45498" w:rsidP="00A04A32">
      <w:pPr>
        <w:spacing w:line="480" w:lineRule="auto"/>
        <w:jc w:val="both"/>
        <w:rPr>
          <w:rFonts w:asciiTheme="minorHAnsi" w:hAnsiTheme="minorHAnsi" w:cstheme="minorHAnsi"/>
        </w:rPr>
      </w:pPr>
      <w:r w:rsidRPr="00397AA7">
        <w:rPr>
          <w:rFonts w:asciiTheme="minorHAnsi" w:hAnsiTheme="minorHAnsi" w:cstheme="minorHAnsi"/>
        </w:rPr>
        <w:t xml:space="preserve">This study is the largest evaluation of oral anticoagulation in operable CTEPH to-date, and the first to directly compare VKAs and DOACs. As anticipated, there was an increasing predilection for DOACs </w:t>
      </w:r>
      <w:r w:rsidR="00627B69" w:rsidRPr="00397AA7">
        <w:rPr>
          <w:rFonts w:asciiTheme="minorHAnsi" w:hAnsiTheme="minorHAnsi" w:cstheme="minorHAnsi"/>
        </w:rPr>
        <w:t>during</w:t>
      </w:r>
      <w:r w:rsidRPr="00397AA7">
        <w:rPr>
          <w:rFonts w:asciiTheme="minorHAnsi" w:hAnsiTheme="minorHAnsi" w:cstheme="minorHAnsi"/>
        </w:rPr>
        <w:t xml:space="preserve"> the study period. Significant improvements in haemodynamics and functional status were observed following PE</w:t>
      </w:r>
      <w:r w:rsidR="00627B69" w:rsidRPr="00397AA7">
        <w:rPr>
          <w:rFonts w:asciiTheme="minorHAnsi" w:hAnsiTheme="minorHAnsi" w:cstheme="minorHAnsi"/>
        </w:rPr>
        <w:t>A with p</w:t>
      </w:r>
      <w:r w:rsidRPr="00397AA7">
        <w:rPr>
          <w:rFonts w:asciiTheme="minorHAnsi" w:hAnsiTheme="minorHAnsi" w:cstheme="minorHAnsi"/>
        </w:rPr>
        <w:t>ost-operative outcomes unaffected by</w:t>
      </w:r>
      <w:r w:rsidR="00627B69" w:rsidRPr="00397AA7">
        <w:rPr>
          <w:rFonts w:asciiTheme="minorHAnsi" w:hAnsiTheme="minorHAnsi" w:cstheme="minorHAnsi"/>
        </w:rPr>
        <w:t xml:space="preserve"> anticoagulant class</w:t>
      </w:r>
      <w:r w:rsidR="00673A4C" w:rsidRPr="00397AA7">
        <w:rPr>
          <w:rFonts w:asciiTheme="minorHAnsi" w:hAnsiTheme="minorHAnsi" w:cstheme="minorHAnsi"/>
        </w:rPr>
        <w:t xml:space="preserve"> (p</w:t>
      </w:r>
      <w:r w:rsidR="00044FDE" w:rsidRPr="00397AA7">
        <w:rPr>
          <w:rFonts w:asciiTheme="minorHAnsi" w:hAnsiTheme="minorHAnsi" w:cstheme="minorHAnsi"/>
        </w:rPr>
        <w:t>-value</w:t>
      </w:r>
      <w:r w:rsidR="00673A4C" w:rsidRPr="00397AA7">
        <w:rPr>
          <w:rFonts w:asciiTheme="minorHAnsi" w:hAnsiTheme="minorHAnsi" w:cstheme="minorHAnsi"/>
        </w:rPr>
        <w:t xml:space="preserve"> &gt; 0.05)</w:t>
      </w:r>
      <w:r w:rsidR="00627B69" w:rsidRPr="00397AA7">
        <w:rPr>
          <w:rFonts w:asciiTheme="minorHAnsi" w:hAnsiTheme="minorHAnsi" w:cstheme="minorHAnsi"/>
        </w:rPr>
        <w:t>.</w:t>
      </w:r>
      <w:r w:rsidRPr="00397AA7">
        <w:rPr>
          <w:rFonts w:asciiTheme="minorHAnsi" w:hAnsiTheme="minorHAnsi" w:cstheme="minorHAnsi"/>
        </w:rPr>
        <w:t xml:space="preserve"> Recurrent VTE was proportionally higher </w:t>
      </w:r>
      <w:r w:rsidR="00673A4C" w:rsidRPr="00397AA7">
        <w:rPr>
          <w:rFonts w:asciiTheme="minorHAnsi" w:hAnsiTheme="minorHAnsi" w:cstheme="minorHAnsi"/>
        </w:rPr>
        <w:t>with</w:t>
      </w:r>
      <w:r w:rsidRPr="00397AA7">
        <w:rPr>
          <w:rFonts w:asciiTheme="minorHAnsi" w:hAnsiTheme="minorHAnsi" w:cstheme="minorHAnsi"/>
        </w:rPr>
        <w:t xml:space="preserve"> DOACs </w:t>
      </w:r>
      <w:r w:rsidR="00673A4C" w:rsidRPr="00397AA7">
        <w:rPr>
          <w:rFonts w:asciiTheme="minorHAnsi" w:hAnsiTheme="minorHAnsi" w:cstheme="minorHAnsi"/>
        </w:rPr>
        <w:t>than</w:t>
      </w:r>
      <w:r w:rsidRPr="00397AA7">
        <w:rPr>
          <w:rFonts w:asciiTheme="minorHAnsi" w:hAnsiTheme="minorHAnsi" w:cstheme="minorHAnsi"/>
        </w:rPr>
        <w:t xml:space="preserve"> VKAs</w:t>
      </w:r>
      <w:r w:rsidR="00673A4C" w:rsidRPr="00397AA7">
        <w:rPr>
          <w:rFonts w:asciiTheme="minorHAnsi" w:hAnsiTheme="minorHAnsi" w:cstheme="minorHAnsi"/>
        </w:rPr>
        <w:t xml:space="preserve"> (p-value = 0.008)</w:t>
      </w:r>
      <w:r w:rsidRPr="00397AA7">
        <w:rPr>
          <w:rFonts w:asciiTheme="minorHAnsi" w:hAnsiTheme="minorHAnsi" w:cstheme="minorHAnsi"/>
        </w:rPr>
        <w:t xml:space="preserve"> </w:t>
      </w:r>
      <w:r w:rsidR="00F821E9" w:rsidRPr="00397AA7">
        <w:rPr>
          <w:rFonts w:asciiTheme="minorHAnsi" w:hAnsiTheme="minorHAnsi" w:cstheme="minorHAnsi"/>
        </w:rPr>
        <w:t>yet</w:t>
      </w:r>
      <w:r w:rsidRPr="00397AA7">
        <w:rPr>
          <w:rFonts w:asciiTheme="minorHAnsi" w:hAnsiTheme="minorHAnsi" w:cstheme="minorHAnsi"/>
        </w:rPr>
        <w:t xml:space="preserve"> the incidence of bleeding events did not differ</w:t>
      </w:r>
      <w:r w:rsidR="00673A4C" w:rsidRPr="00397AA7">
        <w:rPr>
          <w:rFonts w:asciiTheme="minorHAnsi" w:hAnsiTheme="minorHAnsi" w:cstheme="minorHAnsi"/>
        </w:rPr>
        <w:t xml:space="preserve"> (p-value = 1)</w:t>
      </w:r>
      <w:r w:rsidRPr="00397AA7">
        <w:rPr>
          <w:rFonts w:asciiTheme="minorHAnsi" w:hAnsiTheme="minorHAnsi" w:cstheme="minorHAnsi"/>
        </w:rPr>
        <w:t xml:space="preserve"> </w:t>
      </w:r>
    </w:p>
    <w:p w14:paraId="7C07269F" w14:textId="77777777" w:rsidR="00FA24A6" w:rsidRPr="00397AA7" w:rsidRDefault="00FA24A6" w:rsidP="00A04A32">
      <w:pPr>
        <w:spacing w:line="480" w:lineRule="auto"/>
        <w:jc w:val="both"/>
        <w:rPr>
          <w:rFonts w:asciiTheme="minorHAnsi" w:hAnsiTheme="minorHAnsi" w:cstheme="minorHAnsi"/>
        </w:rPr>
      </w:pPr>
    </w:p>
    <w:p w14:paraId="56C48EE2" w14:textId="2986E8B4" w:rsidR="00673A4C" w:rsidRPr="00397AA7" w:rsidRDefault="00673A4C" w:rsidP="00A04A32">
      <w:pPr>
        <w:spacing w:line="480" w:lineRule="auto"/>
        <w:jc w:val="both"/>
        <w:rPr>
          <w:rFonts w:asciiTheme="minorHAnsi" w:hAnsiTheme="minorHAnsi" w:cstheme="minorHAnsi"/>
          <w:color w:val="000000" w:themeColor="text1"/>
        </w:rPr>
      </w:pPr>
      <w:r w:rsidRPr="00397AA7">
        <w:rPr>
          <w:rFonts w:asciiTheme="minorHAnsi" w:hAnsiTheme="minorHAnsi" w:cstheme="minorHAnsi"/>
        </w:rPr>
        <w:t>In line with UK prescribing trends, the use of DOACs rose steadily following licensing in 2008. By 2017-2018 55% of the cohort were treated with DOACs, comparative to</w:t>
      </w:r>
      <w:r w:rsidR="00F821E9" w:rsidRPr="00397AA7">
        <w:rPr>
          <w:rFonts w:asciiTheme="minorHAnsi" w:hAnsiTheme="minorHAnsi" w:cstheme="minorHAnsi"/>
        </w:rPr>
        <w:t xml:space="preserve"> UK primary care anticoagulant</w:t>
      </w:r>
      <w:r w:rsidRPr="00397AA7">
        <w:rPr>
          <w:rFonts w:asciiTheme="minorHAnsi" w:hAnsiTheme="minorHAnsi" w:cstheme="minorHAnsi"/>
        </w:rPr>
        <w:t xml:space="preserve"> prescribing rates (</w:t>
      </w:r>
      <w:r w:rsidR="00F821E9" w:rsidRPr="00397AA7">
        <w:rPr>
          <w:rFonts w:asciiTheme="minorHAnsi" w:hAnsiTheme="minorHAnsi" w:cstheme="minorHAnsi"/>
        </w:rPr>
        <w:t xml:space="preserve">DOACs, </w:t>
      </w:r>
      <w:r w:rsidRPr="00397AA7">
        <w:rPr>
          <w:rFonts w:asciiTheme="minorHAnsi" w:hAnsiTheme="minorHAnsi" w:cstheme="minorHAnsi"/>
        </w:rPr>
        <w:t xml:space="preserve">57%) and that of other CTEPH centres </w:t>
      </w:r>
      <w:r w:rsidR="00EF120B" w:rsidRPr="00397AA7">
        <w:rPr>
          <w:rFonts w:asciiTheme="minorHAnsi" w:hAnsiTheme="minorHAnsi" w:cstheme="minorHAnsi"/>
          <w:color w:val="000000" w:themeColor="text1"/>
        </w:rPr>
        <w:t xml:space="preserve">[13,19]. </w:t>
      </w:r>
      <w:r w:rsidRPr="00397AA7">
        <w:rPr>
          <w:rFonts w:asciiTheme="minorHAnsi" w:hAnsiTheme="minorHAnsi" w:cstheme="minorHAnsi"/>
          <w:color w:val="000000" w:themeColor="text1"/>
        </w:rPr>
        <w:t xml:space="preserve">Warfarin </w:t>
      </w:r>
      <w:r w:rsidR="00F821E9" w:rsidRPr="00397AA7">
        <w:rPr>
          <w:rFonts w:asciiTheme="minorHAnsi" w:hAnsiTheme="minorHAnsi" w:cstheme="minorHAnsi"/>
          <w:color w:val="000000" w:themeColor="text1"/>
        </w:rPr>
        <w:t xml:space="preserve">was </w:t>
      </w:r>
      <w:r w:rsidRPr="00397AA7">
        <w:rPr>
          <w:rFonts w:asciiTheme="minorHAnsi" w:hAnsiTheme="minorHAnsi" w:cstheme="minorHAnsi"/>
          <w:color w:val="000000" w:themeColor="text1"/>
        </w:rPr>
        <w:t xml:space="preserve">the most commonly </w:t>
      </w:r>
      <w:r w:rsidR="00F821E9" w:rsidRPr="00397AA7">
        <w:rPr>
          <w:rFonts w:asciiTheme="minorHAnsi" w:hAnsiTheme="minorHAnsi" w:cstheme="minorHAnsi"/>
          <w:color w:val="000000" w:themeColor="text1"/>
        </w:rPr>
        <w:t>used</w:t>
      </w:r>
      <w:r w:rsidRPr="00397AA7">
        <w:rPr>
          <w:rFonts w:asciiTheme="minorHAnsi" w:hAnsiTheme="minorHAnsi" w:cstheme="minorHAnsi"/>
          <w:color w:val="000000" w:themeColor="text1"/>
        </w:rPr>
        <w:t xml:space="preserve"> VKA (99%) and Rivaroxaban the most frequent DOAC (76%)</w:t>
      </w:r>
      <w:r w:rsidR="00F821E9" w:rsidRPr="00397AA7">
        <w:rPr>
          <w:rFonts w:asciiTheme="minorHAnsi" w:hAnsiTheme="minorHAnsi" w:cstheme="minorHAnsi"/>
          <w:color w:val="000000" w:themeColor="text1"/>
        </w:rPr>
        <w:t xml:space="preserve"> as per national data </w:t>
      </w:r>
      <w:r w:rsidR="00EF120B" w:rsidRPr="00397AA7">
        <w:rPr>
          <w:rFonts w:asciiTheme="minorHAnsi" w:hAnsiTheme="minorHAnsi" w:cstheme="minorHAnsi"/>
          <w:color w:val="000000" w:themeColor="text1"/>
        </w:rPr>
        <w:t>[19]</w:t>
      </w:r>
      <w:r w:rsidRPr="00397AA7">
        <w:rPr>
          <w:rFonts w:asciiTheme="minorHAnsi" w:hAnsiTheme="minorHAnsi" w:cstheme="minorHAnsi"/>
          <w:color w:val="000000" w:themeColor="text1"/>
        </w:rPr>
        <w:t>. Age, sex and body mass index did not influence anticoagulant</w:t>
      </w:r>
      <w:r w:rsidR="00F821E9" w:rsidRPr="00397AA7">
        <w:rPr>
          <w:rFonts w:asciiTheme="minorHAnsi" w:hAnsiTheme="minorHAnsi" w:cstheme="minorHAnsi"/>
          <w:color w:val="000000" w:themeColor="text1"/>
        </w:rPr>
        <w:t xml:space="preserve"> choice</w:t>
      </w:r>
      <w:r w:rsidRPr="00397AA7">
        <w:rPr>
          <w:rFonts w:asciiTheme="minorHAnsi" w:hAnsiTheme="minorHAnsi" w:cstheme="minorHAnsi"/>
          <w:color w:val="000000" w:themeColor="text1"/>
        </w:rPr>
        <w:t xml:space="preserve"> (adjusted p-values 0.60). </w:t>
      </w:r>
      <w:r w:rsidRPr="00397AA7">
        <w:rPr>
          <w:rFonts w:asciiTheme="minorHAnsi" w:hAnsiTheme="minorHAnsi" w:cstheme="minorHAnsi"/>
        </w:rPr>
        <w:t xml:space="preserve">Those with </w:t>
      </w:r>
      <w:r w:rsidR="00F821E9" w:rsidRPr="00397AA7">
        <w:rPr>
          <w:rFonts w:asciiTheme="minorHAnsi" w:hAnsiTheme="minorHAnsi" w:cstheme="minorHAnsi"/>
        </w:rPr>
        <w:t xml:space="preserve">underlying </w:t>
      </w:r>
      <w:r w:rsidRPr="00397AA7">
        <w:rPr>
          <w:rFonts w:asciiTheme="minorHAnsi" w:hAnsiTheme="minorHAnsi" w:cstheme="minorHAnsi"/>
        </w:rPr>
        <w:t>thrombophilias</w:t>
      </w:r>
      <w:r w:rsidR="00F821E9" w:rsidRPr="00397AA7">
        <w:rPr>
          <w:rFonts w:asciiTheme="minorHAnsi" w:hAnsiTheme="minorHAnsi" w:cstheme="minorHAnsi"/>
        </w:rPr>
        <w:t>, including</w:t>
      </w:r>
      <w:r w:rsidRPr="00397AA7">
        <w:rPr>
          <w:rFonts w:asciiTheme="minorHAnsi" w:hAnsiTheme="minorHAnsi" w:cstheme="minorHAnsi"/>
        </w:rPr>
        <w:t xml:space="preserve"> antiphosphoplid syndrome were more likely to be treated with VKAs</w:t>
      </w:r>
      <w:r w:rsidR="00F821E9" w:rsidRPr="00397AA7">
        <w:rPr>
          <w:rFonts w:asciiTheme="minorHAnsi" w:hAnsiTheme="minorHAnsi" w:cstheme="minorHAnsi"/>
        </w:rPr>
        <w:t xml:space="preserve"> than DOACs,</w:t>
      </w:r>
      <w:r w:rsidRPr="00397AA7">
        <w:rPr>
          <w:rFonts w:asciiTheme="minorHAnsi" w:hAnsiTheme="minorHAnsi" w:cstheme="minorHAnsi"/>
        </w:rPr>
        <w:t xml:space="preserve"> </w:t>
      </w:r>
      <w:r w:rsidR="00F821E9" w:rsidRPr="00397AA7">
        <w:rPr>
          <w:rFonts w:asciiTheme="minorHAnsi" w:hAnsiTheme="minorHAnsi" w:cstheme="minorHAnsi"/>
        </w:rPr>
        <w:t xml:space="preserve">though </w:t>
      </w:r>
      <w:r w:rsidRPr="00397AA7">
        <w:rPr>
          <w:rFonts w:asciiTheme="minorHAnsi" w:hAnsiTheme="minorHAnsi" w:cstheme="minorHAnsi"/>
        </w:rPr>
        <w:t xml:space="preserve">differences failed to reach statistical significance (adjusted p-values 0.34). </w:t>
      </w:r>
    </w:p>
    <w:p w14:paraId="0F3C4E25" w14:textId="17F41C1A" w:rsidR="00673A4C" w:rsidRPr="00397AA7" w:rsidRDefault="00673A4C" w:rsidP="00A04A32">
      <w:pPr>
        <w:spacing w:line="480" w:lineRule="auto"/>
        <w:jc w:val="both"/>
        <w:rPr>
          <w:rFonts w:asciiTheme="minorHAnsi" w:hAnsiTheme="minorHAnsi" w:cstheme="minorHAnsi"/>
        </w:rPr>
      </w:pPr>
    </w:p>
    <w:p w14:paraId="53979E24" w14:textId="63BA7479" w:rsidR="004C22AA" w:rsidRPr="00397AA7" w:rsidRDefault="00F821E9" w:rsidP="00A04A32">
      <w:pPr>
        <w:spacing w:line="480" w:lineRule="auto"/>
        <w:jc w:val="both"/>
        <w:rPr>
          <w:rFonts w:asciiTheme="minorHAnsi" w:hAnsiTheme="minorHAnsi" w:cstheme="minorHAnsi"/>
          <w:color w:val="FF0000"/>
        </w:rPr>
      </w:pPr>
      <w:r w:rsidRPr="00397AA7">
        <w:rPr>
          <w:rFonts w:asciiTheme="minorHAnsi" w:hAnsiTheme="minorHAnsi" w:cstheme="minorHAnsi"/>
        </w:rPr>
        <w:t xml:space="preserve">Consistent with previous publication from this cohort, we report significant improvements in haemodynamic and functional status following PEA </w:t>
      </w:r>
      <w:r w:rsidR="00EF120B" w:rsidRPr="00397AA7">
        <w:rPr>
          <w:rFonts w:asciiTheme="minorHAnsi" w:hAnsiTheme="minorHAnsi" w:cstheme="minorHAnsi"/>
        </w:rPr>
        <w:t>[20]</w:t>
      </w:r>
      <w:r w:rsidRPr="00397AA7">
        <w:rPr>
          <w:rFonts w:asciiTheme="minorHAnsi" w:hAnsiTheme="minorHAnsi" w:cstheme="minorHAnsi"/>
        </w:rPr>
        <w:t xml:space="preserve">. Outcomes were unaffected by anticoagulant class. Although </w:t>
      </w:r>
      <w:r w:rsidR="00065864" w:rsidRPr="00397AA7">
        <w:rPr>
          <w:rFonts w:asciiTheme="minorHAnsi" w:hAnsiTheme="minorHAnsi" w:cstheme="minorHAnsi"/>
        </w:rPr>
        <w:t>other studies</w:t>
      </w:r>
      <w:r w:rsidRPr="00397AA7">
        <w:rPr>
          <w:rFonts w:asciiTheme="minorHAnsi" w:hAnsiTheme="minorHAnsi" w:cstheme="minorHAnsi"/>
        </w:rPr>
        <w:t xml:space="preserve"> have suggested quality-of-life to be better in VTE treated with DOACs rather than VKAs </w:t>
      </w:r>
      <w:r w:rsidR="00EF120B" w:rsidRPr="00397AA7">
        <w:rPr>
          <w:rFonts w:asciiTheme="minorHAnsi" w:hAnsiTheme="minorHAnsi" w:cstheme="minorHAnsi"/>
        </w:rPr>
        <w:t xml:space="preserve">[21] </w:t>
      </w:r>
      <w:r w:rsidRPr="00397AA7">
        <w:rPr>
          <w:rFonts w:asciiTheme="minorHAnsi" w:hAnsiTheme="minorHAnsi" w:cstheme="minorHAnsi"/>
        </w:rPr>
        <w:t xml:space="preserve">we failed to show any significant difference pre- and post-PEA on </w:t>
      </w:r>
      <w:r w:rsidR="0069076A" w:rsidRPr="00397AA7">
        <w:rPr>
          <w:rFonts w:asciiTheme="minorHAnsi" w:hAnsiTheme="minorHAnsi" w:cstheme="minorHAnsi"/>
        </w:rPr>
        <w:t xml:space="preserve">a </w:t>
      </w:r>
      <w:r w:rsidRPr="00397AA7">
        <w:rPr>
          <w:rFonts w:asciiTheme="minorHAnsi" w:hAnsiTheme="minorHAnsi" w:cstheme="minorHAnsi"/>
        </w:rPr>
        <w:t xml:space="preserve">patient-reported </w:t>
      </w:r>
      <w:r w:rsidR="0069076A" w:rsidRPr="00397AA7">
        <w:rPr>
          <w:rFonts w:asciiTheme="minorHAnsi" w:hAnsiTheme="minorHAnsi" w:cstheme="minorHAnsi"/>
        </w:rPr>
        <w:t xml:space="preserve">quality-of-life </w:t>
      </w:r>
      <w:r w:rsidRPr="00397AA7">
        <w:rPr>
          <w:rFonts w:asciiTheme="minorHAnsi" w:hAnsiTheme="minorHAnsi" w:cstheme="minorHAnsi"/>
        </w:rPr>
        <w:t>outcome measure (p-values: pre-PEA 0.34, post-PEA 0.76). This suggests that despite the administrative convenience of DOACs, quality-of-life when assessed using a pulmonary hypertension specific outcome is comparable</w:t>
      </w:r>
      <w:r w:rsidR="00EF120B" w:rsidRPr="00397AA7">
        <w:rPr>
          <w:rFonts w:asciiTheme="minorHAnsi" w:hAnsiTheme="minorHAnsi" w:cstheme="minorHAnsi"/>
        </w:rPr>
        <w:t>.</w:t>
      </w:r>
      <w:r w:rsidR="004C22AA" w:rsidRPr="00397AA7">
        <w:rPr>
          <w:rFonts w:asciiTheme="minorHAnsi" w:hAnsiTheme="minorHAnsi" w:cstheme="minorHAnsi"/>
        </w:rPr>
        <w:t xml:space="preserve"> </w:t>
      </w:r>
    </w:p>
    <w:p w14:paraId="0502E595" w14:textId="77777777" w:rsidR="00F821E9" w:rsidRPr="00397AA7" w:rsidRDefault="00F821E9" w:rsidP="00A04A32">
      <w:pPr>
        <w:spacing w:line="480" w:lineRule="auto"/>
        <w:jc w:val="both"/>
        <w:rPr>
          <w:rFonts w:asciiTheme="minorHAnsi" w:hAnsiTheme="minorHAnsi" w:cstheme="minorHAnsi"/>
          <w:color w:val="FF0000"/>
        </w:rPr>
      </w:pPr>
    </w:p>
    <w:p w14:paraId="6BA3A6F2" w14:textId="388058ED" w:rsidR="00F821E9" w:rsidRPr="00397AA7" w:rsidRDefault="00F821E9" w:rsidP="00A04A32">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t xml:space="preserve">Major bleeding events associated with VKAs </w:t>
      </w:r>
      <w:r w:rsidR="00FF70BD" w:rsidRPr="00397AA7">
        <w:rPr>
          <w:rFonts w:asciiTheme="minorHAnsi" w:hAnsiTheme="minorHAnsi" w:cstheme="minorHAnsi"/>
          <w:color w:val="000000" w:themeColor="text1"/>
        </w:rPr>
        <w:t xml:space="preserve">was </w:t>
      </w:r>
      <w:r w:rsidRPr="00397AA7">
        <w:rPr>
          <w:rFonts w:asciiTheme="minorHAnsi" w:hAnsiTheme="minorHAnsi" w:cstheme="minorHAnsi"/>
          <w:color w:val="000000" w:themeColor="text1"/>
        </w:rPr>
        <w:t>0.67%/person-year</w:t>
      </w:r>
      <w:r w:rsidR="00FF70BD" w:rsidRPr="00397AA7">
        <w:rPr>
          <w:rFonts w:asciiTheme="minorHAnsi" w:hAnsiTheme="minorHAnsi" w:cstheme="minorHAnsi"/>
          <w:color w:val="000000" w:themeColor="text1"/>
        </w:rPr>
        <w:t>,</w:t>
      </w:r>
      <w:r w:rsidRPr="00397AA7">
        <w:rPr>
          <w:rFonts w:asciiTheme="minorHAnsi" w:hAnsiTheme="minorHAnsi" w:cstheme="minorHAnsi"/>
          <w:color w:val="000000" w:themeColor="text1"/>
        </w:rPr>
        <w:t xml:space="preserve"> lower than that of prior studies in CTEPH with Henken’s et al reporting an incidence of 2.4%/person year and Jujo-Sanada of 5.1%/person-year</w:t>
      </w:r>
      <w:r w:rsidRPr="00397AA7">
        <w:rPr>
          <w:rFonts w:asciiTheme="minorHAnsi" w:hAnsiTheme="minorHAnsi" w:cstheme="minorHAnsi"/>
          <w:color w:val="FF0000"/>
        </w:rPr>
        <w:t xml:space="preserve"> </w:t>
      </w:r>
      <w:r w:rsidRPr="00397AA7">
        <w:rPr>
          <w:rFonts w:asciiTheme="minorHAnsi" w:hAnsiTheme="minorHAnsi" w:cstheme="minorHAnsi"/>
          <w:color w:val="000000" w:themeColor="text1"/>
        </w:rPr>
        <w:t>[</w:t>
      </w:r>
      <w:r w:rsidRPr="00397AA7">
        <w:rPr>
          <w:rFonts w:asciiTheme="minorHAnsi" w:hAnsiTheme="minorHAnsi" w:cstheme="minorHAnsi"/>
          <w:color w:val="000000" w:themeColor="text1"/>
        </w:rPr>
        <w:fldChar w:fldCharType="begin" w:fldLock="1"/>
      </w:r>
      <w:r w:rsidRPr="00397AA7">
        <w:rPr>
          <w:rFonts w:asciiTheme="minorHAnsi" w:hAnsiTheme="minorHAnsi" w:cstheme="minorHAnsi"/>
          <w:color w:val="000000" w:themeColor="text1"/>
        </w:rPr>
        <w:instrText>ADDIN CSL_CITATION {"citationItems":[{"id":"ITEM-1","itemData":{"DOI":"10.1183/09031936.00039212","ISSN":"0903-1936","PMID":"22936704","abstract":"Vitamin K antagonists are advised in pulmonary arterial hypertension patients despite a lack of safety data. We reviewed major bleeding in three classes of pulmonary hypertension patients, all receiving vitamin K antagonists. Bleeding event rates were 5.4 per 100 patient-years for patients with idiopathic pulmonary arterial hypertension, 19 per 100 patient-years for connective tissue disease related pulmonary arterial hypertension patients and 2.4 per 100 patient-years for chronic thromboembolic pulmonary hypertension patients. Life tables analysis showed that event-free survival was worse in patients with connective tissue disease related pulmonary hypertension than in patients with idiopathic pulmonary arterial hypertension (Wilcoxon=12.8; p&lt;0.001), and patients with chronic thromboembolic pulmonary hypertension (Wilcoxon=23.2; p&lt;0.001). Patients with idiopathic pulmonary arterial hypertension suffered more events than patients with chronic thromboembolic pulmonary hypertension (Wilcoxon=7.2; p&lt;0.01). Major bleeding was independent of age, sex, target international normalised ratio (INR) range, documented INR, vitamin K antagonist type, or right atrial pressure, but was associated with use of prostacyclin analogues. Major bleeding risk during vitamin K antagonist therapy differs among groups of patients with pulmonary hypertension. Further research regarding optimal anticoagulant therapy is needed, as well as risk-benefit analyses for pulmonary hypertension patients with a higher bleeding propensity.","author":[{"dropping-particle":"","family":"Henkens","given":"I. R.","non-dropping-particle":"","parse-names":false,"suffix":""},{"dropping-particle":"","family":"Hazenoot","given":"T.","non-dropping-particle":"","parse-names":false,"suffix":""},{"dropping-particle":"","family":"Boonstra","given":"A.","non-dropping-particle":"","parse-names":false,"suffix":""},{"dropping-particle":"V.","family":"Huisman","given":"M.","non-dropping-particle":"","parse-names":false,"suffix":""},{"dropping-particle":"","family":"Vonk-Noordegraaf","given":"A.","non-dropping-particle":"","parse-names":false,"suffix":""}],"container-title":"European Respiratory Journal","id":"ITEM-1","issued":{"date-parts":[["2012"]]},"title":"Major bleeding with vitamin K antagonist anticoagulants in pulmonary hypertension","type":"article"},"uris":["http://www.mendeley.com/documents/?uuid=6c41fb8b-b5c4-319b-a9d1-35be43ecfe63"]}],"mendeley":{"formattedCitation":"&lt;sup&gt;4&lt;/sup&gt;","plainTextFormattedCitation":"4","previouslyFormattedCitation":"&lt;sup&gt;4&lt;/sup&gt;"},"properties":{"noteIndex":0},"schema":"https://github.com/citation-style-language/schema/raw/master/csl-citation.json"}</w:instrText>
      </w:r>
      <w:r w:rsidRPr="00397AA7">
        <w:rPr>
          <w:rFonts w:asciiTheme="minorHAnsi" w:hAnsiTheme="minorHAnsi" w:cstheme="minorHAnsi"/>
          <w:color w:val="000000" w:themeColor="text1"/>
        </w:rPr>
        <w:fldChar w:fldCharType="separate"/>
      </w:r>
      <w:r w:rsidRPr="00397AA7">
        <w:rPr>
          <w:rFonts w:asciiTheme="minorHAnsi" w:hAnsiTheme="minorHAnsi" w:cstheme="minorHAnsi"/>
          <w:noProof/>
          <w:color w:val="000000" w:themeColor="text1"/>
        </w:rPr>
        <w:t>4</w:t>
      </w:r>
      <w:r w:rsidRPr="00397AA7">
        <w:rPr>
          <w:rFonts w:asciiTheme="minorHAnsi" w:hAnsiTheme="minorHAnsi" w:cstheme="minorHAnsi"/>
          <w:color w:val="000000" w:themeColor="text1"/>
        </w:rPr>
        <w:fldChar w:fldCharType="end"/>
      </w:r>
      <w:r w:rsidRPr="00397AA7">
        <w:rPr>
          <w:rFonts w:asciiTheme="minorHAnsi" w:hAnsiTheme="minorHAnsi" w:cstheme="minorHAnsi"/>
          <w:color w:val="000000" w:themeColor="text1"/>
        </w:rPr>
        <w:t>,</w:t>
      </w:r>
      <w:r w:rsidRPr="00397AA7">
        <w:rPr>
          <w:rFonts w:asciiTheme="minorHAnsi" w:hAnsiTheme="minorHAnsi" w:cstheme="minorHAnsi"/>
          <w:color w:val="000000" w:themeColor="text1"/>
        </w:rPr>
        <w:fldChar w:fldCharType="begin" w:fldLock="1"/>
      </w:r>
      <w:r w:rsidRPr="00397AA7">
        <w:rPr>
          <w:rFonts w:asciiTheme="minorHAnsi" w:hAnsiTheme="minorHAnsi" w:cstheme="minorHAnsi"/>
          <w:color w:val="000000" w:themeColor="text1"/>
        </w:rPr>
        <w:instrText>ADDIN CSL_CITATION {"citationItems":[{"id":"ITEM-1","itemData":{"DOI":"10.1177/2045893217717258","ISSN":"20458940","author":[{"dropping-particle":"","family":"Jujo-Sanada","given":"Takayuki","non-dropping-particle":"","parse-names":false,"suffix":""},{"dropping-particle":"","family":"Tanabe","given":"Nobuhiro","non-dropping-particle":"","parse-names":false,"suffix":""},{"dropping-particle":"","family":"Sakao","given":"Seiichiro","non-dropping-particle":"","parse-names":false,"suffix":""},{"dropping-particle":"","family":"Sugiura","given":"Toshihiko","non-dropping-particle":"","parse-names":false,"suffix":""},{"dropping-particle":"","family":"Sekine","given":"Ayumi","non-dropping-particle":"","parse-names":false,"suffix":""},{"dropping-particle":"","family":"Nishimura","given":"Rintaro","non-dropping-particle":"","parse-names":false,"suffix":""},{"dropping-particle":"","family":"Suda","given":"Rika","non-dropping-particle":"","parse-names":false,"suffix":""},{"dropping-particle":"","family":"Naito","given":"Akira","non-dropping-particle":"","parse-names":false,"suffix":""},{"dropping-particle":"","family":"Miwa","given":"Hideki","non-dropping-particle":"","parse-names":false,"suffix":""},{"dropping-particle":"","family":"Yamamoto","given":"Keiko","non-dropping-particle":"","parse-names":false,"suffix":""},{"dropping-particle":"","family":"Sasaki","given":"Akane","non-dropping-particle":"","parse-names":false,"suffix":""},{"dropping-particle":"","family":"Matsumura","given":"Akane","non-dropping-particle":"","parse-names":false,"suffix":""},{"dropping-particle":"","family":"Ema","given":"Ryogo","non-dropping-particle":"","parse-names":false,"suffix":""},{"dropping-particle":"","family":"Kasai","given":"Hajime","non-dropping-particle":"","parse-names":false,"suffix":""},{"dropping-particle":"","family":"Kato","given":"Fumiaki","non-dropping-particle":"","parse-names":false,"suffix":""},{"dropping-particle":"","family":"Tatsumi","given":"Koichiro","non-dropping-particle":"","parse-names":false,"suffix":""}],"container-title":"Pulmonary Circulation","id":"ITEM-1","issued":{"date-parts":[["2017"]]},"title":"The anticoagulant effects of warfarin and the bleeding risk associated with its use in patients with chronic thromboembolic pulmonary hypertension at a specialist center in Japan: A retrospective cohort study","type":"article"},"uris":["http://www.mendeley.com/documents/?uuid=8bdb1db6-3cdb-39f9-bb10-ed4bcd65e4c8"]}],"mendeley":{"formattedCitation":"&lt;sup&gt;5&lt;/sup&gt;","plainTextFormattedCitation":"5","previouslyFormattedCitation":"&lt;sup&gt;5&lt;/sup&gt;"},"properties":{"noteIndex":0},"schema":"https://github.com/citation-style-language/schema/raw/master/csl-citation.json"}</w:instrText>
      </w:r>
      <w:r w:rsidRPr="00397AA7">
        <w:rPr>
          <w:rFonts w:asciiTheme="minorHAnsi" w:hAnsiTheme="minorHAnsi" w:cstheme="minorHAnsi"/>
          <w:color w:val="000000" w:themeColor="text1"/>
        </w:rPr>
        <w:fldChar w:fldCharType="separate"/>
      </w:r>
      <w:r w:rsidRPr="00397AA7">
        <w:rPr>
          <w:rFonts w:asciiTheme="minorHAnsi" w:hAnsiTheme="minorHAnsi" w:cstheme="minorHAnsi"/>
          <w:noProof/>
          <w:color w:val="000000" w:themeColor="text1"/>
        </w:rPr>
        <w:t>5</w:t>
      </w:r>
      <w:r w:rsidRPr="00397AA7">
        <w:rPr>
          <w:rFonts w:asciiTheme="minorHAnsi" w:hAnsiTheme="minorHAnsi" w:cstheme="minorHAnsi"/>
          <w:color w:val="000000" w:themeColor="text1"/>
        </w:rPr>
        <w:fldChar w:fldCharType="end"/>
      </w:r>
      <w:r w:rsidRPr="00397AA7">
        <w:rPr>
          <w:rFonts w:asciiTheme="minorHAnsi" w:hAnsiTheme="minorHAnsi" w:cstheme="minorHAnsi"/>
          <w:color w:val="000000" w:themeColor="text1"/>
        </w:rPr>
        <w:t>]. Major bleeding was however comparable to that reported from VTE meta-analyses</w:t>
      </w:r>
      <w:r w:rsidR="00FF70BD" w:rsidRPr="00397AA7">
        <w:rPr>
          <w:rFonts w:asciiTheme="minorHAnsi" w:hAnsiTheme="minorHAnsi" w:cstheme="minorHAnsi"/>
          <w:color w:val="000000" w:themeColor="text1"/>
        </w:rPr>
        <w:t xml:space="preserve"> of extended anticoagulation</w:t>
      </w:r>
      <w:r w:rsidRPr="00397AA7">
        <w:rPr>
          <w:rFonts w:asciiTheme="minorHAnsi" w:hAnsiTheme="minorHAnsi" w:cstheme="minorHAnsi"/>
          <w:color w:val="000000" w:themeColor="text1"/>
        </w:rPr>
        <w:t xml:space="preserve"> </w:t>
      </w:r>
      <w:r w:rsidR="00FF70BD" w:rsidRPr="00397AA7">
        <w:rPr>
          <w:rFonts w:asciiTheme="minorHAnsi" w:hAnsiTheme="minorHAnsi" w:cstheme="minorHAnsi"/>
          <w:color w:val="000000" w:themeColor="text1"/>
        </w:rPr>
        <w:t xml:space="preserve">[22]. </w:t>
      </w:r>
      <w:r w:rsidRPr="00397AA7">
        <w:rPr>
          <w:rFonts w:asciiTheme="minorHAnsi" w:hAnsiTheme="minorHAnsi" w:cstheme="minorHAnsi"/>
          <w:color w:val="000000" w:themeColor="text1"/>
        </w:rPr>
        <w:t>Whilst our classification of bleeding events was similar to that adopted by other CTEPH-specific VKA studies, our concomitant use of pulmonary vasodilators was lower. All participants in Henken’s and two-thirds in Jujo-Sanada</w:t>
      </w:r>
      <w:r w:rsidRPr="00397AA7">
        <w:rPr>
          <w:rFonts w:asciiTheme="minorHAnsi" w:hAnsiTheme="minorHAnsi" w:cstheme="minorHAnsi"/>
          <w:i/>
          <w:color w:val="000000" w:themeColor="text1"/>
        </w:rPr>
        <w:t xml:space="preserve"> et al’s</w:t>
      </w:r>
      <w:r w:rsidRPr="00397AA7">
        <w:rPr>
          <w:rFonts w:asciiTheme="minorHAnsi" w:hAnsiTheme="minorHAnsi" w:cstheme="minorHAnsi"/>
          <w:color w:val="000000" w:themeColor="text1"/>
        </w:rPr>
        <w:t xml:space="preserve"> analyses were treated with vasodilators compared to</w:t>
      </w:r>
      <w:r w:rsidR="00170C86" w:rsidRPr="00397AA7">
        <w:rPr>
          <w:rFonts w:asciiTheme="minorHAnsi" w:hAnsiTheme="minorHAnsi" w:cstheme="minorHAnsi"/>
          <w:color w:val="000000" w:themeColor="text1"/>
        </w:rPr>
        <w:t xml:space="preserve"> 12%</w:t>
      </w:r>
      <w:r w:rsidR="00170C86" w:rsidRPr="00397AA7">
        <w:rPr>
          <w:rFonts w:asciiTheme="minorHAnsi" w:hAnsiTheme="minorHAnsi" w:cstheme="minorHAnsi"/>
          <w:b/>
          <w:color w:val="FF0000"/>
        </w:rPr>
        <w:t xml:space="preserve"> </w:t>
      </w:r>
      <w:r w:rsidRPr="00397AA7">
        <w:rPr>
          <w:rFonts w:asciiTheme="minorHAnsi" w:hAnsiTheme="minorHAnsi" w:cstheme="minorHAnsi"/>
          <w:color w:val="000000" w:themeColor="text1"/>
        </w:rPr>
        <w:t xml:space="preserve">in our study. As indicated by the results of the CHEST-1 trial, pulmonary vasodilators, particularly soluble guanylate stimulators, may be associated with increased VKA bleeding risk; indeed Jujo-Sanada et al reported a clinically relevant bleeding rate of 21% in those treated with VKAs and Riociguat </w:t>
      </w:r>
      <w:r w:rsidR="00EF120B" w:rsidRPr="00397AA7">
        <w:rPr>
          <w:rFonts w:asciiTheme="minorHAnsi" w:hAnsiTheme="minorHAnsi" w:cstheme="minorHAnsi"/>
          <w:color w:val="000000" w:themeColor="text1"/>
        </w:rPr>
        <w:t>[5</w:t>
      </w:r>
      <w:r w:rsidRPr="00397AA7">
        <w:rPr>
          <w:rFonts w:asciiTheme="minorHAnsi" w:hAnsiTheme="minorHAnsi" w:cstheme="minorHAnsi"/>
          <w:color w:val="000000" w:themeColor="text1"/>
        </w:rPr>
        <w:t>,</w:t>
      </w:r>
      <w:r w:rsidR="00EF120B" w:rsidRPr="00397AA7">
        <w:rPr>
          <w:rFonts w:asciiTheme="minorHAnsi" w:hAnsiTheme="minorHAnsi" w:cstheme="minorHAnsi"/>
          <w:color w:val="000000" w:themeColor="text1"/>
        </w:rPr>
        <w:t>2</w:t>
      </w:r>
      <w:r w:rsidR="00FF70BD" w:rsidRPr="00397AA7">
        <w:rPr>
          <w:rFonts w:asciiTheme="minorHAnsi" w:hAnsiTheme="minorHAnsi" w:cstheme="minorHAnsi"/>
          <w:color w:val="000000" w:themeColor="text1"/>
        </w:rPr>
        <w:t>3</w:t>
      </w:r>
      <w:r w:rsidR="00EF120B" w:rsidRPr="00397AA7">
        <w:rPr>
          <w:rFonts w:asciiTheme="minorHAnsi" w:hAnsiTheme="minorHAnsi" w:cstheme="minorHAnsi"/>
          <w:color w:val="000000" w:themeColor="text1"/>
        </w:rPr>
        <w:t>]</w:t>
      </w:r>
    </w:p>
    <w:p w14:paraId="7C975B41" w14:textId="6A535EA7" w:rsidR="00F821E9" w:rsidRPr="00397AA7" w:rsidRDefault="00F821E9" w:rsidP="00A04A32">
      <w:pPr>
        <w:spacing w:line="480" w:lineRule="auto"/>
        <w:jc w:val="both"/>
        <w:rPr>
          <w:rFonts w:asciiTheme="minorHAnsi" w:hAnsiTheme="minorHAnsi" w:cstheme="minorHAnsi"/>
          <w:color w:val="FF0000"/>
        </w:rPr>
      </w:pPr>
    </w:p>
    <w:p w14:paraId="29588CC9" w14:textId="5EFC876B" w:rsidR="00EC220A" w:rsidRPr="00397AA7" w:rsidRDefault="00EC220A" w:rsidP="00A04A32">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t xml:space="preserve">Bleeding risk associated with DOACs in CTEPH has not previously been explored. In this first evaluation we demonstrate major bleeding with DOACs </w:t>
      </w:r>
      <w:r w:rsidR="001B6A5A" w:rsidRPr="00397AA7">
        <w:rPr>
          <w:rFonts w:asciiTheme="minorHAnsi" w:hAnsiTheme="minorHAnsi" w:cstheme="minorHAnsi"/>
          <w:color w:val="000000" w:themeColor="text1"/>
        </w:rPr>
        <w:t>t</w:t>
      </w:r>
      <w:r w:rsidRPr="00397AA7">
        <w:rPr>
          <w:rFonts w:asciiTheme="minorHAnsi" w:hAnsiTheme="minorHAnsi" w:cstheme="minorHAnsi"/>
          <w:color w:val="000000" w:themeColor="text1"/>
        </w:rPr>
        <w:t xml:space="preserve">o be equivalent to VKAs (p-value = 1). Our finding contradicts that of VTE trials where DOACs are generally associated with lower </w:t>
      </w:r>
      <w:r w:rsidRPr="00397AA7">
        <w:rPr>
          <w:rFonts w:asciiTheme="minorHAnsi" w:hAnsiTheme="minorHAnsi" w:cstheme="minorHAnsi"/>
          <w:color w:val="000000" w:themeColor="text1"/>
        </w:rPr>
        <w:lastRenderedPageBreak/>
        <w:t>major bleeding rates [11]. Recent meta-analysis</w:t>
      </w:r>
      <w:r w:rsidR="00D0291E" w:rsidRPr="00397AA7">
        <w:rPr>
          <w:rFonts w:asciiTheme="minorHAnsi" w:hAnsiTheme="minorHAnsi" w:cstheme="minorHAnsi"/>
          <w:color w:val="000000" w:themeColor="text1"/>
        </w:rPr>
        <w:t xml:space="preserve"> of extended anticoagulation in VTE</w:t>
      </w:r>
      <w:r w:rsidRPr="00397AA7">
        <w:rPr>
          <w:rFonts w:asciiTheme="minorHAnsi" w:hAnsiTheme="minorHAnsi" w:cstheme="minorHAnsi"/>
          <w:color w:val="000000" w:themeColor="text1"/>
        </w:rPr>
        <w:t xml:space="preserve"> however suggests the superiority of DOACs over VKAs with regard to bleeding risk is significant only for Apixaban 5mg</w:t>
      </w:r>
      <w:r w:rsidR="00EF120B" w:rsidRPr="00397AA7">
        <w:rPr>
          <w:rFonts w:asciiTheme="minorHAnsi" w:hAnsiTheme="minorHAnsi" w:cstheme="minorHAnsi"/>
          <w:color w:val="000000" w:themeColor="text1"/>
        </w:rPr>
        <w:t xml:space="preserve"> [2</w:t>
      </w:r>
      <w:r w:rsidR="00FF70BD" w:rsidRPr="00397AA7">
        <w:rPr>
          <w:rFonts w:asciiTheme="minorHAnsi" w:hAnsiTheme="minorHAnsi" w:cstheme="minorHAnsi"/>
          <w:color w:val="000000" w:themeColor="text1"/>
        </w:rPr>
        <w:t>2</w:t>
      </w:r>
      <w:r w:rsidR="00EF120B" w:rsidRPr="00397AA7">
        <w:rPr>
          <w:rFonts w:asciiTheme="minorHAnsi" w:hAnsiTheme="minorHAnsi" w:cstheme="minorHAnsi"/>
          <w:color w:val="000000" w:themeColor="text1"/>
        </w:rPr>
        <w:t>]</w:t>
      </w:r>
      <w:r w:rsidRPr="00397AA7">
        <w:rPr>
          <w:rFonts w:asciiTheme="minorHAnsi" w:hAnsiTheme="minorHAnsi" w:cstheme="minorHAnsi"/>
          <w:color w:val="000000" w:themeColor="text1"/>
        </w:rPr>
        <w:t xml:space="preserve">. Given the majority of our DOAC cohort are anticoagulated with Rivaroxaban, this may in part explain our lack of discrepancy in bleeding rates between anticoagulation classes. </w:t>
      </w:r>
    </w:p>
    <w:p w14:paraId="564A7C1C" w14:textId="1A34217E" w:rsidR="001169E4" w:rsidRPr="00397AA7" w:rsidRDefault="001169E4" w:rsidP="00A04A32">
      <w:pPr>
        <w:spacing w:line="480" w:lineRule="auto"/>
        <w:jc w:val="both"/>
        <w:rPr>
          <w:rFonts w:asciiTheme="minorHAnsi" w:hAnsiTheme="minorHAnsi" w:cstheme="minorHAnsi"/>
          <w:color w:val="FF0000"/>
        </w:rPr>
      </w:pPr>
    </w:p>
    <w:p w14:paraId="1A1037EB" w14:textId="15D9708F" w:rsidR="00DD7259" w:rsidRPr="00397AA7" w:rsidRDefault="001169E4" w:rsidP="00A04A32">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t>VTE recurrence was uncommon (1.17%/person-year)</w:t>
      </w:r>
      <w:r w:rsidR="0045307F" w:rsidRPr="00397AA7">
        <w:rPr>
          <w:rFonts w:asciiTheme="minorHAnsi" w:hAnsiTheme="minorHAnsi" w:cstheme="minorHAnsi"/>
          <w:color w:val="000000" w:themeColor="text1"/>
        </w:rPr>
        <w:t xml:space="preserve">. </w:t>
      </w:r>
      <w:r w:rsidRPr="00397AA7">
        <w:rPr>
          <w:rFonts w:asciiTheme="minorHAnsi" w:hAnsiTheme="minorHAnsi" w:cstheme="minorHAnsi"/>
          <w:color w:val="000000" w:themeColor="text1"/>
        </w:rPr>
        <w:t>Overall VTE rates were similar to Jujo-Sanada et al’s CTEPH cohort (1.2%/person-year), although this applied to anticoagulation with VKAs only</w:t>
      </w:r>
      <w:r w:rsidR="00EF120B" w:rsidRPr="00397AA7">
        <w:rPr>
          <w:rFonts w:asciiTheme="minorHAnsi" w:hAnsiTheme="minorHAnsi" w:cstheme="minorHAnsi"/>
          <w:color w:val="000000" w:themeColor="text1"/>
        </w:rPr>
        <w:t xml:space="preserve"> [5]</w:t>
      </w:r>
      <w:r w:rsidRPr="00397AA7">
        <w:rPr>
          <w:rFonts w:asciiTheme="minorHAnsi" w:hAnsiTheme="minorHAnsi" w:cstheme="minorHAnsi"/>
          <w:color w:val="000000" w:themeColor="text1"/>
        </w:rPr>
        <w:t>. VTE recurrence was significantly higher in those treated with DOACs (4.62%/person-year) compared to VKAs (0.76%/person-year; p = 0.008), though no VTE associated deaths occurred in either group. Whilst the efficacy of DOACs in acute VTE is comparable to VKAs [11], network meta-analysis of extended anticoagulation in VTE suggests standard-dose VKA to have the highest probability of being the best treatment for VTE reduction</w:t>
      </w:r>
      <w:r w:rsidR="00EF120B" w:rsidRPr="00397AA7">
        <w:rPr>
          <w:rFonts w:asciiTheme="minorHAnsi" w:hAnsiTheme="minorHAnsi" w:cstheme="minorHAnsi"/>
          <w:color w:val="000000" w:themeColor="text1"/>
        </w:rPr>
        <w:t xml:space="preserve"> [2</w:t>
      </w:r>
      <w:r w:rsidR="00FF70BD" w:rsidRPr="00397AA7">
        <w:rPr>
          <w:rFonts w:asciiTheme="minorHAnsi" w:hAnsiTheme="minorHAnsi" w:cstheme="minorHAnsi"/>
          <w:color w:val="000000" w:themeColor="text1"/>
        </w:rPr>
        <w:t>2</w:t>
      </w:r>
      <w:r w:rsidR="00EF120B" w:rsidRPr="00397AA7">
        <w:rPr>
          <w:rFonts w:asciiTheme="minorHAnsi" w:hAnsiTheme="minorHAnsi" w:cstheme="minorHAnsi"/>
          <w:color w:val="000000" w:themeColor="text1"/>
        </w:rPr>
        <w:t>]</w:t>
      </w:r>
      <w:r w:rsidRPr="00397AA7">
        <w:rPr>
          <w:rFonts w:asciiTheme="minorHAnsi" w:hAnsiTheme="minorHAnsi" w:cstheme="minorHAnsi"/>
          <w:color w:val="000000" w:themeColor="text1"/>
        </w:rPr>
        <w:t>. Higher VTE recurrence rates associated with DOACs in our cohort may therefore reflect the extended duration of anticoagulation follow-up post-PEA in the context of an increased frequency of incidental cases identified through the routine screening of asymptomatic individuals. APS incidence was also noted to be lower in our population compared to previous and in light of the findings suggesting higher VTE recurrence in APS treated with DOACs compared to VKAs, the possibility that thrombophilia was underdiagnosed in our cohort needs to be considered [</w:t>
      </w:r>
      <w:r w:rsidR="00EF120B" w:rsidRPr="00397AA7">
        <w:rPr>
          <w:rFonts w:asciiTheme="minorHAnsi" w:hAnsiTheme="minorHAnsi" w:cstheme="minorHAnsi"/>
          <w:color w:val="000000" w:themeColor="text1"/>
        </w:rPr>
        <w:t>24,</w:t>
      </w:r>
      <w:r w:rsidRPr="00397AA7">
        <w:rPr>
          <w:rFonts w:asciiTheme="minorHAnsi" w:hAnsiTheme="minorHAnsi" w:cstheme="minorHAnsi"/>
          <w:color w:val="000000" w:themeColor="text1"/>
        </w:rPr>
        <w:t>2</w:t>
      </w:r>
      <w:r w:rsidR="00EF120B" w:rsidRPr="00397AA7">
        <w:rPr>
          <w:rFonts w:asciiTheme="minorHAnsi" w:hAnsiTheme="minorHAnsi" w:cstheme="minorHAnsi"/>
          <w:color w:val="000000" w:themeColor="text1"/>
        </w:rPr>
        <w:t>5</w:t>
      </w:r>
      <w:r w:rsidRPr="00397AA7">
        <w:rPr>
          <w:rFonts w:asciiTheme="minorHAnsi" w:hAnsiTheme="minorHAnsi" w:cstheme="minorHAnsi"/>
          <w:color w:val="000000" w:themeColor="text1"/>
        </w:rPr>
        <w:t>]. From a pharmokinetic perspective, Rivaroxaban the most commonly prescribed DOAC in our cohort has the shortest half-life of all Factor Xa inhibitors and its bioavailability known to be affected by its consumption with food [2</w:t>
      </w:r>
      <w:r w:rsidR="00EF120B" w:rsidRPr="00397AA7">
        <w:rPr>
          <w:rFonts w:asciiTheme="minorHAnsi" w:hAnsiTheme="minorHAnsi" w:cstheme="minorHAnsi"/>
          <w:color w:val="000000" w:themeColor="text1"/>
        </w:rPr>
        <w:t>6</w:t>
      </w:r>
      <w:r w:rsidRPr="00397AA7">
        <w:rPr>
          <w:rFonts w:asciiTheme="minorHAnsi" w:hAnsiTheme="minorHAnsi" w:cstheme="minorHAnsi"/>
          <w:color w:val="000000" w:themeColor="text1"/>
        </w:rPr>
        <w:t xml:space="preserve">]. </w:t>
      </w:r>
    </w:p>
    <w:p w14:paraId="51BFC9B5" w14:textId="45AA0197" w:rsidR="004A143B" w:rsidRPr="00397AA7" w:rsidRDefault="004A143B" w:rsidP="00A04A32">
      <w:pPr>
        <w:spacing w:line="480" w:lineRule="auto"/>
        <w:jc w:val="both"/>
        <w:rPr>
          <w:rFonts w:asciiTheme="minorHAnsi" w:hAnsiTheme="minorHAnsi" w:cstheme="minorHAnsi"/>
          <w:color w:val="000000" w:themeColor="text1"/>
        </w:rPr>
      </w:pPr>
    </w:p>
    <w:p w14:paraId="2FAC35D8" w14:textId="77777777" w:rsidR="004A143B" w:rsidRPr="00397AA7" w:rsidRDefault="004A143B" w:rsidP="00A04A32">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lastRenderedPageBreak/>
        <w:t xml:space="preserve">Median time from PEA to VTE recurrence was 5.8 (IQR 5.4) months suggesting the first six months following PEA to be the most crucial with regard to mode of anticoagulation. Higher VTE recurrence rates in DOACs theoretically may reflect the inability to easily quantify in-vivo DOAC activity and hence the capacity to identify and pre-emptively act upon low treatment adherence. VKA compliance by contrast is monitored by frequent INR measurement undertaken by an individual’s General Practitioner or local anticoagulation clinic. Despite this, our data suggests that time-in-therapeutic range for the CTEPH cohort is at best comparable to established VTE data, or possibly worse. </w:t>
      </w:r>
    </w:p>
    <w:p w14:paraId="7C9A7CAD" w14:textId="77777777" w:rsidR="004A143B" w:rsidRPr="00397AA7" w:rsidRDefault="004A143B" w:rsidP="00A04A32">
      <w:pPr>
        <w:spacing w:line="480" w:lineRule="auto"/>
        <w:jc w:val="both"/>
        <w:rPr>
          <w:rFonts w:asciiTheme="minorHAnsi" w:hAnsiTheme="minorHAnsi" w:cstheme="minorHAnsi"/>
          <w:color w:val="000000" w:themeColor="text1"/>
          <w:sz w:val="22"/>
          <w:szCs w:val="22"/>
        </w:rPr>
      </w:pPr>
    </w:p>
    <w:p w14:paraId="4DADF78D" w14:textId="5CC2B28C" w:rsidR="004A143B" w:rsidRPr="00397AA7" w:rsidRDefault="004A143B" w:rsidP="00A04A32">
      <w:pPr>
        <w:spacing w:line="480" w:lineRule="auto"/>
        <w:jc w:val="both"/>
        <w:rPr>
          <w:rFonts w:asciiTheme="minorHAnsi" w:hAnsiTheme="minorHAnsi" w:cstheme="minorHAnsi"/>
          <w:color w:val="000000" w:themeColor="text1"/>
        </w:rPr>
      </w:pPr>
      <w:r w:rsidRPr="00397AA7">
        <w:rPr>
          <w:rFonts w:asciiTheme="minorHAnsi" w:hAnsiTheme="minorHAnsi" w:cstheme="minorHAnsi"/>
          <w:color w:val="000000" w:themeColor="text1"/>
        </w:rPr>
        <w:t xml:space="preserve">Little data exists as to the implicated costs of life-long anticoagulation in VTE for VKAs versus DOACs. </w:t>
      </w:r>
      <w:r w:rsidR="00EA543A" w:rsidRPr="00397AA7">
        <w:rPr>
          <w:rFonts w:asciiTheme="minorHAnsi" w:hAnsiTheme="minorHAnsi" w:cstheme="minorHAnsi"/>
          <w:color w:val="000000" w:themeColor="text1"/>
        </w:rPr>
        <w:t xml:space="preserve">Whilst DOACs currently account for around half of anticoagulant prescriptions for VTE in the UK they are responsible for </w:t>
      </w:r>
      <w:r w:rsidRPr="00397AA7">
        <w:rPr>
          <w:rFonts w:asciiTheme="minorHAnsi" w:hAnsiTheme="minorHAnsi" w:cstheme="minorHAnsi"/>
          <w:color w:val="000000" w:themeColor="text1"/>
        </w:rPr>
        <w:t>&gt;90% of anticoagulant expenditure [</w:t>
      </w:r>
      <w:r w:rsidR="00EA543A" w:rsidRPr="00397AA7">
        <w:rPr>
          <w:rFonts w:asciiTheme="minorHAnsi" w:hAnsiTheme="minorHAnsi" w:cstheme="minorHAnsi"/>
          <w:color w:val="000000" w:themeColor="text1"/>
        </w:rPr>
        <w:t>19,</w:t>
      </w:r>
      <w:r w:rsidRPr="00397AA7">
        <w:rPr>
          <w:rFonts w:asciiTheme="minorHAnsi" w:hAnsiTheme="minorHAnsi" w:cstheme="minorHAnsi"/>
          <w:color w:val="000000" w:themeColor="text1"/>
        </w:rPr>
        <w:t xml:space="preserve">28]. Data from life-long anticoagulation in atrial fibrillation indicates a cost saving with VKAs (Warfarin) compared to DOACs, even when INR monitoring is accounted for [29]. In the NHS in England Warfarin (the most common VKA in use) costs £0.78 per month (based upon a 5mg daily dose) compared to the average cost of DOACs at £50-60 per month [30]. The combined cost of Warfarin prescription and INR monitoring, whether delivered centrally or using self-testing is ~£300 per year compared to the annual cost of life-long DOAC anticoagulation of ~£800 excluding renal function checks [29,31]. </w:t>
      </w:r>
      <w:r w:rsidR="00E060F2" w:rsidRPr="00397AA7">
        <w:rPr>
          <w:rFonts w:asciiTheme="minorHAnsi" w:hAnsiTheme="minorHAnsi" w:cstheme="minorHAnsi"/>
          <w:color w:val="000000" w:themeColor="text1"/>
        </w:rPr>
        <w:t xml:space="preserve">Extrapolated to our post-PEA prevalent population the cost of treating all individuals with DOACs would equate to an additional ~£506,000 per year over VKAs. </w:t>
      </w:r>
      <w:r w:rsidRPr="00397AA7">
        <w:rPr>
          <w:rFonts w:asciiTheme="minorHAnsi" w:hAnsiTheme="minorHAnsi" w:cstheme="minorHAnsi"/>
          <w:color w:val="000000" w:themeColor="text1"/>
        </w:rPr>
        <w:t xml:space="preserve">Whilst cost savings are presently in favour of VKAs, the costs associated with DOAC use are likely to fall considerably once patents expire in 2022. </w:t>
      </w:r>
    </w:p>
    <w:p w14:paraId="3A8B6C07" w14:textId="11BC0D1B" w:rsidR="00E060F2" w:rsidRPr="00397AA7" w:rsidRDefault="00E060F2" w:rsidP="00A04A32">
      <w:pPr>
        <w:spacing w:line="480" w:lineRule="auto"/>
        <w:jc w:val="both"/>
        <w:rPr>
          <w:rFonts w:asciiTheme="minorHAnsi" w:hAnsiTheme="minorHAnsi" w:cstheme="minorHAnsi"/>
          <w:color w:val="000000" w:themeColor="text1"/>
        </w:rPr>
      </w:pPr>
    </w:p>
    <w:p w14:paraId="436C5A6D" w14:textId="76B11FCE" w:rsidR="007F019D" w:rsidRPr="00397AA7" w:rsidRDefault="004922C8" w:rsidP="00A04A32">
      <w:pPr>
        <w:spacing w:line="480" w:lineRule="auto"/>
        <w:jc w:val="both"/>
        <w:rPr>
          <w:rFonts w:asciiTheme="minorHAnsi" w:hAnsiTheme="minorHAnsi" w:cstheme="minorHAnsi"/>
          <w:color w:val="000000" w:themeColor="text1"/>
          <w:shd w:val="clear" w:color="auto" w:fill="FFFFFF"/>
        </w:rPr>
      </w:pPr>
      <w:r w:rsidRPr="00397AA7">
        <w:rPr>
          <w:rFonts w:asciiTheme="minorHAnsi" w:hAnsiTheme="minorHAnsi" w:cstheme="minorHAnsi"/>
          <w:color w:val="000000" w:themeColor="text1"/>
        </w:rPr>
        <w:lastRenderedPageBreak/>
        <w:t xml:space="preserve">In conclusion, </w:t>
      </w:r>
      <w:r w:rsidR="00EC220A" w:rsidRPr="00397AA7">
        <w:rPr>
          <w:rFonts w:asciiTheme="minorHAnsi" w:hAnsiTheme="minorHAnsi" w:cstheme="minorHAnsi"/>
          <w:color w:val="000000" w:themeColor="text1"/>
        </w:rPr>
        <w:t xml:space="preserve">major </w:t>
      </w:r>
      <w:r w:rsidR="00AB5435" w:rsidRPr="00397AA7">
        <w:rPr>
          <w:rFonts w:asciiTheme="minorHAnsi" w:hAnsiTheme="minorHAnsi" w:cstheme="minorHAnsi"/>
          <w:color w:val="000000" w:themeColor="text1"/>
        </w:rPr>
        <w:t xml:space="preserve">bleeding risk </w:t>
      </w:r>
      <w:r w:rsidR="008E575A" w:rsidRPr="00397AA7">
        <w:rPr>
          <w:rFonts w:asciiTheme="minorHAnsi" w:hAnsiTheme="minorHAnsi" w:cstheme="minorHAnsi"/>
          <w:color w:val="000000" w:themeColor="text1"/>
        </w:rPr>
        <w:t xml:space="preserve">in CTEPH </w:t>
      </w:r>
      <w:r w:rsidR="00EC220A" w:rsidRPr="00397AA7">
        <w:rPr>
          <w:rFonts w:asciiTheme="minorHAnsi" w:hAnsiTheme="minorHAnsi" w:cstheme="minorHAnsi"/>
          <w:color w:val="000000" w:themeColor="text1"/>
        </w:rPr>
        <w:t>appears similar with</w:t>
      </w:r>
      <w:r w:rsidR="00AB5435" w:rsidRPr="00397AA7">
        <w:rPr>
          <w:rFonts w:asciiTheme="minorHAnsi" w:hAnsiTheme="minorHAnsi" w:cstheme="minorHAnsi"/>
          <w:color w:val="000000" w:themeColor="text1"/>
        </w:rPr>
        <w:t xml:space="preserve"> VKAs</w:t>
      </w:r>
      <w:r w:rsidR="00EC220A" w:rsidRPr="00397AA7">
        <w:rPr>
          <w:rFonts w:asciiTheme="minorHAnsi" w:hAnsiTheme="minorHAnsi" w:cstheme="minorHAnsi"/>
          <w:color w:val="000000" w:themeColor="text1"/>
        </w:rPr>
        <w:t xml:space="preserve"> and DOACs</w:t>
      </w:r>
      <w:r w:rsidR="001017F1" w:rsidRPr="00397AA7">
        <w:rPr>
          <w:rFonts w:asciiTheme="minorHAnsi" w:hAnsiTheme="minorHAnsi" w:cstheme="minorHAnsi"/>
          <w:color w:val="000000" w:themeColor="text1"/>
        </w:rPr>
        <w:t>.</w:t>
      </w:r>
      <w:r w:rsidR="00EC220A" w:rsidRPr="00397AA7">
        <w:rPr>
          <w:rFonts w:asciiTheme="minorHAnsi" w:hAnsiTheme="minorHAnsi" w:cstheme="minorHAnsi"/>
          <w:color w:val="000000" w:themeColor="text1"/>
        </w:rPr>
        <w:t xml:space="preserve"> Although VTE recurrence following PEA was uncommon, rates were significantly higher in those treated with DOACs. We acknowledge the limitation of this retrospective case review. Although all CTPAs are reviewed in MDT by subspecialised CTEPH radiologists and clinicians, the gold standard in determining the non-inferiority of DOACs would be prospective evaluation. Given previous experiences with valvular heart disease there are grounds for caution in assuming DOACs are safe</w:t>
      </w:r>
      <w:r w:rsidR="007F019D" w:rsidRPr="00397AA7">
        <w:rPr>
          <w:rFonts w:asciiTheme="minorHAnsi" w:hAnsiTheme="minorHAnsi" w:cstheme="minorHAnsi"/>
          <w:color w:val="000000" w:themeColor="text1"/>
          <w:shd w:val="clear" w:color="auto" w:fill="FFFFFF"/>
        </w:rPr>
        <w:t xml:space="preserve"> </w:t>
      </w:r>
      <w:r w:rsidR="00DE31DB" w:rsidRPr="00397AA7">
        <w:rPr>
          <w:rFonts w:asciiTheme="minorHAnsi" w:hAnsiTheme="minorHAnsi" w:cstheme="minorHAnsi"/>
          <w:color w:val="000000" w:themeColor="text1"/>
          <w:shd w:val="clear" w:color="auto" w:fill="FFFFFF"/>
        </w:rPr>
        <w:t>[</w:t>
      </w:r>
      <w:r w:rsidR="00541371" w:rsidRPr="00397AA7">
        <w:rPr>
          <w:rFonts w:asciiTheme="minorHAnsi" w:hAnsiTheme="minorHAnsi" w:cstheme="minorHAnsi"/>
          <w:color w:val="000000" w:themeColor="text1"/>
          <w:shd w:val="clear" w:color="auto" w:fill="FFFFFF"/>
        </w:rPr>
        <w:t>2</w:t>
      </w:r>
      <w:r w:rsidR="00EF120B" w:rsidRPr="00397AA7">
        <w:rPr>
          <w:rFonts w:asciiTheme="minorHAnsi" w:hAnsiTheme="minorHAnsi" w:cstheme="minorHAnsi"/>
          <w:color w:val="000000" w:themeColor="text1"/>
          <w:shd w:val="clear" w:color="auto" w:fill="FFFFFF"/>
        </w:rPr>
        <w:t>7</w:t>
      </w:r>
      <w:r w:rsidR="00DE31DB" w:rsidRPr="00397AA7">
        <w:rPr>
          <w:rFonts w:asciiTheme="minorHAnsi" w:hAnsiTheme="minorHAnsi" w:cstheme="minorHAnsi"/>
          <w:color w:val="000000" w:themeColor="text1"/>
          <w:shd w:val="clear" w:color="auto" w:fill="FFFFFF"/>
        </w:rPr>
        <w:t>]</w:t>
      </w:r>
      <w:r w:rsidR="00EC220A" w:rsidRPr="00397AA7">
        <w:rPr>
          <w:rFonts w:asciiTheme="minorHAnsi" w:hAnsiTheme="minorHAnsi" w:cstheme="minorHAnsi"/>
          <w:color w:val="000000" w:themeColor="text1"/>
          <w:shd w:val="clear" w:color="auto" w:fill="FFFFFF"/>
        </w:rPr>
        <w:t>.</w:t>
      </w:r>
      <w:r w:rsidR="007F019D" w:rsidRPr="00397AA7">
        <w:rPr>
          <w:rFonts w:asciiTheme="minorHAnsi" w:hAnsiTheme="minorHAnsi" w:cstheme="minorHAnsi"/>
          <w:color w:val="000000" w:themeColor="text1"/>
          <w:shd w:val="clear" w:color="auto" w:fill="FFFFFF"/>
        </w:rPr>
        <w:t xml:space="preserve"> </w:t>
      </w:r>
    </w:p>
    <w:p w14:paraId="2AD5A175" w14:textId="609FD1B4" w:rsidR="004A143B" w:rsidRPr="00397AA7" w:rsidRDefault="004A143B" w:rsidP="00A04A32">
      <w:pPr>
        <w:spacing w:line="480" w:lineRule="auto"/>
        <w:jc w:val="both"/>
        <w:rPr>
          <w:rFonts w:asciiTheme="minorHAnsi" w:hAnsiTheme="minorHAnsi" w:cstheme="minorHAnsi"/>
          <w:color w:val="000000" w:themeColor="text1"/>
          <w:shd w:val="clear" w:color="auto" w:fill="FFFFFF"/>
        </w:rPr>
      </w:pPr>
    </w:p>
    <w:p w14:paraId="2FD798DE" w14:textId="6BA4DC83" w:rsidR="004A143B" w:rsidRPr="00397AA7" w:rsidRDefault="004A143B" w:rsidP="00A04A32">
      <w:pPr>
        <w:spacing w:line="480" w:lineRule="auto"/>
        <w:jc w:val="both"/>
        <w:rPr>
          <w:rFonts w:asciiTheme="minorHAnsi" w:hAnsiTheme="minorHAnsi" w:cstheme="minorHAnsi"/>
          <w:b/>
        </w:rPr>
      </w:pPr>
      <w:r w:rsidRPr="00397AA7">
        <w:rPr>
          <w:rFonts w:asciiTheme="minorHAnsi" w:hAnsiTheme="minorHAnsi" w:cstheme="minorHAnsi"/>
          <w:b/>
        </w:rPr>
        <w:t xml:space="preserve">Addendum: </w:t>
      </w:r>
    </w:p>
    <w:p w14:paraId="311F8E3F" w14:textId="27334005" w:rsidR="00862841" w:rsidRPr="00397AA7" w:rsidRDefault="004A143B" w:rsidP="00A04A32">
      <w:pPr>
        <w:spacing w:line="480" w:lineRule="auto"/>
        <w:jc w:val="both"/>
        <w:rPr>
          <w:rFonts w:asciiTheme="minorHAnsi" w:hAnsiTheme="minorHAnsi" w:cstheme="minorHAnsi"/>
        </w:rPr>
      </w:pPr>
      <w:r w:rsidRPr="00397AA7">
        <w:rPr>
          <w:rFonts w:asciiTheme="minorHAnsi" w:hAnsiTheme="minorHAnsi" w:cstheme="minorHAnsi"/>
        </w:rPr>
        <w:t>Katherine Bunclark</w:t>
      </w:r>
      <w:r w:rsidRPr="00397AA7">
        <w:rPr>
          <w:rFonts w:asciiTheme="minorHAnsi" w:hAnsiTheme="minorHAnsi" w:cstheme="minorHAnsi"/>
          <w:vertAlign w:val="superscript"/>
        </w:rPr>
        <w:t xml:space="preserve"> </w:t>
      </w:r>
      <w:r w:rsidRPr="00397AA7">
        <w:rPr>
          <w:rFonts w:asciiTheme="minorHAnsi" w:hAnsiTheme="minorHAnsi" w:cstheme="minorHAnsi"/>
        </w:rPr>
        <w:t>&amp; Michael Newnham collected and curated the data. Katherine Bunclark performed the analysis and wrote the manuscript. Yi-Da Chiu and Sofia S Villar were involved in reviewing statistical methods. Nic</w:t>
      </w:r>
      <w:r w:rsidR="00226FA3" w:rsidRPr="00397AA7">
        <w:rPr>
          <w:rFonts w:asciiTheme="minorHAnsi" w:hAnsiTheme="minorHAnsi" w:cstheme="minorHAnsi"/>
        </w:rPr>
        <w:t>holas</w:t>
      </w:r>
      <w:r w:rsidRPr="00397AA7">
        <w:rPr>
          <w:rFonts w:asciiTheme="minorHAnsi" w:hAnsiTheme="minorHAnsi" w:cstheme="minorHAnsi"/>
        </w:rPr>
        <w:t xml:space="preserve"> Screaton and Alessandro Ruggiero reviewed CT imaging for recurrent thromboembolism. Mark Toshner provided guidance and support on data collection, data analysis and interpretation and drafting of the manuscript. John E Cannon, Gerry Coghlan, Paul A Corris, Luke Howard, David Jenkins, Martin Johnson, David G Kiely, Choo Ng, Karen Sheares, Dolores Taboada, Steven Tsui, S John Wort and Joanna Pepke-Zaba critically revised the manuscript</w:t>
      </w:r>
      <w:r w:rsidR="007F240C" w:rsidRPr="00397AA7">
        <w:rPr>
          <w:rFonts w:asciiTheme="minorHAnsi" w:hAnsiTheme="minorHAnsi" w:cstheme="minorHAnsi"/>
        </w:rPr>
        <w:t>. All authors</w:t>
      </w:r>
      <w:r w:rsidRPr="00397AA7">
        <w:rPr>
          <w:rFonts w:asciiTheme="minorHAnsi" w:hAnsiTheme="minorHAnsi" w:cstheme="minorHAnsi"/>
        </w:rPr>
        <w:t xml:space="preserve"> approved the final version. </w:t>
      </w:r>
    </w:p>
    <w:p w14:paraId="60310E1F" w14:textId="77777777" w:rsidR="004A143B" w:rsidRPr="00397AA7" w:rsidRDefault="004A143B" w:rsidP="00A04A32">
      <w:pPr>
        <w:spacing w:line="480" w:lineRule="auto"/>
        <w:jc w:val="both"/>
        <w:rPr>
          <w:rFonts w:asciiTheme="minorHAnsi" w:hAnsiTheme="minorHAnsi" w:cstheme="minorHAnsi"/>
          <w:color w:val="000000" w:themeColor="text1"/>
          <w:shd w:val="clear" w:color="auto" w:fill="FFFFFF"/>
        </w:rPr>
      </w:pPr>
    </w:p>
    <w:p w14:paraId="50C55EBE" w14:textId="77777777" w:rsidR="00862841" w:rsidRPr="00397AA7" w:rsidRDefault="00862841" w:rsidP="00A04A32">
      <w:pPr>
        <w:spacing w:line="480" w:lineRule="auto"/>
        <w:jc w:val="both"/>
        <w:rPr>
          <w:rFonts w:asciiTheme="minorHAnsi" w:hAnsiTheme="minorHAnsi" w:cstheme="minorHAnsi"/>
          <w:b/>
        </w:rPr>
      </w:pPr>
      <w:r w:rsidRPr="00397AA7">
        <w:rPr>
          <w:rFonts w:asciiTheme="minorHAnsi" w:hAnsiTheme="minorHAnsi" w:cstheme="minorHAnsi"/>
          <w:b/>
        </w:rPr>
        <w:t xml:space="preserve">Conflict of Interest Statement </w:t>
      </w:r>
    </w:p>
    <w:p w14:paraId="33994918" w14:textId="62916011" w:rsidR="00862841" w:rsidRPr="00397AA7" w:rsidRDefault="00862841" w:rsidP="00A04A32">
      <w:pPr>
        <w:spacing w:line="480" w:lineRule="auto"/>
        <w:jc w:val="both"/>
        <w:rPr>
          <w:rFonts w:asciiTheme="minorHAnsi" w:hAnsiTheme="minorHAnsi" w:cstheme="minorHAnsi"/>
          <w:color w:val="000000" w:themeColor="text1"/>
        </w:rPr>
      </w:pPr>
      <w:r w:rsidRPr="00397AA7">
        <w:rPr>
          <w:rFonts w:asciiTheme="minorHAnsi" w:hAnsiTheme="minorHAnsi" w:cstheme="minorHAnsi"/>
        </w:rPr>
        <w:t>K.B, Y-D.C, A.R, S</w:t>
      </w:r>
      <w:r w:rsidR="00BB6EF4" w:rsidRPr="00397AA7">
        <w:rPr>
          <w:rFonts w:asciiTheme="minorHAnsi" w:hAnsiTheme="minorHAnsi" w:cstheme="minorHAnsi"/>
        </w:rPr>
        <w:t>.</w:t>
      </w:r>
      <w:r w:rsidRPr="00397AA7">
        <w:rPr>
          <w:rFonts w:asciiTheme="minorHAnsi" w:hAnsiTheme="minorHAnsi" w:cstheme="minorHAnsi"/>
        </w:rPr>
        <w:t>V, J</w:t>
      </w:r>
      <w:r w:rsidR="00BB6EF4" w:rsidRPr="00397AA7">
        <w:rPr>
          <w:rFonts w:asciiTheme="minorHAnsi" w:hAnsiTheme="minorHAnsi" w:cstheme="minorHAnsi"/>
        </w:rPr>
        <w:t>.</w:t>
      </w:r>
      <w:r w:rsidRPr="00397AA7">
        <w:rPr>
          <w:rFonts w:asciiTheme="minorHAnsi" w:hAnsiTheme="minorHAnsi" w:cstheme="minorHAnsi"/>
        </w:rPr>
        <w:t xml:space="preserve">C, G.C, M.J, C.N, N.S &amp; S.T have no conflicts of interest to declare. M.N has </w:t>
      </w:r>
      <w:r w:rsidRPr="00397AA7">
        <w:rPr>
          <w:rFonts w:asciiTheme="minorHAnsi" w:hAnsiTheme="minorHAnsi" w:cstheme="minorHAnsi"/>
          <w:color w:val="000000" w:themeColor="text1"/>
        </w:rPr>
        <w:t xml:space="preserve">received educational grants from MSD and GSK. P.C has served on speakers bureau and advisory boards of Actelion, Bayer and MSD and received institutional grant/research support from Actelion and Bayer. L.H has received personal fees and institutional grants/research support from Bayer and personal fees from MSD, Daichii Sayo and Pfizer. D.J has received </w:t>
      </w:r>
      <w:r w:rsidRPr="00397AA7">
        <w:rPr>
          <w:rFonts w:asciiTheme="minorHAnsi" w:hAnsiTheme="minorHAnsi" w:cstheme="minorHAnsi"/>
          <w:color w:val="000000" w:themeColor="text1"/>
        </w:rPr>
        <w:lastRenderedPageBreak/>
        <w:t>teaching honoraria and institutional grant/research support from Bayer and personal fees from Actelion. D.K has received speakers fees, institutional grant/research support and educational funding from Bayer. K.S has received educational funding from Actelion, Bayer, GSK and MSD</w:t>
      </w:r>
      <w:r w:rsidRPr="00397AA7">
        <w:rPr>
          <w:rFonts w:asciiTheme="minorHAnsi" w:hAnsiTheme="minorHAnsi" w:cstheme="minorHAnsi"/>
          <w:color w:val="000000"/>
          <w:u w:val="single"/>
        </w:rPr>
        <w:t xml:space="preserve"> </w:t>
      </w:r>
      <w:r w:rsidRPr="00397AA7">
        <w:rPr>
          <w:rFonts w:asciiTheme="minorHAnsi" w:hAnsiTheme="minorHAnsi" w:cstheme="minorHAnsi"/>
          <w:color w:val="000000"/>
        </w:rPr>
        <w:t xml:space="preserve">and served on an advisory board for Actelion. </w:t>
      </w:r>
      <w:r w:rsidRPr="00397AA7">
        <w:rPr>
          <w:rFonts w:asciiTheme="minorHAnsi" w:hAnsiTheme="minorHAnsi" w:cstheme="minorHAnsi"/>
          <w:color w:val="000000" w:themeColor="text1"/>
        </w:rPr>
        <w:t xml:space="preserve">D.T has received speakers fees and educational funding from Actelion, Bayer, GSK, Lilley, MSD and Pzier. S.J.W has received personal fees from Actelion, GSK, MSD and Bayer and institutional grant/research support from Actelion and Bayer. J.P.Z has served on  advisory boards of, and received personal fees, institutional grant/research support from Actelion, Bayer, MSD and GSK. M.T has received personal fees from Actelion, GSK and Bayer and institutional grant/research support from Actelion, Roche and Bayer. </w:t>
      </w:r>
    </w:p>
    <w:p w14:paraId="41F24804" w14:textId="63D8EEA5" w:rsidR="00EF120B" w:rsidRPr="00397AA7" w:rsidRDefault="00EF120B" w:rsidP="000D0BB1">
      <w:pPr>
        <w:spacing w:line="360" w:lineRule="auto"/>
        <w:jc w:val="both"/>
        <w:rPr>
          <w:rFonts w:asciiTheme="minorHAnsi" w:hAnsiTheme="minorHAnsi" w:cstheme="minorHAnsi"/>
        </w:rPr>
      </w:pPr>
    </w:p>
    <w:p w14:paraId="4A5617B9" w14:textId="0D4924BF" w:rsidR="00EF120B" w:rsidRPr="00397AA7" w:rsidRDefault="00EF120B" w:rsidP="000D0BB1">
      <w:pPr>
        <w:spacing w:line="360" w:lineRule="auto"/>
        <w:jc w:val="both"/>
        <w:rPr>
          <w:rFonts w:asciiTheme="minorHAnsi" w:hAnsiTheme="minorHAnsi" w:cstheme="minorHAnsi"/>
          <w:b/>
          <w:color w:val="000000" w:themeColor="text1"/>
        </w:rPr>
      </w:pPr>
      <w:r w:rsidRPr="00397AA7">
        <w:rPr>
          <w:rFonts w:asciiTheme="minorHAnsi" w:hAnsiTheme="minorHAnsi" w:cstheme="minorHAnsi"/>
          <w:b/>
          <w:color w:val="000000" w:themeColor="text1"/>
        </w:rPr>
        <w:t>References</w:t>
      </w:r>
      <w:r w:rsidR="004A143B" w:rsidRPr="00397AA7">
        <w:rPr>
          <w:rFonts w:asciiTheme="minorHAnsi" w:hAnsiTheme="minorHAnsi" w:cstheme="minorHAnsi"/>
          <w:b/>
          <w:color w:val="000000" w:themeColor="text1"/>
        </w:rPr>
        <w:t xml:space="preserve"> </w:t>
      </w:r>
    </w:p>
    <w:p w14:paraId="5BC7E707" w14:textId="5726C290" w:rsidR="00AA16A9" w:rsidRPr="00397AA7" w:rsidRDefault="00EF120B" w:rsidP="000D0BB1">
      <w:pPr>
        <w:spacing w:line="360" w:lineRule="auto"/>
        <w:ind w:left="640" w:hanging="640"/>
        <w:jc w:val="both"/>
        <w:rPr>
          <w:rFonts w:asciiTheme="minorHAnsi" w:hAnsiTheme="minorHAnsi" w:cstheme="minorHAnsi"/>
          <w:color w:val="000000" w:themeColor="text1"/>
        </w:rPr>
      </w:pPr>
      <w:r w:rsidRPr="00397AA7">
        <w:rPr>
          <w:rFonts w:asciiTheme="minorHAnsi" w:hAnsiTheme="minorHAnsi" w:cstheme="minorHAnsi"/>
        </w:rPr>
        <w:fldChar w:fldCharType="begin" w:fldLock="1"/>
      </w:r>
      <w:r w:rsidRPr="00397AA7">
        <w:rPr>
          <w:rFonts w:asciiTheme="minorHAnsi" w:hAnsiTheme="minorHAnsi" w:cstheme="minorHAnsi"/>
        </w:rPr>
        <w:instrText xml:space="preserve">ADDIN Mendeley Bibliography CSL_BIBLIOGRAPHY </w:instrText>
      </w:r>
      <w:r w:rsidRPr="00397AA7">
        <w:rPr>
          <w:rFonts w:asciiTheme="minorHAnsi" w:hAnsiTheme="minorHAnsi" w:cstheme="minorHAnsi"/>
        </w:rPr>
        <w:fldChar w:fldCharType="separate"/>
      </w:r>
      <w:r w:rsidRPr="00397AA7">
        <w:rPr>
          <w:rFonts w:asciiTheme="minorHAnsi" w:hAnsiTheme="minorHAnsi" w:cstheme="minorHAnsi"/>
          <w:noProof/>
          <w:color w:val="000000" w:themeColor="text1"/>
        </w:rPr>
        <w:t xml:space="preserve">1. </w:t>
      </w:r>
      <w:r w:rsidRPr="00397AA7">
        <w:rPr>
          <w:rFonts w:asciiTheme="minorHAnsi" w:hAnsiTheme="minorHAnsi" w:cstheme="minorHAnsi"/>
          <w:noProof/>
          <w:color w:val="000000" w:themeColor="text1"/>
        </w:rPr>
        <w:tab/>
        <w:t xml:space="preserve">Ende-Verhaar YM, Cannegieter SC, Vonk Noordegraaf A, </w:t>
      </w:r>
      <w:r w:rsidR="006558A2" w:rsidRPr="00397AA7">
        <w:rPr>
          <w:rFonts w:asciiTheme="minorHAnsi" w:hAnsiTheme="minorHAnsi" w:cstheme="minorHAnsi"/>
          <w:color w:val="000000" w:themeColor="text1"/>
        </w:rPr>
        <w:t>Delcroix M, Pruszczyk P,</w:t>
      </w:r>
      <w:r w:rsidR="00AD3F4D" w:rsidRPr="00397AA7">
        <w:rPr>
          <w:rFonts w:asciiTheme="minorHAnsi" w:hAnsiTheme="minorHAnsi" w:cstheme="minorHAnsi"/>
          <w:color w:val="000000" w:themeColor="text1"/>
        </w:rPr>
        <w:t xml:space="preserve"> </w:t>
      </w:r>
      <w:r w:rsidR="006558A2" w:rsidRPr="00397AA7">
        <w:rPr>
          <w:rFonts w:asciiTheme="minorHAnsi" w:hAnsiTheme="minorHAnsi" w:cstheme="minorHAnsi"/>
          <w:color w:val="000000" w:themeColor="text1"/>
        </w:rPr>
        <w:t>Mairuhu ATA, Huisman MV, Klok FA</w:t>
      </w:r>
      <w:r w:rsidRPr="00397AA7">
        <w:rPr>
          <w:rFonts w:asciiTheme="minorHAnsi" w:hAnsiTheme="minorHAnsi" w:cstheme="minorHAnsi"/>
          <w:noProof/>
          <w:color w:val="000000" w:themeColor="text1"/>
        </w:rPr>
        <w:t xml:space="preserve">. Incidence of chronic thromboembolic pulmonary hypertension after acute pulmonary embolism: a contemporary view of the published literature. </w:t>
      </w:r>
      <w:r w:rsidRPr="00397AA7">
        <w:rPr>
          <w:rFonts w:asciiTheme="minorHAnsi" w:hAnsiTheme="minorHAnsi" w:cstheme="minorHAnsi"/>
          <w:i/>
          <w:iCs/>
          <w:noProof/>
          <w:color w:val="000000" w:themeColor="text1"/>
        </w:rPr>
        <w:t>Eur Respir J</w:t>
      </w:r>
      <w:r w:rsidR="006558A2" w:rsidRPr="00397AA7">
        <w:rPr>
          <w:rFonts w:asciiTheme="minorHAnsi" w:hAnsiTheme="minorHAnsi" w:cstheme="minorHAnsi"/>
          <w:iCs/>
          <w:noProof/>
          <w:color w:val="000000" w:themeColor="text1"/>
        </w:rPr>
        <w:t xml:space="preserve"> </w:t>
      </w:r>
      <w:r w:rsidRPr="00397AA7">
        <w:rPr>
          <w:rFonts w:asciiTheme="minorHAnsi" w:hAnsiTheme="minorHAnsi" w:cstheme="minorHAnsi"/>
          <w:noProof/>
          <w:color w:val="000000" w:themeColor="text1"/>
        </w:rPr>
        <w:t>2017;</w:t>
      </w:r>
      <w:r w:rsidR="009811A6" w:rsidRPr="00397AA7">
        <w:rPr>
          <w:rFonts w:asciiTheme="minorHAnsi" w:hAnsiTheme="minorHAnsi" w:cstheme="minorHAnsi"/>
          <w:noProof/>
          <w:color w:val="000000" w:themeColor="text1"/>
        </w:rPr>
        <w:t xml:space="preserve"> </w:t>
      </w:r>
      <w:r w:rsidRPr="00397AA7">
        <w:rPr>
          <w:rFonts w:asciiTheme="minorHAnsi" w:hAnsiTheme="minorHAnsi" w:cstheme="minorHAnsi"/>
          <w:b/>
          <w:noProof/>
          <w:color w:val="000000" w:themeColor="text1"/>
        </w:rPr>
        <w:t>49</w:t>
      </w:r>
      <w:r w:rsidR="009811A6" w:rsidRPr="00397AA7">
        <w:rPr>
          <w:rFonts w:asciiTheme="minorHAnsi" w:hAnsiTheme="minorHAnsi" w:cstheme="minorHAnsi"/>
          <w:noProof/>
          <w:color w:val="000000" w:themeColor="text1"/>
        </w:rPr>
        <w:t>:</w:t>
      </w:r>
      <w:r w:rsidR="004A143B" w:rsidRPr="00397AA7">
        <w:rPr>
          <w:rFonts w:asciiTheme="minorHAnsi" w:hAnsiTheme="minorHAnsi" w:cstheme="minorHAnsi"/>
          <w:color w:val="000000" w:themeColor="text1"/>
          <w:shd w:val="clear" w:color="auto" w:fill="FFFFFF"/>
        </w:rPr>
        <w:t>1601792.</w:t>
      </w:r>
    </w:p>
    <w:p w14:paraId="00944E34" w14:textId="77777777" w:rsidR="00AA16A9" w:rsidRPr="00397AA7" w:rsidRDefault="00AA16A9" w:rsidP="000D0BB1">
      <w:pPr>
        <w:widowControl w:val="0"/>
        <w:autoSpaceDE w:val="0"/>
        <w:autoSpaceDN w:val="0"/>
        <w:adjustRightInd w:val="0"/>
        <w:spacing w:line="360" w:lineRule="auto"/>
        <w:ind w:left="640" w:hanging="640"/>
        <w:rPr>
          <w:rFonts w:asciiTheme="minorHAnsi" w:hAnsiTheme="minorHAnsi" w:cstheme="minorHAnsi"/>
          <w:noProof/>
          <w:color w:val="000000" w:themeColor="text1"/>
        </w:rPr>
      </w:pPr>
    </w:p>
    <w:p w14:paraId="4E102B2A" w14:textId="7632DEAB" w:rsidR="00EF120B" w:rsidRPr="00397AA7" w:rsidRDefault="00EF120B" w:rsidP="000D0BB1">
      <w:pPr>
        <w:widowControl w:val="0"/>
        <w:autoSpaceDE w:val="0"/>
        <w:autoSpaceDN w:val="0"/>
        <w:adjustRightInd w:val="0"/>
        <w:spacing w:line="360" w:lineRule="auto"/>
        <w:ind w:left="640" w:hanging="640"/>
        <w:jc w:val="both"/>
        <w:rPr>
          <w:rFonts w:asciiTheme="minorHAnsi" w:hAnsiTheme="minorHAnsi" w:cstheme="minorHAnsi"/>
          <w:color w:val="000000" w:themeColor="text1"/>
        </w:rPr>
      </w:pPr>
      <w:r w:rsidRPr="00397AA7">
        <w:rPr>
          <w:rFonts w:asciiTheme="minorHAnsi" w:hAnsiTheme="minorHAnsi" w:cstheme="minorHAnsi"/>
          <w:noProof/>
          <w:color w:val="000000" w:themeColor="text1"/>
        </w:rPr>
        <w:t xml:space="preserve">2. </w:t>
      </w:r>
      <w:r w:rsidRPr="00397AA7">
        <w:rPr>
          <w:rFonts w:asciiTheme="minorHAnsi" w:hAnsiTheme="minorHAnsi" w:cstheme="minorHAnsi"/>
          <w:noProof/>
          <w:color w:val="000000" w:themeColor="text1"/>
        </w:rPr>
        <w:tab/>
      </w:r>
      <w:r w:rsidR="006558A2" w:rsidRPr="00397AA7">
        <w:rPr>
          <w:rFonts w:asciiTheme="minorHAnsi" w:hAnsiTheme="minorHAnsi" w:cstheme="minorHAnsi"/>
          <w:color w:val="000000" w:themeColor="text1"/>
        </w:rPr>
        <w:t xml:space="preserve">Galie N, Humbert M, Vachiery JL, Gibbs S, Lang I, Torbicki A, Simonneau G, Peacock A, Vonk Noordegraaf A, Beghetti M, Ghofrani A, Gomez Sanchez MA, Hansmann G, Klepetko W, Lancellotti P, Matucci M, McDonagh T, Pierard LA, Trindade PT, Zompatori M, Hoeper M. 2015 ESC/ERS Guidelines for the diagnosis and treatment of pulmonary hypertension: The Joint Task Force for the Diagnosis and Treatment of Pulmonary Hypertension of the European Society of Cardiology (ESC) and the European Respiratory Society (ERS): Endorsed by: Association for European Paediatric and Congenital Cardiology (AEPC), International Society for Heart and Lung Transplantation (ISHLT). </w:t>
      </w:r>
      <w:r w:rsidR="006558A2" w:rsidRPr="00397AA7">
        <w:rPr>
          <w:rFonts w:asciiTheme="minorHAnsi" w:hAnsiTheme="minorHAnsi" w:cstheme="minorHAnsi"/>
          <w:i/>
          <w:color w:val="000000" w:themeColor="text1"/>
        </w:rPr>
        <w:t xml:space="preserve">European heart journal </w:t>
      </w:r>
      <w:r w:rsidR="006558A2" w:rsidRPr="00397AA7">
        <w:rPr>
          <w:rFonts w:asciiTheme="minorHAnsi" w:hAnsiTheme="minorHAnsi" w:cstheme="minorHAnsi"/>
          <w:color w:val="000000" w:themeColor="text1"/>
        </w:rPr>
        <w:t>2016</w:t>
      </w:r>
      <w:r w:rsidR="009811A6" w:rsidRPr="00397AA7">
        <w:rPr>
          <w:rFonts w:asciiTheme="minorHAnsi" w:hAnsiTheme="minorHAnsi" w:cstheme="minorHAnsi"/>
          <w:color w:val="000000" w:themeColor="text1"/>
        </w:rPr>
        <w:t>;</w:t>
      </w:r>
      <w:r w:rsidR="006558A2" w:rsidRPr="00397AA7">
        <w:rPr>
          <w:rFonts w:asciiTheme="minorHAnsi" w:hAnsiTheme="minorHAnsi" w:cstheme="minorHAnsi"/>
          <w:color w:val="000000" w:themeColor="text1"/>
        </w:rPr>
        <w:t xml:space="preserve"> </w:t>
      </w:r>
      <w:r w:rsidR="006558A2" w:rsidRPr="00397AA7">
        <w:rPr>
          <w:rFonts w:asciiTheme="minorHAnsi" w:hAnsiTheme="minorHAnsi" w:cstheme="minorHAnsi"/>
          <w:b/>
          <w:color w:val="000000" w:themeColor="text1"/>
        </w:rPr>
        <w:t>37</w:t>
      </w:r>
      <w:r w:rsidR="006558A2" w:rsidRPr="00397AA7">
        <w:rPr>
          <w:rFonts w:asciiTheme="minorHAnsi" w:hAnsiTheme="minorHAnsi" w:cstheme="minorHAnsi"/>
          <w:color w:val="000000" w:themeColor="text1"/>
        </w:rPr>
        <w:t>: 67-119.</w:t>
      </w:r>
    </w:p>
    <w:p w14:paraId="64FF2239" w14:textId="77777777" w:rsidR="006D484B" w:rsidRPr="00397AA7" w:rsidRDefault="006D484B" w:rsidP="000D0BB1">
      <w:pPr>
        <w:widowControl w:val="0"/>
        <w:autoSpaceDE w:val="0"/>
        <w:autoSpaceDN w:val="0"/>
        <w:adjustRightInd w:val="0"/>
        <w:spacing w:line="360" w:lineRule="auto"/>
        <w:jc w:val="both"/>
        <w:rPr>
          <w:rFonts w:asciiTheme="minorHAnsi" w:hAnsiTheme="minorHAnsi" w:cstheme="minorHAnsi"/>
          <w:noProof/>
          <w:color w:val="000000" w:themeColor="text1"/>
        </w:rPr>
      </w:pPr>
    </w:p>
    <w:p w14:paraId="5D54D3E8" w14:textId="2C105863" w:rsidR="00EF120B" w:rsidRPr="00397AA7" w:rsidRDefault="00EF120B" w:rsidP="000D0BB1">
      <w:pPr>
        <w:widowControl w:val="0"/>
        <w:autoSpaceDE w:val="0"/>
        <w:autoSpaceDN w:val="0"/>
        <w:adjustRightInd w:val="0"/>
        <w:spacing w:line="360" w:lineRule="auto"/>
        <w:ind w:left="640" w:hanging="640"/>
        <w:jc w:val="both"/>
        <w:rPr>
          <w:color w:val="000000" w:themeColor="text1"/>
          <w:sz w:val="28"/>
          <w:szCs w:val="28"/>
        </w:rPr>
      </w:pPr>
      <w:r w:rsidRPr="00397AA7">
        <w:rPr>
          <w:rFonts w:asciiTheme="minorHAnsi" w:hAnsiTheme="minorHAnsi" w:cstheme="minorHAnsi"/>
          <w:noProof/>
          <w:color w:val="000000" w:themeColor="text1"/>
        </w:rPr>
        <w:t xml:space="preserve">3. </w:t>
      </w:r>
      <w:r w:rsidRPr="00397AA7">
        <w:rPr>
          <w:rFonts w:asciiTheme="minorHAnsi" w:hAnsiTheme="minorHAnsi" w:cstheme="minorHAnsi"/>
          <w:noProof/>
          <w:color w:val="000000" w:themeColor="text1"/>
        </w:rPr>
        <w:tab/>
        <w:t xml:space="preserve">Kim NH, Delcroix M, Jenkins DP, </w:t>
      </w:r>
      <w:r w:rsidR="009811A6" w:rsidRPr="00397AA7">
        <w:rPr>
          <w:rFonts w:asciiTheme="minorHAnsi" w:hAnsiTheme="minorHAnsi" w:cstheme="minorHAnsi"/>
          <w:noProof/>
          <w:color w:val="000000" w:themeColor="text1"/>
        </w:rPr>
        <w:t xml:space="preserve">Channick R, Dartevelle P, Jansa P, Lang I, Madani MM, </w:t>
      </w:r>
      <w:r w:rsidR="009811A6" w:rsidRPr="00397AA7">
        <w:rPr>
          <w:rFonts w:asciiTheme="minorHAnsi" w:hAnsiTheme="minorHAnsi" w:cstheme="minorHAnsi"/>
          <w:noProof/>
          <w:color w:val="000000" w:themeColor="text1"/>
        </w:rPr>
        <w:lastRenderedPageBreak/>
        <w:t>Ogino H, Pengo C, Mayer E.</w:t>
      </w:r>
      <w:r w:rsidR="009811A6" w:rsidRPr="00397AA7">
        <w:rPr>
          <w:color w:val="000000" w:themeColor="text1"/>
          <w:sz w:val="28"/>
          <w:szCs w:val="28"/>
        </w:rPr>
        <w:t xml:space="preserve"> </w:t>
      </w:r>
      <w:r w:rsidRPr="00397AA7">
        <w:rPr>
          <w:rFonts w:asciiTheme="minorHAnsi" w:hAnsiTheme="minorHAnsi" w:cstheme="minorHAnsi"/>
          <w:noProof/>
          <w:color w:val="000000" w:themeColor="text1"/>
        </w:rPr>
        <w:t xml:space="preserve">Chronic Thromboembolic Pulmonary Hypertension. </w:t>
      </w:r>
      <w:r w:rsidRPr="00397AA7">
        <w:rPr>
          <w:rFonts w:asciiTheme="minorHAnsi" w:hAnsiTheme="minorHAnsi" w:cstheme="minorHAnsi"/>
          <w:i/>
          <w:iCs/>
          <w:noProof/>
          <w:color w:val="000000" w:themeColor="text1"/>
        </w:rPr>
        <w:t>J Am Coll Cardiol</w:t>
      </w:r>
      <w:r w:rsidR="009811A6" w:rsidRPr="00397AA7">
        <w:rPr>
          <w:rFonts w:asciiTheme="minorHAnsi" w:hAnsiTheme="minorHAnsi" w:cstheme="minorHAnsi"/>
          <w:i/>
          <w:noProof/>
          <w:color w:val="000000" w:themeColor="text1"/>
        </w:rPr>
        <w:t xml:space="preserve"> </w:t>
      </w:r>
      <w:r w:rsidRPr="00397AA7">
        <w:rPr>
          <w:rFonts w:asciiTheme="minorHAnsi" w:hAnsiTheme="minorHAnsi" w:cstheme="minorHAnsi"/>
          <w:noProof/>
          <w:color w:val="000000" w:themeColor="text1"/>
        </w:rPr>
        <w:t xml:space="preserve"> 2013;</w:t>
      </w:r>
      <w:r w:rsidRPr="00397AA7">
        <w:rPr>
          <w:rFonts w:asciiTheme="minorHAnsi" w:hAnsiTheme="minorHAnsi" w:cstheme="minorHAnsi"/>
          <w:b/>
          <w:noProof/>
          <w:color w:val="000000" w:themeColor="text1"/>
        </w:rPr>
        <w:t>62</w:t>
      </w:r>
      <w:r w:rsidRPr="00397AA7">
        <w:rPr>
          <w:rFonts w:asciiTheme="minorHAnsi" w:hAnsiTheme="minorHAnsi" w:cstheme="minorHAnsi"/>
          <w:noProof/>
          <w:color w:val="000000" w:themeColor="text1"/>
        </w:rPr>
        <w:t xml:space="preserve">:92-99. </w:t>
      </w:r>
    </w:p>
    <w:p w14:paraId="7EF58552" w14:textId="77777777" w:rsidR="009811A6" w:rsidRPr="00397AA7" w:rsidRDefault="009811A6" w:rsidP="000D0BB1">
      <w:pPr>
        <w:widowControl w:val="0"/>
        <w:autoSpaceDE w:val="0"/>
        <w:autoSpaceDN w:val="0"/>
        <w:adjustRightInd w:val="0"/>
        <w:spacing w:line="360" w:lineRule="auto"/>
        <w:jc w:val="both"/>
        <w:rPr>
          <w:rFonts w:asciiTheme="minorHAnsi" w:hAnsiTheme="minorHAnsi" w:cstheme="minorHAnsi"/>
          <w:noProof/>
          <w:color w:val="000000" w:themeColor="text1"/>
        </w:rPr>
      </w:pPr>
    </w:p>
    <w:p w14:paraId="6689B2DF" w14:textId="11761B46" w:rsidR="00EF120B" w:rsidRPr="00397AA7" w:rsidRDefault="00EF120B" w:rsidP="000D0BB1">
      <w:pPr>
        <w:spacing w:line="360" w:lineRule="auto"/>
        <w:ind w:left="640" w:hanging="640"/>
        <w:jc w:val="both"/>
        <w:rPr>
          <w:rFonts w:asciiTheme="minorHAnsi" w:hAnsiTheme="minorHAnsi" w:cstheme="minorHAnsi"/>
          <w:color w:val="000000" w:themeColor="text1"/>
          <w:shd w:val="clear" w:color="auto" w:fill="FFFFFF"/>
        </w:rPr>
      </w:pPr>
      <w:r w:rsidRPr="00397AA7">
        <w:rPr>
          <w:rFonts w:asciiTheme="minorHAnsi" w:hAnsiTheme="minorHAnsi" w:cstheme="minorHAnsi"/>
          <w:noProof/>
          <w:color w:val="000000" w:themeColor="text1"/>
        </w:rPr>
        <w:t xml:space="preserve">4. </w:t>
      </w:r>
      <w:r w:rsidRPr="00397AA7">
        <w:rPr>
          <w:rFonts w:asciiTheme="minorHAnsi" w:hAnsiTheme="minorHAnsi" w:cstheme="minorHAnsi"/>
          <w:noProof/>
          <w:color w:val="000000" w:themeColor="text1"/>
        </w:rPr>
        <w:tab/>
        <w:t xml:space="preserve">Henkens IR, Hazenoot T, Boonstra A, Huisman M V., Vonk-Noordegraaf A. Major bleeding with vitamin K antagonist anticoagulants in pulmonary hypertension. </w:t>
      </w:r>
      <w:r w:rsidRPr="00397AA7">
        <w:rPr>
          <w:rFonts w:asciiTheme="minorHAnsi" w:hAnsiTheme="minorHAnsi" w:cstheme="minorHAnsi"/>
          <w:i/>
          <w:iCs/>
          <w:noProof/>
          <w:color w:val="000000" w:themeColor="text1"/>
        </w:rPr>
        <w:t>Eur Respir J</w:t>
      </w:r>
      <w:r w:rsidRPr="00397AA7">
        <w:rPr>
          <w:rFonts w:asciiTheme="minorHAnsi" w:hAnsiTheme="minorHAnsi" w:cstheme="minorHAnsi"/>
          <w:noProof/>
          <w:color w:val="000000" w:themeColor="text1"/>
        </w:rPr>
        <w:t xml:space="preserve"> </w:t>
      </w:r>
      <w:r w:rsidRPr="00397AA7">
        <w:rPr>
          <w:rFonts w:asciiTheme="minorHAnsi" w:hAnsiTheme="minorHAnsi" w:cstheme="minorHAnsi"/>
          <w:color w:val="000000" w:themeColor="text1"/>
          <w:shd w:val="clear" w:color="auto" w:fill="FFFFFF"/>
        </w:rPr>
        <w:t>2013</w:t>
      </w:r>
      <w:r w:rsidR="009811A6" w:rsidRPr="00397AA7">
        <w:rPr>
          <w:rFonts w:asciiTheme="minorHAnsi" w:hAnsiTheme="minorHAnsi" w:cstheme="minorHAnsi"/>
          <w:color w:val="000000" w:themeColor="text1"/>
          <w:shd w:val="clear" w:color="auto" w:fill="FFFFFF"/>
        </w:rPr>
        <w:t>;</w:t>
      </w:r>
      <w:r w:rsidRPr="00397AA7">
        <w:rPr>
          <w:rFonts w:asciiTheme="minorHAnsi" w:hAnsiTheme="minorHAnsi" w:cstheme="minorHAnsi"/>
          <w:color w:val="000000" w:themeColor="text1"/>
          <w:shd w:val="clear" w:color="auto" w:fill="FFFFFF"/>
        </w:rPr>
        <w:t xml:space="preserve"> </w:t>
      </w:r>
      <w:r w:rsidRPr="00397AA7">
        <w:rPr>
          <w:rFonts w:asciiTheme="minorHAnsi" w:hAnsiTheme="minorHAnsi" w:cstheme="minorHAnsi"/>
          <w:b/>
          <w:color w:val="000000" w:themeColor="text1"/>
          <w:shd w:val="clear" w:color="auto" w:fill="FFFFFF"/>
        </w:rPr>
        <w:t>41</w:t>
      </w:r>
      <w:r w:rsidRPr="00397AA7">
        <w:rPr>
          <w:rFonts w:asciiTheme="minorHAnsi" w:hAnsiTheme="minorHAnsi" w:cstheme="minorHAnsi"/>
          <w:color w:val="000000" w:themeColor="text1"/>
          <w:shd w:val="clear" w:color="auto" w:fill="FFFFFF"/>
        </w:rPr>
        <w:t>:</w:t>
      </w:r>
      <w:r w:rsidR="009811A6" w:rsidRPr="00397AA7">
        <w:rPr>
          <w:rFonts w:asciiTheme="minorHAnsi" w:hAnsiTheme="minorHAnsi" w:cstheme="minorHAnsi"/>
          <w:color w:val="000000" w:themeColor="text1"/>
          <w:shd w:val="clear" w:color="auto" w:fill="FFFFFF"/>
        </w:rPr>
        <w:t xml:space="preserve"> </w:t>
      </w:r>
      <w:r w:rsidRPr="00397AA7">
        <w:rPr>
          <w:rFonts w:asciiTheme="minorHAnsi" w:hAnsiTheme="minorHAnsi" w:cstheme="minorHAnsi"/>
          <w:color w:val="000000" w:themeColor="text1"/>
          <w:shd w:val="clear" w:color="auto" w:fill="FFFFFF"/>
        </w:rPr>
        <w:t>872-8</w:t>
      </w:r>
    </w:p>
    <w:p w14:paraId="00ADC307" w14:textId="77777777" w:rsidR="009811A6" w:rsidRPr="00397AA7" w:rsidRDefault="009811A6" w:rsidP="000D0BB1">
      <w:pPr>
        <w:spacing w:line="360" w:lineRule="auto"/>
        <w:ind w:left="640" w:hanging="640"/>
        <w:jc w:val="both"/>
        <w:rPr>
          <w:rFonts w:asciiTheme="minorHAnsi" w:hAnsiTheme="minorHAnsi" w:cstheme="minorHAnsi"/>
          <w:noProof/>
          <w:color w:val="000000" w:themeColor="text1"/>
        </w:rPr>
      </w:pPr>
    </w:p>
    <w:p w14:paraId="15D3813C" w14:textId="3C7E6952" w:rsidR="00EF120B" w:rsidRPr="00397AA7" w:rsidRDefault="00EF120B" w:rsidP="000D0BB1">
      <w:pPr>
        <w:spacing w:line="360" w:lineRule="auto"/>
        <w:ind w:left="640" w:hanging="640"/>
        <w:jc w:val="both"/>
        <w:rPr>
          <w:rFonts w:asciiTheme="minorHAnsi" w:hAnsiTheme="minorHAnsi" w:cstheme="minorHAnsi"/>
          <w:noProof/>
          <w:color w:val="000000" w:themeColor="text1"/>
        </w:rPr>
      </w:pPr>
      <w:r w:rsidRPr="00397AA7">
        <w:rPr>
          <w:rFonts w:asciiTheme="minorHAnsi" w:hAnsiTheme="minorHAnsi" w:cstheme="minorHAnsi"/>
          <w:noProof/>
          <w:color w:val="000000" w:themeColor="text1"/>
        </w:rPr>
        <w:t xml:space="preserve">5. </w:t>
      </w:r>
      <w:r w:rsidRPr="00397AA7">
        <w:rPr>
          <w:rFonts w:asciiTheme="minorHAnsi" w:hAnsiTheme="minorHAnsi" w:cstheme="minorHAnsi"/>
          <w:noProof/>
          <w:color w:val="000000" w:themeColor="text1"/>
        </w:rPr>
        <w:tab/>
        <w:t xml:space="preserve">Jujo-Sanada T, Tanabe N, Sakao S, </w:t>
      </w:r>
      <w:r w:rsidR="009811A6" w:rsidRPr="00397AA7">
        <w:rPr>
          <w:rFonts w:asciiTheme="minorHAnsi" w:hAnsiTheme="minorHAnsi" w:cstheme="minorHAnsi"/>
          <w:noProof/>
          <w:color w:val="000000" w:themeColor="text1"/>
        </w:rPr>
        <w:t>Sugiura T, Sekine A, Nishimura R, Suda R, Naito A, Miwal H, Yamamoto K, Sasaki A, Matsumura</w:t>
      </w:r>
      <w:r w:rsidR="00FA5046" w:rsidRPr="00397AA7">
        <w:rPr>
          <w:rFonts w:asciiTheme="minorHAnsi" w:hAnsiTheme="minorHAnsi" w:cstheme="minorHAnsi"/>
          <w:noProof/>
          <w:color w:val="000000" w:themeColor="text1"/>
        </w:rPr>
        <w:t xml:space="preserve"> A, Ema R, Kasai H, Kato F, Tatsumi K.</w:t>
      </w:r>
      <w:r w:rsidRPr="00397AA7">
        <w:rPr>
          <w:rFonts w:asciiTheme="minorHAnsi" w:hAnsiTheme="minorHAnsi" w:cstheme="minorHAnsi"/>
          <w:noProof/>
          <w:color w:val="000000" w:themeColor="text1"/>
        </w:rPr>
        <w:t xml:space="preserve">The anticoagulant effects of warfarin and the bleeding risk associated with its use in patients with chronic thromboembolic pulmonary hypertension at a specialist center in Japan: A retrospective cohort study. </w:t>
      </w:r>
      <w:r w:rsidRPr="00397AA7">
        <w:rPr>
          <w:rFonts w:asciiTheme="minorHAnsi" w:hAnsiTheme="minorHAnsi" w:cstheme="minorHAnsi"/>
          <w:i/>
          <w:iCs/>
          <w:noProof/>
          <w:color w:val="000000" w:themeColor="text1"/>
        </w:rPr>
        <w:t>Pulm Circ</w:t>
      </w:r>
      <w:r w:rsidRPr="00397AA7">
        <w:rPr>
          <w:rFonts w:asciiTheme="minorHAnsi" w:hAnsiTheme="minorHAnsi" w:cstheme="minorHAnsi"/>
          <w:noProof/>
          <w:color w:val="000000" w:themeColor="text1"/>
        </w:rPr>
        <w:t xml:space="preserve"> 2017</w:t>
      </w:r>
      <w:r w:rsidRPr="00397AA7">
        <w:rPr>
          <w:rFonts w:asciiTheme="minorHAnsi" w:hAnsiTheme="minorHAnsi" w:cstheme="minorHAnsi"/>
          <w:color w:val="000000" w:themeColor="text1"/>
          <w:shd w:val="clear" w:color="auto" w:fill="FFFFFF"/>
        </w:rPr>
        <w:t>;</w:t>
      </w:r>
      <w:r w:rsidRPr="00397AA7">
        <w:rPr>
          <w:rFonts w:asciiTheme="minorHAnsi" w:hAnsiTheme="minorHAnsi" w:cstheme="minorHAnsi"/>
          <w:b/>
          <w:color w:val="000000" w:themeColor="text1"/>
          <w:shd w:val="clear" w:color="auto" w:fill="FFFFFF"/>
        </w:rPr>
        <w:t xml:space="preserve"> 7</w:t>
      </w:r>
      <w:r w:rsidRPr="00397AA7">
        <w:rPr>
          <w:rFonts w:asciiTheme="minorHAnsi" w:hAnsiTheme="minorHAnsi" w:cstheme="minorHAnsi"/>
          <w:color w:val="000000" w:themeColor="text1"/>
          <w:shd w:val="clear" w:color="auto" w:fill="FFFFFF"/>
        </w:rPr>
        <w:t>: 684–691.</w:t>
      </w:r>
    </w:p>
    <w:p w14:paraId="612AA519" w14:textId="77777777" w:rsidR="009811A6" w:rsidRPr="00397AA7" w:rsidRDefault="009811A6" w:rsidP="000D0BB1">
      <w:pPr>
        <w:spacing w:line="360" w:lineRule="auto"/>
        <w:jc w:val="both"/>
        <w:rPr>
          <w:rFonts w:asciiTheme="minorHAnsi" w:hAnsiTheme="minorHAnsi" w:cstheme="minorHAnsi"/>
          <w:noProof/>
          <w:color w:val="000000" w:themeColor="text1"/>
        </w:rPr>
      </w:pPr>
    </w:p>
    <w:p w14:paraId="6E11977C" w14:textId="25C8EBC7" w:rsidR="00EF120B" w:rsidRPr="00397AA7" w:rsidRDefault="00EF120B" w:rsidP="000D0BB1">
      <w:pPr>
        <w:spacing w:line="360" w:lineRule="auto"/>
        <w:ind w:left="640" w:hanging="640"/>
        <w:jc w:val="both"/>
        <w:rPr>
          <w:rFonts w:asciiTheme="minorHAnsi" w:hAnsiTheme="minorHAnsi" w:cstheme="minorHAnsi"/>
          <w:color w:val="000000" w:themeColor="text1"/>
        </w:rPr>
      </w:pPr>
      <w:r w:rsidRPr="00397AA7">
        <w:rPr>
          <w:rFonts w:asciiTheme="minorHAnsi" w:hAnsiTheme="minorHAnsi" w:cstheme="minorHAnsi"/>
          <w:color w:val="000000" w:themeColor="text1"/>
        </w:rPr>
        <w:t>6.</w:t>
      </w:r>
      <w:r w:rsidRPr="00397AA7">
        <w:rPr>
          <w:rFonts w:asciiTheme="minorHAnsi" w:hAnsiTheme="minorHAnsi" w:cstheme="minorHAnsi"/>
          <w:color w:val="000000" w:themeColor="text1"/>
        </w:rPr>
        <w:tab/>
        <w:t>National Institute for Health and C</w:t>
      </w:r>
      <w:r w:rsidR="00FA5046" w:rsidRPr="00397AA7">
        <w:rPr>
          <w:rFonts w:asciiTheme="minorHAnsi" w:hAnsiTheme="minorHAnsi" w:cstheme="minorHAnsi"/>
          <w:color w:val="000000" w:themeColor="text1"/>
        </w:rPr>
        <w:t>are</w:t>
      </w:r>
      <w:r w:rsidRPr="00397AA7">
        <w:rPr>
          <w:rFonts w:asciiTheme="minorHAnsi" w:hAnsiTheme="minorHAnsi" w:cstheme="minorHAnsi"/>
          <w:color w:val="000000" w:themeColor="text1"/>
        </w:rPr>
        <w:t xml:space="preserve"> Excellence. Rivaroxaban for the treatment of deep vein thrombosis and prevention of recurrent deep vein thrombosis and pulmonary embolism. </w:t>
      </w:r>
      <w:r w:rsidR="00FA5046" w:rsidRPr="00397AA7">
        <w:rPr>
          <w:rFonts w:asciiTheme="minorHAnsi" w:hAnsiTheme="minorHAnsi" w:cstheme="minorHAnsi"/>
          <w:i/>
          <w:color w:val="000000" w:themeColor="text1"/>
        </w:rPr>
        <w:t>Guidance and G</w:t>
      </w:r>
      <w:r w:rsidRPr="00397AA7">
        <w:rPr>
          <w:rFonts w:asciiTheme="minorHAnsi" w:hAnsiTheme="minorHAnsi" w:cstheme="minorHAnsi"/>
          <w:i/>
          <w:color w:val="000000" w:themeColor="text1"/>
        </w:rPr>
        <w:t>uideline</w:t>
      </w:r>
      <w:r w:rsidR="00FA5046" w:rsidRPr="00397AA7">
        <w:rPr>
          <w:rFonts w:asciiTheme="minorHAnsi" w:hAnsiTheme="minorHAnsi" w:cstheme="minorHAnsi"/>
          <w:i/>
          <w:color w:val="000000" w:themeColor="text1"/>
        </w:rPr>
        <w:t>s. NICE</w:t>
      </w:r>
      <w:r w:rsidR="00FA5046" w:rsidRPr="00397AA7">
        <w:rPr>
          <w:rFonts w:asciiTheme="minorHAnsi" w:hAnsiTheme="minorHAnsi" w:cstheme="minorHAnsi"/>
          <w:color w:val="000000" w:themeColor="text1"/>
        </w:rPr>
        <w:t xml:space="preserve"> 2012;</w:t>
      </w:r>
      <w:r w:rsidRPr="00397AA7">
        <w:rPr>
          <w:rFonts w:asciiTheme="minorHAnsi" w:hAnsiTheme="minorHAnsi" w:cstheme="minorHAnsi"/>
          <w:color w:val="000000" w:themeColor="text1"/>
        </w:rPr>
        <w:t xml:space="preserve"> TA261</w:t>
      </w:r>
    </w:p>
    <w:p w14:paraId="3B8D925E" w14:textId="615D814C" w:rsidR="00FA5046" w:rsidRPr="00397AA7" w:rsidRDefault="00FA5046" w:rsidP="000D0BB1">
      <w:pPr>
        <w:spacing w:line="360" w:lineRule="auto"/>
        <w:ind w:left="640" w:hanging="640"/>
        <w:jc w:val="both"/>
        <w:rPr>
          <w:rFonts w:asciiTheme="minorHAnsi" w:hAnsiTheme="minorHAnsi" w:cstheme="minorHAnsi"/>
          <w:color w:val="000000" w:themeColor="text1"/>
        </w:rPr>
      </w:pPr>
    </w:p>
    <w:p w14:paraId="48DD5A34" w14:textId="650C775D" w:rsidR="00FA5046" w:rsidRPr="00397AA7" w:rsidRDefault="00FA5046" w:rsidP="000D0BB1">
      <w:pPr>
        <w:spacing w:line="360" w:lineRule="auto"/>
        <w:ind w:left="640" w:hanging="640"/>
        <w:jc w:val="both"/>
        <w:rPr>
          <w:rFonts w:asciiTheme="minorHAnsi" w:hAnsiTheme="minorHAnsi" w:cstheme="minorHAnsi"/>
          <w:color w:val="000000" w:themeColor="text1"/>
        </w:rPr>
      </w:pPr>
      <w:r w:rsidRPr="00397AA7">
        <w:rPr>
          <w:rFonts w:asciiTheme="minorHAnsi" w:hAnsiTheme="minorHAnsi" w:cstheme="minorHAnsi"/>
          <w:color w:val="000000" w:themeColor="text1"/>
        </w:rPr>
        <w:t>7.</w:t>
      </w:r>
      <w:r w:rsidRPr="00397AA7">
        <w:rPr>
          <w:rFonts w:asciiTheme="minorHAnsi" w:hAnsiTheme="minorHAnsi" w:cstheme="minorHAnsi"/>
          <w:color w:val="000000" w:themeColor="text1"/>
        </w:rPr>
        <w:tab/>
        <w:t xml:space="preserve">National Institute for Health and Care Excellence. Apixaban for the treatment and secondary prevention of deep vein thrombosis and/or pulmonary embolism. </w:t>
      </w:r>
      <w:r w:rsidRPr="00397AA7">
        <w:rPr>
          <w:rFonts w:asciiTheme="minorHAnsi" w:hAnsiTheme="minorHAnsi" w:cstheme="minorHAnsi"/>
          <w:i/>
          <w:color w:val="000000" w:themeColor="text1"/>
        </w:rPr>
        <w:t>Guidance and Guidelines. NICE</w:t>
      </w:r>
      <w:r w:rsidRPr="00397AA7">
        <w:rPr>
          <w:rFonts w:asciiTheme="minorHAnsi" w:hAnsiTheme="minorHAnsi" w:cstheme="minorHAnsi"/>
          <w:color w:val="000000" w:themeColor="text1"/>
        </w:rPr>
        <w:t xml:space="preserve"> 2015; TA341</w:t>
      </w:r>
    </w:p>
    <w:p w14:paraId="5B363007" w14:textId="254990B2" w:rsidR="00FA5046" w:rsidRPr="00397AA7" w:rsidRDefault="00FA5046" w:rsidP="000D0BB1">
      <w:pPr>
        <w:spacing w:line="360" w:lineRule="auto"/>
        <w:ind w:left="640" w:hanging="640"/>
        <w:jc w:val="both"/>
        <w:rPr>
          <w:rFonts w:asciiTheme="minorHAnsi" w:hAnsiTheme="minorHAnsi" w:cstheme="minorHAnsi"/>
          <w:color w:val="000000" w:themeColor="text1"/>
        </w:rPr>
      </w:pPr>
    </w:p>
    <w:p w14:paraId="4562315E" w14:textId="08063FB3" w:rsidR="00FA5046" w:rsidRPr="00397AA7" w:rsidRDefault="00FA5046" w:rsidP="000D0BB1">
      <w:pPr>
        <w:spacing w:line="360" w:lineRule="auto"/>
        <w:ind w:left="640" w:hanging="640"/>
        <w:jc w:val="both"/>
        <w:rPr>
          <w:rFonts w:asciiTheme="minorHAnsi" w:hAnsiTheme="minorHAnsi" w:cstheme="minorHAnsi"/>
          <w:color w:val="000000" w:themeColor="text1"/>
        </w:rPr>
      </w:pPr>
      <w:r w:rsidRPr="00397AA7">
        <w:rPr>
          <w:rFonts w:asciiTheme="minorHAnsi" w:hAnsiTheme="minorHAnsi" w:cstheme="minorHAnsi"/>
          <w:color w:val="000000" w:themeColor="text1"/>
        </w:rPr>
        <w:t>8.</w:t>
      </w:r>
      <w:r w:rsidRPr="00397AA7">
        <w:rPr>
          <w:rFonts w:asciiTheme="minorHAnsi" w:hAnsiTheme="minorHAnsi" w:cstheme="minorHAnsi"/>
          <w:color w:val="000000" w:themeColor="text1"/>
        </w:rPr>
        <w:tab/>
        <w:t xml:space="preserve">National Institute for Health and Care Excellence. Dabigatran etexilate for the treatment and secondary prevention of deep vein thrombosis and/or pulmonary embolism. </w:t>
      </w:r>
      <w:r w:rsidRPr="00397AA7">
        <w:rPr>
          <w:rFonts w:asciiTheme="minorHAnsi" w:hAnsiTheme="minorHAnsi" w:cstheme="minorHAnsi"/>
          <w:i/>
          <w:color w:val="000000" w:themeColor="text1"/>
        </w:rPr>
        <w:t>Guidance and Guidelines. NICE</w:t>
      </w:r>
      <w:r w:rsidRPr="00397AA7">
        <w:rPr>
          <w:rFonts w:asciiTheme="minorHAnsi" w:hAnsiTheme="minorHAnsi" w:cstheme="minorHAnsi"/>
          <w:color w:val="000000" w:themeColor="text1"/>
        </w:rPr>
        <w:t xml:space="preserve"> 2014; TA327.</w:t>
      </w:r>
    </w:p>
    <w:p w14:paraId="7D2ACB84" w14:textId="77777777" w:rsidR="00FA5046" w:rsidRPr="00397AA7" w:rsidRDefault="00FA5046" w:rsidP="000D0BB1">
      <w:pPr>
        <w:spacing w:line="360" w:lineRule="auto"/>
        <w:ind w:firstLine="640"/>
        <w:jc w:val="both"/>
        <w:rPr>
          <w:rFonts w:asciiTheme="minorHAnsi" w:hAnsiTheme="minorHAnsi" w:cstheme="minorHAnsi"/>
          <w:color w:val="000000" w:themeColor="text1"/>
        </w:rPr>
      </w:pPr>
    </w:p>
    <w:p w14:paraId="7E36CBAB" w14:textId="08401EB6" w:rsidR="00EF120B" w:rsidRPr="00397AA7" w:rsidRDefault="00EF120B" w:rsidP="000D0BB1">
      <w:pPr>
        <w:spacing w:line="360" w:lineRule="auto"/>
        <w:ind w:left="640" w:hanging="640"/>
        <w:jc w:val="both"/>
        <w:rPr>
          <w:rFonts w:asciiTheme="minorHAnsi" w:hAnsiTheme="minorHAnsi" w:cstheme="minorHAnsi"/>
          <w:color w:val="000000" w:themeColor="text1"/>
        </w:rPr>
      </w:pPr>
      <w:r w:rsidRPr="00397AA7">
        <w:rPr>
          <w:rFonts w:asciiTheme="minorHAnsi" w:hAnsiTheme="minorHAnsi" w:cstheme="minorHAnsi"/>
          <w:color w:val="000000" w:themeColor="text1"/>
        </w:rPr>
        <w:t>9</w:t>
      </w:r>
      <w:r w:rsidRPr="00397AA7">
        <w:rPr>
          <w:rFonts w:asciiTheme="minorHAnsi" w:hAnsiTheme="minorHAnsi" w:cstheme="minorHAnsi"/>
          <w:i/>
          <w:color w:val="000000" w:themeColor="text1"/>
        </w:rPr>
        <w:t>.</w:t>
      </w:r>
      <w:r w:rsidRPr="00397AA7">
        <w:rPr>
          <w:rFonts w:asciiTheme="minorHAnsi" w:hAnsiTheme="minorHAnsi" w:cstheme="minorHAnsi"/>
          <w:i/>
          <w:color w:val="000000" w:themeColor="text1"/>
        </w:rPr>
        <w:tab/>
      </w:r>
      <w:r w:rsidRPr="00397AA7">
        <w:rPr>
          <w:rFonts w:asciiTheme="minorHAnsi" w:hAnsiTheme="minorHAnsi" w:cstheme="minorHAnsi"/>
          <w:color w:val="000000" w:themeColor="text1"/>
        </w:rPr>
        <w:t xml:space="preserve">National Institute for Health and Care Excellence. Edoxaban for treating and for preventing deep vein thrombosis and pulmonary embolism. </w:t>
      </w:r>
      <w:r w:rsidR="006D484B" w:rsidRPr="00397AA7">
        <w:rPr>
          <w:rFonts w:asciiTheme="minorHAnsi" w:hAnsiTheme="minorHAnsi" w:cstheme="minorHAnsi"/>
          <w:i/>
          <w:color w:val="000000" w:themeColor="text1"/>
        </w:rPr>
        <w:t xml:space="preserve">Guidance and Guidelines. </w:t>
      </w:r>
      <w:r w:rsidRPr="00397AA7">
        <w:rPr>
          <w:rFonts w:asciiTheme="minorHAnsi" w:hAnsiTheme="minorHAnsi" w:cstheme="minorHAnsi"/>
          <w:i/>
          <w:color w:val="000000" w:themeColor="text1"/>
        </w:rPr>
        <w:t>NICE</w:t>
      </w:r>
      <w:r w:rsidRPr="00397AA7">
        <w:rPr>
          <w:rFonts w:asciiTheme="minorHAnsi" w:hAnsiTheme="minorHAnsi" w:cstheme="minorHAnsi"/>
          <w:color w:val="000000" w:themeColor="text1"/>
        </w:rPr>
        <w:t xml:space="preserve"> </w:t>
      </w:r>
      <w:r w:rsidR="006D484B" w:rsidRPr="00397AA7">
        <w:rPr>
          <w:rFonts w:asciiTheme="minorHAnsi" w:hAnsiTheme="minorHAnsi" w:cstheme="minorHAnsi"/>
          <w:color w:val="000000" w:themeColor="text1"/>
        </w:rPr>
        <w:t>2015;</w:t>
      </w:r>
      <w:r w:rsidRPr="00397AA7">
        <w:rPr>
          <w:rFonts w:asciiTheme="minorHAnsi" w:hAnsiTheme="minorHAnsi" w:cstheme="minorHAnsi"/>
          <w:color w:val="000000" w:themeColor="text1"/>
        </w:rPr>
        <w:t xml:space="preserve"> TA354.</w:t>
      </w:r>
    </w:p>
    <w:p w14:paraId="5A4AF0D7" w14:textId="77777777" w:rsidR="00FA5046" w:rsidRPr="00397AA7" w:rsidRDefault="00FA5046" w:rsidP="000D0BB1">
      <w:pPr>
        <w:spacing w:line="360" w:lineRule="auto"/>
        <w:ind w:left="640" w:hanging="640"/>
        <w:jc w:val="both"/>
        <w:rPr>
          <w:rFonts w:asciiTheme="minorHAnsi" w:hAnsiTheme="minorHAnsi" w:cstheme="minorHAnsi"/>
          <w:i/>
          <w:color w:val="000000" w:themeColor="text1"/>
        </w:rPr>
      </w:pPr>
    </w:p>
    <w:p w14:paraId="1730579C" w14:textId="6FBE8F26" w:rsidR="00EF120B" w:rsidRPr="00397AA7" w:rsidRDefault="00EF120B" w:rsidP="000D0BB1">
      <w:pPr>
        <w:widowControl w:val="0"/>
        <w:autoSpaceDE w:val="0"/>
        <w:autoSpaceDN w:val="0"/>
        <w:adjustRightInd w:val="0"/>
        <w:spacing w:line="360" w:lineRule="auto"/>
        <w:ind w:left="640" w:hanging="640"/>
        <w:jc w:val="both"/>
        <w:rPr>
          <w:rFonts w:asciiTheme="minorHAnsi" w:hAnsiTheme="minorHAnsi" w:cstheme="minorHAnsi"/>
          <w:noProof/>
          <w:color w:val="000000" w:themeColor="text1"/>
        </w:rPr>
      </w:pPr>
      <w:r w:rsidRPr="00397AA7">
        <w:rPr>
          <w:rFonts w:asciiTheme="minorHAnsi" w:hAnsiTheme="minorHAnsi" w:cstheme="minorHAnsi"/>
          <w:color w:val="000000" w:themeColor="text1"/>
        </w:rPr>
        <w:t>10.</w:t>
      </w:r>
      <w:r w:rsidRPr="00397AA7">
        <w:rPr>
          <w:rFonts w:asciiTheme="minorHAnsi" w:hAnsiTheme="minorHAnsi" w:cstheme="minorHAnsi"/>
          <w:color w:val="000000" w:themeColor="text1"/>
        </w:rPr>
        <w:tab/>
      </w:r>
      <w:r w:rsidRPr="00397AA7">
        <w:rPr>
          <w:rFonts w:asciiTheme="minorHAnsi" w:hAnsiTheme="minorHAnsi" w:cstheme="minorHAnsi"/>
          <w:noProof/>
          <w:color w:val="000000" w:themeColor="text1"/>
        </w:rPr>
        <w:t>Schulman S, Kakkar AK, Goldhaber SZ,</w:t>
      </w:r>
      <w:r w:rsidR="006D484B" w:rsidRPr="00397AA7">
        <w:rPr>
          <w:rFonts w:asciiTheme="minorHAnsi" w:hAnsiTheme="minorHAnsi" w:cstheme="minorHAnsi"/>
          <w:noProof/>
          <w:color w:val="000000" w:themeColor="text1"/>
        </w:rPr>
        <w:t xml:space="preserve"> Schellong S, Eriksson H, Mismetti P, Christiansen AV, Friedman J, Le Maulf F, Peter N, Kearon C; RE-COVER II Trial Investigators</w:t>
      </w:r>
      <w:r w:rsidRPr="00397AA7">
        <w:rPr>
          <w:rFonts w:asciiTheme="minorHAnsi" w:hAnsiTheme="minorHAnsi" w:cstheme="minorHAnsi"/>
          <w:noProof/>
          <w:color w:val="000000" w:themeColor="text1"/>
        </w:rPr>
        <w:t xml:space="preserve">. Treatment of acute venous thromboembolism with dabigatran or warfarin and pooled </w:t>
      </w:r>
      <w:r w:rsidRPr="00397AA7">
        <w:rPr>
          <w:rFonts w:asciiTheme="minorHAnsi" w:hAnsiTheme="minorHAnsi" w:cstheme="minorHAnsi"/>
          <w:noProof/>
          <w:color w:val="000000" w:themeColor="text1"/>
        </w:rPr>
        <w:lastRenderedPageBreak/>
        <w:t xml:space="preserve">analysis. </w:t>
      </w:r>
      <w:r w:rsidRPr="00397AA7">
        <w:rPr>
          <w:rFonts w:asciiTheme="minorHAnsi" w:hAnsiTheme="minorHAnsi" w:cstheme="minorHAnsi"/>
          <w:i/>
          <w:iCs/>
          <w:noProof/>
          <w:color w:val="000000" w:themeColor="text1"/>
        </w:rPr>
        <w:t>Circulation</w:t>
      </w:r>
      <w:r w:rsidRPr="00397AA7">
        <w:rPr>
          <w:rFonts w:asciiTheme="minorHAnsi" w:hAnsiTheme="minorHAnsi" w:cstheme="minorHAnsi"/>
          <w:noProof/>
          <w:color w:val="000000" w:themeColor="text1"/>
        </w:rPr>
        <w:t xml:space="preserve"> 2014;</w:t>
      </w:r>
      <w:r w:rsidRPr="00397AA7">
        <w:rPr>
          <w:rFonts w:asciiTheme="minorHAnsi" w:hAnsiTheme="minorHAnsi" w:cstheme="minorHAnsi"/>
          <w:b/>
          <w:noProof/>
          <w:color w:val="000000" w:themeColor="text1"/>
        </w:rPr>
        <w:t>129</w:t>
      </w:r>
      <w:r w:rsidR="006D484B" w:rsidRPr="00397AA7">
        <w:rPr>
          <w:rFonts w:asciiTheme="minorHAnsi" w:hAnsiTheme="minorHAnsi" w:cstheme="minorHAnsi"/>
          <w:noProof/>
          <w:color w:val="000000" w:themeColor="text1"/>
        </w:rPr>
        <w:t>:</w:t>
      </w:r>
      <w:r w:rsidRPr="00397AA7">
        <w:rPr>
          <w:rFonts w:asciiTheme="minorHAnsi" w:hAnsiTheme="minorHAnsi" w:cstheme="minorHAnsi"/>
          <w:noProof/>
          <w:color w:val="000000" w:themeColor="text1"/>
        </w:rPr>
        <w:t xml:space="preserve">764-772. </w:t>
      </w:r>
    </w:p>
    <w:p w14:paraId="5729F2BB" w14:textId="77777777" w:rsidR="006D484B" w:rsidRPr="00397AA7" w:rsidRDefault="006D484B" w:rsidP="000D0BB1">
      <w:pPr>
        <w:widowControl w:val="0"/>
        <w:autoSpaceDE w:val="0"/>
        <w:autoSpaceDN w:val="0"/>
        <w:adjustRightInd w:val="0"/>
        <w:spacing w:line="360" w:lineRule="auto"/>
        <w:jc w:val="both"/>
        <w:rPr>
          <w:rFonts w:asciiTheme="minorHAnsi" w:hAnsiTheme="minorHAnsi" w:cstheme="minorHAnsi"/>
          <w:noProof/>
          <w:color w:val="000000" w:themeColor="text1"/>
        </w:rPr>
      </w:pPr>
    </w:p>
    <w:p w14:paraId="349DB225" w14:textId="0AD7A106" w:rsidR="00EF120B" w:rsidRPr="00397AA7" w:rsidRDefault="00EF120B" w:rsidP="000D0BB1">
      <w:pPr>
        <w:widowControl w:val="0"/>
        <w:autoSpaceDE w:val="0"/>
        <w:autoSpaceDN w:val="0"/>
        <w:adjustRightInd w:val="0"/>
        <w:spacing w:line="360" w:lineRule="auto"/>
        <w:ind w:left="640" w:hanging="640"/>
        <w:jc w:val="both"/>
        <w:rPr>
          <w:rFonts w:asciiTheme="minorHAnsi" w:hAnsiTheme="minorHAnsi" w:cstheme="minorHAnsi"/>
          <w:noProof/>
          <w:color w:val="000000" w:themeColor="text1"/>
        </w:rPr>
      </w:pPr>
      <w:r w:rsidRPr="00397AA7">
        <w:rPr>
          <w:rFonts w:asciiTheme="minorHAnsi" w:hAnsiTheme="minorHAnsi" w:cstheme="minorHAnsi"/>
          <w:noProof/>
          <w:color w:val="000000" w:themeColor="text1"/>
        </w:rPr>
        <w:t xml:space="preserve">11. </w:t>
      </w:r>
      <w:r w:rsidRPr="00397AA7">
        <w:rPr>
          <w:rFonts w:asciiTheme="minorHAnsi" w:hAnsiTheme="minorHAnsi" w:cstheme="minorHAnsi"/>
          <w:noProof/>
          <w:color w:val="000000" w:themeColor="text1"/>
        </w:rPr>
        <w:tab/>
        <w:t>Van Es N, Coppens M, Schulman S, Middeldorp S, Büller HR. Direct oral anticoagulants compared with vitamin K antagonists for acute venous thromboembolism: Evidence from phase 3 trials.</w:t>
      </w:r>
      <w:r w:rsidRPr="00397AA7">
        <w:rPr>
          <w:rFonts w:asciiTheme="minorHAnsi" w:hAnsiTheme="minorHAnsi" w:cstheme="minorHAnsi"/>
          <w:i/>
          <w:noProof/>
          <w:color w:val="000000" w:themeColor="text1"/>
        </w:rPr>
        <w:t xml:space="preserve"> </w:t>
      </w:r>
      <w:r w:rsidRPr="00397AA7">
        <w:rPr>
          <w:rFonts w:asciiTheme="minorHAnsi" w:hAnsiTheme="minorHAnsi" w:cstheme="minorHAnsi"/>
          <w:i/>
          <w:iCs/>
          <w:noProof/>
          <w:color w:val="000000" w:themeColor="text1"/>
        </w:rPr>
        <w:t>Blood</w:t>
      </w:r>
      <w:r w:rsidRPr="00397AA7">
        <w:rPr>
          <w:rFonts w:asciiTheme="minorHAnsi" w:hAnsiTheme="minorHAnsi" w:cstheme="minorHAnsi"/>
          <w:noProof/>
          <w:color w:val="000000" w:themeColor="text1"/>
        </w:rPr>
        <w:t xml:space="preserve"> 2014;</w:t>
      </w:r>
      <w:r w:rsidRPr="00397AA7">
        <w:rPr>
          <w:rFonts w:asciiTheme="minorHAnsi" w:hAnsiTheme="minorHAnsi" w:cstheme="minorHAnsi"/>
          <w:b/>
          <w:noProof/>
          <w:color w:val="000000" w:themeColor="text1"/>
        </w:rPr>
        <w:t>124</w:t>
      </w:r>
      <w:r w:rsidRPr="00397AA7">
        <w:rPr>
          <w:rFonts w:asciiTheme="minorHAnsi" w:hAnsiTheme="minorHAnsi" w:cstheme="minorHAnsi"/>
          <w:noProof/>
          <w:color w:val="000000" w:themeColor="text1"/>
        </w:rPr>
        <w:t xml:space="preserve">:1968-1975. </w:t>
      </w:r>
    </w:p>
    <w:p w14:paraId="50619E58" w14:textId="4C046F35" w:rsidR="006D484B" w:rsidRPr="00397AA7" w:rsidRDefault="006D484B" w:rsidP="000D0BB1">
      <w:pPr>
        <w:widowControl w:val="0"/>
        <w:autoSpaceDE w:val="0"/>
        <w:autoSpaceDN w:val="0"/>
        <w:adjustRightInd w:val="0"/>
        <w:spacing w:line="360" w:lineRule="auto"/>
        <w:ind w:left="640" w:hanging="640"/>
        <w:jc w:val="both"/>
        <w:rPr>
          <w:rFonts w:asciiTheme="minorHAnsi" w:hAnsiTheme="minorHAnsi" w:cstheme="minorHAnsi"/>
          <w:noProof/>
          <w:color w:val="000000" w:themeColor="text1"/>
        </w:rPr>
      </w:pPr>
    </w:p>
    <w:p w14:paraId="20C8114E" w14:textId="11D89B15" w:rsidR="00EF120B" w:rsidRPr="00397AA7" w:rsidRDefault="00EF120B" w:rsidP="000D0BB1">
      <w:pPr>
        <w:spacing w:line="360" w:lineRule="auto"/>
        <w:ind w:left="640" w:hanging="640"/>
        <w:jc w:val="both"/>
        <w:rPr>
          <w:rFonts w:asciiTheme="minorHAnsi" w:hAnsiTheme="minorHAnsi" w:cstheme="minorHAnsi"/>
          <w:color w:val="000000" w:themeColor="text1"/>
        </w:rPr>
      </w:pPr>
      <w:r w:rsidRPr="00397AA7">
        <w:rPr>
          <w:rFonts w:asciiTheme="minorHAnsi" w:hAnsiTheme="minorHAnsi" w:cstheme="minorHAnsi"/>
          <w:noProof/>
          <w:color w:val="000000" w:themeColor="text1"/>
        </w:rPr>
        <w:t xml:space="preserve">12. </w:t>
      </w:r>
      <w:r w:rsidRPr="00397AA7">
        <w:rPr>
          <w:rFonts w:asciiTheme="minorHAnsi" w:hAnsiTheme="minorHAnsi" w:cstheme="minorHAnsi"/>
          <w:noProof/>
          <w:color w:val="000000" w:themeColor="text1"/>
        </w:rPr>
        <w:tab/>
      </w:r>
      <w:hyperlink r:id="rId9" w:history="1">
        <w:r w:rsidR="003807E3" w:rsidRPr="00397AA7">
          <w:rPr>
            <w:rStyle w:val="Hyperlink"/>
            <w:rFonts w:asciiTheme="minorHAnsi" w:hAnsiTheme="minorHAnsi" w:cstheme="minorHAnsi"/>
            <w:color w:val="000000" w:themeColor="text1"/>
            <w:u w:val="none"/>
            <w:shd w:val="clear" w:color="auto" w:fill="FFFFFF"/>
          </w:rPr>
          <w:t>Hokusai-VTE Investigators</w:t>
        </w:r>
      </w:hyperlink>
      <w:r w:rsidR="003807E3" w:rsidRPr="00397AA7">
        <w:rPr>
          <w:rFonts w:asciiTheme="minorHAnsi" w:hAnsiTheme="minorHAnsi" w:cstheme="minorHAnsi"/>
          <w:color w:val="000000" w:themeColor="text1"/>
          <w:shd w:val="clear" w:color="auto" w:fill="FFFFFF"/>
        </w:rPr>
        <w:t>, </w:t>
      </w:r>
      <w:hyperlink r:id="rId10" w:history="1">
        <w:r w:rsidR="003807E3" w:rsidRPr="00397AA7">
          <w:rPr>
            <w:rStyle w:val="Hyperlink"/>
            <w:rFonts w:asciiTheme="minorHAnsi" w:hAnsiTheme="minorHAnsi" w:cstheme="minorHAnsi"/>
            <w:color w:val="000000" w:themeColor="text1"/>
            <w:u w:val="none"/>
            <w:shd w:val="clear" w:color="auto" w:fill="FFFFFF"/>
          </w:rPr>
          <w:t>Büller HR</w:t>
        </w:r>
      </w:hyperlink>
      <w:r w:rsidR="003807E3" w:rsidRPr="00397AA7">
        <w:rPr>
          <w:rFonts w:asciiTheme="minorHAnsi" w:hAnsiTheme="minorHAnsi" w:cstheme="minorHAnsi"/>
          <w:color w:val="000000" w:themeColor="text1"/>
          <w:shd w:val="clear" w:color="auto" w:fill="FFFFFF"/>
        </w:rPr>
        <w:t>, </w:t>
      </w:r>
      <w:hyperlink r:id="rId11" w:history="1">
        <w:r w:rsidR="003807E3" w:rsidRPr="00397AA7">
          <w:rPr>
            <w:rStyle w:val="Hyperlink"/>
            <w:rFonts w:asciiTheme="minorHAnsi" w:hAnsiTheme="minorHAnsi" w:cstheme="minorHAnsi"/>
            <w:color w:val="000000" w:themeColor="text1"/>
            <w:u w:val="none"/>
            <w:shd w:val="clear" w:color="auto" w:fill="FFFFFF"/>
          </w:rPr>
          <w:t>Décousus H</w:t>
        </w:r>
      </w:hyperlink>
      <w:r w:rsidR="003807E3" w:rsidRPr="00397AA7">
        <w:rPr>
          <w:rFonts w:asciiTheme="minorHAnsi" w:hAnsiTheme="minorHAnsi" w:cstheme="minorHAnsi"/>
          <w:color w:val="000000" w:themeColor="text1"/>
          <w:shd w:val="clear" w:color="auto" w:fill="FFFFFF"/>
        </w:rPr>
        <w:t>, </w:t>
      </w:r>
      <w:hyperlink r:id="rId12" w:history="1">
        <w:r w:rsidR="003807E3" w:rsidRPr="00397AA7">
          <w:rPr>
            <w:rStyle w:val="Hyperlink"/>
            <w:rFonts w:asciiTheme="minorHAnsi" w:hAnsiTheme="minorHAnsi" w:cstheme="minorHAnsi"/>
            <w:color w:val="000000" w:themeColor="text1"/>
            <w:u w:val="none"/>
            <w:shd w:val="clear" w:color="auto" w:fill="FFFFFF"/>
          </w:rPr>
          <w:t>Grosso MA</w:t>
        </w:r>
      </w:hyperlink>
      <w:r w:rsidR="003807E3" w:rsidRPr="00397AA7">
        <w:rPr>
          <w:rFonts w:asciiTheme="minorHAnsi" w:hAnsiTheme="minorHAnsi" w:cstheme="minorHAnsi"/>
          <w:color w:val="000000" w:themeColor="text1"/>
          <w:shd w:val="clear" w:color="auto" w:fill="FFFFFF"/>
        </w:rPr>
        <w:t>, </w:t>
      </w:r>
      <w:hyperlink r:id="rId13" w:history="1">
        <w:r w:rsidR="003807E3" w:rsidRPr="00397AA7">
          <w:rPr>
            <w:rStyle w:val="Hyperlink"/>
            <w:rFonts w:asciiTheme="minorHAnsi" w:hAnsiTheme="minorHAnsi" w:cstheme="minorHAnsi"/>
            <w:color w:val="000000" w:themeColor="text1"/>
            <w:u w:val="none"/>
            <w:shd w:val="clear" w:color="auto" w:fill="FFFFFF"/>
          </w:rPr>
          <w:t>Mercuri M</w:t>
        </w:r>
      </w:hyperlink>
      <w:r w:rsidR="003807E3" w:rsidRPr="00397AA7">
        <w:rPr>
          <w:rFonts w:asciiTheme="minorHAnsi" w:hAnsiTheme="minorHAnsi" w:cstheme="minorHAnsi"/>
          <w:color w:val="000000" w:themeColor="text1"/>
          <w:shd w:val="clear" w:color="auto" w:fill="FFFFFF"/>
        </w:rPr>
        <w:t>,</w:t>
      </w:r>
      <w:r w:rsidR="00D8190E" w:rsidRPr="00397AA7">
        <w:rPr>
          <w:rFonts w:asciiTheme="minorHAnsi" w:hAnsiTheme="minorHAnsi" w:cstheme="minorHAnsi"/>
          <w:color w:val="000000" w:themeColor="text1"/>
          <w:shd w:val="clear" w:color="auto" w:fill="FFFFFF"/>
        </w:rPr>
        <w:t xml:space="preserve"> Middeldorp S</w:t>
      </w:r>
      <w:r w:rsidR="003807E3" w:rsidRPr="00397AA7">
        <w:rPr>
          <w:rFonts w:asciiTheme="minorHAnsi" w:hAnsiTheme="minorHAnsi" w:cstheme="minorHAnsi"/>
          <w:color w:val="000000" w:themeColor="text1"/>
          <w:shd w:val="clear" w:color="auto" w:fill="FFFFFF"/>
        </w:rPr>
        <w:t>, </w:t>
      </w:r>
      <w:hyperlink r:id="rId14" w:history="1">
        <w:r w:rsidR="003807E3" w:rsidRPr="00397AA7">
          <w:rPr>
            <w:rStyle w:val="Hyperlink"/>
            <w:rFonts w:asciiTheme="minorHAnsi" w:hAnsiTheme="minorHAnsi" w:cstheme="minorHAnsi"/>
            <w:color w:val="000000" w:themeColor="text1"/>
            <w:u w:val="none"/>
            <w:shd w:val="clear" w:color="auto" w:fill="FFFFFF"/>
          </w:rPr>
          <w:t>Prins MH</w:t>
        </w:r>
      </w:hyperlink>
      <w:r w:rsidR="003807E3" w:rsidRPr="00397AA7">
        <w:rPr>
          <w:rFonts w:asciiTheme="minorHAnsi" w:hAnsiTheme="minorHAnsi" w:cstheme="minorHAnsi"/>
          <w:color w:val="000000" w:themeColor="text1"/>
          <w:shd w:val="clear" w:color="auto" w:fill="FFFFFF"/>
        </w:rPr>
        <w:t>, </w:t>
      </w:r>
      <w:hyperlink r:id="rId15" w:history="1">
        <w:r w:rsidR="003807E3" w:rsidRPr="00397AA7">
          <w:rPr>
            <w:rStyle w:val="Hyperlink"/>
            <w:rFonts w:asciiTheme="minorHAnsi" w:hAnsiTheme="minorHAnsi" w:cstheme="minorHAnsi"/>
            <w:color w:val="000000" w:themeColor="text1"/>
            <w:u w:val="none"/>
            <w:shd w:val="clear" w:color="auto" w:fill="FFFFFF"/>
          </w:rPr>
          <w:t>Raskob GE</w:t>
        </w:r>
      </w:hyperlink>
      <w:r w:rsidR="003807E3" w:rsidRPr="00397AA7">
        <w:rPr>
          <w:rFonts w:asciiTheme="minorHAnsi" w:hAnsiTheme="minorHAnsi" w:cstheme="minorHAnsi"/>
          <w:color w:val="000000" w:themeColor="text1"/>
          <w:shd w:val="clear" w:color="auto" w:fill="FFFFFF"/>
        </w:rPr>
        <w:t>, </w:t>
      </w:r>
      <w:hyperlink r:id="rId16" w:history="1">
        <w:r w:rsidR="003807E3" w:rsidRPr="00397AA7">
          <w:rPr>
            <w:rStyle w:val="Hyperlink"/>
            <w:rFonts w:asciiTheme="minorHAnsi" w:hAnsiTheme="minorHAnsi" w:cstheme="minorHAnsi"/>
            <w:color w:val="000000" w:themeColor="text1"/>
            <w:u w:val="none"/>
            <w:shd w:val="clear" w:color="auto" w:fill="FFFFFF"/>
          </w:rPr>
          <w:t>Schellong SM</w:t>
        </w:r>
      </w:hyperlink>
      <w:r w:rsidR="003807E3" w:rsidRPr="00397AA7">
        <w:rPr>
          <w:rFonts w:asciiTheme="minorHAnsi" w:hAnsiTheme="minorHAnsi" w:cstheme="minorHAnsi"/>
          <w:color w:val="000000" w:themeColor="text1"/>
          <w:shd w:val="clear" w:color="auto" w:fill="FFFFFF"/>
        </w:rPr>
        <w:t>, </w:t>
      </w:r>
      <w:hyperlink r:id="rId17" w:history="1">
        <w:r w:rsidR="003807E3" w:rsidRPr="00397AA7">
          <w:rPr>
            <w:rStyle w:val="Hyperlink"/>
            <w:rFonts w:asciiTheme="minorHAnsi" w:hAnsiTheme="minorHAnsi" w:cstheme="minorHAnsi"/>
            <w:color w:val="000000" w:themeColor="text1"/>
            <w:u w:val="none"/>
            <w:shd w:val="clear" w:color="auto" w:fill="FFFFFF"/>
          </w:rPr>
          <w:t>Schwocho L</w:t>
        </w:r>
      </w:hyperlink>
      <w:r w:rsidR="003807E3" w:rsidRPr="00397AA7">
        <w:rPr>
          <w:rFonts w:asciiTheme="minorHAnsi" w:hAnsiTheme="minorHAnsi" w:cstheme="minorHAnsi"/>
          <w:color w:val="000000" w:themeColor="text1"/>
          <w:shd w:val="clear" w:color="auto" w:fill="FFFFFF"/>
        </w:rPr>
        <w:t>, </w:t>
      </w:r>
      <w:hyperlink r:id="rId18" w:history="1">
        <w:r w:rsidR="003807E3" w:rsidRPr="00397AA7">
          <w:rPr>
            <w:rStyle w:val="Hyperlink"/>
            <w:rFonts w:asciiTheme="minorHAnsi" w:hAnsiTheme="minorHAnsi" w:cstheme="minorHAnsi"/>
            <w:color w:val="000000" w:themeColor="text1"/>
            <w:u w:val="none"/>
            <w:shd w:val="clear" w:color="auto" w:fill="FFFFFF"/>
          </w:rPr>
          <w:t>Segers A</w:t>
        </w:r>
      </w:hyperlink>
      <w:r w:rsidR="003807E3" w:rsidRPr="00397AA7">
        <w:rPr>
          <w:rFonts w:asciiTheme="minorHAnsi" w:hAnsiTheme="minorHAnsi" w:cstheme="minorHAnsi"/>
          <w:color w:val="000000" w:themeColor="text1"/>
          <w:shd w:val="clear" w:color="auto" w:fill="FFFFFF"/>
        </w:rPr>
        <w:t>, </w:t>
      </w:r>
      <w:hyperlink r:id="rId19" w:history="1">
        <w:r w:rsidR="003807E3" w:rsidRPr="00397AA7">
          <w:rPr>
            <w:rStyle w:val="Hyperlink"/>
            <w:rFonts w:asciiTheme="minorHAnsi" w:hAnsiTheme="minorHAnsi" w:cstheme="minorHAnsi"/>
            <w:color w:val="000000" w:themeColor="text1"/>
            <w:u w:val="none"/>
            <w:shd w:val="clear" w:color="auto" w:fill="FFFFFF"/>
          </w:rPr>
          <w:t>Shi M</w:t>
        </w:r>
      </w:hyperlink>
      <w:r w:rsidR="003807E3" w:rsidRPr="00397AA7">
        <w:rPr>
          <w:rFonts w:asciiTheme="minorHAnsi" w:hAnsiTheme="minorHAnsi" w:cstheme="minorHAnsi"/>
          <w:color w:val="000000" w:themeColor="text1"/>
          <w:shd w:val="clear" w:color="auto" w:fill="FFFFFF"/>
        </w:rPr>
        <w:t>, </w:t>
      </w:r>
      <w:hyperlink r:id="rId20" w:history="1">
        <w:r w:rsidR="003807E3" w:rsidRPr="00397AA7">
          <w:rPr>
            <w:rStyle w:val="Hyperlink"/>
            <w:rFonts w:asciiTheme="minorHAnsi" w:hAnsiTheme="minorHAnsi" w:cstheme="minorHAnsi"/>
            <w:color w:val="000000" w:themeColor="text1"/>
            <w:u w:val="none"/>
            <w:shd w:val="clear" w:color="auto" w:fill="FFFFFF"/>
          </w:rPr>
          <w:t>Verhamme P</w:t>
        </w:r>
      </w:hyperlink>
      <w:r w:rsidR="003807E3" w:rsidRPr="00397AA7">
        <w:rPr>
          <w:rFonts w:asciiTheme="minorHAnsi" w:hAnsiTheme="minorHAnsi" w:cstheme="minorHAnsi"/>
          <w:color w:val="000000" w:themeColor="text1"/>
          <w:shd w:val="clear" w:color="auto" w:fill="FFFFFF"/>
        </w:rPr>
        <w:t>, </w:t>
      </w:r>
      <w:hyperlink r:id="rId21" w:history="1">
        <w:r w:rsidR="003807E3" w:rsidRPr="00397AA7">
          <w:rPr>
            <w:rStyle w:val="Hyperlink"/>
            <w:rFonts w:asciiTheme="minorHAnsi" w:hAnsiTheme="minorHAnsi" w:cstheme="minorHAnsi"/>
            <w:color w:val="000000" w:themeColor="text1"/>
            <w:u w:val="none"/>
            <w:shd w:val="clear" w:color="auto" w:fill="FFFFFF"/>
          </w:rPr>
          <w:t>Wells P</w:t>
        </w:r>
      </w:hyperlink>
      <w:r w:rsidRPr="00397AA7">
        <w:rPr>
          <w:rFonts w:asciiTheme="minorHAnsi" w:hAnsiTheme="minorHAnsi" w:cstheme="minorHAnsi"/>
          <w:noProof/>
          <w:color w:val="000000" w:themeColor="text1"/>
        </w:rPr>
        <w:t>. Edoxaban versus Warfarin for the Treatment of Symptom</w:t>
      </w:r>
      <w:r w:rsidRPr="00397AA7">
        <w:rPr>
          <w:rFonts w:asciiTheme="minorHAnsi" w:hAnsiTheme="minorHAnsi" w:cstheme="minorHAnsi"/>
          <w:noProof/>
        </w:rPr>
        <w:t xml:space="preserve">atic Venous Thromboembolism. </w:t>
      </w:r>
      <w:r w:rsidRPr="00397AA7">
        <w:rPr>
          <w:rFonts w:asciiTheme="minorHAnsi" w:hAnsiTheme="minorHAnsi" w:cstheme="minorHAnsi"/>
          <w:i/>
          <w:iCs/>
          <w:noProof/>
        </w:rPr>
        <w:t>N Engl J Med</w:t>
      </w:r>
      <w:r w:rsidRPr="00397AA7">
        <w:rPr>
          <w:rFonts w:asciiTheme="minorHAnsi" w:hAnsiTheme="minorHAnsi" w:cstheme="minorHAnsi"/>
          <w:noProof/>
        </w:rPr>
        <w:t xml:space="preserve"> 2013;</w:t>
      </w:r>
      <w:r w:rsidRPr="00397AA7">
        <w:rPr>
          <w:rFonts w:asciiTheme="minorHAnsi" w:hAnsiTheme="minorHAnsi" w:cstheme="minorHAnsi"/>
          <w:b/>
          <w:noProof/>
        </w:rPr>
        <w:t>369</w:t>
      </w:r>
      <w:r w:rsidRPr="00397AA7">
        <w:rPr>
          <w:rFonts w:asciiTheme="minorHAnsi" w:hAnsiTheme="minorHAnsi" w:cstheme="minorHAnsi"/>
          <w:noProof/>
        </w:rPr>
        <w:t xml:space="preserve">:1406-1415. </w:t>
      </w:r>
    </w:p>
    <w:p w14:paraId="22B919CA" w14:textId="77777777" w:rsidR="003807E3" w:rsidRPr="00397AA7" w:rsidRDefault="003807E3" w:rsidP="000D0BB1">
      <w:pPr>
        <w:widowControl w:val="0"/>
        <w:autoSpaceDE w:val="0"/>
        <w:autoSpaceDN w:val="0"/>
        <w:adjustRightInd w:val="0"/>
        <w:spacing w:line="360" w:lineRule="auto"/>
        <w:jc w:val="both"/>
        <w:rPr>
          <w:rFonts w:asciiTheme="minorHAnsi" w:hAnsiTheme="minorHAnsi" w:cstheme="minorHAnsi"/>
          <w:noProof/>
        </w:rPr>
      </w:pPr>
    </w:p>
    <w:p w14:paraId="3655DF74" w14:textId="1895308A" w:rsidR="00EF120B" w:rsidRPr="00397AA7" w:rsidRDefault="00EF120B" w:rsidP="000D0BB1">
      <w:pPr>
        <w:spacing w:line="360" w:lineRule="auto"/>
        <w:ind w:left="640" w:hanging="640"/>
        <w:jc w:val="both"/>
        <w:rPr>
          <w:rFonts w:asciiTheme="minorHAnsi" w:hAnsiTheme="minorHAnsi" w:cstheme="minorHAnsi"/>
        </w:rPr>
      </w:pPr>
      <w:r w:rsidRPr="00397AA7">
        <w:rPr>
          <w:rFonts w:asciiTheme="minorHAnsi" w:hAnsiTheme="minorHAnsi" w:cstheme="minorHAnsi"/>
          <w:noProof/>
        </w:rPr>
        <w:t xml:space="preserve">13. </w:t>
      </w:r>
      <w:r w:rsidRPr="00397AA7">
        <w:rPr>
          <w:rFonts w:asciiTheme="minorHAnsi" w:hAnsiTheme="minorHAnsi" w:cstheme="minorHAnsi"/>
          <w:noProof/>
        </w:rPr>
        <w:tab/>
        <w:t xml:space="preserve">Kramm T, Wilkens H, Fuge J, </w:t>
      </w:r>
      <w:r w:rsidR="00D8190E" w:rsidRPr="00397AA7">
        <w:rPr>
          <w:rFonts w:asciiTheme="minorHAnsi" w:hAnsiTheme="minorHAnsi" w:cstheme="minorHAnsi"/>
          <w:noProof/>
        </w:rPr>
        <w:t>Schafers HJ, Guth S, Wiendenroth CB, Weingard B, Huscher D, Pittrow D, Cebotari S, Hoeper MM, Mayer E, Olsson KM</w:t>
      </w:r>
      <w:r w:rsidRPr="00397AA7">
        <w:rPr>
          <w:rFonts w:asciiTheme="minorHAnsi" w:hAnsiTheme="minorHAnsi" w:cstheme="minorHAnsi"/>
          <w:noProof/>
        </w:rPr>
        <w:t>. Incidence and characteristics of chronic thromboemboli</w:t>
      </w:r>
      <w:r w:rsidR="00AA7D6F" w:rsidRPr="00397AA7">
        <w:rPr>
          <w:rFonts w:asciiTheme="minorHAnsi" w:hAnsiTheme="minorHAnsi" w:cstheme="minorHAnsi"/>
          <w:noProof/>
        </w:rPr>
        <w:t>c</w:t>
      </w:r>
      <w:r w:rsidRPr="00397AA7">
        <w:rPr>
          <w:rFonts w:asciiTheme="minorHAnsi" w:hAnsiTheme="minorHAnsi" w:cstheme="minorHAnsi"/>
          <w:noProof/>
        </w:rPr>
        <w:t xml:space="preserve"> pulmonary hypertension in Germany. </w:t>
      </w:r>
      <w:r w:rsidRPr="00397AA7">
        <w:rPr>
          <w:rFonts w:asciiTheme="minorHAnsi" w:hAnsiTheme="minorHAnsi" w:cstheme="minorHAnsi"/>
          <w:iCs/>
          <w:noProof/>
        </w:rPr>
        <w:t>C</w:t>
      </w:r>
      <w:r w:rsidRPr="00397AA7">
        <w:rPr>
          <w:rFonts w:asciiTheme="minorHAnsi" w:hAnsiTheme="minorHAnsi" w:cstheme="minorHAnsi"/>
          <w:i/>
          <w:iCs/>
          <w:noProof/>
        </w:rPr>
        <w:t>lin Res Cardiol</w:t>
      </w:r>
      <w:r w:rsidRPr="00397AA7">
        <w:rPr>
          <w:rFonts w:asciiTheme="minorHAnsi" w:hAnsiTheme="minorHAnsi" w:cstheme="minorHAnsi"/>
          <w:noProof/>
        </w:rPr>
        <w:t xml:space="preserve"> 2018</w:t>
      </w:r>
      <w:r w:rsidR="00D8190E" w:rsidRPr="00397AA7">
        <w:rPr>
          <w:rFonts w:asciiTheme="minorHAnsi" w:hAnsiTheme="minorHAnsi" w:cstheme="minorHAnsi"/>
          <w:noProof/>
        </w:rPr>
        <w:t xml:space="preserve">; </w:t>
      </w:r>
      <w:r w:rsidRPr="00397AA7">
        <w:rPr>
          <w:rFonts w:asciiTheme="minorHAnsi" w:hAnsiTheme="minorHAnsi" w:cstheme="minorHAnsi"/>
          <w:b/>
          <w:color w:val="000000"/>
          <w:shd w:val="clear" w:color="auto" w:fill="FFFFFF"/>
        </w:rPr>
        <w:t>107</w:t>
      </w:r>
      <w:r w:rsidRPr="00397AA7">
        <w:rPr>
          <w:rFonts w:asciiTheme="minorHAnsi" w:hAnsiTheme="minorHAnsi" w:cstheme="minorHAnsi"/>
          <w:color w:val="000000"/>
          <w:shd w:val="clear" w:color="auto" w:fill="FFFFFF"/>
        </w:rPr>
        <w:t>:548-553</w:t>
      </w:r>
      <w:r w:rsidRPr="00397AA7">
        <w:rPr>
          <w:rFonts w:asciiTheme="minorHAnsi" w:hAnsiTheme="minorHAnsi" w:cstheme="minorHAnsi"/>
        </w:rPr>
        <w:t>.</w:t>
      </w:r>
    </w:p>
    <w:p w14:paraId="78E1128F" w14:textId="77777777" w:rsidR="00D8190E" w:rsidRPr="00397AA7" w:rsidRDefault="00D8190E" w:rsidP="000D0BB1">
      <w:pPr>
        <w:spacing w:line="360" w:lineRule="auto"/>
        <w:ind w:left="640" w:hanging="640"/>
        <w:jc w:val="both"/>
        <w:rPr>
          <w:rFonts w:asciiTheme="minorHAnsi" w:hAnsiTheme="minorHAnsi" w:cstheme="minorHAnsi"/>
          <w:noProof/>
        </w:rPr>
      </w:pPr>
    </w:p>
    <w:p w14:paraId="176A3D7C" w14:textId="64462B7C" w:rsidR="00EF120B" w:rsidRPr="00397AA7" w:rsidRDefault="00EF120B" w:rsidP="000D0BB1">
      <w:pPr>
        <w:spacing w:line="360" w:lineRule="auto"/>
        <w:ind w:left="640" w:hanging="640"/>
        <w:jc w:val="both"/>
        <w:rPr>
          <w:rFonts w:asciiTheme="minorHAnsi" w:hAnsiTheme="minorHAnsi" w:cstheme="minorHAnsi"/>
          <w:noProof/>
        </w:rPr>
      </w:pPr>
      <w:r w:rsidRPr="00397AA7">
        <w:rPr>
          <w:rFonts w:asciiTheme="minorHAnsi" w:hAnsiTheme="minorHAnsi" w:cstheme="minorHAnsi"/>
        </w:rPr>
        <w:t xml:space="preserve">14. </w:t>
      </w:r>
      <w:r w:rsidRPr="00397AA7">
        <w:rPr>
          <w:rFonts w:asciiTheme="minorHAnsi" w:hAnsiTheme="minorHAnsi" w:cstheme="minorHAnsi"/>
        </w:rPr>
        <w:tab/>
        <w:t>Frost A, Badesch D, Gibbs JSR</w:t>
      </w:r>
      <w:r w:rsidR="004A143B" w:rsidRPr="00397AA7">
        <w:rPr>
          <w:rFonts w:asciiTheme="minorHAnsi" w:hAnsiTheme="minorHAnsi" w:cstheme="minorHAnsi"/>
        </w:rPr>
        <w:t>,</w:t>
      </w:r>
      <w:r w:rsidRPr="00397AA7">
        <w:rPr>
          <w:rFonts w:asciiTheme="minorHAnsi" w:hAnsiTheme="minorHAnsi" w:cstheme="minorHAnsi"/>
        </w:rPr>
        <w:t xml:space="preserve"> </w:t>
      </w:r>
      <w:r w:rsidR="00D8190E" w:rsidRPr="00397AA7">
        <w:rPr>
          <w:rFonts w:asciiTheme="minorHAnsi" w:hAnsiTheme="minorHAnsi" w:cstheme="minorHAnsi"/>
        </w:rPr>
        <w:t>Gopalan D, Khanna D, Manes A, Oudiz R, Satoh T, Torres F, Torbicki A</w:t>
      </w:r>
      <w:r w:rsidRPr="00397AA7">
        <w:rPr>
          <w:rFonts w:asciiTheme="minorHAnsi" w:hAnsiTheme="minorHAnsi" w:cstheme="minorHAnsi"/>
        </w:rPr>
        <w:t xml:space="preserve">. Diagnosis of pulmonary hypertension. </w:t>
      </w:r>
      <w:r w:rsidR="00D8190E" w:rsidRPr="00397AA7">
        <w:rPr>
          <w:rFonts w:asciiTheme="minorHAnsi" w:hAnsiTheme="minorHAnsi" w:cstheme="minorHAnsi"/>
          <w:i/>
          <w:color w:val="000000"/>
          <w:shd w:val="clear" w:color="auto" w:fill="FFFFFF"/>
        </w:rPr>
        <w:t>Eur Respir J</w:t>
      </w:r>
      <w:r w:rsidR="00D8190E" w:rsidRPr="00397AA7">
        <w:rPr>
          <w:rFonts w:asciiTheme="minorHAnsi" w:hAnsiTheme="minorHAnsi" w:cstheme="minorHAnsi"/>
          <w:color w:val="000000"/>
          <w:shd w:val="clear" w:color="auto" w:fill="FFFFFF"/>
        </w:rPr>
        <w:t xml:space="preserve"> </w:t>
      </w:r>
      <w:r w:rsidRPr="00397AA7">
        <w:rPr>
          <w:rFonts w:asciiTheme="minorHAnsi" w:hAnsiTheme="minorHAnsi" w:cstheme="minorHAnsi"/>
          <w:color w:val="000000"/>
          <w:shd w:val="clear" w:color="auto" w:fill="FFFFFF"/>
        </w:rPr>
        <w:t>2019;</w:t>
      </w:r>
      <w:r w:rsidRPr="00397AA7">
        <w:rPr>
          <w:rFonts w:asciiTheme="minorHAnsi" w:hAnsiTheme="minorHAnsi" w:cstheme="minorHAnsi"/>
          <w:b/>
          <w:color w:val="000000"/>
          <w:shd w:val="clear" w:color="auto" w:fill="FFFFFF"/>
        </w:rPr>
        <w:t>53</w:t>
      </w:r>
      <w:r w:rsidR="00655A5F" w:rsidRPr="00397AA7">
        <w:rPr>
          <w:rFonts w:asciiTheme="minorHAnsi" w:hAnsiTheme="minorHAnsi" w:cstheme="minorHAnsi"/>
          <w:color w:val="000000"/>
          <w:shd w:val="clear" w:color="auto" w:fill="FFFFFF"/>
        </w:rPr>
        <w:t>:1801904</w:t>
      </w:r>
      <w:r w:rsidRPr="00397AA7">
        <w:rPr>
          <w:rFonts w:asciiTheme="minorHAnsi" w:hAnsiTheme="minorHAnsi" w:cstheme="minorHAnsi"/>
          <w:color w:val="000000"/>
          <w:shd w:val="clear" w:color="auto" w:fill="FFFFFF"/>
        </w:rPr>
        <w:t>.</w:t>
      </w:r>
      <w:r w:rsidRPr="00397AA7">
        <w:rPr>
          <w:rFonts w:asciiTheme="minorHAnsi" w:hAnsiTheme="minorHAnsi" w:cstheme="minorHAnsi"/>
          <w:noProof/>
        </w:rPr>
        <w:t xml:space="preserve"> </w:t>
      </w:r>
    </w:p>
    <w:p w14:paraId="38254F85" w14:textId="77777777" w:rsidR="00D8190E" w:rsidRPr="00397AA7" w:rsidRDefault="00D8190E" w:rsidP="000D0BB1">
      <w:pPr>
        <w:spacing w:line="360" w:lineRule="auto"/>
        <w:jc w:val="both"/>
        <w:rPr>
          <w:rFonts w:asciiTheme="minorHAnsi" w:hAnsiTheme="minorHAnsi" w:cstheme="minorHAnsi"/>
          <w:noProof/>
        </w:rPr>
      </w:pPr>
    </w:p>
    <w:p w14:paraId="62048F1D" w14:textId="431556AF" w:rsidR="00655A5F" w:rsidRPr="00397AA7" w:rsidRDefault="00EF120B" w:rsidP="000D0BB1">
      <w:pPr>
        <w:widowControl w:val="0"/>
        <w:autoSpaceDE w:val="0"/>
        <w:autoSpaceDN w:val="0"/>
        <w:adjustRightInd w:val="0"/>
        <w:spacing w:line="360" w:lineRule="auto"/>
        <w:ind w:left="640" w:hanging="640"/>
        <w:jc w:val="both"/>
        <w:rPr>
          <w:rFonts w:asciiTheme="minorHAnsi" w:hAnsiTheme="minorHAnsi" w:cstheme="minorHAnsi"/>
          <w:noProof/>
        </w:rPr>
      </w:pPr>
      <w:r w:rsidRPr="00397AA7">
        <w:rPr>
          <w:rFonts w:asciiTheme="minorHAnsi" w:hAnsiTheme="minorHAnsi" w:cstheme="minorHAnsi"/>
          <w:noProof/>
        </w:rPr>
        <w:t xml:space="preserve">15. </w:t>
      </w:r>
      <w:r w:rsidRPr="00397AA7">
        <w:rPr>
          <w:rFonts w:asciiTheme="minorHAnsi" w:hAnsiTheme="minorHAnsi" w:cstheme="minorHAnsi"/>
          <w:noProof/>
        </w:rPr>
        <w:tab/>
        <w:t xml:space="preserve">Madani MM, Jamieson SW. Pulmonary Endarterectomy for Chronic Thromboembolic Disease. </w:t>
      </w:r>
      <w:r w:rsidRPr="00397AA7">
        <w:rPr>
          <w:rFonts w:asciiTheme="minorHAnsi" w:hAnsiTheme="minorHAnsi" w:cstheme="minorHAnsi"/>
          <w:i/>
          <w:iCs/>
          <w:noProof/>
        </w:rPr>
        <w:t>Oper Tech Thorac Cardiovasc Surg</w:t>
      </w:r>
      <w:r w:rsidRPr="00397AA7">
        <w:rPr>
          <w:rFonts w:asciiTheme="minorHAnsi" w:hAnsiTheme="minorHAnsi" w:cstheme="minorHAnsi"/>
          <w:noProof/>
        </w:rPr>
        <w:t xml:space="preserve"> 2006;</w:t>
      </w:r>
      <w:r w:rsidRPr="00397AA7">
        <w:rPr>
          <w:rFonts w:asciiTheme="minorHAnsi" w:hAnsiTheme="minorHAnsi" w:cstheme="minorHAnsi"/>
          <w:b/>
          <w:noProof/>
        </w:rPr>
        <w:t>11</w:t>
      </w:r>
      <w:r w:rsidRPr="00397AA7">
        <w:rPr>
          <w:rFonts w:asciiTheme="minorHAnsi" w:hAnsiTheme="minorHAnsi" w:cstheme="minorHAnsi"/>
          <w:noProof/>
        </w:rPr>
        <w:t xml:space="preserve">:264-274. </w:t>
      </w:r>
    </w:p>
    <w:p w14:paraId="24AB6100" w14:textId="77777777" w:rsidR="00655A5F" w:rsidRPr="00397AA7" w:rsidRDefault="00655A5F" w:rsidP="000D0BB1">
      <w:pPr>
        <w:widowControl w:val="0"/>
        <w:autoSpaceDE w:val="0"/>
        <w:autoSpaceDN w:val="0"/>
        <w:adjustRightInd w:val="0"/>
        <w:spacing w:line="360" w:lineRule="auto"/>
        <w:ind w:left="640" w:hanging="640"/>
        <w:jc w:val="both"/>
        <w:rPr>
          <w:rFonts w:asciiTheme="minorHAnsi" w:hAnsiTheme="minorHAnsi" w:cstheme="minorHAnsi"/>
          <w:noProof/>
        </w:rPr>
      </w:pPr>
    </w:p>
    <w:p w14:paraId="6F840922" w14:textId="5B43CF6E" w:rsidR="00EF120B" w:rsidRPr="00397AA7" w:rsidRDefault="00EF120B" w:rsidP="000D0BB1">
      <w:pPr>
        <w:widowControl w:val="0"/>
        <w:autoSpaceDE w:val="0"/>
        <w:autoSpaceDN w:val="0"/>
        <w:adjustRightInd w:val="0"/>
        <w:spacing w:line="360" w:lineRule="auto"/>
        <w:ind w:left="640" w:hanging="640"/>
        <w:jc w:val="both"/>
        <w:rPr>
          <w:rFonts w:asciiTheme="minorHAnsi" w:hAnsiTheme="minorHAnsi" w:cstheme="minorHAnsi"/>
          <w:noProof/>
        </w:rPr>
      </w:pPr>
      <w:r w:rsidRPr="00397AA7">
        <w:rPr>
          <w:rFonts w:asciiTheme="minorHAnsi" w:hAnsiTheme="minorHAnsi" w:cstheme="minorHAnsi"/>
          <w:noProof/>
        </w:rPr>
        <w:t xml:space="preserve">16. </w:t>
      </w:r>
      <w:r w:rsidRPr="00397AA7">
        <w:rPr>
          <w:rFonts w:asciiTheme="minorHAnsi" w:hAnsiTheme="minorHAnsi" w:cstheme="minorHAnsi"/>
          <w:noProof/>
        </w:rPr>
        <w:tab/>
        <w:t>McKenna SP, Doughty N, Meads DM,</w:t>
      </w:r>
      <w:r w:rsidR="00655A5F" w:rsidRPr="00397AA7">
        <w:rPr>
          <w:rFonts w:asciiTheme="minorHAnsi" w:hAnsiTheme="minorHAnsi" w:cstheme="minorHAnsi"/>
          <w:noProof/>
        </w:rPr>
        <w:t xml:space="preserve"> Doward LC, Pepke-Zaba J</w:t>
      </w:r>
      <w:r w:rsidRPr="00397AA7">
        <w:rPr>
          <w:rFonts w:asciiTheme="minorHAnsi" w:hAnsiTheme="minorHAnsi" w:cstheme="minorHAnsi"/>
          <w:noProof/>
        </w:rPr>
        <w:t xml:space="preserve">. The Cambridge Pulmonary Hypertension Outcome Review (CAMPHOR): A measure of health-related quality of life and quality of life for patients with pulmonary hypertension. </w:t>
      </w:r>
      <w:r w:rsidRPr="00397AA7">
        <w:rPr>
          <w:rFonts w:asciiTheme="minorHAnsi" w:hAnsiTheme="minorHAnsi" w:cstheme="minorHAnsi"/>
          <w:i/>
          <w:iCs/>
          <w:noProof/>
        </w:rPr>
        <w:t>Qual Life Res</w:t>
      </w:r>
      <w:r w:rsidR="00655A5F" w:rsidRPr="00397AA7">
        <w:rPr>
          <w:rFonts w:asciiTheme="minorHAnsi" w:hAnsiTheme="minorHAnsi" w:cstheme="minorHAnsi"/>
          <w:i/>
          <w:noProof/>
        </w:rPr>
        <w:t xml:space="preserve"> </w:t>
      </w:r>
      <w:r w:rsidRPr="00397AA7">
        <w:rPr>
          <w:rFonts w:asciiTheme="minorHAnsi" w:hAnsiTheme="minorHAnsi" w:cstheme="minorHAnsi"/>
          <w:noProof/>
        </w:rPr>
        <w:t>2006;</w:t>
      </w:r>
      <w:r w:rsidRPr="00397AA7">
        <w:rPr>
          <w:rFonts w:asciiTheme="minorHAnsi" w:hAnsiTheme="minorHAnsi" w:cstheme="minorHAnsi"/>
          <w:b/>
          <w:noProof/>
        </w:rPr>
        <w:t>15</w:t>
      </w:r>
      <w:r w:rsidRPr="00397AA7">
        <w:rPr>
          <w:rFonts w:asciiTheme="minorHAnsi" w:hAnsiTheme="minorHAnsi" w:cstheme="minorHAnsi"/>
          <w:noProof/>
        </w:rPr>
        <w:t xml:space="preserve">:103-115. </w:t>
      </w:r>
    </w:p>
    <w:p w14:paraId="5AD9CD7E" w14:textId="77777777" w:rsidR="00655A5F" w:rsidRPr="00397AA7" w:rsidRDefault="00655A5F" w:rsidP="000D0BB1">
      <w:pPr>
        <w:widowControl w:val="0"/>
        <w:autoSpaceDE w:val="0"/>
        <w:autoSpaceDN w:val="0"/>
        <w:adjustRightInd w:val="0"/>
        <w:spacing w:line="360" w:lineRule="auto"/>
        <w:jc w:val="both"/>
        <w:rPr>
          <w:rFonts w:asciiTheme="minorHAnsi" w:hAnsiTheme="minorHAnsi" w:cstheme="minorHAnsi"/>
          <w:noProof/>
        </w:rPr>
      </w:pPr>
    </w:p>
    <w:p w14:paraId="38830A60" w14:textId="0F47A622" w:rsidR="00AD3F4D" w:rsidRPr="00397AA7" w:rsidRDefault="00EF120B" w:rsidP="000D0BB1">
      <w:pPr>
        <w:shd w:val="clear" w:color="auto" w:fill="FFFFFF"/>
        <w:spacing w:line="360" w:lineRule="auto"/>
        <w:ind w:left="640" w:hanging="640"/>
        <w:jc w:val="both"/>
        <w:rPr>
          <w:rFonts w:asciiTheme="minorHAnsi" w:hAnsiTheme="minorHAnsi" w:cstheme="minorHAnsi"/>
          <w:noProof/>
        </w:rPr>
      </w:pPr>
      <w:r w:rsidRPr="00397AA7">
        <w:rPr>
          <w:rFonts w:asciiTheme="minorHAnsi" w:hAnsiTheme="minorHAnsi" w:cstheme="minorHAnsi"/>
          <w:noProof/>
        </w:rPr>
        <w:t>17.</w:t>
      </w:r>
      <w:r w:rsidRPr="00397AA7">
        <w:rPr>
          <w:rFonts w:asciiTheme="minorHAnsi" w:hAnsiTheme="minorHAnsi" w:cstheme="minorHAnsi"/>
          <w:noProof/>
        </w:rPr>
        <w:tab/>
        <w:t>Schulman S, Kearon C</w:t>
      </w:r>
      <w:r w:rsidR="00AD3F4D" w:rsidRPr="00397AA7">
        <w:rPr>
          <w:rFonts w:asciiTheme="minorHAnsi" w:hAnsiTheme="minorHAnsi" w:cstheme="minorHAnsi"/>
          <w:noProof/>
        </w:rPr>
        <w:t xml:space="preserve">, the SUBCOMMITEE ON CONTROL OF ANTICOAGULATION OF THE SCIENTIFIC AND STANDARDIZATION COMMITTEE OF THE INTERNATIONAL SOCIETY ON THROMBOSIS AND HAEDMOSTASIS. </w:t>
      </w:r>
      <w:r w:rsidRPr="00397AA7">
        <w:rPr>
          <w:rFonts w:asciiTheme="minorHAnsi" w:hAnsiTheme="minorHAnsi" w:cstheme="minorHAnsi"/>
          <w:noProof/>
        </w:rPr>
        <w:t xml:space="preserve">Definition of major bleeding in clinical investigations of antihemostatic medicinal products in non-surgical patients. Scientific and Standardization Committee Communication. </w:t>
      </w:r>
      <w:r w:rsidRPr="00397AA7">
        <w:rPr>
          <w:rFonts w:asciiTheme="minorHAnsi" w:hAnsiTheme="minorHAnsi" w:cstheme="minorHAnsi"/>
          <w:i/>
          <w:iCs/>
          <w:noProof/>
        </w:rPr>
        <w:t>J Thromb Haemost</w:t>
      </w:r>
      <w:r w:rsidRPr="00397AA7">
        <w:rPr>
          <w:rFonts w:asciiTheme="minorHAnsi" w:hAnsiTheme="minorHAnsi" w:cstheme="minorHAnsi"/>
          <w:noProof/>
        </w:rPr>
        <w:t xml:space="preserve"> 2005</w:t>
      </w:r>
      <w:r w:rsidR="00AD3F4D" w:rsidRPr="00397AA7">
        <w:rPr>
          <w:rFonts w:asciiTheme="minorHAnsi" w:hAnsiTheme="minorHAnsi" w:cstheme="minorHAnsi"/>
          <w:noProof/>
        </w:rPr>
        <w:t>;</w:t>
      </w:r>
      <w:r w:rsidR="00AD3F4D" w:rsidRPr="00397AA7">
        <w:rPr>
          <w:rFonts w:asciiTheme="minorHAnsi" w:hAnsiTheme="minorHAnsi" w:cstheme="minorHAnsi"/>
          <w:b/>
          <w:noProof/>
        </w:rPr>
        <w:t>3</w:t>
      </w:r>
      <w:r w:rsidR="00AD3F4D" w:rsidRPr="00397AA7">
        <w:rPr>
          <w:rFonts w:asciiTheme="minorHAnsi" w:hAnsiTheme="minorHAnsi" w:cstheme="minorHAnsi"/>
          <w:noProof/>
        </w:rPr>
        <w:t>:692-694</w:t>
      </w:r>
      <w:r w:rsidRPr="00397AA7">
        <w:rPr>
          <w:rFonts w:asciiTheme="minorHAnsi" w:hAnsiTheme="minorHAnsi" w:cstheme="minorHAnsi"/>
          <w:noProof/>
        </w:rPr>
        <w:t xml:space="preserve"> </w:t>
      </w:r>
    </w:p>
    <w:p w14:paraId="78F4ECF8" w14:textId="77777777" w:rsidR="00655A5F" w:rsidRPr="00397AA7" w:rsidRDefault="00655A5F" w:rsidP="000D0BB1">
      <w:pPr>
        <w:widowControl w:val="0"/>
        <w:autoSpaceDE w:val="0"/>
        <w:autoSpaceDN w:val="0"/>
        <w:adjustRightInd w:val="0"/>
        <w:spacing w:line="360" w:lineRule="auto"/>
        <w:ind w:left="640" w:hanging="640"/>
        <w:jc w:val="both"/>
        <w:rPr>
          <w:rFonts w:asciiTheme="minorHAnsi" w:hAnsiTheme="minorHAnsi" w:cstheme="minorHAnsi"/>
          <w:noProof/>
        </w:rPr>
      </w:pPr>
    </w:p>
    <w:p w14:paraId="5DB7E33C" w14:textId="0502E190" w:rsidR="00EF120B" w:rsidRPr="00397AA7" w:rsidRDefault="00EF120B" w:rsidP="000D0BB1">
      <w:pPr>
        <w:widowControl w:val="0"/>
        <w:autoSpaceDE w:val="0"/>
        <w:autoSpaceDN w:val="0"/>
        <w:adjustRightInd w:val="0"/>
        <w:spacing w:line="360" w:lineRule="auto"/>
        <w:jc w:val="both"/>
        <w:rPr>
          <w:rFonts w:asciiTheme="minorHAnsi" w:hAnsiTheme="minorHAnsi" w:cstheme="minorHAnsi"/>
          <w:noProof/>
        </w:rPr>
      </w:pPr>
      <w:r w:rsidRPr="00397AA7">
        <w:rPr>
          <w:rFonts w:asciiTheme="minorHAnsi" w:hAnsiTheme="minorHAnsi" w:cstheme="minorHAnsi"/>
          <w:noProof/>
        </w:rPr>
        <w:t xml:space="preserve">18. </w:t>
      </w:r>
      <w:r w:rsidRPr="00397AA7">
        <w:rPr>
          <w:rFonts w:asciiTheme="minorHAnsi" w:hAnsiTheme="minorHAnsi" w:cstheme="minorHAnsi"/>
          <w:noProof/>
        </w:rPr>
        <w:tab/>
        <w:t xml:space="preserve">R Core Team. R. </w:t>
      </w:r>
      <w:r w:rsidRPr="00397AA7">
        <w:rPr>
          <w:rFonts w:asciiTheme="minorHAnsi" w:hAnsiTheme="minorHAnsi" w:cstheme="minorHAnsi"/>
          <w:i/>
          <w:iCs/>
          <w:noProof/>
        </w:rPr>
        <w:t>R Core Team</w:t>
      </w:r>
      <w:r w:rsidRPr="00397AA7">
        <w:rPr>
          <w:rFonts w:asciiTheme="minorHAnsi" w:hAnsiTheme="minorHAnsi" w:cstheme="minorHAnsi"/>
          <w:noProof/>
        </w:rPr>
        <w:t xml:space="preserve">. 2017. </w:t>
      </w:r>
    </w:p>
    <w:p w14:paraId="5A93FD38" w14:textId="77777777" w:rsidR="00AD3F4D" w:rsidRPr="00397AA7" w:rsidRDefault="00AD3F4D" w:rsidP="000D0BB1">
      <w:pPr>
        <w:widowControl w:val="0"/>
        <w:autoSpaceDE w:val="0"/>
        <w:autoSpaceDN w:val="0"/>
        <w:adjustRightInd w:val="0"/>
        <w:spacing w:line="360" w:lineRule="auto"/>
        <w:jc w:val="both"/>
        <w:rPr>
          <w:rFonts w:asciiTheme="minorHAnsi" w:hAnsiTheme="minorHAnsi" w:cstheme="minorHAnsi"/>
          <w:noProof/>
        </w:rPr>
      </w:pPr>
    </w:p>
    <w:p w14:paraId="6FAF4974" w14:textId="6CDF2B34" w:rsidR="00EF120B" w:rsidRPr="00397AA7" w:rsidRDefault="00EF120B" w:rsidP="000D0BB1">
      <w:pPr>
        <w:widowControl w:val="0"/>
        <w:autoSpaceDE w:val="0"/>
        <w:autoSpaceDN w:val="0"/>
        <w:adjustRightInd w:val="0"/>
        <w:spacing w:line="360" w:lineRule="auto"/>
        <w:ind w:left="640" w:hanging="640"/>
        <w:jc w:val="both"/>
        <w:rPr>
          <w:rFonts w:asciiTheme="minorHAnsi" w:hAnsiTheme="minorHAnsi" w:cstheme="minorHAnsi"/>
        </w:rPr>
      </w:pPr>
      <w:r w:rsidRPr="00397AA7">
        <w:rPr>
          <w:rFonts w:asciiTheme="minorHAnsi" w:hAnsiTheme="minorHAnsi" w:cstheme="minorHAnsi"/>
          <w:noProof/>
        </w:rPr>
        <w:t xml:space="preserve">19. </w:t>
      </w:r>
      <w:r w:rsidRPr="00397AA7">
        <w:rPr>
          <w:rFonts w:asciiTheme="minorHAnsi" w:hAnsiTheme="minorHAnsi" w:cstheme="minorHAnsi"/>
          <w:noProof/>
        </w:rPr>
        <w:tab/>
        <w:t>Loo S, Dell'Aniello S, Huiart L</w:t>
      </w:r>
      <w:r w:rsidR="004A143B" w:rsidRPr="00397AA7">
        <w:rPr>
          <w:rFonts w:asciiTheme="minorHAnsi" w:hAnsiTheme="minorHAnsi" w:cstheme="minorHAnsi"/>
          <w:noProof/>
        </w:rPr>
        <w:t>,</w:t>
      </w:r>
      <w:r w:rsidR="00AD3F4D" w:rsidRPr="00397AA7">
        <w:rPr>
          <w:rFonts w:asciiTheme="minorHAnsi" w:hAnsiTheme="minorHAnsi" w:cstheme="minorHAnsi"/>
          <w:noProof/>
        </w:rPr>
        <w:t xml:space="preserve"> Renoux C</w:t>
      </w:r>
      <w:r w:rsidRPr="00397AA7">
        <w:rPr>
          <w:rFonts w:asciiTheme="minorHAnsi" w:hAnsiTheme="minorHAnsi" w:cstheme="minorHAnsi"/>
          <w:noProof/>
        </w:rPr>
        <w:t xml:space="preserve">. Trends in the prescription of novel oral antiocagulants in UK primary care. </w:t>
      </w:r>
      <w:r w:rsidRPr="00397AA7">
        <w:rPr>
          <w:rFonts w:asciiTheme="minorHAnsi" w:hAnsiTheme="minorHAnsi" w:cstheme="minorHAnsi"/>
          <w:i/>
        </w:rPr>
        <w:t>Br J Clin Pharmacol</w:t>
      </w:r>
      <w:r w:rsidRPr="00397AA7">
        <w:rPr>
          <w:rFonts w:asciiTheme="minorHAnsi" w:hAnsiTheme="minorHAnsi" w:cstheme="minorHAnsi"/>
        </w:rPr>
        <w:t xml:space="preserve"> 2017;</w:t>
      </w:r>
      <w:r w:rsidRPr="00397AA7">
        <w:rPr>
          <w:rFonts w:asciiTheme="minorHAnsi" w:hAnsiTheme="minorHAnsi" w:cstheme="minorHAnsi"/>
          <w:b/>
        </w:rPr>
        <w:t>83</w:t>
      </w:r>
      <w:r w:rsidRPr="00397AA7">
        <w:rPr>
          <w:rFonts w:asciiTheme="minorHAnsi" w:hAnsiTheme="minorHAnsi" w:cstheme="minorHAnsi"/>
        </w:rPr>
        <w:t>:2096–2106</w:t>
      </w:r>
    </w:p>
    <w:p w14:paraId="71E48557" w14:textId="77777777" w:rsidR="00AD3F4D" w:rsidRPr="00397AA7" w:rsidRDefault="00AD3F4D" w:rsidP="000D0BB1">
      <w:pPr>
        <w:widowControl w:val="0"/>
        <w:autoSpaceDE w:val="0"/>
        <w:autoSpaceDN w:val="0"/>
        <w:adjustRightInd w:val="0"/>
        <w:spacing w:line="360" w:lineRule="auto"/>
        <w:jc w:val="both"/>
        <w:rPr>
          <w:rFonts w:asciiTheme="minorHAnsi" w:hAnsiTheme="minorHAnsi" w:cstheme="minorHAnsi"/>
        </w:rPr>
      </w:pPr>
    </w:p>
    <w:p w14:paraId="58790654" w14:textId="6A45DC49" w:rsidR="00AD3F4D" w:rsidRPr="00397AA7" w:rsidRDefault="00EF120B" w:rsidP="000D0BB1">
      <w:pPr>
        <w:pStyle w:val="EndNoteBibliography"/>
        <w:spacing w:after="360"/>
        <w:ind w:left="640" w:hanging="640"/>
        <w:jc w:val="both"/>
        <w:rPr>
          <w:rFonts w:asciiTheme="minorHAnsi" w:hAnsiTheme="minorHAnsi" w:cstheme="minorHAnsi"/>
        </w:rPr>
      </w:pPr>
      <w:r w:rsidRPr="00397AA7">
        <w:rPr>
          <w:rFonts w:asciiTheme="minorHAnsi" w:hAnsiTheme="minorHAnsi" w:cstheme="minorHAnsi"/>
        </w:rPr>
        <w:t>20.</w:t>
      </w:r>
      <w:r w:rsidRPr="00397AA7">
        <w:rPr>
          <w:rFonts w:asciiTheme="minorHAnsi" w:hAnsiTheme="minorHAnsi" w:cstheme="minorHAnsi"/>
        </w:rPr>
        <w:tab/>
      </w:r>
      <w:r w:rsidR="00AD3F4D" w:rsidRPr="00397AA7">
        <w:rPr>
          <w:rFonts w:asciiTheme="minorHAnsi" w:hAnsiTheme="minorHAnsi" w:cstheme="minorHAnsi"/>
        </w:rPr>
        <w:t xml:space="preserve">Cannon JE, Su L, Kiely DG, Page K, Toshner M, Swietlik E, Treacy C, Ponnaberanam A, Condliffe R, Sheares K, Taboada D, Dunning J, Tsui S, Ng C, Gopalan D, Screaton N, Elliot C, Gibbs S, Howard L, Corris P, Lordan J, Johnson M, Peacock A, MacKenzie-Ross R, Schreiber B, Coghlan G, Dimopoulos K, Wort SJ, Gaine S, Moledina S, Jenkins DP, Pepke-Zaba J. Dynamic Risk Stratification of Patient Long-Term Outcome After Pulmonary Endarterectomy: Results From the United Kingdom National Cohort. </w:t>
      </w:r>
      <w:r w:rsidR="00AD3F4D" w:rsidRPr="00397AA7">
        <w:rPr>
          <w:rFonts w:asciiTheme="minorHAnsi" w:hAnsiTheme="minorHAnsi" w:cstheme="minorHAnsi"/>
          <w:i/>
        </w:rPr>
        <w:t xml:space="preserve">Circulation </w:t>
      </w:r>
      <w:r w:rsidR="00AD3F4D" w:rsidRPr="00397AA7">
        <w:rPr>
          <w:rFonts w:asciiTheme="minorHAnsi" w:hAnsiTheme="minorHAnsi" w:cstheme="minorHAnsi"/>
        </w:rPr>
        <w:t xml:space="preserve">2016: </w:t>
      </w:r>
      <w:r w:rsidR="00AD3F4D" w:rsidRPr="00397AA7">
        <w:rPr>
          <w:rFonts w:asciiTheme="minorHAnsi" w:hAnsiTheme="minorHAnsi" w:cstheme="minorHAnsi"/>
          <w:b/>
        </w:rPr>
        <w:t>133</w:t>
      </w:r>
      <w:r w:rsidR="00AD3F4D" w:rsidRPr="00397AA7">
        <w:rPr>
          <w:rFonts w:asciiTheme="minorHAnsi" w:hAnsiTheme="minorHAnsi" w:cstheme="minorHAnsi"/>
        </w:rPr>
        <w:t>: 1761-1771.</w:t>
      </w:r>
    </w:p>
    <w:p w14:paraId="0F821839" w14:textId="00167669" w:rsidR="00AD3F4D" w:rsidRPr="00397AA7" w:rsidRDefault="00EF120B" w:rsidP="000D0BB1">
      <w:pPr>
        <w:widowControl w:val="0"/>
        <w:autoSpaceDE w:val="0"/>
        <w:autoSpaceDN w:val="0"/>
        <w:adjustRightInd w:val="0"/>
        <w:spacing w:line="360" w:lineRule="auto"/>
        <w:ind w:left="640" w:hanging="640"/>
        <w:jc w:val="both"/>
        <w:rPr>
          <w:rFonts w:asciiTheme="minorHAnsi" w:hAnsiTheme="minorHAnsi" w:cstheme="minorHAnsi"/>
          <w:color w:val="000000"/>
        </w:rPr>
      </w:pPr>
      <w:r w:rsidRPr="00397AA7">
        <w:rPr>
          <w:rFonts w:asciiTheme="minorHAnsi" w:hAnsiTheme="minorHAnsi" w:cstheme="minorHAnsi"/>
          <w:noProof/>
        </w:rPr>
        <w:t>21.</w:t>
      </w:r>
      <w:r w:rsidRPr="00397AA7">
        <w:rPr>
          <w:rFonts w:asciiTheme="minorHAnsi" w:hAnsiTheme="minorHAnsi" w:cstheme="minorHAnsi"/>
          <w:noProof/>
        </w:rPr>
        <w:tab/>
        <w:t>Keita I, Aubun-Auger I, Lalann</w:t>
      </w:r>
      <w:r w:rsidR="00AD3F4D" w:rsidRPr="00397AA7">
        <w:rPr>
          <w:rFonts w:asciiTheme="minorHAnsi" w:hAnsiTheme="minorHAnsi" w:cstheme="minorHAnsi"/>
          <w:noProof/>
        </w:rPr>
        <w:t>e</w:t>
      </w:r>
      <w:r w:rsidRPr="00397AA7">
        <w:rPr>
          <w:rFonts w:asciiTheme="minorHAnsi" w:hAnsiTheme="minorHAnsi" w:cstheme="minorHAnsi"/>
          <w:noProof/>
        </w:rPr>
        <w:t xml:space="preserve"> C</w:t>
      </w:r>
      <w:r w:rsidR="00AD3F4D" w:rsidRPr="00397AA7">
        <w:rPr>
          <w:rFonts w:asciiTheme="minorHAnsi" w:hAnsiTheme="minorHAnsi" w:cstheme="minorHAnsi"/>
          <w:noProof/>
        </w:rPr>
        <w:t>, Aubert JP, Chassany O, Dura</w:t>
      </w:r>
      <w:r w:rsidR="00034BE2" w:rsidRPr="00397AA7">
        <w:rPr>
          <w:rFonts w:asciiTheme="minorHAnsi" w:hAnsiTheme="minorHAnsi" w:cstheme="minorHAnsi"/>
          <w:noProof/>
        </w:rPr>
        <w:t>cinsky, Mah</w:t>
      </w:r>
      <w:r w:rsidR="00034BE2" w:rsidRPr="00397AA7">
        <w:rPr>
          <w:rFonts w:ascii="Calibri" w:hAnsi="Calibri" w:cs="Calibri"/>
          <w:noProof/>
        </w:rPr>
        <w:t>é.</w:t>
      </w:r>
      <w:r w:rsidR="00034BE2" w:rsidRPr="00397AA7">
        <w:rPr>
          <w:rFonts w:asciiTheme="minorHAnsi" w:hAnsiTheme="minorHAnsi" w:cstheme="minorHAnsi"/>
          <w:noProof/>
        </w:rPr>
        <w:t xml:space="preserve"> </w:t>
      </w:r>
      <w:r w:rsidRPr="00397AA7">
        <w:rPr>
          <w:rFonts w:asciiTheme="minorHAnsi" w:hAnsiTheme="minorHAnsi" w:cstheme="minorHAnsi"/>
          <w:noProof/>
        </w:rPr>
        <w:t xml:space="preserve">Assessment of qulaity of life, satisfaction with anticoagulation therapy and adherence to treatment in patients receiving long-course vitamin K antagonists or direct oral anticoagulants for venous thromboembolism. </w:t>
      </w:r>
      <w:r w:rsidRPr="00397AA7">
        <w:rPr>
          <w:rFonts w:asciiTheme="minorHAnsi" w:hAnsiTheme="minorHAnsi" w:cstheme="minorHAnsi"/>
          <w:i/>
          <w:noProof/>
        </w:rPr>
        <w:t>Patient Prefer Adherence</w:t>
      </w:r>
      <w:r w:rsidRPr="00397AA7">
        <w:rPr>
          <w:rFonts w:asciiTheme="minorHAnsi" w:hAnsiTheme="minorHAnsi" w:cstheme="minorHAnsi"/>
          <w:noProof/>
        </w:rPr>
        <w:t xml:space="preserve"> 2017;</w:t>
      </w:r>
      <w:r w:rsidRPr="00397AA7">
        <w:rPr>
          <w:rFonts w:asciiTheme="minorHAnsi" w:hAnsiTheme="minorHAnsi" w:cstheme="minorHAnsi"/>
          <w:b/>
          <w:noProof/>
        </w:rPr>
        <w:t>25</w:t>
      </w:r>
      <w:r w:rsidRPr="00397AA7">
        <w:rPr>
          <w:rFonts w:asciiTheme="minorHAnsi" w:hAnsiTheme="minorHAnsi" w:cstheme="minorHAnsi"/>
          <w:noProof/>
        </w:rPr>
        <w:t>:</w:t>
      </w:r>
      <w:r w:rsidR="00034BE2" w:rsidRPr="00397AA7">
        <w:rPr>
          <w:rFonts w:asciiTheme="minorHAnsi" w:hAnsiTheme="minorHAnsi" w:cstheme="minorHAnsi"/>
          <w:noProof/>
        </w:rPr>
        <w:t xml:space="preserve"> </w:t>
      </w:r>
      <w:r w:rsidRPr="00397AA7">
        <w:rPr>
          <w:rFonts w:asciiTheme="minorHAnsi" w:hAnsiTheme="minorHAnsi" w:cstheme="minorHAnsi"/>
          <w:noProof/>
        </w:rPr>
        <w:t>1625-1634</w:t>
      </w:r>
      <w:r w:rsidR="00034BE2" w:rsidRPr="00397AA7">
        <w:rPr>
          <w:rFonts w:asciiTheme="minorHAnsi" w:hAnsiTheme="minorHAnsi" w:cstheme="minorHAnsi"/>
          <w:color w:val="000000"/>
        </w:rPr>
        <w:t xml:space="preserve"> </w:t>
      </w:r>
    </w:p>
    <w:p w14:paraId="4CF8C2A6" w14:textId="77777777" w:rsidR="00AD3F4D" w:rsidRPr="00397AA7" w:rsidRDefault="00AD3F4D" w:rsidP="000D0BB1">
      <w:pPr>
        <w:widowControl w:val="0"/>
        <w:autoSpaceDE w:val="0"/>
        <w:autoSpaceDN w:val="0"/>
        <w:adjustRightInd w:val="0"/>
        <w:spacing w:line="360" w:lineRule="auto"/>
        <w:ind w:left="640" w:hanging="640"/>
        <w:rPr>
          <w:rFonts w:asciiTheme="minorHAnsi" w:hAnsiTheme="minorHAnsi" w:cstheme="minorHAnsi"/>
          <w:color w:val="000000"/>
        </w:rPr>
      </w:pPr>
    </w:p>
    <w:p w14:paraId="6F00D851" w14:textId="621AAFBD" w:rsidR="00FF70BD" w:rsidRPr="00397AA7" w:rsidRDefault="00EF120B" w:rsidP="000D0BB1">
      <w:pPr>
        <w:widowControl w:val="0"/>
        <w:autoSpaceDE w:val="0"/>
        <w:autoSpaceDN w:val="0"/>
        <w:adjustRightInd w:val="0"/>
        <w:spacing w:line="360" w:lineRule="auto"/>
        <w:ind w:left="640" w:hanging="640"/>
        <w:jc w:val="both"/>
        <w:rPr>
          <w:rFonts w:asciiTheme="minorHAnsi" w:hAnsiTheme="minorHAnsi" w:cstheme="minorHAnsi"/>
          <w:noProof/>
        </w:rPr>
      </w:pPr>
      <w:r w:rsidRPr="00397AA7">
        <w:rPr>
          <w:rFonts w:asciiTheme="minorHAnsi" w:hAnsiTheme="minorHAnsi" w:cstheme="minorHAnsi"/>
          <w:noProof/>
        </w:rPr>
        <w:t>22.</w:t>
      </w:r>
      <w:r w:rsidRPr="00397AA7">
        <w:rPr>
          <w:rFonts w:asciiTheme="minorHAnsi" w:hAnsiTheme="minorHAnsi" w:cstheme="minorHAnsi"/>
          <w:noProof/>
        </w:rPr>
        <w:tab/>
      </w:r>
      <w:r w:rsidR="00FF70BD" w:rsidRPr="00397AA7">
        <w:rPr>
          <w:rFonts w:asciiTheme="minorHAnsi" w:hAnsiTheme="minorHAnsi" w:cstheme="minorHAnsi"/>
          <w:noProof/>
        </w:rPr>
        <w:t xml:space="preserve">Mai V, Bertoletti L, Cucherat M. Extended anticogulation for the secondary prevention of venous thromboembolic events: An updated network meta-analysis. </w:t>
      </w:r>
      <w:r w:rsidR="00FF70BD" w:rsidRPr="00397AA7">
        <w:rPr>
          <w:rFonts w:asciiTheme="minorHAnsi" w:hAnsiTheme="minorHAnsi" w:cstheme="minorHAnsi"/>
          <w:i/>
          <w:noProof/>
        </w:rPr>
        <w:t>PLoS One</w:t>
      </w:r>
      <w:r w:rsidR="00FF70BD" w:rsidRPr="00397AA7">
        <w:rPr>
          <w:rFonts w:asciiTheme="minorHAnsi" w:hAnsiTheme="minorHAnsi" w:cstheme="minorHAnsi"/>
          <w:noProof/>
        </w:rPr>
        <w:t xml:space="preserve"> 2019</w:t>
      </w:r>
      <w:r w:rsidR="00034BE2" w:rsidRPr="00397AA7">
        <w:rPr>
          <w:rFonts w:asciiTheme="minorHAnsi" w:hAnsiTheme="minorHAnsi" w:cstheme="minorHAnsi"/>
          <w:noProof/>
        </w:rPr>
        <w:t xml:space="preserve">; </w:t>
      </w:r>
      <w:r w:rsidR="00FF70BD" w:rsidRPr="00397AA7">
        <w:rPr>
          <w:rFonts w:asciiTheme="minorHAnsi" w:hAnsiTheme="minorHAnsi" w:cstheme="minorHAnsi"/>
          <w:b/>
          <w:noProof/>
        </w:rPr>
        <w:t>14</w:t>
      </w:r>
      <w:r w:rsidR="00034BE2" w:rsidRPr="00397AA7">
        <w:rPr>
          <w:rFonts w:asciiTheme="minorHAnsi" w:hAnsiTheme="minorHAnsi" w:cstheme="minorHAnsi"/>
          <w:noProof/>
        </w:rPr>
        <w:t xml:space="preserve">: </w:t>
      </w:r>
      <w:r w:rsidR="00FF70BD" w:rsidRPr="00397AA7">
        <w:rPr>
          <w:rFonts w:asciiTheme="minorHAnsi" w:hAnsiTheme="minorHAnsi" w:cstheme="minorHAnsi"/>
          <w:noProof/>
        </w:rPr>
        <w:t>e0214134</w:t>
      </w:r>
    </w:p>
    <w:p w14:paraId="2E011BE5" w14:textId="77777777" w:rsidR="00034BE2" w:rsidRPr="00397AA7" w:rsidRDefault="00034BE2" w:rsidP="000D0BB1">
      <w:pPr>
        <w:widowControl w:val="0"/>
        <w:autoSpaceDE w:val="0"/>
        <w:autoSpaceDN w:val="0"/>
        <w:adjustRightInd w:val="0"/>
        <w:spacing w:line="360" w:lineRule="auto"/>
        <w:rPr>
          <w:rFonts w:asciiTheme="minorHAnsi" w:hAnsiTheme="minorHAnsi" w:cstheme="minorHAnsi"/>
          <w:noProof/>
        </w:rPr>
      </w:pPr>
    </w:p>
    <w:p w14:paraId="36DD17C3" w14:textId="7E4298A4" w:rsidR="00EF120B" w:rsidRPr="00397AA7" w:rsidRDefault="00EF120B" w:rsidP="000D0BB1">
      <w:pPr>
        <w:widowControl w:val="0"/>
        <w:autoSpaceDE w:val="0"/>
        <w:autoSpaceDN w:val="0"/>
        <w:adjustRightInd w:val="0"/>
        <w:spacing w:line="360" w:lineRule="auto"/>
        <w:ind w:left="640" w:hanging="640"/>
        <w:jc w:val="both"/>
        <w:rPr>
          <w:rFonts w:asciiTheme="minorHAnsi" w:hAnsiTheme="minorHAnsi" w:cstheme="minorHAnsi"/>
          <w:noProof/>
        </w:rPr>
      </w:pPr>
      <w:r w:rsidRPr="00397AA7">
        <w:rPr>
          <w:rFonts w:asciiTheme="minorHAnsi" w:hAnsiTheme="minorHAnsi" w:cstheme="minorHAnsi"/>
          <w:noProof/>
        </w:rPr>
        <w:t xml:space="preserve">23. </w:t>
      </w:r>
      <w:r w:rsidRPr="00397AA7">
        <w:rPr>
          <w:rFonts w:asciiTheme="minorHAnsi" w:hAnsiTheme="minorHAnsi" w:cstheme="minorHAnsi"/>
          <w:noProof/>
        </w:rPr>
        <w:tab/>
      </w:r>
      <w:r w:rsidR="00FF70BD" w:rsidRPr="00397AA7">
        <w:rPr>
          <w:rFonts w:asciiTheme="minorHAnsi" w:hAnsiTheme="minorHAnsi" w:cstheme="minorHAnsi"/>
          <w:noProof/>
        </w:rPr>
        <w:t>Ghofrani H-A, D’Armini AM, Grimminger F,</w:t>
      </w:r>
      <w:r w:rsidR="00034BE2" w:rsidRPr="00397AA7">
        <w:rPr>
          <w:rFonts w:asciiTheme="minorHAnsi" w:hAnsiTheme="minorHAnsi" w:cstheme="minorHAnsi"/>
          <w:noProof/>
        </w:rPr>
        <w:t xml:space="preserve"> Hoeper M, Jansa P, Kim NH, Mayer E, Simonneau G, Wilkins MR, Fritsch A, Neuser D, Weimann G, Wang C for the CHEST-1 Study Group</w:t>
      </w:r>
      <w:r w:rsidR="00FF70BD" w:rsidRPr="00397AA7">
        <w:rPr>
          <w:rFonts w:asciiTheme="minorHAnsi" w:hAnsiTheme="minorHAnsi" w:cstheme="minorHAnsi"/>
          <w:noProof/>
        </w:rPr>
        <w:t xml:space="preserve">. Riociguat for the treatment of chronic thromboembolic pulmonary hypertension. </w:t>
      </w:r>
      <w:r w:rsidR="00FF70BD" w:rsidRPr="00397AA7">
        <w:rPr>
          <w:rFonts w:asciiTheme="minorHAnsi" w:hAnsiTheme="minorHAnsi" w:cstheme="minorHAnsi"/>
          <w:i/>
          <w:iCs/>
          <w:noProof/>
        </w:rPr>
        <w:t>N Engl J Med</w:t>
      </w:r>
      <w:r w:rsidR="00FF70BD" w:rsidRPr="00397AA7">
        <w:rPr>
          <w:rFonts w:asciiTheme="minorHAnsi" w:hAnsiTheme="minorHAnsi" w:cstheme="minorHAnsi"/>
          <w:noProof/>
        </w:rPr>
        <w:t xml:space="preserve"> 2013;</w:t>
      </w:r>
      <w:r w:rsidR="00FF70BD" w:rsidRPr="00397AA7">
        <w:rPr>
          <w:rFonts w:asciiTheme="minorHAnsi" w:hAnsiTheme="minorHAnsi" w:cstheme="minorHAnsi"/>
          <w:b/>
          <w:noProof/>
        </w:rPr>
        <w:t>369</w:t>
      </w:r>
      <w:r w:rsidR="00FF70BD" w:rsidRPr="00397AA7">
        <w:rPr>
          <w:rFonts w:asciiTheme="minorHAnsi" w:hAnsiTheme="minorHAnsi" w:cstheme="minorHAnsi"/>
          <w:noProof/>
        </w:rPr>
        <w:t xml:space="preserve">:319-329. </w:t>
      </w:r>
    </w:p>
    <w:p w14:paraId="6A5DBCC1" w14:textId="5BE6CCAE" w:rsidR="00034BE2" w:rsidRPr="00397AA7" w:rsidRDefault="00034BE2" w:rsidP="000D0BB1">
      <w:pPr>
        <w:widowControl w:val="0"/>
        <w:autoSpaceDE w:val="0"/>
        <w:autoSpaceDN w:val="0"/>
        <w:adjustRightInd w:val="0"/>
        <w:spacing w:line="360" w:lineRule="auto"/>
        <w:rPr>
          <w:rFonts w:asciiTheme="minorHAnsi" w:hAnsiTheme="minorHAnsi" w:cstheme="minorHAnsi"/>
          <w:noProof/>
        </w:rPr>
      </w:pPr>
    </w:p>
    <w:p w14:paraId="6BC88AFE" w14:textId="03C4729E" w:rsidR="00EF120B" w:rsidRPr="00397AA7" w:rsidRDefault="00EF120B" w:rsidP="000D0BB1">
      <w:pPr>
        <w:widowControl w:val="0"/>
        <w:autoSpaceDE w:val="0"/>
        <w:autoSpaceDN w:val="0"/>
        <w:adjustRightInd w:val="0"/>
        <w:spacing w:line="360" w:lineRule="auto"/>
        <w:ind w:left="640" w:hanging="640"/>
        <w:rPr>
          <w:rFonts w:asciiTheme="minorHAnsi" w:hAnsiTheme="minorHAnsi" w:cstheme="minorHAnsi"/>
          <w:noProof/>
        </w:rPr>
      </w:pPr>
      <w:r w:rsidRPr="00397AA7">
        <w:rPr>
          <w:rFonts w:asciiTheme="minorHAnsi" w:hAnsiTheme="minorHAnsi" w:cstheme="minorHAnsi"/>
          <w:noProof/>
        </w:rPr>
        <w:t>24.</w:t>
      </w:r>
      <w:r w:rsidRPr="00397AA7">
        <w:rPr>
          <w:rFonts w:asciiTheme="minorHAnsi" w:hAnsiTheme="minorHAnsi" w:cstheme="minorHAnsi"/>
          <w:noProof/>
        </w:rPr>
        <w:tab/>
        <w:t xml:space="preserve">Wolf M, Boyer-Neumann C, Parent F, </w:t>
      </w:r>
      <w:r w:rsidR="00034BE2" w:rsidRPr="00397AA7">
        <w:rPr>
          <w:rFonts w:asciiTheme="minorHAnsi" w:hAnsiTheme="minorHAnsi" w:cstheme="minorHAnsi"/>
          <w:noProof/>
        </w:rPr>
        <w:t>Eschwege V, Jaillet H, Meye D, Simonneau G</w:t>
      </w:r>
      <w:r w:rsidRPr="00397AA7">
        <w:rPr>
          <w:rFonts w:asciiTheme="minorHAnsi" w:hAnsiTheme="minorHAnsi" w:cstheme="minorHAnsi"/>
          <w:noProof/>
        </w:rPr>
        <w:t xml:space="preserve">. Thrombotic risk factors in pulmonary hypertension. </w:t>
      </w:r>
      <w:r w:rsidRPr="00397AA7">
        <w:rPr>
          <w:rFonts w:asciiTheme="minorHAnsi" w:hAnsiTheme="minorHAnsi" w:cstheme="minorHAnsi"/>
          <w:i/>
          <w:iCs/>
          <w:noProof/>
        </w:rPr>
        <w:t>Eur Respir J</w:t>
      </w:r>
      <w:r w:rsidRPr="00397AA7">
        <w:rPr>
          <w:rFonts w:asciiTheme="minorHAnsi" w:hAnsiTheme="minorHAnsi" w:cstheme="minorHAnsi"/>
          <w:noProof/>
        </w:rPr>
        <w:t xml:space="preserve"> 2000;</w:t>
      </w:r>
      <w:r w:rsidRPr="00397AA7">
        <w:rPr>
          <w:rFonts w:asciiTheme="minorHAnsi" w:hAnsiTheme="minorHAnsi" w:cstheme="minorHAnsi"/>
          <w:b/>
          <w:noProof/>
        </w:rPr>
        <w:t>15</w:t>
      </w:r>
      <w:r w:rsidRPr="00397AA7">
        <w:rPr>
          <w:rFonts w:asciiTheme="minorHAnsi" w:hAnsiTheme="minorHAnsi" w:cstheme="minorHAnsi"/>
          <w:noProof/>
        </w:rPr>
        <w:t xml:space="preserve">:395-399. </w:t>
      </w:r>
    </w:p>
    <w:p w14:paraId="3974FDD1" w14:textId="77777777" w:rsidR="00034BE2" w:rsidRPr="00397AA7" w:rsidRDefault="00034BE2" w:rsidP="000D0BB1">
      <w:pPr>
        <w:widowControl w:val="0"/>
        <w:autoSpaceDE w:val="0"/>
        <w:autoSpaceDN w:val="0"/>
        <w:adjustRightInd w:val="0"/>
        <w:spacing w:line="360" w:lineRule="auto"/>
        <w:rPr>
          <w:rFonts w:asciiTheme="minorHAnsi" w:hAnsiTheme="minorHAnsi" w:cstheme="minorHAnsi"/>
          <w:noProof/>
        </w:rPr>
      </w:pPr>
    </w:p>
    <w:p w14:paraId="0150002B" w14:textId="10FD8E7B" w:rsidR="00EF120B" w:rsidRPr="00397AA7" w:rsidRDefault="00EF120B" w:rsidP="000D0BB1">
      <w:pPr>
        <w:spacing w:line="360" w:lineRule="auto"/>
        <w:ind w:left="640" w:hanging="640"/>
        <w:jc w:val="both"/>
        <w:rPr>
          <w:rFonts w:asciiTheme="minorHAnsi" w:hAnsiTheme="minorHAnsi" w:cstheme="minorHAnsi"/>
        </w:rPr>
      </w:pPr>
      <w:r w:rsidRPr="00397AA7">
        <w:rPr>
          <w:rFonts w:asciiTheme="minorHAnsi" w:hAnsiTheme="minorHAnsi" w:cstheme="minorHAnsi"/>
          <w:color w:val="000000"/>
        </w:rPr>
        <w:lastRenderedPageBreak/>
        <w:t>25.</w:t>
      </w:r>
      <w:r w:rsidRPr="00397AA7">
        <w:rPr>
          <w:rFonts w:asciiTheme="minorHAnsi" w:hAnsiTheme="minorHAnsi" w:cstheme="minorHAnsi"/>
          <w:noProof/>
        </w:rPr>
        <w:tab/>
      </w:r>
      <w:r w:rsidR="00034BE2" w:rsidRPr="00397AA7">
        <w:rPr>
          <w:rStyle w:val="nlm-surname"/>
          <w:rFonts w:ascii="Helvetica Neue" w:hAnsi="Helvetica Neue"/>
          <w:color w:val="25171C"/>
          <w:sz w:val="21"/>
          <w:szCs w:val="21"/>
          <w:bdr w:val="none" w:sz="0" w:space="0" w:color="auto" w:frame="1"/>
          <w:shd w:val="clear" w:color="auto" w:fill="F5F5F5"/>
        </w:rPr>
        <w:t>P</w:t>
      </w:r>
      <w:r w:rsidR="00034BE2" w:rsidRPr="00397AA7">
        <w:rPr>
          <w:rStyle w:val="nlm-surname"/>
          <w:rFonts w:asciiTheme="minorHAnsi" w:hAnsiTheme="minorHAnsi" w:cstheme="minorHAnsi"/>
          <w:color w:val="25171C"/>
          <w:bdr w:val="none" w:sz="0" w:space="0" w:color="auto" w:frame="1"/>
          <w:shd w:val="clear" w:color="auto" w:fill="F5F5F5"/>
        </w:rPr>
        <w:t>engo</w:t>
      </w:r>
      <w:r w:rsidR="00034BE2" w:rsidRPr="00397AA7">
        <w:rPr>
          <w:rFonts w:asciiTheme="minorHAnsi" w:hAnsiTheme="minorHAnsi" w:cstheme="minorHAnsi"/>
          <w:color w:val="25171C"/>
          <w:shd w:val="clear" w:color="auto" w:fill="F5F5F5"/>
        </w:rPr>
        <w:t xml:space="preserve"> V, </w:t>
      </w:r>
      <w:r w:rsidR="00034BE2" w:rsidRPr="00397AA7">
        <w:rPr>
          <w:rStyle w:val="nlm-surname"/>
          <w:rFonts w:asciiTheme="minorHAnsi" w:hAnsiTheme="minorHAnsi" w:cstheme="minorHAnsi"/>
          <w:color w:val="25171C"/>
          <w:bdr w:val="none" w:sz="0" w:space="0" w:color="auto" w:frame="1"/>
          <w:shd w:val="clear" w:color="auto" w:fill="F5F5F5"/>
        </w:rPr>
        <w:t>Denas</w:t>
      </w:r>
      <w:r w:rsidR="00034BE2" w:rsidRPr="00397AA7">
        <w:rPr>
          <w:rFonts w:asciiTheme="minorHAnsi" w:hAnsiTheme="minorHAnsi" w:cstheme="minorHAnsi"/>
          <w:color w:val="25171C"/>
          <w:shd w:val="clear" w:color="auto" w:fill="F5F5F5"/>
        </w:rPr>
        <w:t xml:space="preserve"> G, </w:t>
      </w:r>
      <w:r w:rsidR="00034BE2" w:rsidRPr="00397AA7">
        <w:rPr>
          <w:rStyle w:val="nlm-surname"/>
          <w:rFonts w:asciiTheme="minorHAnsi" w:hAnsiTheme="minorHAnsi" w:cstheme="minorHAnsi"/>
          <w:color w:val="25171C"/>
          <w:bdr w:val="none" w:sz="0" w:space="0" w:color="auto" w:frame="1"/>
          <w:shd w:val="clear" w:color="auto" w:fill="F5F5F5"/>
        </w:rPr>
        <w:t>Zoppellaro</w:t>
      </w:r>
      <w:r w:rsidR="00034BE2" w:rsidRPr="00397AA7">
        <w:rPr>
          <w:rFonts w:asciiTheme="minorHAnsi" w:hAnsiTheme="minorHAnsi" w:cstheme="minorHAnsi"/>
          <w:color w:val="25171C"/>
          <w:shd w:val="clear" w:color="auto" w:fill="F5F5F5"/>
        </w:rPr>
        <w:t xml:space="preserve"> G, </w:t>
      </w:r>
      <w:r w:rsidR="00034BE2" w:rsidRPr="00397AA7">
        <w:rPr>
          <w:rStyle w:val="nlm-surname"/>
          <w:rFonts w:asciiTheme="minorHAnsi" w:hAnsiTheme="minorHAnsi" w:cstheme="minorHAnsi"/>
          <w:color w:val="25171C"/>
          <w:bdr w:val="none" w:sz="0" w:space="0" w:color="auto" w:frame="1"/>
          <w:shd w:val="clear" w:color="auto" w:fill="F5F5F5"/>
        </w:rPr>
        <w:t>Jose</w:t>
      </w:r>
      <w:r w:rsidR="00034BE2" w:rsidRPr="00397AA7">
        <w:rPr>
          <w:rFonts w:asciiTheme="minorHAnsi" w:hAnsiTheme="minorHAnsi" w:cstheme="minorHAnsi"/>
          <w:color w:val="25171C"/>
          <w:shd w:val="clear" w:color="auto" w:fill="F5F5F5"/>
        </w:rPr>
        <w:t xml:space="preserve"> SP, </w:t>
      </w:r>
      <w:r w:rsidR="00034BE2" w:rsidRPr="00397AA7">
        <w:rPr>
          <w:rStyle w:val="nlm-surname"/>
          <w:rFonts w:asciiTheme="minorHAnsi" w:hAnsiTheme="minorHAnsi" w:cstheme="minorHAnsi"/>
          <w:color w:val="25171C"/>
          <w:bdr w:val="none" w:sz="0" w:space="0" w:color="auto" w:frame="1"/>
          <w:shd w:val="clear" w:color="auto" w:fill="F5F5F5"/>
        </w:rPr>
        <w:t>Hoxha</w:t>
      </w:r>
      <w:r w:rsidR="00034BE2" w:rsidRPr="00397AA7">
        <w:rPr>
          <w:rFonts w:asciiTheme="minorHAnsi" w:hAnsiTheme="minorHAnsi" w:cstheme="minorHAnsi"/>
          <w:color w:val="25171C"/>
          <w:shd w:val="clear" w:color="auto" w:fill="F5F5F5"/>
        </w:rPr>
        <w:t xml:space="preserve"> A, </w:t>
      </w:r>
      <w:r w:rsidR="00034BE2" w:rsidRPr="00397AA7">
        <w:rPr>
          <w:rStyle w:val="nlm-surname"/>
          <w:rFonts w:asciiTheme="minorHAnsi" w:hAnsiTheme="minorHAnsi" w:cstheme="minorHAnsi"/>
          <w:color w:val="25171C"/>
          <w:bdr w:val="none" w:sz="0" w:space="0" w:color="auto" w:frame="1"/>
          <w:shd w:val="clear" w:color="auto" w:fill="F5F5F5"/>
        </w:rPr>
        <w:t>Ruffatti</w:t>
      </w:r>
      <w:r w:rsidR="00034BE2" w:rsidRPr="00397AA7">
        <w:rPr>
          <w:rFonts w:asciiTheme="minorHAnsi" w:hAnsiTheme="minorHAnsi" w:cstheme="minorHAnsi"/>
          <w:color w:val="25171C"/>
          <w:shd w:val="clear" w:color="auto" w:fill="F5F5F5"/>
        </w:rPr>
        <w:t xml:space="preserve"> A,</w:t>
      </w:r>
      <w:r w:rsidR="00562D35" w:rsidRPr="00397AA7">
        <w:rPr>
          <w:rFonts w:asciiTheme="minorHAnsi" w:hAnsiTheme="minorHAnsi" w:cstheme="minorHAnsi"/>
          <w:color w:val="25171C"/>
          <w:shd w:val="clear" w:color="auto" w:fill="F5F5F5"/>
        </w:rPr>
        <w:t xml:space="preserve"> </w:t>
      </w:r>
      <w:r w:rsidR="00034BE2" w:rsidRPr="00397AA7">
        <w:rPr>
          <w:rStyle w:val="nlm-surname"/>
          <w:rFonts w:asciiTheme="minorHAnsi" w:hAnsiTheme="minorHAnsi" w:cstheme="minorHAnsi"/>
          <w:color w:val="25171C"/>
          <w:bdr w:val="none" w:sz="0" w:space="0" w:color="auto" w:frame="1"/>
          <w:shd w:val="clear" w:color="auto" w:fill="F5F5F5"/>
        </w:rPr>
        <w:t>Andreoli</w:t>
      </w:r>
      <w:r w:rsidR="00034BE2" w:rsidRPr="00397AA7">
        <w:rPr>
          <w:rFonts w:asciiTheme="minorHAnsi" w:hAnsiTheme="minorHAnsi" w:cstheme="minorHAnsi"/>
          <w:color w:val="25171C"/>
          <w:shd w:val="clear" w:color="auto" w:fill="F5F5F5"/>
        </w:rPr>
        <w:t xml:space="preserve"> L, </w:t>
      </w:r>
      <w:r w:rsidR="00034BE2" w:rsidRPr="00397AA7">
        <w:rPr>
          <w:rStyle w:val="nlm-surname"/>
          <w:rFonts w:asciiTheme="minorHAnsi" w:hAnsiTheme="minorHAnsi" w:cstheme="minorHAnsi"/>
          <w:color w:val="25171C"/>
          <w:bdr w:val="none" w:sz="0" w:space="0" w:color="auto" w:frame="1"/>
          <w:shd w:val="clear" w:color="auto" w:fill="F5F5F5"/>
        </w:rPr>
        <w:t>Tincani</w:t>
      </w:r>
      <w:r w:rsidR="00034BE2" w:rsidRPr="00397AA7">
        <w:rPr>
          <w:rFonts w:asciiTheme="minorHAnsi" w:hAnsiTheme="minorHAnsi" w:cstheme="minorHAnsi"/>
          <w:color w:val="25171C"/>
          <w:shd w:val="clear" w:color="auto" w:fill="F5F5F5"/>
        </w:rPr>
        <w:t xml:space="preserve"> A, </w:t>
      </w:r>
      <w:r w:rsidR="00034BE2" w:rsidRPr="00397AA7">
        <w:rPr>
          <w:rStyle w:val="nlm-surname"/>
          <w:rFonts w:asciiTheme="minorHAnsi" w:hAnsiTheme="minorHAnsi" w:cstheme="minorHAnsi"/>
          <w:color w:val="25171C"/>
          <w:bdr w:val="none" w:sz="0" w:space="0" w:color="auto" w:frame="1"/>
          <w:shd w:val="clear" w:color="auto" w:fill="F5F5F5"/>
        </w:rPr>
        <w:t>Cenci</w:t>
      </w:r>
      <w:r w:rsidR="00034BE2" w:rsidRPr="00397AA7">
        <w:rPr>
          <w:rFonts w:asciiTheme="minorHAnsi" w:hAnsiTheme="minorHAnsi" w:cstheme="minorHAnsi"/>
          <w:color w:val="25171C"/>
          <w:shd w:val="clear" w:color="auto" w:fill="F5F5F5"/>
        </w:rPr>
        <w:t xml:space="preserve"> C, </w:t>
      </w:r>
      <w:r w:rsidR="00034BE2" w:rsidRPr="00397AA7">
        <w:rPr>
          <w:rStyle w:val="nlm-surname"/>
          <w:rFonts w:asciiTheme="minorHAnsi" w:hAnsiTheme="minorHAnsi" w:cstheme="minorHAnsi"/>
          <w:color w:val="25171C"/>
          <w:bdr w:val="none" w:sz="0" w:space="0" w:color="auto" w:frame="1"/>
          <w:shd w:val="clear" w:color="auto" w:fill="F5F5F5"/>
        </w:rPr>
        <w:t>Prisco</w:t>
      </w:r>
      <w:r w:rsidR="00034BE2" w:rsidRPr="00397AA7">
        <w:rPr>
          <w:rFonts w:asciiTheme="minorHAnsi" w:hAnsiTheme="minorHAnsi" w:cstheme="minorHAnsi"/>
          <w:color w:val="25171C"/>
          <w:shd w:val="clear" w:color="auto" w:fill="F5F5F5"/>
        </w:rPr>
        <w:t xml:space="preserve"> D, </w:t>
      </w:r>
      <w:r w:rsidR="00034BE2" w:rsidRPr="00397AA7">
        <w:rPr>
          <w:rStyle w:val="nlm-surname"/>
          <w:rFonts w:asciiTheme="minorHAnsi" w:hAnsiTheme="minorHAnsi" w:cstheme="minorHAnsi"/>
          <w:color w:val="25171C"/>
          <w:bdr w:val="none" w:sz="0" w:space="0" w:color="auto" w:frame="1"/>
          <w:shd w:val="clear" w:color="auto" w:fill="F5F5F5"/>
        </w:rPr>
        <w:t>Fierro</w:t>
      </w:r>
      <w:r w:rsidR="00034BE2" w:rsidRPr="00397AA7">
        <w:rPr>
          <w:rFonts w:asciiTheme="minorHAnsi" w:hAnsiTheme="minorHAnsi" w:cstheme="minorHAnsi"/>
          <w:color w:val="25171C"/>
          <w:shd w:val="clear" w:color="auto" w:fill="F5F5F5"/>
        </w:rPr>
        <w:t xml:space="preserve"> T, </w:t>
      </w:r>
      <w:r w:rsidR="00034BE2" w:rsidRPr="00397AA7">
        <w:rPr>
          <w:rStyle w:val="nlm-surname"/>
          <w:rFonts w:asciiTheme="minorHAnsi" w:hAnsiTheme="minorHAnsi" w:cstheme="minorHAnsi"/>
          <w:color w:val="25171C"/>
          <w:bdr w:val="none" w:sz="0" w:space="0" w:color="auto" w:frame="1"/>
          <w:shd w:val="clear" w:color="auto" w:fill="F5F5F5"/>
        </w:rPr>
        <w:t>Gresele</w:t>
      </w:r>
      <w:r w:rsidR="00034BE2" w:rsidRPr="00397AA7">
        <w:rPr>
          <w:rFonts w:asciiTheme="minorHAnsi" w:hAnsiTheme="minorHAnsi" w:cstheme="minorHAnsi"/>
          <w:color w:val="25171C"/>
          <w:shd w:val="clear" w:color="auto" w:fill="F5F5F5"/>
        </w:rPr>
        <w:t xml:space="preserve"> P, </w:t>
      </w:r>
      <w:r w:rsidR="00034BE2" w:rsidRPr="00397AA7">
        <w:rPr>
          <w:rStyle w:val="nlm-surname"/>
          <w:rFonts w:asciiTheme="minorHAnsi" w:hAnsiTheme="minorHAnsi" w:cstheme="minorHAnsi"/>
          <w:color w:val="25171C"/>
          <w:bdr w:val="none" w:sz="0" w:space="0" w:color="auto" w:frame="1"/>
          <w:shd w:val="clear" w:color="auto" w:fill="F5F5F5"/>
        </w:rPr>
        <w:t>Cafolla</w:t>
      </w:r>
      <w:r w:rsidR="00034BE2" w:rsidRPr="00397AA7">
        <w:rPr>
          <w:rFonts w:asciiTheme="minorHAnsi" w:hAnsiTheme="minorHAnsi" w:cstheme="minorHAnsi"/>
          <w:color w:val="25171C"/>
          <w:shd w:val="clear" w:color="auto" w:fill="F5F5F5"/>
        </w:rPr>
        <w:t xml:space="preserve"> A,</w:t>
      </w:r>
      <w:r w:rsidR="00562D35" w:rsidRPr="00397AA7">
        <w:rPr>
          <w:rFonts w:asciiTheme="minorHAnsi" w:hAnsiTheme="minorHAnsi" w:cstheme="minorHAnsi"/>
          <w:color w:val="25171C"/>
          <w:shd w:val="clear" w:color="auto" w:fill="F5F5F5"/>
        </w:rPr>
        <w:t xml:space="preserve"> </w:t>
      </w:r>
      <w:r w:rsidR="00034BE2" w:rsidRPr="00397AA7">
        <w:rPr>
          <w:rStyle w:val="nlm-surname"/>
          <w:rFonts w:asciiTheme="minorHAnsi" w:hAnsiTheme="minorHAnsi" w:cstheme="minorHAnsi"/>
          <w:color w:val="25171C"/>
          <w:bdr w:val="none" w:sz="0" w:space="0" w:color="auto" w:frame="1"/>
          <w:shd w:val="clear" w:color="auto" w:fill="F5F5F5"/>
        </w:rPr>
        <w:t>De Micheli</w:t>
      </w:r>
      <w:r w:rsidR="00034BE2" w:rsidRPr="00397AA7">
        <w:rPr>
          <w:rFonts w:asciiTheme="minorHAnsi" w:hAnsiTheme="minorHAnsi" w:cstheme="minorHAnsi"/>
          <w:color w:val="25171C"/>
          <w:shd w:val="clear" w:color="auto" w:fill="F5F5F5"/>
        </w:rPr>
        <w:t xml:space="preserve"> V, </w:t>
      </w:r>
      <w:r w:rsidR="00034BE2" w:rsidRPr="00397AA7">
        <w:rPr>
          <w:rStyle w:val="nlm-surname"/>
          <w:rFonts w:asciiTheme="minorHAnsi" w:hAnsiTheme="minorHAnsi" w:cstheme="minorHAnsi"/>
          <w:color w:val="25171C"/>
          <w:bdr w:val="none" w:sz="0" w:space="0" w:color="auto" w:frame="1"/>
          <w:shd w:val="clear" w:color="auto" w:fill="F5F5F5"/>
        </w:rPr>
        <w:t>Ghirarduzzi</w:t>
      </w:r>
      <w:r w:rsidR="00034BE2" w:rsidRPr="00397AA7">
        <w:rPr>
          <w:rFonts w:asciiTheme="minorHAnsi" w:hAnsiTheme="minorHAnsi" w:cstheme="minorHAnsi"/>
          <w:color w:val="25171C"/>
          <w:shd w:val="clear" w:color="auto" w:fill="F5F5F5"/>
        </w:rPr>
        <w:t>, A., </w:t>
      </w:r>
      <w:r w:rsidR="00034BE2" w:rsidRPr="00397AA7">
        <w:rPr>
          <w:rStyle w:val="nlm-surname"/>
          <w:rFonts w:asciiTheme="minorHAnsi" w:hAnsiTheme="minorHAnsi" w:cstheme="minorHAnsi"/>
          <w:color w:val="25171C"/>
          <w:bdr w:val="none" w:sz="0" w:space="0" w:color="auto" w:frame="1"/>
          <w:shd w:val="clear" w:color="auto" w:fill="F5F5F5"/>
        </w:rPr>
        <w:t>Tosetto</w:t>
      </w:r>
      <w:r w:rsidR="00034BE2" w:rsidRPr="00397AA7">
        <w:rPr>
          <w:rFonts w:asciiTheme="minorHAnsi" w:hAnsiTheme="minorHAnsi" w:cstheme="minorHAnsi"/>
          <w:color w:val="25171C"/>
          <w:shd w:val="clear" w:color="auto" w:fill="F5F5F5"/>
        </w:rPr>
        <w:t>, A, </w:t>
      </w:r>
      <w:r w:rsidR="00034BE2" w:rsidRPr="00397AA7">
        <w:rPr>
          <w:rStyle w:val="nlm-surname"/>
          <w:rFonts w:asciiTheme="minorHAnsi" w:hAnsiTheme="minorHAnsi" w:cstheme="minorHAnsi"/>
          <w:color w:val="25171C"/>
          <w:bdr w:val="none" w:sz="0" w:space="0" w:color="auto" w:frame="1"/>
          <w:shd w:val="clear" w:color="auto" w:fill="F5F5F5"/>
        </w:rPr>
        <w:t>Falanga</w:t>
      </w:r>
      <w:r w:rsidR="00562D35" w:rsidRPr="00397AA7">
        <w:rPr>
          <w:rFonts w:asciiTheme="minorHAnsi" w:hAnsiTheme="minorHAnsi" w:cstheme="minorHAnsi"/>
          <w:color w:val="25171C"/>
          <w:shd w:val="clear" w:color="auto" w:fill="F5F5F5"/>
        </w:rPr>
        <w:t xml:space="preserve"> </w:t>
      </w:r>
      <w:r w:rsidR="00034BE2" w:rsidRPr="00397AA7">
        <w:rPr>
          <w:rFonts w:asciiTheme="minorHAnsi" w:hAnsiTheme="minorHAnsi" w:cstheme="minorHAnsi"/>
          <w:color w:val="25171C"/>
          <w:shd w:val="clear" w:color="auto" w:fill="F5F5F5"/>
        </w:rPr>
        <w:t>A, </w:t>
      </w:r>
      <w:r w:rsidR="00034BE2" w:rsidRPr="00397AA7">
        <w:rPr>
          <w:rStyle w:val="nlm-surname"/>
          <w:rFonts w:asciiTheme="minorHAnsi" w:hAnsiTheme="minorHAnsi" w:cstheme="minorHAnsi"/>
          <w:color w:val="25171C"/>
          <w:bdr w:val="none" w:sz="0" w:space="0" w:color="auto" w:frame="1"/>
          <w:shd w:val="clear" w:color="auto" w:fill="F5F5F5"/>
        </w:rPr>
        <w:t>Martinelli</w:t>
      </w:r>
      <w:r w:rsidR="00034BE2" w:rsidRPr="00397AA7">
        <w:rPr>
          <w:rFonts w:asciiTheme="minorHAnsi" w:hAnsiTheme="minorHAnsi" w:cstheme="minorHAnsi"/>
          <w:color w:val="25171C"/>
          <w:shd w:val="clear" w:color="auto" w:fill="F5F5F5"/>
        </w:rPr>
        <w:t xml:space="preserve"> I, </w:t>
      </w:r>
      <w:r w:rsidR="00034BE2" w:rsidRPr="00397AA7">
        <w:rPr>
          <w:rStyle w:val="nlm-surname"/>
          <w:rFonts w:asciiTheme="minorHAnsi" w:hAnsiTheme="minorHAnsi" w:cstheme="minorHAnsi"/>
          <w:color w:val="25171C"/>
          <w:bdr w:val="none" w:sz="0" w:space="0" w:color="auto" w:frame="1"/>
          <w:shd w:val="clear" w:color="auto" w:fill="F5F5F5"/>
        </w:rPr>
        <w:t>Testa</w:t>
      </w:r>
      <w:r w:rsidR="00034BE2" w:rsidRPr="00397AA7">
        <w:rPr>
          <w:rFonts w:asciiTheme="minorHAnsi" w:hAnsiTheme="minorHAnsi" w:cstheme="minorHAnsi"/>
          <w:color w:val="25171C"/>
          <w:shd w:val="clear" w:color="auto" w:fill="F5F5F5"/>
        </w:rPr>
        <w:t xml:space="preserve"> S,</w:t>
      </w:r>
      <w:r w:rsidR="00562D35" w:rsidRPr="00397AA7">
        <w:rPr>
          <w:rFonts w:asciiTheme="minorHAnsi" w:hAnsiTheme="minorHAnsi" w:cstheme="minorHAnsi"/>
          <w:color w:val="25171C"/>
          <w:shd w:val="clear" w:color="auto" w:fill="F5F5F5"/>
        </w:rPr>
        <w:t xml:space="preserve"> </w:t>
      </w:r>
      <w:r w:rsidR="00034BE2" w:rsidRPr="00397AA7">
        <w:rPr>
          <w:rStyle w:val="nlm-surname"/>
          <w:rFonts w:asciiTheme="minorHAnsi" w:hAnsiTheme="minorHAnsi" w:cstheme="minorHAnsi"/>
          <w:color w:val="25171C"/>
          <w:bdr w:val="none" w:sz="0" w:space="0" w:color="auto" w:frame="1"/>
          <w:shd w:val="clear" w:color="auto" w:fill="F5F5F5"/>
        </w:rPr>
        <w:t>Barcellona</w:t>
      </w:r>
      <w:r w:rsidR="00034BE2" w:rsidRPr="00397AA7">
        <w:rPr>
          <w:rFonts w:asciiTheme="minorHAnsi" w:hAnsiTheme="minorHAnsi" w:cstheme="minorHAnsi"/>
          <w:color w:val="25171C"/>
          <w:shd w:val="clear" w:color="auto" w:fill="F5F5F5"/>
        </w:rPr>
        <w:t>, D</w:t>
      </w:r>
      <w:r w:rsidR="00562D35" w:rsidRPr="00397AA7">
        <w:rPr>
          <w:rFonts w:asciiTheme="minorHAnsi" w:hAnsiTheme="minorHAnsi" w:cstheme="minorHAnsi"/>
          <w:color w:val="25171C"/>
          <w:shd w:val="clear" w:color="auto" w:fill="F5F5F5"/>
        </w:rPr>
        <w:t xml:space="preserve">, et al. </w:t>
      </w:r>
      <w:r w:rsidRPr="00397AA7">
        <w:rPr>
          <w:rFonts w:asciiTheme="minorHAnsi" w:hAnsiTheme="minorHAnsi" w:cstheme="minorHAnsi"/>
          <w:noProof/>
        </w:rPr>
        <w:t xml:space="preserve">Rivaroxaban vs warfarin in high-risk patients with antiphospholipid syndrome. </w:t>
      </w:r>
      <w:r w:rsidRPr="00397AA7">
        <w:rPr>
          <w:rFonts w:asciiTheme="minorHAnsi" w:hAnsiTheme="minorHAnsi" w:cstheme="minorHAnsi"/>
          <w:i/>
          <w:noProof/>
        </w:rPr>
        <w:t>Blood</w:t>
      </w:r>
      <w:r w:rsidRPr="00397AA7">
        <w:rPr>
          <w:rFonts w:asciiTheme="minorHAnsi" w:hAnsiTheme="minorHAnsi" w:cstheme="minorHAnsi"/>
          <w:noProof/>
        </w:rPr>
        <w:t xml:space="preserve"> 2018</w:t>
      </w:r>
      <w:r w:rsidR="00562D35" w:rsidRPr="00397AA7">
        <w:rPr>
          <w:rFonts w:asciiTheme="minorHAnsi" w:hAnsiTheme="minorHAnsi" w:cstheme="minorHAnsi"/>
          <w:noProof/>
        </w:rPr>
        <w:t>;</w:t>
      </w:r>
      <w:r w:rsidRPr="00397AA7">
        <w:rPr>
          <w:rFonts w:asciiTheme="minorHAnsi" w:hAnsiTheme="minorHAnsi" w:cstheme="minorHAnsi"/>
          <w:noProof/>
        </w:rPr>
        <w:t xml:space="preserve"> </w:t>
      </w:r>
      <w:r w:rsidRPr="00397AA7">
        <w:rPr>
          <w:rFonts w:asciiTheme="minorHAnsi" w:hAnsiTheme="minorHAnsi" w:cstheme="minorHAnsi"/>
          <w:b/>
          <w:noProof/>
        </w:rPr>
        <w:t>132</w:t>
      </w:r>
      <w:r w:rsidRPr="00397AA7">
        <w:rPr>
          <w:rFonts w:asciiTheme="minorHAnsi" w:hAnsiTheme="minorHAnsi" w:cstheme="minorHAnsi"/>
          <w:noProof/>
        </w:rPr>
        <w:t>:1365-1371.</w:t>
      </w:r>
    </w:p>
    <w:p w14:paraId="3AFA0E4A" w14:textId="77777777" w:rsidR="00034BE2" w:rsidRPr="00397AA7" w:rsidRDefault="00034BE2" w:rsidP="000D0BB1">
      <w:pPr>
        <w:widowControl w:val="0"/>
        <w:autoSpaceDE w:val="0"/>
        <w:autoSpaceDN w:val="0"/>
        <w:adjustRightInd w:val="0"/>
        <w:spacing w:line="360" w:lineRule="auto"/>
        <w:rPr>
          <w:rFonts w:asciiTheme="minorHAnsi" w:hAnsiTheme="minorHAnsi" w:cstheme="minorHAnsi"/>
          <w:noProof/>
        </w:rPr>
      </w:pPr>
    </w:p>
    <w:p w14:paraId="625D4A9B" w14:textId="2AAD43A5" w:rsidR="00EF120B" w:rsidRPr="00397AA7" w:rsidRDefault="00EF120B" w:rsidP="000D0BB1">
      <w:pPr>
        <w:widowControl w:val="0"/>
        <w:autoSpaceDE w:val="0"/>
        <w:autoSpaceDN w:val="0"/>
        <w:adjustRightInd w:val="0"/>
        <w:spacing w:line="360" w:lineRule="auto"/>
        <w:ind w:left="640" w:hanging="640"/>
        <w:rPr>
          <w:rFonts w:asciiTheme="minorHAnsi" w:hAnsiTheme="minorHAnsi" w:cstheme="minorHAnsi"/>
          <w:noProof/>
        </w:rPr>
      </w:pPr>
      <w:r w:rsidRPr="00397AA7">
        <w:rPr>
          <w:rFonts w:asciiTheme="minorHAnsi" w:hAnsiTheme="minorHAnsi" w:cstheme="minorHAnsi"/>
          <w:noProof/>
        </w:rPr>
        <w:t xml:space="preserve">26. </w:t>
      </w:r>
      <w:r w:rsidRPr="00397AA7">
        <w:rPr>
          <w:rFonts w:asciiTheme="minorHAnsi" w:hAnsiTheme="minorHAnsi" w:cstheme="minorHAnsi"/>
          <w:noProof/>
        </w:rPr>
        <w:tab/>
        <w:t xml:space="preserve">Stampfuss J, Kubitza D, Becka M, </w:t>
      </w:r>
      <w:r w:rsidR="00562D35" w:rsidRPr="00397AA7">
        <w:rPr>
          <w:rFonts w:asciiTheme="minorHAnsi" w:hAnsiTheme="minorHAnsi" w:cstheme="minorHAnsi"/>
          <w:noProof/>
        </w:rPr>
        <w:t>Mueck W</w:t>
      </w:r>
      <w:r w:rsidRPr="00397AA7">
        <w:rPr>
          <w:rFonts w:asciiTheme="minorHAnsi" w:hAnsiTheme="minorHAnsi" w:cstheme="minorHAnsi"/>
          <w:noProof/>
        </w:rPr>
        <w:t xml:space="preserve">. The effect of food on the absorption and pharmacokinetics of rivaroxaban. </w:t>
      </w:r>
      <w:r w:rsidRPr="00397AA7">
        <w:rPr>
          <w:rFonts w:asciiTheme="minorHAnsi" w:hAnsiTheme="minorHAnsi" w:cstheme="minorHAnsi"/>
          <w:i/>
          <w:iCs/>
          <w:noProof/>
        </w:rPr>
        <w:t>Int J Clin Pharmacol Ther</w:t>
      </w:r>
      <w:r w:rsidR="004A143B" w:rsidRPr="00397AA7">
        <w:rPr>
          <w:rFonts w:asciiTheme="minorHAnsi" w:hAnsiTheme="minorHAnsi" w:cstheme="minorHAnsi"/>
          <w:noProof/>
        </w:rPr>
        <w:t xml:space="preserve"> </w:t>
      </w:r>
      <w:r w:rsidRPr="00397AA7">
        <w:rPr>
          <w:rFonts w:asciiTheme="minorHAnsi" w:hAnsiTheme="minorHAnsi" w:cstheme="minorHAnsi"/>
          <w:noProof/>
        </w:rPr>
        <w:t>2013;</w:t>
      </w:r>
      <w:r w:rsidRPr="00397AA7">
        <w:rPr>
          <w:rFonts w:asciiTheme="minorHAnsi" w:hAnsiTheme="minorHAnsi" w:cstheme="minorHAnsi"/>
          <w:b/>
          <w:noProof/>
        </w:rPr>
        <w:t>51</w:t>
      </w:r>
      <w:r w:rsidRPr="00397AA7">
        <w:rPr>
          <w:rFonts w:asciiTheme="minorHAnsi" w:hAnsiTheme="minorHAnsi" w:cstheme="minorHAnsi"/>
          <w:noProof/>
        </w:rPr>
        <w:t xml:space="preserve">:549-561. </w:t>
      </w:r>
    </w:p>
    <w:p w14:paraId="393A7990" w14:textId="77777777" w:rsidR="00562D35" w:rsidRPr="00397AA7" w:rsidRDefault="00562D35" w:rsidP="000D0BB1">
      <w:pPr>
        <w:widowControl w:val="0"/>
        <w:autoSpaceDE w:val="0"/>
        <w:autoSpaceDN w:val="0"/>
        <w:adjustRightInd w:val="0"/>
        <w:spacing w:line="360" w:lineRule="auto"/>
        <w:rPr>
          <w:rFonts w:asciiTheme="minorHAnsi" w:hAnsiTheme="minorHAnsi" w:cstheme="minorHAnsi"/>
          <w:noProof/>
        </w:rPr>
      </w:pPr>
    </w:p>
    <w:p w14:paraId="30041432" w14:textId="080CB562" w:rsidR="00EF120B" w:rsidRPr="00397AA7" w:rsidRDefault="00EF120B" w:rsidP="000D0BB1">
      <w:pPr>
        <w:widowControl w:val="0"/>
        <w:autoSpaceDE w:val="0"/>
        <w:autoSpaceDN w:val="0"/>
        <w:adjustRightInd w:val="0"/>
        <w:spacing w:line="360" w:lineRule="auto"/>
        <w:ind w:left="640" w:hanging="640"/>
        <w:jc w:val="both"/>
        <w:rPr>
          <w:rFonts w:asciiTheme="minorHAnsi" w:hAnsiTheme="minorHAnsi" w:cstheme="minorHAnsi"/>
          <w:noProof/>
        </w:rPr>
      </w:pPr>
      <w:r w:rsidRPr="00397AA7">
        <w:rPr>
          <w:rFonts w:asciiTheme="minorHAnsi" w:hAnsiTheme="minorHAnsi" w:cstheme="minorHAnsi"/>
          <w:noProof/>
        </w:rPr>
        <w:t>27.</w:t>
      </w:r>
      <w:r w:rsidRPr="00397AA7">
        <w:rPr>
          <w:rFonts w:asciiTheme="minorHAnsi" w:hAnsiTheme="minorHAnsi" w:cstheme="minorHAnsi"/>
          <w:noProof/>
        </w:rPr>
        <w:tab/>
        <w:t xml:space="preserve">Eikelboom JW, Connolly SJ, Brueckmann M, </w:t>
      </w:r>
      <w:r w:rsidR="00562D35" w:rsidRPr="00397AA7">
        <w:rPr>
          <w:rFonts w:asciiTheme="minorHAnsi" w:hAnsiTheme="minorHAnsi" w:cstheme="minorHAnsi"/>
          <w:noProof/>
        </w:rPr>
        <w:t>Granger CB, Kappetein AP, Mack MJ, Blatchford J, Devenny K, Friedman J, Guiver K, Harper R, Khder Y, Lobmever MT, Maas H, Voigt JU, Simoons ML, Van de Werf F for the RE-ALIGN Investigators</w:t>
      </w:r>
      <w:r w:rsidRPr="00397AA7">
        <w:rPr>
          <w:rFonts w:asciiTheme="minorHAnsi" w:hAnsiTheme="minorHAnsi" w:cstheme="minorHAnsi"/>
          <w:noProof/>
        </w:rPr>
        <w:t xml:space="preserve">. Dagibatran versus warfarin in patients with mechanical heart valves. </w:t>
      </w:r>
      <w:r w:rsidRPr="00397AA7">
        <w:rPr>
          <w:rFonts w:asciiTheme="minorHAnsi" w:hAnsiTheme="minorHAnsi" w:cstheme="minorHAnsi"/>
          <w:i/>
          <w:noProof/>
        </w:rPr>
        <w:t>N Engl J Med</w:t>
      </w:r>
      <w:r w:rsidRPr="00397AA7">
        <w:rPr>
          <w:rFonts w:asciiTheme="minorHAnsi" w:hAnsiTheme="minorHAnsi" w:cstheme="minorHAnsi"/>
          <w:noProof/>
        </w:rPr>
        <w:t xml:space="preserve"> 2013; </w:t>
      </w:r>
      <w:r w:rsidRPr="00397AA7">
        <w:rPr>
          <w:rFonts w:asciiTheme="minorHAnsi" w:hAnsiTheme="minorHAnsi" w:cstheme="minorHAnsi"/>
          <w:b/>
          <w:noProof/>
        </w:rPr>
        <w:t>369</w:t>
      </w:r>
      <w:r w:rsidRPr="00397AA7">
        <w:rPr>
          <w:rFonts w:asciiTheme="minorHAnsi" w:hAnsiTheme="minorHAnsi" w:cstheme="minorHAnsi"/>
          <w:noProof/>
        </w:rPr>
        <w:t>:1206-1214.</w:t>
      </w:r>
    </w:p>
    <w:p w14:paraId="4ACCC9DF" w14:textId="77777777" w:rsidR="00562D35" w:rsidRPr="00397AA7" w:rsidRDefault="00562D35" w:rsidP="000D0BB1">
      <w:pPr>
        <w:widowControl w:val="0"/>
        <w:autoSpaceDE w:val="0"/>
        <w:autoSpaceDN w:val="0"/>
        <w:adjustRightInd w:val="0"/>
        <w:spacing w:line="360" w:lineRule="auto"/>
        <w:rPr>
          <w:rFonts w:asciiTheme="minorHAnsi" w:hAnsiTheme="minorHAnsi" w:cstheme="minorHAnsi"/>
          <w:noProof/>
        </w:rPr>
      </w:pPr>
    </w:p>
    <w:p w14:paraId="5762C897" w14:textId="126EB609" w:rsidR="004A143B" w:rsidRPr="00397AA7" w:rsidRDefault="004A143B" w:rsidP="000D0BB1">
      <w:pPr>
        <w:widowControl w:val="0"/>
        <w:autoSpaceDE w:val="0"/>
        <w:autoSpaceDN w:val="0"/>
        <w:adjustRightInd w:val="0"/>
        <w:spacing w:line="360" w:lineRule="auto"/>
        <w:ind w:left="640" w:hanging="640"/>
        <w:jc w:val="both"/>
        <w:rPr>
          <w:rFonts w:asciiTheme="minorHAnsi" w:hAnsiTheme="minorHAnsi" w:cstheme="minorHAnsi"/>
          <w:color w:val="333333"/>
        </w:rPr>
      </w:pPr>
      <w:r w:rsidRPr="00397AA7">
        <w:rPr>
          <w:rFonts w:asciiTheme="minorHAnsi" w:hAnsiTheme="minorHAnsi" w:cstheme="minorHAnsi"/>
          <w:noProof/>
        </w:rPr>
        <w:t>28.</w:t>
      </w:r>
      <w:r w:rsidRPr="00397AA7">
        <w:rPr>
          <w:rFonts w:asciiTheme="minorHAnsi" w:hAnsiTheme="minorHAnsi" w:cstheme="minorHAnsi"/>
          <w:noProof/>
        </w:rPr>
        <w:tab/>
      </w:r>
      <w:r w:rsidRPr="00397AA7">
        <w:rPr>
          <w:rStyle w:val="nlm-surname"/>
          <w:rFonts w:asciiTheme="minorHAnsi" w:hAnsiTheme="minorHAnsi" w:cstheme="minorHAnsi"/>
          <w:color w:val="333333"/>
        </w:rPr>
        <w:t>Burn</w:t>
      </w:r>
      <w:r w:rsidRPr="00397AA7">
        <w:rPr>
          <w:rStyle w:val="highwire-citation-author"/>
          <w:rFonts w:asciiTheme="minorHAnsi" w:hAnsiTheme="minorHAnsi" w:cstheme="minorHAnsi"/>
          <w:color w:val="333333"/>
        </w:rPr>
        <w:t> J</w:t>
      </w:r>
      <w:r w:rsidRPr="00397AA7">
        <w:rPr>
          <w:rStyle w:val="highwire-citation-authors"/>
          <w:rFonts w:asciiTheme="minorHAnsi" w:hAnsiTheme="minorHAnsi" w:cstheme="minorHAnsi"/>
          <w:color w:val="333333"/>
        </w:rPr>
        <w:t>, </w:t>
      </w:r>
      <w:r w:rsidRPr="00397AA7">
        <w:rPr>
          <w:rStyle w:val="nlm-surname"/>
          <w:rFonts w:asciiTheme="minorHAnsi" w:hAnsiTheme="minorHAnsi" w:cstheme="minorHAnsi"/>
          <w:color w:val="333333"/>
        </w:rPr>
        <w:t>Pirmohamed</w:t>
      </w:r>
      <w:r w:rsidRPr="00397AA7">
        <w:rPr>
          <w:rStyle w:val="highwire-citation-author"/>
          <w:rFonts w:asciiTheme="minorHAnsi" w:hAnsiTheme="minorHAnsi" w:cstheme="minorHAnsi"/>
          <w:color w:val="333333"/>
        </w:rPr>
        <w:t> M</w:t>
      </w:r>
      <w:r w:rsidRPr="00397AA7">
        <w:rPr>
          <w:rFonts w:asciiTheme="minorHAnsi" w:hAnsiTheme="minorHAnsi" w:cstheme="minorHAnsi"/>
          <w:noProof/>
        </w:rPr>
        <w:t xml:space="preserve">. </w:t>
      </w:r>
      <w:r w:rsidRPr="00397AA7">
        <w:rPr>
          <w:rFonts w:asciiTheme="minorHAnsi" w:hAnsiTheme="minorHAnsi" w:cstheme="minorHAnsi"/>
          <w:color w:val="333333"/>
        </w:rPr>
        <w:t xml:space="preserve">Direct oral anticoagulants versus warfarin: is new always better than old? </w:t>
      </w:r>
      <w:r w:rsidRPr="00397AA7">
        <w:rPr>
          <w:rFonts w:asciiTheme="minorHAnsi" w:hAnsiTheme="minorHAnsi" w:cstheme="minorHAnsi"/>
          <w:i/>
          <w:color w:val="333333"/>
        </w:rPr>
        <w:t>Open Heart</w:t>
      </w:r>
      <w:r w:rsidRPr="00397AA7">
        <w:rPr>
          <w:rFonts w:asciiTheme="minorHAnsi" w:hAnsiTheme="minorHAnsi" w:cstheme="minorHAnsi"/>
          <w:color w:val="333333"/>
        </w:rPr>
        <w:t xml:space="preserve"> 2018;</w:t>
      </w:r>
      <w:r w:rsidRPr="00397AA7">
        <w:rPr>
          <w:rFonts w:asciiTheme="minorHAnsi" w:hAnsiTheme="minorHAnsi" w:cstheme="minorHAnsi"/>
          <w:b/>
          <w:color w:val="333333"/>
        </w:rPr>
        <w:t xml:space="preserve"> 5</w:t>
      </w:r>
      <w:r w:rsidRPr="00397AA7">
        <w:rPr>
          <w:rFonts w:asciiTheme="minorHAnsi" w:hAnsiTheme="minorHAnsi" w:cstheme="minorHAnsi"/>
          <w:color w:val="333333"/>
        </w:rPr>
        <w:t>: e000712</w:t>
      </w:r>
    </w:p>
    <w:p w14:paraId="435E444A" w14:textId="77777777" w:rsidR="00562D35" w:rsidRPr="00397AA7" w:rsidRDefault="00562D35" w:rsidP="000D0BB1">
      <w:pPr>
        <w:widowControl w:val="0"/>
        <w:autoSpaceDE w:val="0"/>
        <w:autoSpaceDN w:val="0"/>
        <w:adjustRightInd w:val="0"/>
        <w:spacing w:line="360" w:lineRule="auto"/>
        <w:ind w:left="640"/>
        <w:rPr>
          <w:rFonts w:asciiTheme="minorHAnsi" w:hAnsiTheme="minorHAnsi" w:cstheme="minorHAnsi"/>
          <w:color w:val="333333"/>
        </w:rPr>
      </w:pPr>
    </w:p>
    <w:p w14:paraId="1F99FC4B" w14:textId="4D0CFA86" w:rsidR="000D6264" w:rsidRPr="00397AA7" w:rsidRDefault="004A143B" w:rsidP="000D0BB1">
      <w:pPr>
        <w:widowControl w:val="0"/>
        <w:autoSpaceDE w:val="0"/>
        <w:autoSpaceDN w:val="0"/>
        <w:adjustRightInd w:val="0"/>
        <w:spacing w:line="360" w:lineRule="auto"/>
        <w:ind w:left="640" w:hanging="640"/>
        <w:rPr>
          <w:rFonts w:asciiTheme="minorHAnsi" w:hAnsiTheme="minorHAnsi" w:cstheme="minorHAnsi"/>
          <w:color w:val="000000" w:themeColor="text1"/>
        </w:rPr>
      </w:pPr>
      <w:r w:rsidRPr="00397AA7">
        <w:rPr>
          <w:rFonts w:asciiTheme="minorHAnsi" w:hAnsiTheme="minorHAnsi" w:cstheme="minorHAnsi"/>
          <w:color w:val="333333"/>
        </w:rPr>
        <w:t xml:space="preserve">29. </w:t>
      </w:r>
      <w:r w:rsidRPr="00397AA7">
        <w:rPr>
          <w:rFonts w:asciiTheme="minorHAnsi" w:hAnsiTheme="minorHAnsi" w:cstheme="minorHAnsi"/>
          <w:color w:val="333333"/>
        </w:rPr>
        <w:tab/>
      </w:r>
      <w:r w:rsidRPr="00397AA7">
        <w:rPr>
          <w:rFonts w:asciiTheme="minorHAnsi" w:hAnsiTheme="minorHAnsi" w:cstheme="minorHAnsi"/>
          <w:color w:val="000000" w:themeColor="text1"/>
        </w:rPr>
        <w:t>National Institute for Health and Care Excellence. Costing Report: atrial fibrillation. Implementing the NICE guidance on atrial fibrillation</w:t>
      </w:r>
      <w:r w:rsidR="000D6264" w:rsidRPr="00397AA7">
        <w:rPr>
          <w:rFonts w:asciiTheme="minorHAnsi" w:hAnsiTheme="minorHAnsi" w:cstheme="minorHAnsi"/>
          <w:color w:val="000000" w:themeColor="text1"/>
        </w:rPr>
        <w:t xml:space="preserve">. </w:t>
      </w:r>
      <w:r w:rsidR="000D6264" w:rsidRPr="00397AA7">
        <w:rPr>
          <w:rFonts w:asciiTheme="minorHAnsi" w:hAnsiTheme="minorHAnsi" w:cstheme="minorHAnsi"/>
          <w:i/>
          <w:color w:val="000000" w:themeColor="text1"/>
        </w:rPr>
        <w:t>Putting NICE guidance into practice</w:t>
      </w:r>
      <w:r w:rsidR="000D6264" w:rsidRPr="00397AA7">
        <w:rPr>
          <w:rFonts w:asciiTheme="minorHAnsi" w:hAnsiTheme="minorHAnsi" w:cstheme="minorHAnsi"/>
          <w:color w:val="000000" w:themeColor="text1"/>
        </w:rPr>
        <w:t xml:space="preserve"> 2014;</w:t>
      </w:r>
      <w:r w:rsidRPr="00397AA7">
        <w:rPr>
          <w:rFonts w:asciiTheme="minorHAnsi" w:hAnsiTheme="minorHAnsi" w:cstheme="minorHAnsi"/>
          <w:color w:val="000000" w:themeColor="text1"/>
        </w:rPr>
        <w:t xml:space="preserve"> CG180</w:t>
      </w:r>
    </w:p>
    <w:p w14:paraId="4EA8208C" w14:textId="77777777" w:rsidR="000D6264" w:rsidRPr="00397AA7" w:rsidRDefault="000D6264" w:rsidP="000D0BB1">
      <w:pPr>
        <w:widowControl w:val="0"/>
        <w:autoSpaceDE w:val="0"/>
        <w:autoSpaceDN w:val="0"/>
        <w:adjustRightInd w:val="0"/>
        <w:spacing w:line="360" w:lineRule="auto"/>
        <w:ind w:left="640" w:hanging="640"/>
        <w:rPr>
          <w:rFonts w:asciiTheme="minorHAnsi" w:hAnsiTheme="minorHAnsi" w:cstheme="minorHAnsi"/>
          <w:color w:val="000000" w:themeColor="text1"/>
        </w:rPr>
      </w:pPr>
    </w:p>
    <w:p w14:paraId="027AFEBE" w14:textId="1ECD5945" w:rsidR="004A143B" w:rsidRPr="00397AA7" w:rsidRDefault="004A143B" w:rsidP="000D0BB1">
      <w:pPr>
        <w:widowControl w:val="0"/>
        <w:autoSpaceDE w:val="0"/>
        <w:autoSpaceDN w:val="0"/>
        <w:adjustRightInd w:val="0"/>
        <w:spacing w:line="360" w:lineRule="auto"/>
        <w:ind w:left="640" w:hanging="640"/>
        <w:rPr>
          <w:rFonts w:asciiTheme="minorHAnsi" w:hAnsiTheme="minorHAnsi" w:cstheme="minorHAnsi"/>
          <w:color w:val="0E0E0E"/>
        </w:rPr>
      </w:pPr>
      <w:r w:rsidRPr="00397AA7">
        <w:rPr>
          <w:rFonts w:asciiTheme="minorHAnsi" w:hAnsiTheme="minorHAnsi" w:cstheme="minorHAnsi"/>
          <w:color w:val="000000" w:themeColor="text1"/>
        </w:rPr>
        <w:t xml:space="preserve">30. </w:t>
      </w:r>
      <w:r w:rsidR="000D6264" w:rsidRPr="00397AA7">
        <w:rPr>
          <w:rFonts w:asciiTheme="minorHAnsi" w:hAnsiTheme="minorHAnsi" w:cstheme="minorHAnsi"/>
          <w:color w:val="000000" w:themeColor="text1"/>
        </w:rPr>
        <w:tab/>
      </w:r>
      <w:r w:rsidRPr="00397AA7">
        <w:rPr>
          <w:rFonts w:asciiTheme="minorHAnsi" w:hAnsiTheme="minorHAnsi" w:cstheme="minorHAnsi"/>
          <w:color w:val="000000" w:themeColor="text1"/>
        </w:rPr>
        <w:t xml:space="preserve">Joint Formulary Committee. British National Formulary (online) London: BMJ Group and Pharmaceutical Press </w:t>
      </w:r>
      <w:r w:rsidRPr="00397AA7">
        <w:rPr>
          <w:rFonts w:asciiTheme="minorHAnsi" w:hAnsiTheme="minorHAnsi" w:cstheme="minorHAnsi"/>
          <w:color w:val="0E0E0E"/>
        </w:rPr>
        <w:t>&lt;http://www.medicinescomplete.com&gt; [Accessed on [01/08/2019]</w:t>
      </w:r>
    </w:p>
    <w:p w14:paraId="13EE2F7E" w14:textId="77777777" w:rsidR="000D6264" w:rsidRPr="00397AA7" w:rsidRDefault="000D6264" w:rsidP="000D0BB1">
      <w:pPr>
        <w:widowControl w:val="0"/>
        <w:autoSpaceDE w:val="0"/>
        <w:autoSpaceDN w:val="0"/>
        <w:adjustRightInd w:val="0"/>
        <w:spacing w:line="360" w:lineRule="auto"/>
        <w:rPr>
          <w:rFonts w:asciiTheme="minorHAnsi" w:hAnsiTheme="minorHAnsi" w:cstheme="minorHAnsi"/>
          <w:color w:val="0E0E0E"/>
        </w:rPr>
      </w:pPr>
    </w:p>
    <w:p w14:paraId="15F04240" w14:textId="5B8DCEDD" w:rsidR="004A143B" w:rsidRPr="00397AA7" w:rsidRDefault="004A143B" w:rsidP="000D0BB1">
      <w:pPr>
        <w:widowControl w:val="0"/>
        <w:autoSpaceDE w:val="0"/>
        <w:autoSpaceDN w:val="0"/>
        <w:adjustRightInd w:val="0"/>
        <w:spacing w:line="360" w:lineRule="auto"/>
        <w:ind w:left="640" w:hanging="640"/>
        <w:rPr>
          <w:rFonts w:asciiTheme="minorHAnsi" w:hAnsiTheme="minorHAnsi" w:cstheme="minorHAnsi"/>
          <w:color w:val="000000" w:themeColor="text1"/>
        </w:rPr>
      </w:pPr>
      <w:r w:rsidRPr="00397AA7">
        <w:rPr>
          <w:rFonts w:asciiTheme="minorHAnsi" w:hAnsiTheme="minorHAnsi" w:cstheme="minorHAnsi"/>
          <w:color w:val="000000" w:themeColor="text1"/>
        </w:rPr>
        <w:t xml:space="preserve">31. </w:t>
      </w:r>
      <w:r w:rsidR="000D6264" w:rsidRPr="00397AA7">
        <w:rPr>
          <w:rFonts w:asciiTheme="minorHAnsi" w:hAnsiTheme="minorHAnsi" w:cstheme="minorHAnsi"/>
          <w:color w:val="000000" w:themeColor="text1"/>
        </w:rPr>
        <w:tab/>
      </w:r>
      <w:r w:rsidRPr="00397AA7">
        <w:rPr>
          <w:rFonts w:asciiTheme="minorHAnsi" w:hAnsiTheme="minorHAnsi" w:cstheme="minorHAnsi"/>
          <w:color w:val="000000" w:themeColor="text1"/>
        </w:rPr>
        <w:t>National Institute for Health and Care Excellence. Costing Statement. Implementing the NICE guidance on apixaban for the treatment and secondary prevention of deep vein thrombosis and/or pulmonary embolism</w:t>
      </w:r>
      <w:r w:rsidR="000D6264" w:rsidRPr="00397AA7">
        <w:rPr>
          <w:rFonts w:asciiTheme="minorHAnsi" w:hAnsiTheme="minorHAnsi" w:cstheme="minorHAnsi"/>
          <w:color w:val="000000" w:themeColor="text1"/>
        </w:rPr>
        <w:t xml:space="preserve">. </w:t>
      </w:r>
      <w:r w:rsidR="000D6264" w:rsidRPr="00397AA7">
        <w:rPr>
          <w:rFonts w:asciiTheme="minorHAnsi" w:hAnsiTheme="minorHAnsi" w:cstheme="minorHAnsi"/>
          <w:i/>
          <w:color w:val="000000" w:themeColor="text1"/>
        </w:rPr>
        <w:t xml:space="preserve">Putting NICE guidance into practice </w:t>
      </w:r>
      <w:r w:rsidR="000D6264" w:rsidRPr="00397AA7">
        <w:rPr>
          <w:rFonts w:asciiTheme="minorHAnsi" w:hAnsiTheme="minorHAnsi" w:cstheme="minorHAnsi"/>
          <w:color w:val="000000" w:themeColor="text1"/>
        </w:rPr>
        <w:t xml:space="preserve">2015; </w:t>
      </w:r>
      <w:r w:rsidRPr="00397AA7">
        <w:rPr>
          <w:rFonts w:asciiTheme="minorHAnsi" w:hAnsiTheme="minorHAnsi" w:cstheme="minorHAnsi"/>
          <w:color w:val="000000" w:themeColor="text1"/>
        </w:rPr>
        <w:t>TA341</w:t>
      </w:r>
    </w:p>
    <w:p w14:paraId="5C53CD7B" w14:textId="020567AD" w:rsidR="004A143B" w:rsidRPr="00397AA7" w:rsidRDefault="004A143B" w:rsidP="000D0BB1">
      <w:pPr>
        <w:widowControl w:val="0"/>
        <w:autoSpaceDE w:val="0"/>
        <w:autoSpaceDN w:val="0"/>
        <w:adjustRightInd w:val="0"/>
        <w:spacing w:line="360" w:lineRule="auto"/>
        <w:ind w:left="640" w:hanging="640"/>
        <w:rPr>
          <w:rFonts w:asciiTheme="minorHAnsi" w:hAnsiTheme="minorHAnsi" w:cstheme="minorHAnsi"/>
          <w:color w:val="000000" w:themeColor="text1"/>
        </w:rPr>
      </w:pPr>
    </w:p>
    <w:p w14:paraId="246719C9" w14:textId="77777777" w:rsidR="000353C3" w:rsidRPr="00397AA7" w:rsidRDefault="000353C3" w:rsidP="000D0BB1">
      <w:pPr>
        <w:widowControl w:val="0"/>
        <w:autoSpaceDE w:val="0"/>
        <w:autoSpaceDN w:val="0"/>
        <w:adjustRightInd w:val="0"/>
        <w:spacing w:line="360" w:lineRule="auto"/>
        <w:ind w:left="640" w:hanging="640"/>
        <w:rPr>
          <w:rFonts w:asciiTheme="minorHAnsi" w:hAnsiTheme="minorHAnsi" w:cstheme="minorHAnsi"/>
          <w:color w:val="000000" w:themeColor="text1"/>
        </w:rPr>
      </w:pPr>
    </w:p>
    <w:p w14:paraId="3F033B56" w14:textId="77777777" w:rsidR="004A143B" w:rsidRPr="00397AA7" w:rsidRDefault="004A143B" w:rsidP="000D0BB1">
      <w:pPr>
        <w:widowControl w:val="0"/>
        <w:autoSpaceDE w:val="0"/>
        <w:autoSpaceDN w:val="0"/>
        <w:adjustRightInd w:val="0"/>
        <w:spacing w:line="360" w:lineRule="auto"/>
        <w:ind w:left="640"/>
        <w:rPr>
          <w:rFonts w:asciiTheme="minorHAnsi" w:hAnsiTheme="minorHAnsi" w:cstheme="minorHAnsi"/>
          <w:color w:val="333333"/>
          <w:sz w:val="26"/>
          <w:szCs w:val="26"/>
        </w:rPr>
      </w:pPr>
    </w:p>
    <w:p w14:paraId="27878D9E" w14:textId="77777777" w:rsidR="00EF120B" w:rsidRPr="00397AA7" w:rsidRDefault="00EF120B" w:rsidP="000D0BB1">
      <w:pPr>
        <w:widowControl w:val="0"/>
        <w:autoSpaceDE w:val="0"/>
        <w:autoSpaceDN w:val="0"/>
        <w:adjustRightInd w:val="0"/>
        <w:spacing w:line="360" w:lineRule="auto"/>
        <w:ind w:left="640" w:hanging="640"/>
        <w:rPr>
          <w:rFonts w:asciiTheme="minorHAnsi" w:hAnsiTheme="minorHAnsi" w:cstheme="minorHAnsi"/>
          <w:noProof/>
        </w:rPr>
      </w:pPr>
    </w:p>
    <w:p w14:paraId="1650BCDE" w14:textId="77777777" w:rsidR="00EF120B" w:rsidRPr="00397AA7" w:rsidRDefault="00EF120B" w:rsidP="000D0BB1">
      <w:pPr>
        <w:widowControl w:val="0"/>
        <w:autoSpaceDE w:val="0"/>
        <w:autoSpaceDN w:val="0"/>
        <w:adjustRightInd w:val="0"/>
        <w:spacing w:line="360" w:lineRule="auto"/>
        <w:ind w:left="640" w:hanging="640"/>
        <w:rPr>
          <w:rFonts w:asciiTheme="minorHAnsi" w:hAnsiTheme="minorHAnsi" w:cstheme="minorHAnsi"/>
          <w:noProof/>
        </w:rPr>
      </w:pPr>
    </w:p>
    <w:p w14:paraId="233B7E82" w14:textId="326A5BA7" w:rsidR="00EF120B" w:rsidRPr="00A04A32" w:rsidRDefault="00EF120B" w:rsidP="000D0BB1">
      <w:pPr>
        <w:spacing w:line="360" w:lineRule="auto"/>
        <w:jc w:val="both"/>
        <w:rPr>
          <w:rFonts w:asciiTheme="minorHAnsi" w:hAnsiTheme="minorHAnsi" w:cstheme="minorHAnsi"/>
          <w:color w:val="000000" w:themeColor="text1"/>
        </w:rPr>
      </w:pPr>
      <w:r w:rsidRPr="00397AA7">
        <w:rPr>
          <w:rFonts w:asciiTheme="minorHAnsi" w:hAnsiTheme="minorHAnsi" w:cstheme="minorHAnsi"/>
        </w:rPr>
        <w:fldChar w:fldCharType="end"/>
      </w:r>
    </w:p>
    <w:p w14:paraId="2ADED3E2" w14:textId="58F0830A" w:rsidR="001A13EC" w:rsidRDefault="004A143B" w:rsidP="00A04A32">
      <w:pPr>
        <w:spacing w:line="480" w:lineRule="auto"/>
        <w:rPr>
          <w:rFonts w:asciiTheme="minorHAnsi" w:hAnsiTheme="minorHAnsi" w:cstheme="minorHAnsi"/>
          <w:b/>
          <w:sz w:val="22"/>
          <w:szCs w:val="22"/>
        </w:rPr>
      </w:pPr>
      <w:r w:rsidRPr="00A04A32">
        <w:rPr>
          <w:rFonts w:asciiTheme="minorHAnsi" w:hAnsiTheme="minorHAnsi" w:cstheme="minorHAnsi"/>
          <w:b/>
          <w:sz w:val="22"/>
          <w:szCs w:val="22"/>
        </w:rPr>
        <w:br w:type="page"/>
      </w:r>
    </w:p>
    <w:p w14:paraId="1DE0023B" w14:textId="55851015" w:rsidR="002A7457" w:rsidRPr="002A7457" w:rsidRDefault="002A7457" w:rsidP="00A04A32">
      <w:pPr>
        <w:spacing w:line="480" w:lineRule="auto"/>
        <w:rPr>
          <w:rFonts w:asciiTheme="minorHAnsi" w:hAnsiTheme="minorHAnsi" w:cstheme="minorHAnsi"/>
          <w:b/>
        </w:rPr>
      </w:pPr>
      <w:r>
        <w:rPr>
          <w:rFonts w:asciiTheme="minorHAnsi" w:hAnsiTheme="minorHAnsi" w:cstheme="minorHAnsi"/>
          <w:b/>
        </w:rPr>
        <w:lastRenderedPageBreak/>
        <w:t>Tables and Figures</w:t>
      </w:r>
    </w:p>
    <w:tbl>
      <w:tblPr>
        <w:tblStyle w:val="TableGrid"/>
        <w:tblW w:w="8730" w:type="dxa"/>
        <w:tblInd w:w="-5" w:type="dxa"/>
        <w:tblLook w:val="04A0" w:firstRow="1" w:lastRow="0" w:firstColumn="1" w:lastColumn="0" w:noHBand="0" w:noVBand="1"/>
      </w:tblPr>
      <w:tblGrid>
        <w:gridCol w:w="3402"/>
        <w:gridCol w:w="1818"/>
        <w:gridCol w:w="2180"/>
        <w:gridCol w:w="1330"/>
      </w:tblGrid>
      <w:tr w:rsidR="004A143B" w:rsidRPr="00A04A32" w14:paraId="02BDABE5" w14:textId="77777777" w:rsidTr="00A03B54">
        <w:trPr>
          <w:trHeight w:val="395"/>
        </w:trPr>
        <w:tc>
          <w:tcPr>
            <w:tcW w:w="3402" w:type="dxa"/>
            <w:tcBorders>
              <w:left w:val="nil"/>
              <w:bottom w:val="single" w:sz="4" w:space="0" w:color="auto"/>
              <w:right w:val="nil"/>
            </w:tcBorders>
            <w:shd w:val="clear" w:color="auto" w:fill="E7E6E6" w:themeFill="background2"/>
          </w:tcPr>
          <w:p w14:paraId="6187537B" w14:textId="77777777" w:rsidR="004A143B" w:rsidRPr="00A04A32" w:rsidRDefault="004A143B" w:rsidP="00A04A32">
            <w:pPr>
              <w:spacing w:line="480" w:lineRule="auto"/>
              <w:jc w:val="center"/>
              <w:rPr>
                <w:rFonts w:asciiTheme="minorHAnsi" w:hAnsiTheme="minorHAnsi" w:cstheme="minorHAnsi"/>
                <w:color w:val="000000" w:themeColor="text1"/>
              </w:rPr>
            </w:pPr>
          </w:p>
        </w:tc>
        <w:tc>
          <w:tcPr>
            <w:tcW w:w="1818" w:type="dxa"/>
            <w:tcBorders>
              <w:left w:val="nil"/>
              <w:bottom w:val="single" w:sz="4" w:space="0" w:color="auto"/>
              <w:right w:val="nil"/>
            </w:tcBorders>
            <w:shd w:val="clear" w:color="auto" w:fill="E7E6E6" w:themeFill="background2"/>
          </w:tcPr>
          <w:p w14:paraId="1F9A7C56" w14:textId="77777777" w:rsidR="004A143B" w:rsidRPr="00A04A32" w:rsidRDefault="004A143B" w:rsidP="00A04A32">
            <w:pPr>
              <w:spacing w:line="480" w:lineRule="auto"/>
              <w:jc w:val="center"/>
              <w:rPr>
                <w:rFonts w:asciiTheme="minorHAnsi" w:hAnsiTheme="minorHAnsi" w:cstheme="minorHAnsi"/>
                <w:b/>
                <w:color w:val="000000" w:themeColor="text1"/>
              </w:rPr>
            </w:pPr>
            <w:r w:rsidRPr="00A04A32">
              <w:rPr>
                <w:rFonts w:asciiTheme="minorHAnsi" w:hAnsiTheme="minorHAnsi" w:cstheme="minorHAnsi"/>
                <w:b/>
                <w:color w:val="000000" w:themeColor="text1"/>
              </w:rPr>
              <w:t>Preoperative</w:t>
            </w:r>
          </w:p>
        </w:tc>
        <w:tc>
          <w:tcPr>
            <w:tcW w:w="2180" w:type="dxa"/>
            <w:tcBorders>
              <w:left w:val="nil"/>
              <w:bottom w:val="single" w:sz="4" w:space="0" w:color="auto"/>
              <w:right w:val="nil"/>
            </w:tcBorders>
            <w:shd w:val="clear" w:color="auto" w:fill="E7E6E6" w:themeFill="background2"/>
          </w:tcPr>
          <w:p w14:paraId="04A0C33E" w14:textId="77777777" w:rsidR="004A143B" w:rsidRPr="00A04A32" w:rsidRDefault="004A143B" w:rsidP="00A04A32">
            <w:pPr>
              <w:spacing w:line="480" w:lineRule="auto"/>
              <w:jc w:val="center"/>
              <w:rPr>
                <w:rFonts w:asciiTheme="minorHAnsi" w:hAnsiTheme="minorHAnsi" w:cstheme="minorHAnsi"/>
                <w:b/>
                <w:color w:val="000000" w:themeColor="text1"/>
              </w:rPr>
            </w:pPr>
            <w:r w:rsidRPr="00A04A32">
              <w:rPr>
                <w:rFonts w:asciiTheme="minorHAnsi" w:hAnsiTheme="minorHAnsi" w:cstheme="minorHAnsi"/>
                <w:b/>
                <w:color w:val="000000" w:themeColor="text1"/>
              </w:rPr>
              <w:t>Postoperative</w:t>
            </w:r>
          </w:p>
        </w:tc>
        <w:tc>
          <w:tcPr>
            <w:tcW w:w="1330" w:type="dxa"/>
            <w:tcBorders>
              <w:left w:val="nil"/>
              <w:bottom w:val="single" w:sz="4" w:space="0" w:color="auto"/>
              <w:right w:val="nil"/>
            </w:tcBorders>
            <w:shd w:val="clear" w:color="auto" w:fill="E7E6E6" w:themeFill="background2"/>
          </w:tcPr>
          <w:p w14:paraId="266EC664"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i/>
                <w:color w:val="000000" w:themeColor="text1"/>
              </w:rPr>
              <w:t>Adjusted p</w:t>
            </w:r>
          </w:p>
        </w:tc>
      </w:tr>
      <w:tr w:rsidR="004A143B" w:rsidRPr="00A04A32" w14:paraId="20587390" w14:textId="77777777" w:rsidTr="00A03B54">
        <w:trPr>
          <w:trHeight w:val="224"/>
        </w:trPr>
        <w:tc>
          <w:tcPr>
            <w:tcW w:w="3402" w:type="dxa"/>
            <w:tcBorders>
              <w:left w:val="nil"/>
              <w:bottom w:val="nil"/>
              <w:right w:val="nil"/>
            </w:tcBorders>
          </w:tcPr>
          <w:p w14:paraId="41782132" w14:textId="7E591D49" w:rsidR="004A143B" w:rsidRPr="00A04A32" w:rsidRDefault="00A03B54" w:rsidP="00A04A32">
            <w:pPr>
              <w:spacing w:line="480" w:lineRule="auto"/>
              <w:rPr>
                <w:rFonts w:asciiTheme="minorHAnsi" w:hAnsiTheme="minorHAnsi" w:cstheme="minorHAnsi"/>
                <w:color w:val="000000" w:themeColor="text1"/>
              </w:rPr>
            </w:pPr>
            <w:r>
              <w:rPr>
                <w:rFonts w:asciiTheme="minorHAnsi" w:hAnsiTheme="minorHAnsi" w:cstheme="minorHAnsi"/>
                <w:color w:val="000000" w:themeColor="text1"/>
              </w:rPr>
              <w:t xml:space="preserve">Patients, </w:t>
            </w:r>
            <w:r w:rsidR="004A143B" w:rsidRPr="00A04A32">
              <w:rPr>
                <w:rFonts w:asciiTheme="minorHAnsi" w:hAnsiTheme="minorHAnsi" w:cstheme="minorHAnsi"/>
                <w:color w:val="000000" w:themeColor="text1"/>
              </w:rPr>
              <w:t>n</w:t>
            </w:r>
          </w:p>
        </w:tc>
        <w:tc>
          <w:tcPr>
            <w:tcW w:w="1818" w:type="dxa"/>
            <w:tcBorders>
              <w:left w:val="nil"/>
              <w:bottom w:val="nil"/>
              <w:right w:val="nil"/>
            </w:tcBorders>
          </w:tcPr>
          <w:p w14:paraId="389E4D10"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1322</w:t>
            </w:r>
          </w:p>
        </w:tc>
        <w:tc>
          <w:tcPr>
            <w:tcW w:w="2180" w:type="dxa"/>
            <w:tcBorders>
              <w:left w:val="nil"/>
              <w:bottom w:val="nil"/>
              <w:right w:val="nil"/>
            </w:tcBorders>
          </w:tcPr>
          <w:p w14:paraId="2BFF3DC0"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1232</w:t>
            </w:r>
          </w:p>
        </w:tc>
        <w:tc>
          <w:tcPr>
            <w:tcW w:w="1330" w:type="dxa"/>
            <w:tcBorders>
              <w:left w:val="nil"/>
              <w:bottom w:val="nil"/>
              <w:right w:val="nil"/>
            </w:tcBorders>
          </w:tcPr>
          <w:p w14:paraId="79F0A78B" w14:textId="772161F4" w:rsidR="004A143B" w:rsidRPr="00A04A32" w:rsidRDefault="00953CEA" w:rsidP="00A04A32">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r>
      <w:tr w:rsidR="004A143B" w:rsidRPr="00A04A32" w14:paraId="41A6223F" w14:textId="77777777" w:rsidTr="00A03B54">
        <w:trPr>
          <w:trHeight w:val="179"/>
        </w:trPr>
        <w:tc>
          <w:tcPr>
            <w:tcW w:w="3402" w:type="dxa"/>
            <w:tcBorders>
              <w:top w:val="nil"/>
              <w:left w:val="nil"/>
              <w:bottom w:val="nil"/>
              <w:right w:val="nil"/>
            </w:tcBorders>
          </w:tcPr>
          <w:p w14:paraId="7C561CB9" w14:textId="77100A79" w:rsidR="004A143B" w:rsidRPr="00A04A32" w:rsidRDefault="004A143B" w:rsidP="00A04A32">
            <w:pPr>
              <w:spacing w:line="480" w:lineRule="auto"/>
              <w:rPr>
                <w:rFonts w:asciiTheme="minorHAnsi" w:hAnsiTheme="minorHAnsi" w:cstheme="minorHAnsi"/>
                <w:b/>
                <w:color w:val="000000" w:themeColor="text1"/>
              </w:rPr>
            </w:pPr>
            <w:r w:rsidRPr="00A04A32">
              <w:rPr>
                <w:rFonts w:asciiTheme="minorHAnsi" w:hAnsiTheme="minorHAnsi" w:cstheme="minorHAnsi"/>
                <w:b/>
                <w:color w:val="000000" w:themeColor="text1"/>
              </w:rPr>
              <w:t>Age at PEA</w:t>
            </w:r>
            <w:r w:rsidR="005C5B17">
              <w:rPr>
                <w:rFonts w:asciiTheme="minorHAnsi" w:hAnsiTheme="minorHAnsi" w:cstheme="minorHAnsi"/>
                <w:b/>
                <w:color w:val="000000" w:themeColor="text1"/>
              </w:rPr>
              <w:t>,</w:t>
            </w:r>
            <w:r w:rsidRPr="00A04A32">
              <w:rPr>
                <w:rFonts w:asciiTheme="minorHAnsi" w:hAnsiTheme="minorHAnsi" w:cstheme="minorHAnsi"/>
                <w:b/>
                <w:color w:val="000000" w:themeColor="text1"/>
              </w:rPr>
              <w:t xml:space="preserve"> </w:t>
            </w:r>
            <w:r w:rsidRPr="005C5B17">
              <w:rPr>
                <w:rFonts w:asciiTheme="minorHAnsi" w:hAnsiTheme="minorHAnsi" w:cstheme="minorHAnsi"/>
                <w:color w:val="000000" w:themeColor="text1"/>
              </w:rPr>
              <w:t>yrs</w:t>
            </w:r>
          </w:p>
        </w:tc>
        <w:tc>
          <w:tcPr>
            <w:tcW w:w="1818" w:type="dxa"/>
            <w:tcBorders>
              <w:top w:val="nil"/>
              <w:left w:val="nil"/>
              <w:bottom w:val="nil"/>
              <w:right w:val="nil"/>
            </w:tcBorders>
          </w:tcPr>
          <w:p w14:paraId="0E98D501"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62 (22)</w:t>
            </w:r>
          </w:p>
        </w:tc>
        <w:tc>
          <w:tcPr>
            <w:tcW w:w="2180" w:type="dxa"/>
            <w:tcBorders>
              <w:top w:val="nil"/>
              <w:left w:val="nil"/>
              <w:bottom w:val="nil"/>
              <w:right w:val="nil"/>
            </w:tcBorders>
          </w:tcPr>
          <w:p w14:paraId="18303B24" w14:textId="35B4E0D0" w:rsidR="004A143B" w:rsidRPr="00A04A32" w:rsidRDefault="00953CEA" w:rsidP="00A04A32">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c>
          <w:tcPr>
            <w:tcW w:w="1330" w:type="dxa"/>
            <w:tcBorders>
              <w:top w:val="nil"/>
              <w:left w:val="nil"/>
              <w:bottom w:val="nil"/>
              <w:right w:val="nil"/>
            </w:tcBorders>
          </w:tcPr>
          <w:p w14:paraId="0D599B43" w14:textId="56B7B80A" w:rsidR="004A143B" w:rsidRPr="00A04A32" w:rsidRDefault="00953CEA" w:rsidP="00A04A32">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r>
      <w:tr w:rsidR="004A143B" w:rsidRPr="00A04A32" w14:paraId="3ECC0DBC" w14:textId="77777777" w:rsidTr="00A03B54">
        <w:tc>
          <w:tcPr>
            <w:tcW w:w="3402" w:type="dxa"/>
            <w:tcBorders>
              <w:top w:val="nil"/>
              <w:left w:val="nil"/>
              <w:bottom w:val="nil"/>
              <w:right w:val="nil"/>
            </w:tcBorders>
          </w:tcPr>
          <w:p w14:paraId="1D7C9A9D" w14:textId="77777777" w:rsidR="004A143B" w:rsidRPr="00A04A32" w:rsidRDefault="004A143B" w:rsidP="00A04A32">
            <w:pPr>
              <w:spacing w:line="480" w:lineRule="auto"/>
              <w:rPr>
                <w:rFonts w:asciiTheme="minorHAnsi" w:hAnsiTheme="minorHAnsi" w:cstheme="minorHAnsi"/>
                <w:b/>
                <w:color w:val="000000" w:themeColor="text1"/>
              </w:rPr>
            </w:pPr>
            <w:r w:rsidRPr="00A04A32">
              <w:rPr>
                <w:rFonts w:asciiTheme="minorHAnsi" w:hAnsiTheme="minorHAnsi" w:cstheme="minorHAnsi"/>
                <w:b/>
                <w:color w:val="000000" w:themeColor="text1"/>
              </w:rPr>
              <w:t xml:space="preserve">Sex (male:female), </w:t>
            </w:r>
            <w:r w:rsidRPr="005C5B17">
              <w:rPr>
                <w:rFonts w:asciiTheme="minorHAnsi" w:hAnsiTheme="minorHAnsi" w:cstheme="minorHAnsi"/>
                <w:color w:val="000000" w:themeColor="text1"/>
              </w:rPr>
              <w:t>%</w:t>
            </w:r>
          </w:p>
        </w:tc>
        <w:tc>
          <w:tcPr>
            <w:tcW w:w="1818" w:type="dxa"/>
            <w:tcBorders>
              <w:top w:val="nil"/>
              <w:left w:val="nil"/>
              <w:bottom w:val="nil"/>
              <w:right w:val="nil"/>
            </w:tcBorders>
          </w:tcPr>
          <w:p w14:paraId="504436B3"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54:46</w:t>
            </w:r>
          </w:p>
        </w:tc>
        <w:tc>
          <w:tcPr>
            <w:tcW w:w="2180" w:type="dxa"/>
            <w:tcBorders>
              <w:top w:val="nil"/>
              <w:left w:val="nil"/>
              <w:bottom w:val="nil"/>
              <w:right w:val="nil"/>
            </w:tcBorders>
          </w:tcPr>
          <w:p w14:paraId="63F35DAC" w14:textId="113B454A" w:rsidR="004A143B" w:rsidRPr="00A04A32" w:rsidRDefault="00953CEA" w:rsidP="00A04A32">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c>
          <w:tcPr>
            <w:tcW w:w="1330" w:type="dxa"/>
            <w:tcBorders>
              <w:top w:val="nil"/>
              <w:left w:val="nil"/>
              <w:bottom w:val="nil"/>
              <w:right w:val="nil"/>
            </w:tcBorders>
          </w:tcPr>
          <w:p w14:paraId="0A5D77DD" w14:textId="611C2EC6" w:rsidR="004A143B" w:rsidRPr="00A04A32" w:rsidRDefault="00953CEA" w:rsidP="00A04A32">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r>
      <w:tr w:rsidR="004A143B" w:rsidRPr="00A04A32" w14:paraId="365E5F51" w14:textId="77777777" w:rsidTr="00A03B54">
        <w:trPr>
          <w:trHeight w:val="215"/>
        </w:trPr>
        <w:tc>
          <w:tcPr>
            <w:tcW w:w="3402" w:type="dxa"/>
            <w:tcBorders>
              <w:top w:val="nil"/>
              <w:left w:val="nil"/>
              <w:bottom w:val="nil"/>
              <w:right w:val="nil"/>
            </w:tcBorders>
          </w:tcPr>
          <w:p w14:paraId="3537C4D5" w14:textId="77777777" w:rsidR="004A143B" w:rsidRPr="00A04A32" w:rsidRDefault="004A143B" w:rsidP="00A04A32">
            <w:pPr>
              <w:spacing w:line="480" w:lineRule="auto"/>
              <w:rPr>
                <w:rFonts w:asciiTheme="minorHAnsi" w:hAnsiTheme="minorHAnsi" w:cstheme="minorHAnsi"/>
                <w:b/>
                <w:color w:val="000000" w:themeColor="text1"/>
              </w:rPr>
            </w:pPr>
            <w:r w:rsidRPr="00A04A32">
              <w:rPr>
                <w:rFonts w:asciiTheme="minorHAnsi" w:hAnsiTheme="minorHAnsi" w:cstheme="minorHAnsi"/>
                <w:b/>
                <w:color w:val="000000" w:themeColor="text1"/>
              </w:rPr>
              <w:t xml:space="preserve">BMI, </w:t>
            </w:r>
            <w:r w:rsidRPr="005C5B17">
              <w:rPr>
                <w:rFonts w:asciiTheme="minorHAnsi" w:hAnsiTheme="minorHAnsi" w:cstheme="minorHAnsi"/>
                <w:color w:val="000000" w:themeColor="text1"/>
              </w:rPr>
              <w:t>kg/m</w:t>
            </w:r>
            <w:r w:rsidRPr="005C5B17">
              <w:rPr>
                <w:rFonts w:asciiTheme="minorHAnsi" w:hAnsiTheme="minorHAnsi" w:cstheme="minorHAnsi"/>
                <w:color w:val="000000" w:themeColor="text1"/>
                <w:vertAlign w:val="superscript"/>
              </w:rPr>
              <w:t>2</w:t>
            </w:r>
          </w:p>
        </w:tc>
        <w:tc>
          <w:tcPr>
            <w:tcW w:w="1818" w:type="dxa"/>
            <w:tcBorders>
              <w:top w:val="nil"/>
              <w:left w:val="nil"/>
              <w:bottom w:val="nil"/>
              <w:right w:val="nil"/>
            </w:tcBorders>
          </w:tcPr>
          <w:p w14:paraId="3786E98F"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29 (8)</w:t>
            </w:r>
          </w:p>
        </w:tc>
        <w:tc>
          <w:tcPr>
            <w:tcW w:w="2180" w:type="dxa"/>
            <w:tcBorders>
              <w:top w:val="nil"/>
              <w:left w:val="nil"/>
              <w:bottom w:val="nil"/>
              <w:right w:val="nil"/>
            </w:tcBorders>
          </w:tcPr>
          <w:p w14:paraId="4DBAE60B" w14:textId="29DDD5D1" w:rsidR="004A143B" w:rsidRPr="00A04A32" w:rsidRDefault="00953CEA" w:rsidP="00A04A32">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c>
          <w:tcPr>
            <w:tcW w:w="1330" w:type="dxa"/>
            <w:tcBorders>
              <w:top w:val="nil"/>
              <w:left w:val="nil"/>
              <w:bottom w:val="nil"/>
              <w:right w:val="nil"/>
            </w:tcBorders>
          </w:tcPr>
          <w:p w14:paraId="16181EB2" w14:textId="3E6073AA" w:rsidR="004A143B" w:rsidRPr="00A04A32" w:rsidRDefault="00953CEA" w:rsidP="00A04A32">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r>
      <w:tr w:rsidR="004A143B" w:rsidRPr="00A04A32" w14:paraId="44D524E6" w14:textId="77777777" w:rsidTr="00A03B54">
        <w:trPr>
          <w:trHeight w:val="215"/>
        </w:trPr>
        <w:tc>
          <w:tcPr>
            <w:tcW w:w="3402" w:type="dxa"/>
            <w:tcBorders>
              <w:top w:val="nil"/>
              <w:left w:val="nil"/>
              <w:bottom w:val="nil"/>
              <w:right w:val="nil"/>
            </w:tcBorders>
          </w:tcPr>
          <w:p w14:paraId="5D7B794C" w14:textId="77777777" w:rsidR="004A143B" w:rsidRPr="00A04A32" w:rsidRDefault="004A143B" w:rsidP="00A04A32">
            <w:pPr>
              <w:spacing w:line="480" w:lineRule="auto"/>
              <w:rPr>
                <w:rFonts w:asciiTheme="minorHAnsi" w:hAnsiTheme="minorHAnsi" w:cstheme="minorHAnsi"/>
                <w:b/>
                <w:color w:val="000000" w:themeColor="text1"/>
              </w:rPr>
            </w:pPr>
            <w:r w:rsidRPr="00A04A32">
              <w:rPr>
                <w:rFonts w:asciiTheme="minorHAnsi" w:hAnsiTheme="minorHAnsi" w:cstheme="minorHAnsi"/>
                <w:b/>
                <w:color w:val="000000" w:themeColor="text1"/>
              </w:rPr>
              <w:t>Active malignancy,</w:t>
            </w:r>
            <w:r w:rsidRPr="005C5B17">
              <w:rPr>
                <w:rFonts w:asciiTheme="minorHAnsi" w:hAnsiTheme="minorHAnsi" w:cstheme="minorHAnsi"/>
                <w:color w:val="000000" w:themeColor="text1"/>
              </w:rPr>
              <w:t>%</w:t>
            </w:r>
          </w:p>
        </w:tc>
        <w:tc>
          <w:tcPr>
            <w:tcW w:w="1818" w:type="dxa"/>
            <w:tcBorders>
              <w:top w:val="nil"/>
              <w:left w:val="nil"/>
              <w:bottom w:val="nil"/>
              <w:right w:val="nil"/>
            </w:tcBorders>
          </w:tcPr>
          <w:p w14:paraId="64E92E66"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0.4</w:t>
            </w:r>
          </w:p>
        </w:tc>
        <w:tc>
          <w:tcPr>
            <w:tcW w:w="2180" w:type="dxa"/>
            <w:tcBorders>
              <w:top w:val="nil"/>
              <w:left w:val="nil"/>
              <w:bottom w:val="nil"/>
              <w:right w:val="nil"/>
            </w:tcBorders>
          </w:tcPr>
          <w:p w14:paraId="60A5FE6E"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0.6</w:t>
            </w:r>
          </w:p>
        </w:tc>
        <w:tc>
          <w:tcPr>
            <w:tcW w:w="1330" w:type="dxa"/>
            <w:tcBorders>
              <w:top w:val="nil"/>
              <w:left w:val="nil"/>
              <w:bottom w:val="nil"/>
              <w:right w:val="nil"/>
            </w:tcBorders>
          </w:tcPr>
          <w:p w14:paraId="5B1EBA12" w14:textId="15421834" w:rsidR="004A143B" w:rsidRPr="00A04A32" w:rsidRDefault="00953CEA" w:rsidP="00A04A32">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r>
      <w:tr w:rsidR="004A143B" w:rsidRPr="00A04A32" w14:paraId="7AA70DAA" w14:textId="77777777" w:rsidTr="00A03B54">
        <w:tc>
          <w:tcPr>
            <w:tcW w:w="3402" w:type="dxa"/>
            <w:tcBorders>
              <w:top w:val="nil"/>
              <w:left w:val="nil"/>
              <w:bottom w:val="nil"/>
              <w:right w:val="nil"/>
            </w:tcBorders>
          </w:tcPr>
          <w:p w14:paraId="3FF555A9" w14:textId="77777777" w:rsidR="004A143B" w:rsidRPr="00A04A32" w:rsidRDefault="004A143B" w:rsidP="00A04A32">
            <w:pPr>
              <w:spacing w:line="480" w:lineRule="auto"/>
              <w:rPr>
                <w:rFonts w:asciiTheme="minorHAnsi" w:hAnsiTheme="minorHAnsi" w:cstheme="minorHAnsi"/>
                <w:b/>
                <w:color w:val="000000" w:themeColor="text1"/>
              </w:rPr>
            </w:pPr>
            <w:r w:rsidRPr="00A04A32">
              <w:rPr>
                <w:rFonts w:asciiTheme="minorHAnsi" w:hAnsiTheme="minorHAnsi" w:cstheme="minorHAnsi"/>
                <w:b/>
                <w:color w:val="000000" w:themeColor="text1"/>
              </w:rPr>
              <w:t>NHYA Functional Class</w:t>
            </w:r>
          </w:p>
        </w:tc>
        <w:tc>
          <w:tcPr>
            <w:tcW w:w="1818" w:type="dxa"/>
            <w:tcBorders>
              <w:top w:val="nil"/>
              <w:left w:val="nil"/>
              <w:bottom w:val="nil"/>
              <w:right w:val="nil"/>
            </w:tcBorders>
          </w:tcPr>
          <w:p w14:paraId="41E40086" w14:textId="54EF986F" w:rsidR="004A143B" w:rsidRPr="00A04A32" w:rsidRDefault="004A143B" w:rsidP="00953CEA">
            <w:pPr>
              <w:spacing w:line="480" w:lineRule="auto"/>
              <w:jc w:val="center"/>
              <w:rPr>
                <w:rFonts w:asciiTheme="minorHAnsi" w:hAnsiTheme="minorHAnsi" w:cstheme="minorHAnsi"/>
                <w:color w:val="000000" w:themeColor="text1"/>
              </w:rPr>
            </w:pPr>
          </w:p>
        </w:tc>
        <w:tc>
          <w:tcPr>
            <w:tcW w:w="2180" w:type="dxa"/>
            <w:tcBorders>
              <w:top w:val="nil"/>
              <w:left w:val="nil"/>
              <w:bottom w:val="nil"/>
              <w:right w:val="nil"/>
            </w:tcBorders>
          </w:tcPr>
          <w:p w14:paraId="62F4DD22" w14:textId="06B7AB7A" w:rsidR="004A143B" w:rsidRPr="00A04A32" w:rsidRDefault="004A143B" w:rsidP="00953CEA">
            <w:pPr>
              <w:spacing w:line="480" w:lineRule="auto"/>
              <w:jc w:val="center"/>
              <w:rPr>
                <w:rFonts w:asciiTheme="minorHAnsi" w:hAnsiTheme="minorHAnsi" w:cstheme="minorHAnsi"/>
                <w:color w:val="000000" w:themeColor="text1"/>
              </w:rPr>
            </w:pPr>
          </w:p>
        </w:tc>
        <w:tc>
          <w:tcPr>
            <w:tcW w:w="1330" w:type="dxa"/>
            <w:tcBorders>
              <w:top w:val="nil"/>
              <w:left w:val="nil"/>
              <w:bottom w:val="nil"/>
              <w:right w:val="nil"/>
            </w:tcBorders>
          </w:tcPr>
          <w:p w14:paraId="66D453FD" w14:textId="4F3A0FEE" w:rsidR="004A143B" w:rsidRPr="00A04A32" w:rsidRDefault="004A143B" w:rsidP="00953CEA">
            <w:pPr>
              <w:spacing w:line="480" w:lineRule="auto"/>
              <w:jc w:val="center"/>
              <w:rPr>
                <w:rFonts w:asciiTheme="minorHAnsi" w:hAnsiTheme="minorHAnsi" w:cstheme="minorHAnsi"/>
                <w:color w:val="000000" w:themeColor="text1"/>
              </w:rPr>
            </w:pPr>
          </w:p>
        </w:tc>
      </w:tr>
      <w:tr w:rsidR="004A143B" w:rsidRPr="00A04A32" w14:paraId="05375CEC" w14:textId="77777777" w:rsidTr="00A03B54">
        <w:trPr>
          <w:trHeight w:val="224"/>
        </w:trPr>
        <w:tc>
          <w:tcPr>
            <w:tcW w:w="3402" w:type="dxa"/>
            <w:tcBorders>
              <w:top w:val="nil"/>
              <w:left w:val="nil"/>
              <w:bottom w:val="nil"/>
              <w:right w:val="nil"/>
            </w:tcBorders>
          </w:tcPr>
          <w:p w14:paraId="75C41D27" w14:textId="77777777" w:rsidR="004A143B" w:rsidRPr="00A04A32" w:rsidRDefault="004A143B" w:rsidP="00A04A32">
            <w:pPr>
              <w:spacing w:line="480" w:lineRule="auto"/>
              <w:rPr>
                <w:rFonts w:asciiTheme="minorHAnsi" w:hAnsiTheme="minorHAnsi" w:cstheme="minorHAnsi"/>
                <w:color w:val="000000" w:themeColor="text1"/>
              </w:rPr>
            </w:pPr>
            <w:r w:rsidRPr="00A04A32">
              <w:rPr>
                <w:rFonts w:asciiTheme="minorHAnsi" w:hAnsiTheme="minorHAnsi" w:cstheme="minorHAnsi"/>
                <w:color w:val="000000" w:themeColor="text1"/>
              </w:rPr>
              <w:t xml:space="preserve">   Patients, n</w:t>
            </w:r>
          </w:p>
        </w:tc>
        <w:tc>
          <w:tcPr>
            <w:tcW w:w="1818" w:type="dxa"/>
            <w:tcBorders>
              <w:top w:val="nil"/>
              <w:left w:val="nil"/>
              <w:bottom w:val="nil"/>
              <w:right w:val="nil"/>
            </w:tcBorders>
          </w:tcPr>
          <w:p w14:paraId="7F9F5EAB"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1224</w:t>
            </w:r>
          </w:p>
        </w:tc>
        <w:tc>
          <w:tcPr>
            <w:tcW w:w="2180" w:type="dxa"/>
            <w:tcBorders>
              <w:top w:val="nil"/>
              <w:left w:val="nil"/>
              <w:bottom w:val="nil"/>
              <w:right w:val="nil"/>
            </w:tcBorders>
          </w:tcPr>
          <w:p w14:paraId="1FFFCFEB"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985</w:t>
            </w:r>
          </w:p>
        </w:tc>
        <w:tc>
          <w:tcPr>
            <w:tcW w:w="1330" w:type="dxa"/>
            <w:tcBorders>
              <w:top w:val="nil"/>
              <w:left w:val="nil"/>
              <w:bottom w:val="nil"/>
              <w:right w:val="nil"/>
            </w:tcBorders>
          </w:tcPr>
          <w:p w14:paraId="33D81F59" w14:textId="3784A8CD" w:rsidR="004A143B" w:rsidRPr="00A04A32" w:rsidRDefault="00953CEA" w:rsidP="00A04A32">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r>
      <w:tr w:rsidR="004A143B" w:rsidRPr="00A04A32" w14:paraId="5F8A45AD" w14:textId="77777777" w:rsidTr="00A03B54">
        <w:trPr>
          <w:trHeight w:val="206"/>
        </w:trPr>
        <w:tc>
          <w:tcPr>
            <w:tcW w:w="3402" w:type="dxa"/>
            <w:tcBorders>
              <w:top w:val="nil"/>
              <w:left w:val="nil"/>
              <w:bottom w:val="nil"/>
              <w:right w:val="nil"/>
            </w:tcBorders>
          </w:tcPr>
          <w:p w14:paraId="37F47711" w14:textId="349463A7" w:rsidR="004A143B" w:rsidRPr="00A04A32" w:rsidRDefault="004A143B" w:rsidP="00A04A32">
            <w:pPr>
              <w:spacing w:line="480" w:lineRule="auto"/>
              <w:rPr>
                <w:rFonts w:asciiTheme="minorHAnsi" w:hAnsiTheme="minorHAnsi" w:cstheme="minorHAnsi"/>
                <w:color w:val="000000" w:themeColor="text1"/>
              </w:rPr>
            </w:pPr>
            <w:r w:rsidRPr="00A04A32">
              <w:rPr>
                <w:rFonts w:asciiTheme="minorHAnsi" w:hAnsiTheme="minorHAnsi" w:cstheme="minorHAnsi"/>
                <w:color w:val="000000" w:themeColor="text1"/>
              </w:rPr>
              <w:t xml:space="preserve">  </w:t>
            </w:r>
            <w:r w:rsidR="00A03B54">
              <w:rPr>
                <w:rFonts w:asciiTheme="minorHAnsi" w:hAnsiTheme="minorHAnsi" w:cstheme="minorHAnsi"/>
                <w:color w:val="000000" w:themeColor="text1"/>
              </w:rPr>
              <w:t xml:space="preserve"> </w:t>
            </w:r>
            <w:r w:rsidRPr="00A04A32">
              <w:rPr>
                <w:rFonts w:asciiTheme="minorHAnsi" w:hAnsiTheme="minorHAnsi" w:cstheme="minorHAnsi"/>
                <w:color w:val="000000" w:themeColor="text1"/>
              </w:rPr>
              <w:t>1/2/3/4</w:t>
            </w:r>
            <w:r w:rsidR="00A03B54">
              <w:rPr>
                <w:rFonts w:asciiTheme="minorHAnsi" w:hAnsiTheme="minorHAnsi" w:cstheme="minorHAnsi"/>
                <w:color w:val="000000" w:themeColor="text1"/>
              </w:rPr>
              <w:t>,</w:t>
            </w:r>
            <w:r w:rsidRPr="00A04A32">
              <w:rPr>
                <w:rFonts w:asciiTheme="minorHAnsi" w:hAnsiTheme="minorHAnsi" w:cstheme="minorHAnsi"/>
                <w:color w:val="000000" w:themeColor="text1"/>
              </w:rPr>
              <w:t xml:space="preserve"> %</w:t>
            </w:r>
          </w:p>
        </w:tc>
        <w:tc>
          <w:tcPr>
            <w:tcW w:w="1818" w:type="dxa"/>
            <w:tcBorders>
              <w:top w:val="nil"/>
              <w:left w:val="nil"/>
              <w:bottom w:val="nil"/>
              <w:right w:val="nil"/>
            </w:tcBorders>
          </w:tcPr>
          <w:p w14:paraId="38889CE5"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0/15/74/11</w:t>
            </w:r>
          </w:p>
        </w:tc>
        <w:tc>
          <w:tcPr>
            <w:tcW w:w="2180" w:type="dxa"/>
            <w:tcBorders>
              <w:top w:val="nil"/>
              <w:left w:val="nil"/>
              <w:bottom w:val="nil"/>
              <w:right w:val="nil"/>
            </w:tcBorders>
          </w:tcPr>
          <w:p w14:paraId="6BF7CF3C"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30/43/26/1</w:t>
            </w:r>
          </w:p>
        </w:tc>
        <w:tc>
          <w:tcPr>
            <w:tcW w:w="1330" w:type="dxa"/>
            <w:tcBorders>
              <w:top w:val="nil"/>
              <w:left w:val="nil"/>
              <w:bottom w:val="nil"/>
              <w:right w:val="nil"/>
            </w:tcBorders>
          </w:tcPr>
          <w:p w14:paraId="1CD62D08"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&lt; 0.001</w:t>
            </w:r>
          </w:p>
        </w:tc>
      </w:tr>
      <w:tr w:rsidR="004A143B" w:rsidRPr="00A04A32" w14:paraId="0F0E8EE0" w14:textId="77777777" w:rsidTr="00A03B54">
        <w:tc>
          <w:tcPr>
            <w:tcW w:w="3402" w:type="dxa"/>
            <w:tcBorders>
              <w:top w:val="nil"/>
              <w:left w:val="nil"/>
              <w:bottom w:val="nil"/>
              <w:right w:val="nil"/>
            </w:tcBorders>
          </w:tcPr>
          <w:p w14:paraId="569FD969" w14:textId="5FAC76E0" w:rsidR="004A143B" w:rsidRPr="00A04A32" w:rsidRDefault="00A03B54" w:rsidP="00A04A32">
            <w:pPr>
              <w:spacing w:line="480" w:lineRule="auto"/>
              <w:rPr>
                <w:rFonts w:asciiTheme="minorHAnsi" w:hAnsiTheme="minorHAnsi" w:cstheme="minorHAnsi"/>
                <w:b/>
                <w:color w:val="000000" w:themeColor="text1"/>
              </w:rPr>
            </w:pPr>
            <w:r>
              <w:rPr>
                <w:rFonts w:asciiTheme="minorHAnsi" w:hAnsiTheme="minorHAnsi" w:cstheme="minorHAnsi"/>
                <w:b/>
                <w:color w:val="000000" w:themeColor="text1"/>
              </w:rPr>
              <w:t xml:space="preserve">Haemodynamics </w:t>
            </w:r>
          </w:p>
        </w:tc>
        <w:tc>
          <w:tcPr>
            <w:tcW w:w="1818" w:type="dxa"/>
            <w:tcBorders>
              <w:top w:val="nil"/>
              <w:left w:val="nil"/>
              <w:bottom w:val="nil"/>
              <w:right w:val="nil"/>
            </w:tcBorders>
          </w:tcPr>
          <w:p w14:paraId="4D6469A2" w14:textId="79FC08EE" w:rsidR="004A143B" w:rsidRPr="00A04A32" w:rsidRDefault="004A143B" w:rsidP="00953CEA">
            <w:pPr>
              <w:spacing w:line="480" w:lineRule="auto"/>
              <w:jc w:val="center"/>
              <w:rPr>
                <w:rFonts w:asciiTheme="minorHAnsi" w:hAnsiTheme="minorHAnsi" w:cstheme="minorHAnsi"/>
                <w:color w:val="000000" w:themeColor="text1"/>
              </w:rPr>
            </w:pPr>
          </w:p>
        </w:tc>
        <w:tc>
          <w:tcPr>
            <w:tcW w:w="2180" w:type="dxa"/>
            <w:tcBorders>
              <w:top w:val="nil"/>
              <w:left w:val="nil"/>
              <w:bottom w:val="nil"/>
              <w:right w:val="nil"/>
            </w:tcBorders>
          </w:tcPr>
          <w:p w14:paraId="2035598D" w14:textId="0F20D79B" w:rsidR="004A143B" w:rsidRPr="00A04A32" w:rsidRDefault="004A143B" w:rsidP="007479E0">
            <w:pPr>
              <w:spacing w:line="480" w:lineRule="auto"/>
              <w:rPr>
                <w:rFonts w:asciiTheme="minorHAnsi" w:hAnsiTheme="minorHAnsi" w:cstheme="minorHAnsi"/>
                <w:color w:val="000000" w:themeColor="text1"/>
              </w:rPr>
            </w:pPr>
          </w:p>
        </w:tc>
        <w:tc>
          <w:tcPr>
            <w:tcW w:w="1330" w:type="dxa"/>
            <w:tcBorders>
              <w:top w:val="nil"/>
              <w:left w:val="nil"/>
              <w:bottom w:val="nil"/>
              <w:right w:val="nil"/>
            </w:tcBorders>
          </w:tcPr>
          <w:p w14:paraId="39B926B4" w14:textId="59C5AA3D" w:rsidR="004A143B" w:rsidRPr="00A04A32" w:rsidRDefault="004A143B" w:rsidP="007479E0">
            <w:pPr>
              <w:spacing w:line="480" w:lineRule="auto"/>
              <w:rPr>
                <w:rFonts w:asciiTheme="minorHAnsi" w:hAnsiTheme="minorHAnsi" w:cstheme="minorHAnsi"/>
                <w:color w:val="000000" w:themeColor="text1"/>
              </w:rPr>
            </w:pPr>
          </w:p>
        </w:tc>
      </w:tr>
      <w:tr w:rsidR="004A143B" w:rsidRPr="00A04A32" w14:paraId="538A848C" w14:textId="77777777" w:rsidTr="00A03B54">
        <w:trPr>
          <w:trHeight w:val="206"/>
        </w:trPr>
        <w:tc>
          <w:tcPr>
            <w:tcW w:w="3402" w:type="dxa"/>
            <w:tcBorders>
              <w:top w:val="nil"/>
              <w:left w:val="nil"/>
              <w:bottom w:val="nil"/>
              <w:right w:val="nil"/>
            </w:tcBorders>
          </w:tcPr>
          <w:p w14:paraId="3C8BE5CA" w14:textId="77777777" w:rsidR="004A143B" w:rsidRPr="00A04A32" w:rsidRDefault="004A143B" w:rsidP="00A04A32">
            <w:pPr>
              <w:spacing w:line="480" w:lineRule="auto"/>
              <w:rPr>
                <w:rFonts w:asciiTheme="minorHAnsi" w:hAnsiTheme="minorHAnsi" w:cstheme="minorHAnsi"/>
                <w:b/>
                <w:color w:val="000000" w:themeColor="text1"/>
              </w:rPr>
            </w:pPr>
            <w:r w:rsidRPr="00A04A32">
              <w:rPr>
                <w:rFonts w:asciiTheme="minorHAnsi" w:hAnsiTheme="minorHAnsi" w:cstheme="minorHAnsi"/>
                <w:color w:val="000000" w:themeColor="text1"/>
              </w:rPr>
              <w:t xml:space="preserve">   Patients, n</w:t>
            </w:r>
          </w:p>
        </w:tc>
        <w:tc>
          <w:tcPr>
            <w:tcW w:w="1818" w:type="dxa"/>
            <w:tcBorders>
              <w:top w:val="nil"/>
              <w:left w:val="nil"/>
              <w:bottom w:val="nil"/>
              <w:right w:val="nil"/>
            </w:tcBorders>
          </w:tcPr>
          <w:p w14:paraId="5DFB5BFC"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1322</w:t>
            </w:r>
          </w:p>
        </w:tc>
        <w:tc>
          <w:tcPr>
            <w:tcW w:w="2180" w:type="dxa"/>
            <w:tcBorders>
              <w:top w:val="nil"/>
              <w:left w:val="nil"/>
              <w:bottom w:val="nil"/>
              <w:right w:val="nil"/>
            </w:tcBorders>
          </w:tcPr>
          <w:p w14:paraId="0F04B814"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1070</w:t>
            </w:r>
          </w:p>
        </w:tc>
        <w:tc>
          <w:tcPr>
            <w:tcW w:w="1330" w:type="dxa"/>
            <w:tcBorders>
              <w:top w:val="nil"/>
              <w:left w:val="nil"/>
              <w:bottom w:val="nil"/>
              <w:right w:val="nil"/>
            </w:tcBorders>
          </w:tcPr>
          <w:p w14:paraId="43168F76" w14:textId="4DA5BCFD" w:rsidR="004A143B" w:rsidRPr="00A04A32" w:rsidRDefault="00953CEA" w:rsidP="00A04A32">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r>
      <w:tr w:rsidR="004A143B" w:rsidRPr="00A04A32" w14:paraId="50923E88" w14:textId="77777777" w:rsidTr="00A03B54">
        <w:tc>
          <w:tcPr>
            <w:tcW w:w="3402" w:type="dxa"/>
            <w:tcBorders>
              <w:top w:val="nil"/>
              <w:left w:val="nil"/>
              <w:bottom w:val="nil"/>
              <w:right w:val="nil"/>
            </w:tcBorders>
          </w:tcPr>
          <w:p w14:paraId="040BD12B" w14:textId="77777777" w:rsidR="004A143B" w:rsidRPr="00A04A32" w:rsidRDefault="004A143B" w:rsidP="00A04A32">
            <w:pPr>
              <w:spacing w:line="480" w:lineRule="auto"/>
              <w:rPr>
                <w:rFonts w:asciiTheme="minorHAnsi" w:hAnsiTheme="minorHAnsi" w:cstheme="minorHAnsi"/>
                <w:color w:val="000000" w:themeColor="text1"/>
              </w:rPr>
            </w:pPr>
            <w:r w:rsidRPr="00A04A32">
              <w:rPr>
                <w:rFonts w:asciiTheme="minorHAnsi" w:hAnsiTheme="minorHAnsi" w:cstheme="minorHAnsi"/>
                <w:color w:val="000000" w:themeColor="text1"/>
              </w:rPr>
              <w:t xml:space="preserve">   Mean PAP, mmHg</w:t>
            </w:r>
          </w:p>
        </w:tc>
        <w:tc>
          <w:tcPr>
            <w:tcW w:w="1818" w:type="dxa"/>
            <w:tcBorders>
              <w:top w:val="nil"/>
              <w:left w:val="nil"/>
              <w:bottom w:val="nil"/>
              <w:right w:val="nil"/>
            </w:tcBorders>
          </w:tcPr>
          <w:p w14:paraId="54641E16"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44 (16)</w:t>
            </w:r>
          </w:p>
        </w:tc>
        <w:tc>
          <w:tcPr>
            <w:tcW w:w="2180" w:type="dxa"/>
            <w:tcBorders>
              <w:top w:val="nil"/>
              <w:left w:val="nil"/>
              <w:bottom w:val="nil"/>
              <w:right w:val="nil"/>
            </w:tcBorders>
          </w:tcPr>
          <w:p w14:paraId="1FE30610"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24 (12)</w:t>
            </w:r>
          </w:p>
        </w:tc>
        <w:tc>
          <w:tcPr>
            <w:tcW w:w="1330" w:type="dxa"/>
            <w:tcBorders>
              <w:top w:val="nil"/>
              <w:left w:val="nil"/>
              <w:bottom w:val="nil"/>
              <w:right w:val="nil"/>
            </w:tcBorders>
          </w:tcPr>
          <w:p w14:paraId="636C6602"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&lt; 0.001</w:t>
            </w:r>
          </w:p>
        </w:tc>
      </w:tr>
      <w:tr w:rsidR="004A143B" w:rsidRPr="00A04A32" w14:paraId="7BFFDDCC" w14:textId="77777777" w:rsidTr="00A03B54">
        <w:tc>
          <w:tcPr>
            <w:tcW w:w="3402" w:type="dxa"/>
            <w:tcBorders>
              <w:top w:val="nil"/>
              <w:left w:val="nil"/>
              <w:bottom w:val="nil"/>
              <w:right w:val="nil"/>
            </w:tcBorders>
          </w:tcPr>
          <w:p w14:paraId="1575BF26" w14:textId="77777777" w:rsidR="004A143B" w:rsidRPr="00A04A32" w:rsidRDefault="004A143B" w:rsidP="00A04A32">
            <w:pPr>
              <w:spacing w:line="480" w:lineRule="auto"/>
              <w:rPr>
                <w:rFonts w:asciiTheme="minorHAnsi" w:hAnsiTheme="minorHAnsi" w:cstheme="minorHAnsi"/>
                <w:color w:val="000000" w:themeColor="text1"/>
                <w:vertAlign w:val="superscript"/>
              </w:rPr>
            </w:pPr>
            <w:r w:rsidRPr="00A04A32">
              <w:rPr>
                <w:rFonts w:asciiTheme="minorHAnsi" w:hAnsiTheme="minorHAnsi" w:cstheme="minorHAnsi"/>
                <w:color w:val="000000" w:themeColor="text1"/>
              </w:rPr>
              <w:t xml:space="preserve">   PVR, dynes</w:t>
            </w:r>
            <w:r w:rsidRPr="00A04A32">
              <w:rPr>
                <w:rFonts w:asciiTheme="minorHAnsi" w:hAnsiTheme="minorHAnsi" w:cstheme="minorHAnsi"/>
                <w:color w:val="000000" w:themeColor="text1"/>
                <w:vertAlign w:val="superscript"/>
              </w:rPr>
              <w:t>.</w:t>
            </w:r>
            <w:r w:rsidRPr="00A04A32">
              <w:rPr>
                <w:rFonts w:asciiTheme="minorHAnsi" w:hAnsiTheme="minorHAnsi" w:cstheme="minorHAnsi"/>
                <w:color w:val="000000" w:themeColor="text1"/>
              </w:rPr>
              <w:t>s</w:t>
            </w:r>
            <w:r w:rsidRPr="00A04A32">
              <w:rPr>
                <w:rFonts w:asciiTheme="minorHAnsi" w:hAnsiTheme="minorHAnsi" w:cstheme="minorHAnsi"/>
                <w:color w:val="000000" w:themeColor="text1"/>
                <w:vertAlign w:val="superscript"/>
              </w:rPr>
              <w:t>-1.</w:t>
            </w:r>
            <w:r w:rsidRPr="00A04A32">
              <w:rPr>
                <w:rFonts w:asciiTheme="minorHAnsi" w:hAnsiTheme="minorHAnsi" w:cstheme="minorHAnsi"/>
                <w:color w:val="000000" w:themeColor="text1"/>
              </w:rPr>
              <w:t>cm</w:t>
            </w:r>
            <w:r w:rsidRPr="00A04A32">
              <w:rPr>
                <w:rFonts w:asciiTheme="minorHAnsi" w:hAnsiTheme="minorHAnsi" w:cstheme="minorHAnsi"/>
                <w:color w:val="000000" w:themeColor="text1"/>
                <w:vertAlign w:val="superscript"/>
              </w:rPr>
              <w:t>-5</w:t>
            </w:r>
          </w:p>
        </w:tc>
        <w:tc>
          <w:tcPr>
            <w:tcW w:w="1818" w:type="dxa"/>
            <w:tcBorders>
              <w:top w:val="nil"/>
              <w:left w:val="nil"/>
              <w:bottom w:val="nil"/>
              <w:right w:val="nil"/>
            </w:tcBorders>
          </w:tcPr>
          <w:p w14:paraId="6132E32E"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651 (493)</w:t>
            </w:r>
          </w:p>
        </w:tc>
        <w:tc>
          <w:tcPr>
            <w:tcW w:w="2180" w:type="dxa"/>
            <w:tcBorders>
              <w:top w:val="nil"/>
              <w:left w:val="nil"/>
              <w:bottom w:val="nil"/>
              <w:right w:val="nil"/>
            </w:tcBorders>
          </w:tcPr>
          <w:p w14:paraId="78423566"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240 (209)</w:t>
            </w:r>
          </w:p>
        </w:tc>
        <w:tc>
          <w:tcPr>
            <w:tcW w:w="1330" w:type="dxa"/>
            <w:tcBorders>
              <w:top w:val="nil"/>
              <w:left w:val="nil"/>
              <w:bottom w:val="nil"/>
              <w:right w:val="nil"/>
            </w:tcBorders>
          </w:tcPr>
          <w:p w14:paraId="1F077428"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&lt; 0.001</w:t>
            </w:r>
          </w:p>
        </w:tc>
      </w:tr>
      <w:tr w:rsidR="004A143B" w:rsidRPr="00A04A32" w14:paraId="71DE5B9B" w14:textId="77777777" w:rsidTr="00A03B54">
        <w:tc>
          <w:tcPr>
            <w:tcW w:w="3402" w:type="dxa"/>
            <w:tcBorders>
              <w:top w:val="nil"/>
              <w:left w:val="nil"/>
              <w:bottom w:val="nil"/>
              <w:right w:val="nil"/>
            </w:tcBorders>
          </w:tcPr>
          <w:p w14:paraId="21ECCEF3" w14:textId="77777777" w:rsidR="004A143B" w:rsidRPr="00A04A32" w:rsidRDefault="004A143B" w:rsidP="00A04A32">
            <w:pPr>
              <w:spacing w:line="480" w:lineRule="auto"/>
              <w:rPr>
                <w:rFonts w:asciiTheme="minorHAnsi" w:hAnsiTheme="minorHAnsi" w:cstheme="minorHAnsi"/>
                <w:color w:val="000000" w:themeColor="text1"/>
              </w:rPr>
            </w:pPr>
            <w:r w:rsidRPr="00A04A32">
              <w:rPr>
                <w:rFonts w:asciiTheme="minorHAnsi" w:hAnsiTheme="minorHAnsi" w:cstheme="minorHAnsi"/>
                <w:color w:val="000000" w:themeColor="text1"/>
              </w:rPr>
              <w:t xml:space="preserve">   P</w:t>
            </w:r>
            <w:r w:rsidRPr="00A04A32">
              <w:rPr>
                <w:rFonts w:asciiTheme="minorHAnsi" w:hAnsiTheme="minorHAnsi" w:cstheme="minorHAnsi"/>
                <w:i/>
                <w:color w:val="000000" w:themeColor="text1"/>
                <w:vertAlign w:val="subscript"/>
              </w:rPr>
              <w:t xml:space="preserve">awp </w:t>
            </w:r>
            <w:r w:rsidRPr="00A04A32">
              <w:rPr>
                <w:rFonts w:asciiTheme="minorHAnsi" w:hAnsiTheme="minorHAnsi" w:cstheme="minorHAnsi"/>
                <w:color w:val="000000" w:themeColor="text1"/>
              </w:rPr>
              <w:t>, mmHg</w:t>
            </w:r>
          </w:p>
        </w:tc>
        <w:tc>
          <w:tcPr>
            <w:tcW w:w="1818" w:type="dxa"/>
            <w:tcBorders>
              <w:top w:val="nil"/>
              <w:left w:val="nil"/>
              <w:bottom w:val="nil"/>
              <w:right w:val="nil"/>
            </w:tcBorders>
          </w:tcPr>
          <w:p w14:paraId="14CC133A"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11 (6)</w:t>
            </w:r>
          </w:p>
        </w:tc>
        <w:tc>
          <w:tcPr>
            <w:tcW w:w="2180" w:type="dxa"/>
            <w:tcBorders>
              <w:top w:val="nil"/>
              <w:left w:val="nil"/>
              <w:bottom w:val="nil"/>
              <w:right w:val="nil"/>
            </w:tcBorders>
          </w:tcPr>
          <w:p w14:paraId="740A4E77"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10 (5)</w:t>
            </w:r>
          </w:p>
        </w:tc>
        <w:tc>
          <w:tcPr>
            <w:tcW w:w="1330" w:type="dxa"/>
            <w:tcBorders>
              <w:top w:val="nil"/>
              <w:left w:val="nil"/>
              <w:bottom w:val="nil"/>
              <w:right w:val="nil"/>
            </w:tcBorders>
          </w:tcPr>
          <w:p w14:paraId="4A71267D"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&lt; 0.001</w:t>
            </w:r>
          </w:p>
        </w:tc>
      </w:tr>
      <w:tr w:rsidR="004A143B" w:rsidRPr="00A04A32" w14:paraId="642898B0" w14:textId="77777777" w:rsidTr="00A03B54">
        <w:tc>
          <w:tcPr>
            <w:tcW w:w="3402" w:type="dxa"/>
            <w:tcBorders>
              <w:top w:val="nil"/>
              <w:left w:val="nil"/>
              <w:bottom w:val="nil"/>
              <w:right w:val="nil"/>
            </w:tcBorders>
          </w:tcPr>
          <w:p w14:paraId="7A6D2D1C" w14:textId="77777777" w:rsidR="004A143B" w:rsidRPr="00A04A32" w:rsidRDefault="004A143B" w:rsidP="00A04A32">
            <w:pPr>
              <w:spacing w:line="480" w:lineRule="auto"/>
              <w:rPr>
                <w:rFonts w:asciiTheme="minorHAnsi" w:hAnsiTheme="minorHAnsi" w:cstheme="minorHAnsi"/>
                <w:color w:val="000000" w:themeColor="text1"/>
              </w:rPr>
            </w:pPr>
            <w:r w:rsidRPr="00A04A32">
              <w:rPr>
                <w:rFonts w:asciiTheme="minorHAnsi" w:hAnsiTheme="minorHAnsi" w:cstheme="minorHAnsi"/>
                <w:color w:val="000000" w:themeColor="text1"/>
              </w:rPr>
              <w:t xml:space="preserve">   Cardiac Index, l</w:t>
            </w:r>
            <w:r w:rsidRPr="00A04A32">
              <w:rPr>
                <w:rFonts w:asciiTheme="minorHAnsi" w:hAnsiTheme="minorHAnsi" w:cstheme="minorHAnsi"/>
                <w:color w:val="000000" w:themeColor="text1"/>
                <w:vertAlign w:val="superscript"/>
              </w:rPr>
              <w:t>.</w:t>
            </w:r>
            <w:r w:rsidRPr="00A04A32">
              <w:rPr>
                <w:rFonts w:asciiTheme="minorHAnsi" w:hAnsiTheme="minorHAnsi" w:cstheme="minorHAnsi"/>
                <w:color w:val="000000" w:themeColor="text1"/>
              </w:rPr>
              <w:t>min</w:t>
            </w:r>
            <w:r w:rsidRPr="00A04A32">
              <w:rPr>
                <w:rFonts w:asciiTheme="minorHAnsi" w:hAnsiTheme="minorHAnsi" w:cstheme="minorHAnsi"/>
                <w:color w:val="000000" w:themeColor="text1"/>
                <w:vertAlign w:val="superscript"/>
              </w:rPr>
              <w:t>-.</w:t>
            </w:r>
            <w:r w:rsidRPr="00A04A32">
              <w:rPr>
                <w:rFonts w:asciiTheme="minorHAnsi" w:hAnsiTheme="minorHAnsi" w:cstheme="minorHAnsi"/>
                <w:color w:val="000000" w:themeColor="text1"/>
              </w:rPr>
              <w:t>m</w:t>
            </w:r>
            <w:r w:rsidRPr="00A04A32">
              <w:rPr>
                <w:rFonts w:asciiTheme="minorHAnsi" w:hAnsiTheme="minorHAnsi" w:cstheme="minorHAnsi"/>
                <w:color w:val="000000" w:themeColor="text1"/>
                <w:vertAlign w:val="superscript"/>
              </w:rPr>
              <w:t>2</w:t>
            </w:r>
          </w:p>
        </w:tc>
        <w:tc>
          <w:tcPr>
            <w:tcW w:w="1818" w:type="dxa"/>
            <w:tcBorders>
              <w:top w:val="nil"/>
              <w:left w:val="nil"/>
              <w:bottom w:val="nil"/>
              <w:right w:val="nil"/>
            </w:tcBorders>
          </w:tcPr>
          <w:p w14:paraId="49688947"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2.12 (0.8)</w:t>
            </w:r>
          </w:p>
        </w:tc>
        <w:tc>
          <w:tcPr>
            <w:tcW w:w="2180" w:type="dxa"/>
            <w:tcBorders>
              <w:top w:val="nil"/>
              <w:left w:val="nil"/>
              <w:bottom w:val="nil"/>
              <w:right w:val="nil"/>
            </w:tcBorders>
          </w:tcPr>
          <w:p w14:paraId="4A67373E"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2.31 (0.7)</w:t>
            </w:r>
          </w:p>
        </w:tc>
        <w:tc>
          <w:tcPr>
            <w:tcW w:w="1330" w:type="dxa"/>
            <w:tcBorders>
              <w:top w:val="nil"/>
              <w:left w:val="nil"/>
              <w:bottom w:val="nil"/>
              <w:right w:val="nil"/>
            </w:tcBorders>
          </w:tcPr>
          <w:p w14:paraId="74BF262E"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&lt; 0.001</w:t>
            </w:r>
          </w:p>
        </w:tc>
      </w:tr>
      <w:tr w:rsidR="004A143B" w:rsidRPr="00A04A32" w14:paraId="0A4ACDE8" w14:textId="77777777" w:rsidTr="00A03B54">
        <w:trPr>
          <w:trHeight w:val="224"/>
        </w:trPr>
        <w:tc>
          <w:tcPr>
            <w:tcW w:w="3402" w:type="dxa"/>
            <w:tcBorders>
              <w:top w:val="nil"/>
              <w:left w:val="nil"/>
              <w:bottom w:val="nil"/>
              <w:right w:val="nil"/>
            </w:tcBorders>
          </w:tcPr>
          <w:p w14:paraId="04767A06" w14:textId="77777777" w:rsidR="004A143B" w:rsidRPr="00A04A32" w:rsidRDefault="004A143B" w:rsidP="00A04A32">
            <w:pPr>
              <w:spacing w:line="480" w:lineRule="auto"/>
              <w:rPr>
                <w:rFonts w:asciiTheme="minorHAnsi" w:hAnsiTheme="minorHAnsi" w:cstheme="minorHAnsi"/>
                <w:b/>
                <w:color w:val="000000" w:themeColor="text1"/>
              </w:rPr>
            </w:pPr>
            <w:r w:rsidRPr="00A04A32">
              <w:rPr>
                <w:rFonts w:asciiTheme="minorHAnsi" w:hAnsiTheme="minorHAnsi" w:cstheme="minorHAnsi"/>
                <w:b/>
                <w:color w:val="000000" w:themeColor="text1"/>
              </w:rPr>
              <w:t>6-minute walk test</w:t>
            </w:r>
          </w:p>
        </w:tc>
        <w:tc>
          <w:tcPr>
            <w:tcW w:w="1818" w:type="dxa"/>
            <w:tcBorders>
              <w:top w:val="nil"/>
              <w:left w:val="nil"/>
              <w:bottom w:val="nil"/>
              <w:right w:val="nil"/>
            </w:tcBorders>
          </w:tcPr>
          <w:p w14:paraId="5033E2BD" w14:textId="3D2FD77A" w:rsidR="004A143B" w:rsidRPr="00A04A32" w:rsidRDefault="004A143B" w:rsidP="00953CEA">
            <w:pPr>
              <w:spacing w:line="480" w:lineRule="auto"/>
              <w:jc w:val="center"/>
              <w:rPr>
                <w:rFonts w:asciiTheme="minorHAnsi" w:hAnsiTheme="minorHAnsi" w:cstheme="minorHAnsi"/>
                <w:color w:val="000000" w:themeColor="text1"/>
              </w:rPr>
            </w:pPr>
          </w:p>
        </w:tc>
        <w:tc>
          <w:tcPr>
            <w:tcW w:w="2180" w:type="dxa"/>
            <w:tcBorders>
              <w:top w:val="nil"/>
              <w:left w:val="nil"/>
              <w:bottom w:val="nil"/>
              <w:right w:val="nil"/>
            </w:tcBorders>
          </w:tcPr>
          <w:p w14:paraId="718E4D17" w14:textId="6F6A3284" w:rsidR="004A143B" w:rsidRPr="00A04A32" w:rsidRDefault="004A143B" w:rsidP="00953CEA">
            <w:pPr>
              <w:spacing w:line="480" w:lineRule="auto"/>
              <w:jc w:val="center"/>
              <w:rPr>
                <w:rFonts w:asciiTheme="minorHAnsi" w:hAnsiTheme="minorHAnsi" w:cstheme="minorHAnsi"/>
                <w:color w:val="000000" w:themeColor="text1"/>
              </w:rPr>
            </w:pPr>
          </w:p>
        </w:tc>
        <w:tc>
          <w:tcPr>
            <w:tcW w:w="1330" w:type="dxa"/>
            <w:tcBorders>
              <w:top w:val="nil"/>
              <w:left w:val="nil"/>
              <w:bottom w:val="nil"/>
              <w:right w:val="nil"/>
            </w:tcBorders>
          </w:tcPr>
          <w:p w14:paraId="7B3062CA" w14:textId="5820F1EE" w:rsidR="004A143B" w:rsidRPr="00A04A32" w:rsidRDefault="004A143B" w:rsidP="00953CEA">
            <w:pPr>
              <w:spacing w:line="480" w:lineRule="auto"/>
              <w:jc w:val="center"/>
              <w:rPr>
                <w:rFonts w:asciiTheme="minorHAnsi" w:hAnsiTheme="minorHAnsi" w:cstheme="minorHAnsi"/>
                <w:color w:val="000000" w:themeColor="text1"/>
              </w:rPr>
            </w:pPr>
          </w:p>
        </w:tc>
      </w:tr>
      <w:tr w:rsidR="004A143B" w:rsidRPr="00A04A32" w14:paraId="13BB181B" w14:textId="77777777" w:rsidTr="00A03B54">
        <w:trPr>
          <w:trHeight w:val="197"/>
        </w:trPr>
        <w:tc>
          <w:tcPr>
            <w:tcW w:w="3402" w:type="dxa"/>
            <w:tcBorders>
              <w:top w:val="nil"/>
              <w:left w:val="nil"/>
              <w:bottom w:val="nil"/>
              <w:right w:val="nil"/>
            </w:tcBorders>
          </w:tcPr>
          <w:p w14:paraId="72C9EDC2" w14:textId="77777777" w:rsidR="004A143B" w:rsidRPr="00A04A32" w:rsidRDefault="004A143B" w:rsidP="00A04A32">
            <w:pPr>
              <w:spacing w:line="480" w:lineRule="auto"/>
              <w:rPr>
                <w:rFonts w:asciiTheme="minorHAnsi" w:hAnsiTheme="minorHAnsi" w:cstheme="minorHAnsi"/>
                <w:color w:val="000000" w:themeColor="text1"/>
              </w:rPr>
            </w:pPr>
            <w:r w:rsidRPr="00A04A32">
              <w:rPr>
                <w:rFonts w:asciiTheme="minorHAnsi" w:hAnsiTheme="minorHAnsi" w:cstheme="minorHAnsi"/>
                <w:b/>
                <w:color w:val="000000" w:themeColor="text1"/>
              </w:rPr>
              <w:t xml:space="preserve">   </w:t>
            </w:r>
            <w:r w:rsidRPr="00A04A32">
              <w:rPr>
                <w:rFonts w:asciiTheme="minorHAnsi" w:hAnsiTheme="minorHAnsi" w:cstheme="minorHAnsi"/>
                <w:color w:val="000000" w:themeColor="text1"/>
              </w:rPr>
              <w:t>Patients, n</w:t>
            </w:r>
          </w:p>
        </w:tc>
        <w:tc>
          <w:tcPr>
            <w:tcW w:w="1818" w:type="dxa"/>
            <w:tcBorders>
              <w:top w:val="nil"/>
              <w:left w:val="nil"/>
              <w:bottom w:val="nil"/>
              <w:right w:val="nil"/>
            </w:tcBorders>
          </w:tcPr>
          <w:p w14:paraId="47B31952"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827</w:t>
            </w:r>
          </w:p>
        </w:tc>
        <w:tc>
          <w:tcPr>
            <w:tcW w:w="2180" w:type="dxa"/>
            <w:tcBorders>
              <w:top w:val="nil"/>
              <w:left w:val="nil"/>
              <w:bottom w:val="nil"/>
              <w:right w:val="nil"/>
            </w:tcBorders>
          </w:tcPr>
          <w:p w14:paraId="3CDF43B8"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988</w:t>
            </w:r>
          </w:p>
        </w:tc>
        <w:tc>
          <w:tcPr>
            <w:tcW w:w="1330" w:type="dxa"/>
            <w:tcBorders>
              <w:top w:val="nil"/>
              <w:left w:val="nil"/>
              <w:bottom w:val="nil"/>
              <w:right w:val="nil"/>
            </w:tcBorders>
          </w:tcPr>
          <w:p w14:paraId="5C35B705" w14:textId="6ECAAAB7" w:rsidR="004A143B" w:rsidRPr="00A04A32" w:rsidRDefault="00953CEA" w:rsidP="00A04A32">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r>
      <w:tr w:rsidR="004A143B" w:rsidRPr="00A04A32" w14:paraId="394F39F9" w14:textId="77777777" w:rsidTr="00A03B54">
        <w:trPr>
          <w:trHeight w:val="206"/>
        </w:trPr>
        <w:tc>
          <w:tcPr>
            <w:tcW w:w="3402" w:type="dxa"/>
            <w:tcBorders>
              <w:top w:val="nil"/>
              <w:left w:val="nil"/>
              <w:bottom w:val="nil"/>
              <w:right w:val="nil"/>
            </w:tcBorders>
          </w:tcPr>
          <w:p w14:paraId="0B987CC2" w14:textId="4F3B64BC" w:rsidR="004A143B" w:rsidRPr="00A04A32" w:rsidRDefault="004A143B" w:rsidP="00A04A32">
            <w:pPr>
              <w:spacing w:line="480" w:lineRule="auto"/>
              <w:rPr>
                <w:rFonts w:asciiTheme="minorHAnsi" w:hAnsiTheme="minorHAnsi" w:cstheme="minorHAnsi"/>
                <w:b/>
                <w:color w:val="000000" w:themeColor="text1"/>
              </w:rPr>
            </w:pPr>
            <w:r w:rsidRPr="00A04A32">
              <w:rPr>
                <w:rFonts w:asciiTheme="minorHAnsi" w:hAnsiTheme="minorHAnsi" w:cstheme="minorHAnsi"/>
                <w:b/>
                <w:color w:val="000000" w:themeColor="text1"/>
              </w:rPr>
              <w:t xml:space="preserve">   </w:t>
            </w:r>
            <w:r w:rsidRPr="00A04A32">
              <w:rPr>
                <w:rFonts w:asciiTheme="minorHAnsi" w:hAnsiTheme="minorHAnsi" w:cstheme="minorHAnsi"/>
                <w:color w:val="000000" w:themeColor="text1"/>
              </w:rPr>
              <w:t>Distance, m</w:t>
            </w:r>
            <w:r w:rsidR="00A03B54">
              <w:rPr>
                <w:rFonts w:asciiTheme="minorHAnsi" w:hAnsiTheme="minorHAnsi" w:cstheme="minorHAnsi"/>
                <w:color w:val="000000" w:themeColor="text1"/>
              </w:rPr>
              <w:t>etres</w:t>
            </w:r>
          </w:p>
        </w:tc>
        <w:tc>
          <w:tcPr>
            <w:tcW w:w="1818" w:type="dxa"/>
            <w:tcBorders>
              <w:top w:val="nil"/>
              <w:left w:val="nil"/>
              <w:bottom w:val="nil"/>
              <w:right w:val="nil"/>
            </w:tcBorders>
          </w:tcPr>
          <w:p w14:paraId="73F6D3BF"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310 (200)</w:t>
            </w:r>
          </w:p>
        </w:tc>
        <w:tc>
          <w:tcPr>
            <w:tcW w:w="2180" w:type="dxa"/>
            <w:tcBorders>
              <w:top w:val="nil"/>
              <w:left w:val="nil"/>
              <w:bottom w:val="nil"/>
              <w:right w:val="nil"/>
            </w:tcBorders>
          </w:tcPr>
          <w:p w14:paraId="5F264C35"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368 (162)</w:t>
            </w:r>
          </w:p>
        </w:tc>
        <w:tc>
          <w:tcPr>
            <w:tcW w:w="1330" w:type="dxa"/>
            <w:tcBorders>
              <w:top w:val="nil"/>
              <w:left w:val="nil"/>
              <w:bottom w:val="nil"/>
              <w:right w:val="nil"/>
            </w:tcBorders>
          </w:tcPr>
          <w:p w14:paraId="5B4676FA"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&lt; 0.001</w:t>
            </w:r>
          </w:p>
        </w:tc>
      </w:tr>
      <w:tr w:rsidR="004A143B" w:rsidRPr="00A04A32" w14:paraId="66209A34" w14:textId="77777777" w:rsidTr="00A03B54">
        <w:trPr>
          <w:trHeight w:val="224"/>
        </w:trPr>
        <w:tc>
          <w:tcPr>
            <w:tcW w:w="3402" w:type="dxa"/>
            <w:tcBorders>
              <w:top w:val="nil"/>
              <w:left w:val="nil"/>
              <w:bottom w:val="nil"/>
              <w:right w:val="nil"/>
            </w:tcBorders>
          </w:tcPr>
          <w:p w14:paraId="2F6FE78A" w14:textId="77777777" w:rsidR="004A143B" w:rsidRPr="00A04A32" w:rsidRDefault="004A143B" w:rsidP="00A04A32">
            <w:pPr>
              <w:spacing w:line="480" w:lineRule="auto"/>
              <w:rPr>
                <w:rFonts w:asciiTheme="minorHAnsi" w:hAnsiTheme="minorHAnsi" w:cstheme="minorHAnsi"/>
                <w:b/>
                <w:color w:val="000000" w:themeColor="text1"/>
              </w:rPr>
            </w:pPr>
            <w:r w:rsidRPr="00A04A32">
              <w:rPr>
                <w:rFonts w:asciiTheme="minorHAnsi" w:hAnsiTheme="minorHAnsi" w:cstheme="minorHAnsi"/>
                <w:b/>
                <w:color w:val="000000" w:themeColor="text1"/>
              </w:rPr>
              <w:t>CAMPHOR scale score</w:t>
            </w:r>
          </w:p>
        </w:tc>
        <w:tc>
          <w:tcPr>
            <w:tcW w:w="1818" w:type="dxa"/>
            <w:tcBorders>
              <w:top w:val="nil"/>
              <w:left w:val="nil"/>
              <w:bottom w:val="nil"/>
              <w:right w:val="nil"/>
            </w:tcBorders>
          </w:tcPr>
          <w:p w14:paraId="73126A0D" w14:textId="02EE1A98" w:rsidR="004A143B" w:rsidRPr="00A04A32" w:rsidRDefault="004A143B" w:rsidP="00A04A32">
            <w:pPr>
              <w:spacing w:line="480" w:lineRule="auto"/>
              <w:jc w:val="center"/>
              <w:rPr>
                <w:rFonts w:asciiTheme="minorHAnsi" w:hAnsiTheme="minorHAnsi" w:cstheme="minorHAnsi"/>
                <w:color w:val="000000" w:themeColor="text1"/>
              </w:rPr>
            </w:pPr>
          </w:p>
        </w:tc>
        <w:tc>
          <w:tcPr>
            <w:tcW w:w="2180" w:type="dxa"/>
            <w:tcBorders>
              <w:top w:val="nil"/>
              <w:left w:val="nil"/>
              <w:bottom w:val="nil"/>
              <w:right w:val="nil"/>
            </w:tcBorders>
          </w:tcPr>
          <w:p w14:paraId="247B7B85" w14:textId="037EF89D" w:rsidR="004A143B" w:rsidRPr="00A04A32" w:rsidRDefault="004A143B" w:rsidP="00A04A32">
            <w:pPr>
              <w:spacing w:line="480" w:lineRule="auto"/>
              <w:jc w:val="center"/>
              <w:rPr>
                <w:rFonts w:asciiTheme="minorHAnsi" w:hAnsiTheme="minorHAnsi" w:cstheme="minorHAnsi"/>
                <w:color w:val="000000" w:themeColor="text1"/>
              </w:rPr>
            </w:pPr>
          </w:p>
        </w:tc>
        <w:tc>
          <w:tcPr>
            <w:tcW w:w="1330" w:type="dxa"/>
            <w:tcBorders>
              <w:top w:val="nil"/>
              <w:left w:val="nil"/>
              <w:bottom w:val="nil"/>
              <w:right w:val="nil"/>
            </w:tcBorders>
          </w:tcPr>
          <w:p w14:paraId="303E6E77" w14:textId="391445C7" w:rsidR="004A143B" w:rsidRPr="00A04A32" w:rsidRDefault="004A143B" w:rsidP="00A04A32">
            <w:pPr>
              <w:spacing w:line="480" w:lineRule="auto"/>
              <w:jc w:val="center"/>
              <w:rPr>
                <w:rFonts w:asciiTheme="minorHAnsi" w:hAnsiTheme="minorHAnsi" w:cstheme="minorHAnsi"/>
                <w:color w:val="000000" w:themeColor="text1"/>
              </w:rPr>
            </w:pPr>
          </w:p>
        </w:tc>
      </w:tr>
      <w:tr w:rsidR="004A143B" w:rsidRPr="00A04A32" w14:paraId="251E193D" w14:textId="77777777" w:rsidTr="00A03B54">
        <w:trPr>
          <w:trHeight w:val="224"/>
        </w:trPr>
        <w:tc>
          <w:tcPr>
            <w:tcW w:w="3402" w:type="dxa"/>
            <w:tcBorders>
              <w:top w:val="nil"/>
              <w:left w:val="nil"/>
              <w:bottom w:val="nil"/>
              <w:right w:val="nil"/>
            </w:tcBorders>
          </w:tcPr>
          <w:p w14:paraId="0BC8A7F7" w14:textId="77777777" w:rsidR="004A143B" w:rsidRPr="00A04A32" w:rsidRDefault="004A143B" w:rsidP="00A04A32">
            <w:pPr>
              <w:spacing w:line="480" w:lineRule="auto"/>
              <w:rPr>
                <w:rFonts w:asciiTheme="minorHAnsi" w:hAnsiTheme="minorHAnsi" w:cstheme="minorHAnsi"/>
                <w:color w:val="000000" w:themeColor="text1"/>
              </w:rPr>
            </w:pPr>
            <w:r w:rsidRPr="00A04A32">
              <w:rPr>
                <w:rFonts w:asciiTheme="minorHAnsi" w:hAnsiTheme="minorHAnsi" w:cstheme="minorHAnsi"/>
                <w:color w:val="000000" w:themeColor="text1"/>
              </w:rPr>
              <w:t xml:space="preserve">   Patients, n</w:t>
            </w:r>
          </w:p>
        </w:tc>
        <w:tc>
          <w:tcPr>
            <w:tcW w:w="1818" w:type="dxa"/>
            <w:tcBorders>
              <w:top w:val="nil"/>
              <w:left w:val="nil"/>
              <w:bottom w:val="nil"/>
              <w:right w:val="nil"/>
            </w:tcBorders>
          </w:tcPr>
          <w:p w14:paraId="2BE077DD"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1242</w:t>
            </w:r>
          </w:p>
        </w:tc>
        <w:tc>
          <w:tcPr>
            <w:tcW w:w="2180" w:type="dxa"/>
            <w:tcBorders>
              <w:top w:val="nil"/>
              <w:left w:val="nil"/>
              <w:bottom w:val="nil"/>
              <w:right w:val="nil"/>
            </w:tcBorders>
          </w:tcPr>
          <w:p w14:paraId="5D63178D"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897</w:t>
            </w:r>
          </w:p>
        </w:tc>
        <w:tc>
          <w:tcPr>
            <w:tcW w:w="1330" w:type="dxa"/>
            <w:tcBorders>
              <w:top w:val="nil"/>
              <w:left w:val="nil"/>
              <w:bottom w:val="nil"/>
              <w:right w:val="nil"/>
            </w:tcBorders>
          </w:tcPr>
          <w:p w14:paraId="3D8B53E4" w14:textId="1819A1FE" w:rsidR="004A143B" w:rsidRPr="00A04A32" w:rsidRDefault="00953CEA" w:rsidP="00A04A32">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r>
      <w:tr w:rsidR="004A143B" w:rsidRPr="00A04A32" w14:paraId="6951AB67" w14:textId="77777777" w:rsidTr="00A03B54">
        <w:trPr>
          <w:trHeight w:val="224"/>
        </w:trPr>
        <w:tc>
          <w:tcPr>
            <w:tcW w:w="3402" w:type="dxa"/>
            <w:tcBorders>
              <w:top w:val="nil"/>
              <w:left w:val="nil"/>
              <w:bottom w:val="nil"/>
              <w:right w:val="nil"/>
            </w:tcBorders>
          </w:tcPr>
          <w:p w14:paraId="0EBAF09C" w14:textId="77777777" w:rsidR="004A143B" w:rsidRPr="00A04A32" w:rsidRDefault="004A143B" w:rsidP="00A04A32">
            <w:pPr>
              <w:spacing w:line="480" w:lineRule="auto"/>
              <w:rPr>
                <w:rFonts w:asciiTheme="minorHAnsi" w:hAnsiTheme="minorHAnsi" w:cstheme="minorHAnsi"/>
                <w:color w:val="000000" w:themeColor="text1"/>
              </w:rPr>
            </w:pPr>
            <w:r w:rsidRPr="00A04A32">
              <w:rPr>
                <w:rFonts w:asciiTheme="minorHAnsi" w:hAnsiTheme="minorHAnsi" w:cstheme="minorHAnsi"/>
                <w:color w:val="000000" w:themeColor="text1"/>
              </w:rPr>
              <w:t xml:space="preserve">   Activity</w:t>
            </w:r>
          </w:p>
        </w:tc>
        <w:tc>
          <w:tcPr>
            <w:tcW w:w="1818" w:type="dxa"/>
            <w:tcBorders>
              <w:top w:val="nil"/>
              <w:left w:val="nil"/>
              <w:bottom w:val="nil"/>
              <w:right w:val="nil"/>
            </w:tcBorders>
          </w:tcPr>
          <w:p w14:paraId="34AD5409"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11 (10)</w:t>
            </w:r>
          </w:p>
        </w:tc>
        <w:tc>
          <w:tcPr>
            <w:tcW w:w="2180" w:type="dxa"/>
            <w:tcBorders>
              <w:top w:val="nil"/>
              <w:left w:val="nil"/>
              <w:bottom w:val="nil"/>
              <w:right w:val="nil"/>
            </w:tcBorders>
          </w:tcPr>
          <w:p w14:paraId="787D9C0E"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6 (10)</w:t>
            </w:r>
          </w:p>
        </w:tc>
        <w:tc>
          <w:tcPr>
            <w:tcW w:w="1330" w:type="dxa"/>
            <w:tcBorders>
              <w:top w:val="nil"/>
              <w:left w:val="nil"/>
              <w:bottom w:val="nil"/>
              <w:right w:val="nil"/>
            </w:tcBorders>
          </w:tcPr>
          <w:p w14:paraId="05D8CD89"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&lt; 0.001</w:t>
            </w:r>
          </w:p>
        </w:tc>
      </w:tr>
      <w:tr w:rsidR="004A143B" w:rsidRPr="00A04A32" w14:paraId="6F53AA42" w14:textId="77777777" w:rsidTr="00A03B54">
        <w:trPr>
          <w:trHeight w:val="224"/>
        </w:trPr>
        <w:tc>
          <w:tcPr>
            <w:tcW w:w="3402" w:type="dxa"/>
            <w:tcBorders>
              <w:top w:val="nil"/>
              <w:left w:val="nil"/>
              <w:bottom w:val="nil"/>
              <w:right w:val="nil"/>
            </w:tcBorders>
          </w:tcPr>
          <w:p w14:paraId="7D2975D1" w14:textId="77777777" w:rsidR="004A143B" w:rsidRPr="00A04A32" w:rsidRDefault="004A143B" w:rsidP="00A04A32">
            <w:pPr>
              <w:spacing w:line="480" w:lineRule="auto"/>
              <w:rPr>
                <w:rFonts w:asciiTheme="minorHAnsi" w:hAnsiTheme="minorHAnsi" w:cstheme="minorHAnsi"/>
                <w:color w:val="000000" w:themeColor="text1"/>
              </w:rPr>
            </w:pPr>
            <w:r w:rsidRPr="00A04A32">
              <w:rPr>
                <w:rFonts w:asciiTheme="minorHAnsi" w:hAnsiTheme="minorHAnsi" w:cstheme="minorHAnsi"/>
                <w:color w:val="000000" w:themeColor="text1"/>
              </w:rPr>
              <w:t xml:space="preserve">   Symptoms</w:t>
            </w:r>
          </w:p>
        </w:tc>
        <w:tc>
          <w:tcPr>
            <w:tcW w:w="1818" w:type="dxa"/>
            <w:tcBorders>
              <w:top w:val="nil"/>
              <w:left w:val="nil"/>
              <w:bottom w:val="nil"/>
              <w:right w:val="nil"/>
            </w:tcBorders>
          </w:tcPr>
          <w:p w14:paraId="3A99C63E"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12 (11)</w:t>
            </w:r>
          </w:p>
        </w:tc>
        <w:tc>
          <w:tcPr>
            <w:tcW w:w="2180" w:type="dxa"/>
            <w:tcBorders>
              <w:top w:val="nil"/>
              <w:left w:val="nil"/>
              <w:bottom w:val="nil"/>
              <w:right w:val="nil"/>
            </w:tcBorders>
          </w:tcPr>
          <w:p w14:paraId="385700FB"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4 (9)</w:t>
            </w:r>
          </w:p>
        </w:tc>
        <w:tc>
          <w:tcPr>
            <w:tcW w:w="1330" w:type="dxa"/>
            <w:tcBorders>
              <w:top w:val="nil"/>
              <w:left w:val="nil"/>
              <w:bottom w:val="nil"/>
              <w:right w:val="nil"/>
            </w:tcBorders>
          </w:tcPr>
          <w:p w14:paraId="7CCD6975"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&lt; 0.001</w:t>
            </w:r>
          </w:p>
        </w:tc>
      </w:tr>
      <w:tr w:rsidR="004A143B" w:rsidRPr="00A04A32" w14:paraId="5D3E3D56" w14:textId="77777777" w:rsidTr="00A03B54">
        <w:trPr>
          <w:trHeight w:val="224"/>
        </w:trPr>
        <w:tc>
          <w:tcPr>
            <w:tcW w:w="3402" w:type="dxa"/>
            <w:tcBorders>
              <w:top w:val="nil"/>
              <w:left w:val="nil"/>
              <w:bottom w:val="nil"/>
              <w:right w:val="nil"/>
            </w:tcBorders>
          </w:tcPr>
          <w:p w14:paraId="77B79072" w14:textId="77777777" w:rsidR="004A143B" w:rsidRPr="00A04A32" w:rsidRDefault="004A143B" w:rsidP="00A04A32">
            <w:pPr>
              <w:spacing w:line="480" w:lineRule="auto"/>
              <w:rPr>
                <w:rFonts w:asciiTheme="minorHAnsi" w:hAnsiTheme="minorHAnsi" w:cstheme="minorHAnsi"/>
                <w:color w:val="000000" w:themeColor="text1"/>
              </w:rPr>
            </w:pPr>
            <w:r w:rsidRPr="00A04A32">
              <w:rPr>
                <w:rFonts w:asciiTheme="minorHAnsi" w:hAnsiTheme="minorHAnsi" w:cstheme="minorHAnsi"/>
                <w:color w:val="000000" w:themeColor="text1"/>
              </w:rPr>
              <w:lastRenderedPageBreak/>
              <w:t xml:space="preserve">   Quality of Life </w:t>
            </w:r>
          </w:p>
        </w:tc>
        <w:tc>
          <w:tcPr>
            <w:tcW w:w="1818" w:type="dxa"/>
            <w:tcBorders>
              <w:top w:val="nil"/>
              <w:left w:val="nil"/>
              <w:bottom w:val="nil"/>
              <w:right w:val="nil"/>
            </w:tcBorders>
          </w:tcPr>
          <w:p w14:paraId="582D69F6"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10 (11)</w:t>
            </w:r>
          </w:p>
        </w:tc>
        <w:tc>
          <w:tcPr>
            <w:tcW w:w="2180" w:type="dxa"/>
            <w:tcBorders>
              <w:top w:val="nil"/>
              <w:left w:val="nil"/>
              <w:bottom w:val="nil"/>
              <w:right w:val="nil"/>
            </w:tcBorders>
          </w:tcPr>
          <w:p w14:paraId="6146E8A5"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4 (11)</w:t>
            </w:r>
          </w:p>
        </w:tc>
        <w:tc>
          <w:tcPr>
            <w:tcW w:w="1330" w:type="dxa"/>
            <w:tcBorders>
              <w:top w:val="nil"/>
              <w:left w:val="nil"/>
              <w:bottom w:val="nil"/>
              <w:right w:val="nil"/>
            </w:tcBorders>
          </w:tcPr>
          <w:p w14:paraId="7857D974"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&lt; 0.001</w:t>
            </w:r>
          </w:p>
        </w:tc>
      </w:tr>
      <w:tr w:rsidR="004A143B" w:rsidRPr="00A04A32" w14:paraId="77488A6E" w14:textId="77777777" w:rsidTr="00A03B54">
        <w:trPr>
          <w:trHeight w:val="242"/>
        </w:trPr>
        <w:tc>
          <w:tcPr>
            <w:tcW w:w="8730" w:type="dxa"/>
            <w:gridSpan w:val="4"/>
            <w:tcBorders>
              <w:top w:val="nil"/>
              <w:left w:val="nil"/>
              <w:right w:val="nil"/>
            </w:tcBorders>
          </w:tcPr>
          <w:p w14:paraId="37C3F25F" w14:textId="77777777" w:rsidR="004A143B" w:rsidRPr="00A04A32" w:rsidRDefault="004A143B" w:rsidP="00A04A32">
            <w:pPr>
              <w:spacing w:line="480" w:lineRule="auto"/>
              <w:jc w:val="both"/>
              <w:outlineLvl w:val="0"/>
              <w:rPr>
                <w:rFonts w:asciiTheme="minorHAnsi" w:hAnsiTheme="minorHAnsi" w:cstheme="minorHAnsi"/>
                <w:b/>
              </w:rPr>
            </w:pPr>
            <w:r w:rsidRPr="00A04A32">
              <w:rPr>
                <w:rFonts w:asciiTheme="minorHAnsi" w:hAnsiTheme="minorHAnsi" w:cstheme="minorHAnsi"/>
                <w:b/>
              </w:rPr>
              <w:t xml:space="preserve">Table 1. Cohort baseline and postoperative patient characteristics </w:t>
            </w:r>
          </w:p>
          <w:p w14:paraId="7335F017" w14:textId="3DCD5558" w:rsidR="004A143B" w:rsidRPr="00A04A32" w:rsidRDefault="004A143B" w:rsidP="00A04A32">
            <w:pPr>
              <w:spacing w:line="480" w:lineRule="auto"/>
              <w:jc w:val="both"/>
              <w:outlineLvl w:val="0"/>
              <w:rPr>
                <w:rFonts w:asciiTheme="minorHAnsi" w:hAnsiTheme="minorHAnsi" w:cstheme="minorHAnsi"/>
                <w:b/>
              </w:rPr>
            </w:pPr>
            <w:r w:rsidRPr="00A04A32">
              <w:rPr>
                <w:rFonts w:asciiTheme="minorHAnsi" w:hAnsiTheme="minorHAnsi" w:cstheme="minorHAnsi"/>
                <w:color w:val="000000" w:themeColor="text1"/>
              </w:rPr>
              <w:t>Baseline and first post-operative follow-up patient characteristics</w:t>
            </w:r>
            <w:r w:rsidRPr="00A04A32">
              <w:rPr>
                <w:rFonts w:asciiTheme="minorHAnsi" w:hAnsiTheme="minorHAnsi" w:cstheme="minorHAnsi"/>
              </w:rPr>
              <w:t xml:space="preserve">. Postoperative results are from first follow-up within one-year post-PEA. Values are median </w:t>
            </w:r>
            <w:r w:rsidRPr="00A04A32">
              <w:rPr>
                <w:rFonts w:asciiTheme="minorHAnsi" w:hAnsiTheme="minorHAnsi" w:cstheme="minorHAnsi"/>
                <w:color w:val="000000" w:themeColor="text1"/>
              </w:rPr>
              <w:sym w:font="Symbol" w:char="F0B1"/>
            </w:r>
            <w:r w:rsidRPr="00A04A32">
              <w:rPr>
                <w:rFonts w:asciiTheme="minorHAnsi" w:hAnsiTheme="minorHAnsi" w:cstheme="minorHAnsi"/>
                <w:color w:val="000000" w:themeColor="text1"/>
              </w:rPr>
              <w:t xml:space="preserve"> interquartile range unless otherwise indicated. P value adjusted for multiple comparisons </w:t>
            </w:r>
            <w:r w:rsidR="00DD1C83">
              <w:rPr>
                <w:rFonts w:asciiTheme="minorHAnsi" w:hAnsiTheme="minorHAnsi" w:cstheme="minorHAnsi"/>
                <w:color w:val="000000" w:themeColor="text1"/>
              </w:rPr>
              <w:t>by</w:t>
            </w:r>
            <w:r w:rsidRPr="00A04A32">
              <w:rPr>
                <w:rFonts w:asciiTheme="minorHAnsi" w:hAnsiTheme="minorHAnsi" w:cstheme="minorHAnsi"/>
                <w:color w:val="000000" w:themeColor="text1"/>
              </w:rPr>
              <w:t xml:space="preserve"> false discovery rate. BMI indicates Body Mass index.; NYHA, New York Heart Association functional class; PAP, pulmonary artery pressure; PVR, pulmonary vascular resistance; P</w:t>
            </w:r>
            <w:r w:rsidRPr="00A04A32">
              <w:rPr>
                <w:rFonts w:asciiTheme="minorHAnsi" w:hAnsiTheme="minorHAnsi" w:cstheme="minorHAnsi"/>
                <w:i/>
                <w:color w:val="000000" w:themeColor="text1"/>
                <w:vertAlign w:val="subscript"/>
              </w:rPr>
              <w:t>awp</w:t>
            </w:r>
            <w:r w:rsidRPr="00A04A32">
              <w:rPr>
                <w:rFonts w:asciiTheme="minorHAnsi" w:hAnsiTheme="minorHAnsi" w:cstheme="minorHAnsi"/>
                <w:color w:val="000000" w:themeColor="text1"/>
              </w:rPr>
              <w:t xml:space="preserve">, pulmonary arterial wedge pressure and CAMPHOR, </w:t>
            </w:r>
            <w:r w:rsidRPr="00A04A32">
              <w:rPr>
                <w:rFonts w:asciiTheme="minorHAnsi" w:hAnsiTheme="minorHAnsi" w:cstheme="minorHAnsi"/>
              </w:rPr>
              <w:t>Cambridge Pulmonary Hypertension Outcome Review Q</w:t>
            </w:r>
            <w:r w:rsidR="00DD1C83">
              <w:rPr>
                <w:rFonts w:asciiTheme="minorHAnsi" w:hAnsiTheme="minorHAnsi" w:cstheme="minorHAnsi"/>
              </w:rPr>
              <w:t>uestionnaire.</w:t>
            </w:r>
            <w:r w:rsidRPr="00A04A32">
              <w:rPr>
                <w:rFonts w:asciiTheme="minorHAnsi" w:hAnsiTheme="minorHAnsi" w:cstheme="minorHAnsi"/>
              </w:rPr>
              <w:t xml:space="preserve">  </w:t>
            </w:r>
          </w:p>
        </w:tc>
      </w:tr>
    </w:tbl>
    <w:p w14:paraId="393C8356" w14:textId="53CCE7E9" w:rsidR="00E9211A" w:rsidRPr="00A04A32" w:rsidRDefault="00E9211A"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76E9B70C" w14:textId="3BBFD1F6" w:rsidR="004A143B" w:rsidRDefault="004A143B"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48E6B178" w14:textId="55332009" w:rsidR="00A03B54" w:rsidRDefault="00A03B54"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2560D223" w14:textId="0E6A4C87" w:rsidR="00A03B54" w:rsidRDefault="00A03B54"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1F069948" w14:textId="5B332882" w:rsidR="00A03B54" w:rsidRDefault="00A03B54"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54A5FCC2" w14:textId="7EDE9024" w:rsidR="00A03B54" w:rsidRDefault="00A03B54"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3B4CA3F9" w14:textId="063B5AB5" w:rsidR="00A03B54" w:rsidRDefault="00A03B54"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2E137DAA" w14:textId="3CC8A72B" w:rsidR="00A03B54" w:rsidRDefault="00A03B54"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78C1F03D" w14:textId="432A4946" w:rsidR="00A03B54" w:rsidRDefault="00A03B54"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4849D8AC" w14:textId="540A1AF2" w:rsidR="00A03B54" w:rsidRDefault="00A03B54"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22B8954D" w14:textId="1E446738" w:rsidR="00A03B54" w:rsidRDefault="00A03B54"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41388451" w14:textId="30390160" w:rsidR="00A03B54" w:rsidRDefault="00A03B54"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15F69393" w14:textId="2F881DC2" w:rsidR="00A03B54" w:rsidRDefault="00A03B54"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13EA6D87" w14:textId="2378838D" w:rsidR="00A03B54" w:rsidRDefault="00A03B54"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615B71D7" w14:textId="0C2B3919" w:rsidR="00A03B54" w:rsidRDefault="00A03B54"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713A2E73" w14:textId="6014DEB9" w:rsidR="00A03B54" w:rsidRDefault="00A03B54"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56735D2C" w14:textId="77777777" w:rsidR="00A03B54" w:rsidRPr="00A04A32" w:rsidRDefault="00A03B54" w:rsidP="00A03B54">
      <w:pPr>
        <w:widowControl w:val="0"/>
        <w:autoSpaceDE w:val="0"/>
        <w:autoSpaceDN w:val="0"/>
        <w:adjustRightInd w:val="0"/>
        <w:spacing w:line="480" w:lineRule="auto"/>
        <w:rPr>
          <w:rFonts w:asciiTheme="minorHAnsi" w:hAnsiTheme="minorHAnsi" w:cstheme="minorHAnsi"/>
          <w:b/>
          <w:sz w:val="22"/>
          <w:szCs w:val="22"/>
        </w:rPr>
      </w:pPr>
    </w:p>
    <w:tbl>
      <w:tblPr>
        <w:tblStyle w:val="TableGrid"/>
        <w:tblW w:w="881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2267"/>
        <w:gridCol w:w="1275"/>
        <w:gridCol w:w="1270"/>
        <w:gridCol w:w="858"/>
        <w:gridCol w:w="1276"/>
        <w:gridCol w:w="1276"/>
        <w:gridCol w:w="593"/>
      </w:tblGrid>
      <w:tr w:rsidR="004A143B" w:rsidRPr="00A04A32" w14:paraId="3BC8A245" w14:textId="77777777" w:rsidTr="00A03B54">
        <w:tc>
          <w:tcPr>
            <w:tcW w:w="2267" w:type="dxa"/>
            <w:tcBorders>
              <w:left w:val="nil"/>
              <w:bottom w:val="nil"/>
              <w:right w:val="nil"/>
            </w:tcBorders>
            <w:shd w:val="clear" w:color="auto" w:fill="E7E6E6" w:themeFill="background2"/>
          </w:tcPr>
          <w:p w14:paraId="7A290D72" w14:textId="77777777" w:rsidR="004A143B" w:rsidRPr="00A04A32" w:rsidRDefault="004A143B" w:rsidP="00A03B54">
            <w:pPr>
              <w:spacing w:line="480" w:lineRule="auto"/>
              <w:jc w:val="center"/>
              <w:rPr>
                <w:rFonts w:asciiTheme="minorHAnsi" w:hAnsiTheme="minorHAnsi" w:cstheme="minorHAnsi"/>
                <w:color w:val="000000" w:themeColor="text1"/>
              </w:rPr>
            </w:pPr>
          </w:p>
        </w:tc>
        <w:tc>
          <w:tcPr>
            <w:tcW w:w="3403" w:type="dxa"/>
            <w:gridSpan w:val="3"/>
            <w:tcBorders>
              <w:left w:val="nil"/>
              <w:bottom w:val="nil"/>
              <w:right w:val="nil"/>
            </w:tcBorders>
            <w:shd w:val="clear" w:color="auto" w:fill="E7E6E6" w:themeFill="background2"/>
          </w:tcPr>
          <w:p w14:paraId="13F5B8F7" w14:textId="77777777" w:rsidR="004A143B" w:rsidRPr="00A04A32" w:rsidRDefault="004A143B" w:rsidP="00A03B54">
            <w:pPr>
              <w:spacing w:line="480" w:lineRule="auto"/>
              <w:jc w:val="center"/>
              <w:rPr>
                <w:rFonts w:asciiTheme="minorHAnsi" w:hAnsiTheme="minorHAnsi" w:cstheme="minorHAnsi"/>
                <w:color w:val="000000" w:themeColor="text1"/>
              </w:rPr>
            </w:pPr>
            <w:r w:rsidRPr="00A04A32">
              <w:rPr>
                <w:rFonts w:asciiTheme="minorHAnsi" w:hAnsiTheme="minorHAnsi" w:cstheme="minorHAnsi"/>
                <w:b/>
                <w:color w:val="000000" w:themeColor="text1"/>
              </w:rPr>
              <w:t>Preoperative</w:t>
            </w:r>
          </w:p>
        </w:tc>
        <w:tc>
          <w:tcPr>
            <w:tcW w:w="3145" w:type="dxa"/>
            <w:gridSpan w:val="3"/>
            <w:tcBorders>
              <w:left w:val="nil"/>
              <w:bottom w:val="nil"/>
              <w:right w:val="nil"/>
            </w:tcBorders>
            <w:shd w:val="clear" w:color="auto" w:fill="E7E6E6" w:themeFill="background2"/>
          </w:tcPr>
          <w:p w14:paraId="54C59A98" w14:textId="77777777" w:rsidR="004A143B" w:rsidRPr="00A04A32" w:rsidRDefault="004A143B" w:rsidP="00A03B54">
            <w:pPr>
              <w:spacing w:line="480" w:lineRule="auto"/>
              <w:jc w:val="center"/>
              <w:rPr>
                <w:rFonts w:asciiTheme="minorHAnsi" w:hAnsiTheme="minorHAnsi" w:cstheme="minorHAnsi"/>
                <w:color w:val="000000" w:themeColor="text1"/>
              </w:rPr>
            </w:pPr>
            <w:r w:rsidRPr="00A04A32">
              <w:rPr>
                <w:rFonts w:asciiTheme="minorHAnsi" w:hAnsiTheme="minorHAnsi" w:cstheme="minorHAnsi"/>
                <w:b/>
                <w:color w:val="000000" w:themeColor="text1"/>
              </w:rPr>
              <w:t>Postoperative</w:t>
            </w:r>
          </w:p>
        </w:tc>
      </w:tr>
      <w:tr w:rsidR="004A143B" w:rsidRPr="00A04A32" w14:paraId="062521E5" w14:textId="77777777" w:rsidTr="00A03B54">
        <w:trPr>
          <w:trHeight w:val="233"/>
        </w:trPr>
        <w:tc>
          <w:tcPr>
            <w:tcW w:w="2267" w:type="dxa"/>
            <w:tcBorders>
              <w:top w:val="nil"/>
              <w:left w:val="nil"/>
              <w:bottom w:val="single" w:sz="4" w:space="0" w:color="000000" w:themeColor="text1"/>
              <w:right w:val="nil"/>
            </w:tcBorders>
            <w:shd w:val="clear" w:color="auto" w:fill="E7E6E6" w:themeFill="background2"/>
          </w:tcPr>
          <w:p w14:paraId="1B05FDDF" w14:textId="77777777" w:rsidR="004A143B" w:rsidRPr="00A04A32" w:rsidRDefault="004A143B" w:rsidP="00A04A32">
            <w:pPr>
              <w:spacing w:line="480" w:lineRule="auto"/>
              <w:jc w:val="both"/>
              <w:rPr>
                <w:rFonts w:asciiTheme="minorHAnsi" w:hAnsiTheme="minorHAnsi" w:cstheme="minorHAnsi"/>
                <w:color w:val="000000" w:themeColor="text1"/>
              </w:rPr>
            </w:pPr>
          </w:p>
        </w:tc>
        <w:tc>
          <w:tcPr>
            <w:tcW w:w="1275" w:type="dxa"/>
            <w:tcBorders>
              <w:top w:val="nil"/>
              <w:left w:val="nil"/>
              <w:bottom w:val="single" w:sz="4" w:space="0" w:color="000000" w:themeColor="text1"/>
              <w:right w:val="nil"/>
            </w:tcBorders>
            <w:shd w:val="clear" w:color="auto" w:fill="E7E6E6" w:themeFill="background2"/>
          </w:tcPr>
          <w:p w14:paraId="4FE90E75" w14:textId="77777777" w:rsidR="004A143B" w:rsidRPr="00A04A32" w:rsidRDefault="004A143B" w:rsidP="00A04A32">
            <w:pPr>
              <w:spacing w:line="480" w:lineRule="auto"/>
              <w:jc w:val="center"/>
              <w:rPr>
                <w:rFonts w:asciiTheme="minorHAnsi" w:hAnsiTheme="minorHAnsi" w:cstheme="minorHAnsi"/>
                <w:b/>
                <w:color w:val="000000" w:themeColor="text1"/>
              </w:rPr>
            </w:pPr>
            <w:r w:rsidRPr="00A04A32">
              <w:rPr>
                <w:rFonts w:asciiTheme="minorHAnsi" w:hAnsiTheme="minorHAnsi" w:cstheme="minorHAnsi"/>
                <w:b/>
                <w:color w:val="000000" w:themeColor="text1"/>
              </w:rPr>
              <w:t>VKA</w:t>
            </w:r>
          </w:p>
        </w:tc>
        <w:tc>
          <w:tcPr>
            <w:tcW w:w="1270" w:type="dxa"/>
            <w:tcBorders>
              <w:top w:val="nil"/>
              <w:left w:val="nil"/>
              <w:bottom w:val="single" w:sz="4" w:space="0" w:color="000000" w:themeColor="text1"/>
              <w:right w:val="nil"/>
            </w:tcBorders>
            <w:shd w:val="clear" w:color="auto" w:fill="E7E6E6" w:themeFill="background2"/>
          </w:tcPr>
          <w:p w14:paraId="3ADC6C0E" w14:textId="77777777" w:rsidR="004A143B" w:rsidRPr="00A04A32" w:rsidRDefault="004A143B" w:rsidP="00A04A32">
            <w:pPr>
              <w:spacing w:line="480" w:lineRule="auto"/>
              <w:jc w:val="center"/>
              <w:rPr>
                <w:rFonts w:asciiTheme="minorHAnsi" w:hAnsiTheme="minorHAnsi" w:cstheme="minorHAnsi"/>
                <w:b/>
                <w:color w:val="000000" w:themeColor="text1"/>
              </w:rPr>
            </w:pPr>
            <w:r w:rsidRPr="00A04A32">
              <w:rPr>
                <w:rFonts w:asciiTheme="minorHAnsi" w:hAnsiTheme="minorHAnsi" w:cstheme="minorHAnsi"/>
                <w:b/>
                <w:color w:val="000000" w:themeColor="text1"/>
              </w:rPr>
              <w:t xml:space="preserve">DOAC </w:t>
            </w:r>
          </w:p>
        </w:tc>
        <w:tc>
          <w:tcPr>
            <w:tcW w:w="858" w:type="dxa"/>
            <w:tcBorders>
              <w:top w:val="nil"/>
              <w:left w:val="nil"/>
              <w:bottom w:val="single" w:sz="4" w:space="0" w:color="000000" w:themeColor="text1"/>
              <w:right w:val="nil"/>
            </w:tcBorders>
            <w:shd w:val="clear" w:color="auto" w:fill="E7E6E6" w:themeFill="background2"/>
          </w:tcPr>
          <w:p w14:paraId="352A2EDA" w14:textId="35AB2026" w:rsidR="004A143B" w:rsidRPr="00A04A32" w:rsidRDefault="004A143B" w:rsidP="00A04A32">
            <w:pPr>
              <w:spacing w:line="480" w:lineRule="auto"/>
              <w:jc w:val="center"/>
              <w:rPr>
                <w:rFonts w:asciiTheme="minorHAnsi" w:hAnsiTheme="minorHAnsi" w:cstheme="minorHAnsi"/>
                <w:i/>
                <w:color w:val="000000" w:themeColor="text1"/>
              </w:rPr>
            </w:pPr>
            <w:r w:rsidRPr="00A04A32">
              <w:rPr>
                <w:rFonts w:asciiTheme="minorHAnsi" w:hAnsiTheme="minorHAnsi" w:cstheme="minorHAnsi"/>
                <w:i/>
                <w:color w:val="000000" w:themeColor="text1"/>
              </w:rPr>
              <w:t xml:space="preserve"> p</w:t>
            </w:r>
          </w:p>
        </w:tc>
        <w:tc>
          <w:tcPr>
            <w:tcW w:w="1276" w:type="dxa"/>
            <w:tcBorders>
              <w:top w:val="nil"/>
              <w:left w:val="nil"/>
              <w:bottom w:val="single" w:sz="4" w:space="0" w:color="000000" w:themeColor="text1"/>
              <w:right w:val="nil"/>
            </w:tcBorders>
            <w:shd w:val="clear" w:color="auto" w:fill="E7E6E6" w:themeFill="background2"/>
          </w:tcPr>
          <w:p w14:paraId="2E542BE6" w14:textId="77777777" w:rsidR="004A143B" w:rsidRPr="00A04A32" w:rsidRDefault="004A143B" w:rsidP="00A04A32">
            <w:pPr>
              <w:spacing w:line="480" w:lineRule="auto"/>
              <w:jc w:val="center"/>
              <w:rPr>
                <w:rFonts w:asciiTheme="minorHAnsi" w:hAnsiTheme="minorHAnsi" w:cstheme="minorHAnsi"/>
                <w:b/>
                <w:color w:val="000000" w:themeColor="text1"/>
              </w:rPr>
            </w:pPr>
            <w:r w:rsidRPr="00A04A32">
              <w:rPr>
                <w:rFonts w:asciiTheme="minorHAnsi" w:hAnsiTheme="minorHAnsi" w:cstheme="minorHAnsi"/>
                <w:b/>
                <w:color w:val="000000" w:themeColor="text1"/>
              </w:rPr>
              <w:t>VKA</w:t>
            </w:r>
          </w:p>
        </w:tc>
        <w:tc>
          <w:tcPr>
            <w:tcW w:w="1276" w:type="dxa"/>
            <w:tcBorders>
              <w:top w:val="nil"/>
              <w:left w:val="nil"/>
              <w:bottom w:val="single" w:sz="4" w:space="0" w:color="000000" w:themeColor="text1"/>
              <w:right w:val="nil"/>
            </w:tcBorders>
            <w:shd w:val="clear" w:color="auto" w:fill="E7E6E6" w:themeFill="background2"/>
          </w:tcPr>
          <w:p w14:paraId="6E24F410" w14:textId="77777777" w:rsidR="004A143B" w:rsidRPr="00A04A32" w:rsidRDefault="004A143B" w:rsidP="00A04A32">
            <w:pPr>
              <w:spacing w:line="480" w:lineRule="auto"/>
              <w:jc w:val="center"/>
              <w:rPr>
                <w:rFonts w:asciiTheme="minorHAnsi" w:hAnsiTheme="minorHAnsi" w:cstheme="minorHAnsi"/>
                <w:b/>
                <w:color w:val="000000" w:themeColor="text1"/>
              </w:rPr>
            </w:pPr>
            <w:r w:rsidRPr="00A04A32">
              <w:rPr>
                <w:rFonts w:asciiTheme="minorHAnsi" w:hAnsiTheme="minorHAnsi" w:cstheme="minorHAnsi"/>
                <w:b/>
                <w:color w:val="000000" w:themeColor="text1"/>
              </w:rPr>
              <w:t>DOAC</w:t>
            </w:r>
          </w:p>
        </w:tc>
        <w:tc>
          <w:tcPr>
            <w:tcW w:w="593" w:type="dxa"/>
            <w:tcBorders>
              <w:top w:val="nil"/>
              <w:left w:val="nil"/>
              <w:bottom w:val="single" w:sz="4" w:space="0" w:color="000000" w:themeColor="text1"/>
              <w:right w:val="nil"/>
            </w:tcBorders>
            <w:shd w:val="clear" w:color="auto" w:fill="E7E6E6" w:themeFill="background2"/>
          </w:tcPr>
          <w:p w14:paraId="1AB3FE07" w14:textId="002F7F86" w:rsidR="004A143B" w:rsidRPr="00A04A32" w:rsidRDefault="004A143B" w:rsidP="00A04A32">
            <w:pPr>
              <w:spacing w:line="480" w:lineRule="auto"/>
              <w:rPr>
                <w:rFonts w:asciiTheme="minorHAnsi" w:hAnsiTheme="minorHAnsi" w:cstheme="minorHAnsi"/>
                <w:i/>
                <w:color w:val="000000" w:themeColor="text1"/>
              </w:rPr>
            </w:pPr>
            <w:r w:rsidRPr="00A04A32">
              <w:rPr>
                <w:rFonts w:asciiTheme="minorHAnsi" w:hAnsiTheme="minorHAnsi" w:cstheme="minorHAnsi"/>
                <w:i/>
                <w:color w:val="000000" w:themeColor="text1"/>
              </w:rPr>
              <w:t xml:space="preserve"> p</w:t>
            </w:r>
          </w:p>
        </w:tc>
      </w:tr>
      <w:tr w:rsidR="00953CEA" w:rsidRPr="00F157A9" w14:paraId="2222B25D" w14:textId="77777777" w:rsidTr="00A03B54">
        <w:trPr>
          <w:trHeight w:val="233"/>
        </w:trPr>
        <w:tc>
          <w:tcPr>
            <w:tcW w:w="2267" w:type="dxa"/>
            <w:tcBorders>
              <w:left w:val="nil"/>
              <w:bottom w:val="nil"/>
              <w:right w:val="nil"/>
            </w:tcBorders>
          </w:tcPr>
          <w:p w14:paraId="59920F61" w14:textId="77777777" w:rsidR="004A143B" w:rsidRPr="00A03B54" w:rsidRDefault="004A143B" w:rsidP="00A04A32">
            <w:pPr>
              <w:spacing w:line="480" w:lineRule="auto"/>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Patients, n</w:t>
            </w:r>
          </w:p>
        </w:tc>
        <w:tc>
          <w:tcPr>
            <w:tcW w:w="1275" w:type="dxa"/>
            <w:tcBorders>
              <w:left w:val="nil"/>
              <w:bottom w:val="nil"/>
              <w:right w:val="nil"/>
            </w:tcBorders>
          </w:tcPr>
          <w:p w14:paraId="5364D720"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808</w:t>
            </w:r>
          </w:p>
        </w:tc>
        <w:tc>
          <w:tcPr>
            <w:tcW w:w="1270" w:type="dxa"/>
            <w:tcBorders>
              <w:left w:val="nil"/>
              <w:bottom w:val="nil"/>
              <w:right w:val="nil"/>
            </w:tcBorders>
          </w:tcPr>
          <w:p w14:paraId="5E9DCD20"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204</w:t>
            </w:r>
          </w:p>
        </w:tc>
        <w:tc>
          <w:tcPr>
            <w:tcW w:w="858" w:type="dxa"/>
            <w:tcBorders>
              <w:left w:val="nil"/>
              <w:bottom w:val="nil"/>
              <w:right w:val="nil"/>
            </w:tcBorders>
          </w:tcPr>
          <w:p w14:paraId="66D3310B" w14:textId="2A683DAE"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1276" w:type="dxa"/>
            <w:tcBorders>
              <w:left w:val="nil"/>
              <w:bottom w:val="nil"/>
              <w:right w:val="nil"/>
            </w:tcBorders>
          </w:tcPr>
          <w:p w14:paraId="4F0D6CD4"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794</w:t>
            </w:r>
          </w:p>
        </w:tc>
        <w:tc>
          <w:tcPr>
            <w:tcW w:w="1276" w:type="dxa"/>
            <w:tcBorders>
              <w:left w:val="nil"/>
              <w:bottom w:val="nil"/>
              <w:right w:val="nil"/>
            </w:tcBorders>
          </w:tcPr>
          <w:p w14:paraId="5114E831"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206</w:t>
            </w:r>
          </w:p>
        </w:tc>
        <w:tc>
          <w:tcPr>
            <w:tcW w:w="593" w:type="dxa"/>
            <w:tcBorders>
              <w:left w:val="nil"/>
              <w:bottom w:val="nil"/>
              <w:right w:val="nil"/>
            </w:tcBorders>
          </w:tcPr>
          <w:p w14:paraId="2A1C7E36" w14:textId="7C12FCB9"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r>
      <w:tr w:rsidR="00953CEA" w:rsidRPr="00F157A9" w14:paraId="2DF722F5" w14:textId="77777777" w:rsidTr="00A03B54">
        <w:trPr>
          <w:trHeight w:val="224"/>
        </w:trPr>
        <w:tc>
          <w:tcPr>
            <w:tcW w:w="2267" w:type="dxa"/>
            <w:tcBorders>
              <w:top w:val="nil"/>
              <w:left w:val="nil"/>
              <w:bottom w:val="nil"/>
              <w:right w:val="nil"/>
            </w:tcBorders>
          </w:tcPr>
          <w:p w14:paraId="28215DF9" w14:textId="77777777" w:rsidR="004A143B" w:rsidRPr="00A03B54" w:rsidRDefault="004A143B" w:rsidP="00A04A32">
            <w:pPr>
              <w:spacing w:line="480" w:lineRule="auto"/>
              <w:rPr>
                <w:rFonts w:asciiTheme="minorHAnsi" w:hAnsiTheme="minorHAnsi" w:cstheme="minorHAnsi"/>
                <w:b/>
                <w:color w:val="000000" w:themeColor="text1"/>
                <w:sz w:val="20"/>
                <w:szCs w:val="20"/>
              </w:rPr>
            </w:pPr>
            <w:r w:rsidRPr="00A03B54">
              <w:rPr>
                <w:rFonts w:asciiTheme="minorHAnsi" w:hAnsiTheme="minorHAnsi" w:cstheme="minorHAnsi"/>
                <w:b/>
                <w:color w:val="000000" w:themeColor="text1"/>
                <w:sz w:val="20"/>
                <w:szCs w:val="20"/>
              </w:rPr>
              <w:t xml:space="preserve">Age at PEA, </w:t>
            </w:r>
            <w:r w:rsidRPr="00A03B54">
              <w:rPr>
                <w:rFonts w:asciiTheme="minorHAnsi" w:hAnsiTheme="minorHAnsi" w:cstheme="minorHAnsi"/>
                <w:color w:val="000000" w:themeColor="text1"/>
                <w:sz w:val="20"/>
                <w:szCs w:val="20"/>
              </w:rPr>
              <w:t>yrs</w:t>
            </w:r>
          </w:p>
        </w:tc>
        <w:tc>
          <w:tcPr>
            <w:tcW w:w="1275" w:type="dxa"/>
            <w:tcBorders>
              <w:top w:val="nil"/>
              <w:left w:val="nil"/>
              <w:bottom w:val="nil"/>
              <w:right w:val="nil"/>
            </w:tcBorders>
          </w:tcPr>
          <w:p w14:paraId="231ED82D"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62 (21)</w:t>
            </w:r>
          </w:p>
        </w:tc>
        <w:tc>
          <w:tcPr>
            <w:tcW w:w="1270" w:type="dxa"/>
            <w:tcBorders>
              <w:top w:val="nil"/>
              <w:left w:val="nil"/>
              <w:bottom w:val="nil"/>
              <w:right w:val="nil"/>
            </w:tcBorders>
          </w:tcPr>
          <w:p w14:paraId="7157EB18"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63 (20)</w:t>
            </w:r>
          </w:p>
        </w:tc>
        <w:tc>
          <w:tcPr>
            <w:tcW w:w="858" w:type="dxa"/>
            <w:tcBorders>
              <w:top w:val="nil"/>
              <w:left w:val="nil"/>
              <w:bottom w:val="nil"/>
              <w:right w:val="nil"/>
            </w:tcBorders>
          </w:tcPr>
          <w:p w14:paraId="54E2F320"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0.64</w:t>
            </w:r>
          </w:p>
        </w:tc>
        <w:tc>
          <w:tcPr>
            <w:tcW w:w="1276" w:type="dxa"/>
            <w:tcBorders>
              <w:top w:val="nil"/>
              <w:left w:val="nil"/>
              <w:bottom w:val="nil"/>
              <w:right w:val="nil"/>
            </w:tcBorders>
          </w:tcPr>
          <w:p w14:paraId="2195F2C3" w14:textId="19BBED66"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1276" w:type="dxa"/>
            <w:tcBorders>
              <w:top w:val="nil"/>
              <w:left w:val="nil"/>
              <w:bottom w:val="nil"/>
              <w:right w:val="nil"/>
            </w:tcBorders>
          </w:tcPr>
          <w:p w14:paraId="108ED80B" w14:textId="73D3A709"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593" w:type="dxa"/>
            <w:tcBorders>
              <w:top w:val="nil"/>
              <w:left w:val="nil"/>
              <w:bottom w:val="nil"/>
              <w:right w:val="nil"/>
            </w:tcBorders>
          </w:tcPr>
          <w:p w14:paraId="5302D01F" w14:textId="7F762E1A"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r>
      <w:tr w:rsidR="00953CEA" w:rsidRPr="00F157A9" w14:paraId="7A299A03" w14:textId="77777777" w:rsidTr="00A03B54">
        <w:trPr>
          <w:trHeight w:val="251"/>
        </w:trPr>
        <w:tc>
          <w:tcPr>
            <w:tcW w:w="2267" w:type="dxa"/>
            <w:tcBorders>
              <w:top w:val="nil"/>
              <w:left w:val="nil"/>
              <w:bottom w:val="nil"/>
              <w:right w:val="nil"/>
            </w:tcBorders>
          </w:tcPr>
          <w:p w14:paraId="7D04E7D8" w14:textId="77777777" w:rsidR="004A143B" w:rsidRPr="00A03B54" w:rsidRDefault="004A143B" w:rsidP="00A04A32">
            <w:pPr>
              <w:spacing w:line="480" w:lineRule="auto"/>
              <w:rPr>
                <w:rFonts w:asciiTheme="minorHAnsi" w:hAnsiTheme="minorHAnsi" w:cstheme="minorHAnsi"/>
                <w:b/>
                <w:color w:val="000000" w:themeColor="text1"/>
                <w:sz w:val="20"/>
                <w:szCs w:val="20"/>
              </w:rPr>
            </w:pPr>
            <w:r w:rsidRPr="00A03B54">
              <w:rPr>
                <w:rFonts w:asciiTheme="minorHAnsi" w:hAnsiTheme="minorHAnsi" w:cstheme="minorHAnsi"/>
                <w:b/>
                <w:color w:val="000000" w:themeColor="text1"/>
                <w:sz w:val="20"/>
                <w:szCs w:val="20"/>
              </w:rPr>
              <w:t xml:space="preserve">Sex (m:f), </w:t>
            </w:r>
            <w:r w:rsidRPr="00A03B54">
              <w:rPr>
                <w:rFonts w:asciiTheme="minorHAnsi" w:hAnsiTheme="minorHAnsi" w:cstheme="minorHAnsi"/>
                <w:color w:val="000000" w:themeColor="text1"/>
                <w:sz w:val="20"/>
                <w:szCs w:val="20"/>
              </w:rPr>
              <w:t>%</w:t>
            </w:r>
          </w:p>
        </w:tc>
        <w:tc>
          <w:tcPr>
            <w:tcW w:w="1275" w:type="dxa"/>
            <w:tcBorders>
              <w:top w:val="nil"/>
              <w:left w:val="nil"/>
              <w:bottom w:val="nil"/>
              <w:right w:val="nil"/>
            </w:tcBorders>
          </w:tcPr>
          <w:p w14:paraId="403F3750"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56:44</w:t>
            </w:r>
          </w:p>
        </w:tc>
        <w:tc>
          <w:tcPr>
            <w:tcW w:w="1270" w:type="dxa"/>
            <w:tcBorders>
              <w:top w:val="nil"/>
              <w:left w:val="nil"/>
              <w:bottom w:val="nil"/>
              <w:right w:val="nil"/>
            </w:tcBorders>
          </w:tcPr>
          <w:p w14:paraId="5439DCFD"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53:47</w:t>
            </w:r>
          </w:p>
        </w:tc>
        <w:tc>
          <w:tcPr>
            <w:tcW w:w="858" w:type="dxa"/>
            <w:tcBorders>
              <w:top w:val="nil"/>
              <w:left w:val="nil"/>
              <w:bottom w:val="nil"/>
              <w:right w:val="nil"/>
            </w:tcBorders>
          </w:tcPr>
          <w:p w14:paraId="4ADFC973"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0.69</w:t>
            </w:r>
          </w:p>
        </w:tc>
        <w:tc>
          <w:tcPr>
            <w:tcW w:w="1276" w:type="dxa"/>
            <w:tcBorders>
              <w:top w:val="nil"/>
              <w:left w:val="nil"/>
              <w:bottom w:val="nil"/>
              <w:right w:val="nil"/>
            </w:tcBorders>
          </w:tcPr>
          <w:p w14:paraId="06401E11" w14:textId="598F0F89"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1276" w:type="dxa"/>
            <w:tcBorders>
              <w:top w:val="nil"/>
              <w:left w:val="nil"/>
              <w:bottom w:val="nil"/>
              <w:right w:val="nil"/>
            </w:tcBorders>
          </w:tcPr>
          <w:p w14:paraId="64CE2B1F" w14:textId="6053DE6C"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593" w:type="dxa"/>
            <w:tcBorders>
              <w:top w:val="nil"/>
              <w:left w:val="nil"/>
              <w:bottom w:val="nil"/>
              <w:right w:val="nil"/>
            </w:tcBorders>
          </w:tcPr>
          <w:p w14:paraId="54591FE6" w14:textId="0C88C568"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r>
      <w:tr w:rsidR="00953CEA" w:rsidRPr="00F157A9" w14:paraId="47CF62EF" w14:textId="77777777" w:rsidTr="00A03B54">
        <w:trPr>
          <w:trHeight w:val="251"/>
        </w:trPr>
        <w:tc>
          <w:tcPr>
            <w:tcW w:w="2267" w:type="dxa"/>
            <w:tcBorders>
              <w:top w:val="nil"/>
              <w:left w:val="nil"/>
              <w:bottom w:val="nil"/>
              <w:right w:val="nil"/>
            </w:tcBorders>
          </w:tcPr>
          <w:p w14:paraId="29064EAA" w14:textId="77777777" w:rsidR="004A143B" w:rsidRPr="00A03B54" w:rsidRDefault="004A143B" w:rsidP="00A04A32">
            <w:pPr>
              <w:spacing w:line="480" w:lineRule="auto"/>
              <w:rPr>
                <w:rFonts w:asciiTheme="minorHAnsi" w:hAnsiTheme="minorHAnsi" w:cstheme="minorHAnsi"/>
                <w:b/>
                <w:color w:val="000000" w:themeColor="text1"/>
                <w:sz w:val="20"/>
                <w:szCs w:val="20"/>
              </w:rPr>
            </w:pPr>
            <w:r w:rsidRPr="00A03B54">
              <w:rPr>
                <w:rFonts w:asciiTheme="minorHAnsi" w:hAnsiTheme="minorHAnsi" w:cstheme="minorHAnsi"/>
                <w:b/>
                <w:color w:val="000000" w:themeColor="text1"/>
                <w:sz w:val="20"/>
                <w:szCs w:val="20"/>
              </w:rPr>
              <w:t xml:space="preserve">BMI, </w:t>
            </w:r>
            <w:r w:rsidRPr="00A03B54">
              <w:rPr>
                <w:rFonts w:asciiTheme="minorHAnsi" w:hAnsiTheme="minorHAnsi" w:cstheme="minorHAnsi"/>
                <w:color w:val="000000" w:themeColor="text1"/>
                <w:sz w:val="20"/>
                <w:szCs w:val="20"/>
              </w:rPr>
              <w:t>kg/m</w:t>
            </w:r>
            <w:r w:rsidRPr="00A03B54">
              <w:rPr>
                <w:rFonts w:asciiTheme="minorHAnsi" w:hAnsiTheme="minorHAnsi" w:cstheme="minorHAnsi"/>
                <w:color w:val="000000" w:themeColor="text1"/>
                <w:sz w:val="20"/>
                <w:szCs w:val="20"/>
                <w:vertAlign w:val="superscript"/>
              </w:rPr>
              <w:t>2</w:t>
            </w:r>
          </w:p>
        </w:tc>
        <w:tc>
          <w:tcPr>
            <w:tcW w:w="1275" w:type="dxa"/>
            <w:tcBorders>
              <w:top w:val="nil"/>
              <w:left w:val="nil"/>
              <w:bottom w:val="nil"/>
              <w:right w:val="nil"/>
            </w:tcBorders>
          </w:tcPr>
          <w:p w14:paraId="7204A70C"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29 (8)</w:t>
            </w:r>
          </w:p>
        </w:tc>
        <w:tc>
          <w:tcPr>
            <w:tcW w:w="1270" w:type="dxa"/>
            <w:tcBorders>
              <w:top w:val="nil"/>
              <w:left w:val="nil"/>
              <w:bottom w:val="nil"/>
              <w:right w:val="nil"/>
            </w:tcBorders>
          </w:tcPr>
          <w:p w14:paraId="378968A7"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29 (8)</w:t>
            </w:r>
          </w:p>
        </w:tc>
        <w:tc>
          <w:tcPr>
            <w:tcW w:w="858" w:type="dxa"/>
            <w:tcBorders>
              <w:top w:val="nil"/>
              <w:left w:val="nil"/>
              <w:bottom w:val="nil"/>
              <w:right w:val="nil"/>
            </w:tcBorders>
          </w:tcPr>
          <w:p w14:paraId="2D809AB9"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0.64</w:t>
            </w:r>
          </w:p>
        </w:tc>
        <w:tc>
          <w:tcPr>
            <w:tcW w:w="1276" w:type="dxa"/>
            <w:tcBorders>
              <w:top w:val="nil"/>
              <w:left w:val="nil"/>
              <w:bottom w:val="nil"/>
              <w:right w:val="nil"/>
            </w:tcBorders>
          </w:tcPr>
          <w:p w14:paraId="39BC6CB2" w14:textId="651DDB78"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1276" w:type="dxa"/>
            <w:tcBorders>
              <w:top w:val="nil"/>
              <w:left w:val="nil"/>
              <w:bottom w:val="nil"/>
              <w:right w:val="nil"/>
            </w:tcBorders>
          </w:tcPr>
          <w:p w14:paraId="0CA2B911" w14:textId="728B4D35"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593" w:type="dxa"/>
            <w:tcBorders>
              <w:top w:val="nil"/>
              <w:left w:val="nil"/>
              <w:bottom w:val="nil"/>
              <w:right w:val="nil"/>
            </w:tcBorders>
          </w:tcPr>
          <w:p w14:paraId="59A270D4" w14:textId="7609D708"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r>
      <w:tr w:rsidR="00953CEA" w:rsidRPr="00F157A9" w14:paraId="3ABDF8F4" w14:textId="77777777" w:rsidTr="00A03B54">
        <w:trPr>
          <w:trHeight w:val="224"/>
        </w:trPr>
        <w:tc>
          <w:tcPr>
            <w:tcW w:w="2267" w:type="dxa"/>
            <w:tcBorders>
              <w:top w:val="nil"/>
              <w:left w:val="nil"/>
              <w:bottom w:val="nil"/>
              <w:right w:val="nil"/>
            </w:tcBorders>
          </w:tcPr>
          <w:p w14:paraId="7A135691" w14:textId="77777777" w:rsidR="004A143B" w:rsidRPr="00A03B54" w:rsidRDefault="004A143B" w:rsidP="00A04A32">
            <w:pPr>
              <w:spacing w:line="480" w:lineRule="auto"/>
              <w:rPr>
                <w:rFonts w:asciiTheme="minorHAnsi" w:hAnsiTheme="minorHAnsi" w:cstheme="minorHAnsi"/>
                <w:b/>
                <w:color w:val="000000" w:themeColor="text1"/>
                <w:sz w:val="20"/>
                <w:szCs w:val="20"/>
              </w:rPr>
            </w:pPr>
            <w:r w:rsidRPr="00A03B54">
              <w:rPr>
                <w:rFonts w:asciiTheme="minorHAnsi" w:hAnsiTheme="minorHAnsi" w:cstheme="minorHAnsi"/>
                <w:b/>
                <w:color w:val="000000" w:themeColor="text1"/>
                <w:sz w:val="20"/>
                <w:szCs w:val="20"/>
              </w:rPr>
              <w:t>Thrombophilia,</w:t>
            </w:r>
            <w:r w:rsidRPr="00A03B54">
              <w:rPr>
                <w:rFonts w:asciiTheme="minorHAnsi" w:hAnsiTheme="minorHAnsi" w:cstheme="minorHAnsi"/>
                <w:color w:val="000000" w:themeColor="text1"/>
                <w:sz w:val="20"/>
                <w:szCs w:val="20"/>
              </w:rPr>
              <w:t xml:space="preserve"> n</w:t>
            </w:r>
          </w:p>
        </w:tc>
        <w:tc>
          <w:tcPr>
            <w:tcW w:w="1275" w:type="dxa"/>
            <w:tcBorders>
              <w:top w:val="nil"/>
              <w:left w:val="nil"/>
              <w:bottom w:val="nil"/>
              <w:right w:val="nil"/>
            </w:tcBorders>
          </w:tcPr>
          <w:p w14:paraId="52ED0085"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783</w:t>
            </w:r>
          </w:p>
        </w:tc>
        <w:tc>
          <w:tcPr>
            <w:tcW w:w="1270" w:type="dxa"/>
            <w:tcBorders>
              <w:top w:val="nil"/>
              <w:left w:val="nil"/>
              <w:bottom w:val="nil"/>
              <w:right w:val="nil"/>
            </w:tcBorders>
          </w:tcPr>
          <w:p w14:paraId="6939D44B"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204</w:t>
            </w:r>
          </w:p>
        </w:tc>
        <w:tc>
          <w:tcPr>
            <w:tcW w:w="858" w:type="dxa"/>
            <w:tcBorders>
              <w:top w:val="nil"/>
              <w:left w:val="nil"/>
              <w:bottom w:val="nil"/>
              <w:right w:val="nil"/>
            </w:tcBorders>
          </w:tcPr>
          <w:p w14:paraId="6A922340" w14:textId="4579761E"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1276" w:type="dxa"/>
            <w:tcBorders>
              <w:top w:val="nil"/>
              <w:left w:val="nil"/>
              <w:bottom w:val="nil"/>
              <w:right w:val="nil"/>
            </w:tcBorders>
          </w:tcPr>
          <w:p w14:paraId="035F3E92" w14:textId="5FB52979"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1276" w:type="dxa"/>
            <w:tcBorders>
              <w:top w:val="nil"/>
              <w:left w:val="nil"/>
              <w:bottom w:val="nil"/>
              <w:right w:val="nil"/>
            </w:tcBorders>
          </w:tcPr>
          <w:p w14:paraId="77F0253A" w14:textId="4404F939"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593" w:type="dxa"/>
            <w:tcBorders>
              <w:top w:val="nil"/>
              <w:left w:val="nil"/>
              <w:bottom w:val="nil"/>
              <w:right w:val="nil"/>
            </w:tcBorders>
          </w:tcPr>
          <w:p w14:paraId="52D11921" w14:textId="0DD9D9A0"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r>
      <w:tr w:rsidR="00953CEA" w:rsidRPr="00F157A9" w14:paraId="0FB514A8" w14:textId="77777777" w:rsidTr="00A03B54">
        <w:trPr>
          <w:trHeight w:val="170"/>
        </w:trPr>
        <w:tc>
          <w:tcPr>
            <w:tcW w:w="2267" w:type="dxa"/>
            <w:tcBorders>
              <w:top w:val="nil"/>
              <w:left w:val="nil"/>
              <w:bottom w:val="nil"/>
              <w:right w:val="nil"/>
            </w:tcBorders>
          </w:tcPr>
          <w:p w14:paraId="25048D0C" w14:textId="77777777" w:rsidR="004A143B" w:rsidRPr="00A03B54" w:rsidRDefault="004A143B" w:rsidP="00A04A32">
            <w:pPr>
              <w:spacing w:line="480" w:lineRule="auto"/>
              <w:rPr>
                <w:rFonts w:asciiTheme="minorHAnsi" w:hAnsiTheme="minorHAnsi" w:cstheme="minorHAnsi"/>
                <w:color w:val="000000" w:themeColor="text1"/>
                <w:sz w:val="20"/>
                <w:szCs w:val="20"/>
              </w:rPr>
            </w:pPr>
            <w:r w:rsidRPr="00A03B54">
              <w:rPr>
                <w:rFonts w:asciiTheme="minorHAnsi" w:hAnsiTheme="minorHAnsi" w:cstheme="minorHAnsi"/>
                <w:b/>
                <w:color w:val="000000" w:themeColor="text1"/>
                <w:sz w:val="20"/>
                <w:szCs w:val="20"/>
              </w:rPr>
              <w:t xml:space="preserve">  </w:t>
            </w:r>
            <w:r w:rsidRPr="00A03B54">
              <w:rPr>
                <w:rFonts w:asciiTheme="minorHAnsi" w:hAnsiTheme="minorHAnsi" w:cstheme="minorHAnsi"/>
                <w:color w:val="000000" w:themeColor="text1"/>
                <w:sz w:val="20"/>
                <w:szCs w:val="20"/>
              </w:rPr>
              <w:t>Incidence, %</w:t>
            </w:r>
          </w:p>
        </w:tc>
        <w:tc>
          <w:tcPr>
            <w:tcW w:w="1275" w:type="dxa"/>
            <w:tcBorders>
              <w:top w:val="nil"/>
              <w:left w:val="nil"/>
              <w:bottom w:val="nil"/>
              <w:right w:val="nil"/>
            </w:tcBorders>
          </w:tcPr>
          <w:p w14:paraId="3AA3C81F"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7.2</w:t>
            </w:r>
          </w:p>
        </w:tc>
        <w:tc>
          <w:tcPr>
            <w:tcW w:w="1270" w:type="dxa"/>
            <w:tcBorders>
              <w:top w:val="nil"/>
              <w:left w:val="nil"/>
              <w:bottom w:val="nil"/>
              <w:right w:val="nil"/>
            </w:tcBorders>
          </w:tcPr>
          <w:p w14:paraId="38412108"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3.9</w:t>
            </w:r>
          </w:p>
        </w:tc>
        <w:tc>
          <w:tcPr>
            <w:tcW w:w="858" w:type="dxa"/>
            <w:tcBorders>
              <w:top w:val="nil"/>
              <w:left w:val="nil"/>
              <w:bottom w:val="nil"/>
              <w:right w:val="nil"/>
            </w:tcBorders>
          </w:tcPr>
          <w:p w14:paraId="359D0C98"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0.44</w:t>
            </w:r>
          </w:p>
        </w:tc>
        <w:tc>
          <w:tcPr>
            <w:tcW w:w="1276" w:type="dxa"/>
            <w:tcBorders>
              <w:top w:val="nil"/>
              <w:left w:val="nil"/>
              <w:bottom w:val="nil"/>
              <w:right w:val="nil"/>
            </w:tcBorders>
          </w:tcPr>
          <w:p w14:paraId="64F8F124" w14:textId="2F142BB0"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1276" w:type="dxa"/>
            <w:tcBorders>
              <w:top w:val="nil"/>
              <w:left w:val="nil"/>
              <w:bottom w:val="nil"/>
              <w:right w:val="nil"/>
            </w:tcBorders>
          </w:tcPr>
          <w:p w14:paraId="3D47EEAF" w14:textId="053721B1"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593" w:type="dxa"/>
            <w:tcBorders>
              <w:top w:val="nil"/>
              <w:left w:val="nil"/>
              <w:bottom w:val="nil"/>
              <w:right w:val="nil"/>
            </w:tcBorders>
          </w:tcPr>
          <w:p w14:paraId="0B9C8C0A" w14:textId="797E8166"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r>
      <w:tr w:rsidR="00953CEA" w:rsidRPr="00F157A9" w14:paraId="433F5213" w14:textId="77777777" w:rsidTr="00A03B54">
        <w:trPr>
          <w:trHeight w:val="170"/>
        </w:trPr>
        <w:tc>
          <w:tcPr>
            <w:tcW w:w="2267" w:type="dxa"/>
            <w:tcBorders>
              <w:top w:val="nil"/>
              <w:left w:val="nil"/>
              <w:bottom w:val="nil"/>
              <w:right w:val="nil"/>
            </w:tcBorders>
          </w:tcPr>
          <w:p w14:paraId="30E62D46" w14:textId="77777777" w:rsidR="004A143B" w:rsidRPr="00A03B54" w:rsidRDefault="004A143B" w:rsidP="00A04A32">
            <w:pPr>
              <w:spacing w:line="480" w:lineRule="auto"/>
              <w:rPr>
                <w:rFonts w:asciiTheme="minorHAnsi" w:hAnsiTheme="minorHAnsi" w:cstheme="minorHAnsi"/>
                <w:b/>
                <w:color w:val="000000" w:themeColor="text1"/>
                <w:sz w:val="20"/>
                <w:szCs w:val="20"/>
              </w:rPr>
            </w:pPr>
            <w:r w:rsidRPr="00A03B54">
              <w:rPr>
                <w:rFonts w:asciiTheme="minorHAnsi" w:hAnsiTheme="minorHAnsi" w:cstheme="minorHAnsi"/>
                <w:b/>
                <w:color w:val="000000" w:themeColor="text1"/>
                <w:sz w:val="20"/>
                <w:szCs w:val="20"/>
              </w:rPr>
              <w:t>APS,</w:t>
            </w:r>
            <w:r w:rsidRPr="00A03B54">
              <w:rPr>
                <w:rFonts w:asciiTheme="minorHAnsi" w:hAnsiTheme="minorHAnsi" w:cstheme="minorHAnsi"/>
                <w:color w:val="000000" w:themeColor="text1"/>
                <w:sz w:val="20"/>
                <w:szCs w:val="20"/>
              </w:rPr>
              <w:t xml:space="preserve"> n</w:t>
            </w:r>
          </w:p>
        </w:tc>
        <w:tc>
          <w:tcPr>
            <w:tcW w:w="1275" w:type="dxa"/>
            <w:tcBorders>
              <w:top w:val="nil"/>
              <w:left w:val="nil"/>
              <w:bottom w:val="nil"/>
              <w:right w:val="nil"/>
            </w:tcBorders>
          </w:tcPr>
          <w:p w14:paraId="0963B1C5"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780</w:t>
            </w:r>
          </w:p>
        </w:tc>
        <w:tc>
          <w:tcPr>
            <w:tcW w:w="1270" w:type="dxa"/>
            <w:tcBorders>
              <w:top w:val="nil"/>
              <w:left w:val="nil"/>
              <w:bottom w:val="nil"/>
              <w:right w:val="nil"/>
            </w:tcBorders>
          </w:tcPr>
          <w:p w14:paraId="50A79627"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200</w:t>
            </w:r>
          </w:p>
        </w:tc>
        <w:tc>
          <w:tcPr>
            <w:tcW w:w="858" w:type="dxa"/>
            <w:tcBorders>
              <w:top w:val="nil"/>
              <w:left w:val="nil"/>
              <w:bottom w:val="nil"/>
              <w:right w:val="nil"/>
            </w:tcBorders>
          </w:tcPr>
          <w:p w14:paraId="483829DD" w14:textId="33DCD51B"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1276" w:type="dxa"/>
            <w:tcBorders>
              <w:top w:val="nil"/>
              <w:left w:val="nil"/>
              <w:bottom w:val="nil"/>
              <w:right w:val="nil"/>
            </w:tcBorders>
          </w:tcPr>
          <w:p w14:paraId="2DAAD901" w14:textId="39E8424D"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1276" w:type="dxa"/>
            <w:tcBorders>
              <w:top w:val="nil"/>
              <w:left w:val="nil"/>
              <w:bottom w:val="nil"/>
              <w:right w:val="nil"/>
            </w:tcBorders>
          </w:tcPr>
          <w:p w14:paraId="0E53CD6A" w14:textId="1E44677B"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593" w:type="dxa"/>
            <w:tcBorders>
              <w:top w:val="nil"/>
              <w:left w:val="nil"/>
              <w:bottom w:val="nil"/>
              <w:right w:val="nil"/>
            </w:tcBorders>
          </w:tcPr>
          <w:p w14:paraId="3FFC0B03" w14:textId="4142958D"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r>
      <w:tr w:rsidR="00953CEA" w:rsidRPr="00F157A9" w14:paraId="75710ACC" w14:textId="77777777" w:rsidTr="00A03B54">
        <w:trPr>
          <w:trHeight w:val="170"/>
        </w:trPr>
        <w:tc>
          <w:tcPr>
            <w:tcW w:w="2267" w:type="dxa"/>
            <w:tcBorders>
              <w:top w:val="nil"/>
              <w:left w:val="nil"/>
              <w:bottom w:val="nil"/>
              <w:right w:val="nil"/>
            </w:tcBorders>
          </w:tcPr>
          <w:p w14:paraId="6F3C7087" w14:textId="77777777" w:rsidR="004A143B" w:rsidRPr="00A03B54" w:rsidRDefault="004A143B" w:rsidP="00A04A32">
            <w:pPr>
              <w:spacing w:line="480" w:lineRule="auto"/>
              <w:rPr>
                <w:rFonts w:asciiTheme="minorHAnsi" w:hAnsiTheme="minorHAnsi" w:cstheme="minorHAnsi"/>
                <w:color w:val="000000" w:themeColor="text1"/>
                <w:sz w:val="20"/>
                <w:szCs w:val="20"/>
              </w:rPr>
            </w:pPr>
            <w:r w:rsidRPr="00A03B54">
              <w:rPr>
                <w:rFonts w:asciiTheme="minorHAnsi" w:hAnsiTheme="minorHAnsi" w:cstheme="minorHAnsi"/>
                <w:b/>
                <w:color w:val="000000" w:themeColor="text1"/>
                <w:sz w:val="20"/>
                <w:szCs w:val="20"/>
              </w:rPr>
              <w:t xml:space="preserve"> </w:t>
            </w:r>
            <w:r w:rsidRPr="00A03B54">
              <w:rPr>
                <w:rFonts w:asciiTheme="minorHAnsi" w:hAnsiTheme="minorHAnsi" w:cstheme="minorHAnsi"/>
                <w:color w:val="000000" w:themeColor="text1"/>
                <w:sz w:val="20"/>
                <w:szCs w:val="20"/>
              </w:rPr>
              <w:t xml:space="preserve"> Incidence, %</w:t>
            </w:r>
          </w:p>
        </w:tc>
        <w:tc>
          <w:tcPr>
            <w:tcW w:w="1275" w:type="dxa"/>
            <w:tcBorders>
              <w:top w:val="nil"/>
              <w:left w:val="nil"/>
              <w:bottom w:val="nil"/>
              <w:right w:val="nil"/>
            </w:tcBorders>
          </w:tcPr>
          <w:p w14:paraId="7CB5CBC6"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4.0</w:t>
            </w:r>
          </w:p>
        </w:tc>
        <w:tc>
          <w:tcPr>
            <w:tcW w:w="1270" w:type="dxa"/>
            <w:tcBorders>
              <w:top w:val="nil"/>
              <w:left w:val="nil"/>
              <w:bottom w:val="nil"/>
              <w:right w:val="nil"/>
            </w:tcBorders>
          </w:tcPr>
          <w:p w14:paraId="655757F3"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1.5</w:t>
            </w:r>
          </w:p>
        </w:tc>
        <w:tc>
          <w:tcPr>
            <w:tcW w:w="858" w:type="dxa"/>
            <w:tcBorders>
              <w:top w:val="nil"/>
              <w:left w:val="nil"/>
              <w:bottom w:val="nil"/>
              <w:right w:val="nil"/>
            </w:tcBorders>
          </w:tcPr>
          <w:p w14:paraId="62D5EA34"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0.44</w:t>
            </w:r>
          </w:p>
        </w:tc>
        <w:tc>
          <w:tcPr>
            <w:tcW w:w="1276" w:type="dxa"/>
            <w:tcBorders>
              <w:top w:val="nil"/>
              <w:left w:val="nil"/>
              <w:bottom w:val="nil"/>
              <w:right w:val="nil"/>
            </w:tcBorders>
          </w:tcPr>
          <w:p w14:paraId="4386C06E" w14:textId="50F01C1C"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1276" w:type="dxa"/>
            <w:tcBorders>
              <w:top w:val="nil"/>
              <w:left w:val="nil"/>
              <w:bottom w:val="nil"/>
              <w:right w:val="nil"/>
            </w:tcBorders>
          </w:tcPr>
          <w:p w14:paraId="23911940" w14:textId="12B1FAD3"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593" w:type="dxa"/>
            <w:tcBorders>
              <w:top w:val="nil"/>
              <w:left w:val="nil"/>
              <w:bottom w:val="nil"/>
              <w:right w:val="nil"/>
            </w:tcBorders>
          </w:tcPr>
          <w:p w14:paraId="10826533" w14:textId="32702115"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r>
      <w:tr w:rsidR="00953CEA" w:rsidRPr="00F157A9" w14:paraId="28F25183" w14:textId="77777777" w:rsidTr="00A03B54">
        <w:trPr>
          <w:trHeight w:val="215"/>
        </w:trPr>
        <w:tc>
          <w:tcPr>
            <w:tcW w:w="2267" w:type="dxa"/>
            <w:tcBorders>
              <w:top w:val="nil"/>
              <w:left w:val="nil"/>
              <w:bottom w:val="nil"/>
              <w:right w:val="nil"/>
            </w:tcBorders>
          </w:tcPr>
          <w:p w14:paraId="0CB839EF" w14:textId="77777777" w:rsidR="004A143B" w:rsidRPr="00A03B54" w:rsidRDefault="004A143B" w:rsidP="00A04A32">
            <w:pPr>
              <w:spacing w:line="480" w:lineRule="auto"/>
              <w:rPr>
                <w:rFonts w:asciiTheme="minorHAnsi" w:hAnsiTheme="minorHAnsi" w:cstheme="minorHAnsi"/>
                <w:b/>
                <w:color w:val="000000" w:themeColor="text1"/>
                <w:sz w:val="20"/>
                <w:szCs w:val="20"/>
              </w:rPr>
            </w:pPr>
            <w:r w:rsidRPr="00A03B54">
              <w:rPr>
                <w:rFonts w:asciiTheme="minorHAnsi" w:hAnsiTheme="minorHAnsi" w:cstheme="minorHAnsi"/>
                <w:b/>
                <w:color w:val="000000" w:themeColor="text1"/>
                <w:sz w:val="20"/>
                <w:szCs w:val="20"/>
              </w:rPr>
              <w:t xml:space="preserve">NYHA FC , </w:t>
            </w:r>
            <w:r w:rsidRPr="00A03B54">
              <w:rPr>
                <w:rFonts w:asciiTheme="minorHAnsi" w:hAnsiTheme="minorHAnsi" w:cstheme="minorHAnsi"/>
                <w:color w:val="000000" w:themeColor="text1"/>
                <w:sz w:val="20"/>
                <w:szCs w:val="20"/>
              </w:rPr>
              <w:t>n</w:t>
            </w:r>
          </w:p>
        </w:tc>
        <w:tc>
          <w:tcPr>
            <w:tcW w:w="1275" w:type="dxa"/>
            <w:tcBorders>
              <w:top w:val="nil"/>
              <w:left w:val="nil"/>
              <w:bottom w:val="nil"/>
              <w:right w:val="nil"/>
            </w:tcBorders>
          </w:tcPr>
          <w:p w14:paraId="12934930"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740</w:t>
            </w:r>
          </w:p>
        </w:tc>
        <w:tc>
          <w:tcPr>
            <w:tcW w:w="1270" w:type="dxa"/>
            <w:tcBorders>
              <w:top w:val="nil"/>
              <w:left w:val="nil"/>
              <w:bottom w:val="nil"/>
              <w:right w:val="nil"/>
            </w:tcBorders>
          </w:tcPr>
          <w:p w14:paraId="376B753A"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185</w:t>
            </w:r>
          </w:p>
        </w:tc>
        <w:tc>
          <w:tcPr>
            <w:tcW w:w="858" w:type="dxa"/>
            <w:tcBorders>
              <w:top w:val="nil"/>
              <w:left w:val="nil"/>
              <w:bottom w:val="nil"/>
              <w:right w:val="nil"/>
            </w:tcBorders>
          </w:tcPr>
          <w:p w14:paraId="307D1427" w14:textId="26734580"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1276" w:type="dxa"/>
            <w:tcBorders>
              <w:top w:val="nil"/>
              <w:left w:val="nil"/>
              <w:bottom w:val="nil"/>
              <w:right w:val="nil"/>
            </w:tcBorders>
          </w:tcPr>
          <w:p w14:paraId="497AED17"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635</w:t>
            </w:r>
          </w:p>
        </w:tc>
        <w:tc>
          <w:tcPr>
            <w:tcW w:w="1276" w:type="dxa"/>
            <w:tcBorders>
              <w:top w:val="nil"/>
              <w:left w:val="nil"/>
              <w:bottom w:val="nil"/>
              <w:right w:val="nil"/>
            </w:tcBorders>
          </w:tcPr>
          <w:p w14:paraId="0BE66BCB"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133</w:t>
            </w:r>
          </w:p>
        </w:tc>
        <w:tc>
          <w:tcPr>
            <w:tcW w:w="593" w:type="dxa"/>
            <w:tcBorders>
              <w:top w:val="nil"/>
              <w:left w:val="nil"/>
              <w:bottom w:val="nil"/>
              <w:right w:val="nil"/>
            </w:tcBorders>
          </w:tcPr>
          <w:p w14:paraId="21C1F575" w14:textId="2F3E057C"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r>
      <w:tr w:rsidR="00953CEA" w:rsidRPr="00F157A9" w14:paraId="0C86BE46" w14:textId="77777777" w:rsidTr="00A03B54">
        <w:trPr>
          <w:trHeight w:val="215"/>
        </w:trPr>
        <w:tc>
          <w:tcPr>
            <w:tcW w:w="2267" w:type="dxa"/>
            <w:tcBorders>
              <w:top w:val="nil"/>
              <w:left w:val="nil"/>
              <w:bottom w:val="nil"/>
              <w:right w:val="nil"/>
            </w:tcBorders>
          </w:tcPr>
          <w:p w14:paraId="732DD76B" w14:textId="77777777" w:rsidR="004A143B" w:rsidRPr="00A03B54" w:rsidRDefault="004A143B" w:rsidP="00A04A32">
            <w:pPr>
              <w:spacing w:line="480" w:lineRule="auto"/>
              <w:rPr>
                <w:rFonts w:asciiTheme="minorHAnsi" w:hAnsiTheme="minorHAnsi" w:cstheme="minorHAnsi"/>
                <w:b/>
                <w:color w:val="000000" w:themeColor="text1"/>
                <w:sz w:val="20"/>
                <w:szCs w:val="20"/>
              </w:rPr>
            </w:pPr>
            <w:r w:rsidRPr="00A03B54">
              <w:rPr>
                <w:rFonts w:asciiTheme="minorHAnsi" w:hAnsiTheme="minorHAnsi" w:cstheme="minorHAnsi"/>
                <w:b/>
                <w:color w:val="000000" w:themeColor="text1"/>
                <w:sz w:val="20"/>
                <w:szCs w:val="20"/>
              </w:rPr>
              <w:t xml:space="preserve">  </w:t>
            </w:r>
            <w:r w:rsidRPr="00A03B54">
              <w:rPr>
                <w:rFonts w:asciiTheme="minorHAnsi" w:hAnsiTheme="minorHAnsi" w:cstheme="minorHAnsi"/>
                <w:color w:val="000000" w:themeColor="text1"/>
                <w:sz w:val="20"/>
                <w:szCs w:val="20"/>
              </w:rPr>
              <w:t>1/2/3/4, %</w:t>
            </w:r>
          </w:p>
        </w:tc>
        <w:tc>
          <w:tcPr>
            <w:tcW w:w="1275" w:type="dxa"/>
            <w:tcBorders>
              <w:top w:val="nil"/>
              <w:left w:val="nil"/>
              <w:bottom w:val="nil"/>
              <w:right w:val="nil"/>
            </w:tcBorders>
          </w:tcPr>
          <w:p w14:paraId="40AE12FD"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0/16/74/10</w:t>
            </w:r>
          </w:p>
        </w:tc>
        <w:tc>
          <w:tcPr>
            <w:tcW w:w="1270" w:type="dxa"/>
            <w:tcBorders>
              <w:top w:val="nil"/>
              <w:left w:val="nil"/>
              <w:bottom w:val="nil"/>
              <w:right w:val="nil"/>
            </w:tcBorders>
          </w:tcPr>
          <w:p w14:paraId="711B5C22"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0/13/80/8</w:t>
            </w:r>
          </w:p>
        </w:tc>
        <w:tc>
          <w:tcPr>
            <w:tcW w:w="858" w:type="dxa"/>
            <w:tcBorders>
              <w:top w:val="nil"/>
              <w:left w:val="nil"/>
              <w:bottom w:val="nil"/>
              <w:right w:val="nil"/>
            </w:tcBorders>
          </w:tcPr>
          <w:p w14:paraId="41AA7797"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0.69</w:t>
            </w:r>
          </w:p>
        </w:tc>
        <w:tc>
          <w:tcPr>
            <w:tcW w:w="1276" w:type="dxa"/>
            <w:tcBorders>
              <w:top w:val="nil"/>
              <w:left w:val="nil"/>
              <w:bottom w:val="nil"/>
              <w:right w:val="nil"/>
            </w:tcBorders>
          </w:tcPr>
          <w:p w14:paraId="43BAC3C8"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30/42/27/1</w:t>
            </w:r>
          </w:p>
        </w:tc>
        <w:tc>
          <w:tcPr>
            <w:tcW w:w="1276" w:type="dxa"/>
            <w:tcBorders>
              <w:top w:val="nil"/>
              <w:left w:val="nil"/>
              <w:bottom w:val="nil"/>
              <w:right w:val="nil"/>
            </w:tcBorders>
          </w:tcPr>
          <w:p w14:paraId="6EF5A705"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27/45/27/1</w:t>
            </w:r>
          </w:p>
        </w:tc>
        <w:tc>
          <w:tcPr>
            <w:tcW w:w="593" w:type="dxa"/>
            <w:tcBorders>
              <w:top w:val="nil"/>
              <w:left w:val="nil"/>
              <w:bottom w:val="nil"/>
              <w:right w:val="nil"/>
            </w:tcBorders>
          </w:tcPr>
          <w:p w14:paraId="61156313"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0.86</w:t>
            </w:r>
          </w:p>
        </w:tc>
      </w:tr>
      <w:tr w:rsidR="00953CEA" w:rsidRPr="00F157A9" w14:paraId="13B45835" w14:textId="77777777" w:rsidTr="00A03B54">
        <w:trPr>
          <w:trHeight w:val="233"/>
        </w:trPr>
        <w:tc>
          <w:tcPr>
            <w:tcW w:w="2267" w:type="dxa"/>
            <w:tcBorders>
              <w:top w:val="nil"/>
              <w:left w:val="nil"/>
              <w:bottom w:val="nil"/>
              <w:right w:val="nil"/>
            </w:tcBorders>
          </w:tcPr>
          <w:p w14:paraId="283E4C43" w14:textId="2F015F10" w:rsidR="004A143B" w:rsidRPr="00A03B54" w:rsidRDefault="00A03B54" w:rsidP="00A04A32">
            <w:pPr>
              <w:spacing w:line="480" w:lineRule="auto"/>
              <w:rPr>
                <w:rFonts w:asciiTheme="minorHAnsi" w:hAnsiTheme="minorHAnsi" w:cstheme="minorHAnsi"/>
                <w:b/>
                <w:color w:val="000000" w:themeColor="text1"/>
                <w:sz w:val="20"/>
                <w:szCs w:val="20"/>
              </w:rPr>
            </w:pPr>
            <w:r>
              <w:rPr>
                <w:rFonts w:asciiTheme="minorHAnsi" w:hAnsiTheme="minorHAnsi" w:cstheme="minorHAnsi"/>
                <w:b/>
                <w:color w:val="000000" w:themeColor="text1"/>
                <w:sz w:val="20"/>
                <w:szCs w:val="20"/>
              </w:rPr>
              <w:t>Haemodynamics</w:t>
            </w:r>
            <w:r w:rsidR="004A143B" w:rsidRPr="00A03B54">
              <w:rPr>
                <w:rFonts w:asciiTheme="minorHAnsi" w:hAnsiTheme="minorHAnsi" w:cstheme="minorHAnsi"/>
                <w:b/>
                <w:color w:val="000000" w:themeColor="text1"/>
                <w:sz w:val="20"/>
                <w:szCs w:val="20"/>
              </w:rPr>
              <w:t xml:space="preserve">, </w:t>
            </w:r>
            <w:r w:rsidR="004A143B" w:rsidRPr="00A03B54">
              <w:rPr>
                <w:rFonts w:asciiTheme="minorHAnsi" w:hAnsiTheme="minorHAnsi" w:cstheme="minorHAnsi"/>
                <w:color w:val="000000" w:themeColor="text1"/>
                <w:sz w:val="20"/>
                <w:szCs w:val="20"/>
              </w:rPr>
              <w:t>n</w:t>
            </w:r>
          </w:p>
        </w:tc>
        <w:tc>
          <w:tcPr>
            <w:tcW w:w="1275" w:type="dxa"/>
            <w:tcBorders>
              <w:top w:val="nil"/>
              <w:left w:val="nil"/>
              <w:bottom w:val="nil"/>
              <w:right w:val="nil"/>
            </w:tcBorders>
          </w:tcPr>
          <w:p w14:paraId="79006F18"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808</w:t>
            </w:r>
          </w:p>
        </w:tc>
        <w:tc>
          <w:tcPr>
            <w:tcW w:w="1270" w:type="dxa"/>
            <w:tcBorders>
              <w:top w:val="nil"/>
              <w:left w:val="nil"/>
              <w:bottom w:val="nil"/>
              <w:right w:val="nil"/>
            </w:tcBorders>
          </w:tcPr>
          <w:p w14:paraId="20B2D3DF"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204</w:t>
            </w:r>
          </w:p>
        </w:tc>
        <w:tc>
          <w:tcPr>
            <w:tcW w:w="858" w:type="dxa"/>
            <w:tcBorders>
              <w:top w:val="nil"/>
              <w:left w:val="nil"/>
              <w:bottom w:val="nil"/>
              <w:right w:val="nil"/>
            </w:tcBorders>
          </w:tcPr>
          <w:p w14:paraId="0776D813" w14:textId="3A511028"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1276" w:type="dxa"/>
            <w:tcBorders>
              <w:top w:val="nil"/>
              <w:left w:val="nil"/>
              <w:bottom w:val="nil"/>
              <w:right w:val="nil"/>
            </w:tcBorders>
          </w:tcPr>
          <w:p w14:paraId="754BFE02"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681</w:t>
            </w:r>
          </w:p>
        </w:tc>
        <w:tc>
          <w:tcPr>
            <w:tcW w:w="1276" w:type="dxa"/>
            <w:tcBorders>
              <w:top w:val="nil"/>
              <w:left w:val="nil"/>
              <w:bottom w:val="nil"/>
              <w:right w:val="nil"/>
            </w:tcBorders>
          </w:tcPr>
          <w:p w14:paraId="7F5C79E6"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167</w:t>
            </w:r>
          </w:p>
        </w:tc>
        <w:tc>
          <w:tcPr>
            <w:tcW w:w="593" w:type="dxa"/>
            <w:tcBorders>
              <w:top w:val="nil"/>
              <w:left w:val="nil"/>
              <w:bottom w:val="nil"/>
              <w:right w:val="nil"/>
            </w:tcBorders>
          </w:tcPr>
          <w:p w14:paraId="19BD7168" w14:textId="7965328C"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r>
      <w:tr w:rsidR="00953CEA" w:rsidRPr="00F157A9" w14:paraId="6F9E0AAC" w14:textId="77777777" w:rsidTr="00A03B54">
        <w:trPr>
          <w:trHeight w:val="233"/>
        </w:trPr>
        <w:tc>
          <w:tcPr>
            <w:tcW w:w="2267" w:type="dxa"/>
            <w:tcBorders>
              <w:top w:val="nil"/>
              <w:left w:val="nil"/>
              <w:bottom w:val="nil"/>
              <w:right w:val="nil"/>
            </w:tcBorders>
          </w:tcPr>
          <w:p w14:paraId="08A8B04A" w14:textId="77777777" w:rsidR="004A143B" w:rsidRPr="00A03B54" w:rsidRDefault="004A143B" w:rsidP="00A04A32">
            <w:pPr>
              <w:spacing w:line="480" w:lineRule="auto"/>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 xml:space="preserve"> Mean PAP, mmHg</w:t>
            </w:r>
          </w:p>
        </w:tc>
        <w:tc>
          <w:tcPr>
            <w:tcW w:w="1275" w:type="dxa"/>
            <w:tcBorders>
              <w:top w:val="nil"/>
              <w:left w:val="nil"/>
              <w:bottom w:val="nil"/>
              <w:right w:val="nil"/>
            </w:tcBorders>
          </w:tcPr>
          <w:p w14:paraId="4A7FC1DA"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45 (17)</w:t>
            </w:r>
          </w:p>
        </w:tc>
        <w:tc>
          <w:tcPr>
            <w:tcW w:w="1270" w:type="dxa"/>
            <w:tcBorders>
              <w:top w:val="nil"/>
              <w:left w:val="nil"/>
              <w:bottom w:val="nil"/>
              <w:right w:val="nil"/>
            </w:tcBorders>
          </w:tcPr>
          <w:p w14:paraId="223CA02A"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44 (16)</w:t>
            </w:r>
          </w:p>
        </w:tc>
        <w:tc>
          <w:tcPr>
            <w:tcW w:w="858" w:type="dxa"/>
            <w:tcBorders>
              <w:top w:val="nil"/>
              <w:left w:val="nil"/>
              <w:bottom w:val="nil"/>
              <w:right w:val="nil"/>
            </w:tcBorders>
          </w:tcPr>
          <w:p w14:paraId="0AD9282E"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0.64</w:t>
            </w:r>
          </w:p>
        </w:tc>
        <w:tc>
          <w:tcPr>
            <w:tcW w:w="1276" w:type="dxa"/>
            <w:tcBorders>
              <w:top w:val="nil"/>
              <w:left w:val="nil"/>
              <w:bottom w:val="nil"/>
              <w:right w:val="nil"/>
            </w:tcBorders>
          </w:tcPr>
          <w:p w14:paraId="47E713AC"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25 (13)</w:t>
            </w:r>
          </w:p>
        </w:tc>
        <w:tc>
          <w:tcPr>
            <w:tcW w:w="1276" w:type="dxa"/>
            <w:tcBorders>
              <w:top w:val="nil"/>
              <w:left w:val="nil"/>
              <w:bottom w:val="nil"/>
              <w:right w:val="nil"/>
            </w:tcBorders>
          </w:tcPr>
          <w:p w14:paraId="06EA98B6"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24 (12)</w:t>
            </w:r>
          </w:p>
        </w:tc>
        <w:tc>
          <w:tcPr>
            <w:tcW w:w="593" w:type="dxa"/>
            <w:tcBorders>
              <w:top w:val="nil"/>
              <w:left w:val="nil"/>
              <w:bottom w:val="nil"/>
              <w:right w:val="nil"/>
            </w:tcBorders>
          </w:tcPr>
          <w:p w14:paraId="70F12ED1"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0.54</w:t>
            </w:r>
          </w:p>
        </w:tc>
      </w:tr>
      <w:tr w:rsidR="00953CEA" w:rsidRPr="00F157A9" w14:paraId="4C3DAB62" w14:textId="77777777" w:rsidTr="00A03B54">
        <w:trPr>
          <w:trHeight w:val="233"/>
        </w:trPr>
        <w:tc>
          <w:tcPr>
            <w:tcW w:w="2267" w:type="dxa"/>
            <w:tcBorders>
              <w:top w:val="nil"/>
              <w:left w:val="nil"/>
              <w:bottom w:val="nil"/>
              <w:right w:val="nil"/>
            </w:tcBorders>
          </w:tcPr>
          <w:p w14:paraId="1D0C6757" w14:textId="77777777" w:rsidR="004A143B" w:rsidRPr="00A03B54" w:rsidRDefault="004A143B" w:rsidP="00A04A32">
            <w:pPr>
              <w:spacing w:line="480" w:lineRule="auto"/>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 xml:space="preserve"> PVR, dynes</w:t>
            </w:r>
            <w:r w:rsidRPr="00A03B54">
              <w:rPr>
                <w:rFonts w:asciiTheme="minorHAnsi" w:hAnsiTheme="minorHAnsi" w:cstheme="minorHAnsi"/>
                <w:color w:val="000000" w:themeColor="text1"/>
                <w:sz w:val="20"/>
                <w:szCs w:val="20"/>
                <w:vertAlign w:val="superscript"/>
              </w:rPr>
              <w:t>.</w:t>
            </w:r>
            <w:r w:rsidRPr="00A03B54">
              <w:rPr>
                <w:rFonts w:asciiTheme="minorHAnsi" w:hAnsiTheme="minorHAnsi" w:cstheme="minorHAnsi"/>
                <w:color w:val="000000" w:themeColor="text1"/>
                <w:sz w:val="20"/>
                <w:szCs w:val="20"/>
              </w:rPr>
              <w:t>s</w:t>
            </w:r>
            <w:r w:rsidRPr="00A03B54">
              <w:rPr>
                <w:rFonts w:asciiTheme="minorHAnsi" w:hAnsiTheme="minorHAnsi" w:cstheme="minorHAnsi"/>
                <w:color w:val="000000" w:themeColor="text1"/>
                <w:sz w:val="20"/>
                <w:szCs w:val="20"/>
                <w:vertAlign w:val="superscript"/>
              </w:rPr>
              <w:t>-1.</w:t>
            </w:r>
            <w:r w:rsidRPr="00A03B54">
              <w:rPr>
                <w:rFonts w:asciiTheme="minorHAnsi" w:hAnsiTheme="minorHAnsi" w:cstheme="minorHAnsi"/>
                <w:color w:val="000000" w:themeColor="text1"/>
                <w:sz w:val="20"/>
                <w:szCs w:val="20"/>
              </w:rPr>
              <w:t>cm</w:t>
            </w:r>
            <w:r w:rsidRPr="00A03B54">
              <w:rPr>
                <w:rFonts w:asciiTheme="minorHAnsi" w:hAnsiTheme="minorHAnsi" w:cstheme="minorHAnsi"/>
                <w:color w:val="000000" w:themeColor="text1"/>
                <w:sz w:val="20"/>
                <w:szCs w:val="20"/>
                <w:vertAlign w:val="superscript"/>
              </w:rPr>
              <w:t>-5</w:t>
            </w:r>
          </w:p>
        </w:tc>
        <w:tc>
          <w:tcPr>
            <w:tcW w:w="1275" w:type="dxa"/>
            <w:tcBorders>
              <w:top w:val="nil"/>
              <w:left w:val="nil"/>
              <w:bottom w:val="nil"/>
              <w:right w:val="nil"/>
            </w:tcBorders>
          </w:tcPr>
          <w:p w14:paraId="7FE53C02"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649 (486)</w:t>
            </w:r>
          </w:p>
        </w:tc>
        <w:tc>
          <w:tcPr>
            <w:tcW w:w="1270" w:type="dxa"/>
            <w:tcBorders>
              <w:top w:val="nil"/>
              <w:left w:val="nil"/>
              <w:bottom w:val="nil"/>
              <w:right w:val="nil"/>
            </w:tcBorders>
          </w:tcPr>
          <w:p w14:paraId="183C1CE7"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660 (486)</w:t>
            </w:r>
          </w:p>
        </w:tc>
        <w:tc>
          <w:tcPr>
            <w:tcW w:w="858" w:type="dxa"/>
            <w:tcBorders>
              <w:top w:val="nil"/>
              <w:left w:val="nil"/>
              <w:bottom w:val="nil"/>
              <w:right w:val="nil"/>
            </w:tcBorders>
          </w:tcPr>
          <w:p w14:paraId="552D8D47"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0.87</w:t>
            </w:r>
          </w:p>
        </w:tc>
        <w:tc>
          <w:tcPr>
            <w:tcW w:w="1276" w:type="dxa"/>
            <w:tcBorders>
              <w:top w:val="nil"/>
              <w:left w:val="nil"/>
              <w:bottom w:val="nil"/>
              <w:right w:val="nil"/>
            </w:tcBorders>
          </w:tcPr>
          <w:p w14:paraId="4F91C1F2"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243 (215)</w:t>
            </w:r>
          </w:p>
        </w:tc>
        <w:tc>
          <w:tcPr>
            <w:tcW w:w="1276" w:type="dxa"/>
            <w:tcBorders>
              <w:top w:val="nil"/>
              <w:left w:val="nil"/>
              <w:bottom w:val="nil"/>
              <w:right w:val="nil"/>
            </w:tcBorders>
          </w:tcPr>
          <w:p w14:paraId="25CA42FF"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239 (195)</w:t>
            </w:r>
          </w:p>
        </w:tc>
        <w:tc>
          <w:tcPr>
            <w:tcW w:w="593" w:type="dxa"/>
            <w:tcBorders>
              <w:top w:val="nil"/>
              <w:left w:val="nil"/>
              <w:bottom w:val="nil"/>
              <w:right w:val="nil"/>
            </w:tcBorders>
          </w:tcPr>
          <w:p w14:paraId="5B79018F"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0.75</w:t>
            </w:r>
          </w:p>
        </w:tc>
      </w:tr>
      <w:tr w:rsidR="00953CEA" w:rsidRPr="00F157A9" w14:paraId="40ED46D4" w14:textId="77777777" w:rsidTr="00A03B54">
        <w:trPr>
          <w:trHeight w:val="233"/>
        </w:trPr>
        <w:tc>
          <w:tcPr>
            <w:tcW w:w="2267" w:type="dxa"/>
            <w:tcBorders>
              <w:top w:val="nil"/>
              <w:left w:val="nil"/>
              <w:bottom w:val="nil"/>
              <w:right w:val="nil"/>
            </w:tcBorders>
          </w:tcPr>
          <w:p w14:paraId="74E49FAC" w14:textId="531A4098" w:rsidR="004A143B" w:rsidRPr="00A03B54" w:rsidRDefault="004A143B" w:rsidP="00A04A32">
            <w:pPr>
              <w:spacing w:line="480" w:lineRule="auto"/>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 xml:space="preserve"> </w:t>
            </w:r>
            <w:r w:rsidR="009A3EEF" w:rsidRPr="00A04A32">
              <w:rPr>
                <w:rFonts w:asciiTheme="minorHAnsi" w:hAnsiTheme="minorHAnsi" w:cstheme="minorHAnsi"/>
                <w:color w:val="000000" w:themeColor="text1"/>
              </w:rPr>
              <w:t>P</w:t>
            </w:r>
            <w:r w:rsidR="009A3EEF" w:rsidRPr="00A04A32">
              <w:rPr>
                <w:rFonts w:asciiTheme="minorHAnsi" w:hAnsiTheme="minorHAnsi" w:cstheme="minorHAnsi"/>
                <w:i/>
                <w:color w:val="000000" w:themeColor="text1"/>
                <w:vertAlign w:val="subscript"/>
              </w:rPr>
              <w:t>awp</w:t>
            </w:r>
            <w:r w:rsidRPr="00A03B54">
              <w:rPr>
                <w:rFonts w:asciiTheme="minorHAnsi" w:hAnsiTheme="minorHAnsi" w:cstheme="minorHAnsi"/>
                <w:color w:val="000000" w:themeColor="text1"/>
                <w:sz w:val="20"/>
                <w:szCs w:val="20"/>
              </w:rPr>
              <w:t>, mmHg</w:t>
            </w:r>
          </w:p>
        </w:tc>
        <w:tc>
          <w:tcPr>
            <w:tcW w:w="1275" w:type="dxa"/>
            <w:tcBorders>
              <w:top w:val="nil"/>
              <w:left w:val="nil"/>
              <w:bottom w:val="nil"/>
              <w:right w:val="nil"/>
            </w:tcBorders>
          </w:tcPr>
          <w:p w14:paraId="01CE77DC"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11 (5)</w:t>
            </w:r>
          </w:p>
        </w:tc>
        <w:tc>
          <w:tcPr>
            <w:tcW w:w="1270" w:type="dxa"/>
            <w:tcBorders>
              <w:top w:val="nil"/>
              <w:left w:val="nil"/>
              <w:bottom w:val="nil"/>
              <w:right w:val="nil"/>
            </w:tcBorders>
          </w:tcPr>
          <w:p w14:paraId="68D8D576"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11 (6)</w:t>
            </w:r>
          </w:p>
        </w:tc>
        <w:tc>
          <w:tcPr>
            <w:tcW w:w="858" w:type="dxa"/>
            <w:tcBorders>
              <w:top w:val="nil"/>
              <w:left w:val="nil"/>
              <w:bottom w:val="nil"/>
              <w:right w:val="nil"/>
            </w:tcBorders>
          </w:tcPr>
          <w:p w14:paraId="618205F4"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0.44</w:t>
            </w:r>
          </w:p>
        </w:tc>
        <w:tc>
          <w:tcPr>
            <w:tcW w:w="1276" w:type="dxa"/>
            <w:tcBorders>
              <w:top w:val="nil"/>
              <w:left w:val="nil"/>
              <w:bottom w:val="nil"/>
              <w:right w:val="nil"/>
            </w:tcBorders>
          </w:tcPr>
          <w:p w14:paraId="542B5CAC"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10 (5)</w:t>
            </w:r>
          </w:p>
        </w:tc>
        <w:tc>
          <w:tcPr>
            <w:tcW w:w="1276" w:type="dxa"/>
            <w:tcBorders>
              <w:top w:val="nil"/>
              <w:left w:val="nil"/>
              <w:bottom w:val="nil"/>
              <w:right w:val="nil"/>
            </w:tcBorders>
          </w:tcPr>
          <w:p w14:paraId="1E8F1611"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10 (6)</w:t>
            </w:r>
          </w:p>
        </w:tc>
        <w:tc>
          <w:tcPr>
            <w:tcW w:w="593" w:type="dxa"/>
            <w:tcBorders>
              <w:top w:val="nil"/>
              <w:left w:val="nil"/>
              <w:bottom w:val="nil"/>
              <w:right w:val="nil"/>
            </w:tcBorders>
          </w:tcPr>
          <w:p w14:paraId="724E4D02"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0.54</w:t>
            </w:r>
          </w:p>
        </w:tc>
      </w:tr>
      <w:tr w:rsidR="00953CEA" w:rsidRPr="00F157A9" w14:paraId="0E0DD8F9" w14:textId="77777777" w:rsidTr="00A03B54">
        <w:trPr>
          <w:trHeight w:val="233"/>
        </w:trPr>
        <w:tc>
          <w:tcPr>
            <w:tcW w:w="2267" w:type="dxa"/>
            <w:tcBorders>
              <w:top w:val="nil"/>
              <w:left w:val="nil"/>
              <w:bottom w:val="nil"/>
              <w:right w:val="nil"/>
            </w:tcBorders>
          </w:tcPr>
          <w:p w14:paraId="69C30BA7" w14:textId="77777777" w:rsidR="004A143B" w:rsidRPr="00A03B54" w:rsidRDefault="004A143B" w:rsidP="00A04A32">
            <w:pPr>
              <w:spacing w:line="480" w:lineRule="auto"/>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 xml:space="preserve"> CI, l</w:t>
            </w:r>
            <w:r w:rsidRPr="00A03B54">
              <w:rPr>
                <w:rFonts w:asciiTheme="minorHAnsi" w:hAnsiTheme="minorHAnsi" w:cstheme="minorHAnsi"/>
                <w:color w:val="000000" w:themeColor="text1"/>
                <w:sz w:val="20"/>
                <w:szCs w:val="20"/>
                <w:vertAlign w:val="superscript"/>
              </w:rPr>
              <w:t>.</w:t>
            </w:r>
            <w:r w:rsidRPr="00A03B54">
              <w:rPr>
                <w:rFonts w:asciiTheme="minorHAnsi" w:hAnsiTheme="minorHAnsi" w:cstheme="minorHAnsi"/>
                <w:color w:val="000000" w:themeColor="text1"/>
                <w:sz w:val="20"/>
                <w:szCs w:val="20"/>
              </w:rPr>
              <w:t>min</w:t>
            </w:r>
            <w:r w:rsidRPr="00A03B54">
              <w:rPr>
                <w:rFonts w:asciiTheme="minorHAnsi" w:hAnsiTheme="minorHAnsi" w:cstheme="minorHAnsi"/>
                <w:color w:val="000000" w:themeColor="text1"/>
                <w:sz w:val="20"/>
                <w:szCs w:val="20"/>
                <w:vertAlign w:val="superscript"/>
              </w:rPr>
              <w:t>.</w:t>
            </w:r>
            <w:r w:rsidRPr="00A03B54">
              <w:rPr>
                <w:rFonts w:asciiTheme="minorHAnsi" w:hAnsiTheme="minorHAnsi" w:cstheme="minorHAnsi"/>
                <w:color w:val="000000" w:themeColor="text1"/>
                <w:sz w:val="20"/>
                <w:szCs w:val="20"/>
              </w:rPr>
              <w:t>m</w:t>
            </w:r>
            <w:r w:rsidRPr="00A03B54">
              <w:rPr>
                <w:rFonts w:asciiTheme="minorHAnsi" w:hAnsiTheme="minorHAnsi" w:cstheme="minorHAnsi"/>
                <w:color w:val="000000" w:themeColor="text1"/>
                <w:sz w:val="20"/>
                <w:szCs w:val="20"/>
                <w:vertAlign w:val="superscript"/>
              </w:rPr>
              <w:t>2</w:t>
            </w:r>
          </w:p>
        </w:tc>
        <w:tc>
          <w:tcPr>
            <w:tcW w:w="1275" w:type="dxa"/>
            <w:tcBorders>
              <w:top w:val="nil"/>
              <w:left w:val="nil"/>
              <w:bottom w:val="nil"/>
              <w:right w:val="nil"/>
            </w:tcBorders>
          </w:tcPr>
          <w:p w14:paraId="7AA3014C"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2.1 (0.8)</w:t>
            </w:r>
          </w:p>
        </w:tc>
        <w:tc>
          <w:tcPr>
            <w:tcW w:w="1270" w:type="dxa"/>
            <w:tcBorders>
              <w:top w:val="nil"/>
              <w:left w:val="nil"/>
              <w:bottom w:val="nil"/>
              <w:right w:val="nil"/>
            </w:tcBorders>
          </w:tcPr>
          <w:p w14:paraId="5A75B592"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2.1 (0.7)</w:t>
            </w:r>
          </w:p>
        </w:tc>
        <w:tc>
          <w:tcPr>
            <w:tcW w:w="858" w:type="dxa"/>
            <w:tcBorders>
              <w:top w:val="nil"/>
              <w:left w:val="nil"/>
              <w:bottom w:val="nil"/>
              <w:right w:val="nil"/>
            </w:tcBorders>
          </w:tcPr>
          <w:p w14:paraId="70C390B5"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0.44</w:t>
            </w:r>
          </w:p>
        </w:tc>
        <w:tc>
          <w:tcPr>
            <w:tcW w:w="1276" w:type="dxa"/>
            <w:tcBorders>
              <w:top w:val="nil"/>
              <w:left w:val="nil"/>
              <w:bottom w:val="nil"/>
              <w:right w:val="nil"/>
            </w:tcBorders>
          </w:tcPr>
          <w:p w14:paraId="19935476"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2.3 (0.7)</w:t>
            </w:r>
          </w:p>
        </w:tc>
        <w:tc>
          <w:tcPr>
            <w:tcW w:w="1276" w:type="dxa"/>
            <w:tcBorders>
              <w:top w:val="nil"/>
              <w:left w:val="nil"/>
              <w:bottom w:val="nil"/>
              <w:right w:val="nil"/>
            </w:tcBorders>
          </w:tcPr>
          <w:p w14:paraId="441BEB23"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2.3 (0.8)</w:t>
            </w:r>
          </w:p>
        </w:tc>
        <w:tc>
          <w:tcPr>
            <w:tcW w:w="593" w:type="dxa"/>
            <w:tcBorders>
              <w:top w:val="nil"/>
              <w:left w:val="nil"/>
              <w:bottom w:val="nil"/>
              <w:right w:val="nil"/>
            </w:tcBorders>
          </w:tcPr>
          <w:p w14:paraId="7E18875C"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0.65</w:t>
            </w:r>
          </w:p>
        </w:tc>
      </w:tr>
      <w:tr w:rsidR="00953CEA" w:rsidRPr="00F157A9" w14:paraId="0BE03A40" w14:textId="77777777" w:rsidTr="00A03B54">
        <w:trPr>
          <w:trHeight w:val="251"/>
        </w:trPr>
        <w:tc>
          <w:tcPr>
            <w:tcW w:w="2267" w:type="dxa"/>
            <w:tcBorders>
              <w:top w:val="nil"/>
              <w:left w:val="nil"/>
              <w:bottom w:val="nil"/>
              <w:right w:val="nil"/>
            </w:tcBorders>
          </w:tcPr>
          <w:p w14:paraId="4449885F" w14:textId="77777777" w:rsidR="004A143B" w:rsidRPr="00A03B54" w:rsidRDefault="004A143B" w:rsidP="00A04A32">
            <w:pPr>
              <w:spacing w:line="480" w:lineRule="auto"/>
              <w:rPr>
                <w:rFonts w:asciiTheme="minorHAnsi" w:hAnsiTheme="minorHAnsi" w:cstheme="minorHAnsi"/>
                <w:b/>
                <w:color w:val="000000" w:themeColor="text1"/>
                <w:sz w:val="20"/>
                <w:szCs w:val="20"/>
              </w:rPr>
            </w:pPr>
            <w:r w:rsidRPr="00A03B54">
              <w:rPr>
                <w:rFonts w:asciiTheme="minorHAnsi" w:hAnsiTheme="minorHAnsi" w:cstheme="minorHAnsi"/>
                <w:b/>
                <w:color w:val="000000" w:themeColor="text1"/>
                <w:sz w:val="20"/>
                <w:szCs w:val="20"/>
              </w:rPr>
              <w:t>6MWD, n</w:t>
            </w:r>
          </w:p>
        </w:tc>
        <w:tc>
          <w:tcPr>
            <w:tcW w:w="1275" w:type="dxa"/>
            <w:tcBorders>
              <w:top w:val="nil"/>
              <w:left w:val="nil"/>
              <w:bottom w:val="nil"/>
              <w:right w:val="nil"/>
            </w:tcBorders>
          </w:tcPr>
          <w:p w14:paraId="54017C07"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538</w:t>
            </w:r>
          </w:p>
        </w:tc>
        <w:tc>
          <w:tcPr>
            <w:tcW w:w="1270" w:type="dxa"/>
            <w:tcBorders>
              <w:top w:val="nil"/>
              <w:left w:val="nil"/>
              <w:bottom w:val="nil"/>
              <w:right w:val="nil"/>
            </w:tcBorders>
          </w:tcPr>
          <w:p w14:paraId="57FFF860"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176</w:t>
            </w:r>
          </w:p>
        </w:tc>
        <w:tc>
          <w:tcPr>
            <w:tcW w:w="858" w:type="dxa"/>
            <w:tcBorders>
              <w:top w:val="nil"/>
              <w:left w:val="nil"/>
              <w:bottom w:val="nil"/>
              <w:right w:val="nil"/>
            </w:tcBorders>
          </w:tcPr>
          <w:p w14:paraId="11E860EE" w14:textId="52E5AC91"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1276" w:type="dxa"/>
            <w:tcBorders>
              <w:top w:val="nil"/>
              <w:left w:val="nil"/>
              <w:bottom w:val="nil"/>
              <w:right w:val="nil"/>
            </w:tcBorders>
          </w:tcPr>
          <w:p w14:paraId="1ADB4D13"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625</w:t>
            </w:r>
          </w:p>
        </w:tc>
        <w:tc>
          <w:tcPr>
            <w:tcW w:w="1276" w:type="dxa"/>
            <w:tcBorders>
              <w:top w:val="nil"/>
              <w:left w:val="nil"/>
              <w:bottom w:val="nil"/>
              <w:right w:val="nil"/>
            </w:tcBorders>
          </w:tcPr>
          <w:p w14:paraId="6A2897BC"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142</w:t>
            </w:r>
          </w:p>
        </w:tc>
        <w:tc>
          <w:tcPr>
            <w:tcW w:w="593" w:type="dxa"/>
            <w:tcBorders>
              <w:top w:val="nil"/>
              <w:left w:val="nil"/>
              <w:bottom w:val="nil"/>
              <w:right w:val="nil"/>
            </w:tcBorders>
          </w:tcPr>
          <w:p w14:paraId="3251EC3A" w14:textId="501A0EF1"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r>
      <w:tr w:rsidR="00953CEA" w:rsidRPr="00F157A9" w14:paraId="7131E187" w14:textId="77777777" w:rsidTr="00A03B54">
        <w:trPr>
          <w:trHeight w:val="233"/>
        </w:trPr>
        <w:tc>
          <w:tcPr>
            <w:tcW w:w="2267" w:type="dxa"/>
            <w:tcBorders>
              <w:top w:val="nil"/>
              <w:left w:val="nil"/>
              <w:bottom w:val="nil"/>
              <w:right w:val="nil"/>
            </w:tcBorders>
          </w:tcPr>
          <w:p w14:paraId="3427602C" w14:textId="77777777" w:rsidR="004A143B" w:rsidRPr="00A03B54" w:rsidRDefault="004A143B" w:rsidP="00A04A32">
            <w:pPr>
              <w:spacing w:line="480" w:lineRule="auto"/>
              <w:rPr>
                <w:rFonts w:asciiTheme="minorHAnsi" w:hAnsiTheme="minorHAnsi" w:cstheme="minorHAnsi"/>
                <w:color w:val="000000" w:themeColor="text1"/>
                <w:sz w:val="20"/>
                <w:szCs w:val="20"/>
              </w:rPr>
            </w:pPr>
            <w:r w:rsidRPr="00A03B54">
              <w:rPr>
                <w:rFonts w:asciiTheme="minorHAnsi" w:hAnsiTheme="minorHAnsi" w:cstheme="minorHAnsi"/>
                <w:b/>
                <w:color w:val="000000" w:themeColor="text1"/>
                <w:sz w:val="20"/>
                <w:szCs w:val="20"/>
              </w:rPr>
              <w:t xml:space="preserve">  </w:t>
            </w:r>
            <w:r w:rsidRPr="00A03B54">
              <w:rPr>
                <w:rFonts w:asciiTheme="minorHAnsi" w:hAnsiTheme="minorHAnsi" w:cstheme="minorHAnsi"/>
                <w:color w:val="000000" w:themeColor="text1"/>
                <w:sz w:val="20"/>
                <w:szCs w:val="20"/>
              </w:rPr>
              <w:t>Distance, m</w:t>
            </w:r>
          </w:p>
        </w:tc>
        <w:tc>
          <w:tcPr>
            <w:tcW w:w="1275" w:type="dxa"/>
            <w:tcBorders>
              <w:top w:val="nil"/>
              <w:left w:val="nil"/>
              <w:bottom w:val="nil"/>
              <w:right w:val="nil"/>
            </w:tcBorders>
          </w:tcPr>
          <w:p w14:paraId="65A1574B"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312 (202)</w:t>
            </w:r>
          </w:p>
        </w:tc>
        <w:tc>
          <w:tcPr>
            <w:tcW w:w="1270" w:type="dxa"/>
            <w:tcBorders>
              <w:top w:val="nil"/>
              <w:left w:val="nil"/>
              <w:bottom w:val="nil"/>
              <w:right w:val="nil"/>
            </w:tcBorders>
          </w:tcPr>
          <w:p w14:paraId="799EB3E1"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330 (202)</w:t>
            </w:r>
          </w:p>
        </w:tc>
        <w:tc>
          <w:tcPr>
            <w:tcW w:w="858" w:type="dxa"/>
            <w:tcBorders>
              <w:top w:val="nil"/>
              <w:left w:val="nil"/>
              <w:bottom w:val="nil"/>
              <w:right w:val="nil"/>
            </w:tcBorders>
          </w:tcPr>
          <w:p w14:paraId="5867C48F"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0.64</w:t>
            </w:r>
          </w:p>
        </w:tc>
        <w:tc>
          <w:tcPr>
            <w:tcW w:w="1276" w:type="dxa"/>
            <w:tcBorders>
              <w:top w:val="nil"/>
              <w:left w:val="nil"/>
              <w:bottom w:val="nil"/>
              <w:right w:val="nil"/>
            </w:tcBorders>
          </w:tcPr>
          <w:p w14:paraId="1FEC8BAD"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368 (157)</w:t>
            </w:r>
          </w:p>
        </w:tc>
        <w:tc>
          <w:tcPr>
            <w:tcW w:w="1276" w:type="dxa"/>
            <w:tcBorders>
              <w:top w:val="nil"/>
              <w:left w:val="nil"/>
              <w:bottom w:val="nil"/>
              <w:right w:val="nil"/>
            </w:tcBorders>
          </w:tcPr>
          <w:p w14:paraId="50B72AA3"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384 (166)</w:t>
            </w:r>
          </w:p>
        </w:tc>
        <w:tc>
          <w:tcPr>
            <w:tcW w:w="593" w:type="dxa"/>
            <w:tcBorders>
              <w:top w:val="nil"/>
              <w:left w:val="nil"/>
              <w:bottom w:val="nil"/>
              <w:right w:val="nil"/>
            </w:tcBorders>
          </w:tcPr>
          <w:p w14:paraId="1DEB914C"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0.54</w:t>
            </w:r>
          </w:p>
        </w:tc>
      </w:tr>
      <w:tr w:rsidR="00953CEA" w:rsidRPr="00F157A9" w14:paraId="6062DBB3" w14:textId="77777777" w:rsidTr="00A03B54">
        <w:trPr>
          <w:trHeight w:val="233"/>
        </w:trPr>
        <w:tc>
          <w:tcPr>
            <w:tcW w:w="2267" w:type="dxa"/>
            <w:tcBorders>
              <w:top w:val="nil"/>
              <w:left w:val="nil"/>
              <w:bottom w:val="nil"/>
              <w:right w:val="nil"/>
            </w:tcBorders>
          </w:tcPr>
          <w:p w14:paraId="21A5FED7" w14:textId="77777777" w:rsidR="004A143B" w:rsidRPr="00A03B54" w:rsidRDefault="004A143B" w:rsidP="00A04A32">
            <w:pPr>
              <w:spacing w:line="480" w:lineRule="auto"/>
              <w:rPr>
                <w:rFonts w:asciiTheme="minorHAnsi" w:hAnsiTheme="minorHAnsi" w:cstheme="minorHAnsi"/>
                <w:b/>
                <w:color w:val="000000" w:themeColor="text1"/>
                <w:sz w:val="20"/>
                <w:szCs w:val="20"/>
              </w:rPr>
            </w:pPr>
            <w:r w:rsidRPr="00A03B54">
              <w:rPr>
                <w:rFonts w:asciiTheme="minorHAnsi" w:hAnsiTheme="minorHAnsi" w:cstheme="minorHAnsi"/>
                <w:b/>
                <w:color w:val="000000" w:themeColor="text1"/>
                <w:sz w:val="20"/>
                <w:szCs w:val="20"/>
              </w:rPr>
              <w:t>CAMPHOR scale score, n</w:t>
            </w:r>
          </w:p>
        </w:tc>
        <w:tc>
          <w:tcPr>
            <w:tcW w:w="1275" w:type="dxa"/>
            <w:tcBorders>
              <w:top w:val="nil"/>
              <w:left w:val="nil"/>
              <w:bottom w:val="nil"/>
              <w:right w:val="nil"/>
            </w:tcBorders>
          </w:tcPr>
          <w:p w14:paraId="782E4F40"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764</w:t>
            </w:r>
          </w:p>
        </w:tc>
        <w:tc>
          <w:tcPr>
            <w:tcW w:w="1270" w:type="dxa"/>
            <w:tcBorders>
              <w:top w:val="nil"/>
              <w:left w:val="nil"/>
              <w:bottom w:val="nil"/>
              <w:right w:val="nil"/>
            </w:tcBorders>
          </w:tcPr>
          <w:p w14:paraId="23A33F97"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183</w:t>
            </w:r>
          </w:p>
        </w:tc>
        <w:tc>
          <w:tcPr>
            <w:tcW w:w="858" w:type="dxa"/>
            <w:tcBorders>
              <w:top w:val="nil"/>
              <w:left w:val="nil"/>
              <w:bottom w:val="nil"/>
              <w:right w:val="nil"/>
            </w:tcBorders>
          </w:tcPr>
          <w:p w14:paraId="48CB48B7" w14:textId="533248CF"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c>
          <w:tcPr>
            <w:tcW w:w="1276" w:type="dxa"/>
            <w:tcBorders>
              <w:top w:val="nil"/>
              <w:left w:val="nil"/>
              <w:bottom w:val="nil"/>
              <w:right w:val="nil"/>
            </w:tcBorders>
          </w:tcPr>
          <w:p w14:paraId="39B16B8C"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610</w:t>
            </w:r>
          </w:p>
        </w:tc>
        <w:tc>
          <w:tcPr>
            <w:tcW w:w="1276" w:type="dxa"/>
            <w:tcBorders>
              <w:top w:val="nil"/>
              <w:left w:val="nil"/>
              <w:bottom w:val="nil"/>
              <w:right w:val="nil"/>
            </w:tcBorders>
          </w:tcPr>
          <w:p w14:paraId="6677B63E" w14:textId="77777777" w:rsidR="004A143B" w:rsidRPr="00F157A9" w:rsidRDefault="004A143B"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165</w:t>
            </w:r>
          </w:p>
        </w:tc>
        <w:tc>
          <w:tcPr>
            <w:tcW w:w="593" w:type="dxa"/>
            <w:tcBorders>
              <w:top w:val="nil"/>
              <w:left w:val="nil"/>
              <w:bottom w:val="nil"/>
              <w:right w:val="nil"/>
            </w:tcBorders>
          </w:tcPr>
          <w:p w14:paraId="1997674E" w14:textId="12BC0C58" w:rsidR="004A143B" w:rsidRPr="00F157A9" w:rsidRDefault="00953CEA" w:rsidP="00A04A32">
            <w:pPr>
              <w:spacing w:line="480" w:lineRule="auto"/>
              <w:jc w:val="center"/>
              <w:rPr>
                <w:rFonts w:asciiTheme="minorHAnsi" w:hAnsiTheme="minorHAnsi" w:cstheme="minorHAnsi"/>
                <w:color w:val="000000" w:themeColor="text1"/>
                <w:sz w:val="20"/>
                <w:szCs w:val="20"/>
              </w:rPr>
            </w:pPr>
            <w:r w:rsidRPr="00F157A9">
              <w:rPr>
                <w:rFonts w:asciiTheme="minorHAnsi" w:hAnsiTheme="minorHAnsi" w:cstheme="minorHAnsi"/>
                <w:color w:val="000000" w:themeColor="text1"/>
                <w:sz w:val="20"/>
                <w:szCs w:val="20"/>
              </w:rPr>
              <w:t>-</w:t>
            </w:r>
          </w:p>
        </w:tc>
      </w:tr>
      <w:tr w:rsidR="004A143B" w:rsidRPr="00A03B54" w14:paraId="5F68BA76" w14:textId="77777777" w:rsidTr="00A03B54">
        <w:trPr>
          <w:trHeight w:val="233"/>
        </w:trPr>
        <w:tc>
          <w:tcPr>
            <w:tcW w:w="2267" w:type="dxa"/>
            <w:tcBorders>
              <w:top w:val="nil"/>
              <w:left w:val="nil"/>
              <w:bottom w:val="nil"/>
              <w:right w:val="nil"/>
            </w:tcBorders>
          </w:tcPr>
          <w:p w14:paraId="4B933CFD" w14:textId="77777777" w:rsidR="004A143B" w:rsidRPr="00A03B54" w:rsidRDefault="004A143B" w:rsidP="00A04A32">
            <w:pPr>
              <w:spacing w:line="480" w:lineRule="auto"/>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 xml:space="preserve">   Activity</w:t>
            </w:r>
          </w:p>
        </w:tc>
        <w:tc>
          <w:tcPr>
            <w:tcW w:w="1275" w:type="dxa"/>
            <w:tcBorders>
              <w:top w:val="nil"/>
              <w:left w:val="nil"/>
              <w:bottom w:val="nil"/>
              <w:right w:val="nil"/>
            </w:tcBorders>
          </w:tcPr>
          <w:p w14:paraId="6A97A361"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11 (11)</w:t>
            </w:r>
          </w:p>
        </w:tc>
        <w:tc>
          <w:tcPr>
            <w:tcW w:w="1270" w:type="dxa"/>
            <w:tcBorders>
              <w:top w:val="nil"/>
              <w:left w:val="nil"/>
              <w:bottom w:val="nil"/>
              <w:right w:val="nil"/>
            </w:tcBorders>
          </w:tcPr>
          <w:p w14:paraId="5663A88A"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11 (11)</w:t>
            </w:r>
          </w:p>
        </w:tc>
        <w:tc>
          <w:tcPr>
            <w:tcW w:w="858" w:type="dxa"/>
            <w:tcBorders>
              <w:top w:val="nil"/>
              <w:left w:val="nil"/>
              <w:bottom w:val="nil"/>
              <w:right w:val="nil"/>
            </w:tcBorders>
          </w:tcPr>
          <w:p w14:paraId="484589FA"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0.77</w:t>
            </w:r>
          </w:p>
        </w:tc>
        <w:tc>
          <w:tcPr>
            <w:tcW w:w="1276" w:type="dxa"/>
            <w:tcBorders>
              <w:top w:val="nil"/>
              <w:left w:val="nil"/>
              <w:bottom w:val="nil"/>
              <w:right w:val="nil"/>
            </w:tcBorders>
          </w:tcPr>
          <w:p w14:paraId="2ECB1F7A"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6 (10)</w:t>
            </w:r>
          </w:p>
        </w:tc>
        <w:tc>
          <w:tcPr>
            <w:tcW w:w="1276" w:type="dxa"/>
            <w:tcBorders>
              <w:top w:val="nil"/>
              <w:left w:val="nil"/>
              <w:bottom w:val="nil"/>
              <w:right w:val="nil"/>
            </w:tcBorders>
          </w:tcPr>
          <w:p w14:paraId="41835520"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5 (9)</w:t>
            </w:r>
          </w:p>
        </w:tc>
        <w:tc>
          <w:tcPr>
            <w:tcW w:w="593" w:type="dxa"/>
            <w:tcBorders>
              <w:top w:val="nil"/>
              <w:left w:val="nil"/>
              <w:bottom w:val="nil"/>
              <w:right w:val="nil"/>
            </w:tcBorders>
          </w:tcPr>
          <w:p w14:paraId="6665833D"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0.56</w:t>
            </w:r>
          </w:p>
        </w:tc>
      </w:tr>
      <w:tr w:rsidR="004A143B" w:rsidRPr="00A03B54" w14:paraId="493B636D" w14:textId="77777777" w:rsidTr="00A03B54">
        <w:trPr>
          <w:trHeight w:val="233"/>
        </w:trPr>
        <w:tc>
          <w:tcPr>
            <w:tcW w:w="2267" w:type="dxa"/>
            <w:tcBorders>
              <w:top w:val="nil"/>
              <w:left w:val="nil"/>
              <w:bottom w:val="nil"/>
              <w:right w:val="nil"/>
            </w:tcBorders>
          </w:tcPr>
          <w:p w14:paraId="4FC63202" w14:textId="77777777" w:rsidR="004A143B" w:rsidRPr="00A03B54" w:rsidRDefault="004A143B" w:rsidP="00A04A32">
            <w:pPr>
              <w:spacing w:line="480" w:lineRule="auto"/>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 xml:space="preserve">   Symptoms</w:t>
            </w:r>
          </w:p>
        </w:tc>
        <w:tc>
          <w:tcPr>
            <w:tcW w:w="1275" w:type="dxa"/>
            <w:tcBorders>
              <w:top w:val="nil"/>
              <w:left w:val="nil"/>
              <w:bottom w:val="nil"/>
              <w:right w:val="nil"/>
            </w:tcBorders>
          </w:tcPr>
          <w:p w14:paraId="01795B36"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12 (12)</w:t>
            </w:r>
          </w:p>
        </w:tc>
        <w:tc>
          <w:tcPr>
            <w:tcW w:w="1270" w:type="dxa"/>
            <w:tcBorders>
              <w:top w:val="nil"/>
              <w:left w:val="nil"/>
              <w:bottom w:val="nil"/>
              <w:right w:val="nil"/>
            </w:tcBorders>
          </w:tcPr>
          <w:p w14:paraId="27ACC9FC"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13 (13)</w:t>
            </w:r>
          </w:p>
        </w:tc>
        <w:tc>
          <w:tcPr>
            <w:tcW w:w="858" w:type="dxa"/>
            <w:tcBorders>
              <w:top w:val="nil"/>
              <w:left w:val="nil"/>
              <w:bottom w:val="nil"/>
              <w:right w:val="nil"/>
            </w:tcBorders>
          </w:tcPr>
          <w:p w14:paraId="2ACD9833"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0.64</w:t>
            </w:r>
          </w:p>
        </w:tc>
        <w:tc>
          <w:tcPr>
            <w:tcW w:w="1276" w:type="dxa"/>
            <w:tcBorders>
              <w:top w:val="nil"/>
              <w:left w:val="nil"/>
              <w:bottom w:val="nil"/>
              <w:right w:val="nil"/>
            </w:tcBorders>
          </w:tcPr>
          <w:p w14:paraId="2C549EBA"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4 (9)</w:t>
            </w:r>
          </w:p>
        </w:tc>
        <w:tc>
          <w:tcPr>
            <w:tcW w:w="1276" w:type="dxa"/>
            <w:tcBorders>
              <w:top w:val="nil"/>
              <w:left w:val="nil"/>
              <w:bottom w:val="nil"/>
              <w:right w:val="nil"/>
            </w:tcBorders>
          </w:tcPr>
          <w:p w14:paraId="455A1E9F"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3 (8)</w:t>
            </w:r>
          </w:p>
        </w:tc>
        <w:tc>
          <w:tcPr>
            <w:tcW w:w="593" w:type="dxa"/>
            <w:tcBorders>
              <w:top w:val="nil"/>
              <w:left w:val="nil"/>
              <w:bottom w:val="nil"/>
              <w:right w:val="nil"/>
            </w:tcBorders>
          </w:tcPr>
          <w:p w14:paraId="2D55A22D"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0.54</w:t>
            </w:r>
          </w:p>
        </w:tc>
      </w:tr>
      <w:tr w:rsidR="004A143B" w:rsidRPr="00A03B54" w14:paraId="6E9A15CE" w14:textId="77777777" w:rsidTr="00DD1C83">
        <w:trPr>
          <w:trHeight w:val="233"/>
        </w:trPr>
        <w:tc>
          <w:tcPr>
            <w:tcW w:w="2267" w:type="dxa"/>
            <w:tcBorders>
              <w:top w:val="nil"/>
              <w:left w:val="nil"/>
              <w:bottom w:val="single" w:sz="4" w:space="0" w:color="000000" w:themeColor="text1"/>
              <w:right w:val="nil"/>
            </w:tcBorders>
          </w:tcPr>
          <w:p w14:paraId="06622697" w14:textId="77777777" w:rsidR="004A143B" w:rsidRPr="00A03B54" w:rsidRDefault="004A143B" w:rsidP="00A04A32">
            <w:pPr>
              <w:spacing w:line="480" w:lineRule="auto"/>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 xml:space="preserve">   Quality of Life </w:t>
            </w:r>
          </w:p>
        </w:tc>
        <w:tc>
          <w:tcPr>
            <w:tcW w:w="1275" w:type="dxa"/>
            <w:tcBorders>
              <w:top w:val="nil"/>
              <w:left w:val="nil"/>
              <w:bottom w:val="single" w:sz="4" w:space="0" w:color="000000" w:themeColor="text1"/>
              <w:right w:val="nil"/>
            </w:tcBorders>
          </w:tcPr>
          <w:p w14:paraId="7E6F2819"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10 (10)</w:t>
            </w:r>
          </w:p>
        </w:tc>
        <w:tc>
          <w:tcPr>
            <w:tcW w:w="1270" w:type="dxa"/>
            <w:tcBorders>
              <w:top w:val="nil"/>
              <w:left w:val="nil"/>
              <w:bottom w:val="single" w:sz="4" w:space="0" w:color="000000" w:themeColor="text1"/>
              <w:right w:val="nil"/>
            </w:tcBorders>
          </w:tcPr>
          <w:p w14:paraId="09623E99"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12 (10)</w:t>
            </w:r>
          </w:p>
        </w:tc>
        <w:tc>
          <w:tcPr>
            <w:tcW w:w="858" w:type="dxa"/>
            <w:tcBorders>
              <w:top w:val="nil"/>
              <w:left w:val="nil"/>
              <w:bottom w:val="single" w:sz="4" w:space="0" w:color="000000" w:themeColor="text1"/>
              <w:right w:val="nil"/>
            </w:tcBorders>
          </w:tcPr>
          <w:p w14:paraId="19081C45"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0.44</w:t>
            </w:r>
          </w:p>
        </w:tc>
        <w:tc>
          <w:tcPr>
            <w:tcW w:w="1276" w:type="dxa"/>
            <w:tcBorders>
              <w:top w:val="nil"/>
              <w:left w:val="nil"/>
              <w:bottom w:val="single" w:sz="4" w:space="0" w:color="000000" w:themeColor="text1"/>
              <w:right w:val="nil"/>
            </w:tcBorders>
          </w:tcPr>
          <w:p w14:paraId="67314EBE" w14:textId="77777777" w:rsidR="004A143B" w:rsidRPr="00A03B54" w:rsidRDefault="004A143B" w:rsidP="00A04A32">
            <w:pPr>
              <w:spacing w:line="480" w:lineRule="auto"/>
              <w:jc w:val="center"/>
              <w:rPr>
                <w:rFonts w:asciiTheme="minorHAnsi" w:hAnsiTheme="minorHAnsi" w:cstheme="minorHAnsi"/>
                <w:color w:val="000000" w:themeColor="text1"/>
                <w:sz w:val="20"/>
                <w:szCs w:val="20"/>
              </w:rPr>
            </w:pPr>
            <w:r w:rsidRPr="00A03B54">
              <w:rPr>
                <w:rFonts w:asciiTheme="minorHAnsi" w:hAnsiTheme="minorHAnsi" w:cstheme="minorHAnsi"/>
                <w:color w:val="000000" w:themeColor="text1"/>
                <w:sz w:val="20"/>
                <w:szCs w:val="20"/>
              </w:rPr>
              <w:t>4 (10)</w:t>
            </w:r>
          </w:p>
        </w:tc>
        <w:tc>
          <w:tcPr>
            <w:tcW w:w="1276" w:type="dxa"/>
            <w:tcBorders>
              <w:top w:val="nil"/>
              <w:left w:val="nil"/>
              <w:bottom w:val="single" w:sz="4" w:space="0" w:color="000000" w:themeColor="text1"/>
              <w:right w:val="nil"/>
            </w:tcBorders>
          </w:tcPr>
          <w:p w14:paraId="69A6BA65" w14:textId="77777777" w:rsidR="004A143B" w:rsidRPr="00A03B54" w:rsidRDefault="004A143B" w:rsidP="00A04A32">
            <w:pPr>
              <w:spacing w:line="480" w:lineRule="auto"/>
              <w:jc w:val="center"/>
              <w:rPr>
                <w:rFonts w:asciiTheme="minorHAnsi" w:hAnsiTheme="minorHAnsi" w:cstheme="minorHAnsi"/>
                <w:color w:val="FF0000"/>
                <w:sz w:val="20"/>
                <w:szCs w:val="20"/>
              </w:rPr>
            </w:pPr>
            <w:r w:rsidRPr="00A03B54">
              <w:rPr>
                <w:rFonts w:asciiTheme="minorHAnsi" w:hAnsiTheme="minorHAnsi" w:cstheme="minorHAnsi"/>
                <w:color w:val="000000" w:themeColor="text1"/>
                <w:sz w:val="20"/>
                <w:szCs w:val="20"/>
              </w:rPr>
              <w:t>3 (10)</w:t>
            </w:r>
          </w:p>
        </w:tc>
        <w:tc>
          <w:tcPr>
            <w:tcW w:w="593" w:type="dxa"/>
            <w:tcBorders>
              <w:top w:val="nil"/>
              <w:left w:val="nil"/>
              <w:bottom w:val="single" w:sz="4" w:space="0" w:color="000000" w:themeColor="text1"/>
              <w:right w:val="nil"/>
            </w:tcBorders>
          </w:tcPr>
          <w:p w14:paraId="3C4999B2" w14:textId="77777777" w:rsidR="004A143B" w:rsidRPr="00A03B54" w:rsidRDefault="004A143B" w:rsidP="00A04A32">
            <w:pPr>
              <w:spacing w:line="480" w:lineRule="auto"/>
              <w:jc w:val="center"/>
              <w:rPr>
                <w:rFonts w:asciiTheme="minorHAnsi" w:hAnsiTheme="minorHAnsi" w:cstheme="minorHAnsi"/>
                <w:color w:val="FF0000"/>
                <w:sz w:val="20"/>
                <w:szCs w:val="20"/>
              </w:rPr>
            </w:pPr>
            <w:r w:rsidRPr="00A03B54">
              <w:rPr>
                <w:rFonts w:asciiTheme="minorHAnsi" w:hAnsiTheme="minorHAnsi" w:cstheme="minorHAnsi"/>
                <w:color w:val="000000" w:themeColor="text1"/>
                <w:sz w:val="20"/>
                <w:szCs w:val="20"/>
              </w:rPr>
              <w:t>0.71</w:t>
            </w:r>
          </w:p>
        </w:tc>
      </w:tr>
      <w:tr w:rsidR="004A143B" w:rsidRPr="00A04A32" w14:paraId="215D7D74" w14:textId="77777777" w:rsidTr="00DD1C83">
        <w:trPr>
          <w:trHeight w:val="233"/>
        </w:trPr>
        <w:tc>
          <w:tcPr>
            <w:tcW w:w="8815" w:type="dxa"/>
            <w:gridSpan w:val="7"/>
            <w:tcBorders>
              <w:left w:val="nil"/>
              <w:right w:val="nil"/>
            </w:tcBorders>
          </w:tcPr>
          <w:p w14:paraId="28437F5E" w14:textId="12B780E8" w:rsidR="004A143B" w:rsidRPr="00A04A32" w:rsidRDefault="004A143B" w:rsidP="00A04A32">
            <w:pPr>
              <w:spacing w:line="480" w:lineRule="auto"/>
              <w:outlineLvl w:val="0"/>
              <w:rPr>
                <w:rFonts w:asciiTheme="minorHAnsi" w:hAnsiTheme="minorHAnsi" w:cstheme="minorHAnsi"/>
                <w:b/>
                <w:color w:val="000000" w:themeColor="text1"/>
              </w:rPr>
            </w:pPr>
            <w:r w:rsidRPr="00A04A32">
              <w:rPr>
                <w:rFonts w:asciiTheme="minorHAnsi" w:hAnsiTheme="minorHAnsi" w:cstheme="minorHAnsi"/>
                <w:b/>
                <w:color w:val="000000" w:themeColor="text1"/>
              </w:rPr>
              <w:t>Table 2 Anticoagulation group</w:t>
            </w:r>
            <w:r w:rsidR="00DD1C83">
              <w:rPr>
                <w:rFonts w:asciiTheme="minorHAnsi" w:hAnsiTheme="minorHAnsi" w:cstheme="minorHAnsi"/>
                <w:b/>
                <w:color w:val="000000" w:themeColor="text1"/>
              </w:rPr>
              <w:t>s:</w:t>
            </w:r>
            <w:r w:rsidRPr="00A04A32">
              <w:rPr>
                <w:rFonts w:asciiTheme="minorHAnsi" w:hAnsiTheme="minorHAnsi" w:cstheme="minorHAnsi"/>
                <w:b/>
                <w:color w:val="000000" w:themeColor="text1"/>
              </w:rPr>
              <w:t xml:space="preserve"> </w:t>
            </w:r>
            <w:r w:rsidR="00DD1C83" w:rsidRPr="00A04A32">
              <w:rPr>
                <w:rFonts w:asciiTheme="minorHAnsi" w:hAnsiTheme="minorHAnsi" w:cstheme="minorHAnsi"/>
                <w:b/>
              </w:rPr>
              <w:t>baseline and postoperative patient characteristics</w:t>
            </w:r>
          </w:p>
          <w:p w14:paraId="4079F29E" w14:textId="0F27C912" w:rsidR="004A143B" w:rsidRPr="00A04A32" w:rsidRDefault="004A143B" w:rsidP="00A04A32">
            <w:pPr>
              <w:spacing w:line="480" w:lineRule="auto"/>
              <w:jc w:val="both"/>
              <w:rPr>
                <w:rFonts w:asciiTheme="minorHAnsi" w:hAnsiTheme="minorHAnsi" w:cstheme="minorHAnsi"/>
                <w:b/>
                <w:color w:val="000000" w:themeColor="text1"/>
              </w:rPr>
            </w:pPr>
            <w:r w:rsidRPr="00A04A32">
              <w:rPr>
                <w:rFonts w:asciiTheme="minorHAnsi" w:hAnsiTheme="minorHAnsi" w:cstheme="minorHAnsi"/>
                <w:color w:val="000000" w:themeColor="text1"/>
              </w:rPr>
              <w:t xml:space="preserve">Postoperative results from first follow-up within one-year of PEA. Values are median (IQR) unless otherwise indicated. </w:t>
            </w:r>
            <w:r w:rsidR="00DD1C83">
              <w:rPr>
                <w:rFonts w:asciiTheme="minorHAnsi" w:hAnsiTheme="minorHAnsi" w:cstheme="minorHAnsi"/>
                <w:color w:val="000000" w:themeColor="text1"/>
              </w:rPr>
              <w:t xml:space="preserve">P values reported have been adjusted for multiple </w:t>
            </w:r>
            <w:r w:rsidR="00DD1C83">
              <w:rPr>
                <w:rFonts w:asciiTheme="minorHAnsi" w:hAnsiTheme="minorHAnsi" w:cstheme="minorHAnsi"/>
                <w:color w:val="000000" w:themeColor="text1"/>
              </w:rPr>
              <w:lastRenderedPageBreak/>
              <w:t xml:space="preserve">comparisons by false discovery rate. </w:t>
            </w:r>
            <w:r w:rsidRPr="00A04A32">
              <w:rPr>
                <w:rFonts w:asciiTheme="minorHAnsi" w:hAnsiTheme="minorHAnsi" w:cstheme="minorHAnsi"/>
                <w:color w:val="000000" w:themeColor="text1"/>
              </w:rPr>
              <w:t>Pe</w:t>
            </w:r>
            <w:r w:rsidR="00DD1C83">
              <w:rPr>
                <w:rFonts w:asciiTheme="minorHAnsi" w:hAnsiTheme="minorHAnsi" w:cstheme="minorHAnsi"/>
                <w:color w:val="000000" w:themeColor="text1"/>
              </w:rPr>
              <w:t>r</w:t>
            </w:r>
            <w:r w:rsidRPr="00A04A32">
              <w:rPr>
                <w:rFonts w:asciiTheme="minorHAnsi" w:hAnsiTheme="minorHAnsi" w:cstheme="minorHAnsi"/>
                <w:color w:val="000000" w:themeColor="text1"/>
              </w:rPr>
              <w:t>centages may not add to 100 due to rounding. VKA indicates Vitamin K Antagonist (Baseline: Warfarin 801, Acenocoumarol 6, Phenindione 1</w:t>
            </w:r>
            <w:r w:rsidRPr="00A04A32">
              <w:rPr>
                <w:rFonts w:asciiTheme="minorHAnsi" w:hAnsiTheme="minorHAnsi" w:cstheme="minorHAnsi"/>
                <w:color w:val="FF0000"/>
              </w:rPr>
              <w:t xml:space="preserve">, </w:t>
            </w:r>
            <w:r w:rsidRPr="00A04A32">
              <w:rPr>
                <w:rFonts w:asciiTheme="minorHAnsi" w:hAnsiTheme="minorHAnsi" w:cstheme="minorHAnsi"/>
                <w:color w:val="000000" w:themeColor="text1"/>
              </w:rPr>
              <w:t>Post-PEA: Warfarin, 787; Acenocoumarol, 5; Phenindione, 1; Warfarin + Fondaparinux,1)</w:t>
            </w:r>
            <w:r w:rsidRPr="00A04A32">
              <w:rPr>
                <w:rFonts w:asciiTheme="minorHAnsi" w:hAnsiTheme="minorHAnsi" w:cstheme="minorHAnsi"/>
                <w:b/>
                <w:color w:val="000000" w:themeColor="text1"/>
              </w:rPr>
              <w:t xml:space="preserve"> </w:t>
            </w:r>
            <w:r w:rsidRPr="00A04A32">
              <w:rPr>
                <w:rFonts w:asciiTheme="minorHAnsi" w:hAnsiTheme="minorHAnsi" w:cstheme="minorHAnsi"/>
                <w:color w:val="000000" w:themeColor="text1"/>
              </w:rPr>
              <w:t>and DOAC, Direct Oral Anticoagulant (Baseline: Rivaroxaban,155; Apixaban, 38; Dabigatran, 8; Edoxaban, 2; Apixaban &amp; Dabigatran,1</w:t>
            </w:r>
            <w:r w:rsidRPr="00A04A32">
              <w:rPr>
                <w:rFonts w:asciiTheme="minorHAnsi" w:hAnsiTheme="minorHAnsi" w:cstheme="minorHAnsi"/>
                <w:b/>
                <w:color w:val="000000" w:themeColor="text1"/>
              </w:rPr>
              <w:t>.</w:t>
            </w:r>
            <w:r w:rsidRPr="00A04A32">
              <w:rPr>
                <w:rFonts w:asciiTheme="minorHAnsi" w:hAnsiTheme="minorHAnsi" w:cstheme="minorHAnsi"/>
                <w:b/>
                <w:color w:val="FF0000"/>
              </w:rPr>
              <w:t xml:space="preserve"> </w:t>
            </w:r>
            <w:r w:rsidRPr="00A04A32">
              <w:rPr>
                <w:rFonts w:asciiTheme="minorHAnsi" w:hAnsiTheme="minorHAnsi" w:cstheme="minorHAnsi"/>
                <w:color w:val="000000" w:themeColor="text1"/>
              </w:rPr>
              <w:t>Post-PEA: Rivaroxaban ,158; Apixaban, 35; Dabigatran 10; Edoxaban, 2; Apixaban + Dabigatran, 1). BMI indicates Body Mass index; APS, Antiphospholipid Syndrome; NYHA, New York Heart Association functional class; PAP, pulmonary artery pressure; PVR, pulmonary vascular resistance; P</w:t>
            </w:r>
            <w:r w:rsidRPr="00A04A32">
              <w:rPr>
                <w:rFonts w:asciiTheme="minorHAnsi" w:hAnsiTheme="minorHAnsi" w:cstheme="minorHAnsi"/>
                <w:i/>
                <w:color w:val="000000" w:themeColor="text1"/>
                <w:vertAlign w:val="subscript"/>
              </w:rPr>
              <w:t>awp</w:t>
            </w:r>
            <w:r w:rsidRPr="00A04A32">
              <w:rPr>
                <w:rFonts w:asciiTheme="minorHAnsi" w:hAnsiTheme="minorHAnsi" w:cstheme="minorHAnsi"/>
                <w:color w:val="000000" w:themeColor="text1"/>
              </w:rPr>
              <w:t xml:space="preserve">, pulmonary arterial wedge pressure; CI, Cardiac Index; 6MWD, six-minute walk distance and CAMPHOR QoL, Cambridge Pulmonary Hypertension Outcome Review </w:t>
            </w:r>
            <w:r w:rsidR="00DD1C83">
              <w:rPr>
                <w:rFonts w:asciiTheme="minorHAnsi" w:hAnsiTheme="minorHAnsi" w:cstheme="minorHAnsi"/>
                <w:color w:val="000000" w:themeColor="text1"/>
              </w:rPr>
              <w:t>Questionnaire.</w:t>
            </w:r>
            <w:r w:rsidRPr="00A04A32">
              <w:rPr>
                <w:rFonts w:asciiTheme="minorHAnsi" w:hAnsiTheme="minorHAnsi" w:cstheme="minorHAnsi"/>
                <w:color w:val="000000" w:themeColor="text1"/>
              </w:rPr>
              <w:t xml:space="preserve">  </w:t>
            </w:r>
          </w:p>
        </w:tc>
      </w:tr>
    </w:tbl>
    <w:p w14:paraId="1529A845" w14:textId="04597FA0" w:rsidR="004A143B" w:rsidRDefault="004A143B"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7881C68F" w14:textId="25AB46F3" w:rsidR="00DD1C83" w:rsidRDefault="00DD1C83"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36CD9A71" w14:textId="08AAA371" w:rsidR="00DD1C83" w:rsidRDefault="00DD1C83"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154CD6FB" w14:textId="3FE0261D" w:rsidR="00DD1C83" w:rsidRDefault="00DD1C83"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1522F297" w14:textId="78C14C57" w:rsidR="00DD1C83" w:rsidRDefault="00DD1C83"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2A9A9C5E" w14:textId="086D983F" w:rsidR="00DD1C83" w:rsidRDefault="00DD1C83"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6F76510C" w14:textId="291020FD" w:rsidR="00DD1C83" w:rsidRDefault="00DD1C83"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6ACE457A" w14:textId="064C42AC" w:rsidR="00DD1C83" w:rsidRDefault="00DD1C83"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36A682F2" w14:textId="2CFA5C2D" w:rsidR="00DD1C83" w:rsidRDefault="00DD1C83"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1BAEF128" w14:textId="216657F6" w:rsidR="00DD1C83" w:rsidRDefault="00DD1C83"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6E493655" w14:textId="09B63D0A" w:rsidR="00DD1C83" w:rsidRDefault="00DD1C83"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2F505A50" w14:textId="40F39816" w:rsidR="00DD1C83" w:rsidRDefault="00DD1C83"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5C1E6C71" w14:textId="16330CD6" w:rsidR="00DD1C83" w:rsidRDefault="00DD1C83" w:rsidP="00A04A32">
      <w:pPr>
        <w:widowControl w:val="0"/>
        <w:autoSpaceDE w:val="0"/>
        <w:autoSpaceDN w:val="0"/>
        <w:adjustRightInd w:val="0"/>
        <w:spacing w:line="480" w:lineRule="auto"/>
        <w:ind w:left="640" w:hanging="640"/>
        <w:rPr>
          <w:rFonts w:asciiTheme="minorHAnsi" w:hAnsiTheme="minorHAnsi" w:cstheme="minorHAnsi"/>
          <w:b/>
          <w:sz w:val="22"/>
          <w:szCs w:val="22"/>
        </w:rPr>
      </w:pPr>
    </w:p>
    <w:p w14:paraId="3E379D7C" w14:textId="77777777" w:rsidR="00DD1C83" w:rsidRPr="00A04A32" w:rsidRDefault="00DD1C83" w:rsidP="002A7457">
      <w:pPr>
        <w:widowControl w:val="0"/>
        <w:autoSpaceDE w:val="0"/>
        <w:autoSpaceDN w:val="0"/>
        <w:adjustRightInd w:val="0"/>
        <w:spacing w:line="480" w:lineRule="auto"/>
        <w:rPr>
          <w:rFonts w:asciiTheme="minorHAnsi" w:hAnsiTheme="minorHAnsi" w:cstheme="minorHAnsi"/>
          <w:b/>
          <w:sz w:val="22"/>
          <w:szCs w:val="22"/>
        </w:rPr>
      </w:pPr>
    </w:p>
    <w:tbl>
      <w:tblPr>
        <w:tblStyle w:val="TableGrid"/>
        <w:tblW w:w="0" w:type="auto"/>
        <w:tblLayout w:type="fixed"/>
        <w:tblLook w:val="04A0" w:firstRow="1" w:lastRow="0" w:firstColumn="1" w:lastColumn="0" w:noHBand="0" w:noVBand="1"/>
      </w:tblPr>
      <w:tblGrid>
        <w:gridCol w:w="4248"/>
        <w:gridCol w:w="567"/>
        <w:gridCol w:w="992"/>
        <w:gridCol w:w="709"/>
        <w:gridCol w:w="1388"/>
      </w:tblGrid>
      <w:tr w:rsidR="004A143B" w:rsidRPr="00A04A32" w14:paraId="0B11A48C" w14:textId="77777777" w:rsidTr="00DD1C83">
        <w:tc>
          <w:tcPr>
            <w:tcW w:w="4248" w:type="dxa"/>
            <w:tcBorders>
              <w:left w:val="nil"/>
              <w:bottom w:val="nil"/>
              <w:right w:val="nil"/>
            </w:tcBorders>
            <w:shd w:val="clear" w:color="auto" w:fill="E7E6E6" w:themeFill="background2"/>
          </w:tcPr>
          <w:p w14:paraId="443AFBB2" w14:textId="77777777" w:rsidR="004A143B" w:rsidRPr="00A04A32" w:rsidRDefault="004A143B" w:rsidP="00A04A32">
            <w:pPr>
              <w:spacing w:line="480" w:lineRule="auto"/>
              <w:jc w:val="both"/>
              <w:rPr>
                <w:rFonts w:asciiTheme="minorHAnsi" w:hAnsiTheme="minorHAnsi" w:cstheme="minorHAnsi"/>
                <w:color w:val="000000" w:themeColor="text1"/>
              </w:rPr>
            </w:pPr>
          </w:p>
        </w:tc>
        <w:tc>
          <w:tcPr>
            <w:tcW w:w="1559" w:type="dxa"/>
            <w:gridSpan w:val="2"/>
            <w:tcBorders>
              <w:left w:val="nil"/>
              <w:bottom w:val="nil"/>
              <w:right w:val="nil"/>
            </w:tcBorders>
            <w:shd w:val="clear" w:color="auto" w:fill="E7E6E6" w:themeFill="background2"/>
          </w:tcPr>
          <w:p w14:paraId="25D6C5B1" w14:textId="77777777" w:rsidR="004A143B" w:rsidRPr="00A04A32" w:rsidRDefault="004A143B" w:rsidP="00A04A32">
            <w:pPr>
              <w:spacing w:line="480" w:lineRule="auto"/>
              <w:jc w:val="center"/>
              <w:rPr>
                <w:rFonts w:asciiTheme="minorHAnsi" w:hAnsiTheme="minorHAnsi" w:cstheme="minorHAnsi"/>
                <w:b/>
                <w:color w:val="000000" w:themeColor="text1"/>
              </w:rPr>
            </w:pPr>
            <w:r w:rsidRPr="00A04A32">
              <w:rPr>
                <w:rFonts w:asciiTheme="minorHAnsi" w:hAnsiTheme="minorHAnsi" w:cstheme="minorHAnsi"/>
                <w:b/>
                <w:color w:val="000000" w:themeColor="text1"/>
              </w:rPr>
              <w:t>VKA</w:t>
            </w:r>
          </w:p>
        </w:tc>
        <w:tc>
          <w:tcPr>
            <w:tcW w:w="2097" w:type="dxa"/>
            <w:gridSpan w:val="2"/>
            <w:tcBorders>
              <w:left w:val="nil"/>
              <w:bottom w:val="nil"/>
              <w:right w:val="nil"/>
            </w:tcBorders>
            <w:shd w:val="clear" w:color="auto" w:fill="E7E6E6" w:themeFill="background2"/>
          </w:tcPr>
          <w:p w14:paraId="3B6ACB9A" w14:textId="77777777" w:rsidR="004A143B" w:rsidRPr="00A04A32" w:rsidRDefault="004A143B" w:rsidP="00A04A32">
            <w:pPr>
              <w:spacing w:line="480" w:lineRule="auto"/>
              <w:jc w:val="center"/>
              <w:rPr>
                <w:rFonts w:asciiTheme="minorHAnsi" w:hAnsiTheme="minorHAnsi" w:cstheme="minorHAnsi"/>
                <w:b/>
                <w:color w:val="000000" w:themeColor="text1"/>
              </w:rPr>
            </w:pPr>
            <w:r w:rsidRPr="00A04A32">
              <w:rPr>
                <w:rFonts w:asciiTheme="minorHAnsi" w:hAnsiTheme="minorHAnsi" w:cstheme="minorHAnsi"/>
                <w:b/>
                <w:color w:val="000000" w:themeColor="text1"/>
              </w:rPr>
              <w:t>DOAC</w:t>
            </w:r>
          </w:p>
        </w:tc>
      </w:tr>
      <w:tr w:rsidR="004A143B" w:rsidRPr="00A04A32" w14:paraId="2A72A6E3" w14:textId="77777777" w:rsidTr="00DD1C83">
        <w:trPr>
          <w:trHeight w:val="557"/>
        </w:trPr>
        <w:tc>
          <w:tcPr>
            <w:tcW w:w="4248" w:type="dxa"/>
            <w:tcBorders>
              <w:top w:val="nil"/>
              <w:left w:val="nil"/>
              <w:bottom w:val="single" w:sz="4" w:space="0" w:color="auto"/>
              <w:right w:val="nil"/>
            </w:tcBorders>
            <w:shd w:val="clear" w:color="auto" w:fill="E7E6E6" w:themeFill="background2"/>
          </w:tcPr>
          <w:p w14:paraId="3EE23AEB" w14:textId="77777777" w:rsidR="004A143B" w:rsidRPr="00A04A32" w:rsidRDefault="004A143B" w:rsidP="00A04A32">
            <w:pPr>
              <w:spacing w:line="480" w:lineRule="auto"/>
              <w:jc w:val="both"/>
              <w:rPr>
                <w:rFonts w:asciiTheme="minorHAnsi" w:hAnsiTheme="minorHAnsi" w:cstheme="minorHAnsi"/>
                <w:color w:val="000000" w:themeColor="text1"/>
              </w:rPr>
            </w:pPr>
          </w:p>
        </w:tc>
        <w:tc>
          <w:tcPr>
            <w:tcW w:w="567" w:type="dxa"/>
            <w:tcBorders>
              <w:top w:val="nil"/>
              <w:left w:val="nil"/>
              <w:bottom w:val="single" w:sz="4" w:space="0" w:color="auto"/>
              <w:right w:val="nil"/>
            </w:tcBorders>
            <w:shd w:val="clear" w:color="auto" w:fill="E7E6E6" w:themeFill="background2"/>
          </w:tcPr>
          <w:p w14:paraId="07FB1BB9"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n</w:t>
            </w:r>
          </w:p>
        </w:tc>
        <w:tc>
          <w:tcPr>
            <w:tcW w:w="992" w:type="dxa"/>
            <w:tcBorders>
              <w:top w:val="nil"/>
              <w:left w:val="nil"/>
              <w:bottom w:val="single" w:sz="4" w:space="0" w:color="auto"/>
              <w:right w:val="nil"/>
            </w:tcBorders>
            <w:shd w:val="clear" w:color="auto" w:fill="E7E6E6" w:themeFill="background2"/>
          </w:tcPr>
          <w:p w14:paraId="47632D39"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events</w:t>
            </w:r>
          </w:p>
        </w:tc>
        <w:tc>
          <w:tcPr>
            <w:tcW w:w="709" w:type="dxa"/>
            <w:tcBorders>
              <w:top w:val="nil"/>
              <w:left w:val="nil"/>
              <w:bottom w:val="single" w:sz="4" w:space="0" w:color="auto"/>
              <w:right w:val="nil"/>
            </w:tcBorders>
            <w:shd w:val="clear" w:color="auto" w:fill="E7E6E6" w:themeFill="background2"/>
          </w:tcPr>
          <w:p w14:paraId="42CAB335"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n</w:t>
            </w:r>
          </w:p>
        </w:tc>
        <w:tc>
          <w:tcPr>
            <w:tcW w:w="1388" w:type="dxa"/>
            <w:tcBorders>
              <w:top w:val="nil"/>
              <w:left w:val="nil"/>
              <w:bottom w:val="single" w:sz="4" w:space="0" w:color="auto"/>
              <w:right w:val="nil"/>
            </w:tcBorders>
            <w:shd w:val="clear" w:color="auto" w:fill="E7E6E6" w:themeFill="background2"/>
          </w:tcPr>
          <w:p w14:paraId="7549C760" w14:textId="77777777" w:rsidR="004A143B" w:rsidRPr="00A04A32" w:rsidRDefault="004A143B" w:rsidP="00A04A32">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Events</w:t>
            </w:r>
          </w:p>
        </w:tc>
      </w:tr>
      <w:tr w:rsidR="004A143B" w:rsidRPr="00A04A32" w14:paraId="7F787C46" w14:textId="77777777" w:rsidTr="00DD1C83">
        <w:tc>
          <w:tcPr>
            <w:tcW w:w="4248" w:type="dxa"/>
            <w:tcBorders>
              <w:top w:val="single" w:sz="4" w:space="0" w:color="auto"/>
              <w:left w:val="nil"/>
              <w:bottom w:val="nil"/>
              <w:right w:val="nil"/>
            </w:tcBorders>
          </w:tcPr>
          <w:p w14:paraId="0B79136E" w14:textId="3937662E" w:rsidR="004A143B" w:rsidRPr="00A04A32" w:rsidRDefault="004A143B" w:rsidP="00F157A9">
            <w:pPr>
              <w:spacing w:line="480" w:lineRule="auto"/>
              <w:rPr>
                <w:rFonts w:asciiTheme="minorHAnsi" w:hAnsiTheme="minorHAnsi" w:cstheme="minorHAnsi"/>
                <w:color w:val="000000" w:themeColor="text1"/>
              </w:rPr>
            </w:pPr>
            <w:r w:rsidRPr="00A04A32">
              <w:rPr>
                <w:rFonts w:asciiTheme="minorHAnsi" w:hAnsiTheme="minorHAnsi" w:cstheme="minorHAnsi"/>
                <w:b/>
                <w:color w:val="000000" w:themeColor="text1"/>
              </w:rPr>
              <w:t>Recurrent VTE</w:t>
            </w:r>
          </w:p>
        </w:tc>
        <w:tc>
          <w:tcPr>
            <w:tcW w:w="567" w:type="dxa"/>
            <w:tcBorders>
              <w:top w:val="single" w:sz="4" w:space="0" w:color="auto"/>
              <w:left w:val="nil"/>
              <w:bottom w:val="nil"/>
              <w:right w:val="nil"/>
            </w:tcBorders>
          </w:tcPr>
          <w:p w14:paraId="3EEB28F2" w14:textId="34E314DA" w:rsidR="004A143B" w:rsidRPr="00A04A32" w:rsidRDefault="00F157A9" w:rsidP="00F157A9">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c>
          <w:tcPr>
            <w:tcW w:w="992" w:type="dxa"/>
            <w:tcBorders>
              <w:top w:val="single" w:sz="4" w:space="0" w:color="auto"/>
              <w:left w:val="nil"/>
              <w:bottom w:val="nil"/>
              <w:right w:val="nil"/>
            </w:tcBorders>
          </w:tcPr>
          <w:p w14:paraId="5E8E986A" w14:textId="06A3ADB0" w:rsidR="004A143B" w:rsidRPr="00A04A32" w:rsidRDefault="00F157A9" w:rsidP="00F157A9">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c>
          <w:tcPr>
            <w:tcW w:w="709" w:type="dxa"/>
            <w:tcBorders>
              <w:top w:val="single" w:sz="4" w:space="0" w:color="auto"/>
              <w:left w:val="nil"/>
              <w:bottom w:val="nil"/>
              <w:right w:val="nil"/>
            </w:tcBorders>
          </w:tcPr>
          <w:p w14:paraId="1F7A05CF" w14:textId="504AFF25" w:rsidR="004A143B" w:rsidRPr="00A04A32" w:rsidRDefault="00F157A9" w:rsidP="00F157A9">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c>
          <w:tcPr>
            <w:tcW w:w="1388" w:type="dxa"/>
            <w:tcBorders>
              <w:top w:val="single" w:sz="4" w:space="0" w:color="auto"/>
              <w:left w:val="nil"/>
              <w:bottom w:val="nil"/>
              <w:right w:val="nil"/>
            </w:tcBorders>
          </w:tcPr>
          <w:p w14:paraId="273D8DDF" w14:textId="682B0FD9" w:rsidR="004A143B" w:rsidRPr="00A04A32" w:rsidRDefault="00F157A9" w:rsidP="00F157A9">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r>
      <w:tr w:rsidR="004A143B" w:rsidRPr="00A04A32" w14:paraId="0D0786AA" w14:textId="77777777" w:rsidTr="00DD1C83">
        <w:tc>
          <w:tcPr>
            <w:tcW w:w="4248" w:type="dxa"/>
            <w:tcBorders>
              <w:top w:val="nil"/>
              <w:left w:val="nil"/>
              <w:bottom w:val="nil"/>
              <w:right w:val="nil"/>
            </w:tcBorders>
          </w:tcPr>
          <w:p w14:paraId="4C448895" w14:textId="72C2E51E" w:rsidR="004A143B" w:rsidRPr="00A04A32" w:rsidRDefault="00F157A9" w:rsidP="00F157A9">
            <w:pPr>
              <w:spacing w:line="480" w:lineRule="auto"/>
              <w:rPr>
                <w:rFonts w:asciiTheme="minorHAnsi" w:hAnsiTheme="minorHAnsi" w:cstheme="minorHAnsi"/>
                <w:color w:val="000000" w:themeColor="text1"/>
              </w:rPr>
            </w:pPr>
            <w:r>
              <w:rPr>
                <w:rFonts w:asciiTheme="minorHAnsi" w:hAnsiTheme="minorHAnsi" w:cstheme="minorHAnsi"/>
                <w:color w:val="000000" w:themeColor="text1"/>
              </w:rPr>
              <w:t xml:space="preserve">    </w:t>
            </w:r>
            <w:r w:rsidR="004A143B" w:rsidRPr="00A04A32">
              <w:rPr>
                <w:rFonts w:asciiTheme="minorHAnsi" w:hAnsiTheme="minorHAnsi" w:cstheme="minorHAnsi"/>
                <w:color w:val="000000" w:themeColor="text1"/>
              </w:rPr>
              <w:t>Pulmonary Embolism</w:t>
            </w:r>
          </w:p>
        </w:tc>
        <w:tc>
          <w:tcPr>
            <w:tcW w:w="567" w:type="dxa"/>
            <w:tcBorders>
              <w:top w:val="nil"/>
              <w:left w:val="nil"/>
              <w:bottom w:val="nil"/>
              <w:right w:val="nil"/>
            </w:tcBorders>
          </w:tcPr>
          <w:p w14:paraId="7C389F68"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11</w:t>
            </w:r>
          </w:p>
        </w:tc>
        <w:tc>
          <w:tcPr>
            <w:tcW w:w="992" w:type="dxa"/>
            <w:tcBorders>
              <w:top w:val="nil"/>
              <w:left w:val="nil"/>
              <w:bottom w:val="nil"/>
              <w:right w:val="nil"/>
            </w:tcBorders>
          </w:tcPr>
          <w:p w14:paraId="23484C79"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11</w:t>
            </w:r>
          </w:p>
        </w:tc>
        <w:tc>
          <w:tcPr>
            <w:tcW w:w="709" w:type="dxa"/>
            <w:tcBorders>
              <w:top w:val="nil"/>
              <w:left w:val="nil"/>
              <w:bottom w:val="nil"/>
              <w:right w:val="nil"/>
            </w:tcBorders>
          </w:tcPr>
          <w:p w14:paraId="27AA82D1"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10</w:t>
            </w:r>
          </w:p>
        </w:tc>
        <w:tc>
          <w:tcPr>
            <w:tcW w:w="1388" w:type="dxa"/>
            <w:tcBorders>
              <w:top w:val="nil"/>
              <w:left w:val="nil"/>
              <w:bottom w:val="nil"/>
              <w:right w:val="nil"/>
            </w:tcBorders>
          </w:tcPr>
          <w:p w14:paraId="536962FE"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10</w:t>
            </w:r>
          </w:p>
        </w:tc>
      </w:tr>
      <w:tr w:rsidR="004A143B" w:rsidRPr="00A04A32" w14:paraId="2805549C" w14:textId="77777777" w:rsidTr="00DD1C83">
        <w:trPr>
          <w:trHeight w:val="204"/>
        </w:trPr>
        <w:tc>
          <w:tcPr>
            <w:tcW w:w="4248" w:type="dxa"/>
            <w:tcBorders>
              <w:top w:val="nil"/>
              <w:left w:val="nil"/>
              <w:bottom w:val="nil"/>
              <w:right w:val="nil"/>
            </w:tcBorders>
          </w:tcPr>
          <w:p w14:paraId="74C5D9CF" w14:textId="76EB2B99" w:rsidR="004A143B" w:rsidRPr="00A04A32" w:rsidRDefault="00F157A9" w:rsidP="00F157A9">
            <w:pPr>
              <w:spacing w:line="480" w:lineRule="auto"/>
              <w:rPr>
                <w:rFonts w:asciiTheme="minorHAnsi" w:hAnsiTheme="minorHAnsi" w:cstheme="minorHAnsi"/>
                <w:color w:val="000000" w:themeColor="text1"/>
              </w:rPr>
            </w:pPr>
            <w:r>
              <w:rPr>
                <w:rFonts w:asciiTheme="minorHAnsi" w:hAnsiTheme="minorHAnsi" w:cstheme="minorHAnsi"/>
                <w:color w:val="000000" w:themeColor="text1"/>
              </w:rPr>
              <w:t xml:space="preserve">    </w:t>
            </w:r>
            <w:r w:rsidR="004A143B" w:rsidRPr="00A04A32">
              <w:rPr>
                <w:rFonts w:asciiTheme="minorHAnsi" w:hAnsiTheme="minorHAnsi" w:cstheme="minorHAnsi"/>
                <w:color w:val="000000" w:themeColor="text1"/>
              </w:rPr>
              <w:t>Deep Vein Thrombosis</w:t>
            </w:r>
          </w:p>
        </w:tc>
        <w:tc>
          <w:tcPr>
            <w:tcW w:w="567" w:type="dxa"/>
            <w:tcBorders>
              <w:top w:val="nil"/>
              <w:left w:val="nil"/>
              <w:bottom w:val="nil"/>
              <w:right w:val="nil"/>
            </w:tcBorders>
          </w:tcPr>
          <w:p w14:paraId="6541C0ED"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w:t>
            </w:r>
          </w:p>
        </w:tc>
        <w:tc>
          <w:tcPr>
            <w:tcW w:w="992" w:type="dxa"/>
            <w:tcBorders>
              <w:top w:val="nil"/>
              <w:left w:val="nil"/>
              <w:bottom w:val="nil"/>
              <w:right w:val="nil"/>
            </w:tcBorders>
          </w:tcPr>
          <w:p w14:paraId="26931F23"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w:t>
            </w:r>
          </w:p>
        </w:tc>
        <w:tc>
          <w:tcPr>
            <w:tcW w:w="709" w:type="dxa"/>
            <w:tcBorders>
              <w:top w:val="nil"/>
              <w:left w:val="nil"/>
              <w:bottom w:val="nil"/>
              <w:right w:val="nil"/>
            </w:tcBorders>
          </w:tcPr>
          <w:p w14:paraId="751E4FCA"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1388" w:type="dxa"/>
            <w:tcBorders>
              <w:top w:val="nil"/>
              <w:left w:val="nil"/>
              <w:bottom w:val="nil"/>
              <w:right w:val="nil"/>
            </w:tcBorders>
          </w:tcPr>
          <w:p w14:paraId="26E7DC90"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r>
      <w:tr w:rsidR="004A143B" w:rsidRPr="00A04A32" w14:paraId="472E0A91" w14:textId="77777777" w:rsidTr="00DD1C83">
        <w:tc>
          <w:tcPr>
            <w:tcW w:w="4248" w:type="dxa"/>
            <w:tcBorders>
              <w:top w:val="nil"/>
              <w:left w:val="nil"/>
              <w:bottom w:val="nil"/>
              <w:right w:val="nil"/>
            </w:tcBorders>
          </w:tcPr>
          <w:p w14:paraId="6F8BA568" w14:textId="1DE70E91" w:rsidR="004A143B" w:rsidRPr="00A04A32" w:rsidRDefault="004A143B" w:rsidP="00F157A9">
            <w:pPr>
              <w:spacing w:line="480" w:lineRule="auto"/>
              <w:rPr>
                <w:rFonts w:asciiTheme="minorHAnsi" w:hAnsiTheme="minorHAnsi" w:cstheme="minorHAnsi"/>
                <w:color w:val="000000" w:themeColor="text1"/>
              </w:rPr>
            </w:pPr>
            <w:r w:rsidRPr="00A04A32">
              <w:rPr>
                <w:rFonts w:asciiTheme="minorHAnsi" w:hAnsiTheme="minorHAnsi" w:cstheme="minorHAnsi"/>
                <w:b/>
                <w:color w:val="000000" w:themeColor="text1"/>
              </w:rPr>
              <w:t>Major Bleeding</w:t>
            </w:r>
          </w:p>
        </w:tc>
        <w:tc>
          <w:tcPr>
            <w:tcW w:w="567" w:type="dxa"/>
            <w:tcBorders>
              <w:top w:val="nil"/>
              <w:left w:val="nil"/>
              <w:bottom w:val="nil"/>
              <w:right w:val="nil"/>
            </w:tcBorders>
          </w:tcPr>
          <w:p w14:paraId="5B558496" w14:textId="7FB38AEE" w:rsidR="004A143B" w:rsidRPr="00A04A32" w:rsidRDefault="00F157A9" w:rsidP="00F157A9">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c>
          <w:tcPr>
            <w:tcW w:w="992" w:type="dxa"/>
            <w:tcBorders>
              <w:top w:val="nil"/>
              <w:left w:val="nil"/>
              <w:bottom w:val="nil"/>
              <w:right w:val="nil"/>
            </w:tcBorders>
          </w:tcPr>
          <w:p w14:paraId="7ACC476E" w14:textId="67C806A3" w:rsidR="004A143B" w:rsidRPr="00A04A32" w:rsidRDefault="00F157A9" w:rsidP="00F157A9">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c>
          <w:tcPr>
            <w:tcW w:w="709" w:type="dxa"/>
            <w:tcBorders>
              <w:top w:val="nil"/>
              <w:left w:val="nil"/>
              <w:bottom w:val="nil"/>
              <w:right w:val="nil"/>
            </w:tcBorders>
          </w:tcPr>
          <w:p w14:paraId="09DD381B" w14:textId="79A270A3" w:rsidR="004A143B" w:rsidRPr="00A04A32" w:rsidRDefault="00F157A9" w:rsidP="00F157A9">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c>
          <w:tcPr>
            <w:tcW w:w="1388" w:type="dxa"/>
            <w:tcBorders>
              <w:top w:val="nil"/>
              <w:left w:val="nil"/>
              <w:bottom w:val="nil"/>
              <w:right w:val="nil"/>
            </w:tcBorders>
          </w:tcPr>
          <w:p w14:paraId="06BE2214" w14:textId="7DF0497B" w:rsidR="004A143B" w:rsidRPr="00A04A32" w:rsidRDefault="00F157A9" w:rsidP="00F157A9">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r>
      <w:tr w:rsidR="004A143B" w:rsidRPr="00A04A32" w14:paraId="0D4F4C37" w14:textId="77777777" w:rsidTr="00DD1C83">
        <w:tc>
          <w:tcPr>
            <w:tcW w:w="4248" w:type="dxa"/>
            <w:tcBorders>
              <w:top w:val="nil"/>
              <w:left w:val="nil"/>
              <w:bottom w:val="nil"/>
              <w:right w:val="nil"/>
            </w:tcBorders>
          </w:tcPr>
          <w:p w14:paraId="4C584A72" w14:textId="73D4DBD6" w:rsidR="004A143B" w:rsidRPr="00A04A32" w:rsidRDefault="00F157A9" w:rsidP="00F157A9">
            <w:pPr>
              <w:spacing w:line="480" w:lineRule="auto"/>
              <w:rPr>
                <w:rFonts w:asciiTheme="minorHAnsi" w:hAnsiTheme="minorHAnsi" w:cstheme="minorHAnsi"/>
                <w:color w:val="000000" w:themeColor="text1"/>
              </w:rPr>
            </w:pPr>
            <w:r>
              <w:rPr>
                <w:rFonts w:asciiTheme="minorHAnsi" w:hAnsiTheme="minorHAnsi" w:cstheme="minorHAnsi"/>
                <w:color w:val="000000" w:themeColor="text1"/>
              </w:rPr>
              <w:t xml:space="preserve">    </w:t>
            </w:r>
            <w:r w:rsidR="004A143B" w:rsidRPr="00A04A32">
              <w:rPr>
                <w:rFonts w:asciiTheme="minorHAnsi" w:hAnsiTheme="minorHAnsi" w:cstheme="minorHAnsi"/>
                <w:color w:val="000000" w:themeColor="text1"/>
              </w:rPr>
              <w:t>Fatal events</w:t>
            </w:r>
          </w:p>
        </w:tc>
        <w:tc>
          <w:tcPr>
            <w:tcW w:w="567" w:type="dxa"/>
            <w:tcBorders>
              <w:top w:val="nil"/>
              <w:left w:val="nil"/>
              <w:bottom w:val="nil"/>
              <w:right w:val="nil"/>
            </w:tcBorders>
          </w:tcPr>
          <w:p w14:paraId="722CD539"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3</w:t>
            </w:r>
          </w:p>
        </w:tc>
        <w:tc>
          <w:tcPr>
            <w:tcW w:w="992" w:type="dxa"/>
            <w:tcBorders>
              <w:top w:val="nil"/>
              <w:left w:val="nil"/>
              <w:bottom w:val="nil"/>
              <w:right w:val="nil"/>
            </w:tcBorders>
          </w:tcPr>
          <w:p w14:paraId="3CFCD56E"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3</w:t>
            </w:r>
          </w:p>
        </w:tc>
        <w:tc>
          <w:tcPr>
            <w:tcW w:w="709" w:type="dxa"/>
            <w:tcBorders>
              <w:top w:val="nil"/>
              <w:left w:val="nil"/>
              <w:bottom w:val="nil"/>
              <w:right w:val="nil"/>
            </w:tcBorders>
          </w:tcPr>
          <w:p w14:paraId="4A94C230"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1388" w:type="dxa"/>
            <w:tcBorders>
              <w:top w:val="nil"/>
              <w:left w:val="nil"/>
              <w:bottom w:val="nil"/>
              <w:right w:val="nil"/>
            </w:tcBorders>
          </w:tcPr>
          <w:p w14:paraId="47EA947D"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r>
      <w:tr w:rsidR="004A143B" w:rsidRPr="00A04A32" w14:paraId="273C249F" w14:textId="77777777" w:rsidTr="00DD1C83">
        <w:tc>
          <w:tcPr>
            <w:tcW w:w="4248" w:type="dxa"/>
            <w:tcBorders>
              <w:top w:val="nil"/>
              <w:left w:val="nil"/>
              <w:bottom w:val="nil"/>
              <w:right w:val="nil"/>
            </w:tcBorders>
          </w:tcPr>
          <w:p w14:paraId="362B946D" w14:textId="6E7472BD" w:rsidR="004A143B" w:rsidRPr="00A04A32" w:rsidRDefault="00F157A9" w:rsidP="00F157A9">
            <w:pPr>
              <w:spacing w:line="480" w:lineRule="auto"/>
              <w:rPr>
                <w:rFonts w:asciiTheme="minorHAnsi" w:hAnsiTheme="minorHAnsi" w:cstheme="minorHAnsi"/>
                <w:color w:val="000000" w:themeColor="text1"/>
              </w:rPr>
            </w:pPr>
            <w:r>
              <w:rPr>
                <w:rFonts w:asciiTheme="minorHAnsi" w:hAnsiTheme="minorHAnsi" w:cstheme="minorHAnsi"/>
                <w:color w:val="000000" w:themeColor="text1"/>
              </w:rPr>
              <w:t xml:space="preserve">    </w:t>
            </w:r>
            <w:r w:rsidR="004A143B" w:rsidRPr="00A04A32">
              <w:rPr>
                <w:rFonts w:asciiTheme="minorHAnsi" w:hAnsiTheme="minorHAnsi" w:cstheme="minorHAnsi"/>
                <w:color w:val="000000" w:themeColor="text1"/>
              </w:rPr>
              <w:t>Central Nervous System</w:t>
            </w:r>
          </w:p>
        </w:tc>
        <w:tc>
          <w:tcPr>
            <w:tcW w:w="567" w:type="dxa"/>
            <w:tcBorders>
              <w:top w:val="nil"/>
              <w:left w:val="nil"/>
              <w:bottom w:val="nil"/>
              <w:right w:val="nil"/>
            </w:tcBorders>
          </w:tcPr>
          <w:p w14:paraId="40E9E726"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3</w:t>
            </w:r>
          </w:p>
        </w:tc>
        <w:tc>
          <w:tcPr>
            <w:tcW w:w="992" w:type="dxa"/>
            <w:tcBorders>
              <w:top w:val="nil"/>
              <w:left w:val="nil"/>
              <w:bottom w:val="nil"/>
              <w:right w:val="nil"/>
            </w:tcBorders>
          </w:tcPr>
          <w:p w14:paraId="68557691"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3</w:t>
            </w:r>
          </w:p>
        </w:tc>
        <w:tc>
          <w:tcPr>
            <w:tcW w:w="709" w:type="dxa"/>
            <w:tcBorders>
              <w:top w:val="nil"/>
              <w:left w:val="nil"/>
              <w:bottom w:val="nil"/>
              <w:right w:val="nil"/>
            </w:tcBorders>
          </w:tcPr>
          <w:p w14:paraId="31B289BE"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1388" w:type="dxa"/>
            <w:tcBorders>
              <w:top w:val="nil"/>
              <w:left w:val="nil"/>
              <w:bottom w:val="nil"/>
              <w:right w:val="nil"/>
            </w:tcBorders>
          </w:tcPr>
          <w:p w14:paraId="295B1B89"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r>
      <w:tr w:rsidR="004A143B" w:rsidRPr="00A04A32" w14:paraId="0C494EA4" w14:textId="77777777" w:rsidTr="00DD1C83">
        <w:tc>
          <w:tcPr>
            <w:tcW w:w="4248" w:type="dxa"/>
            <w:tcBorders>
              <w:top w:val="nil"/>
              <w:left w:val="nil"/>
              <w:bottom w:val="nil"/>
              <w:right w:val="nil"/>
            </w:tcBorders>
          </w:tcPr>
          <w:p w14:paraId="4955B709" w14:textId="27B7CD69" w:rsidR="004A143B" w:rsidRPr="00A04A32" w:rsidRDefault="00F157A9" w:rsidP="00F157A9">
            <w:pPr>
              <w:spacing w:line="480" w:lineRule="auto"/>
              <w:rPr>
                <w:rFonts w:asciiTheme="minorHAnsi" w:hAnsiTheme="minorHAnsi" w:cstheme="minorHAnsi"/>
                <w:color w:val="000000" w:themeColor="text1"/>
              </w:rPr>
            </w:pPr>
            <w:r>
              <w:rPr>
                <w:rFonts w:asciiTheme="minorHAnsi" w:hAnsiTheme="minorHAnsi" w:cstheme="minorHAnsi"/>
                <w:color w:val="000000" w:themeColor="text1"/>
              </w:rPr>
              <w:t xml:space="preserve">    </w:t>
            </w:r>
            <w:r w:rsidR="004A143B" w:rsidRPr="00A04A32">
              <w:rPr>
                <w:rFonts w:asciiTheme="minorHAnsi" w:hAnsiTheme="minorHAnsi" w:cstheme="minorHAnsi"/>
                <w:color w:val="000000" w:themeColor="text1"/>
              </w:rPr>
              <w:t>Retroperitoneal</w:t>
            </w:r>
          </w:p>
        </w:tc>
        <w:tc>
          <w:tcPr>
            <w:tcW w:w="567" w:type="dxa"/>
            <w:tcBorders>
              <w:top w:val="nil"/>
              <w:left w:val="nil"/>
              <w:bottom w:val="nil"/>
              <w:right w:val="nil"/>
            </w:tcBorders>
          </w:tcPr>
          <w:p w14:paraId="785BB4D9"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w:t>
            </w:r>
          </w:p>
        </w:tc>
        <w:tc>
          <w:tcPr>
            <w:tcW w:w="992" w:type="dxa"/>
            <w:tcBorders>
              <w:top w:val="nil"/>
              <w:left w:val="nil"/>
              <w:bottom w:val="nil"/>
              <w:right w:val="nil"/>
            </w:tcBorders>
          </w:tcPr>
          <w:p w14:paraId="7135EE34"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w:t>
            </w:r>
          </w:p>
        </w:tc>
        <w:tc>
          <w:tcPr>
            <w:tcW w:w="709" w:type="dxa"/>
            <w:tcBorders>
              <w:top w:val="nil"/>
              <w:left w:val="nil"/>
              <w:bottom w:val="nil"/>
              <w:right w:val="nil"/>
            </w:tcBorders>
          </w:tcPr>
          <w:p w14:paraId="3D002705"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1388" w:type="dxa"/>
            <w:tcBorders>
              <w:top w:val="nil"/>
              <w:left w:val="nil"/>
              <w:bottom w:val="nil"/>
              <w:right w:val="nil"/>
            </w:tcBorders>
          </w:tcPr>
          <w:p w14:paraId="49E5B478"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r>
      <w:tr w:rsidR="004A143B" w:rsidRPr="00A04A32" w14:paraId="2688898F" w14:textId="77777777" w:rsidTr="00DD1C83">
        <w:tc>
          <w:tcPr>
            <w:tcW w:w="4248" w:type="dxa"/>
            <w:tcBorders>
              <w:top w:val="nil"/>
              <w:left w:val="nil"/>
              <w:bottom w:val="nil"/>
              <w:right w:val="nil"/>
            </w:tcBorders>
          </w:tcPr>
          <w:p w14:paraId="735AA465" w14:textId="7605E411" w:rsidR="004A143B" w:rsidRPr="00A04A32" w:rsidRDefault="00F157A9" w:rsidP="00F157A9">
            <w:pPr>
              <w:spacing w:line="480" w:lineRule="auto"/>
              <w:rPr>
                <w:rFonts w:asciiTheme="minorHAnsi" w:hAnsiTheme="minorHAnsi" w:cstheme="minorHAnsi"/>
                <w:color w:val="000000" w:themeColor="text1"/>
              </w:rPr>
            </w:pPr>
            <w:r>
              <w:rPr>
                <w:rFonts w:asciiTheme="minorHAnsi" w:hAnsiTheme="minorHAnsi" w:cstheme="minorHAnsi"/>
                <w:color w:val="000000" w:themeColor="text1"/>
              </w:rPr>
              <w:t xml:space="preserve">    </w:t>
            </w:r>
            <w:r w:rsidR="004A143B" w:rsidRPr="00A04A32">
              <w:rPr>
                <w:rFonts w:asciiTheme="minorHAnsi" w:hAnsiTheme="minorHAnsi" w:cstheme="minorHAnsi"/>
                <w:color w:val="000000" w:themeColor="text1"/>
              </w:rPr>
              <w:t>Haemopericardium</w:t>
            </w:r>
          </w:p>
        </w:tc>
        <w:tc>
          <w:tcPr>
            <w:tcW w:w="567" w:type="dxa"/>
            <w:tcBorders>
              <w:top w:val="nil"/>
              <w:left w:val="nil"/>
              <w:bottom w:val="nil"/>
              <w:right w:val="nil"/>
            </w:tcBorders>
          </w:tcPr>
          <w:p w14:paraId="7761A715"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992" w:type="dxa"/>
            <w:tcBorders>
              <w:top w:val="nil"/>
              <w:left w:val="nil"/>
              <w:bottom w:val="nil"/>
              <w:right w:val="nil"/>
            </w:tcBorders>
          </w:tcPr>
          <w:p w14:paraId="7853BC26"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709" w:type="dxa"/>
            <w:tcBorders>
              <w:top w:val="nil"/>
              <w:left w:val="nil"/>
              <w:bottom w:val="nil"/>
              <w:right w:val="nil"/>
            </w:tcBorders>
          </w:tcPr>
          <w:p w14:paraId="3F65F0D2"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1388" w:type="dxa"/>
            <w:tcBorders>
              <w:top w:val="nil"/>
              <w:left w:val="nil"/>
              <w:bottom w:val="nil"/>
              <w:right w:val="nil"/>
            </w:tcBorders>
          </w:tcPr>
          <w:p w14:paraId="44D47B3C"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r>
      <w:tr w:rsidR="004A143B" w:rsidRPr="00A04A32" w14:paraId="7364E442" w14:textId="77777777" w:rsidTr="00DD1C83">
        <w:tc>
          <w:tcPr>
            <w:tcW w:w="4248" w:type="dxa"/>
            <w:tcBorders>
              <w:top w:val="nil"/>
              <w:left w:val="nil"/>
              <w:bottom w:val="nil"/>
              <w:right w:val="nil"/>
            </w:tcBorders>
          </w:tcPr>
          <w:p w14:paraId="5F1207D7" w14:textId="658EB413" w:rsidR="004A143B" w:rsidRPr="00A04A32" w:rsidRDefault="00F157A9" w:rsidP="00F157A9">
            <w:pPr>
              <w:spacing w:line="480" w:lineRule="auto"/>
              <w:rPr>
                <w:rFonts w:asciiTheme="minorHAnsi" w:hAnsiTheme="minorHAnsi" w:cstheme="minorHAnsi"/>
                <w:color w:val="000000" w:themeColor="text1"/>
              </w:rPr>
            </w:pPr>
            <w:r>
              <w:rPr>
                <w:rFonts w:asciiTheme="minorHAnsi" w:hAnsiTheme="minorHAnsi" w:cstheme="minorHAnsi"/>
                <w:color w:val="000000" w:themeColor="text1"/>
              </w:rPr>
              <w:t xml:space="preserve">    </w:t>
            </w:r>
            <w:r w:rsidR="004A143B" w:rsidRPr="00A04A32">
              <w:rPr>
                <w:rFonts w:asciiTheme="minorHAnsi" w:hAnsiTheme="minorHAnsi" w:cstheme="minorHAnsi"/>
                <w:color w:val="000000" w:themeColor="text1"/>
              </w:rPr>
              <w:t>Intraocular</w:t>
            </w:r>
          </w:p>
        </w:tc>
        <w:tc>
          <w:tcPr>
            <w:tcW w:w="567" w:type="dxa"/>
            <w:tcBorders>
              <w:top w:val="nil"/>
              <w:left w:val="nil"/>
              <w:bottom w:val="nil"/>
              <w:right w:val="nil"/>
            </w:tcBorders>
          </w:tcPr>
          <w:p w14:paraId="51C3BB97"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992" w:type="dxa"/>
            <w:tcBorders>
              <w:top w:val="nil"/>
              <w:left w:val="nil"/>
              <w:bottom w:val="nil"/>
              <w:right w:val="nil"/>
            </w:tcBorders>
          </w:tcPr>
          <w:p w14:paraId="5D006CB1"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709" w:type="dxa"/>
            <w:tcBorders>
              <w:top w:val="nil"/>
              <w:left w:val="nil"/>
              <w:bottom w:val="nil"/>
              <w:right w:val="nil"/>
            </w:tcBorders>
          </w:tcPr>
          <w:p w14:paraId="74569E29"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1388" w:type="dxa"/>
            <w:tcBorders>
              <w:top w:val="nil"/>
              <w:left w:val="nil"/>
              <w:bottom w:val="nil"/>
              <w:right w:val="nil"/>
            </w:tcBorders>
          </w:tcPr>
          <w:p w14:paraId="39FE7F42"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r>
      <w:tr w:rsidR="004A143B" w:rsidRPr="00A04A32" w14:paraId="7CDED1F0" w14:textId="77777777" w:rsidTr="00DD1C83">
        <w:tc>
          <w:tcPr>
            <w:tcW w:w="4248" w:type="dxa"/>
            <w:tcBorders>
              <w:top w:val="nil"/>
              <w:left w:val="nil"/>
              <w:bottom w:val="nil"/>
              <w:right w:val="nil"/>
            </w:tcBorders>
          </w:tcPr>
          <w:p w14:paraId="0095BDA7" w14:textId="0D8C35A1" w:rsidR="004A143B" w:rsidRPr="00A04A32" w:rsidRDefault="00F157A9" w:rsidP="00F157A9">
            <w:pPr>
              <w:spacing w:line="480" w:lineRule="auto"/>
              <w:rPr>
                <w:rFonts w:asciiTheme="minorHAnsi" w:hAnsiTheme="minorHAnsi" w:cstheme="minorHAnsi"/>
                <w:color w:val="000000" w:themeColor="text1"/>
              </w:rPr>
            </w:pPr>
            <w:r>
              <w:rPr>
                <w:rFonts w:asciiTheme="minorHAnsi" w:hAnsiTheme="minorHAnsi" w:cstheme="minorHAnsi"/>
                <w:color w:val="000000" w:themeColor="text1"/>
              </w:rPr>
              <w:t xml:space="preserve">    </w:t>
            </w:r>
            <w:r w:rsidR="004A143B" w:rsidRPr="00A04A32">
              <w:rPr>
                <w:rFonts w:asciiTheme="minorHAnsi" w:hAnsiTheme="minorHAnsi" w:cstheme="minorHAnsi"/>
                <w:color w:val="000000" w:themeColor="text1"/>
              </w:rPr>
              <w:t>Haemoptysis</w:t>
            </w:r>
          </w:p>
        </w:tc>
        <w:tc>
          <w:tcPr>
            <w:tcW w:w="567" w:type="dxa"/>
            <w:tcBorders>
              <w:top w:val="nil"/>
              <w:left w:val="nil"/>
              <w:bottom w:val="nil"/>
              <w:right w:val="nil"/>
            </w:tcBorders>
          </w:tcPr>
          <w:p w14:paraId="0B9964F2"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992" w:type="dxa"/>
            <w:tcBorders>
              <w:top w:val="nil"/>
              <w:left w:val="nil"/>
              <w:bottom w:val="nil"/>
              <w:right w:val="nil"/>
            </w:tcBorders>
          </w:tcPr>
          <w:p w14:paraId="16C25103"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709" w:type="dxa"/>
            <w:tcBorders>
              <w:top w:val="nil"/>
              <w:left w:val="nil"/>
              <w:bottom w:val="nil"/>
              <w:right w:val="nil"/>
            </w:tcBorders>
          </w:tcPr>
          <w:p w14:paraId="37AAAECE"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1388" w:type="dxa"/>
            <w:tcBorders>
              <w:top w:val="nil"/>
              <w:left w:val="nil"/>
              <w:bottom w:val="nil"/>
              <w:right w:val="nil"/>
            </w:tcBorders>
          </w:tcPr>
          <w:p w14:paraId="2A00D457"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r>
      <w:tr w:rsidR="004A143B" w:rsidRPr="00A04A32" w14:paraId="1A3BAD6C" w14:textId="77777777" w:rsidTr="00DD1C83">
        <w:tc>
          <w:tcPr>
            <w:tcW w:w="4248" w:type="dxa"/>
            <w:tcBorders>
              <w:top w:val="nil"/>
              <w:left w:val="nil"/>
              <w:bottom w:val="nil"/>
              <w:right w:val="nil"/>
            </w:tcBorders>
          </w:tcPr>
          <w:p w14:paraId="0B28D735" w14:textId="390267C3" w:rsidR="004A143B" w:rsidRPr="00A04A32" w:rsidRDefault="00F157A9" w:rsidP="00F157A9">
            <w:pPr>
              <w:spacing w:line="480" w:lineRule="auto"/>
              <w:rPr>
                <w:rFonts w:asciiTheme="minorHAnsi" w:hAnsiTheme="minorHAnsi" w:cstheme="minorHAnsi"/>
                <w:color w:val="000000" w:themeColor="text1"/>
              </w:rPr>
            </w:pPr>
            <w:r>
              <w:rPr>
                <w:rFonts w:asciiTheme="minorHAnsi" w:hAnsiTheme="minorHAnsi" w:cstheme="minorHAnsi"/>
                <w:color w:val="000000" w:themeColor="text1"/>
              </w:rPr>
              <w:t xml:space="preserve">    </w:t>
            </w:r>
            <w:r w:rsidR="004A143B" w:rsidRPr="00A04A32">
              <w:rPr>
                <w:rFonts w:asciiTheme="minorHAnsi" w:hAnsiTheme="minorHAnsi" w:cstheme="minorHAnsi"/>
                <w:color w:val="000000" w:themeColor="text1"/>
              </w:rPr>
              <w:t>Gastrointestinal</w:t>
            </w:r>
          </w:p>
        </w:tc>
        <w:tc>
          <w:tcPr>
            <w:tcW w:w="567" w:type="dxa"/>
            <w:tcBorders>
              <w:top w:val="nil"/>
              <w:left w:val="nil"/>
              <w:bottom w:val="nil"/>
              <w:right w:val="nil"/>
            </w:tcBorders>
          </w:tcPr>
          <w:p w14:paraId="38D4B8D6"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2</w:t>
            </w:r>
          </w:p>
        </w:tc>
        <w:tc>
          <w:tcPr>
            <w:tcW w:w="992" w:type="dxa"/>
            <w:tcBorders>
              <w:top w:val="nil"/>
              <w:left w:val="nil"/>
              <w:bottom w:val="nil"/>
              <w:right w:val="nil"/>
            </w:tcBorders>
          </w:tcPr>
          <w:p w14:paraId="53C3C681"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2</w:t>
            </w:r>
          </w:p>
        </w:tc>
        <w:tc>
          <w:tcPr>
            <w:tcW w:w="709" w:type="dxa"/>
            <w:tcBorders>
              <w:top w:val="nil"/>
              <w:left w:val="nil"/>
              <w:bottom w:val="nil"/>
              <w:right w:val="nil"/>
            </w:tcBorders>
          </w:tcPr>
          <w:p w14:paraId="18A317C2"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w:t>
            </w:r>
          </w:p>
        </w:tc>
        <w:tc>
          <w:tcPr>
            <w:tcW w:w="1388" w:type="dxa"/>
            <w:tcBorders>
              <w:top w:val="nil"/>
              <w:left w:val="nil"/>
              <w:bottom w:val="nil"/>
              <w:right w:val="nil"/>
            </w:tcBorders>
          </w:tcPr>
          <w:p w14:paraId="43D33F99"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w:t>
            </w:r>
          </w:p>
        </w:tc>
      </w:tr>
      <w:tr w:rsidR="004A143B" w:rsidRPr="00A04A32" w14:paraId="7D0B3886" w14:textId="77777777" w:rsidTr="00DD1C83">
        <w:tc>
          <w:tcPr>
            <w:tcW w:w="4248" w:type="dxa"/>
            <w:tcBorders>
              <w:top w:val="nil"/>
              <w:left w:val="nil"/>
              <w:bottom w:val="nil"/>
              <w:right w:val="nil"/>
            </w:tcBorders>
          </w:tcPr>
          <w:p w14:paraId="7E78BDBB" w14:textId="7C5B956F" w:rsidR="004A143B" w:rsidRPr="00A04A32" w:rsidRDefault="00F157A9" w:rsidP="00F157A9">
            <w:pPr>
              <w:spacing w:line="480" w:lineRule="auto"/>
              <w:rPr>
                <w:rFonts w:asciiTheme="minorHAnsi" w:hAnsiTheme="minorHAnsi" w:cstheme="minorHAnsi"/>
                <w:color w:val="000000" w:themeColor="text1"/>
              </w:rPr>
            </w:pPr>
            <w:r>
              <w:rPr>
                <w:rFonts w:asciiTheme="minorHAnsi" w:hAnsiTheme="minorHAnsi" w:cstheme="minorHAnsi"/>
                <w:color w:val="000000" w:themeColor="text1"/>
              </w:rPr>
              <w:t xml:space="preserve">    </w:t>
            </w:r>
            <w:r w:rsidR="004A143B" w:rsidRPr="00A04A32">
              <w:rPr>
                <w:rFonts w:asciiTheme="minorHAnsi" w:hAnsiTheme="minorHAnsi" w:cstheme="minorHAnsi"/>
                <w:color w:val="000000" w:themeColor="text1"/>
              </w:rPr>
              <w:t>Haematuria</w:t>
            </w:r>
          </w:p>
        </w:tc>
        <w:tc>
          <w:tcPr>
            <w:tcW w:w="567" w:type="dxa"/>
            <w:tcBorders>
              <w:top w:val="nil"/>
              <w:left w:val="nil"/>
              <w:bottom w:val="nil"/>
              <w:right w:val="nil"/>
            </w:tcBorders>
          </w:tcPr>
          <w:p w14:paraId="7913A34B"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w:t>
            </w:r>
          </w:p>
        </w:tc>
        <w:tc>
          <w:tcPr>
            <w:tcW w:w="992" w:type="dxa"/>
            <w:tcBorders>
              <w:top w:val="nil"/>
              <w:left w:val="nil"/>
              <w:bottom w:val="nil"/>
              <w:right w:val="nil"/>
            </w:tcBorders>
          </w:tcPr>
          <w:p w14:paraId="016C77E6"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w:t>
            </w:r>
          </w:p>
        </w:tc>
        <w:tc>
          <w:tcPr>
            <w:tcW w:w="709" w:type="dxa"/>
            <w:tcBorders>
              <w:top w:val="nil"/>
              <w:left w:val="nil"/>
              <w:bottom w:val="nil"/>
              <w:right w:val="nil"/>
            </w:tcBorders>
          </w:tcPr>
          <w:p w14:paraId="39406B93"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1388" w:type="dxa"/>
            <w:tcBorders>
              <w:top w:val="nil"/>
              <w:left w:val="nil"/>
              <w:bottom w:val="nil"/>
              <w:right w:val="nil"/>
            </w:tcBorders>
          </w:tcPr>
          <w:p w14:paraId="776BC902"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r>
      <w:tr w:rsidR="004A143B" w:rsidRPr="00A04A32" w14:paraId="574EAB71" w14:textId="77777777" w:rsidTr="00DD1C83">
        <w:tc>
          <w:tcPr>
            <w:tcW w:w="4248" w:type="dxa"/>
            <w:tcBorders>
              <w:top w:val="nil"/>
              <w:left w:val="nil"/>
              <w:bottom w:val="nil"/>
              <w:right w:val="nil"/>
            </w:tcBorders>
          </w:tcPr>
          <w:p w14:paraId="328474FA" w14:textId="77777777" w:rsidR="004A143B" w:rsidRPr="00A04A32" w:rsidRDefault="004A143B" w:rsidP="00F157A9">
            <w:pPr>
              <w:spacing w:line="480" w:lineRule="auto"/>
              <w:rPr>
                <w:rFonts w:asciiTheme="minorHAnsi" w:hAnsiTheme="minorHAnsi" w:cstheme="minorHAnsi"/>
                <w:color w:val="000000" w:themeColor="text1"/>
              </w:rPr>
            </w:pPr>
            <w:r w:rsidRPr="00A04A32">
              <w:rPr>
                <w:rFonts w:asciiTheme="minorHAnsi" w:hAnsiTheme="minorHAnsi" w:cstheme="minorHAnsi"/>
                <w:b/>
                <w:color w:val="000000" w:themeColor="text1"/>
              </w:rPr>
              <w:t>Clinically relevant non-major bleeding</w:t>
            </w:r>
          </w:p>
        </w:tc>
        <w:tc>
          <w:tcPr>
            <w:tcW w:w="567" w:type="dxa"/>
            <w:tcBorders>
              <w:top w:val="nil"/>
              <w:left w:val="nil"/>
              <w:bottom w:val="nil"/>
              <w:right w:val="nil"/>
            </w:tcBorders>
          </w:tcPr>
          <w:p w14:paraId="1E885DE2" w14:textId="25E5C5FF" w:rsidR="004A143B" w:rsidRPr="00A04A32" w:rsidRDefault="00F157A9" w:rsidP="00F157A9">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c>
          <w:tcPr>
            <w:tcW w:w="992" w:type="dxa"/>
            <w:tcBorders>
              <w:top w:val="nil"/>
              <w:left w:val="nil"/>
              <w:bottom w:val="nil"/>
              <w:right w:val="nil"/>
            </w:tcBorders>
          </w:tcPr>
          <w:p w14:paraId="70867061" w14:textId="7AE99316" w:rsidR="004A143B" w:rsidRPr="00A04A32" w:rsidRDefault="00F157A9" w:rsidP="00F157A9">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c>
          <w:tcPr>
            <w:tcW w:w="709" w:type="dxa"/>
            <w:tcBorders>
              <w:top w:val="nil"/>
              <w:left w:val="nil"/>
              <w:bottom w:val="nil"/>
              <w:right w:val="nil"/>
            </w:tcBorders>
          </w:tcPr>
          <w:p w14:paraId="70922BCD" w14:textId="6DBCAFD2" w:rsidR="004A143B" w:rsidRPr="00A04A32" w:rsidRDefault="00F157A9" w:rsidP="00F157A9">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c>
          <w:tcPr>
            <w:tcW w:w="1388" w:type="dxa"/>
            <w:tcBorders>
              <w:top w:val="nil"/>
              <w:left w:val="nil"/>
              <w:bottom w:val="nil"/>
              <w:right w:val="nil"/>
            </w:tcBorders>
          </w:tcPr>
          <w:p w14:paraId="32A74D56" w14:textId="7AB1FCCD" w:rsidR="004A143B" w:rsidRPr="00A04A32" w:rsidRDefault="00F157A9" w:rsidP="00F157A9">
            <w:pPr>
              <w:spacing w:line="480" w:lineRule="auto"/>
              <w:jc w:val="center"/>
              <w:rPr>
                <w:rFonts w:asciiTheme="minorHAnsi" w:hAnsiTheme="minorHAnsi" w:cstheme="minorHAnsi"/>
                <w:color w:val="000000" w:themeColor="text1"/>
              </w:rPr>
            </w:pPr>
            <w:r>
              <w:rPr>
                <w:rFonts w:asciiTheme="minorHAnsi" w:hAnsiTheme="minorHAnsi" w:cstheme="minorHAnsi"/>
                <w:color w:val="000000" w:themeColor="text1"/>
              </w:rPr>
              <w:t>-</w:t>
            </w:r>
          </w:p>
        </w:tc>
      </w:tr>
      <w:tr w:rsidR="004A143B" w:rsidRPr="00A04A32" w14:paraId="377A74F8" w14:textId="77777777" w:rsidTr="00DD1C83">
        <w:tc>
          <w:tcPr>
            <w:tcW w:w="4248" w:type="dxa"/>
            <w:tcBorders>
              <w:top w:val="nil"/>
              <w:left w:val="nil"/>
              <w:bottom w:val="nil"/>
              <w:right w:val="nil"/>
            </w:tcBorders>
          </w:tcPr>
          <w:p w14:paraId="0013E7AB" w14:textId="0C8CB1C2" w:rsidR="004A143B" w:rsidRPr="00A04A32" w:rsidRDefault="00F157A9" w:rsidP="00F157A9">
            <w:pPr>
              <w:spacing w:line="480" w:lineRule="auto"/>
              <w:rPr>
                <w:rFonts w:asciiTheme="minorHAnsi" w:hAnsiTheme="minorHAnsi" w:cstheme="minorHAnsi"/>
                <w:color w:val="000000" w:themeColor="text1"/>
              </w:rPr>
            </w:pPr>
            <w:r>
              <w:rPr>
                <w:rFonts w:asciiTheme="minorHAnsi" w:hAnsiTheme="minorHAnsi" w:cstheme="minorHAnsi"/>
                <w:color w:val="000000" w:themeColor="text1"/>
              </w:rPr>
              <w:t xml:space="preserve">    </w:t>
            </w:r>
            <w:r w:rsidR="004A143B" w:rsidRPr="00A04A32">
              <w:rPr>
                <w:rFonts w:asciiTheme="minorHAnsi" w:hAnsiTheme="minorHAnsi" w:cstheme="minorHAnsi"/>
                <w:color w:val="000000" w:themeColor="text1"/>
              </w:rPr>
              <w:t>Gastrointestinal</w:t>
            </w:r>
          </w:p>
        </w:tc>
        <w:tc>
          <w:tcPr>
            <w:tcW w:w="567" w:type="dxa"/>
            <w:tcBorders>
              <w:top w:val="nil"/>
              <w:left w:val="nil"/>
              <w:bottom w:val="nil"/>
              <w:right w:val="nil"/>
            </w:tcBorders>
          </w:tcPr>
          <w:p w14:paraId="16AB47E4"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992" w:type="dxa"/>
            <w:tcBorders>
              <w:top w:val="nil"/>
              <w:left w:val="nil"/>
              <w:bottom w:val="nil"/>
              <w:right w:val="nil"/>
            </w:tcBorders>
          </w:tcPr>
          <w:p w14:paraId="43F1B538"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709" w:type="dxa"/>
            <w:tcBorders>
              <w:top w:val="nil"/>
              <w:left w:val="nil"/>
              <w:bottom w:val="nil"/>
              <w:right w:val="nil"/>
            </w:tcBorders>
          </w:tcPr>
          <w:p w14:paraId="2AC2001A"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w:t>
            </w:r>
          </w:p>
        </w:tc>
        <w:tc>
          <w:tcPr>
            <w:tcW w:w="1388" w:type="dxa"/>
            <w:tcBorders>
              <w:top w:val="nil"/>
              <w:left w:val="nil"/>
              <w:bottom w:val="nil"/>
              <w:right w:val="nil"/>
            </w:tcBorders>
          </w:tcPr>
          <w:p w14:paraId="6F8AB624"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w:t>
            </w:r>
          </w:p>
        </w:tc>
      </w:tr>
      <w:tr w:rsidR="004A143B" w:rsidRPr="00A04A32" w14:paraId="56400712" w14:textId="77777777" w:rsidTr="00DD1C83">
        <w:trPr>
          <w:trHeight w:val="233"/>
        </w:trPr>
        <w:tc>
          <w:tcPr>
            <w:tcW w:w="4248" w:type="dxa"/>
            <w:tcBorders>
              <w:top w:val="nil"/>
              <w:left w:val="nil"/>
              <w:bottom w:val="nil"/>
              <w:right w:val="nil"/>
            </w:tcBorders>
          </w:tcPr>
          <w:p w14:paraId="6FE62B87" w14:textId="139FAB17" w:rsidR="004A143B" w:rsidRPr="00A04A32" w:rsidRDefault="00F157A9" w:rsidP="00F157A9">
            <w:pPr>
              <w:spacing w:line="480" w:lineRule="auto"/>
              <w:rPr>
                <w:rFonts w:asciiTheme="minorHAnsi" w:hAnsiTheme="minorHAnsi" w:cstheme="minorHAnsi"/>
                <w:color w:val="000000" w:themeColor="text1"/>
              </w:rPr>
            </w:pPr>
            <w:r>
              <w:rPr>
                <w:rFonts w:asciiTheme="minorHAnsi" w:hAnsiTheme="minorHAnsi" w:cstheme="minorHAnsi"/>
                <w:color w:val="000000" w:themeColor="text1"/>
              </w:rPr>
              <w:t xml:space="preserve">    </w:t>
            </w:r>
            <w:r w:rsidR="004A143B" w:rsidRPr="00A04A32">
              <w:rPr>
                <w:rFonts w:asciiTheme="minorHAnsi" w:hAnsiTheme="minorHAnsi" w:cstheme="minorHAnsi"/>
                <w:color w:val="000000" w:themeColor="text1"/>
              </w:rPr>
              <w:t>Large diffuse haematomas</w:t>
            </w:r>
          </w:p>
        </w:tc>
        <w:tc>
          <w:tcPr>
            <w:tcW w:w="567" w:type="dxa"/>
            <w:tcBorders>
              <w:top w:val="nil"/>
              <w:left w:val="nil"/>
              <w:bottom w:val="nil"/>
              <w:right w:val="nil"/>
            </w:tcBorders>
          </w:tcPr>
          <w:p w14:paraId="6C20C749"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2</w:t>
            </w:r>
          </w:p>
        </w:tc>
        <w:tc>
          <w:tcPr>
            <w:tcW w:w="992" w:type="dxa"/>
            <w:tcBorders>
              <w:top w:val="nil"/>
              <w:left w:val="nil"/>
              <w:bottom w:val="nil"/>
              <w:right w:val="nil"/>
            </w:tcBorders>
          </w:tcPr>
          <w:p w14:paraId="408A356E"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2</w:t>
            </w:r>
          </w:p>
        </w:tc>
        <w:tc>
          <w:tcPr>
            <w:tcW w:w="709" w:type="dxa"/>
            <w:tcBorders>
              <w:top w:val="nil"/>
              <w:left w:val="nil"/>
              <w:bottom w:val="nil"/>
              <w:right w:val="nil"/>
            </w:tcBorders>
          </w:tcPr>
          <w:p w14:paraId="113084D2"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1388" w:type="dxa"/>
            <w:tcBorders>
              <w:top w:val="nil"/>
              <w:left w:val="nil"/>
              <w:bottom w:val="nil"/>
              <w:right w:val="nil"/>
            </w:tcBorders>
          </w:tcPr>
          <w:p w14:paraId="0D642730"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r>
      <w:tr w:rsidR="004A143B" w:rsidRPr="00A04A32" w14:paraId="1796DDF8" w14:textId="77777777" w:rsidTr="00DD1C83">
        <w:tc>
          <w:tcPr>
            <w:tcW w:w="4248" w:type="dxa"/>
            <w:tcBorders>
              <w:top w:val="nil"/>
              <w:left w:val="nil"/>
              <w:bottom w:val="single" w:sz="4" w:space="0" w:color="auto"/>
              <w:right w:val="nil"/>
            </w:tcBorders>
          </w:tcPr>
          <w:p w14:paraId="715C24F0" w14:textId="440DE2F3" w:rsidR="004A143B" w:rsidRPr="00A04A32" w:rsidRDefault="00F157A9" w:rsidP="00F157A9">
            <w:pPr>
              <w:spacing w:line="480" w:lineRule="auto"/>
              <w:rPr>
                <w:rFonts w:asciiTheme="minorHAnsi" w:hAnsiTheme="minorHAnsi" w:cstheme="minorHAnsi"/>
                <w:color w:val="000000" w:themeColor="text1"/>
              </w:rPr>
            </w:pPr>
            <w:r>
              <w:rPr>
                <w:rFonts w:asciiTheme="minorHAnsi" w:hAnsiTheme="minorHAnsi" w:cstheme="minorHAnsi"/>
                <w:color w:val="000000" w:themeColor="text1"/>
              </w:rPr>
              <w:t xml:space="preserve">    </w:t>
            </w:r>
            <w:r w:rsidR="004A143B" w:rsidRPr="00A04A32">
              <w:rPr>
                <w:rFonts w:asciiTheme="minorHAnsi" w:hAnsiTheme="minorHAnsi" w:cstheme="minorHAnsi"/>
                <w:color w:val="000000" w:themeColor="text1"/>
              </w:rPr>
              <w:t>Epistaxis</w:t>
            </w:r>
          </w:p>
        </w:tc>
        <w:tc>
          <w:tcPr>
            <w:tcW w:w="567" w:type="dxa"/>
            <w:tcBorders>
              <w:top w:val="nil"/>
              <w:left w:val="nil"/>
              <w:bottom w:val="single" w:sz="4" w:space="0" w:color="auto"/>
              <w:right w:val="nil"/>
            </w:tcBorders>
          </w:tcPr>
          <w:p w14:paraId="7701FE80"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w:t>
            </w:r>
          </w:p>
        </w:tc>
        <w:tc>
          <w:tcPr>
            <w:tcW w:w="992" w:type="dxa"/>
            <w:tcBorders>
              <w:top w:val="nil"/>
              <w:left w:val="nil"/>
              <w:bottom w:val="single" w:sz="4" w:space="0" w:color="auto"/>
              <w:right w:val="nil"/>
            </w:tcBorders>
          </w:tcPr>
          <w:p w14:paraId="228D6352"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1</w:t>
            </w:r>
          </w:p>
        </w:tc>
        <w:tc>
          <w:tcPr>
            <w:tcW w:w="709" w:type="dxa"/>
            <w:tcBorders>
              <w:top w:val="nil"/>
              <w:left w:val="nil"/>
              <w:bottom w:val="single" w:sz="4" w:space="0" w:color="auto"/>
              <w:right w:val="nil"/>
            </w:tcBorders>
          </w:tcPr>
          <w:p w14:paraId="25280D25"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c>
          <w:tcPr>
            <w:tcW w:w="1388" w:type="dxa"/>
            <w:tcBorders>
              <w:top w:val="nil"/>
              <w:left w:val="nil"/>
              <w:bottom w:val="single" w:sz="4" w:space="0" w:color="auto"/>
              <w:right w:val="nil"/>
            </w:tcBorders>
          </w:tcPr>
          <w:p w14:paraId="0C8CFB71" w14:textId="77777777" w:rsidR="004A143B" w:rsidRPr="00A04A32" w:rsidRDefault="004A143B" w:rsidP="00F157A9">
            <w:pPr>
              <w:spacing w:line="480" w:lineRule="auto"/>
              <w:jc w:val="center"/>
              <w:rPr>
                <w:rFonts w:asciiTheme="minorHAnsi" w:hAnsiTheme="minorHAnsi" w:cstheme="minorHAnsi"/>
                <w:color w:val="000000" w:themeColor="text1"/>
              </w:rPr>
            </w:pPr>
            <w:r w:rsidRPr="00A04A32">
              <w:rPr>
                <w:rFonts w:asciiTheme="minorHAnsi" w:hAnsiTheme="minorHAnsi" w:cstheme="minorHAnsi"/>
                <w:color w:val="000000" w:themeColor="text1"/>
              </w:rPr>
              <w:t>0</w:t>
            </w:r>
          </w:p>
        </w:tc>
      </w:tr>
      <w:tr w:rsidR="004A143B" w:rsidRPr="00A04A32" w14:paraId="4991CCE5" w14:textId="77777777" w:rsidTr="00DD1C83">
        <w:tc>
          <w:tcPr>
            <w:tcW w:w="7904" w:type="dxa"/>
            <w:gridSpan w:val="5"/>
            <w:tcBorders>
              <w:left w:val="nil"/>
              <w:right w:val="nil"/>
            </w:tcBorders>
          </w:tcPr>
          <w:p w14:paraId="11CE2440" w14:textId="77777777" w:rsidR="004A143B" w:rsidRPr="00A04A32" w:rsidRDefault="004A143B" w:rsidP="00A04A32">
            <w:pPr>
              <w:spacing w:line="480" w:lineRule="auto"/>
              <w:jc w:val="both"/>
              <w:rPr>
                <w:rFonts w:asciiTheme="minorHAnsi" w:hAnsiTheme="minorHAnsi" w:cstheme="minorHAnsi"/>
                <w:b/>
                <w:color w:val="000000" w:themeColor="text1"/>
              </w:rPr>
            </w:pPr>
            <w:r w:rsidRPr="00A04A32">
              <w:rPr>
                <w:rFonts w:asciiTheme="minorHAnsi" w:hAnsiTheme="minorHAnsi" w:cstheme="minorHAnsi"/>
                <w:b/>
                <w:color w:val="000000" w:themeColor="text1"/>
              </w:rPr>
              <w:t xml:space="preserve">Table 3: Recurrent venous thromboembolism (VTE) and bleeding events following pulmonary endarterectomy  </w:t>
            </w:r>
          </w:p>
          <w:p w14:paraId="2C5164B9" w14:textId="77777777" w:rsidR="004A143B" w:rsidRPr="00A04A32" w:rsidRDefault="004A143B" w:rsidP="00A04A32">
            <w:pPr>
              <w:spacing w:line="480" w:lineRule="auto"/>
              <w:jc w:val="both"/>
              <w:rPr>
                <w:rFonts w:asciiTheme="minorHAnsi" w:hAnsiTheme="minorHAnsi" w:cstheme="minorHAnsi"/>
                <w:color w:val="FF0000"/>
              </w:rPr>
            </w:pPr>
            <w:r w:rsidRPr="00A04A32">
              <w:rPr>
                <w:rFonts w:asciiTheme="minorHAnsi" w:hAnsiTheme="minorHAnsi" w:cstheme="minorHAnsi"/>
                <w:color w:val="000000" w:themeColor="text1"/>
              </w:rPr>
              <w:t xml:space="preserve">VKA indicates Vitamin K Antagonist, DOAC; Direct Oral Anticoagulant. Major bleeding was defined as symptomatic and resulting in the need for a transfusion of at least 2 units of red cells, involving a critical site or were fatal; critical sites </w:t>
            </w:r>
            <w:r w:rsidRPr="00A04A32">
              <w:rPr>
                <w:rFonts w:asciiTheme="minorHAnsi" w:hAnsiTheme="minorHAnsi" w:cstheme="minorHAnsi"/>
                <w:color w:val="000000" w:themeColor="text1"/>
              </w:rPr>
              <w:lastRenderedPageBreak/>
              <w:t xml:space="preserve">being the central nervous system, retroperitoneum, pericardium, intraocular and respiratory tract. Clinically relevant non-major bleeding was also documented and subcategorised accordingly. </w:t>
            </w:r>
          </w:p>
        </w:tc>
      </w:tr>
    </w:tbl>
    <w:p w14:paraId="7FF0640B" w14:textId="6CC6E771" w:rsidR="004A143B" w:rsidRDefault="004A143B" w:rsidP="00A04A32">
      <w:pPr>
        <w:widowControl w:val="0"/>
        <w:autoSpaceDE w:val="0"/>
        <w:autoSpaceDN w:val="0"/>
        <w:adjustRightInd w:val="0"/>
        <w:spacing w:line="480" w:lineRule="auto"/>
        <w:ind w:left="640" w:hanging="640"/>
        <w:rPr>
          <w:rFonts w:ascii="Arial" w:hAnsi="Arial" w:cs="Arial"/>
          <w:b/>
          <w:sz w:val="22"/>
          <w:szCs w:val="22"/>
        </w:rPr>
      </w:pPr>
    </w:p>
    <w:p w14:paraId="25A9D6E2" w14:textId="7FA56740" w:rsidR="002A7457" w:rsidRDefault="002A7457" w:rsidP="00A04A32">
      <w:pPr>
        <w:widowControl w:val="0"/>
        <w:autoSpaceDE w:val="0"/>
        <w:autoSpaceDN w:val="0"/>
        <w:adjustRightInd w:val="0"/>
        <w:spacing w:line="480" w:lineRule="auto"/>
        <w:ind w:left="640" w:hanging="640"/>
        <w:rPr>
          <w:rFonts w:ascii="Arial" w:hAnsi="Arial" w:cs="Arial"/>
          <w:b/>
          <w:sz w:val="22"/>
          <w:szCs w:val="22"/>
        </w:rPr>
      </w:pPr>
    </w:p>
    <w:p w14:paraId="07770993" w14:textId="7CB701AC" w:rsidR="002A7457" w:rsidRDefault="002A7457" w:rsidP="00A04A32">
      <w:pPr>
        <w:widowControl w:val="0"/>
        <w:autoSpaceDE w:val="0"/>
        <w:autoSpaceDN w:val="0"/>
        <w:adjustRightInd w:val="0"/>
        <w:spacing w:line="480" w:lineRule="auto"/>
        <w:ind w:left="640" w:hanging="640"/>
        <w:rPr>
          <w:rFonts w:ascii="Arial" w:hAnsi="Arial" w:cs="Arial"/>
          <w:b/>
          <w:sz w:val="22"/>
          <w:szCs w:val="22"/>
        </w:rPr>
      </w:pPr>
    </w:p>
    <w:p w14:paraId="13C8294F" w14:textId="00E57F10" w:rsidR="002A7457" w:rsidRDefault="002A7457" w:rsidP="00A04A32">
      <w:pPr>
        <w:widowControl w:val="0"/>
        <w:autoSpaceDE w:val="0"/>
        <w:autoSpaceDN w:val="0"/>
        <w:adjustRightInd w:val="0"/>
        <w:spacing w:line="480" w:lineRule="auto"/>
        <w:ind w:left="640" w:hanging="640"/>
        <w:rPr>
          <w:rFonts w:ascii="Arial" w:hAnsi="Arial" w:cs="Arial"/>
          <w:b/>
          <w:sz w:val="22"/>
          <w:szCs w:val="22"/>
        </w:rPr>
      </w:pPr>
    </w:p>
    <w:p w14:paraId="7F484799" w14:textId="77777777" w:rsidR="002A7457" w:rsidRDefault="002A7457" w:rsidP="00A04A32">
      <w:pPr>
        <w:widowControl w:val="0"/>
        <w:autoSpaceDE w:val="0"/>
        <w:autoSpaceDN w:val="0"/>
        <w:adjustRightInd w:val="0"/>
        <w:spacing w:line="480" w:lineRule="auto"/>
        <w:ind w:left="640" w:hanging="640"/>
        <w:rPr>
          <w:rFonts w:ascii="Arial" w:hAnsi="Arial" w:cs="Arial"/>
          <w:b/>
          <w:sz w:val="22"/>
          <w:szCs w:val="22"/>
        </w:rPr>
      </w:pPr>
    </w:p>
    <w:p w14:paraId="74CE898D" w14:textId="2B797BE9" w:rsidR="002A7457" w:rsidRDefault="002A7457" w:rsidP="00A04A32">
      <w:pPr>
        <w:widowControl w:val="0"/>
        <w:autoSpaceDE w:val="0"/>
        <w:autoSpaceDN w:val="0"/>
        <w:adjustRightInd w:val="0"/>
        <w:spacing w:line="480" w:lineRule="auto"/>
        <w:ind w:left="640" w:hanging="640"/>
        <w:rPr>
          <w:rFonts w:ascii="Arial" w:hAnsi="Arial" w:cs="Arial"/>
          <w:b/>
          <w:sz w:val="22"/>
          <w:szCs w:val="22"/>
        </w:rPr>
      </w:pPr>
    </w:p>
    <w:p w14:paraId="1E5DBEFB" w14:textId="0D746859" w:rsidR="002A7457" w:rsidRDefault="002A7457" w:rsidP="00A04A32">
      <w:pPr>
        <w:widowControl w:val="0"/>
        <w:autoSpaceDE w:val="0"/>
        <w:autoSpaceDN w:val="0"/>
        <w:adjustRightInd w:val="0"/>
        <w:spacing w:line="480" w:lineRule="auto"/>
        <w:ind w:left="640" w:hanging="640"/>
        <w:rPr>
          <w:rFonts w:ascii="Arial" w:hAnsi="Arial" w:cs="Arial"/>
          <w:b/>
          <w:sz w:val="22"/>
          <w:szCs w:val="22"/>
        </w:rPr>
      </w:pPr>
    </w:p>
    <w:p w14:paraId="3DDAAEE7" w14:textId="77777777" w:rsidR="002A7457" w:rsidRDefault="002A7457" w:rsidP="002A7457">
      <w:pPr>
        <w:spacing w:line="480" w:lineRule="auto"/>
        <w:rPr>
          <w:rFonts w:asciiTheme="minorHAnsi" w:hAnsiTheme="minorHAnsi" w:cstheme="minorHAnsi"/>
          <w:b/>
          <w:sz w:val="22"/>
          <w:szCs w:val="22"/>
        </w:rPr>
      </w:pPr>
    </w:p>
    <w:p w14:paraId="45D3C48C" w14:textId="6827FAC2" w:rsidR="002A7457" w:rsidRDefault="002A7457" w:rsidP="00A04A32">
      <w:pPr>
        <w:widowControl w:val="0"/>
        <w:autoSpaceDE w:val="0"/>
        <w:autoSpaceDN w:val="0"/>
        <w:adjustRightInd w:val="0"/>
        <w:spacing w:line="480" w:lineRule="auto"/>
        <w:ind w:left="640" w:hanging="640"/>
        <w:rPr>
          <w:rFonts w:ascii="Arial" w:hAnsi="Arial" w:cs="Arial"/>
          <w:b/>
          <w:sz w:val="22"/>
          <w:szCs w:val="22"/>
        </w:rPr>
      </w:pPr>
    </w:p>
    <w:p w14:paraId="60CBE4C1" w14:textId="27EBF418" w:rsidR="002A7457" w:rsidRPr="00552BFD" w:rsidRDefault="002A7457" w:rsidP="00A04A32">
      <w:pPr>
        <w:widowControl w:val="0"/>
        <w:autoSpaceDE w:val="0"/>
        <w:autoSpaceDN w:val="0"/>
        <w:adjustRightInd w:val="0"/>
        <w:spacing w:line="480" w:lineRule="auto"/>
        <w:ind w:left="640" w:hanging="640"/>
        <w:rPr>
          <w:rFonts w:ascii="Arial" w:hAnsi="Arial" w:cs="Arial"/>
          <w:b/>
          <w:sz w:val="22"/>
          <w:szCs w:val="22"/>
        </w:rPr>
      </w:pPr>
    </w:p>
    <w:sectPr w:rsidR="002A7457" w:rsidRPr="00552BFD" w:rsidSect="00C13327">
      <w:footerReference w:type="even" r:id="rId22"/>
      <w:footerReference w:type="default" r:id="rId23"/>
      <w:pgSz w:w="11900" w:h="16840"/>
      <w:pgMar w:top="1440" w:right="1440" w:bottom="1440" w:left="1440" w:header="720" w:footer="720" w:gutter="0"/>
      <w:cols w:space="720"/>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069AA8" w14:textId="77777777" w:rsidR="00752BFA" w:rsidRDefault="00752BFA" w:rsidP="005E4DF7">
      <w:r>
        <w:separator/>
      </w:r>
    </w:p>
  </w:endnote>
  <w:endnote w:type="continuationSeparator" w:id="0">
    <w:p w14:paraId="1533189F" w14:textId="77777777" w:rsidR="00752BFA" w:rsidRDefault="00752BFA" w:rsidP="005E4D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Helvetica Neue">
    <w:panose1 w:val="02000503000000020004"/>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88839142"/>
      <w:docPartObj>
        <w:docPartGallery w:val="Page Numbers (Bottom of Page)"/>
        <w:docPartUnique/>
      </w:docPartObj>
    </w:sdtPr>
    <w:sdtEndPr>
      <w:rPr>
        <w:rStyle w:val="PageNumber"/>
      </w:rPr>
    </w:sdtEndPr>
    <w:sdtContent>
      <w:p w14:paraId="279D8A5D" w14:textId="47DCC943" w:rsidR="00CE1F6D" w:rsidRDefault="00CE1F6D" w:rsidP="00952DA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75CA11D" w14:textId="77777777" w:rsidR="00CE1F6D" w:rsidRDefault="00CE1F6D" w:rsidP="00E36FB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60176016"/>
      <w:docPartObj>
        <w:docPartGallery w:val="Page Numbers (Bottom of Page)"/>
        <w:docPartUnique/>
      </w:docPartObj>
    </w:sdtPr>
    <w:sdtEndPr>
      <w:rPr>
        <w:rStyle w:val="PageNumber"/>
      </w:rPr>
    </w:sdtEndPr>
    <w:sdtContent>
      <w:p w14:paraId="651A550A" w14:textId="39C04705" w:rsidR="00CE1F6D" w:rsidRDefault="00CE1F6D" w:rsidP="00952DA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10</w:t>
        </w:r>
        <w:r>
          <w:rPr>
            <w:rStyle w:val="PageNumber"/>
          </w:rPr>
          <w:fldChar w:fldCharType="end"/>
        </w:r>
      </w:p>
    </w:sdtContent>
  </w:sdt>
  <w:p w14:paraId="63B65651" w14:textId="77777777" w:rsidR="00CE1F6D" w:rsidRDefault="00CE1F6D" w:rsidP="00E36FB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E588C2" w14:textId="77777777" w:rsidR="00752BFA" w:rsidRDefault="00752BFA" w:rsidP="005E4DF7">
      <w:r>
        <w:separator/>
      </w:r>
    </w:p>
  </w:footnote>
  <w:footnote w:type="continuationSeparator" w:id="0">
    <w:p w14:paraId="7D2C8268" w14:textId="77777777" w:rsidR="00752BFA" w:rsidRDefault="00752BFA" w:rsidP="005E4D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A95119"/>
    <w:multiLevelType w:val="hybridMultilevel"/>
    <w:tmpl w:val="11AA1484"/>
    <w:lvl w:ilvl="0" w:tplc="DB48E8D6">
      <w:start w:val="3"/>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D135CE"/>
    <w:multiLevelType w:val="hybridMultilevel"/>
    <w:tmpl w:val="96B40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334449"/>
    <w:multiLevelType w:val="multilevel"/>
    <w:tmpl w:val="BC5ED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C04FA7"/>
    <w:multiLevelType w:val="hybridMultilevel"/>
    <w:tmpl w:val="CBC00882"/>
    <w:lvl w:ilvl="0" w:tplc="8F72B150">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F4675B"/>
    <w:multiLevelType w:val="hybridMultilevel"/>
    <w:tmpl w:val="44DE82A2"/>
    <w:lvl w:ilvl="0" w:tplc="3CD6668A">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B137FF"/>
    <w:multiLevelType w:val="hybridMultilevel"/>
    <w:tmpl w:val="D0AE4F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BA4826"/>
    <w:multiLevelType w:val="multilevel"/>
    <w:tmpl w:val="256A9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C60B30"/>
    <w:multiLevelType w:val="hybridMultilevel"/>
    <w:tmpl w:val="C8D65312"/>
    <w:lvl w:ilvl="0" w:tplc="EF7E3EF0">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143A57"/>
    <w:multiLevelType w:val="hybridMultilevel"/>
    <w:tmpl w:val="A7982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D96F5E"/>
    <w:multiLevelType w:val="multilevel"/>
    <w:tmpl w:val="8B9451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4A7ACA"/>
    <w:multiLevelType w:val="hybridMultilevel"/>
    <w:tmpl w:val="53F0A976"/>
    <w:lvl w:ilvl="0" w:tplc="7EA4BFC6">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371D8D"/>
    <w:multiLevelType w:val="hybridMultilevel"/>
    <w:tmpl w:val="101EC08C"/>
    <w:lvl w:ilvl="0" w:tplc="3AD8E552">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D162CE2"/>
    <w:multiLevelType w:val="hybridMultilevel"/>
    <w:tmpl w:val="AD8A331E"/>
    <w:lvl w:ilvl="0" w:tplc="A75041AC">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B570EA6"/>
    <w:multiLevelType w:val="hybridMultilevel"/>
    <w:tmpl w:val="6F36CC7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41860E7"/>
    <w:multiLevelType w:val="hybridMultilevel"/>
    <w:tmpl w:val="019ADB2E"/>
    <w:lvl w:ilvl="0" w:tplc="71A8D7D8">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B4F2B4F"/>
    <w:multiLevelType w:val="multilevel"/>
    <w:tmpl w:val="849E0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C0443E0"/>
    <w:multiLevelType w:val="hybridMultilevel"/>
    <w:tmpl w:val="6B38A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2A6B97"/>
    <w:multiLevelType w:val="hybridMultilevel"/>
    <w:tmpl w:val="90160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5D979CE"/>
    <w:multiLevelType w:val="multilevel"/>
    <w:tmpl w:val="337EF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EE5085E"/>
    <w:multiLevelType w:val="hybridMultilevel"/>
    <w:tmpl w:val="5644B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5242F4A"/>
    <w:multiLevelType w:val="multilevel"/>
    <w:tmpl w:val="C7CEA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16"/>
  </w:num>
  <w:num w:numId="3">
    <w:abstractNumId w:val="19"/>
  </w:num>
  <w:num w:numId="4">
    <w:abstractNumId w:val="12"/>
  </w:num>
  <w:num w:numId="5">
    <w:abstractNumId w:val="3"/>
  </w:num>
  <w:num w:numId="6">
    <w:abstractNumId w:val="7"/>
  </w:num>
  <w:num w:numId="7">
    <w:abstractNumId w:val="4"/>
  </w:num>
  <w:num w:numId="8">
    <w:abstractNumId w:val="11"/>
  </w:num>
  <w:num w:numId="9">
    <w:abstractNumId w:val="9"/>
  </w:num>
  <w:num w:numId="10">
    <w:abstractNumId w:val="8"/>
  </w:num>
  <w:num w:numId="11">
    <w:abstractNumId w:val="17"/>
  </w:num>
  <w:num w:numId="12">
    <w:abstractNumId w:val="1"/>
  </w:num>
  <w:num w:numId="13">
    <w:abstractNumId w:val="5"/>
  </w:num>
  <w:num w:numId="14">
    <w:abstractNumId w:val="0"/>
  </w:num>
  <w:num w:numId="15">
    <w:abstractNumId w:val="13"/>
  </w:num>
  <w:num w:numId="16">
    <w:abstractNumId w:val="14"/>
  </w:num>
  <w:num w:numId="17">
    <w:abstractNumId w:val="2"/>
  </w:num>
  <w:num w:numId="18">
    <w:abstractNumId w:val="18"/>
  </w:num>
  <w:num w:numId="19">
    <w:abstractNumId w:val="6"/>
  </w:num>
  <w:num w:numId="20">
    <w:abstractNumId w:val="20"/>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50B"/>
    <w:rsid w:val="000011AC"/>
    <w:rsid w:val="00001E75"/>
    <w:rsid w:val="00002B3D"/>
    <w:rsid w:val="00003A4A"/>
    <w:rsid w:val="00005341"/>
    <w:rsid w:val="00006C72"/>
    <w:rsid w:val="00012E4E"/>
    <w:rsid w:val="00014C62"/>
    <w:rsid w:val="00015AFB"/>
    <w:rsid w:val="000160E5"/>
    <w:rsid w:val="00016D13"/>
    <w:rsid w:val="00017A94"/>
    <w:rsid w:val="0002039A"/>
    <w:rsid w:val="00023833"/>
    <w:rsid w:val="00024714"/>
    <w:rsid w:val="00027E5A"/>
    <w:rsid w:val="00030BDC"/>
    <w:rsid w:val="00031E01"/>
    <w:rsid w:val="00032A32"/>
    <w:rsid w:val="00034BE2"/>
    <w:rsid w:val="000353C3"/>
    <w:rsid w:val="000358E8"/>
    <w:rsid w:val="000378BD"/>
    <w:rsid w:val="00040CC8"/>
    <w:rsid w:val="00044A15"/>
    <w:rsid w:val="00044FC7"/>
    <w:rsid w:val="00044FDE"/>
    <w:rsid w:val="00045652"/>
    <w:rsid w:val="00050753"/>
    <w:rsid w:val="000516F0"/>
    <w:rsid w:val="00051EF3"/>
    <w:rsid w:val="00053F1B"/>
    <w:rsid w:val="0005445A"/>
    <w:rsid w:val="000606E4"/>
    <w:rsid w:val="00064A79"/>
    <w:rsid w:val="00065650"/>
    <w:rsid w:val="00065864"/>
    <w:rsid w:val="00065BA1"/>
    <w:rsid w:val="00066DD8"/>
    <w:rsid w:val="00067011"/>
    <w:rsid w:val="000717A6"/>
    <w:rsid w:val="00072F1E"/>
    <w:rsid w:val="0007531F"/>
    <w:rsid w:val="000760E8"/>
    <w:rsid w:val="00077B76"/>
    <w:rsid w:val="00077E74"/>
    <w:rsid w:val="00084951"/>
    <w:rsid w:val="00086066"/>
    <w:rsid w:val="00091667"/>
    <w:rsid w:val="000947C1"/>
    <w:rsid w:val="000A084A"/>
    <w:rsid w:val="000A099E"/>
    <w:rsid w:val="000B03F8"/>
    <w:rsid w:val="000B2B92"/>
    <w:rsid w:val="000B3440"/>
    <w:rsid w:val="000B5484"/>
    <w:rsid w:val="000C046C"/>
    <w:rsid w:val="000C4C82"/>
    <w:rsid w:val="000D0680"/>
    <w:rsid w:val="000D0BB1"/>
    <w:rsid w:val="000D3D78"/>
    <w:rsid w:val="000D6264"/>
    <w:rsid w:val="000E7BF3"/>
    <w:rsid w:val="000F42F5"/>
    <w:rsid w:val="000F46D5"/>
    <w:rsid w:val="000F5EA2"/>
    <w:rsid w:val="001001F2"/>
    <w:rsid w:val="001017F1"/>
    <w:rsid w:val="00101D2E"/>
    <w:rsid w:val="001020CC"/>
    <w:rsid w:val="00104F90"/>
    <w:rsid w:val="0010500C"/>
    <w:rsid w:val="00107D15"/>
    <w:rsid w:val="001110A4"/>
    <w:rsid w:val="001114CD"/>
    <w:rsid w:val="0011153B"/>
    <w:rsid w:val="00114EC2"/>
    <w:rsid w:val="0011681A"/>
    <w:rsid w:val="001169E4"/>
    <w:rsid w:val="001213AA"/>
    <w:rsid w:val="00121502"/>
    <w:rsid w:val="00124DA5"/>
    <w:rsid w:val="0012602F"/>
    <w:rsid w:val="00126E26"/>
    <w:rsid w:val="00130C2A"/>
    <w:rsid w:val="00131A5D"/>
    <w:rsid w:val="0013330A"/>
    <w:rsid w:val="00134199"/>
    <w:rsid w:val="00134F6B"/>
    <w:rsid w:val="00140936"/>
    <w:rsid w:val="0014229E"/>
    <w:rsid w:val="00147FAF"/>
    <w:rsid w:val="00151599"/>
    <w:rsid w:val="001519AE"/>
    <w:rsid w:val="00151C59"/>
    <w:rsid w:val="00153A3B"/>
    <w:rsid w:val="001552F9"/>
    <w:rsid w:val="00162086"/>
    <w:rsid w:val="0016558A"/>
    <w:rsid w:val="00166E9D"/>
    <w:rsid w:val="00167256"/>
    <w:rsid w:val="00170C86"/>
    <w:rsid w:val="00173310"/>
    <w:rsid w:val="00173F2F"/>
    <w:rsid w:val="00175922"/>
    <w:rsid w:val="001802BC"/>
    <w:rsid w:val="00180AB9"/>
    <w:rsid w:val="001822A0"/>
    <w:rsid w:val="0018298A"/>
    <w:rsid w:val="00183E9A"/>
    <w:rsid w:val="00187B57"/>
    <w:rsid w:val="00194CE3"/>
    <w:rsid w:val="00195028"/>
    <w:rsid w:val="00195326"/>
    <w:rsid w:val="00195C31"/>
    <w:rsid w:val="00196D3A"/>
    <w:rsid w:val="001A13EC"/>
    <w:rsid w:val="001A21A3"/>
    <w:rsid w:val="001A26CD"/>
    <w:rsid w:val="001A384C"/>
    <w:rsid w:val="001A3DFE"/>
    <w:rsid w:val="001A4202"/>
    <w:rsid w:val="001A4320"/>
    <w:rsid w:val="001A5BB8"/>
    <w:rsid w:val="001B0229"/>
    <w:rsid w:val="001B0BE2"/>
    <w:rsid w:val="001B393A"/>
    <w:rsid w:val="001B4B6C"/>
    <w:rsid w:val="001B6A5A"/>
    <w:rsid w:val="001B6FF1"/>
    <w:rsid w:val="001B7E21"/>
    <w:rsid w:val="001C41B8"/>
    <w:rsid w:val="001C59B6"/>
    <w:rsid w:val="001C7D38"/>
    <w:rsid w:val="001C7F96"/>
    <w:rsid w:val="001D4E31"/>
    <w:rsid w:val="001D73BF"/>
    <w:rsid w:val="001D7FD0"/>
    <w:rsid w:val="001E176B"/>
    <w:rsid w:val="001E2CB0"/>
    <w:rsid w:val="001E465A"/>
    <w:rsid w:val="001E5A04"/>
    <w:rsid w:val="001E716A"/>
    <w:rsid w:val="001E7C9C"/>
    <w:rsid w:val="001E7F81"/>
    <w:rsid w:val="001F238D"/>
    <w:rsid w:val="001F50EA"/>
    <w:rsid w:val="002000AC"/>
    <w:rsid w:val="00207750"/>
    <w:rsid w:val="0021180C"/>
    <w:rsid w:val="002123E1"/>
    <w:rsid w:val="002140B6"/>
    <w:rsid w:val="002151F2"/>
    <w:rsid w:val="002157A7"/>
    <w:rsid w:val="00217CAE"/>
    <w:rsid w:val="00226FA3"/>
    <w:rsid w:val="00231B8B"/>
    <w:rsid w:val="00232DBE"/>
    <w:rsid w:val="00235A10"/>
    <w:rsid w:val="002360CC"/>
    <w:rsid w:val="00236BAB"/>
    <w:rsid w:val="002416A8"/>
    <w:rsid w:val="00242CF4"/>
    <w:rsid w:val="00243A66"/>
    <w:rsid w:val="00245CCD"/>
    <w:rsid w:val="00246C0D"/>
    <w:rsid w:val="0024702E"/>
    <w:rsid w:val="0024771B"/>
    <w:rsid w:val="00247F6E"/>
    <w:rsid w:val="002555B9"/>
    <w:rsid w:val="00256D9F"/>
    <w:rsid w:val="002601D3"/>
    <w:rsid w:val="00261041"/>
    <w:rsid w:val="00261868"/>
    <w:rsid w:val="00267369"/>
    <w:rsid w:val="0027064A"/>
    <w:rsid w:val="002713F4"/>
    <w:rsid w:val="00271851"/>
    <w:rsid w:val="00275706"/>
    <w:rsid w:val="00275722"/>
    <w:rsid w:val="00283FEC"/>
    <w:rsid w:val="002866E8"/>
    <w:rsid w:val="00290ACB"/>
    <w:rsid w:val="00290CCC"/>
    <w:rsid w:val="00294A35"/>
    <w:rsid w:val="00294ADD"/>
    <w:rsid w:val="00295776"/>
    <w:rsid w:val="0029758E"/>
    <w:rsid w:val="00297F98"/>
    <w:rsid w:val="002A0246"/>
    <w:rsid w:val="002A1211"/>
    <w:rsid w:val="002A7457"/>
    <w:rsid w:val="002B057F"/>
    <w:rsid w:val="002B1A31"/>
    <w:rsid w:val="002B1BB5"/>
    <w:rsid w:val="002B29BD"/>
    <w:rsid w:val="002B314F"/>
    <w:rsid w:val="002B5958"/>
    <w:rsid w:val="002B5FB4"/>
    <w:rsid w:val="002B7440"/>
    <w:rsid w:val="002C00EB"/>
    <w:rsid w:val="002C5988"/>
    <w:rsid w:val="002D1D19"/>
    <w:rsid w:val="002D4E00"/>
    <w:rsid w:val="002D5BB3"/>
    <w:rsid w:val="002D6D5F"/>
    <w:rsid w:val="002E0860"/>
    <w:rsid w:val="002E1EAB"/>
    <w:rsid w:val="002E20BF"/>
    <w:rsid w:val="002E373E"/>
    <w:rsid w:val="002E6DAD"/>
    <w:rsid w:val="002E6EC2"/>
    <w:rsid w:val="002F18B1"/>
    <w:rsid w:val="002F1FE8"/>
    <w:rsid w:val="002F361F"/>
    <w:rsid w:val="002F4091"/>
    <w:rsid w:val="002F5E59"/>
    <w:rsid w:val="0030127B"/>
    <w:rsid w:val="00302B37"/>
    <w:rsid w:val="00302ED1"/>
    <w:rsid w:val="003042EE"/>
    <w:rsid w:val="00304CF9"/>
    <w:rsid w:val="00305A9F"/>
    <w:rsid w:val="00307686"/>
    <w:rsid w:val="003078BA"/>
    <w:rsid w:val="00307F4E"/>
    <w:rsid w:val="00310E77"/>
    <w:rsid w:val="003129D8"/>
    <w:rsid w:val="00313E0B"/>
    <w:rsid w:val="003149E6"/>
    <w:rsid w:val="0031558F"/>
    <w:rsid w:val="0031614D"/>
    <w:rsid w:val="003164CD"/>
    <w:rsid w:val="00317180"/>
    <w:rsid w:val="00320259"/>
    <w:rsid w:val="00320E76"/>
    <w:rsid w:val="003219E8"/>
    <w:rsid w:val="00321C97"/>
    <w:rsid w:val="00322266"/>
    <w:rsid w:val="00323726"/>
    <w:rsid w:val="00323EAB"/>
    <w:rsid w:val="00324EE6"/>
    <w:rsid w:val="0032640E"/>
    <w:rsid w:val="0033114E"/>
    <w:rsid w:val="00332AEF"/>
    <w:rsid w:val="003331A6"/>
    <w:rsid w:val="003372CF"/>
    <w:rsid w:val="003409E8"/>
    <w:rsid w:val="003417F6"/>
    <w:rsid w:val="00343D1A"/>
    <w:rsid w:val="00344C40"/>
    <w:rsid w:val="00344DEB"/>
    <w:rsid w:val="003459D2"/>
    <w:rsid w:val="00345C60"/>
    <w:rsid w:val="00346A00"/>
    <w:rsid w:val="00347DC3"/>
    <w:rsid w:val="00347E5B"/>
    <w:rsid w:val="00350AED"/>
    <w:rsid w:val="0035183A"/>
    <w:rsid w:val="003574B0"/>
    <w:rsid w:val="00362C8F"/>
    <w:rsid w:val="00364064"/>
    <w:rsid w:val="003656D8"/>
    <w:rsid w:val="00367AAE"/>
    <w:rsid w:val="00367B00"/>
    <w:rsid w:val="00370688"/>
    <w:rsid w:val="00375BBE"/>
    <w:rsid w:val="003807E3"/>
    <w:rsid w:val="00380B0C"/>
    <w:rsid w:val="0038150B"/>
    <w:rsid w:val="0038351C"/>
    <w:rsid w:val="00384B9A"/>
    <w:rsid w:val="003869D1"/>
    <w:rsid w:val="0038711E"/>
    <w:rsid w:val="003901F1"/>
    <w:rsid w:val="00390B5E"/>
    <w:rsid w:val="0039364C"/>
    <w:rsid w:val="00394CC6"/>
    <w:rsid w:val="00397AA7"/>
    <w:rsid w:val="003A0FDF"/>
    <w:rsid w:val="003A1647"/>
    <w:rsid w:val="003A38EF"/>
    <w:rsid w:val="003A7E7F"/>
    <w:rsid w:val="003B08DF"/>
    <w:rsid w:val="003B2277"/>
    <w:rsid w:val="003B7A5B"/>
    <w:rsid w:val="003C2D74"/>
    <w:rsid w:val="003C468C"/>
    <w:rsid w:val="003C4E02"/>
    <w:rsid w:val="003C627D"/>
    <w:rsid w:val="003C6BB7"/>
    <w:rsid w:val="003C6E1A"/>
    <w:rsid w:val="003D18D4"/>
    <w:rsid w:val="003D293C"/>
    <w:rsid w:val="003D3550"/>
    <w:rsid w:val="003D3840"/>
    <w:rsid w:val="003D4BF2"/>
    <w:rsid w:val="003D61D1"/>
    <w:rsid w:val="003E0BBF"/>
    <w:rsid w:val="003E35B4"/>
    <w:rsid w:val="003E414D"/>
    <w:rsid w:val="003E4B82"/>
    <w:rsid w:val="003F1785"/>
    <w:rsid w:val="003F3F22"/>
    <w:rsid w:val="003F53F5"/>
    <w:rsid w:val="004012B9"/>
    <w:rsid w:val="004049A2"/>
    <w:rsid w:val="00404E4B"/>
    <w:rsid w:val="00406F23"/>
    <w:rsid w:val="00410E8F"/>
    <w:rsid w:val="00420750"/>
    <w:rsid w:val="00422428"/>
    <w:rsid w:val="00422EEE"/>
    <w:rsid w:val="00423171"/>
    <w:rsid w:val="0042478B"/>
    <w:rsid w:val="00424F65"/>
    <w:rsid w:val="004300BF"/>
    <w:rsid w:val="00432160"/>
    <w:rsid w:val="00434607"/>
    <w:rsid w:val="0043545A"/>
    <w:rsid w:val="004366FD"/>
    <w:rsid w:val="00440338"/>
    <w:rsid w:val="0044167B"/>
    <w:rsid w:val="0044213E"/>
    <w:rsid w:val="00444362"/>
    <w:rsid w:val="00446D3B"/>
    <w:rsid w:val="004508F3"/>
    <w:rsid w:val="00451C87"/>
    <w:rsid w:val="00452889"/>
    <w:rsid w:val="0045307F"/>
    <w:rsid w:val="004534A1"/>
    <w:rsid w:val="00456FA3"/>
    <w:rsid w:val="00460768"/>
    <w:rsid w:val="00461C4F"/>
    <w:rsid w:val="00461CE5"/>
    <w:rsid w:val="004646D8"/>
    <w:rsid w:val="0046756F"/>
    <w:rsid w:val="004678BA"/>
    <w:rsid w:val="00471288"/>
    <w:rsid w:val="0047250B"/>
    <w:rsid w:val="00473B8B"/>
    <w:rsid w:val="0047586A"/>
    <w:rsid w:val="004764F8"/>
    <w:rsid w:val="004831D0"/>
    <w:rsid w:val="00485161"/>
    <w:rsid w:val="004922C8"/>
    <w:rsid w:val="00494D8E"/>
    <w:rsid w:val="00496253"/>
    <w:rsid w:val="00496A3D"/>
    <w:rsid w:val="0049774F"/>
    <w:rsid w:val="004A024E"/>
    <w:rsid w:val="004A132D"/>
    <w:rsid w:val="004A143B"/>
    <w:rsid w:val="004A2A38"/>
    <w:rsid w:val="004A2DD4"/>
    <w:rsid w:val="004A3D97"/>
    <w:rsid w:val="004A4400"/>
    <w:rsid w:val="004A5B2F"/>
    <w:rsid w:val="004B12CC"/>
    <w:rsid w:val="004B26AA"/>
    <w:rsid w:val="004B278D"/>
    <w:rsid w:val="004B5FDD"/>
    <w:rsid w:val="004B6759"/>
    <w:rsid w:val="004C14E4"/>
    <w:rsid w:val="004C1C8E"/>
    <w:rsid w:val="004C22AA"/>
    <w:rsid w:val="004C4995"/>
    <w:rsid w:val="004C6CE9"/>
    <w:rsid w:val="004D1C08"/>
    <w:rsid w:val="004D657F"/>
    <w:rsid w:val="004D774B"/>
    <w:rsid w:val="004F050C"/>
    <w:rsid w:val="004F13ED"/>
    <w:rsid w:val="004F1741"/>
    <w:rsid w:val="004F2FC9"/>
    <w:rsid w:val="004F4D16"/>
    <w:rsid w:val="004F5D24"/>
    <w:rsid w:val="004F7659"/>
    <w:rsid w:val="0050274A"/>
    <w:rsid w:val="00503DD3"/>
    <w:rsid w:val="005067A6"/>
    <w:rsid w:val="00507053"/>
    <w:rsid w:val="0051146C"/>
    <w:rsid w:val="00511B43"/>
    <w:rsid w:val="00511E4E"/>
    <w:rsid w:val="00511EEA"/>
    <w:rsid w:val="00515FC5"/>
    <w:rsid w:val="005163AE"/>
    <w:rsid w:val="00517088"/>
    <w:rsid w:val="005173EF"/>
    <w:rsid w:val="00521709"/>
    <w:rsid w:val="00521DB0"/>
    <w:rsid w:val="00523C18"/>
    <w:rsid w:val="00523DB9"/>
    <w:rsid w:val="00525264"/>
    <w:rsid w:val="00525A63"/>
    <w:rsid w:val="005261E8"/>
    <w:rsid w:val="00526A11"/>
    <w:rsid w:val="00527B3F"/>
    <w:rsid w:val="00533B05"/>
    <w:rsid w:val="00533CAE"/>
    <w:rsid w:val="00534510"/>
    <w:rsid w:val="00535706"/>
    <w:rsid w:val="00541371"/>
    <w:rsid w:val="00541E42"/>
    <w:rsid w:val="0054282C"/>
    <w:rsid w:val="00544349"/>
    <w:rsid w:val="005448A8"/>
    <w:rsid w:val="00551568"/>
    <w:rsid w:val="00552BFD"/>
    <w:rsid w:val="00552E3B"/>
    <w:rsid w:val="0055307B"/>
    <w:rsid w:val="0055483A"/>
    <w:rsid w:val="005563D9"/>
    <w:rsid w:val="00556E7E"/>
    <w:rsid w:val="00557721"/>
    <w:rsid w:val="00557F0F"/>
    <w:rsid w:val="00562D35"/>
    <w:rsid w:val="0056363F"/>
    <w:rsid w:val="005642AE"/>
    <w:rsid w:val="0056493E"/>
    <w:rsid w:val="00564B9F"/>
    <w:rsid w:val="00565ACF"/>
    <w:rsid w:val="005724A2"/>
    <w:rsid w:val="0057539D"/>
    <w:rsid w:val="00582AAD"/>
    <w:rsid w:val="00586BDA"/>
    <w:rsid w:val="0058715A"/>
    <w:rsid w:val="005879BA"/>
    <w:rsid w:val="005962D0"/>
    <w:rsid w:val="005A37F8"/>
    <w:rsid w:val="005A3B59"/>
    <w:rsid w:val="005A5A70"/>
    <w:rsid w:val="005B1AB5"/>
    <w:rsid w:val="005B3D1E"/>
    <w:rsid w:val="005B5A86"/>
    <w:rsid w:val="005C4C3B"/>
    <w:rsid w:val="005C59B7"/>
    <w:rsid w:val="005C5B17"/>
    <w:rsid w:val="005D0F99"/>
    <w:rsid w:val="005D1D9C"/>
    <w:rsid w:val="005D2C75"/>
    <w:rsid w:val="005D3680"/>
    <w:rsid w:val="005D624A"/>
    <w:rsid w:val="005D7E1B"/>
    <w:rsid w:val="005E4368"/>
    <w:rsid w:val="005E4DF7"/>
    <w:rsid w:val="005E6685"/>
    <w:rsid w:val="005F2173"/>
    <w:rsid w:val="005F2EFE"/>
    <w:rsid w:val="005F39AB"/>
    <w:rsid w:val="005F4794"/>
    <w:rsid w:val="005F4F68"/>
    <w:rsid w:val="005F6130"/>
    <w:rsid w:val="005F70A9"/>
    <w:rsid w:val="005F7B4F"/>
    <w:rsid w:val="006035A0"/>
    <w:rsid w:val="00605195"/>
    <w:rsid w:val="0060553F"/>
    <w:rsid w:val="00605715"/>
    <w:rsid w:val="00614950"/>
    <w:rsid w:val="006212D8"/>
    <w:rsid w:val="00622014"/>
    <w:rsid w:val="0062287D"/>
    <w:rsid w:val="0062293B"/>
    <w:rsid w:val="00623028"/>
    <w:rsid w:val="00623F44"/>
    <w:rsid w:val="00624737"/>
    <w:rsid w:val="00627B69"/>
    <w:rsid w:val="0063175C"/>
    <w:rsid w:val="00631D10"/>
    <w:rsid w:val="006324F2"/>
    <w:rsid w:val="0063477A"/>
    <w:rsid w:val="00636DCA"/>
    <w:rsid w:val="00642EA7"/>
    <w:rsid w:val="00645207"/>
    <w:rsid w:val="00650585"/>
    <w:rsid w:val="00650C7B"/>
    <w:rsid w:val="006522FA"/>
    <w:rsid w:val="00653737"/>
    <w:rsid w:val="006555FC"/>
    <w:rsid w:val="006558A2"/>
    <w:rsid w:val="00655A5F"/>
    <w:rsid w:val="00656583"/>
    <w:rsid w:val="00660254"/>
    <w:rsid w:val="00660F4E"/>
    <w:rsid w:val="0066107F"/>
    <w:rsid w:val="0066405F"/>
    <w:rsid w:val="006706BA"/>
    <w:rsid w:val="00670B11"/>
    <w:rsid w:val="00670CAD"/>
    <w:rsid w:val="006716E7"/>
    <w:rsid w:val="00673A4C"/>
    <w:rsid w:val="00674A82"/>
    <w:rsid w:val="00675FAC"/>
    <w:rsid w:val="00680508"/>
    <w:rsid w:val="00683542"/>
    <w:rsid w:val="0068642D"/>
    <w:rsid w:val="006868AC"/>
    <w:rsid w:val="00687301"/>
    <w:rsid w:val="00687EE9"/>
    <w:rsid w:val="0069076A"/>
    <w:rsid w:val="006927D9"/>
    <w:rsid w:val="006937DB"/>
    <w:rsid w:val="0069400B"/>
    <w:rsid w:val="006961DB"/>
    <w:rsid w:val="006967F6"/>
    <w:rsid w:val="00696836"/>
    <w:rsid w:val="00697D93"/>
    <w:rsid w:val="006A1474"/>
    <w:rsid w:val="006A1EA5"/>
    <w:rsid w:val="006A421A"/>
    <w:rsid w:val="006A43FE"/>
    <w:rsid w:val="006A52CF"/>
    <w:rsid w:val="006B0B86"/>
    <w:rsid w:val="006B1AE3"/>
    <w:rsid w:val="006B1F82"/>
    <w:rsid w:val="006B323B"/>
    <w:rsid w:val="006B32A4"/>
    <w:rsid w:val="006B4B9F"/>
    <w:rsid w:val="006B4CBC"/>
    <w:rsid w:val="006C3C7A"/>
    <w:rsid w:val="006C3FCC"/>
    <w:rsid w:val="006C51C0"/>
    <w:rsid w:val="006C53EB"/>
    <w:rsid w:val="006D0BB7"/>
    <w:rsid w:val="006D1ECC"/>
    <w:rsid w:val="006D3FA8"/>
    <w:rsid w:val="006D484B"/>
    <w:rsid w:val="006D6364"/>
    <w:rsid w:val="006D7023"/>
    <w:rsid w:val="006E3E1B"/>
    <w:rsid w:val="006E4C34"/>
    <w:rsid w:val="006E6E1B"/>
    <w:rsid w:val="006F046C"/>
    <w:rsid w:val="006F079A"/>
    <w:rsid w:val="006F3388"/>
    <w:rsid w:val="006F505C"/>
    <w:rsid w:val="006F750C"/>
    <w:rsid w:val="006F76EC"/>
    <w:rsid w:val="00700E61"/>
    <w:rsid w:val="007016A6"/>
    <w:rsid w:val="0071011B"/>
    <w:rsid w:val="007119D1"/>
    <w:rsid w:val="00712423"/>
    <w:rsid w:val="007165C6"/>
    <w:rsid w:val="0071677E"/>
    <w:rsid w:val="007168B9"/>
    <w:rsid w:val="00716DD1"/>
    <w:rsid w:val="007207B9"/>
    <w:rsid w:val="0072369F"/>
    <w:rsid w:val="00723E42"/>
    <w:rsid w:val="0072780C"/>
    <w:rsid w:val="007319A6"/>
    <w:rsid w:val="0073432E"/>
    <w:rsid w:val="007363B9"/>
    <w:rsid w:val="0074395F"/>
    <w:rsid w:val="007461A4"/>
    <w:rsid w:val="00746313"/>
    <w:rsid w:val="007479E0"/>
    <w:rsid w:val="00750246"/>
    <w:rsid w:val="00750EE4"/>
    <w:rsid w:val="00752BFA"/>
    <w:rsid w:val="007557B9"/>
    <w:rsid w:val="007578C8"/>
    <w:rsid w:val="00762405"/>
    <w:rsid w:val="007641E4"/>
    <w:rsid w:val="00765A35"/>
    <w:rsid w:val="00770380"/>
    <w:rsid w:val="0077321B"/>
    <w:rsid w:val="00780EA7"/>
    <w:rsid w:val="00783A6F"/>
    <w:rsid w:val="007840F6"/>
    <w:rsid w:val="00784193"/>
    <w:rsid w:val="0078446D"/>
    <w:rsid w:val="007852DA"/>
    <w:rsid w:val="00785C61"/>
    <w:rsid w:val="007864B0"/>
    <w:rsid w:val="007925DB"/>
    <w:rsid w:val="007940BB"/>
    <w:rsid w:val="007940E1"/>
    <w:rsid w:val="007957FC"/>
    <w:rsid w:val="00797B1E"/>
    <w:rsid w:val="007A09BF"/>
    <w:rsid w:val="007A3633"/>
    <w:rsid w:val="007A4E1D"/>
    <w:rsid w:val="007A4E2D"/>
    <w:rsid w:val="007A6346"/>
    <w:rsid w:val="007A6E5D"/>
    <w:rsid w:val="007B058E"/>
    <w:rsid w:val="007B5F04"/>
    <w:rsid w:val="007B76A7"/>
    <w:rsid w:val="007C2603"/>
    <w:rsid w:val="007C72D4"/>
    <w:rsid w:val="007D14EE"/>
    <w:rsid w:val="007D2BE6"/>
    <w:rsid w:val="007D2CF7"/>
    <w:rsid w:val="007D4E94"/>
    <w:rsid w:val="007D5467"/>
    <w:rsid w:val="007D6152"/>
    <w:rsid w:val="007E0E65"/>
    <w:rsid w:val="007E3AE3"/>
    <w:rsid w:val="007E4CB4"/>
    <w:rsid w:val="007E5951"/>
    <w:rsid w:val="007E62AC"/>
    <w:rsid w:val="007F019D"/>
    <w:rsid w:val="007F0F06"/>
    <w:rsid w:val="007F11D7"/>
    <w:rsid w:val="007F1FCD"/>
    <w:rsid w:val="007F240C"/>
    <w:rsid w:val="007F31ED"/>
    <w:rsid w:val="007F35E8"/>
    <w:rsid w:val="007F5775"/>
    <w:rsid w:val="007F6270"/>
    <w:rsid w:val="007F702A"/>
    <w:rsid w:val="007F74E2"/>
    <w:rsid w:val="008002E8"/>
    <w:rsid w:val="0080099C"/>
    <w:rsid w:val="00802A4C"/>
    <w:rsid w:val="00802B87"/>
    <w:rsid w:val="008036B7"/>
    <w:rsid w:val="00803CDD"/>
    <w:rsid w:val="00806F75"/>
    <w:rsid w:val="00810AE4"/>
    <w:rsid w:val="00812645"/>
    <w:rsid w:val="00812D16"/>
    <w:rsid w:val="00813B25"/>
    <w:rsid w:val="00813C10"/>
    <w:rsid w:val="008144FC"/>
    <w:rsid w:val="00814AC2"/>
    <w:rsid w:val="00815230"/>
    <w:rsid w:val="00816873"/>
    <w:rsid w:val="00822516"/>
    <w:rsid w:val="008308CA"/>
    <w:rsid w:val="008316EB"/>
    <w:rsid w:val="008321FE"/>
    <w:rsid w:val="008337DF"/>
    <w:rsid w:val="00833E94"/>
    <w:rsid w:val="008343F1"/>
    <w:rsid w:val="00836AD8"/>
    <w:rsid w:val="00842B93"/>
    <w:rsid w:val="008438E3"/>
    <w:rsid w:val="0084572D"/>
    <w:rsid w:val="00847539"/>
    <w:rsid w:val="008477FA"/>
    <w:rsid w:val="00852D8E"/>
    <w:rsid w:val="00854C7B"/>
    <w:rsid w:val="00862841"/>
    <w:rsid w:val="00862927"/>
    <w:rsid w:val="00862DC0"/>
    <w:rsid w:val="00865EA2"/>
    <w:rsid w:val="00870F03"/>
    <w:rsid w:val="00871000"/>
    <w:rsid w:val="008718EE"/>
    <w:rsid w:val="00871EB1"/>
    <w:rsid w:val="00873193"/>
    <w:rsid w:val="00874818"/>
    <w:rsid w:val="008771DF"/>
    <w:rsid w:val="00880F5A"/>
    <w:rsid w:val="008814F8"/>
    <w:rsid w:val="00883376"/>
    <w:rsid w:val="0088493A"/>
    <w:rsid w:val="008A2DDC"/>
    <w:rsid w:val="008A49C2"/>
    <w:rsid w:val="008A6C8B"/>
    <w:rsid w:val="008B0627"/>
    <w:rsid w:val="008B1282"/>
    <w:rsid w:val="008B2D66"/>
    <w:rsid w:val="008B69D8"/>
    <w:rsid w:val="008C1A53"/>
    <w:rsid w:val="008C393C"/>
    <w:rsid w:val="008C3BFD"/>
    <w:rsid w:val="008C3F21"/>
    <w:rsid w:val="008C4032"/>
    <w:rsid w:val="008C4175"/>
    <w:rsid w:val="008C6957"/>
    <w:rsid w:val="008D46E4"/>
    <w:rsid w:val="008D494F"/>
    <w:rsid w:val="008D5ACC"/>
    <w:rsid w:val="008E1804"/>
    <w:rsid w:val="008E1C7B"/>
    <w:rsid w:val="008E575A"/>
    <w:rsid w:val="008E78F9"/>
    <w:rsid w:val="008F7119"/>
    <w:rsid w:val="00901C29"/>
    <w:rsid w:val="009040A5"/>
    <w:rsid w:val="00904491"/>
    <w:rsid w:val="00904ACC"/>
    <w:rsid w:val="00906452"/>
    <w:rsid w:val="00910A18"/>
    <w:rsid w:val="0091347E"/>
    <w:rsid w:val="0091565D"/>
    <w:rsid w:val="009160F7"/>
    <w:rsid w:val="00920A4E"/>
    <w:rsid w:val="00923A95"/>
    <w:rsid w:val="0092513B"/>
    <w:rsid w:val="00927023"/>
    <w:rsid w:val="009305B2"/>
    <w:rsid w:val="00930AAB"/>
    <w:rsid w:val="00931C22"/>
    <w:rsid w:val="00932642"/>
    <w:rsid w:val="009378B4"/>
    <w:rsid w:val="00937D06"/>
    <w:rsid w:val="00937F7C"/>
    <w:rsid w:val="009429E3"/>
    <w:rsid w:val="009433D4"/>
    <w:rsid w:val="00943656"/>
    <w:rsid w:val="0094376F"/>
    <w:rsid w:val="00945EF6"/>
    <w:rsid w:val="00947EA0"/>
    <w:rsid w:val="0095254F"/>
    <w:rsid w:val="00952DAA"/>
    <w:rsid w:val="00953CEA"/>
    <w:rsid w:val="00954179"/>
    <w:rsid w:val="00955A7A"/>
    <w:rsid w:val="00955B5D"/>
    <w:rsid w:val="00955EBD"/>
    <w:rsid w:val="009560F3"/>
    <w:rsid w:val="0096241B"/>
    <w:rsid w:val="00963C5C"/>
    <w:rsid w:val="00965CB9"/>
    <w:rsid w:val="00971453"/>
    <w:rsid w:val="0097745D"/>
    <w:rsid w:val="009811A6"/>
    <w:rsid w:val="00986A98"/>
    <w:rsid w:val="00987693"/>
    <w:rsid w:val="00990184"/>
    <w:rsid w:val="00994A5B"/>
    <w:rsid w:val="00995455"/>
    <w:rsid w:val="0099741E"/>
    <w:rsid w:val="0099744A"/>
    <w:rsid w:val="009A02F8"/>
    <w:rsid w:val="009A1232"/>
    <w:rsid w:val="009A1655"/>
    <w:rsid w:val="009A3EEF"/>
    <w:rsid w:val="009A515A"/>
    <w:rsid w:val="009A61F4"/>
    <w:rsid w:val="009A74D0"/>
    <w:rsid w:val="009B1100"/>
    <w:rsid w:val="009B1FC5"/>
    <w:rsid w:val="009B2583"/>
    <w:rsid w:val="009B2882"/>
    <w:rsid w:val="009B781A"/>
    <w:rsid w:val="009B7EA3"/>
    <w:rsid w:val="009C3F3B"/>
    <w:rsid w:val="009C5F33"/>
    <w:rsid w:val="009C6997"/>
    <w:rsid w:val="009C71CC"/>
    <w:rsid w:val="009C79F6"/>
    <w:rsid w:val="009D169F"/>
    <w:rsid w:val="009D1A62"/>
    <w:rsid w:val="009D3DC5"/>
    <w:rsid w:val="009D4076"/>
    <w:rsid w:val="009D4816"/>
    <w:rsid w:val="009E0463"/>
    <w:rsid w:val="009E2A95"/>
    <w:rsid w:val="009E4BF3"/>
    <w:rsid w:val="009E4BFC"/>
    <w:rsid w:val="009E7BF6"/>
    <w:rsid w:val="009F1AEB"/>
    <w:rsid w:val="009F5AFA"/>
    <w:rsid w:val="00A00FAA"/>
    <w:rsid w:val="00A03B54"/>
    <w:rsid w:val="00A04719"/>
    <w:rsid w:val="00A04A32"/>
    <w:rsid w:val="00A05C21"/>
    <w:rsid w:val="00A07CB8"/>
    <w:rsid w:val="00A10335"/>
    <w:rsid w:val="00A11BE4"/>
    <w:rsid w:val="00A13299"/>
    <w:rsid w:val="00A174E3"/>
    <w:rsid w:val="00A20BA1"/>
    <w:rsid w:val="00A23044"/>
    <w:rsid w:val="00A24959"/>
    <w:rsid w:val="00A25FA1"/>
    <w:rsid w:val="00A27D45"/>
    <w:rsid w:val="00A33885"/>
    <w:rsid w:val="00A33DB4"/>
    <w:rsid w:val="00A3772B"/>
    <w:rsid w:val="00A37E7A"/>
    <w:rsid w:val="00A42F46"/>
    <w:rsid w:val="00A44148"/>
    <w:rsid w:val="00A4639A"/>
    <w:rsid w:val="00A47C66"/>
    <w:rsid w:val="00A54AAF"/>
    <w:rsid w:val="00A55DEA"/>
    <w:rsid w:val="00A60506"/>
    <w:rsid w:val="00A64E92"/>
    <w:rsid w:val="00A73E0A"/>
    <w:rsid w:val="00A73FC7"/>
    <w:rsid w:val="00A7557F"/>
    <w:rsid w:val="00A773F5"/>
    <w:rsid w:val="00A8112F"/>
    <w:rsid w:val="00A81174"/>
    <w:rsid w:val="00A813F1"/>
    <w:rsid w:val="00A8310C"/>
    <w:rsid w:val="00A85A2D"/>
    <w:rsid w:val="00A86E30"/>
    <w:rsid w:val="00A90F07"/>
    <w:rsid w:val="00A93E10"/>
    <w:rsid w:val="00A95534"/>
    <w:rsid w:val="00A96F3B"/>
    <w:rsid w:val="00AA16A9"/>
    <w:rsid w:val="00AA2FD8"/>
    <w:rsid w:val="00AA6A1B"/>
    <w:rsid w:val="00AA7D6F"/>
    <w:rsid w:val="00AB0D16"/>
    <w:rsid w:val="00AB1957"/>
    <w:rsid w:val="00AB5435"/>
    <w:rsid w:val="00AB61C6"/>
    <w:rsid w:val="00AB7454"/>
    <w:rsid w:val="00AC025E"/>
    <w:rsid w:val="00AC11D8"/>
    <w:rsid w:val="00AC49B6"/>
    <w:rsid w:val="00AD2563"/>
    <w:rsid w:val="00AD3F4D"/>
    <w:rsid w:val="00AD6577"/>
    <w:rsid w:val="00AE28DB"/>
    <w:rsid w:val="00AE36FC"/>
    <w:rsid w:val="00AE7F36"/>
    <w:rsid w:val="00AF6587"/>
    <w:rsid w:val="00B01061"/>
    <w:rsid w:val="00B01F20"/>
    <w:rsid w:val="00B051CC"/>
    <w:rsid w:val="00B057BA"/>
    <w:rsid w:val="00B05F7E"/>
    <w:rsid w:val="00B14F12"/>
    <w:rsid w:val="00B23ECE"/>
    <w:rsid w:val="00B24933"/>
    <w:rsid w:val="00B310E3"/>
    <w:rsid w:val="00B3160D"/>
    <w:rsid w:val="00B31DDB"/>
    <w:rsid w:val="00B32CE6"/>
    <w:rsid w:val="00B32DE2"/>
    <w:rsid w:val="00B378AB"/>
    <w:rsid w:val="00B411D4"/>
    <w:rsid w:val="00B44566"/>
    <w:rsid w:val="00B44805"/>
    <w:rsid w:val="00B45472"/>
    <w:rsid w:val="00B45581"/>
    <w:rsid w:val="00B4601E"/>
    <w:rsid w:val="00B53452"/>
    <w:rsid w:val="00B54F4E"/>
    <w:rsid w:val="00B626FD"/>
    <w:rsid w:val="00B62709"/>
    <w:rsid w:val="00B632B6"/>
    <w:rsid w:val="00B633A0"/>
    <w:rsid w:val="00B64148"/>
    <w:rsid w:val="00B6634D"/>
    <w:rsid w:val="00B70600"/>
    <w:rsid w:val="00B7229C"/>
    <w:rsid w:val="00B72DD1"/>
    <w:rsid w:val="00B72F52"/>
    <w:rsid w:val="00B80FAE"/>
    <w:rsid w:val="00B82333"/>
    <w:rsid w:val="00B83C20"/>
    <w:rsid w:val="00B8552B"/>
    <w:rsid w:val="00B85C6C"/>
    <w:rsid w:val="00B85FEB"/>
    <w:rsid w:val="00B9040F"/>
    <w:rsid w:val="00B90CB8"/>
    <w:rsid w:val="00B92CD6"/>
    <w:rsid w:val="00B92E3D"/>
    <w:rsid w:val="00B95997"/>
    <w:rsid w:val="00B962EA"/>
    <w:rsid w:val="00BA0DEF"/>
    <w:rsid w:val="00BA2A16"/>
    <w:rsid w:val="00BA38FD"/>
    <w:rsid w:val="00BA3FA3"/>
    <w:rsid w:val="00BA5E22"/>
    <w:rsid w:val="00BA6BCC"/>
    <w:rsid w:val="00BA7FDF"/>
    <w:rsid w:val="00BB1949"/>
    <w:rsid w:val="00BB234C"/>
    <w:rsid w:val="00BB5E95"/>
    <w:rsid w:val="00BB6E0D"/>
    <w:rsid w:val="00BB6EF4"/>
    <w:rsid w:val="00BB750C"/>
    <w:rsid w:val="00BB7849"/>
    <w:rsid w:val="00BB7D0C"/>
    <w:rsid w:val="00BB7FCC"/>
    <w:rsid w:val="00BC00C6"/>
    <w:rsid w:val="00BC2050"/>
    <w:rsid w:val="00BC3151"/>
    <w:rsid w:val="00BC5A82"/>
    <w:rsid w:val="00BD0DCC"/>
    <w:rsid w:val="00BD42AC"/>
    <w:rsid w:val="00BE624F"/>
    <w:rsid w:val="00BF1DB7"/>
    <w:rsid w:val="00BF254D"/>
    <w:rsid w:val="00BF3918"/>
    <w:rsid w:val="00BF683B"/>
    <w:rsid w:val="00BF6E77"/>
    <w:rsid w:val="00BF70E6"/>
    <w:rsid w:val="00C01D4B"/>
    <w:rsid w:val="00C063FD"/>
    <w:rsid w:val="00C110F4"/>
    <w:rsid w:val="00C1126B"/>
    <w:rsid w:val="00C12F71"/>
    <w:rsid w:val="00C13327"/>
    <w:rsid w:val="00C13C49"/>
    <w:rsid w:val="00C1505D"/>
    <w:rsid w:val="00C17D38"/>
    <w:rsid w:val="00C20953"/>
    <w:rsid w:val="00C20B6A"/>
    <w:rsid w:val="00C21DC7"/>
    <w:rsid w:val="00C223A8"/>
    <w:rsid w:val="00C2341B"/>
    <w:rsid w:val="00C23B9A"/>
    <w:rsid w:val="00C24216"/>
    <w:rsid w:val="00C24525"/>
    <w:rsid w:val="00C3214E"/>
    <w:rsid w:val="00C3330A"/>
    <w:rsid w:val="00C3464B"/>
    <w:rsid w:val="00C35CD0"/>
    <w:rsid w:val="00C37455"/>
    <w:rsid w:val="00C40854"/>
    <w:rsid w:val="00C4094A"/>
    <w:rsid w:val="00C40CB8"/>
    <w:rsid w:val="00C42950"/>
    <w:rsid w:val="00C42D4E"/>
    <w:rsid w:val="00C435DD"/>
    <w:rsid w:val="00C46A6E"/>
    <w:rsid w:val="00C5018C"/>
    <w:rsid w:val="00C50655"/>
    <w:rsid w:val="00C55D1F"/>
    <w:rsid w:val="00C56192"/>
    <w:rsid w:val="00C56AC0"/>
    <w:rsid w:val="00C61E94"/>
    <w:rsid w:val="00C662CC"/>
    <w:rsid w:val="00C6649D"/>
    <w:rsid w:val="00C70F1A"/>
    <w:rsid w:val="00C72226"/>
    <w:rsid w:val="00C74B50"/>
    <w:rsid w:val="00C76A6E"/>
    <w:rsid w:val="00C77DB7"/>
    <w:rsid w:val="00C82C70"/>
    <w:rsid w:val="00C8644E"/>
    <w:rsid w:val="00C872E0"/>
    <w:rsid w:val="00C90174"/>
    <w:rsid w:val="00C90A5B"/>
    <w:rsid w:val="00C9121A"/>
    <w:rsid w:val="00C9463F"/>
    <w:rsid w:val="00C94D0B"/>
    <w:rsid w:val="00C9529A"/>
    <w:rsid w:val="00CA0C43"/>
    <w:rsid w:val="00CA0E0E"/>
    <w:rsid w:val="00CA1B3D"/>
    <w:rsid w:val="00CA24E9"/>
    <w:rsid w:val="00CA25BF"/>
    <w:rsid w:val="00CA3276"/>
    <w:rsid w:val="00CA4AD9"/>
    <w:rsid w:val="00CA69D9"/>
    <w:rsid w:val="00CA6B2E"/>
    <w:rsid w:val="00CA6FB0"/>
    <w:rsid w:val="00CB0208"/>
    <w:rsid w:val="00CB0A15"/>
    <w:rsid w:val="00CB2412"/>
    <w:rsid w:val="00CB48B9"/>
    <w:rsid w:val="00CC062F"/>
    <w:rsid w:val="00CC4011"/>
    <w:rsid w:val="00CC71C4"/>
    <w:rsid w:val="00CD0D7C"/>
    <w:rsid w:val="00CD1F6D"/>
    <w:rsid w:val="00CD2AE3"/>
    <w:rsid w:val="00CD3848"/>
    <w:rsid w:val="00CD6FAC"/>
    <w:rsid w:val="00CE0729"/>
    <w:rsid w:val="00CE1B5F"/>
    <w:rsid w:val="00CE1F6D"/>
    <w:rsid w:val="00CE20A7"/>
    <w:rsid w:val="00CE3E3C"/>
    <w:rsid w:val="00CE3FBB"/>
    <w:rsid w:val="00CE4855"/>
    <w:rsid w:val="00CE708D"/>
    <w:rsid w:val="00CE7470"/>
    <w:rsid w:val="00CF107D"/>
    <w:rsid w:val="00CF1F1D"/>
    <w:rsid w:val="00CF5A03"/>
    <w:rsid w:val="00CF6E7C"/>
    <w:rsid w:val="00CF7666"/>
    <w:rsid w:val="00CF7C5E"/>
    <w:rsid w:val="00D015FC"/>
    <w:rsid w:val="00D0291E"/>
    <w:rsid w:val="00D05D9E"/>
    <w:rsid w:val="00D07842"/>
    <w:rsid w:val="00D128F6"/>
    <w:rsid w:val="00D17B38"/>
    <w:rsid w:val="00D21DC9"/>
    <w:rsid w:val="00D27CFB"/>
    <w:rsid w:val="00D305EE"/>
    <w:rsid w:val="00D33119"/>
    <w:rsid w:val="00D35940"/>
    <w:rsid w:val="00D35D55"/>
    <w:rsid w:val="00D422D9"/>
    <w:rsid w:val="00D432DB"/>
    <w:rsid w:val="00D442DC"/>
    <w:rsid w:val="00D45498"/>
    <w:rsid w:val="00D461C2"/>
    <w:rsid w:val="00D47C0B"/>
    <w:rsid w:val="00D50F10"/>
    <w:rsid w:val="00D546A9"/>
    <w:rsid w:val="00D55438"/>
    <w:rsid w:val="00D557CD"/>
    <w:rsid w:val="00D56BA3"/>
    <w:rsid w:val="00D57079"/>
    <w:rsid w:val="00D60E32"/>
    <w:rsid w:val="00D618E0"/>
    <w:rsid w:val="00D65E82"/>
    <w:rsid w:val="00D66543"/>
    <w:rsid w:val="00D667F8"/>
    <w:rsid w:val="00D66C30"/>
    <w:rsid w:val="00D67B2F"/>
    <w:rsid w:val="00D7201A"/>
    <w:rsid w:val="00D73FCB"/>
    <w:rsid w:val="00D80C8F"/>
    <w:rsid w:val="00D8190E"/>
    <w:rsid w:val="00D82650"/>
    <w:rsid w:val="00D835ED"/>
    <w:rsid w:val="00D86E0D"/>
    <w:rsid w:val="00D91023"/>
    <w:rsid w:val="00D94379"/>
    <w:rsid w:val="00DA2276"/>
    <w:rsid w:val="00DA69FB"/>
    <w:rsid w:val="00DA7568"/>
    <w:rsid w:val="00DB42EC"/>
    <w:rsid w:val="00DB44DC"/>
    <w:rsid w:val="00DB6014"/>
    <w:rsid w:val="00DB7762"/>
    <w:rsid w:val="00DB7FEE"/>
    <w:rsid w:val="00DC5490"/>
    <w:rsid w:val="00DC5737"/>
    <w:rsid w:val="00DD1C83"/>
    <w:rsid w:val="00DD2675"/>
    <w:rsid w:val="00DD2C85"/>
    <w:rsid w:val="00DD37F0"/>
    <w:rsid w:val="00DD7259"/>
    <w:rsid w:val="00DE0799"/>
    <w:rsid w:val="00DE0A12"/>
    <w:rsid w:val="00DE31DB"/>
    <w:rsid w:val="00DF1797"/>
    <w:rsid w:val="00DF355B"/>
    <w:rsid w:val="00DF3920"/>
    <w:rsid w:val="00DF5101"/>
    <w:rsid w:val="00DF60B5"/>
    <w:rsid w:val="00DF67B0"/>
    <w:rsid w:val="00E0036A"/>
    <w:rsid w:val="00E03C37"/>
    <w:rsid w:val="00E043CC"/>
    <w:rsid w:val="00E04AFF"/>
    <w:rsid w:val="00E060F2"/>
    <w:rsid w:val="00E1033C"/>
    <w:rsid w:val="00E14F2D"/>
    <w:rsid w:val="00E162A4"/>
    <w:rsid w:val="00E17C48"/>
    <w:rsid w:val="00E204E3"/>
    <w:rsid w:val="00E206BF"/>
    <w:rsid w:val="00E22676"/>
    <w:rsid w:val="00E22991"/>
    <w:rsid w:val="00E2477C"/>
    <w:rsid w:val="00E24A91"/>
    <w:rsid w:val="00E327CE"/>
    <w:rsid w:val="00E32927"/>
    <w:rsid w:val="00E333F9"/>
    <w:rsid w:val="00E33E67"/>
    <w:rsid w:val="00E35ACC"/>
    <w:rsid w:val="00E36FB6"/>
    <w:rsid w:val="00E378A5"/>
    <w:rsid w:val="00E40BAB"/>
    <w:rsid w:val="00E457DE"/>
    <w:rsid w:val="00E51ADB"/>
    <w:rsid w:val="00E54239"/>
    <w:rsid w:val="00E56419"/>
    <w:rsid w:val="00E569A6"/>
    <w:rsid w:val="00E6298B"/>
    <w:rsid w:val="00E66E0B"/>
    <w:rsid w:val="00E73C40"/>
    <w:rsid w:val="00E73DFC"/>
    <w:rsid w:val="00E75001"/>
    <w:rsid w:val="00E81C7F"/>
    <w:rsid w:val="00E82EFF"/>
    <w:rsid w:val="00E8323E"/>
    <w:rsid w:val="00E838DC"/>
    <w:rsid w:val="00E84ABA"/>
    <w:rsid w:val="00E84FA8"/>
    <w:rsid w:val="00E85AAE"/>
    <w:rsid w:val="00E9086A"/>
    <w:rsid w:val="00E90912"/>
    <w:rsid w:val="00E9211A"/>
    <w:rsid w:val="00EA2847"/>
    <w:rsid w:val="00EA463B"/>
    <w:rsid w:val="00EA543A"/>
    <w:rsid w:val="00EA564C"/>
    <w:rsid w:val="00EA7B5F"/>
    <w:rsid w:val="00EB036F"/>
    <w:rsid w:val="00EB2C78"/>
    <w:rsid w:val="00EB52F9"/>
    <w:rsid w:val="00EC0001"/>
    <w:rsid w:val="00EC220A"/>
    <w:rsid w:val="00EC3113"/>
    <w:rsid w:val="00EC5282"/>
    <w:rsid w:val="00ED250A"/>
    <w:rsid w:val="00ED35B5"/>
    <w:rsid w:val="00ED3922"/>
    <w:rsid w:val="00ED51E3"/>
    <w:rsid w:val="00ED7898"/>
    <w:rsid w:val="00EE15E0"/>
    <w:rsid w:val="00EE40EC"/>
    <w:rsid w:val="00EE507F"/>
    <w:rsid w:val="00EE6E4A"/>
    <w:rsid w:val="00EF120B"/>
    <w:rsid w:val="00EF1493"/>
    <w:rsid w:val="00EF25DF"/>
    <w:rsid w:val="00EF35FA"/>
    <w:rsid w:val="00EF4DFE"/>
    <w:rsid w:val="00EF53B3"/>
    <w:rsid w:val="00EF5FE9"/>
    <w:rsid w:val="00F006CD"/>
    <w:rsid w:val="00F00DFC"/>
    <w:rsid w:val="00F02D4A"/>
    <w:rsid w:val="00F0300B"/>
    <w:rsid w:val="00F04757"/>
    <w:rsid w:val="00F063D7"/>
    <w:rsid w:val="00F10093"/>
    <w:rsid w:val="00F130CF"/>
    <w:rsid w:val="00F145F5"/>
    <w:rsid w:val="00F14A32"/>
    <w:rsid w:val="00F157A9"/>
    <w:rsid w:val="00F15D9A"/>
    <w:rsid w:val="00F2288B"/>
    <w:rsid w:val="00F2350D"/>
    <w:rsid w:val="00F240B2"/>
    <w:rsid w:val="00F2418B"/>
    <w:rsid w:val="00F33ADF"/>
    <w:rsid w:val="00F34F5E"/>
    <w:rsid w:val="00F3520C"/>
    <w:rsid w:val="00F402AD"/>
    <w:rsid w:val="00F433EE"/>
    <w:rsid w:val="00F4371D"/>
    <w:rsid w:val="00F43836"/>
    <w:rsid w:val="00F47C7B"/>
    <w:rsid w:val="00F51087"/>
    <w:rsid w:val="00F510BD"/>
    <w:rsid w:val="00F51AC4"/>
    <w:rsid w:val="00F55845"/>
    <w:rsid w:val="00F6051C"/>
    <w:rsid w:val="00F60C18"/>
    <w:rsid w:val="00F62B25"/>
    <w:rsid w:val="00F648FE"/>
    <w:rsid w:val="00F67227"/>
    <w:rsid w:val="00F673DC"/>
    <w:rsid w:val="00F67B1A"/>
    <w:rsid w:val="00F70E25"/>
    <w:rsid w:val="00F722F1"/>
    <w:rsid w:val="00F74C49"/>
    <w:rsid w:val="00F7688E"/>
    <w:rsid w:val="00F81930"/>
    <w:rsid w:val="00F81F63"/>
    <w:rsid w:val="00F821E9"/>
    <w:rsid w:val="00F937BC"/>
    <w:rsid w:val="00F95181"/>
    <w:rsid w:val="00F95566"/>
    <w:rsid w:val="00F96435"/>
    <w:rsid w:val="00FA1E3F"/>
    <w:rsid w:val="00FA24A6"/>
    <w:rsid w:val="00FA5046"/>
    <w:rsid w:val="00FA5E5C"/>
    <w:rsid w:val="00FA6503"/>
    <w:rsid w:val="00FA6BA4"/>
    <w:rsid w:val="00FB06DD"/>
    <w:rsid w:val="00FB0A83"/>
    <w:rsid w:val="00FB133F"/>
    <w:rsid w:val="00FC3FF2"/>
    <w:rsid w:val="00FD1CFC"/>
    <w:rsid w:val="00FD4269"/>
    <w:rsid w:val="00FD5FD3"/>
    <w:rsid w:val="00FD7B8D"/>
    <w:rsid w:val="00FE6062"/>
    <w:rsid w:val="00FE7505"/>
    <w:rsid w:val="00FF01EC"/>
    <w:rsid w:val="00FF19B6"/>
    <w:rsid w:val="00FF6121"/>
    <w:rsid w:val="00FF70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9EC382"/>
  <w14:defaultImageDpi w14:val="32767"/>
  <w15:docId w15:val="{E404E126-7B78-4EC5-9EE1-98C46DD8A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C3464B"/>
    <w:rPr>
      <w:rFonts w:ascii="Times New Roman" w:eastAsia="Times New Roman" w:hAnsi="Times New Roman" w:cs="Times New Roman"/>
      <w:lang w:val="en-GB"/>
    </w:rPr>
  </w:style>
  <w:style w:type="paragraph" w:styleId="Heading1">
    <w:name w:val="heading 1"/>
    <w:basedOn w:val="Normal"/>
    <w:link w:val="Heading1Char"/>
    <w:uiPriority w:val="9"/>
    <w:qFormat/>
    <w:rsid w:val="00673A4C"/>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semiHidden/>
    <w:unhideWhenUsed/>
    <w:qFormat/>
    <w:rsid w:val="00BB6EF4"/>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815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8150B"/>
    <w:rPr>
      <w:color w:val="0000FF"/>
      <w:u w:val="single"/>
    </w:rPr>
  </w:style>
  <w:style w:type="paragraph" w:styleId="ListParagraph">
    <w:name w:val="List Paragraph"/>
    <w:basedOn w:val="Normal"/>
    <w:uiPriority w:val="34"/>
    <w:qFormat/>
    <w:rsid w:val="0038150B"/>
    <w:pPr>
      <w:ind w:left="720"/>
      <w:contextualSpacing/>
    </w:pPr>
    <w:rPr>
      <w:rFonts w:eastAsiaTheme="minorHAnsi"/>
      <w:lang w:val="en-US"/>
    </w:rPr>
  </w:style>
  <w:style w:type="character" w:customStyle="1" w:styleId="highwire-cite-metadata-volume">
    <w:name w:val="highwire-cite-metadata-volume"/>
    <w:basedOn w:val="DefaultParagraphFont"/>
    <w:rsid w:val="0038150B"/>
  </w:style>
  <w:style w:type="character" w:customStyle="1" w:styleId="highwire-cite-metadata-pages">
    <w:name w:val="highwire-cite-metadata-pages"/>
    <w:basedOn w:val="DefaultParagraphFont"/>
    <w:rsid w:val="0038150B"/>
  </w:style>
  <w:style w:type="character" w:styleId="FollowedHyperlink">
    <w:name w:val="FollowedHyperlink"/>
    <w:basedOn w:val="DefaultParagraphFont"/>
    <w:uiPriority w:val="99"/>
    <w:semiHidden/>
    <w:unhideWhenUsed/>
    <w:rsid w:val="00C40CB8"/>
    <w:rPr>
      <w:color w:val="954F72" w:themeColor="followedHyperlink"/>
      <w:u w:val="single"/>
    </w:rPr>
  </w:style>
  <w:style w:type="character" w:styleId="Emphasis">
    <w:name w:val="Emphasis"/>
    <w:basedOn w:val="DefaultParagraphFont"/>
    <w:uiPriority w:val="20"/>
    <w:qFormat/>
    <w:rsid w:val="00B01061"/>
    <w:rPr>
      <w:i/>
      <w:iCs/>
    </w:rPr>
  </w:style>
  <w:style w:type="paragraph" w:customStyle="1" w:styleId="p">
    <w:name w:val="p"/>
    <w:basedOn w:val="Normal"/>
    <w:rsid w:val="00FF01EC"/>
    <w:pPr>
      <w:spacing w:before="100" w:beforeAutospacing="1" w:after="100" w:afterAutospacing="1"/>
    </w:pPr>
    <w:rPr>
      <w:rFonts w:eastAsiaTheme="minorHAnsi"/>
      <w:lang w:val="en-US"/>
    </w:rPr>
  </w:style>
  <w:style w:type="paragraph" w:styleId="NormalWeb">
    <w:name w:val="Normal (Web)"/>
    <w:basedOn w:val="Normal"/>
    <w:uiPriority w:val="99"/>
    <w:unhideWhenUsed/>
    <w:rsid w:val="00FF01EC"/>
    <w:pPr>
      <w:spacing w:before="100" w:beforeAutospacing="1" w:after="100" w:afterAutospacing="1"/>
    </w:pPr>
    <w:rPr>
      <w:rFonts w:eastAsiaTheme="minorHAnsi"/>
      <w:lang w:val="en-US"/>
    </w:rPr>
  </w:style>
  <w:style w:type="paragraph" w:styleId="HTMLPreformatted">
    <w:name w:val="HTML Preformatted"/>
    <w:basedOn w:val="Normal"/>
    <w:link w:val="HTMLPreformattedChar"/>
    <w:uiPriority w:val="99"/>
    <w:semiHidden/>
    <w:unhideWhenUsed/>
    <w:rsid w:val="003A7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heme="minorHAnsi"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3A7E7F"/>
    <w:rPr>
      <w:rFonts w:ascii="Courier New" w:hAnsi="Courier New" w:cs="Courier New"/>
      <w:sz w:val="20"/>
      <w:szCs w:val="20"/>
    </w:rPr>
  </w:style>
  <w:style w:type="paragraph" w:styleId="FootnoteText">
    <w:name w:val="footnote text"/>
    <w:basedOn w:val="Normal"/>
    <w:link w:val="FootnoteTextChar"/>
    <w:uiPriority w:val="99"/>
    <w:unhideWhenUsed/>
    <w:rsid w:val="005E4DF7"/>
    <w:rPr>
      <w:rFonts w:eastAsiaTheme="minorHAnsi"/>
      <w:lang w:val="en-US"/>
    </w:rPr>
  </w:style>
  <w:style w:type="character" w:customStyle="1" w:styleId="FootnoteTextChar">
    <w:name w:val="Footnote Text Char"/>
    <w:basedOn w:val="DefaultParagraphFont"/>
    <w:link w:val="FootnoteText"/>
    <w:uiPriority w:val="99"/>
    <w:rsid w:val="005E4DF7"/>
    <w:rPr>
      <w:rFonts w:ascii="Times New Roman" w:hAnsi="Times New Roman" w:cs="Times New Roman"/>
    </w:rPr>
  </w:style>
  <w:style w:type="character" w:styleId="FootnoteReference">
    <w:name w:val="footnote reference"/>
    <w:basedOn w:val="DefaultParagraphFont"/>
    <w:uiPriority w:val="99"/>
    <w:unhideWhenUsed/>
    <w:rsid w:val="005E4DF7"/>
    <w:rPr>
      <w:vertAlign w:val="superscript"/>
    </w:rPr>
  </w:style>
  <w:style w:type="character" w:styleId="CommentReference">
    <w:name w:val="annotation reference"/>
    <w:basedOn w:val="DefaultParagraphFont"/>
    <w:uiPriority w:val="99"/>
    <w:semiHidden/>
    <w:unhideWhenUsed/>
    <w:rsid w:val="00C17D38"/>
    <w:rPr>
      <w:sz w:val="16"/>
      <w:szCs w:val="16"/>
    </w:rPr>
  </w:style>
  <w:style w:type="paragraph" w:styleId="CommentText">
    <w:name w:val="annotation text"/>
    <w:basedOn w:val="Normal"/>
    <w:link w:val="CommentTextChar"/>
    <w:uiPriority w:val="99"/>
    <w:semiHidden/>
    <w:unhideWhenUsed/>
    <w:rsid w:val="00C17D38"/>
    <w:rPr>
      <w:rFonts w:eastAsiaTheme="minorHAnsi"/>
      <w:sz w:val="20"/>
      <w:szCs w:val="20"/>
      <w:lang w:val="en-US"/>
    </w:rPr>
  </w:style>
  <w:style w:type="character" w:customStyle="1" w:styleId="CommentTextChar">
    <w:name w:val="Comment Text Char"/>
    <w:basedOn w:val="DefaultParagraphFont"/>
    <w:link w:val="CommentText"/>
    <w:uiPriority w:val="99"/>
    <w:semiHidden/>
    <w:rsid w:val="00C17D38"/>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C17D38"/>
    <w:rPr>
      <w:b/>
      <w:bCs/>
    </w:rPr>
  </w:style>
  <w:style w:type="character" w:customStyle="1" w:styleId="CommentSubjectChar">
    <w:name w:val="Comment Subject Char"/>
    <w:basedOn w:val="CommentTextChar"/>
    <w:link w:val="CommentSubject"/>
    <w:uiPriority w:val="99"/>
    <w:semiHidden/>
    <w:rsid w:val="00C17D38"/>
    <w:rPr>
      <w:rFonts w:ascii="Times New Roman" w:hAnsi="Times New Roman" w:cs="Times New Roman"/>
      <w:b/>
      <w:bCs/>
      <w:sz w:val="20"/>
      <w:szCs w:val="20"/>
    </w:rPr>
  </w:style>
  <w:style w:type="paragraph" w:styleId="BalloonText">
    <w:name w:val="Balloon Text"/>
    <w:basedOn w:val="Normal"/>
    <w:link w:val="BalloonTextChar"/>
    <w:uiPriority w:val="99"/>
    <w:semiHidden/>
    <w:unhideWhenUsed/>
    <w:rsid w:val="00C17D38"/>
    <w:rPr>
      <w:rFonts w:ascii="Tahoma" w:eastAsiaTheme="minorHAnsi" w:hAnsi="Tahoma" w:cs="Tahoma"/>
      <w:sz w:val="16"/>
      <w:szCs w:val="16"/>
      <w:lang w:val="en-US"/>
    </w:rPr>
  </w:style>
  <w:style w:type="character" w:customStyle="1" w:styleId="BalloonTextChar">
    <w:name w:val="Balloon Text Char"/>
    <w:basedOn w:val="DefaultParagraphFont"/>
    <w:link w:val="BalloonText"/>
    <w:uiPriority w:val="99"/>
    <w:semiHidden/>
    <w:rsid w:val="00C17D38"/>
    <w:rPr>
      <w:rFonts w:ascii="Tahoma" w:hAnsi="Tahoma" w:cs="Tahoma"/>
      <w:sz w:val="16"/>
      <w:szCs w:val="16"/>
    </w:rPr>
  </w:style>
  <w:style w:type="paragraph" w:styleId="Revision">
    <w:name w:val="Revision"/>
    <w:hidden/>
    <w:uiPriority w:val="99"/>
    <w:semiHidden/>
    <w:rsid w:val="00EF53B3"/>
    <w:rPr>
      <w:rFonts w:ascii="Times New Roman" w:hAnsi="Times New Roman" w:cs="Times New Roman"/>
    </w:rPr>
  </w:style>
  <w:style w:type="character" w:customStyle="1" w:styleId="highlight">
    <w:name w:val="highlight"/>
    <w:basedOn w:val="DefaultParagraphFont"/>
    <w:rsid w:val="006B4B9F"/>
  </w:style>
  <w:style w:type="character" w:customStyle="1" w:styleId="number">
    <w:name w:val="number"/>
    <w:basedOn w:val="DefaultParagraphFont"/>
    <w:rsid w:val="009A02F8"/>
  </w:style>
  <w:style w:type="character" w:styleId="Strong">
    <w:name w:val="Strong"/>
    <w:basedOn w:val="DefaultParagraphFont"/>
    <w:uiPriority w:val="22"/>
    <w:qFormat/>
    <w:rsid w:val="00D45498"/>
    <w:rPr>
      <w:b/>
      <w:bCs/>
    </w:rPr>
  </w:style>
  <w:style w:type="character" w:customStyle="1" w:styleId="Heading1Char">
    <w:name w:val="Heading 1 Char"/>
    <w:basedOn w:val="DefaultParagraphFont"/>
    <w:link w:val="Heading1"/>
    <w:uiPriority w:val="9"/>
    <w:rsid w:val="00673A4C"/>
    <w:rPr>
      <w:rFonts w:ascii="Times New Roman" w:eastAsia="Times New Roman" w:hAnsi="Times New Roman" w:cs="Times New Roman"/>
      <w:b/>
      <w:bCs/>
      <w:kern w:val="36"/>
      <w:sz w:val="48"/>
      <w:szCs w:val="48"/>
      <w:lang w:val="en-GB"/>
    </w:rPr>
  </w:style>
  <w:style w:type="character" w:customStyle="1" w:styleId="highwire-citation-authors">
    <w:name w:val="highwire-citation-authors"/>
    <w:basedOn w:val="DefaultParagraphFont"/>
    <w:rsid w:val="00EF120B"/>
  </w:style>
  <w:style w:type="character" w:customStyle="1" w:styleId="highwire-citation-author">
    <w:name w:val="highwire-citation-author"/>
    <w:basedOn w:val="DefaultParagraphFont"/>
    <w:rsid w:val="00EF120B"/>
  </w:style>
  <w:style w:type="character" w:customStyle="1" w:styleId="nlm-given-names">
    <w:name w:val="nlm-given-names"/>
    <w:basedOn w:val="DefaultParagraphFont"/>
    <w:rsid w:val="00EF120B"/>
  </w:style>
  <w:style w:type="character" w:customStyle="1" w:styleId="nlm-surname">
    <w:name w:val="nlm-surname"/>
    <w:basedOn w:val="DefaultParagraphFont"/>
    <w:rsid w:val="00EF120B"/>
  </w:style>
  <w:style w:type="character" w:customStyle="1" w:styleId="highwire-cite-metadata-journal">
    <w:name w:val="highwire-cite-metadata-journal"/>
    <w:basedOn w:val="DefaultParagraphFont"/>
    <w:rsid w:val="00EF120B"/>
  </w:style>
  <w:style w:type="character" w:customStyle="1" w:styleId="highwire-cite-metadata-date">
    <w:name w:val="highwire-cite-metadata-date"/>
    <w:basedOn w:val="DefaultParagraphFont"/>
    <w:rsid w:val="00EF120B"/>
  </w:style>
  <w:style w:type="character" w:customStyle="1" w:styleId="highwire-cite-metadata-doi">
    <w:name w:val="highwire-cite-metadata-doi"/>
    <w:basedOn w:val="DefaultParagraphFont"/>
    <w:rsid w:val="00EF120B"/>
  </w:style>
  <w:style w:type="character" w:customStyle="1" w:styleId="label">
    <w:name w:val="label"/>
    <w:basedOn w:val="DefaultParagraphFont"/>
    <w:rsid w:val="00EF120B"/>
  </w:style>
  <w:style w:type="paragraph" w:styleId="Footer">
    <w:name w:val="footer"/>
    <w:basedOn w:val="Normal"/>
    <w:link w:val="FooterChar"/>
    <w:uiPriority w:val="99"/>
    <w:unhideWhenUsed/>
    <w:rsid w:val="00E36FB6"/>
    <w:pPr>
      <w:tabs>
        <w:tab w:val="center" w:pos="4680"/>
        <w:tab w:val="right" w:pos="9360"/>
      </w:tabs>
    </w:pPr>
  </w:style>
  <w:style w:type="character" w:customStyle="1" w:styleId="FooterChar">
    <w:name w:val="Footer Char"/>
    <w:basedOn w:val="DefaultParagraphFont"/>
    <w:link w:val="Footer"/>
    <w:uiPriority w:val="99"/>
    <w:rsid w:val="00E36FB6"/>
    <w:rPr>
      <w:rFonts w:ascii="Times New Roman" w:eastAsia="Times New Roman" w:hAnsi="Times New Roman" w:cs="Times New Roman"/>
      <w:lang w:val="en-GB"/>
    </w:rPr>
  </w:style>
  <w:style w:type="character" w:styleId="PageNumber">
    <w:name w:val="page number"/>
    <w:basedOn w:val="DefaultParagraphFont"/>
    <w:uiPriority w:val="99"/>
    <w:semiHidden/>
    <w:unhideWhenUsed/>
    <w:rsid w:val="00E36FB6"/>
  </w:style>
  <w:style w:type="character" w:customStyle="1" w:styleId="Heading2Char">
    <w:name w:val="Heading 2 Char"/>
    <w:basedOn w:val="DefaultParagraphFont"/>
    <w:link w:val="Heading2"/>
    <w:uiPriority w:val="9"/>
    <w:semiHidden/>
    <w:rsid w:val="00BB6EF4"/>
    <w:rPr>
      <w:rFonts w:asciiTheme="majorHAnsi" w:eastAsiaTheme="majorEastAsia" w:hAnsiTheme="majorHAnsi" w:cstheme="majorBidi"/>
      <w:color w:val="2E74B5" w:themeColor="accent1" w:themeShade="BF"/>
      <w:sz w:val="26"/>
      <w:szCs w:val="26"/>
      <w:lang w:val="en-GB"/>
    </w:rPr>
  </w:style>
  <w:style w:type="character" w:customStyle="1" w:styleId="highwire-cite-metadata-year">
    <w:name w:val="highwire-cite-metadata-year"/>
    <w:basedOn w:val="DefaultParagraphFont"/>
    <w:rsid w:val="004A143B"/>
  </w:style>
  <w:style w:type="character" w:customStyle="1" w:styleId="highwire-cite-metadata-elocation-id">
    <w:name w:val="highwire-cite-metadata-elocation-id"/>
    <w:basedOn w:val="DefaultParagraphFont"/>
    <w:rsid w:val="004A143B"/>
  </w:style>
  <w:style w:type="paragraph" w:customStyle="1" w:styleId="EndNoteBibliography">
    <w:name w:val="EndNote Bibliography"/>
    <w:basedOn w:val="Normal"/>
    <w:link w:val="EndNoteBibliographyChar"/>
    <w:rsid w:val="006558A2"/>
    <w:pPr>
      <w:spacing w:line="360" w:lineRule="auto"/>
    </w:pPr>
    <w:rPr>
      <w:rFonts w:ascii="Arial" w:eastAsiaTheme="minorHAnsi" w:hAnsi="Arial" w:cs="Arial"/>
      <w:noProof/>
      <w:lang w:val="en-US"/>
    </w:rPr>
  </w:style>
  <w:style w:type="character" w:customStyle="1" w:styleId="EndNoteBibliographyChar">
    <w:name w:val="EndNote Bibliography Char"/>
    <w:basedOn w:val="DefaultParagraphFont"/>
    <w:link w:val="EndNoteBibliography"/>
    <w:rsid w:val="006558A2"/>
    <w:rPr>
      <w:rFonts w:ascii="Arial" w:hAnsi="Arial" w:cs="Arial"/>
      <w:noProof/>
    </w:rPr>
  </w:style>
  <w:style w:type="character" w:customStyle="1" w:styleId="text">
    <w:name w:val="text"/>
    <w:basedOn w:val="DefaultParagraphFont"/>
    <w:rsid w:val="009811A6"/>
  </w:style>
  <w:style w:type="character" w:customStyle="1" w:styleId="author-ref">
    <w:name w:val="author-ref"/>
    <w:basedOn w:val="DefaultParagraphFont"/>
    <w:rsid w:val="009811A6"/>
  </w:style>
  <w:style w:type="paragraph" w:customStyle="1" w:styleId="u-mb-2">
    <w:name w:val="u-mb-2"/>
    <w:basedOn w:val="Normal"/>
    <w:rsid w:val="00655A5F"/>
    <w:pPr>
      <w:spacing w:before="100" w:beforeAutospacing="1" w:after="100" w:afterAutospacing="1"/>
    </w:pPr>
  </w:style>
  <w:style w:type="character" w:customStyle="1" w:styleId="authorsname">
    <w:name w:val="authors__name"/>
    <w:basedOn w:val="DefaultParagraphFont"/>
    <w:rsid w:val="00655A5F"/>
  </w:style>
  <w:style w:type="character" w:customStyle="1" w:styleId="authorscontact">
    <w:name w:val="authors__contact"/>
    <w:basedOn w:val="DefaultParagraphFont"/>
    <w:rsid w:val="00655A5F"/>
  </w:style>
  <w:style w:type="paragraph" w:customStyle="1" w:styleId="m-article-headerauthorsgroup">
    <w:name w:val="m-article-header__authors__group"/>
    <w:basedOn w:val="Normal"/>
    <w:rsid w:val="00034BE2"/>
    <w:pPr>
      <w:spacing w:before="100" w:beforeAutospacing="1" w:after="100" w:afterAutospacing="1"/>
    </w:pPr>
  </w:style>
  <w:style w:type="paragraph" w:customStyle="1" w:styleId="m-article-headerauthorsshow-all">
    <w:name w:val="m-article-header__authors__show-all"/>
    <w:basedOn w:val="Normal"/>
    <w:rsid w:val="00562D35"/>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52059">
      <w:bodyDiv w:val="1"/>
      <w:marLeft w:val="0"/>
      <w:marRight w:val="0"/>
      <w:marTop w:val="0"/>
      <w:marBottom w:val="0"/>
      <w:divBdr>
        <w:top w:val="none" w:sz="0" w:space="0" w:color="auto"/>
        <w:left w:val="none" w:sz="0" w:space="0" w:color="auto"/>
        <w:bottom w:val="none" w:sz="0" w:space="0" w:color="auto"/>
        <w:right w:val="none" w:sz="0" w:space="0" w:color="auto"/>
      </w:divBdr>
    </w:div>
    <w:div w:id="22555499">
      <w:bodyDiv w:val="1"/>
      <w:marLeft w:val="0"/>
      <w:marRight w:val="0"/>
      <w:marTop w:val="0"/>
      <w:marBottom w:val="0"/>
      <w:divBdr>
        <w:top w:val="none" w:sz="0" w:space="0" w:color="auto"/>
        <w:left w:val="none" w:sz="0" w:space="0" w:color="auto"/>
        <w:bottom w:val="none" w:sz="0" w:space="0" w:color="auto"/>
        <w:right w:val="none" w:sz="0" w:space="0" w:color="auto"/>
      </w:divBdr>
    </w:div>
    <w:div w:id="34890373">
      <w:bodyDiv w:val="1"/>
      <w:marLeft w:val="0"/>
      <w:marRight w:val="0"/>
      <w:marTop w:val="0"/>
      <w:marBottom w:val="0"/>
      <w:divBdr>
        <w:top w:val="none" w:sz="0" w:space="0" w:color="auto"/>
        <w:left w:val="none" w:sz="0" w:space="0" w:color="auto"/>
        <w:bottom w:val="none" w:sz="0" w:space="0" w:color="auto"/>
        <w:right w:val="none" w:sz="0" w:space="0" w:color="auto"/>
      </w:divBdr>
    </w:div>
    <w:div w:id="50151426">
      <w:bodyDiv w:val="1"/>
      <w:marLeft w:val="0"/>
      <w:marRight w:val="0"/>
      <w:marTop w:val="0"/>
      <w:marBottom w:val="0"/>
      <w:divBdr>
        <w:top w:val="none" w:sz="0" w:space="0" w:color="auto"/>
        <w:left w:val="none" w:sz="0" w:space="0" w:color="auto"/>
        <w:bottom w:val="none" w:sz="0" w:space="0" w:color="auto"/>
        <w:right w:val="none" w:sz="0" w:space="0" w:color="auto"/>
      </w:divBdr>
    </w:div>
    <w:div w:id="73673640">
      <w:bodyDiv w:val="1"/>
      <w:marLeft w:val="0"/>
      <w:marRight w:val="0"/>
      <w:marTop w:val="0"/>
      <w:marBottom w:val="0"/>
      <w:divBdr>
        <w:top w:val="none" w:sz="0" w:space="0" w:color="auto"/>
        <w:left w:val="none" w:sz="0" w:space="0" w:color="auto"/>
        <w:bottom w:val="none" w:sz="0" w:space="0" w:color="auto"/>
        <w:right w:val="none" w:sz="0" w:space="0" w:color="auto"/>
      </w:divBdr>
    </w:div>
    <w:div w:id="77748735">
      <w:bodyDiv w:val="1"/>
      <w:marLeft w:val="0"/>
      <w:marRight w:val="0"/>
      <w:marTop w:val="0"/>
      <w:marBottom w:val="0"/>
      <w:divBdr>
        <w:top w:val="none" w:sz="0" w:space="0" w:color="auto"/>
        <w:left w:val="none" w:sz="0" w:space="0" w:color="auto"/>
        <w:bottom w:val="none" w:sz="0" w:space="0" w:color="auto"/>
        <w:right w:val="none" w:sz="0" w:space="0" w:color="auto"/>
      </w:divBdr>
    </w:div>
    <w:div w:id="144205023">
      <w:bodyDiv w:val="1"/>
      <w:marLeft w:val="0"/>
      <w:marRight w:val="0"/>
      <w:marTop w:val="0"/>
      <w:marBottom w:val="0"/>
      <w:divBdr>
        <w:top w:val="none" w:sz="0" w:space="0" w:color="auto"/>
        <w:left w:val="none" w:sz="0" w:space="0" w:color="auto"/>
        <w:bottom w:val="none" w:sz="0" w:space="0" w:color="auto"/>
        <w:right w:val="none" w:sz="0" w:space="0" w:color="auto"/>
      </w:divBdr>
    </w:div>
    <w:div w:id="206994418">
      <w:bodyDiv w:val="1"/>
      <w:marLeft w:val="0"/>
      <w:marRight w:val="0"/>
      <w:marTop w:val="0"/>
      <w:marBottom w:val="0"/>
      <w:divBdr>
        <w:top w:val="none" w:sz="0" w:space="0" w:color="auto"/>
        <w:left w:val="none" w:sz="0" w:space="0" w:color="auto"/>
        <w:bottom w:val="none" w:sz="0" w:space="0" w:color="auto"/>
        <w:right w:val="none" w:sz="0" w:space="0" w:color="auto"/>
      </w:divBdr>
    </w:div>
    <w:div w:id="229728257">
      <w:bodyDiv w:val="1"/>
      <w:marLeft w:val="0"/>
      <w:marRight w:val="0"/>
      <w:marTop w:val="0"/>
      <w:marBottom w:val="0"/>
      <w:divBdr>
        <w:top w:val="none" w:sz="0" w:space="0" w:color="auto"/>
        <w:left w:val="none" w:sz="0" w:space="0" w:color="auto"/>
        <w:bottom w:val="none" w:sz="0" w:space="0" w:color="auto"/>
        <w:right w:val="none" w:sz="0" w:space="0" w:color="auto"/>
      </w:divBdr>
    </w:div>
    <w:div w:id="239364648">
      <w:bodyDiv w:val="1"/>
      <w:marLeft w:val="0"/>
      <w:marRight w:val="0"/>
      <w:marTop w:val="0"/>
      <w:marBottom w:val="0"/>
      <w:divBdr>
        <w:top w:val="none" w:sz="0" w:space="0" w:color="auto"/>
        <w:left w:val="none" w:sz="0" w:space="0" w:color="auto"/>
        <w:bottom w:val="none" w:sz="0" w:space="0" w:color="auto"/>
        <w:right w:val="none" w:sz="0" w:space="0" w:color="auto"/>
      </w:divBdr>
    </w:div>
    <w:div w:id="250436934">
      <w:bodyDiv w:val="1"/>
      <w:marLeft w:val="0"/>
      <w:marRight w:val="0"/>
      <w:marTop w:val="0"/>
      <w:marBottom w:val="0"/>
      <w:divBdr>
        <w:top w:val="none" w:sz="0" w:space="0" w:color="auto"/>
        <w:left w:val="none" w:sz="0" w:space="0" w:color="auto"/>
        <w:bottom w:val="none" w:sz="0" w:space="0" w:color="auto"/>
        <w:right w:val="none" w:sz="0" w:space="0" w:color="auto"/>
      </w:divBdr>
    </w:div>
    <w:div w:id="252977944">
      <w:bodyDiv w:val="1"/>
      <w:marLeft w:val="0"/>
      <w:marRight w:val="0"/>
      <w:marTop w:val="0"/>
      <w:marBottom w:val="0"/>
      <w:divBdr>
        <w:top w:val="none" w:sz="0" w:space="0" w:color="auto"/>
        <w:left w:val="none" w:sz="0" w:space="0" w:color="auto"/>
        <w:bottom w:val="none" w:sz="0" w:space="0" w:color="auto"/>
        <w:right w:val="none" w:sz="0" w:space="0" w:color="auto"/>
      </w:divBdr>
    </w:div>
    <w:div w:id="277611626">
      <w:bodyDiv w:val="1"/>
      <w:marLeft w:val="0"/>
      <w:marRight w:val="0"/>
      <w:marTop w:val="0"/>
      <w:marBottom w:val="0"/>
      <w:divBdr>
        <w:top w:val="none" w:sz="0" w:space="0" w:color="auto"/>
        <w:left w:val="none" w:sz="0" w:space="0" w:color="auto"/>
        <w:bottom w:val="none" w:sz="0" w:space="0" w:color="auto"/>
        <w:right w:val="none" w:sz="0" w:space="0" w:color="auto"/>
      </w:divBdr>
      <w:divsChild>
        <w:div w:id="100610841">
          <w:marLeft w:val="0"/>
          <w:marRight w:val="0"/>
          <w:marTop w:val="75"/>
          <w:marBottom w:val="0"/>
          <w:divBdr>
            <w:top w:val="none" w:sz="0" w:space="0" w:color="auto"/>
            <w:left w:val="none" w:sz="0" w:space="0" w:color="auto"/>
            <w:bottom w:val="none" w:sz="0" w:space="0" w:color="auto"/>
            <w:right w:val="none" w:sz="0" w:space="0" w:color="auto"/>
          </w:divBdr>
        </w:div>
        <w:div w:id="1258976398">
          <w:marLeft w:val="0"/>
          <w:marRight w:val="0"/>
          <w:marTop w:val="75"/>
          <w:marBottom w:val="0"/>
          <w:divBdr>
            <w:top w:val="none" w:sz="0" w:space="0" w:color="auto"/>
            <w:left w:val="none" w:sz="0" w:space="0" w:color="auto"/>
            <w:bottom w:val="none" w:sz="0" w:space="0" w:color="auto"/>
            <w:right w:val="none" w:sz="0" w:space="0" w:color="auto"/>
          </w:divBdr>
        </w:div>
      </w:divsChild>
    </w:div>
    <w:div w:id="285965208">
      <w:bodyDiv w:val="1"/>
      <w:marLeft w:val="0"/>
      <w:marRight w:val="0"/>
      <w:marTop w:val="0"/>
      <w:marBottom w:val="0"/>
      <w:divBdr>
        <w:top w:val="none" w:sz="0" w:space="0" w:color="auto"/>
        <w:left w:val="none" w:sz="0" w:space="0" w:color="auto"/>
        <w:bottom w:val="none" w:sz="0" w:space="0" w:color="auto"/>
        <w:right w:val="none" w:sz="0" w:space="0" w:color="auto"/>
      </w:divBdr>
    </w:div>
    <w:div w:id="296959717">
      <w:bodyDiv w:val="1"/>
      <w:marLeft w:val="0"/>
      <w:marRight w:val="0"/>
      <w:marTop w:val="0"/>
      <w:marBottom w:val="0"/>
      <w:divBdr>
        <w:top w:val="none" w:sz="0" w:space="0" w:color="auto"/>
        <w:left w:val="none" w:sz="0" w:space="0" w:color="auto"/>
        <w:bottom w:val="none" w:sz="0" w:space="0" w:color="auto"/>
        <w:right w:val="none" w:sz="0" w:space="0" w:color="auto"/>
      </w:divBdr>
    </w:div>
    <w:div w:id="308677341">
      <w:bodyDiv w:val="1"/>
      <w:marLeft w:val="0"/>
      <w:marRight w:val="0"/>
      <w:marTop w:val="0"/>
      <w:marBottom w:val="0"/>
      <w:divBdr>
        <w:top w:val="none" w:sz="0" w:space="0" w:color="auto"/>
        <w:left w:val="none" w:sz="0" w:space="0" w:color="auto"/>
        <w:bottom w:val="none" w:sz="0" w:space="0" w:color="auto"/>
        <w:right w:val="none" w:sz="0" w:space="0" w:color="auto"/>
      </w:divBdr>
      <w:divsChild>
        <w:div w:id="490298480">
          <w:marLeft w:val="0"/>
          <w:marRight w:val="0"/>
          <w:marTop w:val="0"/>
          <w:marBottom w:val="0"/>
          <w:divBdr>
            <w:top w:val="none" w:sz="0" w:space="0" w:color="auto"/>
            <w:left w:val="none" w:sz="0" w:space="0" w:color="auto"/>
            <w:bottom w:val="none" w:sz="0" w:space="0" w:color="auto"/>
            <w:right w:val="none" w:sz="0" w:space="0" w:color="auto"/>
          </w:divBdr>
        </w:div>
        <w:div w:id="1427648932">
          <w:marLeft w:val="0"/>
          <w:marRight w:val="0"/>
          <w:marTop w:val="0"/>
          <w:marBottom w:val="0"/>
          <w:divBdr>
            <w:top w:val="none" w:sz="0" w:space="0" w:color="auto"/>
            <w:left w:val="none" w:sz="0" w:space="0" w:color="auto"/>
            <w:bottom w:val="none" w:sz="0" w:space="0" w:color="auto"/>
            <w:right w:val="none" w:sz="0" w:space="0" w:color="auto"/>
          </w:divBdr>
        </w:div>
        <w:div w:id="1776167259">
          <w:marLeft w:val="0"/>
          <w:marRight w:val="0"/>
          <w:marTop w:val="0"/>
          <w:marBottom w:val="0"/>
          <w:divBdr>
            <w:top w:val="none" w:sz="0" w:space="0" w:color="auto"/>
            <w:left w:val="none" w:sz="0" w:space="0" w:color="auto"/>
            <w:bottom w:val="none" w:sz="0" w:space="0" w:color="auto"/>
            <w:right w:val="none" w:sz="0" w:space="0" w:color="auto"/>
          </w:divBdr>
        </w:div>
      </w:divsChild>
    </w:div>
    <w:div w:id="332029634">
      <w:bodyDiv w:val="1"/>
      <w:marLeft w:val="0"/>
      <w:marRight w:val="0"/>
      <w:marTop w:val="0"/>
      <w:marBottom w:val="0"/>
      <w:divBdr>
        <w:top w:val="none" w:sz="0" w:space="0" w:color="auto"/>
        <w:left w:val="none" w:sz="0" w:space="0" w:color="auto"/>
        <w:bottom w:val="none" w:sz="0" w:space="0" w:color="auto"/>
        <w:right w:val="none" w:sz="0" w:space="0" w:color="auto"/>
      </w:divBdr>
    </w:div>
    <w:div w:id="353967804">
      <w:bodyDiv w:val="1"/>
      <w:marLeft w:val="0"/>
      <w:marRight w:val="0"/>
      <w:marTop w:val="0"/>
      <w:marBottom w:val="0"/>
      <w:divBdr>
        <w:top w:val="none" w:sz="0" w:space="0" w:color="auto"/>
        <w:left w:val="none" w:sz="0" w:space="0" w:color="auto"/>
        <w:bottom w:val="none" w:sz="0" w:space="0" w:color="auto"/>
        <w:right w:val="none" w:sz="0" w:space="0" w:color="auto"/>
      </w:divBdr>
    </w:div>
    <w:div w:id="366373252">
      <w:bodyDiv w:val="1"/>
      <w:marLeft w:val="0"/>
      <w:marRight w:val="0"/>
      <w:marTop w:val="0"/>
      <w:marBottom w:val="0"/>
      <w:divBdr>
        <w:top w:val="none" w:sz="0" w:space="0" w:color="auto"/>
        <w:left w:val="none" w:sz="0" w:space="0" w:color="auto"/>
        <w:bottom w:val="none" w:sz="0" w:space="0" w:color="auto"/>
        <w:right w:val="none" w:sz="0" w:space="0" w:color="auto"/>
      </w:divBdr>
    </w:div>
    <w:div w:id="410741491">
      <w:bodyDiv w:val="1"/>
      <w:marLeft w:val="0"/>
      <w:marRight w:val="0"/>
      <w:marTop w:val="0"/>
      <w:marBottom w:val="0"/>
      <w:divBdr>
        <w:top w:val="none" w:sz="0" w:space="0" w:color="auto"/>
        <w:left w:val="none" w:sz="0" w:space="0" w:color="auto"/>
        <w:bottom w:val="none" w:sz="0" w:space="0" w:color="auto"/>
        <w:right w:val="none" w:sz="0" w:space="0" w:color="auto"/>
      </w:divBdr>
    </w:div>
    <w:div w:id="427968330">
      <w:bodyDiv w:val="1"/>
      <w:marLeft w:val="0"/>
      <w:marRight w:val="0"/>
      <w:marTop w:val="0"/>
      <w:marBottom w:val="0"/>
      <w:divBdr>
        <w:top w:val="none" w:sz="0" w:space="0" w:color="auto"/>
        <w:left w:val="none" w:sz="0" w:space="0" w:color="auto"/>
        <w:bottom w:val="none" w:sz="0" w:space="0" w:color="auto"/>
        <w:right w:val="none" w:sz="0" w:space="0" w:color="auto"/>
      </w:divBdr>
    </w:div>
    <w:div w:id="435250864">
      <w:bodyDiv w:val="1"/>
      <w:marLeft w:val="0"/>
      <w:marRight w:val="0"/>
      <w:marTop w:val="0"/>
      <w:marBottom w:val="0"/>
      <w:divBdr>
        <w:top w:val="none" w:sz="0" w:space="0" w:color="auto"/>
        <w:left w:val="none" w:sz="0" w:space="0" w:color="auto"/>
        <w:bottom w:val="none" w:sz="0" w:space="0" w:color="auto"/>
        <w:right w:val="none" w:sz="0" w:space="0" w:color="auto"/>
      </w:divBdr>
    </w:div>
    <w:div w:id="454908503">
      <w:bodyDiv w:val="1"/>
      <w:marLeft w:val="0"/>
      <w:marRight w:val="0"/>
      <w:marTop w:val="0"/>
      <w:marBottom w:val="0"/>
      <w:divBdr>
        <w:top w:val="none" w:sz="0" w:space="0" w:color="auto"/>
        <w:left w:val="none" w:sz="0" w:space="0" w:color="auto"/>
        <w:bottom w:val="none" w:sz="0" w:space="0" w:color="auto"/>
        <w:right w:val="none" w:sz="0" w:space="0" w:color="auto"/>
      </w:divBdr>
    </w:div>
    <w:div w:id="520778724">
      <w:bodyDiv w:val="1"/>
      <w:marLeft w:val="0"/>
      <w:marRight w:val="0"/>
      <w:marTop w:val="0"/>
      <w:marBottom w:val="0"/>
      <w:divBdr>
        <w:top w:val="none" w:sz="0" w:space="0" w:color="auto"/>
        <w:left w:val="none" w:sz="0" w:space="0" w:color="auto"/>
        <w:bottom w:val="none" w:sz="0" w:space="0" w:color="auto"/>
        <w:right w:val="none" w:sz="0" w:space="0" w:color="auto"/>
      </w:divBdr>
    </w:div>
    <w:div w:id="528763409">
      <w:bodyDiv w:val="1"/>
      <w:marLeft w:val="0"/>
      <w:marRight w:val="0"/>
      <w:marTop w:val="0"/>
      <w:marBottom w:val="0"/>
      <w:divBdr>
        <w:top w:val="none" w:sz="0" w:space="0" w:color="auto"/>
        <w:left w:val="none" w:sz="0" w:space="0" w:color="auto"/>
        <w:bottom w:val="none" w:sz="0" w:space="0" w:color="auto"/>
        <w:right w:val="none" w:sz="0" w:space="0" w:color="auto"/>
      </w:divBdr>
    </w:div>
    <w:div w:id="581765597">
      <w:bodyDiv w:val="1"/>
      <w:marLeft w:val="0"/>
      <w:marRight w:val="0"/>
      <w:marTop w:val="0"/>
      <w:marBottom w:val="0"/>
      <w:divBdr>
        <w:top w:val="none" w:sz="0" w:space="0" w:color="auto"/>
        <w:left w:val="none" w:sz="0" w:space="0" w:color="auto"/>
        <w:bottom w:val="none" w:sz="0" w:space="0" w:color="auto"/>
        <w:right w:val="none" w:sz="0" w:space="0" w:color="auto"/>
      </w:divBdr>
    </w:div>
    <w:div w:id="610284695">
      <w:bodyDiv w:val="1"/>
      <w:marLeft w:val="0"/>
      <w:marRight w:val="0"/>
      <w:marTop w:val="0"/>
      <w:marBottom w:val="0"/>
      <w:divBdr>
        <w:top w:val="none" w:sz="0" w:space="0" w:color="auto"/>
        <w:left w:val="none" w:sz="0" w:space="0" w:color="auto"/>
        <w:bottom w:val="none" w:sz="0" w:space="0" w:color="auto"/>
        <w:right w:val="none" w:sz="0" w:space="0" w:color="auto"/>
      </w:divBdr>
    </w:div>
    <w:div w:id="705570209">
      <w:bodyDiv w:val="1"/>
      <w:marLeft w:val="0"/>
      <w:marRight w:val="0"/>
      <w:marTop w:val="0"/>
      <w:marBottom w:val="0"/>
      <w:divBdr>
        <w:top w:val="none" w:sz="0" w:space="0" w:color="auto"/>
        <w:left w:val="none" w:sz="0" w:space="0" w:color="auto"/>
        <w:bottom w:val="none" w:sz="0" w:space="0" w:color="auto"/>
        <w:right w:val="none" w:sz="0" w:space="0" w:color="auto"/>
      </w:divBdr>
      <w:divsChild>
        <w:div w:id="1714498982">
          <w:marLeft w:val="0"/>
          <w:marRight w:val="0"/>
          <w:marTop w:val="75"/>
          <w:marBottom w:val="0"/>
          <w:divBdr>
            <w:top w:val="none" w:sz="0" w:space="0" w:color="auto"/>
            <w:left w:val="none" w:sz="0" w:space="0" w:color="auto"/>
            <w:bottom w:val="none" w:sz="0" w:space="0" w:color="auto"/>
            <w:right w:val="none" w:sz="0" w:space="0" w:color="auto"/>
          </w:divBdr>
        </w:div>
        <w:div w:id="1502164917">
          <w:marLeft w:val="0"/>
          <w:marRight w:val="0"/>
          <w:marTop w:val="75"/>
          <w:marBottom w:val="0"/>
          <w:divBdr>
            <w:top w:val="none" w:sz="0" w:space="0" w:color="auto"/>
            <w:left w:val="none" w:sz="0" w:space="0" w:color="auto"/>
            <w:bottom w:val="none" w:sz="0" w:space="0" w:color="auto"/>
            <w:right w:val="none" w:sz="0" w:space="0" w:color="auto"/>
          </w:divBdr>
        </w:div>
      </w:divsChild>
    </w:div>
    <w:div w:id="709961672">
      <w:bodyDiv w:val="1"/>
      <w:marLeft w:val="0"/>
      <w:marRight w:val="0"/>
      <w:marTop w:val="0"/>
      <w:marBottom w:val="0"/>
      <w:divBdr>
        <w:top w:val="none" w:sz="0" w:space="0" w:color="auto"/>
        <w:left w:val="none" w:sz="0" w:space="0" w:color="auto"/>
        <w:bottom w:val="none" w:sz="0" w:space="0" w:color="auto"/>
        <w:right w:val="none" w:sz="0" w:space="0" w:color="auto"/>
      </w:divBdr>
    </w:div>
    <w:div w:id="716702944">
      <w:bodyDiv w:val="1"/>
      <w:marLeft w:val="0"/>
      <w:marRight w:val="0"/>
      <w:marTop w:val="0"/>
      <w:marBottom w:val="0"/>
      <w:divBdr>
        <w:top w:val="none" w:sz="0" w:space="0" w:color="auto"/>
        <w:left w:val="none" w:sz="0" w:space="0" w:color="auto"/>
        <w:bottom w:val="none" w:sz="0" w:space="0" w:color="auto"/>
        <w:right w:val="none" w:sz="0" w:space="0" w:color="auto"/>
      </w:divBdr>
    </w:div>
    <w:div w:id="733695279">
      <w:bodyDiv w:val="1"/>
      <w:marLeft w:val="0"/>
      <w:marRight w:val="0"/>
      <w:marTop w:val="0"/>
      <w:marBottom w:val="0"/>
      <w:divBdr>
        <w:top w:val="none" w:sz="0" w:space="0" w:color="auto"/>
        <w:left w:val="none" w:sz="0" w:space="0" w:color="auto"/>
        <w:bottom w:val="none" w:sz="0" w:space="0" w:color="auto"/>
        <w:right w:val="none" w:sz="0" w:space="0" w:color="auto"/>
      </w:divBdr>
    </w:div>
    <w:div w:id="738941393">
      <w:bodyDiv w:val="1"/>
      <w:marLeft w:val="0"/>
      <w:marRight w:val="0"/>
      <w:marTop w:val="0"/>
      <w:marBottom w:val="0"/>
      <w:divBdr>
        <w:top w:val="none" w:sz="0" w:space="0" w:color="auto"/>
        <w:left w:val="none" w:sz="0" w:space="0" w:color="auto"/>
        <w:bottom w:val="none" w:sz="0" w:space="0" w:color="auto"/>
        <w:right w:val="none" w:sz="0" w:space="0" w:color="auto"/>
      </w:divBdr>
    </w:div>
    <w:div w:id="762383707">
      <w:bodyDiv w:val="1"/>
      <w:marLeft w:val="0"/>
      <w:marRight w:val="0"/>
      <w:marTop w:val="0"/>
      <w:marBottom w:val="0"/>
      <w:divBdr>
        <w:top w:val="none" w:sz="0" w:space="0" w:color="auto"/>
        <w:left w:val="none" w:sz="0" w:space="0" w:color="auto"/>
        <w:bottom w:val="none" w:sz="0" w:space="0" w:color="auto"/>
        <w:right w:val="none" w:sz="0" w:space="0" w:color="auto"/>
      </w:divBdr>
      <w:divsChild>
        <w:div w:id="1330675685">
          <w:marLeft w:val="0"/>
          <w:marRight w:val="0"/>
          <w:marTop w:val="75"/>
          <w:marBottom w:val="0"/>
          <w:divBdr>
            <w:top w:val="none" w:sz="0" w:space="0" w:color="auto"/>
            <w:left w:val="none" w:sz="0" w:space="0" w:color="auto"/>
            <w:bottom w:val="none" w:sz="0" w:space="0" w:color="auto"/>
            <w:right w:val="none" w:sz="0" w:space="0" w:color="auto"/>
          </w:divBdr>
        </w:div>
        <w:div w:id="583995558">
          <w:marLeft w:val="0"/>
          <w:marRight w:val="0"/>
          <w:marTop w:val="75"/>
          <w:marBottom w:val="0"/>
          <w:divBdr>
            <w:top w:val="none" w:sz="0" w:space="0" w:color="auto"/>
            <w:left w:val="none" w:sz="0" w:space="0" w:color="auto"/>
            <w:bottom w:val="none" w:sz="0" w:space="0" w:color="auto"/>
            <w:right w:val="none" w:sz="0" w:space="0" w:color="auto"/>
          </w:divBdr>
        </w:div>
      </w:divsChild>
    </w:div>
    <w:div w:id="765031646">
      <w:bodyDiv w:val="1"/>
      <w:marLeft w:val="0"/>
      <w:marRight w:val="0"/>
      <w:marTop w:val="0"/>
      <w:marBottom w:val="0"/>
      <w:divBdr>
        <w:top w:val="none" w:sz="0" w:space="0" w:color="auto"/>
        <w:left w:val="none" w:sz="0" w:space="0" w:color="auto"/>
        <w:bottom w:val="none" w:sz="0" w:space="0" w:color="auto"/>
        <w:right w:val="none" w:sz="0" w:space="0" w:color="auto"/>
      </w:divBdr>
      <w:divsChild>
        <w:div w:id="518471255">
          <w:marLeft w:val="0"/>
          <w:marRight w:val="0"/>
          <w:marTop w:val="0"/>
          <w:marBottom w:val="0"/>
          <w:divBdr>
            <w:top w:val="none" w:sz="0" w:space="0" w:color="auto"/>
            <w:left w:val="none" w:sz="0" w:space="0" w:color="auto"/>
            <w:bottom w:val="none" w:sz="0" w:space="0" w:color="auto"/>
            <w:right w:val="none" w:sz="0" w:space="0" w:color="auto"/>
          </w:divBdr>
        </w:div>
        <w:div w:id="419303665">
          <w:marLeft w:val="0"/>
          <w:marRight w:val="0"/>
          <w:marTop w:val="0"/>
          <w:marBottom w:val="0"/>
          <w:divBdr>
            <w:top w:val="none" w:sz="0" w:space="0" w:color="auto"/>
            <w:left w:val="none" w:sz="0" w:space="0" w:color="auto"/>
            <w:bottom w:val="none" w:sz="0" w:space="0" w:color="auto"/>
            <w:right w:val="none" w:sz="0" w:space="0" w:color="auto"/>
          </w:divBdr>
        </w:div>
        <w:div w:id="1896816893">
          <w:marLeft w:val="0"/>
          <w:marRight w:val="0"/>
          <w:marTop w:val="0"/>
          <w:marBottom w:val="0"/>
          <w:divBdr>
            <w:top w:val="none" w:sz="0" w:space="0" w:color="auto"/>
            <w:left w:val="none" w:sz="0" w:space="0" w:color="auto"/>
            <w:bottom w:val="none" w:sz="0" w:space="0" w:color="auto"/>
            <w:right w:val="none" w:sz="0" w:space="0" w:color="auto"/>
          </w:divBdr>
        </w:div>
      </w:divsChild>
    </w:div>
    <w:div w:id="779878921">
      <w:bodyDiv w:val="1"/>
      <w:marLeft w:val="0"/>
      <w:marRight w:val="0"/>
      <w:marTop w:val="0"/>
      <w:marBottom w:val="0"/>
      <w:divBdr>
        <w:top w:val="none" w:sz="0" w:space="0" w:color="auto"/>
        <w:left w:val="none" w:sz="0" w:space="0" w:color="auto"/>
        <w:bottom w:val="none" w:sz="0" w:space="0" w:color="auto"/>
        <w:right w:val="none" w:sz="0" w:space="0" w:color="auto"/>
      </w:divBdr>
    </w:div>
    <w:div w:id="787895447">
      <w:bodyDiv w:val="1"/>
      <w:marLeft w:val="0"/>
      <w:marRight w:val="0"/>
      <w:marTop w:val="0"/>
      <w:marBottom w:val="0"/>
      <w:divBdr>
        <w:top w:val="none" w:sz="0" w:space="0" w:color="auto"/>
        <w:left w:val="none" w:sz="0" w:space="0" w:color="auto"/>
        <w:bottom w:val="none" w:sz="0" w:space="0" w:color="auto"/>
        <w:right w:val="none" w:sz="0" w:space="0" w:color="auto"/>
      </w:divBdr>
    </w:div>
    <w:div w:id="790831365">
      <w:bodyDiv w:val="1"/>
      <w:marLeft w:val="0"/>
      <w:marRight w:val="0"/>
      <w:marTop w:val="0"/>
      <w:marBottom w:val="0"/>
      <w:divBdr>
        <w:top w:val="none" w:sz="0" w:space="0" w:color="auto"/>
        <w:left w:val="none" w:sz="0" w:space="0" w:color="auto"/>
        <w:bottom w:val="none" w:sz="0" w:space="0" w:color="auto"/>
        <w:right w:val="none" w:sz="0" w:space="0" w:color="auto"/>
      </w:divBdr>
    </w:div>
    <w:div w:id="844826401">
      <w:bodyDiv w:val="1"/>
      <w:marLeft w:val="0"/>
      <w:marRight w:val="0"/>
      <w:marTop w:val="0"/>
      <w:marBottom w:val="0"/>
      <w:divBdr>
        <w:top w:val="none" w:sz="0" w:space="0" w:color="auto"/>
        <w:left w:val="none" w:sz="0" w:space="0" w:color="auto"/>
        <w:bottom w:val="none" w:sz="0" w:space="0" w:color="auto"/>
        <w:right w:val="none" w:sz="0" w:space="0" w:color="auto"/>
      </w:divBdr>
    </w:div>
    <w:div w:id="868177122">
      <w:bodyDiv w:val="1"/>
      <w:marLeft w:val="0"/>
      <w:marRight w:val="0"/>
      <w:marTop w:val="0"/>
      <w:marBottom w:val="0"/>
      <w:divBdr>
        <w:top w:val="none" w:sz="0" w:space="0" w:color="auto"/>
        <w:left w:val="none" w:sz="0" w:space="0" w:color="auto"/>
        <w:bottom w:val="none" w:sz="0" w:space="0" w:color="auto"/>
        <w:right w:val="none" w:sz="0" w:space="0" w:color="auto"/>
      </w:divBdr>
      <w:divsChild>
        <w:div w:id="625500696">
          <w:marLeft w:val="0"/>
          <w:marRight w:val="0"/>
          <w:marTop w:val="0"/>
          <w:marBottom w:val="0"/>
          <w:divBdr>
            <w:top w:val="none" w:sz="0" w:space="0" w:color="auto"/>
            <w:left w:val="none" w:sz="0" w:space="0" w:color="auto"/>
            <w:bottom w:val="none" w:sz="0" w:space="0" w:color="auto"/>
            <w:right w:val="none" w:sz="0" w:space="0" w:color="auto"/>
          </w:divBdr>
          <w:divsChild>
            <w:div w:id="1890914970">
              <w:marLeft w:val="0"/>
              <w:marRight w:val="0"/>
              <w:marTop w:val="150"/>
              <w:marBottom w:val="270"/>
              <w:divBdr>
                <w:top w:val="none" w:sz="0" w:space="0" w:color="auto"/>
                <w:left w:val="none" w:sz="0" w:space="0" w:color="auto"/>
                <w:bottom w:val="none" w:sz="0" w:space="0" w:color="auto"/>
                <w:right w:val="none" w:sz="0" w:space="0" w:color="auto"/>
              </w:divBdr>
            </w:div>
          </w:divsChild>
        </w:div>
        <w:div w:id="1257399274">
          <w:marLeft w:val="0"/>
          <w:marRight w:val="0"/>
          <w:marTop w:val="0"/>
          <w:marBottom w:val="0"/>
          <w:divBdr>
            <w:top w:val="none" w:sz="0" w:space="0" w:color="auto"/>
            <w:left w:val="none" w:sz="0" w:space="0" w:color="auto"/>
            <w:bottom w:val="none" w:sz="0" w:space="0" w:color="auto"/>
            <w:right w:val="none" w:sz="0" w:space="0" w:color="auto"/>
          </w:divBdr>
        </w:div>
      </w:divsChild>
    </w:div>
    <w:div w:id="921908672">
      <w:bodyDiv w:val="1"/>
      <w:marLeft w:val="0"/>
      <w:marRight w:val="0"/>
      <w:marTop w:val="0"/>
      <w:marBottom w:val="0"/>
      <w:divBdr>
        <w:top w:val="none" w:sz="0" w:space="0" w:color="auto"/>
        <w:left w:val="none" w:sz="0" w:space="0" w:color="auto"/>
        <w:bottom w:val="none" w:sz="0" w:space="0" w:color="auto"/>
        <w:right w:val="none" w:sz="0" w:space="0" w:color="auto"/>
      </w:divBdr>
    </w:div>
    <w:div w:id="923687260">
      <w:bodyDiv w:val="1"/>
      <w:marLeft w:val="0"/>
      <w:marRight w:val="0"/>
      <w:marTop w:val="0"/>
      <w:marBottom w:val="0"/>
      <w:divBdr>
        <w:top w:val="none" w:sz="0" w:space="0" w:color="auto"/>
        <w:left w:val="none" w:sz="0" w:space="0" w:color="auto"/>
        <w:bottom w:val="none" w:sz="0" w:space="0" w:color="auto"/>
        <w:right w:val="none" w:sz="0" w:space="0" w:color="auto"/>
      </w:divBdr>
    </w:div>
    <w:div w:id="930502756">
      <w:bodyDiv w:val="1"/>
      <w:marLeft w:val="0"/>
      <w:marRight w:val="0"/>
      <w:marTop w:val="0"/>
      <w:marBottom w:val="0"/>
      <w:divBdr>
        <w:top w:val="none" w:sz="0" w:space="0" w:color="auto"/>
        <w:left w:val="none" w:sz="0" w:space="0" w:color="auto"/>
        <w:bottom w:val="none" w:sz="0" w:space="0" w:color="auto"/>
        <w:right w:val="none" w:sz="0" w:space="0" w:color="auto"/>
      </w:divBdr>
    </w:div>
    <w:div w:id="946736964">
      <w:bodyDiv w:val="1"/>
      <w:marLeft w:val="0"/>
      <w:marRight w:val="0"/>
      <w:marTop w:val="0"/>
      <w:marBottom w:val="0"/>
      <w:divBdr>
        <w:top w:val="none" w:sz="0" w:space="0" w:color="auto"/>
        <w:left w:val="none" w:sz="0" w:space="0" w:color="auto"/>
        <w:bottom w:val="none" w:sz="0" w:space="0" w:color="auto"/>
        <w:right w:val="none" w:sz="0" w:space="0" w:color="auto"/>
      </w:divBdr>
    </w:div>
    <w:div w:id="951202543">
      <w:bodyDiv w:val="1"/>
      <w:marLeft w:val="0"/>
      <w:marRight w:val="0"/>
      <w:marTop w:val="0"/>
      <w:marBottom w:val="0"/>
      <w:divBdr>
        <w:top w:val="none" w:sz="0" w:space="0" w:color="auto"/>
        <w:left w:val="none" w:sz="0" w:space="0" w:color="auto"/>
        <w:bottom w:val="none" w:sz="0" w:space="0" w:color="auto"/>
        <w:right w:val="none" w:sz="0" w:space="0" w:color="auto"/>
      </w:divBdr>
    </w:div>
    <w:div w:id="955252759">
      <w:bodyDiv w:val="1"/>
      <w:marLeft w:val="0"/>
      <w:marRight w:val="0"/>
      <w:marTop w:val="0"/>
      <w:marBottom w:val="0"/>
      <w:divBdr>
        <w:top w:val="none" w:sz="0" w:space="0" w:color="auto"/>
        <w:left w:val="none" w:sz="0" w:space="0" w:color="auto"/>
        <w:bottom w:val="none" w:sz="0" w:space="0" w:color="auto"/>
        <w:right w:val="none" w:sz="0" w:space="0" w:color="auto"/>
      </w:divBdr>
    </w:div>
    <w:div w:id="966155548">
      <w:bodyDiv w:val="1"/>
      <w:marLeft w:val="0"/>
      <w:marRight w:val="0"/>
      <w:marTop w:val="0"/>
      <w:marBottom w:val="0"/>
      <w:divBdr>
        <w:top w:val="none" w:sz="0" w:space="0" w:color="auto"/>
        <w:left w:val="none" w:sz="0" w:space="0" w:color="auto"/>
        <w:bottom w:val="none" w:sz="0" w:space="0" w:color="auto"/>
        <w:right w:val="none" w:sz="0" w:space="0" w:color="auto"/>
      </w:divBdr>
    </w:div>
    <w:div w:id="973293118">
      <w:bodyDiv w:val="1"/>
      <w:marLeft w:val="0"/>
      <w:marRight w:val="0"/>
      <w:marTop w:val="0"/>
      <w:marBottom w:val="0"/>
      <w:divBdr>
        <w:top w:val="none" w:sz="0" w:space="0" w:color="auto"/>
        <w:left w:val="none" w:sz="0" w:space="0" w:color="auto"/>
        <w:bottom w:val="none" w:sz="0" w:space="0" w:color="auto"/>
        <w:right w:val="none" w:sz="0" w:space="0" w:color="auto"/>
      </w:divBdr>
    </w:div>
    <w:div w:id="980232202">
      <w:bodyDiv w:val="1"/>
      <w:marLeft w:val="0"/>
      <w:marRight w:val="0"/>
      <w:marTop w:val="0"/>
      <w:marBottom w:val="0"/>
      <w:divBdr>
        <w:top w:val="none" w:sz="0" w:space="0" w:color="auto"/>
        <w:left w:val="none" w:sz="0" w:space="0" w:color="auto"/>
        <w:bottom w:val="none" w:sz="0" w:space="0" w:color="auto"/>
        <w:right w:val="none" w:sz="0" w:space="0" w:color="auto"/>
      </w:divBdr>
    </w:div>
    <w:div w:id="990211839">
      <w:bodyDiv w:val="1"/>
      <w:marLeft w:val="0"/>
      <w:marRight w:val="0"/>
      <w:marTop w:val="0"/>
      <w:marBottom w:val="0"/>
      <w:divBdr>
        <w:top w:val="none" w:sz="0" w:space="0" w:color="auto"/>
        <w:left w:val="none" w:sz="0" w:space="0" w:color="auto"/>
        <w:bottom w:val="none" w:sz="0" w:space="0" w:color="auto"/>
        <w:right w:val="none" w:sz="0" w:space="0" w:color="auto"/>
      </w:divBdr>
    </w:div>
    <w:div w:id="1019310193">
      <w:bodyDiv w:val="1"/>
      <w:marLeft w:val="0"/>
      <w:marRight w:val="0"/>
      <w:marTop w:val="0"/>
      <w:marBottom w:val="0"/>
      <w:divBdr>
        <w:top w:val="none" w:sz="0" w:space="0" w:color="auto"/>
        <w:left w:val="none" w:sz="0" w:space="0" w:color="auto"/>
        <w:bottom w:val="none" w:sz="0" w:space="0" w:color="auto"/>
        <w:right w:val="none" w:sz="0" w:space="0" w:color="auto"/>
      </w:divBdr>
      <w:divsChild>
        <w:div w:id="1500541858">
          <w:marLeft w:val="0"/>
          <w:marRight w:val="0"/>
          <w:marTop w:val="225"/>
          <w:marBottom w:val="225"/>
          <w:divBdr>
            <w:top w:val="none" w:sz="0" w:space="0" w:color="auto"/>
            <w:left w:val="none" w:sz="0" w:space="0" w:color="auto"/>
            <w:bottom w:val="none" w:sz="0" w:space="0" w:color="auto"/>
            <w:right w:val="none" w:sz="0" w:space="0" w:color="auto"/>
          </w:divBdr>
          <w:divsChild>
            <w:div w:id="755980700">
              <w:marLeft w:val="0"/>
              <w:marRight w:val="0"/>
              <w:marTop w:val="0"/>
              <w:marBottom w:val="0"/>
              <w:divBdr>
                <w:top w:val="none" w:sz="0" w:space="0" w:color="auto"/>
                <w:left w:val="none" w:sz="0" w:space="0" w:color="auto"/>
                <w:bottom w:val="none" w:sz="0" w:space="0" w:color="auto"/>
                <w:right w:val="none" w:sz="0" w:space="0" w:color="auto"/>
              </w:divBdr>
              <w:divsChild>
                <w:div w:id="2117364418">
                  <w:marLeft w:val="0"/>
                  <w:marRight w:val="0"/>
                  <w:marTop w:val="0"/>
                  <w:marBottom w:val="0"/>
                  <w:divBdr>
                    <w:top w:val="none" w:sz="0" w:space="0" w:color="auto"/>
                    <w:left w:val="none" w:sz="0" w:space="0" w:color="auto"/>
                    <w:bottom w:val="none" w:sz="0" w:space="0" w:color="auto"/>
                    <w:right w:val="none" w:sz="0" w:space="0" w:color="auto"/>
                  </w:divBdr>
                  <w:divsChild>
                    <w:div w:id="863178177">
                      <w:marLeft w:val="0"/>
                      <w:marRight w:val="0"/>
                      <w:marTop w:val="0"/>
                      <w:marBottom w:val="0"/>
                      <w:divBdr>
                        <w:top w:val="none" w:sz="0" w:space="0" w:color="auto"/>
                        <w:left w:val="none" w:sz="0" w:space="0" w:color="auto"/>
                        <w:bottom w:val="none" w:sz="0" w:space="0" w:color="auto"/>
                        <w:right w:val="none" w:sz="0" w:space="0" w:color="auto"/>
                      </w:divBdr>
                    </w:div>
                    <w:div w:id="1023482642">
                      <w:marLeft w:val="0"/>
                      <w:marRight w:val="0"/>
                      <w:marTop w:val="0"/>
                      <w:marBottom w:val="0"/>
                      <w:divBdr>
                        <w:top w:val="none" w:sz="0" w:space="0" w:color="auto"/>
                        <w:left w:val="none" w:sz="0" w:space="0" w:color="auto"/>
                        <w:bottom w:val="none" w:sz="0" w:space="0" w:color="auto"/>
                        <w:right w:val="none" w:sz="0" w:space="0" w:color="auto"/>
                      </w:divBdr>
                    </w:div>
                    <w:div w:id="562643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7219067">
      <w:bodyDiv w:val="1"/>
      <w:marLeft w:val="0"/>
      <w:marRight w:val="0"/>
      <w:marTop w:val="0"/>
      <w:marBottom w:val="0"/>
      <w:divBdr>
        <w:top w:val="none" w:sz="0" w:space="0" w:color="auto"/>
        <w:left w:val="none" w:sz="0" w:space="0" w:color="auto"/>
        <w:bottom w:val="none" w:sz="0" w:space="0" w:color="auto"/>
        <w:right w:val="none" w:sz="0" w:space="0" w:color="auto"/>
      </w:divBdr>
    </w:div>
    <w:div w:id="1062602247">
      <w:bodyDiv w:val="1"/>
      <w:marLeft w:val="0"/>
      <w:marRight w:val="0"/>
      <w:marTop w:val="0"/>
      <w:marBottom w:val="0"/>
      <w:divBdr>
        <w:top w:val="none" w:sz="0" w:space="0" w:color="auto"/>
        <w:left w:val="none" w:sz="0" w:space="0" w:color="auto"/>
        <w:bottom w:val="none" w:sz="0" w:space="0" w:color="auto"/>
        <w:right w:val="none" w:sz="0" w:space="0" w:color="auto"/>
      </w:divBdr>
    </w:div>
    <w:div w:id="1069037975">
      <w:bodyDiv w:val="1"/>
      <w:marLeft w:val="0"/>
      <w:marRight w:val="0"/>
      <w:marTop w:val="0"/>
      <w:marBottom w:val="0"/>
      <w:divBdr>
        <w:top w:val="none" w:sz="0" w:space="0" w:color="auto"/>
        <w:left w:val="none" w:sz="0" w:space="0" w:color="auto"/>
        <w:bottom w:val="none" w:sz="0" w:space="0" w:color="auto"/>
        <w:right w:val="none" w:sz="0" w:space="0" w:color="auto"/>
      </w:divBdr>
    </w:div>
    <w:div w:id="1087924143">
      <w:bodyDiv w:val="1"/>
      <w:marLeft w:val="0"/>
      <w:marRight w:val="0"/>
      <w:marTop w:val="0"/>
      <w:marBottom w:val="0"/>
      <w:divBdr>
        <w:top w:val="none" w:sz="0" w:space="0" w:color="auto"/>
        <w:left w:val="none" w:sz="0" w:space="0" w:color="auto"/>
        <w:bottom w:val="none" w:sz="0" w:space="0" w:color="auto"/>
        <w:right w:val="none" w:sz="0" w:space="0" w:color="auto"/>
      </w:divBdr>
    </w:div>
    <w:div w:id="1114250533">
      <w:bodyDiv w:val="1"/>
      <w:marLeft w:val="0"/>
      <w:marRight w:val="0"/>
      <w:marTop w:val="0"/>
      <w:marBottom w:val="0"/>
      <w:divBdr>
        <w:top w:val="none" w:sz="0" w:space="0" w:color="auto"/>
        <w:left w:val="none" w:sz="0" w:space="0" w:color="auto"/>
        <w:bottom w:val="none" w:sz="0" w:space="0" w:color="auto"/>
        <w:right w:val="none" w:sz="0" w:space="0" w:color="auto"/>
      </w:divBdr>
    </w:div>
    <w:div w:id="1136992327">
      <w:bodyDiv w:val="1"/>
      <w:marLeft w:val="0"/>
      <w:marRight w:val="0"/>
      <w:marTop w:val="0"/>
      <w:marBottom w:val="0"/>
      <w:divBdr>
        <w:top w:val="none" w:sz="0" w:space="0" w:color="auto"/>
        <w:left w:val="none" w:sz="0" w:space="0" w:color="auto"/>
        <w:bottom w:val="none" w:sz="0" w:space="0" w:color="auto"/>
        <w:right w:val="none" w:sz="0" w:space="0" w:color="auto"/>
      </w:divBdr>
    </w:div>
    <w:div w:id="1138645691">
      <w:bodyDiv w:val="1"/>
      <w:marLeft w:val="0"/>
      <w:marRight w:val="0"/>
      <w:marTop w:val="0"/>
      <w:marBottom w:val="0"/>
      <w:divBdr>
        <w:top w:val="none" w:sz="0" w:space="0" w:color="auto"/>
        <w:left w:val="none" w:sz="0" w:space="0" w:color="auto"/>
        <w:bottom w:val="none" w:sz="0" w:space="0" w:color="auto"/>
        <w:right w:val="none" w:sz="0" w:space="0" w:color="auto"/>
      </w:divBdr>
    </w:div>
    <w:div w:id="1177309940">
      <w:bodyDiv w:val="1"/>
      <w:marLeft w:val="0"/>
      <w:marRight w:val="0"/>
      <w:marTop w:val="0"/>
      <w:marBottom w:val="0"/>
      <w:divBdr>
        <w:top w:val="none" w:sz="0" w:space="0" w:color="auto"/>
        <w:left w:val="none" w:sz="0" w:space="0" w:color="auto"/>
        <w:bottom w:val="none" w:sz="0" w:space="0" w:color="auto"/>
        <w:right w:val="none" w:sz="0" w:space="0" w:color="auto"/>
      </w:divBdr>
    </w:div>
    <w:div w:id="1184707591">
      <w:bodyDiv w:val="1"/>
      <w:marLeft w:val="0"/>
      <w:marRight w:val="0"/>
      <w:marTop w:val="0"/>
      <w:marBottom w:val="0"/>
      <w:divBdr>
        <w:top w:val="none" w:sz="0" w:space="0" w:color="auto"/>
        <w:left w:val="none" w:sz="0" w:space="0" w:color="auto"/>
        <w:bottom w:val="none" w:sz="0" w:space="0" w:color="auto"/>
        <w:right w:val="none" w:sz="0" w:space="0" w:color="auto"/>
      </w:divBdr>
    </w:div>
    <w:div w:id="1197544167">
      <w:bodyDiv w:val="1"/>
      <w:marLeft w:val="0"/>
      <w:marRight w:val="0"/>
      <w:marTop w:val="0"/>
      <w:marBottom w:val="0"/>
      <w:divBdr>
        <w:top w:val="none" w:sz="0" w:space="0" w:color="auto"/>
        <w:left w:val="none" w:sz="0" w:space="0" w:color="auto"/>
        <w:bottom w:val="none" w:sz="0" w:space="0" w:color="auto"/>
        <w:right w:val="none" w:sz="0" w:space="0" w:color="auto"/>
      </w:divBdr>
    </w:div>
    <w:div w:id="1213496237">
      <w:bodyDiv w:val="1"/>
      <w:marLeft w:val="0"/>
      <w:marRight w:val="0"/>
      <w:marTop w:val="0"/>
      <w:marBottom w:val="0"/>
      <w:divBdr>
        <w:top w:val="none" w:sz="0" w:space="0" w:color="auto"/>
        <w:left w:val="none" w:sz="0" w:space="0" w:color="auto"/>
        <w:bottom w:val="none" w:sz="0" w:space="0" w:color="auto"/>
        <w:right w:val="none" w:sz="0" w:space="0" w:color="auto"/>
      </w:divBdr>
    </w:div>
    <w:div w:id="1221940306">
      <w:bodyDiv w:val="1"/>
      <w:marLeft w:val="0"/>
      <w:marRight w:val="0"/>
      <w:marTop w:val="0"/>
      <w:marBottom w:val="0"/>
      <w:divBdr>
        <w:top w:val="none" w:sz="0" w:space="0" w:color="auto"/>
        <w:left w:val="none" w:sz="0" w:space="0" w:color="auto"/>
        <w:bottom w:val="none" w:sz="0" w:space="0" w:color="auto"/>
        <w:right w:val="none" w:sz="0" w:space="0" w:color="auto"/>
      </w:divBdr>
    </w:div>
    <w:div w:id="1245069650">
      <w:bodyDiv w:val="1"/>
      <w:marLeft w:val="0"/>
      <w:marRight w:val="0"/>
      <w:marTop w:val="0"/>
      <w:marBottom w:val="0"/>
      <w:divBdr>
        <w:top w:val="none" w:sz="0" w:space="0" w:color="auto"/>
        <w:left w:val="none" w:sz="0" w:space="0" w:color="auto"/>
        <w:bottom w:val="none" w:sz="0" w:space="0" w:color="auto"/>
        <w:right w:val="none" w:sz="0" w:space="0" w:color="auto"/>
      </w:divBdr>
    </w:div>
    <w:div w:id="1247033011">
      <w:bodyDiv w:val="1"/>
      <w:marLeft w:val="0"/>
      <w:marRight w:val="0"/>
      <w:marTop w:val="0"/>
      <w:marBottom w:val="0"/>
      <w:divBdr>
        <w:top w:val="none" w:sz="0" w:space="0" w:color="auto"/>
        <w:left w:val="none" w:sz="0" w:space="0" w:color="auto"/>
        <w:bottom w:val="none" w:sz="0" w:space="0" w:color="auto"/>
        <w:right w:val="none" w:sz="0" w:space="0" w:color="auto"/>
      </w:divBdr>
    </w:div>
    <w:div w:id="1250851426">
      <w:bodyDiv w:val="1"/>
      <w:marLeft w:val="0"/>
      <w:marRight w:val="0"/>
      <w:marTop w:val="0"/>
      <w:marBottom w:val="0"/>
      <w:divBdr>
        <w:top w:val="none" w:sz="0" w:space="0" w:color="auto"/>
        <w:left w:val="none" w:sz="0" w:space="0" w:color="auto"/>
        <w:bottom w:val="none" w:sz="0" w:space="0" w:color="auto"/>
        <w:right w:val="none" w:sz="0" w:space="0" w:color="auto"/>
      </w:divBdr>
    </w:div>
    <w:div w:id="1315450214">
      <w:bodyDiv w:val="1"/>
      <w:marLeft w:val="0"/>
      <w:marRight w:val="0"/>
      <w:marTop w:val="0"/>
      <w:marBottom w:val="0"/>
      <w:divBdr>
        <w:top w:val="none" w:sz="0" w:space="0" w:color="auto"/>
        <w:left w:val="none" w:sz="0" w:space="0" w:color="auto"/>
        <w:bottom w:val="none" w:sz="0" w:space="0" w:color="auto"/>
        <w:right w:val="none" w:sz="0" w:space="0" w:color="auto"/>
      </w:divBdr>
    </w:div>
    <w:div w:id="1318537756">
      <w:bodyDiv w:val="1"/>
      <w:marLeft w:val="0"/>
      <w:marRight w:val="0"/>
      <w:marTop w:val="0"/>
      <w:marBottom w:val="0"/>
      <w:divBdr>
        <w:top w:val="none" w:sz="0" w:space="0" w:color="auto"/>
        <w:left w:val="none" w:sz="0" w:space="0" w:color="auto"/>
        <w:bottom w:val="none" w:sz="0" w:space="0" w:color="auto"/>
        <w:right w:val="none" w:sz="0" w:space="0" w:color="auto"/>
      </w:divBdr>
    </w:div>
    <w:div w:id="1335648430">
      <w:bodyDiv w:val="1"/>
      <w:marLeft w:val="0"/>
      <w:marRight w:val="0"/>
      <w:marTop w:val="0"/>
      <w:marBottom w:val="0"/>
      <w:divBdr>
        <w:top w:val="none" w:sz="0" w:space="0" w:color="auto"/>
        <w:left w:val="none" w:sz="0" w:space="0" w:color="auto"/>
        <w:bottom w:val="none" w:sz="0" w:space="0" w:color="auto"/>
        <w:right w:val="none" w:sz="0" w:space="0" w:color="auto"/>
      </w:divBdr>
    </w:div>
    <w:div w:id="1348867651">
      <w:bodyDiv w:val="1"/>
      <w:marLeft w:val="0"/>
      <w:marRight w:val="0"/>
      <w:marTop w:val="0"/>
      <w:marBottom w:val="0"/>
      <w:divBdr>
        <w:top w:val="none" w:sz="0" w:space="0" w:color="auto"/>
        <w:left w:val="none" w:sz="0" w:space="0" w:color="auto"/>
        <w:bottom w:val="none" w:sz="0" w:space="0" w:color="auto"/>
        <w:right w:val="none" w:sz="0" w:space="0" w:color="auto"/>
      </w:divBdr>
    </w:div>
    <w:div w:id="1352141961">
      <w:bodyDiv w:val="1"/>
      <w:marLeft w:val="0"/>
      <w:marRight w:val="0"/>
      <w:marTop w:val="0"/>
      <w:marBottom w:val="0"/>
      <w:divBdr>
        <w:top w:val="none" w:sz="0" w:space="0" w:color="auto"/>
        <w:left w:val="none" w:sz="0" w:space="0" w:color="auto"/>
        <w:bottom w:val="none" w:sz="0" w:space="0" w:color="auto"/>
        <w:right w:val="none" w:sz="0" w:space="0" w:color="auto"/>
      </w:divBdr>
    </w:div>
    <w:div w:id="1361322202">
      <w:bodyDiv w:val="1"/>
      <w:marLeft w:val="0"/>
      <w:marRight w:val="0"/>
      <w:marTop w:val="0"/>
      <w:marBottom w:val="0"/>
      <w:divBdr>
        <w:top w:val="none" w:sz="0" w:space="0" w:color="auto"/>
        <w:left w:val="none" w:sz="0" w:space="0" w:color="auto"/>
        <w:bottom w:val="none" w:sz="0" w:space="0" w:color="auto"/>
        <w:right w:val="none" w:sz="0" w:space="0" w:color="auto"/>
      </w:divBdr>
    </w:div>
    <w:div w:id="1370034114">
      <w:bodyDiv w:val="1"/>
      <w:marLeft w:val="0"/>
      <w:marRight w:val="0"/>
      <w:marTop w:val="0"/>
      <w:marBottom w:val="0"/>
      <w:divBdr>
        <w:top w:val="none" w:sz="0" w:space="0" w:color="auto"/>
        <w:left w:val="none" w:sz="0" w:space="0" w:color="auto"/>
        <w:bottom w:val="none" w:sz="0" w:space="0" w:color="auto"/>
        <w:right w:val="none" w:sz="0" w:space="0" w:color="auto"/>
      </w:divBdr>
    </w:div>
    <w:div w:id="1373000710">
      <w:bodyDiv w:val="1"/>
      <w:marLeft w:val="0"/>
      <w:marRight w:val="0"/>
      <w:marTop w:val="0"/>
      <w:marBottom w:val="0"/>
      <w:divBdr>
        <w:top w:val="none" w:sz="0" w:space="0" w:color="auto"/>
        <w:left w:val="none" w:sz="0" w:space="0" w:color="auto"/>
        <w:bottom w:val="none" w:sz="0" w:space="0" w:color="auto"/>
        <w:right w:val="none" w:sz="0" w:space="0" w:color="auto"/>
      </w:divBdr>
    </w:div>
    <w:div w:id="1385911222">
      <w:bodyDiv w:val="1"/>
      <w:marLeft w:val="0"/>
      <w:marRight w:val="0"/>
      <w:marTop w:val="0"/>
      <w:marBottom w:val="0"/>
      <w:divBdr>
        <w:top w:val="none" w:sz="0" w:space="0" w:color="auto"/>
        <w:left w:val="none" w:sz="0" w:space="0" w:color="auto"/>
        <w:bottom w:val="none" w:sz="0" w:space="0" w:color="auto"/>
        <w:right w:val="none" w:sz="0" w:space="0" w:color="auto"/>
      </w:divBdr>
    </w:div>
    <w:div w:id="1385986792">
      <w:bodyDiv w:val="1"/>
      <w:marLeft w:val="0"/>
      <w:marRight w:val="0"/>
      <w:marTop w:val="0"/>
      <w:marBottom w:val="0"/>
      <w:divBdr>
        <w:top w:val="none" w:sz="0" w:space="0" w:color="auto"/>
        <w:left w:val="none" w:sz="0" w:space="0" w:color="auto"/>
        <w:bottom w:val="none" w:sz="0" w:space="0" w:color="auto"/>
        <w:right w:val="none" w:sz="0" w:space="0" w:color="auto"/>
      </w:divBdr>
    </w:div>
    <w:div w:id="1398360018">
      <w:bodyDiv w:val="1"/>
      <w:marLeft w:val="0"/>
      <w:marRight w:val="0"/>
      <w:marTop w:val="0"/>
      <w:marBottom w:val="0"/>
      <w:divBdr>
        <w:top w:val="none" w:sz="0" w:space="0" w:color="auto"/>
        <w:left w:val="none" w:sz="0" w:space="0" w:color="auto"/>
        <w:bottom w:val="none" w:sz="0" w:space="0" w:color="auto"/>
        <w:right w:val="none" w:sz="0" w:space="0" w:color="auto"/>
      </w:divBdr>
      <w:divsChild>
        <w:div w:id="874655899">
          <w:marLeft w:val="0"/>
          <w:marRight w:val="0"/>
          <w:marTop w:val="0"/>
          <w:marBottom w:val="0"/>
          <w:divBdr>
            <w:top w:val="none" w:sz="0" w:space="0" w:color="auto"/>
            <w:left w:val="none" w:sz="0" w:space="0" w:color="auto"/>
            <w:bottom w:val="none" w:sz="0" w:space="0" w:color="auto"/>
            <w:right w:val="none" w:sz="0" w:space="0" w:color="auto"/>
          </w:divBdr>
        </w:div>
      </w:divsChild>
    </w:div>
    <w:div w:id="1402023247">
      <w:bodyDiv w:val="1"/>
      <w:marLeft w:val="0"/>
      <w:marRight w:val="0"/>
      <w:marTop w:val="0"/>
      <w:marBottom w:val="0"/>
      <w:divBdr>
        <w:top w:val="none" w:sz="0" w:space="0" w:color="auto"/>
        <w:left w:val="none" w:sz="0" w:space="0" w:color="auto"/>
        <w:bottom w:val="none" w:sz="0" w:space="0" w:color="auto"/>
        <w:right w:val="none" w:sz="0" w:space="0" w:color="auto"/>
      </w:divBdr>
    </w:div>
    <w:div w:id="1407142764">
      <w:bodyDiv w:val="1"/>
      <w:marLeft w:val="0"/>
      <w:marRight w:val="0"/>
      <w:marTop w:val="0"/>
      <w:marBottom w:val="0"/>
      <w:divBdr>
        <w:top w:val="none" w:sz="0" w:space="0" w:color="auto"/>
        <w:left w:val="none" w:sz="0" w:space="0" w:color="auto"/>
        <w:bottom w:val="none" w:sz="0" w:space="0" w:color="auto"/>
        <w:right w:val="none" w:sz="0" w:space="0" w:color="auto"/>
      </w:divBdr>
    </w:div>
    <w:div w:id="1423645855">
      <w:bodyDiv w:val="1"/>
      <w:marLeft w:val="0"/>
      <w:marRight w:val="0"/>
      <w:marTop w:val="0"/>
      <w:marBottom w:val="0"/>
      <w:divBdr>
        <w:top w:val="none" w:sz="0" w:space="0" w:color="auto"/>
        <w:left w:val="none" w:sz="0" w:space="0" w:color="auto"/>
        <w:bottom w:val="none" w:sz="0" w:space="0" w:color="auto"/>
        <w:right w:val="none" w:sz="0" w:space="0" w:color="auto"/>
      </w:divBdr>
    </w:div>
    <w:div w:id="1451557489">
      <w:bodyDiv w:val="1"/>
      <w:marLeft w:val="0"/>
      <w:marRight w:val="0"/>
      <w:marTop w:val="0"/>
      <w:marBottom w:val="0"/>
      <w:divBdr>
        <w:top w:val="none" w:sz="0" w:space="0" w:color="auto"/>
        <w:left w:val="none" w:sz="0" w:space="0" w:color="auto"/>
        <w:bottom w:val="none" w:sz="0" w:space="0" w:color="auto"/>
        <w:right w:val="none" w:sz="0" w:space="0" w:color="auto"/>
      </w:divBdr>
    </w:div>
    <w:div w:id="1467356577">
      <w:bodyDiv w:val="1"/>
      <w:marLeft w:val="0"/>
      <w:marRight w:val="0"/>
      <w:marTop w:val="0"/>
      <w:marBottom w:val="0"/>
      <w:divBdr>
        <w:top w:val="none" w:sz="0" w:space="0" w:color="auto"/>
        <w:left w:val="none" w:sz="0" w:space="0" w:color="auto"/>
        <w:bottom w:val="none" w:sz="0" w:space="0" w:color="auto"/>
        <w:right w:val="none" w:sz="0" w:space="0" w:color="auto"/>
      </w:divBdr>
    </w:div>
    <w:div w:id="1486817606">
      <w:bodyDiv w:val="1"/>
      <w:marLeft w:val="0"/>
      <w:marRight w:val="0"/>
      <w:marTop w:val="0"/>
      <w:marBottom w:val="0"/>
      <w:divBdr>
        <w:top w:val="none" w:sz="0" w:space="0" w:color="auto"/>
        <w:left w:val="none" w:sz="0" w:space="0" w:color="auto"/>
        <w:bottom w:val="none" w:sz="0" w:space="0" w:color="auto"/>
        <w:right w:val="none" w:sz="0" w:space="0" w:color="auto"/>
      </w:divBdr>
    </w:div>
    <w:div w:id="1555701815">
      <w:bodyDiv w:val="1"/>
      <w:marLeft w:val="0"/>
      <w:marRight w:val="0"/>
      <w:marTop w:val="0"/>
      <w:marBottom w:val="0"/>
      <w:divBdr>
        <w:top w:val="none" w:sz="0" w:space="0" w:color="auto"/>
        <w:left w:val="none" w:sz="0" w:space="0" w:color="auto"/>
        <w:bottom w:val="none" w:sz="0" w:space="0" w:color="auto"/>
        <w:right w:val="none" w:sz="0" w:space="0" w:color="auto"/>
      </w:divBdr>
    </w:div>
    <w:div w:id="1612666892">
      <w:bodyDiv w:val="1"/>
      <w:marLeft w:val="0"/>
      <w:marRight w:val="0"/>
      <w:marTop w:val="0"/>
      <w:marBottom w:val="0"/>
      <w:divBdr>
        <w:top w:val="none" w:sz="0" w:space="0" w:color="auto"/>
        <w:left w:val="none" w:sz="0" w:space="0" w:color="auto"/>
        <w:bottom w:val="none" w:sz="0" w:space="0" w:color="auto"/>
        <w:right w:val="none" w:sz="0" w:space="0" w:color="auto"/>
      </w:divBdr>
    </w:div>
    <w:div w:id="1637681599">
      <w:bodyDiv w:val="1"/>
      <w:marLeft w:val="0"/>
      <w:marRight w:val="0"/>
      <w:marTop w:val="0"/>
      <w:marBottom w:val="0"/>
      <w:divBdr>
        <w:top w:val="none" w:sz="0" w:space="0" w:color="auto"/>
        <w:left w:val="none" w:sz="0" w:space="0" w:color="auto"/>
        <w:bottom w:val="none" w:sz="0" w:space="0" w:color="auto"/>
        <w:right w:val="none" w:sz="0" w:space="0" w:color="auto"/>
      </w:divBdr>
    </w:div>
    <w:div w:id="1657418706">
      <w:bodyDiv w:val="1"/>
      <w:marLeft w:val="0"/>
      <w:marRight w:val="0"/>
      <w:marTop w:val="0"/>
      <w:marBottom w:val="0"/>
      <w:divBdr>
        <w:top w:val="none" w:sz="0" w:space="0" w:color="auto"/>
        <w:left w:val="none" w:sz="0" w:space="0" w:color="auto"/>
        <w:bottom w:val="none" w:sz="0" w:space="0" w:color="auto"/>
        <w:right w:val="none" w:sz="0" w:space="0" w:color="auto"/>
      </w:divBdr>
    </w:div>
    <w:div w:id="1683165640">
      <w:bodyDiv w:val="1"/>
      <w:marLeft w:val="0"/>
      <w:marRight w:val="0"/>
      <w:marTop w:val="0"/>
      <w:marBottom w:val="0"/>
      <w:divBdr>
        <w:top w:val="none" w:sz="0" w:space="0" w:color="auto"/>
        <w:left w:val="none" w:sz="0" w:space="0" w:color="auto"/>
        <w:bottom w:val="none" w:sz="0" w:space="0" w:color="auto"/>
        <w:right w:val="none" w:sz="0" w:space="0" w:color="auto"/>
      </w:divBdr>
    </w:div>
    <w:div w:id="1688679358">
      <w:bodyDiv w:val="1"/>
      <w:marLeft w:val="0"/>
      <w:marRight w:val="0"/>
      <w:marTop w:val="0"/>
      <w:marBottom w:val="0"/>
      <w:divBdr>
        <w:top w:val="none" w:sz="0" w:space="0" w:color="auto"/>
        <w:left w:val="none" w:sz="0" w:space="0" w:color="auto"/>
        <w:bottom w:val="none" w:sz="0" w:space="0" w:color="auto"/>
        <w:right w:val="none" w:sz="0" w:space="0" w:color="auto"/>
      </w:divBdr>
    </w:div>
    <w:div w:id="1692417620">
      <w:bodyDiv w:val="1"/>
      <w:marLeft w:val="0"/>
      <w:marRight w:val="0"/>
      <w:marTop w:val="0"/>
      <w:marBottom w:val="0"/>
      <w:divBdr>
        <w:top w:val="none" w:sz="0" w:space="0" w:color="auto"/>
        <w:left w:val="none" w:sz="0" w:space="0" w:color="auto"/>
        <w:bottom w:val="none" w:sz="0" w:space="0" w:color="auto"/>
        <w:right w:val="none" w:sz="0" w:space="0" w:color="auto"/>
      </w:divBdr>
    </w:div>
    <w:div w:id="1725712604">
      <w:bodyDiv w:val="1"/>
      <w:marLeft w:val="0"/>
      <w:marRight w:val="0"/>
      <w:marTop w:val="0"/>
      <w:marBottom w:val="0"/>
      <w:divBdr>
        <w:top w:val="none" w:sz="0" w:space="0" w:color="auto"/>
        <w:left w:val="none" w:sz="0" w:space="0" w:color="auto"/>
        <w:bottom w:val="none" w:sz="0" w:space="0" w:color="auto"/>
        <w:right w:val="none" w:sz="0" w:space="0" w:color="auto"/>
      </w:divBdr>
    </w:div>
    <w:div w:id="1790511480">
      <w:bodyDiv w:val="1"/>
      <w:marLeft w:val="0"/>
      <w:marRight w:val="0"/>
      <w:marTop w:val="0"/>
      <w:marBottom w:val="0"/>
      <w:divBdr>
        <w:top w:val="none" w:sz="0" w:space="0" w:color="auto"/>
        <w:left w:val="none" w:sz="0" w:space="0" w:color="auto"/>
        <w:bottom w:val="none" w:sz="0" w:space="0" w:color="auto"/>
        <w:right w:val="none" w:sz="0" w:space="0" w:color="auto"/>
      </w:divBdr>
    </w:div>
    <w:div w:id="1813058525">
      <w:bodyDiv w:val="1"/>
      <w:marLeft w:val="0"/>
      <w:marRight w:val="0"/>
      <w:marTop w:val="0"/>
      <w:marBottom w:val="0"/>
      <w:divBdr>
        <w:top w:val="none" w:sz="0" w:space="0" w:color="auto"/>
        <w:left w:val="none" w:sz="0" w:space="0" w:color="auto"/>
        <w:bottom w:val="none" w:sz="0" w:space="0" w:color="auto"/>
        <w:right w:val="none" w:sz="0" w:space="0" w:color="auto"/>
      </w:divBdr>
    </w:div>
    <w:div w:id="1817649598">
      <w:bodyDiv w:val="1"/>
      <w:marLeft w:val="0"/>
      <w:marRight w:val="0"/>
      <w:marTop w:val="0"/>
      <w:marBottom w:val="0"/>
      <w:divBdr>
        <w:top w:val="none" w:sz="0" w:space="0" w:color="auto"/>
        <w:left w:val="none" w:sz="0" w:space="0" w:color="auto"/>
        <w:bottom w:val="none" w:sz="0" w:space="0" w:color="auto"/>
        <w:right w:val="none" w:sz="0" w:space="0" w:color="auto"/>
      </w:divBdr>
    </w:div>
    <w:div w:id="1850826220">
      <w:bodyDiv w:val="1"/>
      <w:marLeft w:val="0"/>
      <w:marRight w:val="0"/>
      <w:marTop w:val="0"/>
      <w:marBottom w:val="0"/>
      <w:divBdr>
        <w:top w:val="none" w:sz="0" w:space="0" w:color="auto"/>
        <w:left w:val="none" w:sz="0" w:space="0" w:color="auto"/>
        <w:bottom w:val="none" w:sz="0" w:space="0" w:color="auto"/>
        <w:right w:val="none" w:sz="0" w:space="0" w:color="auto"/>
      </w:divBdr>
    </w:div>
    <w:div w:id="1878469512">
      <w:bodyDiv w:val="1"/>
      <w:marLeft w:val="0"/>
      <w:marRight w:val="0"/>
      <w:marTop w:val="0"/>
      <w:marBottom w:val="0"/>
      <w:divBdr>
        <w:top w:val="none" w:sz="0" w:space="0" w:color="auto"/>
        <w:left w:val="none" w:sz="0" w:space="0" w:color="auto"/>
        <w:bottom w:val="none" w:sz="0" w:space="0" w:color="auto"/>
        <w:right w:val="none" w:sz="0" w:space="0" w:color="auto"/>
      </w:divBdr>
    </w:div>
    <w:div w:id="1910070948">
      <w:bodyDiv w:val="1"/>
      <w:marLeft w:val="0"/>
      <w:marRight w:val="0"/>
      <w:marTop w:val="0"/>
      <w:marBottom w:val="0"/>
      <w:divBdr>
        <w:top w:val="none" w:sz="0" w:space="0" w:color="auto"/>
        <w:left w:val="none" w:sz="0" w:space="0" w:color="auto"/>
        <w:bottom w:val="none" w:sz="0" w:space="0" w:color="auto"/>
        <w:right w:val="none" w:sz="0" w:space="0" w:color="auto"/>
      </w:divBdr>
    </w:div>
    <w:div w:id="1916233506">
      <w:bodyDiv w:val="1"/>
      <w:marLeft w:val="0"/>
      <w:marRight w:val="0"/>
      <w:marTop w:val="0"/>
      <w:marBottom w:val="0"/>
      <w:divBdr>
        <w:top w:val="none" w:sz="0" w:space="0" w:color="auto"/>
        <w:left w:val="none" w:sz="0" w:space="0" w:color="auto"/>
        <w:bottom w:val="none" w:sz="0" w:space="0" w:color="auto"/>
        <w:right w:val="none" w:sz="0" w:space="0" w:color="auto"/>
      </w:divBdr>
    </w:div>
    <w:div w:id="1921913876">
      <w:bodyDiv w:val="1"/>
      <w:marLeft w:val="0"/>
      <w:marRight w:val="0"/>
      <w:marTop w:val="0"/>
      <w:marBottom w:val="0"/>
      <w:divBdr>
        <w:top w:val="none" w:sz="0" w:space="0" w:color="auto"/>
        <w:left w:val="none" w:sz="0" w:space="0" w:color="auto"/>
        <w:bottom w:val="none" w:sz="0" w:space="0" w:color="auto"/>
        <w:right w:val="none" w:sz="0" w:space="0" w:color="auto"/>
      </w:divBdr>
    </w:div>
    <w:div w:id="1921989530">
      <w:bodyDiv w:val="1"/>
      <w:marLeft w:val="0"/>
      <w:marRight w:val="0"/>
      <w:marTop w:val="0"/>
      <w:marBottom w:val="0"/>
      <w:divBdr>
        <w:top w:val="none" w:sz="0" w:space="0" w:color="auto"/>
        <w:left w:val="none" w:sz="0" w:space="0" w:color="auto"/>
        <w:bottom w:val="none" w:sz="0" w:space="0" w:color="auto"/>
        <w:right w:val="none" w:sz="0" w:space="0" w:color="auto"/>
      </w:divBdr>
    </w:div>
    <w:div w:id="1936130801">
      <w:bodyDiv w:val="1"/>
      <w:marLeft w:val="0"/>
      <w:marRight w:val="0"/>
      <w:marTop w:val="0"/>
      <w:marBottom w:val="0"/>
      <w:divBdr>
        <w:top w:val="none" w:sz="0" w:space="0" w:color="auto"/>
        <w:left w:val="none" w:sz="0" w:space="0" w:color="auto"/>
        <w:bottom w:val="none" w:sz="0" w:space="0" w:color="auto"/>
        <w:right w:val="none" w:sz="0" w:space="0" w:color="auto"/>
      </w:divBdr>
    </w:div>
    <w:div w:id="1946038660">
      <w:bodyDiv w:val="1"/>
      <w:marLeft w:val="0"/>
      <w:marRight w:val="0"/>
      <w:marTop w:val="0"/>
      <w:marBottom w:val="0"/>
      <w:divBdr>
        <w:top w:val="none" w:sz="0" w:space="0" w:color="auto"/>
        <w:left w:val="none" w:sz="0" w:space="0" w:color="auto"/>
        <w:bottom w:val="none" w:sz="0" w:space="0" w:color="auto"/>
        <w:right w:val="none" w:sz="0" w:space="0" w:color="auto"/>
      </w:divBdr>
    </w:div>
    <w:div w:id="1969116754">
      <w:bodyDiv w:val="1"/>
      <w:marLeft w:val="0"/>
      <w:marRight w:val="0"/>
      <w:marTop w:val="0"/>
      <w:marBottom w:val="0"/>
      <w:divBdr>
        <w:top w:val="none" w:sz="0" w:space="0" w:color="auto"/>
        <w:left w:val="none" w:sz="0" w:space="0" w:color="auto"/>
        <w:bottom w:val="none" w:sz="0" w:space="0" w:color="auto"/>
        <w:right w:val="none" w:sz="0" w:space="0" w:color="auto"/>
      </w:divBdr>
    </w:div>
    <w:div w:id="1976401832">
      <w:bodyDiv w:val="1"/>
      <w:marLeft w:val="0"/>
      <w:marRight w:val="0"/>
      <w:marTop w:val="0"/>
      <w:marBottom w:val="0"/>
      <w:divBdr>
        <w:top w:val="none" w:sz="0" w:space="0" w:color="auto"/>
        <w:left w:val="none" w:sz="0" w:space="0" w:color="auto"/>
        <w:bottom w:val="none" w:sz="0" w:space="0" w:color="auto"/>
        <w:right w:val="none" w:sz="0" w:space="0" w:color="auto"/>
      </w:divBdr>
    </w:div>
    <w:div w:id="1993369616">
      <w:bodyDiv w:val="1"/>
      <w:marLeft w:val="0"/>
      <w:marRight w:val="0"/>
      <w:marTop w:val="0"/>
      <w:marBottom w:val="0"/>
      <w:divBdr>
        <w:top w:val="none" w:sz="0" w:space="0" w:color="auto"/>
        <w:left w:val="none" w:sz="0" w:space="0" w:color="auto"/>
        <w:bottom w:val="none" w:sz="0" w:space="0" w:color="auto"/>
        <w:right w:val="none" w:sz="0" w:space="0" w:color="auto"/>
      </w:divBdr>
    </w:div>
    <w:div w:id="2030594705">
      <w:bodyDiv w:val="1"/>
      <w:marLeft w:val="0"/>
      <w:marRight w:val="0"/>
      <w:marTop w:val="0"/>
      <w:marBottom w:val="0"/>
      <w:divBdr>
        <w:top w:val="none" w:sz="0" w:space="0" w:color="auto"/>
        <w:left w:val="none" w:sz="0" w:space="0" w:color="auto"/>
        <w:bottom w:val="none" w:sz="0" w:space="0" w:color="auto"/>
        <w:right w:val="none" w:sz="0" w:space="0" w:color="auto"/>
      </w:divBdr>
    </w:div>
    <w:div w:id="2057468273">
      <w:bodyDiv w:val="1"/>
      <w:marLeft w:val="0"/>
      <w:marRight w:val="0"/>
      <w:marTop w:val="0"/>
      <w:marBottom w:val="0"/>
      <w:divBdr>
        <w:top w:val="none" w:sz="0" w:space="0" w:color="auto"/>
        <w:left w:val="none" w:sz="0" w:space="0" w:color="auto"/>
        <w:bottom w:val="none" w:sz="0" w:space="0" w:color="auto"/>
        <w:right w:val="none" w:sz="0" w:space="0" w:color="auto"/>
      </w:divBdr>
    </w:div>
    <w:div w:id="2067755245">
      <w:bodyDiv w:val="1"/>
      <w:marLeft w:val="0"/>
      <w:marRight w:val="0"/>
      <w:marTop w:val="0"/>
      <w:marBottom w:val="0"/>
      <w:divBdr>
        <w:top w:val="none" w:sz="0" w:space="0" w:color="auto"/>
        <w:left w:val="none" w:sz="0" w:space="0" w:color="auto"/>
        <w:bottom w:val="none" w:sz="0" w:space="0" w:color="auto"/>
        <w:right w:val="none" w:sz="0" w:space="0" w:color="auto"/>
      </w:divBdr>
    </w:div>
    <w:div w:id="2124615431">
      <w:bodyDiv w:val="1"/>
      <w:marLeft w:val="0"/>
      <w:marRight w:val="0"/>
      <w:marTop w:val="0"/>
      <w:marBottom w:val="0"/>
      <w:divBdr>
        <w:top w:val="none" w:sz="0" w:space="0" w:color="auto"/>
        <w:left w:val="none" w:sz="0" w:space="0" w:color="auto"/>
        <w:bottom w:val="none" w:sz="0" w:space="0" w:color="auto"/>
        <w:right w:val="none" w:sz="0" w:space="0" w:color="auto"/>
      </w:divBdr>
    </w:div>
    <w:div w:id="2131779493">
      <w:bodyDiv w:val="1"/>
      <w:marLeft w:val="0"/>
      <w:marRight w:val="0"/>
      <w:marTop w:val="0"/>
      <w:marBottom w:val="0"/>
      <w:divBdr>
        <w:top w:val="none" w:sz="0" w:space="0" w:color="auto"/>
        <w:left w:val="none" w:sz="0" w:space="0" w:color="auto"/>
        <w:bottom w:val="none" w:sz="0" w:space="0" w:color="auto"/>
        <w:right w:val="none" w:sz="0" w:space="0" w:color="auto"/>
      </w:divBdr>
    </w:div>
    <w:div w:id="21368707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ncbi.nlm.nih.gov/pubmed/?term=Mercuri%20M%5BAuthor%5D&amp;cauthor=true&amp;cauthor_uid=23991658" TargetMode="External"/><Relationship Id="rId18" Type="http://schemas.openxmlformats.org/officeDocument/2006/relationships/hyperlink" Target="https://www.ncbi.nlm.nih.gov/pubmed/?term=Segers%20A%5BAuthor%5D&amp;cauthor=true&amp;cauthor_uid=23991658" TargetMode="External"/><Relationship Id="rId3" Type="http://schemas.openxmlformats.org/officeDocument/2006/relationships/numbering" Target="numbering.xml"/><Relationship Id="rId21" Type="http://schemas.openxmlformats.org/officeDocument/2006/relationships/hyperlink" Target="https://www.ncbi.nlm.nih.gov/pubmed/?term=Wells%20P%5BAuthor%5D&amp;cauthor=true&amp;cauthor_uid=23991658" TargetMode="External"/><Relationship Id="rId7" Type="http://schemas.openxmlformats.org/officeDocument/2006/relationships/footnotes" Target="footnotes.xml"/><Relationship Id="rId12" Type="http://schemas.openxmlformats.org/officeDocument/2006/relationships/hyperlink" Target="https://www.ncbi.nlm.nih.gov/pubmed/?term=Grosso%20MA%5BAuthor%5D&amp;cauthor=true&amp;cauthor_uid=23991658" TargetMode="External"/><Relationship Id="rId17" Type="http://schemas.openxmlformats.org/officeDocument/2006/relationships/hyperlink" Target="https://www.ncbi.nlm.nih.gov/pubmed/?term=Schwocho%20L%5BAuthor%5D&amp;cauthor=true&amp;cauthor_uid=23991658" TargetMode="External"/><Relationship Id="rId25" Type="http://schemas.openxmlformats.org/officeDocument/2006/relationships/theme" Target="theme/theme1.xml"/><Relationship Id="rId2" Type="http://schemas.openxmlformats.org/officeDocument/2006/relationships/customXml" Target="../customXml/item1.xml"/><Relationship Id="rId16" Type="http://schemas.openxmlformats.org/officeDocument/2006/relationships/hyperlink" Target="https://www.ncbi.nlm.nih.gov/pubmed/?term=Schellong%20SM%5BAuthor%5D&amp;cauthor=true&amp;cauthor_uid=23991658" TargetMode="External"/><Relationship Id="rId20" Type="http://schemas.openxmlformats.org/officeDocument/2006/relationships/hyperlink" Target="https://www.ncbi.nlm.nih.gov/pubmed/?term=Verhamme%20P%5BAuthor%5D&amp;cauthor=true&amp;cauthor_uid=23991658" TargetMode="Externa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yperlink" Target="https://www.ncbi.nlm.nih.gov/pubmed/?term=D%C3%A9cousus%20H%5BAuthor%5D&amp;cauthor=true&amp;cauthor_uid=23991658"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ncbi.nlm.nih.gov/pubmed/?term=Raskob%20GE%5BAuthor%5D&amp;cauthor=true&amp;cauthor_uid=23991658" TargetMode="External"/><Relationship Id="rId23" Type="http://schemas.openxmlformats.org/officeDocument/2006/relationships/footer" Target="footer2.xml"/><Relationship Id="rId10" Type="http://schemas.openxmlformats.org/officeDocument/2006/relationships/hyperlink" Target="https://www.ncbi.nlm.nih.gov/pubmed/?term=B%C3%BCller%20HR%5BAuthor%5D&amp;cauthor=true&amp;cauthor_uid=23991658" TargetMode="External"/><Relationship Id="rId19" Type="http://schemas.openxmlformats.org/officeDocument/2006/relationships/hyperlink" Target="https://www.ncbi.nlm.nih.gov/pubmed/?term=Shi%20M%5BAuthor%5D&amp;cauthor=true&amp;cauthor_uid=23991658" TargetMode="External"/><Relationship Id="rId4" Type="http://schemas.openxmlformats.org/officeDocument/2006/relationships/styles" Target="styles.xml"/><Relationship Id="rId9" Type="http://schemas.openxmlformats.org/officeDocument/2006/relationships/hyperlink" Target="https://www.ncbi.nlm.nih.gov/pubmed/?term=Hokusai-VTE%20Investigators%5BCorporate%20Author%5D" TargetMode="External"/><Relationship Id="rId14" Type="http://schemas.openxmlformats.org/officeDocument/2006/relationships/hyperlink" Target="https://www.ncbi.nlm.nih.gov/pubmed/?term=Prins%20MH%5BAuthor%5D&amp;cauthor=true&amp;cauthor_uid=23991658"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2F877CD2-90A4-6F4B-A85D-7E07453E29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11429</Words>
  <Characters>65149</Characters>
  <Application>Microsoft Office Word</Application>
  <DocSecurity>0</DocSecurity>
  <Lines>542</Lines>
  <Paragraphs>152</Paragraphs>
  <ScaleCrop>false</ScaleCrop>
  <HeadingPairs>
    <vt:vector size="2" baseType="variant">
      <vt:variant>
        <vt:lpstr>Title</vt:lpstr>
      </vt:variant>
      <vt:variant>
        <vt:i4>1</vt:i4>
      </vt:variant>
    </vt:vector>
  </HeadingPairs>
  <TitlesOfParts>
    <vt:vector size="1" baseType="lpstr">
      <vt:lpstr/>
    </vt:vector>
  </TitlesOfParts>
  <Company>Papworth Hospital NHS Foundation Trust</Company>
  <LinksUpToDate>false</LinksUpToDate>
  <CharactersWithSpaces>76426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Mark Toshner</cp:lastModifiedBy>
  <cp:revision>2</cp:revision>
  <cp:lastPrinted>2019-06-04T10:28:00Z</cp:lastPrinted>
  <dcterms:created xsi:type="dcterms:W3CDTF">2019-09-23T12:31:00Z</dcterms:created>
  <dcterms:modified xsi:type="dcterms:W3CDTF">2019-09-23T12:31:00Z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a74536c8-d62b-3c95-9545-888ca70b9e06</vt:lpwstr>
  </property>
  <property fmtid="{D5CDD505-2E9C-101B-9397-08002B2CF9AE}" pid="24" name="Mendeley Citation Style_1">
    <vt:lpwstr>http://www.zotero.org/styles/american-medical-association</vt:lpwstr>
  </property>
</Properties>
</file>