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3B94F6" w14:textId="1C2C1E0C" w:rsidR="00E449BC" w:rsidRDefault="00E449BC" w:rsidP="00E449BC">
      <w:pPr>
        <w:pStyle w:val="Heading1"/>
        <w:rPr>
          <w:rFonts w:ascii="Arial" w:hAnsi="Arial" w:cs="Arial"/>
        </w:rPr>
      </w:pPr>
      <w:r>
        <w:rPr>
          <w:rFonts w:ascii="Arial" w:hAnsi="Arial" w:cs="Arial"/>
        </w:rPr>
        <w:t>S</w:t>
      </w:r>
      <w:r w:rsidR="00413AE8">
        <w:rPr>
          <w:rFonts w:ascii="Arial" w:hAnsi="Arial" w:cs="Arial"/>
        </w:rPr>
        <w:t>1</w:t>
      </w:r>
      <w:r>
        <w:rPr>
          <w:rFonts w:ascii="Arial" w:hAnsi="Arial" w:cs="Arial"/>
        </w:rPr>
        <w:t xml:space="preserve"> - Supplemental methods</w:t>
      </w:r>
    </w:p>
    <w:p w14:paraId="54CE663A" w14:textId="77777777" w:rsidR="00E449BC" w:rsidRPr="00BD6998" w:rsidRDefault="00E449BC" w:rsidP="00E449BC"/>
    <w:p w14:paraId="0D349624" w14:textId="2D110681" w:rsidR="00E449BC" w:rsidRPr="00C14DA6" w:rsidRDefault="00E449BC" w:rsidP="00E449BC">
      <w:pPr>
        <w:pStyle w:val="Heading2"/>
        <w:rPr>
          <w:rFonts w:ascii="Arial" w:hAnsi="Arial" w:cs="Arial"/>
        </w:rPr>
      </w:pPr>
      <w:r>
        <w:rPr>
          <w:rFonts w:ascii="Arial" w:hAnsi="Arial" w:cs="Arial"/>
        </w:rPr>
        <w:t>S</w:t>
      </w:r>
      <w:r w:rsidR="00413AE8">
        <w:rPr>
          <w:rFonts w:ascii="Arial" w:hAnsi="Arial" w:cs="Arial"/>
        </w:rPr>
        <w:t>1</w:t>
      </w:r>
      <w:r>
        <w:rPr>
          <w:rFonts w:ascii="Arial" w:hAnsi="Arial" w:cs="Arial"/>
        </w:rPr>
        <w:t xml:space="preserve">.1 - </w:t>
      </w:r>
      <w:r w:rsidRPr="00C14DA6">
        <w:rPr>
          <w:rFonts w:ascii="Arial" w:hAnsi="Arial" w:cs="Arial"/>
        </w:rPr>
        <w:t>Methods for Figure 1A</w:t>
      </w:r>
    </w:p>
    <w:p w14:paraId="3570991A" w14:textId="773C734A" w:rsidR="00E449BC" w:rsidRDefault="00E449BC" w:rsidP="00E449BC">
      <w:pPr>
        <w:jc w:val="both"/>
        <w:rPr>
          <w:rFonts w:ascii="Arial" w:hAnsi="Arial" w:cs="Arial"/>
          <w:sz w:val="20"/>
          <w:szCs w:val="20"/>
        </w:rPr>
      </w:pPr>
      <w:r>
        <w:rPr>
          <w:rFonts w:ascii="Arial" w:hAnsi="Arial" w:cs="Arial"/>
          <w:sz w:val="20"/>
          <w:szCs w:val="20"/>
        </w:rPr>
        <w:t xml:space="preserve">Figure 1A </w:t>
      </w:r>
      <w:r w:rsidR="00174FA0">
        <w:rPr>
          <w:rFonts w:ascii="Arial" w:hAnsi="Arial" w:cs="Arial"/>
          <w:sz w:val="20"/>
          <w:szCs w:val="20"/>
        </w:rPr>
        <w:t xml:space="preserve">(Figure S1 below) </w:t>
      </w:r>
      <w:r>
        <w:rPr>
          <w:rFonts w:ascii="Arial" w:hAnsi="Arial" w:cs="Arial"/>
          <w:sz w:val="20"/>
          <w:szCs w:val="20"/>
        </w:rPr>
        <w:t>in the manuscript presented the carbon intensity of grey, blue, and electrolytic hydrogen as a function of the carbon footprint of the electricity grid. Here, the carbon intensity of the supply routes includes scope 1 and 2 emissions associated with the production plant – namely, direct emissions from the production facility and indirect emissions associated with the purchase of electricity and natural gas. The indirect emissions associated with the water use is considered negligible for this illustration. The equations used to calculate the carbon intensity in Figure 1A are as follows:</w:t>
      </w:r>
    </w:p>
    <w:p w14:paraId="3BAE52DC" w14:textId="77777777" w:rsidR="00E449BC" w:rsidRDefault="00E449BC" w:rsidP="00E449BC">
      <w:pPr>
        <w:jc w:val="both"/>
        <w:rPr>
          <w:rFonts w:ascii="Arial" w:hAnsi="Arial" w:cs="Arial"/>
          <w:sz w:val="20"/>
          <w:szCs w:val="20"/>
        </w:rPr>
      </w:pPr>
    </w:p>
    <w:p w14:paraId="29ADA8A6" w14:textId="77777777" w:rsidR="00E449BC" w:rsidRPr="0088242E" w:rsidRDefault="00120A0E" w:rsidP="00E449BC">
      <w:pPr>
        <w:jc w:val="both"/>
        <w:rPr>
          <w:rFonts w:ascii="Arial" w:eastAsiaTheme="minorEastAsia" w:hAnsi="Arial" w:cs="Arial"/>
        </w:rPr>
      </w:pPr>
      <m:oMathPara>
        <m:oMath>
          <m:eqArr>
            <m:eqArrPr>
              <m:maxDist m:val="1"/>
              <m:ctrlPr>
                <w:rPr>
                  <w:rFonts w:ascii="Cambria Math" w:hAnsi="Cambria Math" w:cs="Arial"/>
                  <w:i/>
                </w:rPr>
              </m:ctrlPr>
            </m:eqArrPr>
            <m:e>
              <m:sSub>
                <m:sSubPr>
                  <m:ctrlPr>
                    <w:rPr>
                      <w:rFonts w:ascii="Cambria Math" w:hAnsi="Cambria Math" w:cs="Arial"/>
                      <w:i/>
                    </w:rPr>
                  </m:ctrlPr>
                </m:sSubPr>
                <m:e>
                  <m:r>
                    <w:rPr>
                      <w:rFonts w:ascii="Cambria Math" w:hAnsi="Cambria Math" w:cs="Arial"/>
                    </w:rPr>
                    <m:t>CI</m:t>
                  </m:r>
                </m:e>
                <m:sub>
                  <m:r>
                    <w:rPr>
                      <w:rFonts w:ascii="Cambria Math" w:hAnsi="Cambria Math" w:cs="Arial"/>
                    </w:rPr>
                    <m:t>blue hydrogen</m:t>
                  </m:r>
                </m:sub>
              </m:sSub>
              <m:r>
                <w:rPr>
                  <w:rFonts w:ascii="Cambria Math" w:hAnsi="Cambria Math" w:cs="Arial"/>
                </w:rPr>
                <m:t>=</m:t>
              </m:r>
              <m:sSub>
                <m:sSubPr>
                  <m:ctrlPr>
                    <w:rPr>
                      <w:rFonts w:ascii="Cambria Math" w:hAnsi="Cambria Math" w:cs="Arial"/>
                      <w:i/>
                    </w:rPr>
                  </m:ctrlPr>
                </m:sSubPr>
                <m:e>
                  <m:r>
                    <w:rPr>
                      <w:rFonts w:ascii="Cambria Math" w:hAnsi="Cambria Math" w:cs="Arial"/>
                    </w:rPr>
                    <m:t>A</m:t>
                  </m:r>
                </m:e>
                <m:sub>
                  <m:r>
                    <w:rPr>
                      <w:rFonts w:ascii="Cambria Math" w:hAnsi="Cambria Math" w:cs="Arial"/>
                    </w:rPr>
                    <m:t>1</m:t>
                  </m:r>
                </m:sub>
              </m:sSub>
              <m:r>
                <w:rPr>
                  <w:rFonts w:ascii="Cambria Math" w:hAnsi="Cambria Math" w:cs="Arial"/>
                </w:rPr>
                <m:t>+</m:t>
              </m:r>
              <m:sSub>
                <m:sSubPr>
                  <m:ctrlPr>
                    <w:rPr>
                      <w:rFonts w:ascii="Cambria Math" w:hAnsi="Cambria Math" w:cs="Arial"/>
                      <w:i/>
                    </w:rPr>
                  </m:ctrlPr>
                </m:sSubPr>
                <m:e>
                  <m:r>
                    <w:rPr>
                      <w:rFonts w:ascii="Cambria Math" w:hAnsi="Cambria Math" w:cs="Arial"/>
                    </w:rPr>
                    <m:t>A</m:t>
                  </m:r>
                </m:e>
                <m:sub>
                  <m:r>
                    <w:rPr>
                      <w:rFonts w:ascii="Cambria Math" w:hAnsi="Cambria Math" w:cs="Arial"/>
                    </w:rPr>
                    <m:t>2</m:t>
                  </m:r>
                </m:sub>
              </m:sSub>
              <m:r>
                <w:rPr>
                  <w:rFonts w:ascii="Cambria Math" w:hAnsi="Cambria Math" w:cs="Arial"/>
                </w:rPr>
                <m:t>×</m:t>
              </m:r>
              <m:sSub>
                <m:sSubPr>
                  <m:ctrlPr>
                    <w:rPr>
                      <w:rFonts w:ascii="Cambria Math" w:hAnsi="Cambria Math" w:cs="Arial"/>
                      <w:i/>
                    </w:rPr>
                  </m:ctrlPr>
                </m:sSubPr>
                <m:e>
                  <m:r>
                    <w:rPr>
                      <w:rFonts w:ascii="Cambria Math" w:hAnsi="Cambria Math" w:cs="Arial"/>
                    </w:rPr>
                    <m:t>CI</m:t>
                  </m:r>
                </m:e>
                <m:sub>
                  <m:r>
                    <w:rPr>
                      <w:rFonts w:ascii="Cambria Math" w:hAnsi="Cambria Math" w:cs="Arial"/>
                    </w:rPr>
                    <m:t>natural gas</m:t>
                  </m:r>
                </m:sub>
              </m:sSub>
              <m:r>
                <w:rPr>
                  <w:rFonts w:ascii="Cambria Math" w:hAnsi="Cambria Math" w:cs="Arial"/>
                </w:rPr>
                <m:t xml:space="preserve"> #</m:t>
              </m:r>
              <m:d>
                <m:dPr>
                  <m:ctrlPr>
                    <w:rPr>
                      <w:rFonts w:ascii="Cambria Math" w:hAnsi="Cambria Math" w:cs="Arial"/>
                      <w:i/>
                    </w:rPr>
                  </m:ctrlPr>
                </m:dPr>
                <m:e>
                  <m:r>
                    <w:rPr>
                      <w:rFonts w:ascii="Cambria Math" w:hAnsi="Cambria Math" w:cs="Arial"/>
                    </w:rPr>
                    <m:t>S1</m:t>
                  </m:r>
                </m:e>
              </m:d>
            </m:e>
          </m:eqArr>
        </m:oMath>
      </m:oMathPara>
    </w:p>
    <w:p w14:paraId="062BC346" w14:textId="77777777" w:rsidR="00E449BC" w:rsidRPr="0088242E" w:rsidRDefault="00120A0E" w:rsidP="00E449BC">
      <w:pPr>
        <w:jc w:val="both"/>
        <w:rPr>
          <w:rFonts w:ascii="Arial" w:eastAsiaTheme="minorEastAsia" w:hAnsi="Arial" w:cs="Arial"/>
        </w:rPr>
      </w:pPr>
      <m:oMathPara>
        <m:oMath>
          <m:eqArr>
            <m:eqArrPr>
              <m:maxDist m:val="1"/>
              <m:ctrlPr>
                <w:rPr>
                  <w:rFonts w:ascii="Cambria Math" w:eastAsiaTheme="minorEastAsia" w:hAnsi="Cambria Math" w:cs="Arial"/>
                  <w:i/>
                </w:rPr>
              </m:ctrlPr>
            </m:eqArrPr>
            <m:e>
              <m:sSub>
                <m:sSubPr>
                  <m:ctrlPr>
                    <w:rPr>
                      <w:rFonts w:ascii="Cambria Math" w:hAnsi="Cambria Math" w:cs="Arial"/>
                      <w:i/>
                    </w:rPr>
                  </m:ctrlPr>
                </m:sSubPr>
                <m:e>
                  <m:r>
                    <w:rPr>
                      <w:rFonts w:ascii="Cambria Math" w:hAnsi="Cambria Math" w:cs="Arial"/>
                    </w:rPr>
                    <m:t>CI</m:t>
                  </m:r>
                </m:e>
                <m:sub>
                  <m:r>
                    <w:rPr>
                      <w:rFonts w:ascii="Cambria Math" w:hAnsi="Cambria Math" w:cs="Arial"/>
                    </w:rPr>
                    <m:t>grey hydrogen</m:t>
                  </m:r>
                </m:sub>
              </m:sSub>
              <m:r>
                <w:rPr>
                  <w:rFonts w:ascii="Cambria Math" w:hAnsi="Cambria Math" w:cs="Arial"/>
                </w:rPr>
                <m:t>=</m:t>
              </m:r>
              <m:sSub>
                <m:sSubPr>
                  <m:ctrlPr>
                    <w:rPr>
                      <w:rFonts w:ascii="Cambria Math" w:hAnsi="Cambria Math" w:cs="Arial"/>
                      <w:i/>
                    </w:rPr>
                  </m:ctrlPr>
                </m:sSubPr>
                <m:e>
                  <m:r>
                    <w:rPr>
                      <w:rFonts w:ascii="Cambria Math" w:hAnsi="Cambria Math" w:cs="Arial"/>
                    </w:rPr>
                    <m:t>A</m:t>
                  </m:r>
                </m:e>
                <m:sub>
                  <m:r>
                    <w:rPr>
                      <w:rFonts w:ascii="Cambria Math" w:hAnsi="Cambria Math" w:cs="Arial"/>
                    </w:rPr>
                    <m:t>3</m:t>
                  </m:r>
                </m:sub>
              </m:sSub>
              <m:r>
                <w:rPr>
                  <w:rFonts w:ascii="Cambria Math" w:hAnsi="Cambria Math" w:cs="Arial"/>
                </w:rPr>
                <m:t>+</m:t>
              </m:r>
              <m:sSub>
                <m:sSubPr>
                  <m:ctrlPr>
                    <w:rPr>
                      <w:rFonts w:ascii="Cambria Math" w:hAnsi="Cambria Math" w:cs="Arial"/>
                      <w:i/>
                    </w:rPr>
                  </m:ctrlPr>
                </m:sSubPr>
                <m:e>
                  <m:r>
                    <w:rPr>
                      <w:rFonts w:ascii="Cambria Math" w:hAnsi="Cambria Math" w:cs="Arial"/>
                    </w:rPr>
                    <m:t>A</m:t>
                  </m:r>
                </m:e>
                <m:sub>
                  <m:r>
                    <w:rPr>
                      <w:rFonts w:ascii="Cambria Math" w:hAnsi="Cambria Math" w:cs="Arial"/>
                    </w:rPr>
                    <m:t>4</m:t>
                  </m:r>
                </m:sub>
              </m:sSub>
              <m:r>
                <w:rPr>
                  <w:rFonts w:ascii="Cambria Math" w:hAnsi="Cambria Math" w:cs="Arial"/>
                </w:rPr>
                <m:t>×</m:t>
              </m:r>
              <m:sSub>
                <m:sSubPr>
                  <m:ctrlPr>
                    <w:rPr>
                      <w:rFonts w:ascii="Cambria Math" w:hAnsi="Cambria Math" w:cs="Arial"/>
                      <w:i/>
                    </w:rPr>
                  </m:ctrlPr>
                </m:sSubPr>
                <m:e>
                  <m:r>
                    <w:rPr>
                      <w:rFonts w:ascii="Cambria Math" w:hAnsi="Cambria Math" w:cs="Arial"/>
                    </w:rPr>
                    <m:t>CI</m:t>
                  </m:r>
                </m:e>
                <m:sub>
                  <m:r>
                    <w:rPr>
                      <w:rFonts w:ascii="Cambria Math" w:hAnsi="Cambria Math" w:cs="Arial"/>
                    </w:rPr>
                    <m:t>natural gas</m:t>
                  </m:r>
                </m:sub>
              </m:sSub>
              <m:r>
                <w:rPr>
                  <w:rFonts w:ascii="Cambria Math" w:eastAsiaTheme="minorEastAsia" w:hAnsi="Cambria Math" w:cs="Arial"/>
                </w:rPr>
                <m:t xml:space="preserve"> </m:t>
              </m:r>
              <m:r>
                <w:rPr>
                  <w:rFonts w:ascii="Cambria Math" w:hAnsi="Cambria Math" w:cs="Arial"/>
                </w:rPr>
                <m:t>#</m:t>
              </m:r>
              <m:d>
                <m:dPr>
                  <m:ctrlPr>
                    <w:rPr>
                      <w:rFonts w:ascii="Cambria Math" w:eastAsiaTheme="minorEastAsia" w:hAnsi="Cambria Math" w:cs="Arial"/>
                      <w:i/>
                    </w:rPr>
                  </m:ctrlPr>
                </m:dPr>
                <m:e>
                  <m:r>
                    <w:rPr>
                      <w:rFonts w:ascii="Cambria Math" w:eastAsiaTheme="minorEastAsia" w:hAnsi="Cambria Math" w:cs="Arial"/>
                    </w:rPr>
                    <m:t>S2</m:t>
                  </m:r>
                </m:e>
              </m:d>
              <m:ctrlPr>
                <w:rPr>
                  <w:rFonts w:ascii="Cambria Math" w:hAnsi="Cambria Math" w:cs="Arial"/>
                  <w:i/>
                </w:rPr>
              </m:ctrlPr>
            </m:e>
          </m:eqArr>
        </m:oMath>
      </m:oMathPara>
    </w:p>
    <w:p w14:paraId="57EEF52C" w14:textId="77777777" w:rsidR="00E449BC" w:rsidRPr="0088242E" w:rsidRDefault="00120A0E" w:rsidP="00E449BC">
      <w:pPr>
        <w:jc w:val="both"/>
        <w:rPr>
          <w:rFonts w:ascii="Arial" w:eastAsiaTheme="minorEastAsia" w:hAnsi="Arial" w:cs="Arial"/>
        </w:rPr>
      </w:pPr>
      <m:oMathPara>
        <m:oMath>
          <m:eqArr>
            <m:eqArrPr>
              <m:maxDist m:val="1"/>
              <m:ctrlPr>
                <w:rPr>
                  <w:rFonts w:ascii="Cambria Math" w:hAnsi="Cambria Math" w:cs="Arial"/>
                  <w:i/>
                </w:rPr>
              </m:ctrlPr>
            </m:eqArrPr>
            <m:e>
              <m:sSub>
                <m:sSubPr>
                  <m:ctrlPr>
                    <w:rPr>
                      <w:rFonts w:ascii="Cambria Math" w:hAnsi="Cambria Math" w:cs="Arial"/>
                      <w:i/>
                    </w:rPr>
                  </m:ctrlPr>
                </m:sSubPr>
                <m:e>
                  <m:r>
                    <w:rPr>
                      <w:rFonts w:ascii="Cambria Math" w:hAnsi="Cambria Math" w:cs="Arial"/>
                    </w:rPr>
                    <m:t>CI</m:t>
                  </m:r>
                </m:e>
                <m:sub>
                  <m:r>
                    <w:rPr>
                      <w:rFonts w:ascii="Cambria Math" w:hAnsi="Cambria Math" w:cs="Arial"/>
                    </w:rPr>
                    <m:t>electrolytic hydrogen</m:t>
                  </m:r>
                </m:sub>
              </m:sSub>
              <m:r>
                <w:rPr>
                  <w:rFonts w:ascii="Cambria Math" w:hAnsi="Cambria Math" w:cs="Arial"/>
                </w:rPr>
                <m:t>=</m:t>
              </m:r>
              <m:sSub>
                <m:sSubPr>
                  <m:ctrlPr>
                    <w:rPr>
                      <w:rFonts w:ascii="Cambria Math" w:hAnsi="Cambria Math" w:cs="Arial"/>
                      <w:i/>
                    </w:rPr>
                  </m:ctrlPr>
                </m:sSubPr>
                <m:e>
                  <m:r>
                    <w:rPr>
                      <w:rFonts w:ascii="Cambria Math" w:hAnsi="Cambria Math" w:cs="Arial"/>
                    </w:rPr>
                    <m:t>A</m:t>
                  </m:r>
                </m:e>
                <m:sub>
                  <m:r>
                    <w:rPr>
                      <w:rFonts w:ascii="Cambria Math" w:hAnsi="Cambria Math" w:cs="Arial"/>
                    </w:rPr>
                    <m:t>5</m:t>
                  </m:r>
                </m:sub>
              </m:sSub>
              <m:r>
                <w:rPr>
                  <w:rFonts w:ascii="Cambria Math" w:hAnsi="Cambria Math" w:cs="Arial"/>
                </w:rPr>
                <m:t>×</m:t>
              </m:r>
              <m:sSub>
                <m:sSubPr>
                  <m:ctrlPr>
                    <w:rPr>
                      <w:rFonts w:ascii="Cambria Math" w:hAnsi="Cambria Math" w:cs="Arial"/>
                      <w:i/>
                    </w:rPr>
                  </m:ctrlPr>
                </m:sSubPr>
                <m:e>
                  <m:r>
                    <w:rPr>
                      <w:rFonts w:ascii="Cambria Math" w:hAnsi="Cambria Math" w:cs="Arial"/>
                    </w:rPr>
                    <m:t>CI</m:t>
                  </m:r>
                </m:e>
                <m:sub>
                  <m:r>
                    <w:rPr>
                      <w:rFonts w:ascii="Cambria Math" w:hAnsi="Cambria Math" w:cs="Arial"/>
                    </w:rPr>
                    <m:t>electricity</m:t>
                  </m:r>
                </m:sub>
              </m:sSub>
              <m:r>
                <w:rPr>
                  <w:rFonts w:ascii="Cambria Math" w:hAnsi="Cambria Math" w:cs="Arial"/>
                </w:rPr>
                <m:t xml:space="preserve"> #</m:t>
              </m:r>
              <m:d>
                <m:dPr>
                  <m:ctrlPr>
                    <w:rPr>
                      <w:rFonts w:ascii="Cambria Math" w:hAnsi="Cambria Math" w:cs="Arial"/>
                      <w:i/>
                    </w:rPr>
                  </m:ctrlPr>
                </m:dPr>
                <m:e>
                  <m:r>
                    <w:rPr>
                      <w:rFonts w:ascii="Cambria Math" w:hAnsi="Cambria Math" w:cs="Arial"/>
                    </w:rPr>
                    <m:t>S3</m:t>
                  </m:r>
                </m:e>
              </m:d>
            </m:e>
          </m:eqArr>
        </m:oMath>
      </m:oMathPara>
    </w:p>
    <w:p w14:paraId="0540814A" w14:textId="77777777" w:rsidR="00E449BC" w:rsidRPr="00824303" w:rsidRDefault="00E449BC" w:rsidP="00E449BC">
      <w:pPr>
        <w:jc w:val="both"/>
        <w:rPr>
          <w:rFonts w:ascii="Arial" w:eastAsiaTheme="minorEastAsia" w:hAnsi="Arial" w:cs="Arial"/>
        </w:rPr>
      </w:pPr>
    </w:p>
    <w:p w14:paraId="16ACA15E" w14:textId="162671EA" w:rsidR="00E449BC" w:rsidRDefault="00E449BC" w:rsidP="00E449BC">
      <w:pPr>
        <w:jc w:val="both"/>
        <w:rPr>
          <w:rFonts w:ascii="Arial" w:eastAsiaTheme="minorEastAsia" w:hAnsi="Arial" w:cs="Arial"/>
          <w:sz w:val="20"/>
          <w:szCs w:val="20"/>
        </w:rPr>
      </w:pPr>
      <w:r w:rsidRPr="00824303">
        <w:rPr>
          <w:rFonts w:ascii="Arial" w:eastAsiaTheme="minorEastAsia" w:hAnsi="Arial" w:cs="Arial"/>
          <w:sz w:val="20"/>
          <w:szCs w:val="20"/>
        </w:rPr>
        <w:t xml:space="preserve">Where </w:t>
      </w:r>
      <m:oMath>
        <m:sSub>
          <m:sSubPr>
            <m:ctrlPr>
              <w:rPr>
                <w:rFonts w:ascii="Cambria Math" w:hAnsi="Cambria Math" w:cs="Arial"/>
                <w:i/>
                <w:sz w:val="20"/>
                <w:szCs w:val="20"/>
              </w:rPr>
            </m:ctrlPr>
          </m:sSubPr>
          <m:e>
            <m:r>
              <w:rPr>
                <w:rFonts w:ascii="Cambria Math" w:hAnsi="Cambria Math" w:cs="Arial"/>
                <w:sz w:val="20"/>
                <w:szCs w:val="20"/>
              </w:rPr>
              <m:t>CI</m:t>
            </m:r>
          </m:e>
          <m:sub>
            <m:r>
              <w:rPr>
                <w:rFonts w:ascii="Cambria Math" w:hAnsi="Cambria Math" w:cs="Arial"/>
                <w:sz w:val="20"/>
                <w:szCs w:val="20"/>
              </w:rPr>
              <m:t>blue hydrogen</m:t>
            </m:r>
          </m:sub>
        </m:sSub>
      </m:oMath>
      <w:r w:rsidRPr="00824303">
        <w:rPr>
          <w:rFonts w:ascii="Arial" w:eastAsiaTheme="minorEastAsia" w:hAnsi="Arial" w:cs="Arial"/>
          <w:sz w:val="20"/>
          <w:szCs w:val="20"/>
        </w:rPr>
        <w:t xml:space="preserve">, </w:t>
      </w:r>
      <m:oMath>
        <m:sSub>
          <m:sSubPr>
            <m:ctrlPr>
              <w:rPr>
                <w:rFonts w:ascii="Cambria Math" w:hAnsi="Cambria Math" w:cs="Arial"/>
                <w:i/>
                <w:sz w:val="20"/>
                <w:szCs w:val="20"/>
              </w:rPr>
            </m:ctrlPr>
          </m:sSubPr>
          <m:e>
            <m:r>
              <w:rPr>
                <w:rFonts w:ascii="Cambria Math" w:hAnsi="Cambria Math" w:cs="Arial"/>
                <w:sz w:val="20"/>
                <w:szCs w:val="20"/>
              </w:rPr>
              <m:t>CI</m:t>
            </m:r>
          </m:e>
          <m:sub>
            <m:r>
              <w:rPr>
                <w:rFonts w:ascii="Cambria Math" w:hAnsi="Cambria Math" w:cs="Arial"/>
                <w:sz w:val="20"/>
                <w:szCs w:val="20"/>
              </w:rPr>
              <m:t>grey hydrogen</m:t>
            </m:r>
          </m:sub>
        </m:sSub>
      </m:oMath>
      <w:r w:rsidRPr="00824303">
        <w:rPr>
          <w:rFonts w:ascii="Arial" w:eastAsiaTheme="minorEastAsia" w:hAnsi="Arial" w:cs="Arial"/>
          <w:sz w:val="20"/>
          <w:szCs w:val="20"/>
        </w:rPr>
        <w:t xml:space="preserve">, and </w:t>
      </w:r>
      <m:oMath>
        <m:sSub>
          <m:sSubPr>
            <m:ctrlPr>
              <w:rPr>
                <w:rFonts w:ascii="Cambria Math" w:hAnsi="Cambria Math" w:cs="Arial"/>
                <w:i/>
                <w:sz w:val="20"/>
                <w:szCs w:val="20"/>
              </w:rPr>
            </m:ctrlPr>
          </m:sSubPr>
          <m:e>
            <m:r>
              <w:rPr>
                <w:rFonts w:ascii="Cambria Math" w:hAnsi="Cambria Math" w:cs="Arial"/>
                <w:sz w:val="20"/>
                <w:szCs w:val="20"/>
              </w:rPr>
              <m:t>CI</m:t>
            </m:r>
          </m:e>
          <m:sub>
            <m:r>
              <w:rPr>
                <w:rFonts w:ascii="Cambria Math" w:hAnsi="Cambria Math" w:cs="Arial"/>
                <w:sz w:val="20"/>
                <w:szCs w:val="20"/>
              </w:rPr>
              <m:t>electrolytic hydrogen</m:t>
            </m:r>
          </m:sub>
        </m:sSub>
      </m:oMath>
      <w:r w:rsidRPr="00824303">
        <w:rPr>
          <w:rFonts w:ascii="Arial" w:eastAsiaTheme="minorEastAsia" w:hAnsi="Arial" w:cs="Arial"/>
          <w:sz w:val="20"/>
          <w:szCs w:val="20"/>
        </w:rPr>
        <w:t xml:space="preserve"> denote the carbon intensity of blue hydrogen, grey hydrogen, and electrolytic hydrogen, respectively.</w:t>
      </w:r>
      <w:r>
        <w:rPr>
          <w:rFonts w:ascii="Arial" w:eastAsiaTheme="minorEastAsia" w:hAnsi="Arial" w:cs="Arial"/>
          <w:sz w:val="20"/>
          <w:szCs w:val="20"/>
        </w:rPr>
        <w:t xml:space="preserve"> The variables and parameters in these equations are as follows:</w:t>
      </w:r>
    </w:p>
    <w:p w14:paraId="77B75070" w14:textId="77777777" w:rsidR="00E449BC" w:rsidRDefault="00E449BC" w:rsidP="00E449BC">
      <w:pPr>
        <w:jc w:val="both"/>
        <w:rPr>
          <w:rFonts w:ascii="Arial" w:eastAsiaTheme="minorEastAsia" w:hAnsi="Arial" w:cs="Arial"/>
          <w:sz w:val="20"/>
          <w:szCs w:val="20"/>
        </w:rPr>
      </w:pPr>
    </w:p>
    <w:p w14:paraId="4E95C8DB" w14:textId="77777777" w:rsidR="00E449BC" w:rsidRDefault="00E449BC" w:rsidP="00E449BC">
      <w:pPr>
        <w:jc w:val="both"/>
        <w:rPr>
          <w:rFonts w:ascii="Arial" w:eastAsiaTheme="minorEastAsia" w:hAnsi="Arial" w:cs="Arial"/>
          <w:b/>
          <w:bCs/>
          <w:sz w:val="20"/>
          <w:szCs w:val="20"/>
        </w:rPr>
      </w:pPr>
      <w:r>
        <w:rPr>
          <w:rFonts w:ascii="Arial" w:eastAsiaTheme="minorEastAsia" w:hAnsi="Arial" w:cs="Arial"/>
          <w:b/>
          <w:bCs/>
          <w:sz w:val="20"/>
          <w:szCs w:val="20"/>
        </w:rPr>
        <w:t>Variables</w:t>
      </w:r>
    </w:p>
    <w:p w14:paraId="63475040" w14:textId="77777777" w:rsidR="00E449BC" w:rsidRDefault="00120A0E" w:rsidP="00E449BC">
      <w:pPr>
        <w:jc w:val="both"/>
        <w:rPr>
          <w:rFonts w:ascii="Arial" w:eastAsiaTheme="minorEastAsia" w:hAnsi="Arial" w:cs="Arial"/>
        </w:rPr>
      </w:pPr>
      <m:oMath>
        <m:sSub>
          <m:sSubPr>
            <m:ctrlPr>
              <w:rPr>
                <w:rFonts w:ascii="Cambria Math" w:hAnsi="Cambria Math" w:cs="Arial"/>
                <w:i/>
              </w:rPr>
            </m:ctrlPr>
          </m:sSubPr>
          <m:e>
            <m:r>
              <w:rPr>
                <w:rFonts w:ascii="Cambria Math" w:hAnsi="Cambria Math" w:cs="Arial"/>
              </w:rPr>
              <m:t>CI</m:t>
            </m:r>
          </m:e>
          <m:sub>
            <m:r>
              <w:rPr>
                <w:rFonts w:ascii="Cambria Math" w:hAnsi="Cambria Math" w:cs="Arial"/>
              </w:rPr>
              <m:t>blue hydrogen</m:t>
            </m:r>
          </m:sub>
        </m:sSub>
      </m:oMath>
      <w:r w:rsidR="00E449BC">
        <w:rPr>
          <w:rFonts w:ascii="Arial" w:eastAsiaTheme="minorEastAsia" w:hAnsi="Arial" w:cs="Arial"/>
        </w:rPr>
        <w:t xml:space="preserve"> [</w:t>
      </w:r>
      <w:r w:rsidR="00E449BC">
        <w:rPr>
          <w:rFonts w:ascii="Arial" w:eastAsiaTheme="minorEastAsia" w:hAnsi="Arial" w:cs="Arial"/>
          <w:sz w:val="20"/>
          <w:szCs w:val="20"/>
        </w:rPr>
        <w:t xml:space="preserve">kg </w:t>
      </w:r>
      <w:proofErr w:type="gramStart"/>
      <w:r w:rsidR="00E449BC">
        <w:rPr>
          <w:rFonts w:ascii="Arial" w:eastAsiaTheme="minorEastAsia" w:hAnsi="Arial" w:cs="Arial"/>
          <w:sz w:val="20"/>
          <w:szCs w:val="20"/>
        </w:rPr>
        <w:t>CO</w:t>
      </w:r>
      <w:r w:rsidR="00E449BC" w:rsidRPr="00FA7A7C">
        <w:rPr>
          <w:rFonts w:ascii="Arial" w:eastAsiaTheme="minorEastAsia" w:hAnsi="Arial" w:cs="Arial"/>
          <w:sz w:val="20"/>
          <w:szCs w:val="20"/>
          <w:vertAlign w:val="subscript"/>
        </w:rPr>
        <w:t>2</w:t>
      </w:r>
      <w:r w:rsidR="00E449BC">
        <w:rPr>
          <w:rFonts w:ascii="Arial" w:eastAsiaTheme="minorEastAsia" w:hAnsi="Arial" w:cs="Arial"/>
          <w:sz w:val="20"/>
          <w:szCs w:val="20"/>
        </w:rPr>
        <w:t>,eq</w:t>
      </w:r>
      <w:proofErr w:type="gramEnd"/>
      <w:r w:rsidR="00E449BC">
        <w:rPr>
          <w:rFonts w:ascii="Arial" w:eastAsiaTheme="minorEastAsia" w:hAnsi="Arial" w:cs="Arial"/>
          <w:sz w:val="20"/>
          <w:szCs w:val="20"/>
        </w:rPr>
        <w:t>/MWh H</w:t>
      </w:r>
      <w:r w:rsidR="00E449BC" w:rsidRPr="00FA7A7C">
        <w:rPr>
          <w:rFonts w:ascii="Arial" w:eastAsiaTheme="minorEastAsia" w:hAnsi="Arial" w:cs="Arial"/>
          <w:sz w:val="20"/>
          <w:szCs w:val="20"/>
          <w:vertAlign w:val="subscript"/>
        </w:rPr>
        <w:t>2</w:t>
      </w:r>
      <w:r w:rsidR="00E449BC">
        <w:rPr>
          <w:rFonts w:ascii="Arial" w:eastAsiaTheme="minorEastAsia" w:hAnsi="Arial" w:cs="Arial"/>
          <w:sz w:val="20"/>
          <w:szCs w:val="20"/>
        </w:rPr>
        <w:t xml:space="preserve"> LHV</w:t>
      </w:r>
      <w:r w:rsidR="00E449BC">
        <w:rPr>
          <w:rFonts w:ascii="Arial" w:eastAsiaTheme="minorEastAsia" w:hAnsi="Arial" w:cs="Arial"/>
        </w:rPr>
        <w:t>]</w:t>
      </w:r>
    </w:p>
    <w:p w14:paraId="41DE8729" w14:textId="77777777" w:rsidR="00E449BC" w:rsidRDefault="00120A0E" w:rsidP="00E449BC">
      <w:pPr>
        <w:jc w:val="both"/>
        <w:rPr>
          <w:rFonts w:ascii="Arial" w:eastAsiaTheme="minorEastAsia" w:hAnsi="Arial" w:cs="Arial"/>
        </w:rPr>
      </w:pPr>
      <m:oMath>
        <m:sSub>
          <m:sSubPr>
            <m:ctrlPr>
              <w:rPr>
                <w:rFonts w:ascii="Cambria Math" w:hAnsi="Cambria Math" w:cs="Arial"/>
                <w:i/>
              </w:rPr>
            </m:ctrlPr>
          </m:sSubPr>
          <m:e>
            <m:r>
              <w:rPr>
                <w:rFonts w:ascii="Cambria Math" w:hAnsi="Cambria Math" w:cs="Arial"/>
              </w:rPr>
              <m:t>CI</m:t>
            </m:r>
          </m:e>
          <m:sub>
            <m:r>
              <w:rPr>
                <w:rFonts w:ascii="Cambria Math" w:hAnsi="Cambria Math" w:cs="Arial"/>
              </w:rPr>
              <m:t>grey hydrogen</m:t>
            </m:r>
          </m:sub>
        </m:sSub>
      </m:oMath>
      <w:r w:rsidR="00E449BC">
        <w:rPr>
          <w:rFonts w:ascii="Arial" w:eastAsiaTheme="minorEastAsia" w:hAnsi="Arial" w:cs="Arial"/>
        </w:rPr>
        <w:t xml:space="preserve"> [</w:t>
      </w:r>
      <w:r w:rsidR="00E449BC">
        <w:rPr>
          <w:rFonts w:ascii="Arial" w:eastAsiaTheme="minorEastAsia" w:hAnsi="Arial" w:cs="Arial"/>
          <w:sz w:val="20"/>
          <w:szCs w:val="20"/>
        </w:rPr>
        <w:t xml:space="preserve">kg </w:t>
      </w:r>
      <w:proofErr w:type="gramStart"/>
      <w:r w:rsidR="00E449BC">
        <w:rPr>
          <w:rFonts w:ascii="Arial" w:eastAsiaTheme="minorEastAsia" w:hAnsi="Arial" w:cs="Arial"/>
          <w:sz w:val="20"/>
          <w:szCs w:val="20"/>
        </w:rPr>
        <w:t>CO</w:t>
      </w:r>
      <w:r w:rsidR="00E449BC" w:rsidRPr="00FA7A7C">
        <w:rPr>
          <w:rFonts w:ascii="Arial" w:eastAsiaTheme="minorEastAsia" w:hAnsi="Arial" w:cs="Arial"/>
          <w:sz w:val="20"/>
          <w:szCs w:val="20"/>
          <w:vertAlign w:val="subscript"/>
        </w:rPr>
        <w:t>2</w:t>
      </w:r>
      <w:r w:rsidR="00E449BC">
        <w:rPr>
          <w:rFonts w:ascii="Arial" w:eastAsiaTheme="minorEastAsia" w:hAnsi="Arial" w:cs="Arial"/>
          <w:sz w:val="20"/>
          <w:szCs w:val="20"/>
        </w:rPr>
        <w:t>,eq</w:t>
      </w:r>
      <w:proofErr w:type="gramEnd"/>
      <w:r w:rsidR="00E449BC">
        <w:rPr>
          <w:rFonts w:ascii="Arial" w:eastAsiaTheme="minorEastAsia" w:hAnsi="Arial" w:cs="Arial"/>
          <w:sz w:val="20"/>
          <w:szCs w:val="20"/>
        </w:rPr>
        <w:t>/MWh H</w:t>
      </w:r>
      <w:r w:rsidR="00E449BC" w:rsidRPr="00FA7A7C">
        <w:rPr>
          <w:rFonts w:ascii="Arial" w:eastAsiaTheme="minorEastAsia" w:hAnsi="Arial" w:cs="Arial"/>
          <w:sz w:val="20"/>
          <w:szCs w:val="20"/>
          <w:vertAlign w:val="subscript"/>
        </w:rPr>
        <w:t>2</w:t>
      </w:r>
      <w:r w:rsidR="00E449BC">
        <w:rPr>
          <w:rFonts w:ascii="Arial" w:eastAsiaTheme="minorEastAsia" w:hAnsi="Arial" w:cs="Arial"/>
          <w:sz w:val="20"/>
          <w:szCs w:val="20"/>
        </w:rPr>
        <w:t xml:space="preserve"> LHV</w:t>
      </w:r>
      <w:r w:rsidR="00E449BC">
        <w:rPr>
          <w:rFonts w:ascii="Arial" w:eastAsiaTheme="minorEastAsia" w:hAnsi="Arial" w:cs="Arial"/>
        </w:rPr>
        <w:t>]</w:t>
      </w:r>
    </w:p>
    <w:p w14:paraId="10F3F68E" w14:textId="77777777" w:rsidR="00E449BC" w:rsidRDefault="00120A0E" w:rsidP="00E449BC">
      <w:pPr>
        <w:jc w:val="both"/>
        <w:rPr>
          <w:rFonts w:ascii="Arial" w:eastAsiaTheme="minorEastAsia" w:hAnsi="Arial" w:cs="Arial"/>
        </w:rPr>
      </w:pPr>
      <m:oMath>
        <m:sSub>
          <m:sSubPr>
            <m:ctrlPr>
              <w:rPr>
                <w:rFonts w:ascii="Cambria Math" w:hAnsi="Cambria Math" w:cs="Arial"/>
                <w:i/>
              </w:rPr>
            </m:ctrlPr>
          </m:sSubPr>
          <m:e>
            <m:r>
              <w:rPr>
                <w:rFonts w:ascii="Cambria Math" w:hAnsi="Cambria Math" w:cs="Arial"/>
              </w:rPr>
              <m:t>CI</m:t>
            </m:r>
          </m:e>
          <m:sub>
            <m:r>
              <w:rPr>
                <w:rFonts w:ascii="Cambria Math" w:hAnsi="Cambria Math" w:cs="Arial"/>
              </w:rPr>
              <m:t>electrolytic hydrogen</m:t>
            </m:r>
          </m:sub>
        </m:sSub>
      </m:oMath>
      <w:r w:rsidR="00E449BC">
        <w:rPr>
          <w:rFonts w:ascii="Arial" w:eastAsiaTheme="minorEastAsia" w:hAnsi="Arial" w:cs="Arial"/>
        </w:rPr>
        <w:t xml:space="preserve"> [</w:t>
      </w:r>
      <w:r w:rsidR="00E449BC">
        <w:rPr>
          <w:rFonts w:ascii="Arial" w:eastAsiaTheme="minorEastAsia" w:hAnsi="Arial" w:cs="Arial"/>
          <w:sz w:val="20"/>
          <w:szCs w:val="20"/>
        </w:rPr>
        <w:t xml:space="preserve">kg </w:t>
      </w:r>
      <w:proofErr w:type="gramStart"/>
      <w:r w:rsidR="00E449BC">
        <w:rPr>
          <w:rFonts w:ascii="Arial" w:eastAsiaTheme="minorEastAsia" w:hAnsi="Arial" w:cs="Arial"/>
          <w:sz w:val="20"/>
          <w:szCs w:val="20"/>
        </w:rPr>
        <w:t>CO</w:t>
      </w:r>
      <w:r w:rsidR="00E449BC" w:rsidRPr="00FA7A7C">
        <w:rPr>
          <w:rFonts w:ascii="Arial" w:eastAsiaTheme="minorEastAsia" w:hAnsi="Arial" w:cs="Arial"/>
          <w:sz w:val="20"/>
          <w:szCs w:val="20"/>
          <w:vertAlign w:val="subscript"/>
        </w:rPr>
        <w:t>2</w:t>
      </w:r>
      <w:r w:rsidR="00E449BC">
        <w:rPr>
          <w:rFonts w:ascii="Arial" w:eastAsiaTheme="minorEastAsia" w:hAnsi="Arial" w:cs="Arial"/>
          <w:sz w:val="20"/>
          <w:szCs w:val="20"/>
        </w:rPr>
        <w:t>,eq</w:t>
      </w:r>
      <w:proofErr w:type="gramEnd"/>
      <w:r w:rsidR="00E449BC">
        <w:rPr>
          <w:rFonts w:ascii="Arial" w:eastAsiaTheme="minorEastAsia" w:hAnsi="Arial" w:cs="Arial"/>
          <w:sz w:val="20"/>
          <w:szCs w:val="20"/>
        </w:rPr>
        <w:t>/MWh H</w:t>
      </w:r>
      <w:r w:rsidR="00E449BC" w:rsidRPr="00FA7A7C">
        <w:rPr>
          <w:rFonts w:ascii="Arial" w:eastAsiaTheme="minorEastAsia" w:hAnsi="Arial" w:cs="Arial"/>
          <w:sz w:val="20"/>
          <w:szCs w:val="20"/>
          <w:vertAlign w:val="subscript"/>
        </w:rPr>
        <w:t>2</w:t>
      </w:r>
      <w:r w:rsidR="00E449BC">
        <w:rPr>
          <w:rFonts w:ascii="Arial" w:eastAsiaTheme="minorEastAsia" w:hAnsi="Arial" w:cs="Arial"/>
          <w:sz w:val="20"/>
          <w:szCs w:val="20"/>
        </w:rPr>
        <w:t xml:space="preserve"> LHV</w:t>
      </w:r>
      <w:r w:rsidR="00E449BC">
        <w:rPr>
          <w:rFonts w:ascii="Arial" w:eastAsiaTheme="minorEastAsia" w:hAnsi="Arial" w:cs="Arial"/>
        </w:rPr>
        <w:t>]</w:t>
      </w:r>
    </w:p>
    <w:p w14:paraId="7A466413" w14:textId="77777777" w:rsidR="00E449BC" w:rsidRDefault="00120A0E" w:rsidP="00E449BC">
      <w:pPr>
        <w:jc w:val="both"/>
        <w:rPr>
          <w:rFonts w:ascii="Arial" w:eastAsiaTheme="minorEastAsia" w:hAnsi="Arial" w:cs="Arial"/>
        </w:rPr>
      </w:pPr>
      <m:oMath>
        <m:sSub>
          <m:sSubPr>
            <m:ctrlPr>
              <w:rPr>
                <w:rFonts w:ascii="Cambria Math" w:hAnsi="Cambria Math" w:cs="Arial"/>
                <w:i/>
              </w:rPr>
            </m:ctrlPr>
          </m:sSubPr>
          <m:e>
            <m:r>
              <w:rPr>
                <w:rFonts w:ascii="Cambria Math" w:hAnsi="Cambria Math" w:cs="Arial"/>
              </w:rPr>
              <m:t>CI</m:t>
            </m:r>
          </m:e>
          <m:sub>
            <m:r>
              <w:rPr>
                <w:rFonts w:ascii="Cambria Math" w:hAnsi="Cambria Math" w:cs="Arial"/>
              </w:rPr>
              <m:t>natural gas</m:t>
            </m:r>
          </m:sub>
        </m:sSub>
      </m:oMath>
      <w:r w:rsidR="00E449BC">
        <w:rPr>
          <w:rFonts w:ascii="Arial" w:eastAsiaTheme="minorEastAsia" w:hAnsi="Arial" w:cs="Arial"/>
        </w:rPr>
        <w:t xml:space="preserve"> [</w:t>
      </w:r>
      <w:r w:rsidR="00E449BC">
        <w:rPr>
          <w:rFonts w:ascii="Arial" w:eastAsiaTheme="minorEastAsia" w:hAnsi="Arial" w:cs="Arial"/>
          <w:sz w:val="20"/>
          <w:szCs w:val="20"/>
        </w:rPr>
        <w:t xml:space="preserve">kg </w:t>
      </w:r>
      <w:proofErr w:type="gramStart"/>
      <w:r w:rsidR="00E449BC">
        <w:rPr>
          <w:rFonts w:ascii="Arial" w:eastAsiaTheme="minorEastAsia" w:hAnsi="Arial" w:cs="Arial"/>
          <w:sz w:val="20"/>
          <w:szCs w:val="20"/>
        </w:rPr>
        <w:t>CO</w:t>
      </w:r>
      <w:r w:rsidR="00E449BC" w:rsidRPr="00FA7A7C">
        <w:rPr>
          <w:rFonts w:ascii="Arial" w:eastAsiaTheme="minorEastAsia" w:hAnsi="Arial" w:cs="Arial"/>
          <w:sz w:val="20"/>
          <w:szCs w:val="20"/>
          <w:vertAlign w:val="subscript"/>
        </w:rPr>
        <w:t>2</w:t>
      </w:r>
      <w:r w:rsidR="00E449BC">
        <w:rPr>
          <w:rFonts w:ascii="Arial" w:eastAsiaTheme="minorEastAsia" w:hAnsi="Arial" w:cs="Arial"/>
          <w:sz w:val="20"/>
          <w:szCs w:val="20"/>
        </w:rPr>
        <w:t>,eq</w:t>
      </w:r>
      <w:proofErr w:type="gramEnd"/>
      <w:r w:rsidR="00E449BC">
        <w:rPr>
          <w:rFonts w:ascii="Arial" w:eastAsiaTheme="minorEastAsia" w:hAnsi="Arial" w:cs="Arial"/>
          <w:sz w:val="20"/>
          <w:szCs w:val="20"/>
        </w:rPr>
        <w:t>/MWh LHV</w:t>
      </w:r>
      <w:r w:rsidR="00E449BC">
        <w:rPr>
          <w:rFonts w:ascii="Arial" w:eastAsiaTheme="minorEastAsia" w:hAnsi="Arial" w:cs="Arial"/>
        </w:rPr>
        <w:t>] – Carbon intensity of the natural gas supply chain.</w:t>
      </w:r>
    </w:p>
    <w:p w14:paraId="797A1978" w14:textId="77777777" w:rsidR="00E449BC" w:rsidRDefault="00120A0E" w:rsidP="00E449BC">
      <w:pPr>
        <w:jc w:val="both"/>
        <w:rPr>
          <w:rFonts w:ascii="Arial" w:eastAsiaTheme="minorEastAsia" w:hAnsi="Arial" w:cs="Arial"/>
        </w:rPr>
      </w:pPr>
      <m:oMath>
        <m:sSub>
          <m:sSubPr>
            <m:ctrlPr>
              <w:rPr>
                <w:rFonts w:ascii="Cambria Math" w:hAnsi="Cambria Math" w:cs="Arial"/>
                <w:i/>
              </w:rPr>
            </m:ctrlPr>
          </m:sSubPr>
          <m:e>
            <m:r>
              <w:rPr>
                <w:rFonts w:ascii="Cambria Math" w:hAnsi="Cambria Math" w:cs="Arial"/>
              </w:rPr>
              <m:t>CI</m:t>
            </m:r>
          </m:e>
          <m:sub>
            <m:r>
              <w:rPr>
                <w:rFonts w:ascii="Cambria Math" w:hAnsi="Cambria Math" w:cs="Arial"/>
              </w:rPr>
              <m:t>electricity</m:t>
            </m:r>
          </m:sub>
        </m:sSub>
      </m:oMath>
      <w:r w:rsidR="00E449BC">
        <w:rPr>
          <w:rFonts w:ascii="Arial" w:eastAsiaTheme="minorEastAsia" w:hAnsi="Arial" w:cs="Arial"/>
        </w:rPr>
        <w:t xml:space="preserve"> [</w:t>
      </w:r>
      <w:r w:rsidR="00E449BC">
        <w:rPr>
          <w:rFonts w:ascii="Arial" w:eastAsiaTheme="minorEastAsia" w:hAnsi="Arial" w:cs="Arial"/>
          <w:sz w:val="20"/>
          <w:szCs w:val="20"/>
        </w:rPr>
        <w:t xml:space="preserve">kg </w:t>
      </w:r>
      <w:proofErr w:type="gramStart"/>
      <w:r w:rsidR="00E449BC">
        <w:rPr>
          <w:rFonts w:ascii="Arial" w:eastAsiaTheme="minorEastAsia" w:hAnsi="Arial" w:cs="Arial"/>
          <w:sz w:val="20"/>
          <w:szCs w:val="20"/>
        </w:rPr>
        <w:t>CO</w:t>
      </w:r>
      <w:r w:rsidR="00E449BC" w:rsidRPr="00FA7A7C">
        <w:rPr>
          <w:rFonts w:ascii="Arial" w:eastAsiaTheme="minorEastAsia" w:hAnsi="Arial" w:cs="Arial"/>
          <w:sz w:val="20"/>
          <w:szCs w:val="20"/>
          <w:vertAlign w:val="subscript"/>
        </w:rPr>
        <w:t>2</w:t>
      </w:r>
      <w:r w:rsidR="00E449BC">
        <w:rPr>
          <w:rFonts w:ascii="Arial" w:eastAsiaTheme="minorEastAsia" w:hAnsi="Arial" w:cs="Arial"/>
          <w:sz w:val="20"/>
          <w:szCs w:val="20"/>
        </w:rPr>
        <w:t>,eq</w:t>
      </w:r>
      <w:proofErr w:type="gramEnd"/>
      <w:r w:rsidR="00E449BC">
        <w:rPr>
          <w:rFonts w:ascii="Arial" w:eastAsiaTheme="minorEastAsia" w:hAnsi="Arial" w:cs="Arial"/>
          <w:sz w:val="20"/>
          <w:szCs w:val="20"/>
        </w:rPr>
        <w:t>/MWh</w:t>
      </w:r>
      <w:r w:rsidR="00E449BC">
        <w:rPr>
          <w:rFonts w:ascii="Arial" w:eastAsiaTheme="minorEastAsia" w:hAnsi="Arial" w:cs="Arial"/>
        </w:rPr>
        <w:t>] – Carbon intensity of the electricity source.</w:t>
      </w:r>
    </w:p>
    <w:p w14:paraId="5C301870" w14:textId="77777777" w:rsidR="00E449BC" w:rsidRDefault="00E449BC" w:rsidP="00E449BC">
      <w:pPr>
        <w:jc w:val="both"/>
        <w:rPr>
          <w:rFonts w:ascii="Arial" w:eastAsiaTheme="minorEastAsia" w:hAnsi="Arial" w:cs="Arial"/>
        </w:rPr>
      </w:pPr>
    </w:p>
    <w:p w14:paraId="3C2666AA" w14:textId="77777777" w:rsidR="00E449BC" w:rsidRPr="00FB3C41" w:rsidRDefault="00E449BC" w:rsidP="00E449BC">
      <w:pPr>
        <w:jc w:val="both"/>
        <w:rPr>
          <w:rFonts w:ascii="Arial" w:eastAsiaTheme="minorEastAsia" w:hAnsi="Arial" w:cs="Arial"/>
          <w:b/>
          <w:bCs/>
          <w:sz w:val="20"/>
          <w:szCs w:val="20"/>
        </w:rPr>
      </w:pPr>
      <w:r>
        <w:rPr>
          <w:rFonts w:ascii="Arial" w:eastAsiaTheme="minorEastAsia" w:hAnsi="Arial" w:cs="Arial"/>
          <w:b/>
          <w:bCs/>
          <w:sz w:val="20"/>
          <w:szCs w:val="20"/>
        </w:rPr>
        <w:t>Parameters</w:t>
      </w:r>
    </w:p>
    <w:p w14:paraId="283D69C4" w14:textId="727901B6" w:rsidR="00E449BC" w:rsidRDefault="00120A0E" w:rsidP="00E449BC">
      <w:pPr>
        <w:jc w:val="both"/>
        <w:rPr>
          <w:rFonts w:ascii="Arial" w:eastAsiaTheme="minorEastAsia" w:hAnsi="Arial" w:cs="Arial"/>
          <w:sz w:val="20"/>
          <w:szCs w:val="20"/>
        </w:rPr>
      </w:pPr>
      <m:oMath>
        <m:sSub>
          <m:sSubPr>
            <m:ctrlPr>
              <w:rPr>
                <w:rFonts w:ascii="Cambria Math" w:hAnsi="Cambria Math" w:cs="Arial"/>
                <w:i/>
              </w:rPr>
            </m:ctrlPr>
          </m:sSubPr>
          <m:e>
            <m:r>
              <w:rPr>
                <w:rFonts w:ascii="Cambria Math" w:hAnsi="Cambria Math" w:cs="Arial"/>
              </w:rPr>
              <m:t>A</m:t>
            </m:r>
          </m:e>
          <m:sub>
            <m:r>
              <w:rPr>
                <w:rFonts w:ascii="Cambria Math" w:hAnsi="Cambria Math" w:cs="Arial"/>
              </w:rPr>
              <m:t>1</m:t>
            </m:r>
          </m:sub>
        </m:sSub>
      </m:oMath>
      <w:r w:rsidR="00E449BC">
        <w:rPr>
          <w:rFonts w:ascii="Arial" w:eastAsiaTheme="minorEastAsia" w:hAnsi="Arial" w:cs="Arial"/>
        </w:rPr>
        <w:t xml:space="preserve"> </w:t>
      </w:r>
      <w:r w:rsidR="00E449BC" w:rsidRPr="001C62D9">
        <w:rPr>
          <w:rFonts w:ascii="Arial" w:eastAsiaTheme="minorEastAsia" w:hAnsi="Arial" w:cs="Arial"/>
          <w:sz w:val="20"/>
          <w:szCs w:val="20"/>
        </w:rPr>
        <w:t xml:space="preserve">(Residual emissions – blue hydrogen) </w:t>
      </w:r>
      <w:r w:rsidR="00E449BC" w:rsidRPr="00FA7A7C">
        <w:rPr>
          <w:rFonts w:ascii="Arial" w:eastAsiaTheme="minorEastAsia" w:hAnsi="Arial" w:cs="Arial"/>
          <w:sz w:val="20"/>
          <w:szCs w:val="20"/>
        </w:rPr>
        <w:t>= 29.</w:t>
      </w:r>
      <w:r w:rsidR="00E449BC">
        <w:rPr>
          <w:rFonts w:ascii="Arial" w:eastAsiaTheme="minorEastAsia" w:hAnsi="Arial" w:cs="Arial"/>
          <w:sz w:val="20"/>
          <w:szCs w:val="20"/>
        </w:rPr>
        <w:t>6</w:t>
      </w:r>
      <w:r w:rsidR="00E449BC" w:rsidRPr="00FA7A7C">
        <w:rPr>
          <w:rFonts w:ascii="Arial" w:eastAsiaTheme="minorEastAsia" w:hAnsi="Arial" w:cs="Arial"/>
          <w:sz w:val="20"/>
          <w:szCs w:val="20"/>
        </w:rPr>
        <w:t xml:space="preserve"> </w:t>
      </w:r>
      <w:r w:rsidR="00E449BC">
        <w:rPr>
          <w:rFonts w:ascii="Arial" w:eastAsiaTheme="minorEastAsia" w:hAnsi="Arial" w:cs="Arial"/>
          <w:sz w:val="20"/>
          <w:szCs w:val="20"/>
        </w:rPr>
        <w:t>kg CO</w:t>
      </w:r>
      <w:r w:rsidR="00E449BC" w:rsidRPr="00FA7A7C">
        <w:rPr>
          <w:rFonts w:ascii="Arial" w:eastAsiaTheme="minorEastAsia" w:hAnsi="Arial" w:cs="Arial"/>
          <w:sz w:val="20"/>
          <w:szCs w:val="20"/>
          <w:vertAlign w:val="subscript"/>
        </w:rPr>
        <w:t>2</w:t>
      </w:r>
      <w:r w:rsidR="00E449BC">
        <w:rPr>
          <w:rFonts w:ascii="Arial" w:eastAsiaTheme="minorEastAsia" w:hAnsi="Arial" w:cs="Arial"/>
          <w:sz w:val="20"/>
          <w:szCs w:val="20"/>
        </w:rPr>
        <w:t>,eq/MWh H</w:t>
      </w:r>
      <w:r w:rsidR="00E449BC" w:rsidRPr="00FA7A7C">
        <w:rPr>
          <w:rFonts w:ascii="Arial" w:eastAsiaTheme="minorEastAsia" w:hAnsi="Arial" w:cs="Arial"/>
          <w:sz w:val="20"/>
          <w:szCs w:val="20"/>
          <w:vertAlign w:val="subscript"/>
        </w:rPr>
        <w:t>2</w:t>
      </w:r>
      <w:r w:rsidR="00E449BC">
        <w:rPr>
          <w:rFonts w:ascii="Arial" w:eastAsiaTheme="minorEastAsia" w:hAnsi="Arial" w:cs="Arial"/>
          <w:sz w:val="20"/>
          <w:szCs w:val="20"/>
        </w:rPr>
        <w:t xml:space="preserve"> LHV</w:t>
      </w:r>
      <w:r w:rsidR="00E449BC">
        <w:rPr>
          <w:rFonts w:ascii="Arial" w:eastAsiaTheme="minorEastAsia" w:hAnsi="Arial" w:cs="Arial"/>
          <w:sz w:val="20"/>
          <w:szCs w:val="20"/>
        </w:rPr>
        <w:fldChar w:fldCharType="begin" w:fldLock="1"/>
      </w:r>
      <w:r w:rsidR="008828C0">
        <w:rPr>
          <w:rFonts w:ascii="Arial" w:eastAsiaTheme="minorEastAsia" w:hAnsi="Arial" w:cs="Arial"/>
          <w:sz w:val="20"/>
          <w:szCs w:val="20"/>
        </w:rPr>
        <w:instrText>ADDIN CSL_CITATION {"citationItems":[{"id":"ITEM-1","itemData":{"DOI":"10.1016/J.EGYPRO.2017.03.1533","ISSN":"1876-6102","abstract":"Hydrogen is a crucial raw materials to other industries. Globally, nearly 90% of the hydrogen or HyCO gas produced is consumed by the ammonia, methanol and oil refining industries. In the future, hydrogen could play an important role in the decarbonisation of transport fuel (i.e. use of fuel cell vehicles) and space heating (i.e. industrial, commercial, building and residential heating). This paper summarizes the results of the feasibility study carried out by Amec Foster Wheeler for the IEA Greenhouse Gas R&amp;D Programme (IEA GHG) with the purpose of evaluating the performance and costs of a modern steam methane reforming without and with CCS producing 100,000 Nm3/h H2 and operating as a merchant plant. This study focuses on the economic evaluation of five different alternatives to capture CO2 from SMR. This paper provides an up-to-date assessment of the performance and cost of producing hydrogen without and with CCS based on technologies that could be erected today. This study demonstrates that CO2 could be captured from an SMR plant with an overall capture rate ranging between 53 to 90%. The integration of CO2 capture plant could increase the NG consumption by -0.03 to 1.41 GJ per Nm3/h of H2. The amount of electricity exported to the grid by the SMR plant is reduced. The levelised cost of H2 production could increase by 2.1 to 5.1 € cent per Nm3 H2 (depending on capture rate and technology selected). This translates to a CO2 avoidance cost of 47 to 70 €/t.","author":[{"dropping-particle":"","family":"Collodi","given":"Guido","non-dropping-particle":"","parse-names":false,"suffix":""},{"dropping-particle":"","family":"Azzaro","given":"Giuliana","non-dropping-particle":"","parse-names":false,"suffix":""},{"dropping-particle":"","family":"Ferrari","given":"Noemi","non-dropping-particle":"","parse-names":false,"suffix":""},{"dropping-particle":"","family":"Santos","given":"Stanley","non-dropping-particle":"","parse-names":false,"suffix":""}],"container-title":"Energy Procedia","id":"ITEM-1","issued":{"date-parts":[["2017","7","1"]]},"page":"2690-2712","publisher":"Elsevier","title":"Techno-economic Evaluation of Deploying CCS in SMR Based Merchant H2 Production with NG as Feedstock and Fuel","type":"article-journal","volume":"114"},"uris":["http://www.mendeley.com/documents/?uuid=6c9ff06c-144e-3cb3-af27-85e931001e56"]}],"mendeley":{"formattedCitation":"&lt;sup&gt;1&lt;/sup&gt;","plainTextFormattedCitation":"1","previouslyFormattedCitation":"&lt;sup&gt;1&lt;/sup&gt;"},"properties":{"noteIndex":0},"schema":"https://github.com/citation-style-language/schema/raw/master/csl-citation.json"}</w:instrText>
      </w:r>
      <w:r w:rsidR="00E449BC">
        <w:rPr>
          <w:rFonts w:ascii="Arial" w:eastAsiaTheme="minorEastAsia" w:hAnsi="Arial" w:cs="Arial"/>
          <w:sz w:val="20"/>
          <w:szCs w:val="20"/>
        </w:rPr>
        <w:fldChar w:fldCharType="separate"/>
      </w:r>
      <w:r w:rsidR="007161C5" w:rsidRPr="007161C5">
        <w:rPr>
          <w:rFonts w:ascii="Arial" w:eastAsiaTheme="minorEastAsia" w:hAnsi="Arial" w:cs="Arial"/>
          <w:noProof/>
          <w:sz w:val="20"/>
          <w:szCs w:val="20"/>
          <w:vertAlign w:val="superscript"/>
        </w:rPr>
        <w:t>1</w:t>
      </w:r>
      <w:r w:rsidR="00E449BC">
        <w:rPr>
          <w:rFonts w:ascii="Arial" w:eastAsiaTheme="minorEastAsia" w:hAnsi="Arial" w:cs="Arial"/>
          <w:sz w:val="20"/>
          <w:szCs w:val="20"/>
        </w:rPr>
        <w:fldChar w:fldCharType="end"/>
      </w:r>
      <w:r w:rsidR="00E449BC">
        <w:rPr>
          <w:rFonts w:ascii="Arial" w:eastAsiaTheme="minorEastAsia" w:hAnsi="Arial" w:cs="Arial"/>
          <w:sz w:val="20"/>
          <w:szCs w:val="20"/>
        </w:rPr>
        <w:t>.</w:t>
      </w:r>
    </w:p>
    <w:p w14:paraId="570F4E28" w14:textId="7712FA3C" w:rsidR="00E449BC" w:rsidRDefault="00120A0E" w:rsidP="00E449BC">
      <w:pPr>
        <w:jc w:val="both"/>
        <w:rPr>
          <w:rFonts w:ascii="Arial" w:eastAsiaTheme="minorEastAsia" w:hAnsi="Arial" w:cs="Arial"/>
          <w:sz w:val="20"/>
          <w:szCs w:val="20"/>
        </w:rPr>
      </w:pPr>
      <m:oMath>
        <m:sSub>
          <m:sSubPr>
            <m:ctrlPr>
              <w:rPr>
                <w:rFonts w:ascii="Cambria Math" w:hAnsi="Cambria Math" w:cs="Arial"/>
                <w:i/>
              </w:rPr>
            </m:ctrlPr>
          </m:sSubPr>
          <m:e>
            <m:r>
              <w:rPr>
                <w:rFonts w:ascii="Cambria Math" w:hAnsi="Cambria Math" w:cs="Arial"/>
              </w:rPr>
              <m:t>A</m:t>
            </m:r>
          </m:e>
          <m:sub>
            <m:r>
              <w:rPr>
                <w:rFonts w:ascii="Cambria Math" w:hAnsi="Cambria Math" w:cs="Arial"/>
              </w:rPr>
              <m:t>2</m:t>
            </m:r>
          </m:sub>
        </m:sSub>
      </m:oMath>
      <w:r w:rsidR="00E449BC">
        <w:rPr>
          <w:rFonts w:ascii="Arial" w:eastAsiaTheme="minorEastAsia" w:hAnsi="Arial" w:cs="Arial"/>
        </w:rPr>
        <w:t xml:space="preserve"> </w:t>
      </w:r>
      <w:r w:rsidR="00E449BC" w:rsidRPr="001C62D9">
        <w:rPr>
          <w:rFonts w:ascii="Arial" w:eastAsiaTheme="minorEastAsia" w:hAnsi="Arial" w:cs="Arial"/>
          <w:sz w:val="20"/>
          <w:szCs w:val="20"/>
        </w:rPr>
        <w:t>(Natural gas requirement</w:t>
      </w:r>
      <w:r w:rsidR="00E449BC">
        <w:rPr>
          <w:rFonts w:ascii="Arial" w:eastAsiaTheme="minorEastAsia" w:hAnsi="Arial" w:cs="Arial"/>
          <w:sz w:val="20"/>
          <w:szCs w:val="20"/>
        </w:rPr>
        <w:t xml:space="preserve"> – blue hydrogen</w:t>
      </w:r>
      <w:r w:rsidR="00E449BC" w:rsidRPr="001C62D9">
        <w:rPr>
          <w:rFonts w:ascii="Arial" w:eastAsiaTheme="minorEastAsia" w:hAnsi="Arial" w:cs="Arial"/>
          <w:sz w:val="20"/>
          <w:szCs w:val="20"/>
        </w:rPr>
        <w:t xml:space="preserve">) </w:t>
      </w:r>
      <w:r w:rsidR="00E449BC" w:rsidRPr="00FA7A7C">
        <w:rPr>
          <w:rFonts w:ascii="Arial" w:eastAsiaTheme="minorEastAsia" w:hAnsi="Arial" w:cs="Arial"/>
          <w:sz w:val="20"/>
          <w:szCs w:val="20"/>
        </w:rPr>
        <w:t xml:space="preserve">= </w:t>
      </w:r>
      <w:r w:rsidR="00E449BC">
        <w:rPr>
          <w:rFonts w:ascii="Arial" w:eastAsiaTheme="minorEastAsia" w:hAnsi="Arial" w:cs="Arial"/>
          <w:sz w:val="20"/>
          <w:szCs w:val="20"/>
        </w:rPr>
        <w:t>1.45</w:t>
      </w:r>
      <w:r w:rsidR="00E449BC" w:rsidRPr="00FA7A7C">
        <w:rPr>
          <w:rFonts w:ascii="Arial" w:eastAsiaTheme="minorEastAsia" w:hAnsi="Arial" w:cs="Arial"/>
          <w:sz w:val="20"/>
          <w:szCs w:val="20"/>
        </w:rPr>
        <w:t xml:space="preserve"> </w:t>
      </w:r>
      <w:r w:rsidR="00E449BC">
        <w:rPr>
          <w:rFonts w:ascii="Arial" w:eastAsiaTheme="minorEastAsia" w:hAnsi="Arial" w:cs="Arial"/>
          <w:sz w:val="20"/>
          <w:szCs w:val="20"/>
        </w:rPr>
        <w:t>MWh natural gas LHV/MWh H</w:t>
      </w:r>
      <w:r w:rsidR="00E449BC" w:rsidRPr="00FA7A7C">
        <w:rPr>
          <w:rFonts w:ascii="Arial" w:eastAsiaTheme="minorEastAsia" w:hAnsi="Arial" w:cs="Arial"/>
          <w:sz w:val="20"/>
          <w:szCs w:val="20"/>
          <w:vertAlign w:val="subscript"/>
        </w:rPr>
        <w:t>2</w:t>
      </w:r>
      <w:r w:rsidR="00E449BC">
        <w:rPr>
          <w:rFonts w:ascii="Arial" w:eastAsiaTheme="minorEastAsia" w:hAnsi="Arial" w:cs="Arial"/>
          <w:sz w:val="20"/>
          <w:szCs w:val="20"/>
        </w:rPr>
        <w:t xml:space="preserve"> LHV</w:t>
      </w:r>
      <w:r w:rsidR="00E449BC">
        <w:rPr>
          <w:rFonts w:ascii="Arial" w:eastAsiaTheme="minorEastAsia" w:hAnsi="Arial" w:cs="Arial"/>
          <w:sz w:val="20"/>
          <w:szCs w:val="20"/>
        </w:rPr>
        <w:fldChar w:fldCharType="begin" w:fldLock="1"/>
      </w:r>
      <w:r w:rsidR="008828C0">
        <w:rPr>
          <w:rFonts w:ascii="Arial" w:eastAsiaTheme="minorEastAsia" w:hAnsi="Arial" w:cs="Arial"/>
          <w:sz w:val="20"/>
          <w:szCs w:val="20"/>
        </w:rPr>
        <w:instrText>ADDIN CSL_CITATION {"citationItems":[{"id":"ITEM-1","itemData":{"DOI":"10.1016/J.EGYPRO.2017.03.1533","ISSN":"1876-6102","abstract":"Hydrogen is a crucial raw materials to other industries. Globally, nearly 90% of the hydrogen or HyCO gas produced is consumed by the ammonia, methanol and oil refining industries. In the future, hydrogen could play an important role in the decarbonisation of transport fuel (i.e. use of fuel cell vehicles) and space heating (i.e. industrial, commercial, building and residential heating). This paper summarizes the results of the feasibility study carried out by Amec Foster Wheeler for the IEA Greenhouse Gas R&amp;D Programme (IEA GHG) with the purpose of evaluating the performance and costs of a modern steam methane reforming without and with CCS producing 100,000 Nm3/h H2 and operating as a merchant plant. This study focuses on the economic evaluation of five different alternatives to capture CO2 from SMR. This paper provides an up-to-date assessment of the performance and cost of producing hydrogen without and with CCS based on technologies that could be erected today. This study demonstrates that CO2 could be captured from an SMR plant with an overall capture rate ranging between 53 to 90%. The integration of CO2 capture plant could increase the NG consumption by -0.03 to 1.41 GJ per Nm3/h of H2. The amount of electricity exported to the grid by the SMR plant is reduced. The levelised cost of H2 production could increase by 2.1 to 5.1 € cent per Nm3 H2 (depending on capture rate and technology selected). This translates to a CO2 avoidance cost of 47 to 70 €/t.","author":[{"dropping-particle":"","family":"Collodi","given":"Guido","non-dropping-particle":"","parse-names":false,"suffix":""},{"dropping-particle":"","family":"Azzaro","given":"Giuliana","non-dropping-particle":"","parse-names":false,"suffix":""},{"dropping-particle":"","family":"Ferrari","given":"Noemi","non-dropping-particle":"","parse-names":false,"suffix":""},{"dropping-particle":"","family":"Santos","given":"Stanley","non-dropping-particle":"","parse-names":false,"suffix":""}],"container-title":"Energy Procedia","id":"ITEM-1","issued":{"date-parts":[["2017","7","1"]]},"page":"2690-2712","publisher":"Elsevier","title":"Techno-economic Evaluation of Deploying CCS in SMR Based Merchant H2 Production with NG as Feedstock and Fuel","type":"article-journal","volume":"114"},"uris":["http://www.mendeley.com/documents/?uuid=6c9ff06c-144e-3cb3-af27-85e931001e56"]}],"mendeley":{"formattedCitation":"&lt;sup&gt;1&lt;/sup&gt;","plainTextFormattedCitation":"1","previouslyFormattedCitation":"&lt;sup&gt;1&lt;/sup&gt;"},"properties":{"noteIndex":0},"schema":"https://github.com/citation-style-language/schema/raw/master/csl-citation.json"}</w:instrText>
      </w:r>
      <w:r w:rsidR="00E449BC">
        <w:rPr>
          <w:rFonts w:ascii="Arial" w:eastAsiaTheme="minorEastAsia" w:hAnsi="Arial" w:cs="Arial"/>
          <w:sz w:val="20"/>
          <w:szCs w:val="20"/>
        </w:rPr>
        <w:fldChar w:fldCharType="separate"/>
      </w:r>
      <w:r w:rsidR="007161C5" w:rsidRPr="007161C5">
        <w:rPr>
          <w:rFonts w:ascii="Arial" w:eastAsiaTheme="minorEastAsia" w:hAnsi="Arial" w:cs="Arial"/>
          <w:noProof/>
          <w:sz w:val="20"/>
          <w:szCs w:val="20"/>
          <w:vertAlign w:val="superscript"/>
        </w:rPr>
        <w:t>1</w:t>
      </w:r>
      <w:r w:rsidR="00E449BC">
        <w:rPr>
          <w:rFonts w:ascii="Arial" w:eastAsiaTheme="minorEastAsia" w:hAnsi="Arial" w:cs="Arial"/>
          <w:sz w:val="20"/>
          <w:szCs w:val="20"/>
        </w:rPr>
        <w:fldChar w:fldCharType="end"/>
      </w:r>
      <w:r w:rsidR="00E449BC">
        <w:rPr>
          <w:rFonts w:ascii="Arial" w:eastAsiaTheme="minorEastAsia" w:hAnsi="Arial" w:cs="Arial"/>
          <w:sz w:val="20"/>
          <w:szCs w:val="20"/>
        </w:rPr>
        <w:t>.</w:t>
      </w:r>
    </w:p>
    <w:p w14:paraId="01363917" w14:textId="5CA9011C" w:rsidR="00E449BC" w:rsidRDefault="00120A0E" w:rsidP="00E449BC">
      <w:pPr>
        <w:jc w:val="both"/>
        <w:rPr>
          <w:rFonts w:ascii="Arial" w:eastAsiaTheme="minorEastAsia" w:hAnsi="Arial" w:cs="Arial"/>
          <w:sz w:val="20"/>
          <w:szCs w:val="20"/>
        </w:rPr>
      </w:pPr>
      <m:oMath>
        <m:sSub>
          <m:sSubPr>
            <m:ctrlPr>
              <w:rPr>
                <w:rFonts w:ascii="Cambria Math" w:hAnsi="Cambria Math" w:cs="Arial"/>
                <w:i/>
              </w:rPr>
            </m:ctrlPr>
          </m:sSubPr>
          <m:e>
            <m:r>
              <w:rPr>
                <w:rFonts w:ascii="Cambria Math" w:hAnsi="Cambria Math" w:cs="Arial"/>
              </w:rPr>
              <m:t>A</m:t>
            </m:r>
          </m:e>
          <m:sub>
            <m:r>
              <w:rPr>
                <w:rFonts w:ascii="Cambria Math" w:hAnsi="Cambria Math" w:cs="Arial"/>
              </w:rPr>
              <m:t>3</m:t>
            </m:r>
          </m:sub>
        </m:sSub>
      </m:oMath>
      <w:r w:rsidR="00E449BC">
        <w:rPr>
          <w:rFonts w:ascii="Arial" w:eastAsiaTheme="minorEastAsia" w:hAnsi="Arial" w:cs="Arial"/>
        </w:rPr>
        <w:t xml:space="preserve"> </w:t>
      </w:r>
      <w:r w:rsidR="00E449BC" w:rsidRPr="001C62D9">
        <w:rPr>
          <w:rFonts w:ascii="Arial" w:eastAsiaTheme="minorEastAsia" w:hAnsi="Arial" w:cs="Arial"/>
          <w:sz w:val="20"/>
          <w:szCs w:val="20"/>
        </w:rPr>
        <w:t xml:space="preserve">(Residual emissions – </w:t>
      </w:r>
      <w:r w:rsidR="00E449BC">
        <w:rPr>
          <w:rFonts w:ascii="Arial" w:eastAsiaTheme="minorEastAsia" w:hAnsi="Arial" w:cs="Arial"/>
          <w:sz w:val="20"/>
          <w:szCs w:val="20"/>
        </w:rPr>
        <w:t>grey</w:t>
      </w:r>
      <w:r w:rsidR="00E449BC" w:rsidRPr="001C62D9">
        <w:rPr>
          <w:rFonts w:ascii="Arial" w:eastAsiaTheme="minorEastAsia" w:hAnsi="Arial" w:cs="Arial"/>
          <w:sz w:val="20"/>
          <w:szCs w:val="20"/>
        </w:rPr>
        <w:t xml:space="preserve"> hydrogen)</w:t>
      </w:r>
      <w:r w:rsidR="00E449BC">
        <w:rPr>
          <w:rFonts w:ascii="Arial" w:eastAsiaTheme="minorEastAsia" w:hAnsi="Arial" w:cs="Arial"/>
          <w:sz w:val="20"/>
          <w:szCs w:val="20"/>
        </w:rPr>
        <w:t xml:space="preserve"> </w:t>
      </w:r>
      <w:r w:rsidR="00E449BC" w:rsidRPr="00FA7A7C">
        <w:rPr>
          <w:rFonts w:ascii="Arial" w:eastAsiaTheme="minorEastAsia" w:hAnsi="Arial" w:cs="Arial"/>
          <w:sz w:val="20"/>
          <w:szCs w:val="20"/>
        </w:rPr>
        <w:t>= 2</w:t>
      </w:r>
      <w:r w:rsidR="00E449BC">
        <w:rPr>
          <w:rFonts w:ascii="Arial" w:eastAsiaTheme="minorEastAsia" w:hAnsi="Arial" w:cs="Arial"/>
          <w:sz w:val="20"/>
          <w:szCs w:val="20"/>
        </w:rPr>
        <w:t>69</w:t>
      </w:r>
      <w:r w:rsidR="00E449BC" w:rsidRPr="00FA7A7C">
        <w:rPr>
          <w:rFonts w:ascii="Arial" w:eastAsiaTheme="minorEastAsia" w:hAnsi="Arial" w:cs="Arial"/>
          <w:sz w:val="20"/>
          <w:szCs w:val="20"/>
        </w:rPr>
        <w:t xml:space="preserve"> </w:t>
      </w:r>
      <w:r w:rsidR="00E449BC">
        <w:rPr>
          <w:rFonts w:ascii="Arial" w:eastAsiaTheme="minorEastAsia" w:hAnsi="Arial" w:cs="Arial"/>
          <w:sz w:val="20"/>
          <w:szCs w:val="20"/>
        </w:rPr>
        <w:t>kg CO</w:t>
      </w:r>
      <w:r w:rsidR="00E449BC" w:rsidRPr="00FA7A7C">
        <w:rPr>
          <w:rFonts w:ascii="Arial" w:eastAsiaTheme="minorEastAsia" w:hAnsi="Arial" w:cs="Arial"/>
          <w:sz w:val="20"/>
          <w:szCs w:val="20"/>
          <w:vertAlign w:val="subscript"/>
        </w:rPr>
        <w:t>2</w:t>
      </w:r>
      <w:r w:rsidR="00E449BC">
        <w:rPr>
          <w:rFonts w:ascii="Arial" w:eastAsiaTheme="minorEastAsia" w:hAnsi="Arial" w:cs="Arial"/>
          <w:sz w:val="20"/>
          <w:szCs w:val="20"/>
        </w:rPr>
        <w:t>,eq/MWh H</w:t>
      </w:r>
      <w:r w:rsidR="00E449BC" w:rsidRPr="00FA7A7C">
        <w:rPr>
          <w:rFonts w:ascii="Arial" w:eastAsiaTheme="minorEastAsia" w:hAnsi="Arial" w:cs="Arial"/>
          <w:sz w:val="20"/>
          <w:szCs w:val="20"/>
          <w:vertAlign w:val="subscript"/>
        </w:rPr>
        <w:t>2</w:t>
      </w:r>
      <w:r w:rsidR="00E449BC">
        <w:rPr>
          <w:rFonts w:ascii="Arial" w:eastAsiaTheme="minorEastAsia" w:hAnsi="Arial" w:cs="Arial"/>
          <w:sz w:val="20"/>
          <w:szCs w:val="20"/>
        </w:rPr>
        <w:t xml:space="preserve"> LHV</w:t>
      </w:r>
      <w:r w:rsidR="00E449BC">
        <w:rPr>
          <w:rFonts w:ascii="Arial" w:eastAsiaTheme="minorEastAsia" w:hAnsi="Arial" w:cs="Arial"/>
          <w:sz w:val="20"/>
          <w:szCs w:val="20"/>
        </w:rPr>
        <w:fldChar w:fldCharType="begin" w:fldLock="1"/>
      </w:r>
      <w:r w:rsidR="008828C0">
        <w:rPr>
          <w:rFonts w:ascii="Arial" w:eastAsiaTheme="minorEastAsia" w:hAnsi="Arial" w:cs="Arial"/>
          <w:sz w:val="20"/>
          <w:szCs w:val="20"/>
        </w:rPr>
        <w:instrText>ADDIN CSL_CITATION {"citationItems":[{"id":"ITEM-1","itemData":{"DOI":"10.1016/J.EGYPRO.2017.03.1533","ISSN":"1876-6102","abstract":"Hydrogen is a crucial raw materials to other industries. Globally, nearly 90% of the hydrogen or HyCO gas produced is consumed by the ammonia, methanol and oil refining industries. In the future, hydrogen could play an important role in the decarbonisation of transport fuel (i.e. use of fuel cell vehicles) and space heating (i.e. industrial, commercial, building and residential heating). This paper summarizes the results of the feasibility study carried out by Amec Foster Wheeler for the IEA Greenhouse Gas R&amp;D Programme (IEA GHG) with the purpose of evaluating the performance and costs of a modern steam methane reforming without and with CCS producing 100,000 Nm3/h H2 and operating as a merchant plant. This study focuses on the economic evaluation of five different alternatives to capture CO2 from SMR. This paper provides an up-to-date assessment of the performance and cost of producing hydrogen without and with CCS based on technologies that could be erected today. This study demonstrates that CO2 could be captured from an SMR plant with an overall capture rate ranging between 53 to 90%. The integration of CO2 capture plant could increase the NG consumption by -0.03 to 1.41 GJ per Nm3/h of H2. The amount of electricity exported to the grid by the SMR plant is reduced. The levelised cost of H2 production could increase by 2.1 to 5.1 € cent per Nm3 H2 (depending on capture rate and technology selected). This translates to a CO2 avoidance cost of 47 to 70 €/t.","author":[{"dropping-particle":"","family":"Collodi","given":"Guido","non-dropping-particle":"","parse-names":false,"suffix":""},{"dropping-particle":"","family":"Azzaro","given":"Giuliana","non-dropping-particle":"","parse-names":false,"suffix":""},{"dropping-particle":"","family":"Ferrari","given":"Noemi","non-dropping-particle":"","parse-names":false,"suffix":""},{"dropping-particle":"","family":"Santos","given":"Stanley","non-dropping-particle":"","parse-names":false,"suffix":""}],"container-title":"Energy Procedia","id":"ITEM-1","issued":{"date-parts":[["2017","7","1"]]},"page":"2690-2712","publisher":"Elsevier","title":"Techno-economic Evaluation of Deploying CCS in SMR Based Merchant H2 Production with NG as Feedstock and Fuel","type":"article-journal","volume":"114"},"uris":["http://www.mendeley.com/documents/?uuid=6c9ff06c-144e-3cb3-af27-85e931001e56"]}],"mendeley":{"formattedCitation":"&lt;sup&gt;1&lt;/sup&gt;","plainTextFormattedCitation":"1","previouslyFormattedCitation":"&lt;sup&gt;1&lt;/sup&gt;"},"properties":{"noteIndex":0},"schema":"https://github.com/citation-style-language/schema/raw/master/csl-citation.json"}</w:instrText>
      </w:r>
      <w:r w:rsidR="00E449BC">
        <w:rPr>
          <w:rFonts w:ascii="Arial" w:eastAsiaTheme="minorEastAsia" w:hAnsi="Arial" w:cs="Arial"/>
          <w:sz w:val="20"/>
          <w:szCs w:val="20"/>
        </w:rPr>
        <w:fldChar w:fldCharType="separate"/>
      </w:r>
      <w:r w:rsidR="007161C5" w:rsidRPr="007161C5">
        <w:rPr>
          <w:rFonts w:ascii="Arial" w:eastAsiaTheme="minorEastAsia" w:hAnsi="Arial" w:cs="Arial"/>
          <w:noProof/>
          <w:sz w:val="20"/>
          <w:szCs w:val="20"/>
          <w:vertAlign w:val="superscript"/>
        </w:rPr>
        <w:t>1</w:t>
      </w:r>
      <w:r w:rsidR="00E449BC">
        <w:rPr>
          <w:rFonts w:ascii="Arial" w:eastAsiaTheme="minorEastAsia" w:hAnsi="Arial" w:cs="Arial"/>
          <w:sz w:val="20"/>
          <w:szCs w:val="20"/>
        </w:rPr>
        <w:fldChar w:fldCharType="end"/>
      </w:r>
      <w:r w:rsidR="00E449BC">
        <w:rPr>
          <w:rFonts w:ascii="Arial" w:eastAsiaTheme="minorEastAsia" w:hAnsi="Arial" w:cs="Arial"/>
          <w:sz w:val="20"/>
          <w:szCs w:val="20"/>
        </w:rPr>
        <w:t>.</w:t>
      </w:r>
    </w:p>
    <w:p w14:paraId="1838D1B1" w14:textId="4B372416" w:rsidR="00E449BC" w:rsidRDefault="00120A0E" w:rsidP="00E449BC">
      <w:pPr>
        <w:jc w:val="both"/>
        <w:rPr>
          <w:rFonts w:ascii="Arial" w:eastAsiaTheme="minorEastAsia" w:hAnsi="Arial" w:cs="Arial"/>
          <w:sz w:val="20"/>
          <w:szCs w:val="20"/>
        </w:rPr>
      </w:pPr>
      <m:oMath>
        <m:sSub>
          <m:sSubPr>
            <m:ctrlPr>
              <w:rPr>
                <w:rFonts w:ascii="Cambria Math" w:hAnsi="Cambria Math" w:cs="Arial"/>
                <w:i/>
              </w:rPr>
            </m:ctrlPr>
          </m:sSubPr>
          <m:e>
            <m:r>
              <w:rPr>
                <w:rFonts w:ascii="Cambria Math" w:hAnsi="Cambria Math" w:cs="Arial"/>
              </w:rPr>
              <m:t>A</m:t>
            </m:r>
          </m:e>
          <m:sub>
            <m:r>
              <w:rPr>
                <w:rFonts w:ascii="Cambria Math" w:hAnsi="Cambria Math" w:cs="Arial"/>
              </w:rPr>
              <m:t>4</m:t>
            </m:r>
          </m:sub>
        </m:sSub>
      </m:oMath>
      <w:r w:rsidR="00E449BC">
        <w:rPr>
          <w:rFonts w:ascii="Arial" w:eastAsiaTheme="minorEastAsia" w:hAnsi="Arial" w:cs="Arial"/>
        </w:rPr>
        <w:t xml:space="preserve"> </w:t>
      </w:r>
      <w:r w:rsidR="00E449BC" w:rsidRPr="001C62D9">
        <w:rPr>
          <w:rFonts w:ascii="Arial" w:eastAsiaTheme="minorEastAsia" w:hAnsi="Arial" w:cs="Arial"/>
          <w:sz w:val="20"/>
          <w:szCs w:val="20"/>
        </w:rPr>
        <w:t>(Natural gas requirement</w:t>
      </w:r>
      <w:r w:rsidR="00E449BC">
        <w:rPr>
          <w:rFonts w:ascii="Arial" w:eastAsiaTheme="minorEastAsia" w:hAnsi="Arial" w:cs="Arial"/>
          <w:sz w:val="20"/>
          <w:szCs w:val="20"/>
        </w:rPr>
        <w:t xml:space="preserve"> – grey </w:t>
      </w:r>
      <w:r w:rsidR="00E449BC" w:rsidRPr="001C62D9">
        <w:rPr>
          <w:rFonts w:ascii="Arial" w:eastAsiaTheme="minorEastAsia" w:hAnsi="Arial" w:cs="Arial"/>
          <w:sz w:val="20"/>
          <w:szCs w:val="20"/>
        </w:rPr>
        <w:t>hydrogen)</w:t>
      </w:r>
      <w:r w:rsidR="00E449BC">
        <w:rPr>
          <w:rFonts w:ascii="Arial" w:eastAsiaTheme="minorEastAsia" w:hAnsi="Arial" w:cs="Arial"/>
          <w:sz w:val="20"/>
          <w:szCs w:val="20"/>
        </w:rPr>
        <w:t xml:space="preserve"> </w:t>
      </w:r>
      <w:r w:rsidR="00E449BC" w:rsidRPr="00FA7A7C">
        <w:rPr>
          <w:rFonts w:ascii="Arial" w:eastAsiaTheme="minorEastAsia" w:hAnsi="Arial" w:cs="Arial"/>
          <w:sz w:val="20"/>
          <w:szCs w:val="20"/>
        </w:rPr>
        <w:t xml:space="preserve">= </w:t>
      </w:r>
      <w:r w:rsidR="00E449BC">
        <w:rPr>
          <w:rFonts w:ascii="Arial" w:eastAsiaTheme="minorEastAsia" w:hAnsi="Arial" w:cs="Arial"/>
          <w:sz w:val="20"/>
          <w:szCs w:val="20"/>
        </w:rPr>
        <w:t>1.32</w:t>
      </w:r>
      <w:r w:rsidR="00E449BC" w:rsidRPr="00FA7A7C">
        <w:rPr>
          <w:rFonts w:ascii="Arial" w:eastAsiaTheme="minorEastAsia" w:hAnsi="Arial" w:cs="Arial"/>
          <w:sz w:val="20"/>
          <w:szCs w:val="20"/>
        </w:rPr>
        <w:t xml:space="preserve"> </w:t>
      </w:r>
      <w:r w:rsidR="00E449BC">
        <w:rPr>
          <w:rFonts w:ascii="Arial" w:eastAsiaTheme="minorEastAsia" w:hAnsi="Arial" w:cs="Arial"/>
          <w:sz w:val="20"/>
          <w:szCs w:val="20"/>
        </w:rPr>
        <w:t>MWh natural gas LHV/MWh H</w:t>
      </w:r>
      <w:r w:rsidR="00E449BC" w:rsidRPr="00FA7A7C">
        <w:rPr>
          <w:rFonts w:ascii="Arial" w:eastAsiaTheme="minorEastAsia" w:hAnsi="Arial" w:cs="Arial"/>
          <w:sz w:val="20"/>
          <w:szCs w:val="20"/>
          <w:vertAlign w:val="subscript"/>
        </w:rPr>
        <w:t>2</w:t>
      </w:r>
      <w:r w:rsidR="00E449BC">
        <w:rPr>
          <w:rFonts w:ascii="Arial" w:eastAsiaTheme="minorEastAsia" w:hAnsi="Arial" w:cs="Arial"/>
          <w:sz w:val="20"/>
          <w:szCs w:val="20"/>
        </w:rPr>
        <w:t xml:space="preserve"> LHV</w:t>
      </w:r>
      <w:r w:rsidR="00E449BC">
        <w:rPr>
          <w:rFonts w:ascii="Arial" w:eastAsiaTheme="minorEastAsia" w:hAnsi="Arial" w:cs="Arial"/>
          <w:sz w:val="20"/>
          <w:szCs w:val="20"/>
        </w:rPr>
        <w:fldChar w:fldCharType="begin" w:fldLock="1"/>
      </w:r>
      <w:r w:rsidR="008828C0">
        <w:rPr>
          <w:rFonts w:ascii="Arial" w:eastAsiaTheme="minorEastAsia" w:hAnsi="Arial" w:cs="Arial"/>
          <w:sz w:val="20"/>
          <w:szCs w:val="20"/>
        </w:rPr>
        <w:instrText>ADDIN CSL_CITATION {"citationItems":[{"id":"ITEM-1","itemData":{"DOI":"10.1016/J.EGYPRO.2017.03.1533","ISSN":"1876-6102","abstract":"Hydrogen is a crucial raw materials to other industries. Globally, nearly 90% of the hydrogen or HyCO gas produced is consumed by the ammonia, methanol and oil refining industries. In the future, hydrogen could play an important role in the decarbonisation of transport fuel (i.e. use of fuel cell vehicles) and space heating (i.e. industrial, commercial, building and residential heating). This paper summarizes the results of the feasibility study carried out by Amec Foster Wheeler for the IEA Greenhouse Gas R&amp;D Programme (IEA GHG) with the purpose of evaluating the performance and costs of a modern steam methane reforming without and with CCS producing 100,000 Nm3/h H2 and operating as a merchant plant. This study focuses on the economic evaluation of five different alternatives to capture CO2 from SMR. This paper provides an up-to-date assessment of the performance and cost of producing hydrogen without and with CCS based on technologies that could be erected today. This study demonstrates that CO2 could be captured from an SMR plant with an overall capture rate ranging between 53 to 90%. The integration of CO2 capture plant could increase the NG consumption by -0.03 to 1.41 GJ per Nm3/h of H2. The amount of electricity exported to the grid by the SMR plant is reduced. The levelised cost of H2 production could increase by 2.1 to 5.1 € cent per Nm3 H2 (depending on capture rate and technology selected). This translates to a CO2 avoidance cost of 47 to 70 €/t.","author":[{"dropping-particle":"","family":"Collodi","given":"Guido","non-dropping-particle":"","parse-names":false,"suffix":""},{"dropping-particle":"","family":"Azzaro","given":"Giuliana","non-dropping-particle":"","parse-names":false,"suffix":""},{"dropping-particle":"","family":"Ferrari","given":"Noemi","non-dropping-particle":"","parse-names":false,"suffix":""},{"dropping-particle":"","family":"Santos","given":"Stanley","non-dropping-particle":"","parse-names":false,"suffix":""}],"container-title":"Energy Procedia","id":"ITEM-1","issued":{"date-parts":[["2017","7","1"]]},"page":"2690-2712","publisher":"Elsevier","title":"Techno-economic Evaluation of Deploying CCS in SMR Based Merchant H2 Production with NG as Feedstock and Fuel","type":"article-journal","volume":"114"},"uris":["http://www.mendeley.com/documents/?uuid=6c9ff06c-144e-3cb3-af27-85e931001e56"]}],"mendeley":{"formattedCitation":"&lt;sup&gt;1&lt;/sup&gt;","plainTextFormattedCitation":"1","previouslyFormattedCitation":"&lt;sup&gt;1&lt;/sup&gt;"},"properties":{"noteIndex":0},"schema":"https://github.com/citation-style-language/schema/raw/master/csl-citation.json"}</w:instrText>
      </w:r>
      <w:r w:rsidR="00E449BC">
        <w:rPr>
          <w:rFonts w:ascii="Arial" w:eastAsiaTheme="minorEastAsia" w:hAnsi="Arial" w:cs="Arial"/>
          <w:sz w:val="20"/>
          <w:szCs w:val="20"/>
        </w:rPr>
        <w:fldChar w:fldCharType="separate"/>
      </w:r>
      <w:r w:rsidR="007161C5" w:rsidRPr="007161C5">
        <w:rPr>
          <w:rFonts w:ascii="Arial" w:eastAsiaTheme="minorEastAsia" w:hAnsi="Arial" w:cs="Arial"/>
          <w:noProof/>
          <w:sz w:val="20"/>
          <w:szCs w:val="20"/>
          <w:vertAlign w:val="superscript"/>
        </w:rPr>
        <w:t>1</w:t>
      </w:r>
      <w:r w:rsidR="00E449BC">
        <w:rPr>
          <w:rFonts w:ascii="Arial" w:eastAsiaTheme="minorEastAsia" w:hAnsi="Arial" w:cs="Arial"/>
          <w:sz w:val="20"/>
          <w:szCs w:val="20"/>
        </w:rPr>
        <w:fldChar w:fldCharType="end"/>
      </w:r>
      <w:r w:rsidR="00E449BC">
        <w:rPr>
          <w:rFonts w:ascii="Arial" w:eastAsiaTheme="minorEastAsia" w:hAnsi="Arial" w:cs="Arial"/>
          <w:sz w:val="20"/>
          <w:szCs w:val="20"/>
        </w:rPr>
        <w:t>.</w:t>
      </w:r>
    </w:p>
    <w:p w14:paraId="56D13ED4" w14:textId="178D7190" w:rsidR="00E449BC" w:rsidRDefault="00120A0E" w:rsidP="00E449BC">
      <w:pPr>
        <w:jc w:val="both"/>
        <w:rPr>
          <w:rFonts w:ascii="Arial" w:eastAsiaTheme="minorEastAsia" w:hAnsi="Arial" w:cs="Arial"/>
          <w:sz w:val="20"/>
          <w:szCs w:val="20"/>
        </w:rPr>
      </w:pPr>
      <m:oMath>
        <m:sSub>
          <m:sSubPr>
            <m:ctrlPr>
              <w:rPr>
                <w:rFonts w:ascii="Cambria Math" w:hAnsi="Cambria Math" w:cs="Arial"/>
                <w:i/>
              </w:rPr>
            </m:ctrlPr>
          </m:sSubPr>
          <m:e>
            <m:r>
              <w:rPr>
                <w:rFonts w:ascii="Cambria Math" w:hAnsi="Cambria Math" w:cs="Arial"/>
              </w:rPr>
              <m:t>A</m:t>
            </m:r>
          </m:e>
          <m:sub>
            <m:r>
              <w:rPr>
                <w:rFonts w:ascii="Cambria Math" w:hAnsi="Cambria Math" w:cs="Arial"/>
              </w:rPr>
              <m:t>5</m:t>
            </m:r>
          </m:sub>
        </m:sSub>
      </m:oMath>
      <w:r w:rsidR="00E449BC">
        <w:rPr>
          <w:rFonts w:ascii="Arial" w:eastAsiaTheme="minorEastAsia" w:hAnsi="Arial" w:cs="Arial"/>
        </w:rPr>
        <w:t xml:space="preserve"> </w:t>
      </w:r>
      <w:r w:rsidR="00E449BC" w:rsidRPr="001C62D9">
        <w:rPr>
          <w:rFonts w:ascii="Arial" w:eastAsiaTheme="minorEastAsia" w:hAnsi="Arial" w:cs="Arial"/>
          <w:sz w:val="20"/>
          <w:szCs w:val="20"/>
        </w:rPr>
        <w:t>(</w:t>
      </w:r>
      <w:r w:rsidR="00E449BC">
        <w:rPr>
          <w:rFonts w:ascii="Arial" w:eastAsiaTheme="minorEastAsia" w:hAnsi="Arial" w:cs="Arial"/>
          <w:sz w:val="20"/>
          <w:szCs w:val="20"/>
        </w:rPr>
        <w:t xml:space="preserve">Electricity requirement – electrolytic </w:t>
      </w:r>
      <w:r w:rsidR="00E449BC" w:rsidRPr="001C62D9">
        <w:rPr>
          <w:rFonts w:ascii="Arial" w:eastAsiaTheme="minorEastAsia" w:hAnsi="Arial" w:cs="Arial"/>
          <w:sz w:val="20"/>
          <w:szCs w:val="20"/>
        </w:rPr>
        <w:t>hydrogen)</w:t>
      </w:r>
      <w:r w:rsidR="00E449BC">
        <w:rPr>
          <w:rFonts w:ascii="Arial" w:eastAsiaTheme="minorEastAsia" w:hAnsi="Arial" w:cs="Arial"/>
          <w:sz w:val="20"/>
          <w:szCs w:val="20"/>
        </w:rPr>
        <w:t xml:space="preserve"> = 1.67</w:t>
      </w:r>
      <w:r w:rsidR="00E449BC" w:rsidRPr="00FA7A7C">
        <w:rPr>
          <w:rFonts w:ascii="Arial" w:eastAsiaTheme="minorEastAsia" w:hAnsi="Arial" w:cs="Arial"/>
          <w:sz w:val="20"/>
          <w:szCs w:val="20"/>
        </w:rPr>
        <w:t xml:space="preserve"> </w:t>
      </w:r>
      <w:r w:rsidR="00E449BC">
        <w:rPr>
          <w:rFonts w:ascii="Arial" w:eastAsiaTheme="minorEastAsia" w:hAnsi="Arial" w:cs="Arial"/>
          <w:sz w:val="20"/>
          <w:szCs w:val="20"/>
        </w:rPr>
        <w:t>MWh electricity/MWh H</w:t>
      </w:r>
      <w:r w:rsidR="00E449BC" w:rsidRPr="00FA7A7C">
        <w:rPr>
          <w:rFonts w:ascii="Arial" w:eastAsiaTheme="minorEastAsia" w:hAnsi="Arial" w:cs="Arial"/>
          <w:sz w:val="20"/>
          <w:szCs w:val="20"/>
          <w:vertAlign w:val="subscript"/>
        </w:rPr>
        <w:t>2</w:t>
      </w:r>
      <w:r w:rsidR="00E449BC">
        <w:rPr>
          <w:rFonts w:ascii="Arial" w:eastAsiaTheme="minorEastAsia" w:hAnsi="Arial" w:cs="Arial"/>
          <w:sz w:val="20"/>
          <w:szCs w:val="20"/>
        </w:rPr>
        <w:t xml:space="preserve"> LHV</w:t>
      </w:r>
      <w:r w:rsidR="00E449BC">
        <w:rPr>
          <w:rFonts w:ascii="Arial" w:eastAsiaTheme="minorEastAsia" w:hAnsi="Arial" w:cs="Arial"/>
          <w:sz w:val="20"/>
          <w:szCs w:val="20"/>
        </w:rPr>
        <w:fldChar w:fldCharType="begin" w:fldLock="1"/>
      </w:r>
      <w:r w:rsidR="008828C0">
        <w:rPr>
          <w:rFonts w:ascii="Arial" w:eastAsiaTheme="minorEastAsia" w:hAnsi="Arial" w:cs="Arial"/>
          <w:sz w:val="20"/>
          <w:szCs w:val="20"/>
        </w:rPr>
        <w:instrText>ADDIN CSL_CITATION {"citationItems":[{"id":"ITEM-1","itemData":{"DOI":"10.1016/J.EGYPRO.2017.03.1533","ISSN":"1876-6102","abstract":"Hydrogen is a crucial raw materials to other industries. Globally, nearly 90% of the hydrogen or HyCO gas produced is consumed by the ammonia, methanol and oil refining industries. In the future, hydrogen could play an important role in the decarbonisation of transport fuel (i.e. use of fuel cell vehicles) and space heating (i.e. industrial, commercial, building and residential heating). This paper summarizes the results of the feasibility study carried out by Amec Foster Wheeler for the IEA Greenhouse Gas R&amp;D Programme (IEA GHG) with the purpose of evaluating the performance and costs of a modern steam methane reforming without and with CCS producing 100,000 Nm3/h H2 and operating as a merchant plant. This study focuses on the economic evaluation of five different alternatives to capture CO2 from SMR. This paper provides an up-to-date assessment of the performance and cost of producing hydrogen without and with CCS based on technologies that could be erected today. This study demonstrates that CO2 could be captured from an SMR plant with an overall capture rate ranging between 53 to 90%. The integration of CO2 capture plant could increase the NG consumption by -0.03 to 1.41 GJ per Nm3/h of H2. The amount of electricity exported to the grid by the SMR plant is reduced. The levelised cost of H2 production could increase by 2.1 to 5.1 € cent per Nm3 H2 (depending on capture rate and technology selected). This translates to a CO2 avoidance cost of 47 to 70 €/t.","author":[{"dropping-particle":"","family":"Collodi","given":"Guido","non-dropping-particle":"","parse-names":false,"suffix":""},{"dropping-particle":"","family":"Azzaro","given":"Giuliana","non-dropping-particle":"","parse-names":false,"suffix":""},{"dropping-particle":"","family":"Ferrari","given":"Noemi","non-dropping-particle":"","parse-names":false,"suffix":""},{"dropping-particle":"","family":"Santos","given":"Stanley","non-dropping-particle":"","parse-names":false,"suffix":""}],"container-title":"Energy Procedia","id":"ITEM-1","issued":{"date-parts":[["2017","7","1"]]},"page":"2690-2712","publisher":"Elsevier","title":"Techno-economic Evaluation of Deploying CCS in SMR Based Merchant H2 Production with NG as Feedstock and Fuel","type":"article-journal","volume":"114"},"uris":["http://www.mendeley.com/documents/?uuid=6c9ff06c-144e-3cb3-af27-85e931001e56"]}],"mendeley":{"formattedCitation":"&lt;sup&gt;1&lt;/sup&gt;","plainTextFormattedCitation":"1","previouslyFormattedCitation":"&lt;sup&gt;1&lt;/sup&gt;"},"properties":{"noteIndex":0},"schema":"https://github.com/citation-style-language/schema/raw/master/csl-citation.json"}</w:instrText>
      </w:r>
      <w:r w:rsidR="00E449BC">
        <w:rPr>
          <w:rFonts w:ascii="Arial" w:eastAsiaTheme="minorEastAsia" w:hAnsi="Arial" w:cs="Arial"/>
          <w:sz w:val="20"/>
          <w:szCs w:val="20"/>
        </w:rPr>
        <w:fldChar w:fldCharType="separate"/>
      </w:r>
      <w:r w:rsidR="007161C5" w:rsidRPr="007161C5">
        <w:rPr>
          <w:rFonts w:ascii="Arial" w:eastAsiaTheme="minorEastAsia" w:hAnsi="Arial" w:cs="Arial"/>
          <w:noProof/>
          <w:sz w:val="20"/>
          <w:szCs w:val="20"/>
          <w:vertAlign w:val="superscript"/>
        </w:rPr>
        <w:t>1</w:t>
      </w:r>
      <w:r w:rsidR="00E449BC">
        <w:rPr>
          <w:rFonts w:ascii="Arial" w:eastAsiaTheme="minorEastAsia" w:hAnsi="Arial" w:cs="Arial"/>
          <w:sz w:val="20"/>
          <w:szCs w:val="20"/>
        </w:rPr>
        <w:fldChar w:fldCharType="end"/>
      </w:r>
      <w:r w:rsidR="00E449BC">
        <w:rPr>
          <w:rFonts w:ascii="Arial" w:eastAsiaTheme="minorEastAsia" w:hAnsi="Arial" w:cs="Arial"/>
          <w:sz w:val="20"/>
          <w:szCs w:val="20"/>
        </w:rPr>
        <w:t>.</w:t>
      </w:r>
    </w:p>
    <w:p w14:paraId="346433F4" w14:textId="77777777" w:rsidR="00E449BC" w:rsidRDefault="00E449BC" w:rsidP="00E449BC">
      <w:pPr>
        <w:jc w:val="both"/>
        <w:rPr>
          <w:rFonts w:ascii="Arial" w:eastAsiaTheme="minorEastAsia" w:hAnsi="Arial" w:cs="Arial"/>
          <w:sz w:val="20"/>
          <w:szCs w:val="20"/>
        </w:rPr>
      </w:pPr>
    </w:p>
    <w:p w14:paraId="0329ED36" w14:textId="7744C61F" w:rsidR="00E449BC" w:rsidRDefault="00E449BC" w:rsidP="00E449BC">
      <w:pPr>
        <w:jc w:val="both"/>
        <w:rPr>
          <w:rFonts w:ascii="Arial" w:eastAsiaTheme="minorEastAsia" w:hAnsi="Arial" w:cs="Arial"/>
          <w:sz w:val="20"/>
          <w:szCs w:val="20"/>
        </w:rPr>
      </w:pPr>
      <w:r w:rsidRPr="00FB3C41">
        <w:rPr>
          <w:rFonts w:ascii="Arial" w:eastAsiaTheme="minorEastAsia" w:hAnsi="Arial" w:cs="Arial"/>
          <w:sz w:val="20"/>
          <w:szCs w:val="20"/>
        </w:rPr>
        <w:t xml:space="preserve">The variable bounds for </w:t>
      </w:r>
      <m:oMath>
        <m:sSub>
          <m:sSubPr>
            <m:ctrlPr>
              <w:rPr>
                <w:rFonts w:ascii="Cambria Math" w:hAnsi="Cambria Math" w:cs="Arial"/>
                <w:i/>
                <w:sz w:val="20"/>
                <w:szCs w:val="20"/>
              </w:rPr>
            </m:ctrlPr>
          </m:sSubPr>
          <m:e>
            <m:r>
              <w:rPr>
                <w:rFonts w:ascii="Cambria Math" w:hAnsi="Cambria Math" w:cs="Arial"/>
                <w:sz w:val="20"/>
                <w:szCs w:val="20"/>
              </w:rPr>
              <m:t>CI</m:t>
            </m:r>
          </m:e>
          <m:sub>
            <m:r>
              <w:rPr>
                <w:rFonts w:ascii="Cambria Math" w:hAnsi="Cambria Math" w:cs="Arial"/>
                <w:sz w:val="20"/>
                <w:szCs w:val="20"/>
              </w:rPr>
              <m:t>natural gas</m:t>
            </m:r>
          </m:sub>
        </m:sSub>
      </m:oMath>
      <w:r w:rsidRPr="00FB3C41">
        <w:rPr>
          <w:rFonts w:ascii="Arial" w:eastAsiaTheme="minorEastAsia" w:hAnsi="Arial" w:cs="Arial"/>
          <w:sz w:val="20"/>
          <w:szCs w:val="20"/>
        </w:rPr>
        <w:t xml:space="preserve"> and </w:t>
      </w:r>
      <m:oMath>
        <m:sSub>
          <m:sSubPr>
            <m:ctrlPr>
              <w:rPr>
                <w:rFonts w:ascii="Cambria Math" w:hAnsi="Cambria Math" w:cs="Arial"/>
                <w:i/>
                <w:sz w:val="20"/>
                <w:szCs w:val="20"/>
              </w:rPr>
            </m:ctrlPr>
          </m:sSubPr>
          <m:e>
            <m:r>
              <w:rPr>
                <w:rFonts w:ascii="Cambria Math" w:hAnsi="Cambria Math" w:cs="Arial"/>
                <w:sz w:val="20"/>
                <w:szCs w:val="20"/>
              </w:rPr>
              <m:t>CI</m:t>
            </m:r>
          </m:e>
          <m:sub>
            <m:r>
              <w:rPr>
                <w:rFonts w:ascii="Cambria Math" w:hAnsi="Cambria Math" w:cs="Arial"/>
                <w:sz w:val="20"/>
                <w:szCs w:val="20"/>
              </w:rPr>
              <m:t>electricity</m:t>
            </m:r>
          </m:sub>
        </m:sSub>
        <m:r>
          <w:rPr>
            <w:rFonts w:ascii="Cambria Math" w:hAnsi="Cambria Math" w:cs="Arial"/>
            <w:sz w:val="20"/>
            <w:szCs w:val="20"/>
          </w:rPr>
          <m:t xml:space="preserve"> </m:t>
        </m:r>
      </m:oMath>
      <w:r w:rsidRPr="00FB3C41">
        <w:rPr>
          <w:rFonts w:ascii="Arial" w:eastAsiaTheme="minorEastAsia" w:hAnsi="Arial" w:cs="Arial"/>
          <w:sz w:val="20"/>
          <w:szCs w:val="20"/>
        </w:rPr>
        <w:t xml:space="preserve">are </w:t>
      </w:r>
      <w:r>
        <w:rPr>
          <w:rFonts w:ascii="Arial" w:eastAsiaTheme="minorEastAsia" w:hAnsi="Arial" w:cs="Arial"/>
          <w:sz w:val="20"/>
          <w:szCs w:val="20"/>
        </w:rPr>
        <w:t>2.7</w:t>
      </w:r>
      <w:r w:rsidRPr="00FB3C41">
        <w:rPr>
          <w:rFonts w:ascii="Arial" w:eastAsiaTheme="minorEastAsia" w:hAnsi="Arial" w:cs="Arial"/>
          <w:sz w:val="20"/>
          <w:szCs w:val="20"/>
        </w:rPr>
        <w:t xml:space="preserve"> – </w:t>
      </w:r>
      <w:r>
        <w:rPr>
          <w:rFonts w:ascii="Arial" w:eastAsiaTheme="minorEastAsia" w:hAnsi="Arial" w:cs="Arial"/>
          <w:sz w:val="20"/>
          <w:szCs w:val="20"/>
        </w:rPr>
        <w:t>32.8 kg CO</w:t>
      </w:r>
      <w:r w:rsidRPr="00A9772C">
        <w:rPr>
          <w:rFonts w:ascii="Arial" w:eastAsiaTheme="minorEastAsia" w:hAnsi="Arial" w:cs="Arial"/>
          <w:sz w:val="20"/>
          <w:szCs w:val="20"/>
          <w:vertAlign w:val="subscript"/>
        </w:rPr>
        <w:t>2</w:t>
      </w:r>
      <w:r>
        <w:rPr>
          <w:rFonts w:ascii="Arial" w:eastAsiaTheme="minorEastAsia" w:hAnsi="Arial" w:cs="Arial"/>
          <w:sz w:val="20"/>
          <w:szCs w:val="20"/>
        </w:rPr>
        <w:t>,eq/GJ HHV</w:t>
      </w:r>
      <w:r>
        <w:rPr>
          <w:rFonts w:ascii="Arial" w:eastAsiaTheme="minorEastAsia" w:hAnsi="Arial" w:cs="Arial"/>
          <w:sz w:val="20"/>
          <w:szCs w:val="20"/>
        </w:rPr>
        <w:fldChar w:fldCharType="begin" w:fldLock="1"/>
      </w:r>
      <w:r w:rsidR="008828C0">
        <w:rPr>
          <w:rFonts w:ascii="Arial" w:eastAsiaTheme="minorEastAsia" w:hAnsi="Arial" w:cs="Arial"/>
          <w:sz w:val="20"/>
          <w:szCs w:val="20"/>
        </w:rPr>
        <w:instrText>ADDIN CSL_CITATION {"citationItems":[{"id":"ITEM-1","itemData":{"author":[{"dropping-particle":"","family":"Balcombe","given":"Paul","non-dropping-particle":"","parse-names":false,"suffix":""},{"dropping-particle":"","family":"Anderson","given":"Kris","non-dropping-particle":"","parse-names":false,"suffix":""},{"dropping-particle":"","family":"Speirs","given":"Jamie","non-dropping-particle":"","parse-names":false,"suffix":""},{"dropping-particle":"","family":"Brandon","given":"Nigel","non-dropping-particle":"","parse-names":false,"suffix":""},{"dropping-particle":"","family":"Hawkes","given":"Adam","non-dropping-particle":"","parse-names":false,"suffix":""}],"container-title":"Sustainable Gas Institute","id":"ITEM-1","issue":"September","issued":{"date-parts":[["2015"]]},"title":"Methane and CO2 emissions from the natural gas supply chain: an evidence assessment","type":"report"},"uris":["http://www.mendeley.com/documents/?uuid=698e67a6-56ae-4877-b4e3-d395df77f201"]}],"mendeley":{"formattedCitation":"&lt;sup&gt;2&lt;/sup&gt;","plainTextFormattedCitation":"2","previouslyFormattedCitation":"&lt;sup&gt;2&lt;/sup&gt;"},"properties":{"noteIndex":0},"schema":"https://github.com/citation-style-language/schema/raw/master/csl-citation.json"}</w:instrText>
      </w:r>
      <w:r>
        <w:rPr>
          <w:rFonts w:ascii="Arial" w:eastAsiaTheme="minorEastAsia" w:hAnsi="Arial" w:cs="Arial"/>
          <w:sz w:val="20"/>
          <w:szCs w:val="20"/>
        </w:rPr>
        <w:fldChar w:fldCharType="separate"/>
      </w:r>
      <w:r w:rsidR="007161C5" w:rsidRPr="007161C5">
        <w:rPr>
          <w:rFonts w:ascii="Arial" w:eastAsiaTheme="minorEastAsia" w:hAnsi="Arial" w:cs="Arial"/>
          <w:noProof/>
          <w:sz w:val="20"/>
          <w:szCs w:val="20"/>
          <w:vertAlign w:val="superscript"/>
        </w:rPr>
        <w:t>2</w:t>
      </w:r>
      <w:r>
        <w:rPr>
          <w:rFonts w:ascii="Arial" w:eastAsiaTheme="minorEastAsia" w:hAnsi="Arial" w:cs="Arial"/>
          <w:sz w:val="20"/>
          <w:szCs w:val="20"/>
        </w:rPr>
        <w:fldChar w:fldCharType="end"/>
      </w:r>
      <w:r w:rsidRPr="00FB3C41">
        <w:rPr>
          <w:rFonts w:ascii="Arial" w:eastAsiaTheme="minorEastAsia" w:hAnsi="Arial" w:cs="Arial"/>
          <w:sz w:val="20"/>
          <w:szCs w:val="20"/>
        </w:rPr>
        <w:t xml:space="preserve">, and </w:t>
      </w:r>
      <w:r>
        <w:rPr>
          <w:rFonts w:ascii="Arial" w:eastAsiaTheme="minorEastAsia" w:hAnsi="Arial" w:cs="Arial"/>
          <w:sz w:val="20"/>
          <w:szCs w:val="20"/>
        </w:rPr>
        <w:t>0 –</w:t>
      </w:r>
      <w:r w:rsidRPr="00FB3C41">
        <w:rPr>
          <w:rFonts w:ascii="Arial" w:eastAsiaTheme="minorEastAsia" w:hAnsi="Arial" w:cs="Arial"/>
          <w:sz w:val="20"/>
          <w:szCs w:val="20"/>
        </w:rPr>
        <w:t xml:space="preserve"> </w:t>
      </w:r>
      <w:r>
        <w:rPr>
          <w:rFonts w:ascii="Arial" w:eastAsiaTheme="minorEastAsia" w:hAnsi="Arial" w:cs="Arial"/>
          <w:sz w:val="20"/>
          <w:szCs w:val="20"/>
        </w:rPr>
        <w:t>800 kg CO</w:t>
      </w:r>
      <w:r w:rsidRPr="00A9772C">
        <w:rPr>
          <w:rFonts w:ascii="Arial" w:eastAsiaTheme="minorEastAsia" w:hAnsi="Arial" w:cs="Arial"/>
          <w:sz w:val="20"/>
          <w:szCs w:val="20"/>
          <w:vertAlign w:val="subscript"/>
        </w:rPr>
        <w:t>2</w:t>
      </w:r>
      <w:r>
        <w:rPr>
          <w:rFonts w:ascii="Arial" w:eastAsiaTheme="minorEastAsia" w:hAnsi="Arial" w:cs="Arial"/>
          <w:sz w:val="20"/>
          <w:szCs w:val="20"/>
        </w:rPr>
        <w:t>,eq/MWh,</w:t>
      </w:r>
      <w:r w:rsidRPr="00FB3C41">
        <w:rPr>
          <w:rFonts w:ascii="Arial" w:eastAsiaTheme="minorEastAsia" w:hAnsi="Arial" w:cs="Arial"/>
          <w:sz w:val="20"/>
          <w:szCs w:val="20"/>
        </w:rPr>
        <w:t xml:space="preserve"> respectively. </w:t>
      </w:r>
      <w:r>
        <w:rPr>
          <w:rFonts w:ascii="Arial" w:eastAsiaTheme="minorEastAsia" w:hAnsi="Arial" w:cs="Arial"/>
          <w:sz w:val="20"/>
          <w:szCs w:val="20"/>
        </w:rPr>
        <w:t xml:space="preserve">The scatter data used to represent the carbon footprint of electrolytic </w:t>
      </w:r>
      <w:r>
        <w:rPr>
          <w:rFonts w:ascii="Arial" w:eastAsiaTheme="minorEastAsia" w:hAnsi="Arial" w:cs="Arial"/>
          <w:sz w:val="20"/>
          <w:szCs w:val="20"/>
        </w:rPr>
        <w:lastRenderedPageBreak/>
        <w:t>hydrogen in countries of the EU was based on the carbon intensity of electricity generation data from 2019, sourced from the European Environment Agency</w:t>
      </w:r>
      <w:r>
        <w:rPr>
          <w:rFonts w:ascii="Arial" w:eastAsiaTheme="minorEastAsia" w:hAnsi="Arial" w:cs="Arial"/>
          <w:sz w:val="20"/>
          <w:szCs w:val="20"/>
        </w:rPr>
        <w:fldChar w:fldCharType="begin" w:fldLock="1"/>
      </w:r>
      <w:r w:rsidR="008828C0">
        <w:rPr>
          <w:rFonts w:ascii="Arial" w:eastAsiaTheme="minorEastAsia" w:hAnsi="Arial" w:cs="Arial"/>
          <w:sz w:val="20"/>
          <w:szCs w:val="20"/>
        </w:rPr>
        <w:instrText>ADDIN CSL_CITATION {"citationItems":[{"id":"ITEM-1","itemData":{"URL":"https://www.eea.europa.eu/data-and-maps/daviz/co2-emission-intensity-6#tab-googlechartid_googlechartid_googlechartid_googlechartid_chart_11111","accessed":{"date-parts":[["2021","4","24"]]},"author":[{"dropping-particle":"","family":"European Environment Agency","given":"","non-dropping-particle":"","parse-names":false,"suffix":""}],"id":"ITEM-1","issued":{"date-parts":[["2021"]]},"title":"Greenhouse gas emission intensity of electricity generation","type":"webpage"},"uris":["http://www.mendeley.com/documents/?uuid=fcc478fd-12a8-30dc-9d4c-5198c1dbc81a"]}],"mendeley":{"formattedCitation":"&lt;sup&gt;3&lt;/sup&gt;","plainTextFormattedCitation":"3","previouslyFormattedCitation":"&lt;sup&gt;3&lt;/sup&gt;"},"properties":{"noteIndex":0},"schema":"https://github.com/citation-style-language/schema/raw/master/csl-citation.json"}</w:instrText>
      </w:r>
      <w:r>
        <w:rPr>
          <w:rFonts w:ascii="Arial" w:eastAsiaTheme="minorEastAsia" w:hAnsi="Arial" w:cs="Arial"/>
          <w:sz w:val="20"/>
          <w:szCs w:val="20"/>
        </w:rPr>
        <w:fldChar w:fldCharType="separate"/>
      </w:r>
      <w:r w:rsidR="007161C5" w:rsidRPr="007161C5">
        <w:rPr>
          <w:rFonts w:ascii="Arial" w:eastAsiaTheme="minorEastAsia" w:hAnsi="Arial" w:cs="Arial"/>
          <w:noProof/>
          <w:sz w:val="20"/>
          <w:szCs w:val="20"/>
          <w:vertAlign w:val="superscript"/>
        </w:rPr>
        <w:t>3</w:t>
      </w:r>
      <w:r>
        <w:rPr>
          <w:rFonts w:ascii="Arial" w:eastAsiaTheme="minorEastAsia" w:hAnsi="Arial" w:cs="Arial"/>
          <w:sz w:val="20"/>
          <w:szCs w:val="20"/>
        </w:rPr>
        <w:fldChar w:fldCharType="end"/>
      </w:r>
      <w:r>
        <w:rPr>
          <w:rFonts w:ascii="Arial" w:eastAsiaTheme="minorEastAsia" w:hAnsi="Arial" w:cs="Arial"/>
          <w:sz w:val="20"/>
          <w:szCs w:val="20"/>
        </w:rPr>
        <w:t>.</w:t>
      </w:r>
    </w:p>
    <w:p w14:paraId="4A665289" w14:textId="77777777" w:rsidR="008E201A" w:rsidRDefault="008E201A" w:rsidP="008E201A">
      <w:pPr>
        <w:keepNext/>
        <w:jc w:val="center"/>
      </w:pPr>
      <w:r>
        <w:rPr>
          <w:rFonts w:ascii="Arial" w:eastAsiaTheme="minorEastAsia" w:hAnsi="Arial" w:cs="Arial"/>
          <w:noProof/>
          <w:sz w:val="20"/>
          <w:szCs w:val="20"/>
        </w:rPr>
        <w:drawing>
          <wp:inline distT="0" distB="0" distL="0" distR="0" wp14:anchorId="1C299599" wp14:editId="20030DA9">
            <wp:extent cx="4246880" cy="3497062"/>
            <wp:effectExtent l="0" t="0" r="1270" b="0"/>
            <wp:docPr id="3" name="Picture 3" descr="Graphical user interfac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raphical user interface&#10;&#10;Description automatically generated with low confiden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249099" cy="3498889"/>
                    </a:xfrm>
                    <a:prstGeom prst="rect">
                      <a:avLst/>
                    </a:prstGeom>
                  </pic:spPr>
                </pic:pic>
              </a:graphicData>
            </a:graphic>
          </wp:inline>
        </w:drawing>
      </w:r>
    </w:p>
    <w:p w14:paraId="444163CC" w14:textId="7719B7AF" w:rsidR="007A7721" w:rsidRPr="008E201A" w:rsidRDefault="008E201A" w:rsidP="008E201A">
      <w:pPr>
        <w:pStyle w:val="Caption"/>
        <w:jc w:val="both"/>
        <w:rPr>
          <w:rFonts w:ascii="Arial" w:hAnsi="Arial" w:cs="Arial"/>
        </w:rPr>
      </w:pPr>
      <w:r w:rsidRPr="00C36F48">
        <w:rPr>
          <w:rFonts w:ascii="Arial" w:hAnsi="Arial" w:cs="Arial"/>
        </w:rPr>
        <w:t>Figure S</w:t>
      </w:r>
      <w:r w:rsidRPr="00C36F48">
        <w:rPr>
          <w:rFonts w:ascii="Arial" w:hAnsi="Arial" w:cs="Arial"/>
        </w:rPr>
        <w:fldChar w:fldCharType="begin"/>
      </w:r>
      <w:r w:rsidRPr="00C36F48">
        <w:rPr>
          <w:rFonts w:ascii="Arial" w:hAnsi="Arial" w:cs="Arial"/>
        </w:rPr>
        <w:instrText xml:space="preserve"> SEQ Figure \* ARABIC </w:instrText>
      </w:r>
      <w:r w:rsidRPr="00C36F48">
        <w:rPr>
          <w:rFonts w:ascii="Arial" w:hAnsi="Arial" w:cs="Arial"/>
        </w:rPr>
        <w:fldChar w:fldCharType="separate"/>
      </w:r>
      <w:r w:rsidR="0003272E">
        <w:rPr>
          <w:rFonts w:ascii="Arial" w:hAnsi="Arial" w:cs="Arial"/>
          <w:noProof/>
        </w:rPr>
        <w:t>1</w:t>
      </w:r>
      <w:r w:rsidRPr="00C36F48">
        <w:rPr>
          <w:rFonts w:ascii="Arial" w:hAnsi="Arial" w:cs="Arial"/>
        </w:rPr>
        <w:fldChar w:fldCharType="end"/>
      </w:r>
      <w:r w:rsidRPr="00C36F48">
        <w:rPr>
          <w:rFonts w:ascii="Arial" w:hAnsi="Arial" w:cs="Arial"/>
        </w:rPr>
        <w:t>:</w:t>
      </w:r>
      <w:r>
        <w:t xml:space="preserve"> </w:t>
      </w:r>
      <w:r>
        <w:rPr>
          <w:rFonts w:ascii="Arial" w:hAnsi="Arial" w:cs="Arial"/>
        </w:rPr>
        <w:t xml:space="preserve">Carbon intensity of </w:t>
      </w:r>
      <w:r w:rsidR="00C36F48">
        <w:rPr>
          <w:rFonts w:ascii="Arial" w:hAnsi="Arial" w:cs="Arial"/>
        </w:rPr>
        <w:t xml:space="preserve">hydrogen supply as a function of the carbon footprint of electricity, denoting both blue (SMR-CCS), electrolytic, and grey hydrogen (SMR without CCS), where the bands represent the upper and lower impact estimation based on the interval bounds. The labels on the scatters represent the country codes for European nations – Sweden (SE), France (FR), Denmark (DK), United Kingdom (UK), Ireland (IE), Germany (DE), The Netherlands (NL), Czechia (CZ), Greece (EL), Cyprus (CY), and Estonia (EE). </w:t>
      </w:r>
    </w:p>
    <w:p w14:paraId="32ACEAD3" w14:textId="77777777" w:rsidR="00E449BC" w:rsidRDefault="00E449BC" w:rsidP="00E449BC">
      <w:pPr>
        <w:jc w:val="both"/>
        <w:rPr>
          <w:rFonts w:ascii="Arial" w:eastAsiaTheme="minorEastAsia" w:hAnsi="Arial" w:cs="Arial"/>
          <w:sz w:val="20"/>
          <w:szCs w:val="20"/>
        </w:rPr>
      </w:pPr>
    </w:p>
    <w:p w14:paraId="7A7DF4B9" w14:textId="29A0A0C3" w:rsidR="00E449BC" w:rsidRDefault="00E449BC" w:rsidP="00E449BC">
      <w:pPr>
        <w:pStyle w:val="Heading2"/>
        <w:rPr>
          <w:rFonts w:ascii="Arial" w:hAnsi="Arial" w:cs="Arial"/>
        </w:rPr>
      </w:pPr>
      <w:r>
        <w:rPr>
          <w:rFonts w:ascii="Arial" w:hAnsi="Arial" w:cs="Arial"/>
        </w:rPr>
        <w:t>S</w:t>
      </w:r>
      <w:r w:rsidR="00413AE8">
        <w:rPr>
          <w:rFonts w:ascii="Arial" w:hAnsi="Arial" w:cs="Arial"/>
        </w:rPr>
        <w:t>1</w:t>
      </w:r>
      <w:r>
        <w:rPr>
          <w:rFonts w:ascii="Arial" w:hAnsi="Arial" w:cs="Arial"/>
        </w:rPr>
        <w:t xml:space="preserve">.2 - </w:t>
      </w:r>
      <w:r w:rsidRPr="00C14DA6">
        <w:rPr>
          <w:rFonts w:ascii="Arial" w:hAnsi="Arial" w:cs="Arial"/>
        </w:rPr>
        <w:t>Methods for Figure 1</w:t>
      </w:r>
      <w:r>
        <w:rPr>
          <w:rFonts w:ascii="Arial" w:hAnsi="Arial" w:cs="Arial"/>
        </w:rPr>
        <w:t>B</w:t>
      </w:r>
    </w:p>
    <w:p w14:paraId="4D2261AF" w14:textId="1D9EAFF6" w:rsidR="00E449BC" w:rsidRDefault="00E449BC" w:rsidP="00E449BC">
      <w:pPr>
        <w:jc w:val="both"/>
        <w:rPr>
          <w:rFonts w:ascii="Arial" w:eastAsiaTheme="minorEastAsia" w:hAnsi="Arial" w:cs="Arial"/>
          <w:sz w:val="20"/>
          <w:szCs w:val="20"/>
        </w:rPr>
      </w:pPr>
      <w:r>
        <w:rPr>
          <w:rFonts w:ascii="Arial" w:eastAsiaTheme="minorEastAsia" w:hAnsi="Arial" w:cs="Arial"/>
          <w:sz w:val="20"/>
          <w:szCs w:val="20"/>
        </w:rPr>
        <w:t xml:space="preserve">The carbon footprint of wind-based electrolysis </w:t>
      </w:r>
      <w:r w:rsidR="00E822E1" w:rsidRPr="00E822E1">
        <w:rPr>
          <w:rFonts w:ascii="Arial" w:eastAsiaTheme="minorEastAsia" w:hAnsi="Arial" w:cs="Arial"/>
          <w:sz w:val="20"/>
          <w:szCs w:val="20"/>
        </w:rPr>
        <w:t xml:space="preserve">found to be </w:t>
      </w:r>
      <w:r w:rsidR="00E822E1">
        <w:rPr>
          <w:rFonts w:ascii="Arial" w:eastAsiaTheme="minorEastAsia" w:hAnsi="Arial" w:cs="Arial"/>
          <w:sz w:val="20"/>
          <w:szCs w:val="20"/>
        </w:rPr>
        <w:t xml:space="preserve">20 kg </w:t>
      </w:r>
      <w:proofErr w:type="gramStart"/>
      <w:r w:rsidR="00E822E1">
        <w:rPr>
          <w:rFonts w:ascii="Arial" w:eastAsiaTheme="minorEastAsia" w:hAnsi="Arial" w:cs="Arial"/>
          <w:sz w:val="20"/>
          <w:szCs w:val="20"/>
        </w:rPr>
        <w:t>CO</w:t>
      </w:r>
      <w:r w:rsidR="00E822E1" w:rsidRPr="00D13012">
        <w:rPr>
          <w:rFonts w:ascii="Arial" w:eastAsiaTheme="minorEastAsia" w:hAnsi="Arial" w:cs="Arial"/>
          <w:sz w:val="20"/>
          <w:szCs w:val="20"/>
          <w:vertAlign w:val="subscript"/>
        </w:rPr>
        <w:t>2</w:t>
      </w:r>
      <w:r w:rsidR="00E822E1">
        <w:rPr>
          <w:rFonts w:ascii="Arial" w:eastAsiaTheme="minorEastAsia" w:hAnsi="Arial" w:cs="Arial"/>
          <w:sz w:val="20"/>
          <w:szCs w:val="20"/>
        </w:rPr>
        <w:t>,eq</w:t>
      </w:r>
      <w:proofErr w:type="gramEnd"/>
      <w:r w:rsidR="00E822E1">
        <w:rPr>
          <w:rFonts w:ascii="Arial" w:eastAsiaTheme="minorEastAsia" w:hAnsi="Arial" w:cs="Arial"/>
          <w:sz w:val="20"/>
          <w:szCs w:val="20"/>
        </w:rPr>
        <w:t>/MWh H</w:t>
      </w:r>
      <w:r w:rsidR="00E822E1" w:rsidRPr="00D13012">
        <w:rPr>
          <w:rFonts w:ascii="Arial" w:eastAsiaTheme="minorEastAsia" w:hAnsi="Arial" w:cs="Arial"/>
          <w:sz w:val="20"/>
          <w:szCs w:val="20"/>
          <w:vertAlign w:val="subscript"/>
        </w:rPr>
        <w:t>2</w:t>
      </w:r>
      <w:r w:rsidR="00E822E1">
        <w:rPr>
          <w:rFonts w:ascii="Arial" w:eastAsiaTheme="minorEastAsia" w:hAnsi="Arial" w:cs="Arial"/>
          <w:sz w:val="20"/>
          <w:szCs w:val="20"/>
        </w:rPr>
        <w:t xml:space="preserve"> LHV </w:t>
      </w:r>
      <w:r w:rsidR="00E822E1" w:rsidRPr="00E822E1">
        <w:rPr>
          <w:rFonts w:ascii="Arial" w:eastAsiaTheme="minorEastAsia" w:hAnsi="Arial" w:cs="Arial"/>
          <w:sz w:val="20"/>
          <w:szCs w:val="20"/>
        </w:rPr>
        <w:t>based on a comprehensive</w:t>
      </w:r>
      <w:r w:rsidR="00E822E1">
        <w:rPr>
          <w:rFonts w:ascii="Arial" w:eastAsiaTheme="minorEastAsia" w:hAnsi="Arial" w:cs="Arial"/>
          <w:sz w:val="20"/>
          <w:szCs w:val="20"/>
        </w:rPr>
        <w:t xml:space="preserve"> LCA</w:t>
      </w:r>
      <w:r w:rsidR="00174FA0">
        <w:rPr>
          <w:rFonts w:ascii="Arial" w:eastAsiaTheme="minorEastAsia" w:hAnsi="Arial" w:cs="Arial"/>
          <w:sz w:val="20"/>
          <w:szCs w:val="20"/>
        </w:rPr>
        <w:t xml:space="preserve"> as captured in S1.4</w:t>
      </w:r>
      <w:r>
        <w:rPr>
          <w:rFonts w:ascii="Arial" w:eastAsiaTheme="minorEastAsia" w:hAnsi="Arial" w:cs="Arial"/>
          <w:sz w:val="20"/>
          <w:szCs w:val="20"/>
        </w:rPr>
        <w:t>. Equation S1 in S</w:t>
      </w:r>
      <w:r w:rsidR="00867B82">
        <w:rPr>
          <w:rFonts w:ascii="Arial" w:eastAsiaTheme="minorEastAsia" w:hAnsi="Arial" w:cs="Arial"/>
          <w:sz w:val="20"/>
          <w:szCs w:val="20"/>
        </w:rPr>
        <w:t>1</w:t>
      </w:r>
      <w:r>
        <w:rPr>
          <w:rFonts w:ascii="Arial" w:eastAsiaTheme="minorEastAsia" w:hAnsi="Arial" w:cs="Arial"/>
          <w:sz w:val="20"/>
          <w:szCs w:val="20"/>
        </w:rPr>
        <w:t>.1 is expanded to describe the carbon intensity of blue hydrogen as a function of the CO</w:t>
      </w:r>
      <w:r w:rsidRPr="00D13012">
        <w:rPr>
          <w:rFonts w:ascii="Arial" w:eastAsiaTheme="minorEastAsia" w:hAnsi="Arial" w:cs="Arial"/>
          <w:sz w:val="20"/>
          <w:szCs w:val="20"/>
          <w:vertAlign w:val="subscript"/>
        </w:rPr>
        <w:t>2</w:t>
      </w:r>
      <w:r>
        <w:rPr>
          <w:rFonts w:ascii="Arial" w:eastAsiaTheme="minorEastAsia" w:hAnsi="Arial" w:cs="Arial"/>
          <w:sz w:val="20"/>
          <w:szCs w:val="20"/>
        </w:rPr>
        <w:t xml:space="preserve"> capture rate. </w:t>
      </w:r>
      <w:r w:rsidRPr="00D13012">
        <w:rPr>
          <w:rFonts w:ascii="Arial" w:eastAsiaTheme="minorEastAsia" w:hAnsi="Arial" w:cs="Arial"/>
          <w:sz w:val="20"/>
          <w:szCs w:val="20"/>
        </w:rPr>
        <w:t xml:space="preserve">Note that both </w:t>
      </w:r>
      <m:oMath>
        <m:sSub>
          <m:sSubPr>
            <m:ctrlPr>
              <w:rPr>
                <w:rFonts w:ascii="Cambria Math" w:hAnsi="Cambria Math" w:cs="Arial"/>
                <w:i/>
                <w:sz w:val="20"/>
                <w:szCs w:val="20"/>
              </w:rPr>
            </m:ctrlPr>
          </m:sSubPr>
          <m:e>
            <m:r>
              <w:rPr>
                <w:rFonts w:ascii="Cambria Math" w:hAnsi="Cambria Math" w:cs="Arial"/>
                <w:sz w:val="20"/>
                <w:szCs w:val="20"/>
              </w:rPr>
              <m:t>A</m:t>
            </m:r>
          </m:e>
          <m:sub>
            <m:r>
              <w:rPr>
                <w:rFonts w:ascii="Cambria Math" w:hAnsi="Cambria Math" w:cs="Arial"/>
                <w:sz w:val="20"/>
                <w:szCs w:val="20"/>
              </w:rPr>
              <m:t>1</m:t>
            </m:r>
          </m:sub>
        </m:sSub>
      </m:oMath>
      <w:r w:rsidRPr="00D13012">
        <w:rPr>
          <w:rFonts w:ascii="Arial" w:eastAsiaTheme="minorEastAsia" w:hAnsi="Arial" w:cs="Arial"/>
          <w:sz w:val="20"/>
          <w:szCs w:val="20"/>
        </w:rPr>
        <w:t xml:space="preserve"> and </w:t>
      </w:r>
      <m:oMath>
        <m:sSub>
          <m:sSubPr>
            <m:ctrlPr>
              <w:rPr>
                <w:rFonts w:ascii="Cambria Math" w:hAnsi="Cambria Math" w:cs="Arial"/>
                <w:i/>
                <w:sz w:val="20"/>
                <w:szCs w:val="20"/>
              </w:rPr>
            </m:ctrlPr>
          </m:sSubPr>
          <m:e>
            <m:r>
              <w:rPr>
                <w:rFonts w:ascii="Cambria Math" w:hAnsi="Cambria Math" w:cs="Arial"/>
                <w:sz w:val="20"/>
                <w:szCs w:val="20"/>
              </w:rPr>
              <m:t>A</m:t>
            </m:r>
          </m:e>
          <m:sub>
            <m:r>
              <w:rPr>
                <w:rFonts w:ascii="Cambria Math" w:hAnsi="Cambria Math" w:cs="Arial"/>
                <w:sz w:val="20"/>
                <w:szCs w:val="20"/>
              </w:rPr>
              <m:t>2</m:t>
            </m:r>
          </m:sub>
        </m:sSub>
      </m:oMath>
      <w:r>
        <w:rPr>
          <w:rFonts w:ascii="Arial" w:eastAsiaTheme="minorEastAsia" w:hAnsi="Arial" w:cs="Arial"/>
          <w:sz w:val="20"/>
          <w:szCs w:val="20"/>
        </w:rPr>
        <w:t xml:space="preserve"> (i.e., the residual emissions, and the natural gas requirement) are now described as variables and are a function of the overall CO</w:t>
      </w:r>
      <w:r w:rsidRPr="00736CC6">
        <w:rPr>
          <w:rFonts w:ascii="Arial" w:eastAsiaTheme="minorEastAsia" w:hAnsi="Arial" w:cs="Arial"/>
          <w:sz w:val="20"/>
          <w:szCs w:val="20"/>
          <w:vertAlign w:val="subscript"/>
        </w:rPr>
        <w:t>2</w:t>
      </w:r>
      <w:r>
        <w:rPr>
          <w:rFonts w:ascii="Arial" w:eastAsiaTheme="minorEastAsia" w:hAnsi="Arial" w:cs="Arial"/>
          <w:sz w:val="20"/>
          <w:szCs w:val="20"/>
        </w:rPr>
        <w:t xml:space="preserve"> capture rate of the process. The following equations are used to define the overall carbon footprint of blue hydrogen as a function of both the capture rate and the natural gas supply chain footprint:</w:t>
      </w:r>
    </w:p>
    <w:p w14:paraId="3B0A4686" w14:textId="77777777" w:rsidR="00E449BC" w:rsidRDefault="00E449BC" w:rsidP="00E449BC">
      <w:pPr>
        <w:jc w:val="both"/>
        <w:rPr>
          <w:rFonts w:ascii="Arial" w:eastAsiaTheme="minorEastAsia" w:hAnsi="Arial" w:cs="Arial"/>
          <w:sz w:val="20"/>
          <w:szCs w:val="20"/>
        </w:rPr>
      </w:pPr>
    </w:p>
    <w:p w14:paraId="14405541" w14:textId="77777777" w:rsidR="00E449BC" w:rsidRPr="00F30700" w:rsidRDefault="00120A0E" w:rsidP="00E449BC">
      <w:pPr>
        <w:jc w:val="both"/>
        <w:rPr>
          <w:rFonts w:ascii="Arial" w:eastAsiaTheme="minorEastAsia" w:hAnsi="Arial" w:cs="Arial"/>
        </w:rPr>
      </w:pPr>
      <m:oMathPara>
        <m:oMath>
          <m:eqArr>
            <m:eqArrPr>
              <m:maxDist m:val="1"/>
              <m:ctrlPr>
                <w:rPr>
                  <w:rFonts w:ascii="Cambria Math" w:eastAsiaTheme="minorEastAsia" w:hAnsi="Cambria Math" w:cs="Arial"/>
                  <w:i/>
                </w:rPr>
              </m:ctrlPr>
            </m:eqArrPr>
            <m:e>
              <m:r>
                <w:rPr>
                  <w:rFonts w:ascii="Cambria Math" w:hAnsi="Cambria Math" w:cs="Arial"/>
                </w:rPr>
                <m:t>dQ=</m:t>
              </m:r>
              <m:sSub>
                <m:sSubPr>
                  <m:ctrlPr>
                    <w:rPr>
                      <w:rFonts w:ascii="Cambria Math" w:hAnsi="Cambria Math" w:cs="Arial"/>
                      <w:i/>
                    </w:rPr>
                  </m:ctrlPr>
                </m:sSubPr>
                <m:e>
                  <m:r>
                    <w:rPr>
                      <w:rFonts w:ascii="Cambria Math" w:hAnsi="Cambria Math" w:cs="Arial"/>
                    </w:rPr>
                    <m:t>A</m:t>
                  </m:r>
                </m:e>
                <m:sub>
                  <m:r>
                    <w:rPr>
                      <w:rFonts w:ascii="Cambria Math" w:hAnsi="Cambria Math" w:cs="Arial"/>
                    </w:rPr>
                    <m:t>3</m:t>
                  </m:r>
                </m:sub>
              </m:sSub>
              <m:r>
                <w:rPr>
                  <w:rFonts w:ascii="Cambria Math" w:hAnsi="Cambria Math" w:cs="Arial"/>
                </w:rPr>
                <m:t>×x</m:t>
              </m:r>
              <m:r>
                <w:rPr>
                  <w:rFonts w:ascii="Cambria Math" w:eastAsiaTheme="minorEastAsia" w:hAnsi="Cambria Math" w:cs="Arial"/>
                </w:rPr>
                <m:t xml:space="preserve"> </m:t>
              </m:r>
              <m:r>
                <w:rPr>
                  <w:rFonts w:ascii="Cambria Math" w:hAnsi="Cambria Math" w:cs="Arial"/>
                </w:rPr>
                <m:t>#</m:t>
              </m:r>
              <m:d>
                <m:dPr>
                  <m:ctrlPr>
                    <w:rPr>
                      <w:rFonts w:ascii="Cambria Math" w:eastAsiaTheme="minorEastAsia" w:hAnsi="Cambria Math" w:cs="Arial"/>
                      <w:i/>
                    </w:rPr>
                  </m:ctrlPr>
                </m:dPr>
                <m:e>
                  <m:r>
                    <w:rPr>
                      <w:rFonts w:ascii="Cambria Math" w:eastAsiaTheme="minorEastAsia" w:hAnsi="Cambria Math" w:cs="Arial"/>
                    </w:rPr>
                    <m:t>S4</m:t>
                  </m:r>
                </m:e>
              </m:d>
              <m:ctrlPr>
                <w:rPr>
                  <w:rFonts w:ascii="Cambria Math" w:hAnsi="Cambria Math" w:cs="Arial"/>
                  <w:i/>
                </w:rPr>
              </m:ctrlPr>
            </m:e>
          </m:eqArr>
        </m:oMath>
      </m:oMathPara>
    </w:p>
    <w:p w14:paraId="03135889" w14:textId="77777777" w:rsidR="00E449BC" w:rsidRPr="00F30700" w:rsidRDefault="00120A0E" w:rsidP="00E449BC">
      <w:pPr>
        <w:jc w:val="both"/>
        <w:rPr>
          <w:rFonts w:ascii="Arial" w:eastAsiaTheme="minorEastAsia" w:hAnsi="Arial" w:cs="Arial"/>
        </w:rPr>
      </w:pPr>
      <m:oMathPara>
        <m:oMath>
          <m:eqArr>
            <m:eqArrPr>
              <m:maxDist m:val="1"/>
              <m:ctrlPr>
                <w:rPr>
                  <w:rFonts w:ascii="Cambria Math" w:hAnsi="Cambria Math" w:cs="Arial"/>
                  <w:i/>
                </w:rPr>
              </m:ctrlPr>
            </m:eqArrPr>
            <m:e>
              <m:sSub>
                <m:sSubPr>
                  <m:ctrlPr>
                    <w:rPr>
                      <w:rFonts w:ascii="Cambria Math" w:hAnsi="Cambria Math" w:cs="Arial"/>
                      <w:i/>
                    </w:rPr>
                  </m:ctrlPr>
                </m:sSubPr>
                <m:e>
                  <m:r>
                    <w:rPr>
                      <w:rFonts w:ascii="Cambria Math" w:hAnsi="Cambria Math" w:cs="Arial"/>
                    </w:rPr>
                    <m:t>A</m:t>
                  </m:r>
                </m:e>
                <m:sub>
                  <m:r>
                    <w:rPr>
                      <w:rFonts w:ascii="Cambria Math" w:hAnsi="Cambria Math" w:cs="Arial"/>
                    </w:rPr>
                    <m:t>1</m:t>
                  </m:r>
                </m:sub>
              </m:sSub>
              <m:r>
                <w:rPr>
                  <w:rFonts w:ascii="Cambria Math" w:hAnsi="Cambria Math" w:cs="Arial"/>
                </w:rPr>
                <m:t>=</m:t>
              </m:r>
              <m:sSub>
                <m:sSubPr>
                  <m:ctrlPr>
                    <w:rPr>
                      <w:rFonts w:ascii="Cambria Math" w:hAnsi="Cambria Math" w:cs="Arial"/>
                      <w:i/>
                    </w:rPr>
                  </m:ctrlPr>
                </m:sSubPr>
                <m:e>
                  <m:r>
                    <w:rPr>
                      <w:rFonts w:ascii="Cambria Math" w:hAnsi="Cambria Math" w:cs="Arial"/>
                    </w:rPr>
                    <m:t>A</m:t>
                  </m:r>
                </m:e>
                <m:sub>
                  <m:r>
                    <w:rPr>
                      <w:rFonts w:ascii="Cambria Math" w:hAnsi="Cambria Math" w:cs="Arial"/>
                    </w:rPr>
                    <m:t>3</m:t>
                  </m:r>
                </m:sub>
              </m:sSub>
              <m:r>
                <w:rPr>
                  <w:rFonts w:ascii="Cambria Math" w:hAnsi="Cambria Math" w:cs="Arial"/>
                </w:rPr>
                <m:t>-dQ #</m:t>
              </m:r>
              <m:d>
                <m:dPr>
                  <m:ctrlPr>
                    <w:rPr>
                      <w:rFonts w:ascii="Cambria Math" w:hAnsi="Cambria Math" w:cs="Arial"/>
                      <w:i/>
                    </w:rPr>
                  </m:ctrlPr>
                </m:dPr>
                <m:e>
                  <m:r>
                    <w:rPr>
                      <w:rFonts w:ascii="Cambria Math" w:hAnsi="Cambria Math" w:cs="Arial"/>
                    </w:rPr>
                    <m:t>S5</m:t>
                  </m:r>
                </m:e>
              </m:d>
            </m:e>
          </m:eqArr>
        </m:oMath>
      </m:oMathPara>
    </w:p>
    <w:p w14:paraId="183842E8" w14:textId="77777777" w:rsidR="00E449BC" w:rsidRPr="00F30700" w:rsidRDefault="00120A0E" w:rsidP="00E449BC">
      <w:pPr>
        <w:jc w:val="both"/>
        <w:rPr>
          <w:rFonts w:ascii="Arial" w:eastAsiaTheme="minorEastAsia" w:hAnsi="Arial" w:cs="Arial"/>
        </w:rPr>
      </w:pPr>
      <m:oMathPara>
        <m:oMath>
          <m:eqArr>
            <m:eqArrPr>
              <m:maxDist m:val="1"/>
              <m:ctrlPr>
                <w:rPr>
                  <w:rFonts w:ascii="Cambria Math" w:hAnsi="Cambria Math" w:cs="Arial"/>
                  <w:i/>
                </w:rPr>
              </m:ctrlPr>
            </m:eqArrPr>
            <m:e>
              <m:sSub>
                <m:sSubPr>
                  <m:ctrlPr>
                    <w:rPr>
                      <w:rFonts w:ascii="Cambria Math" w:hAnsi="Cambria Math" w:cs="Arial"/>
                      <w:i/>
                    </w:rPr>
                  </m:ctrlPr>
                </m:sSubPr>
                <m:e>
                  <m:r>
                    <w:rPr>
                      <w:rFonts w:ascii="Cambria Math" w:hAnsi="Cambria Math" w:cs="Arial"/>
                    </w:rPr>
                    <m:t>A</m:t>
                  </m:r>
                </m:e>
                <m:sub>
                  <m:r>
                    <w:rPr>
                      <w:rFonts w:ascii="Cambria Math" w:hAnsi="Cambria Math" w:cs="Arial"/>
                    </w:rPr>
                    <m:t>2</m:t>
                  </m:r>
                </m:sub>
              </m:sSub>
              <m:r>
                <w:rPr>
                  <w:rFonts w:ascii="Cambria Math" w:hAnsi="Cambria Math" w:cs="Arial"/>
                </w:rPr>
                <m:t>=</m:t>
              </m:r>
              <m:f>
                <m:fPr>
                  <m:ctrlPr>
                    <w:rPr>
                      <w:rFonts w:ascii="Cambria Math" w:hAnsi="Cambria Math" w:cs="Arial"/>
                      <w:i/>
                    </w:rPr>
                  </m:ctrlPr>
                </m:fPr>
                <m:num>
                  <m:r>
                    <w:rPr>
                      <w:rFonts w:ascii="Cambria Math" w:hAnsi="Cambria Math" w:cs="Arial"/>
                    </w:rPr>
                    <m:t>ER×dQ</m:t>
                  </m:r>
                </m:num>
                <m:den>
                  <m:r>
                    <w:rPr>
                      <w:rFonts w:ascii="Cambria Math" w:hAnsi="Cambria Math" w:cs="Arial"/>
                    </w:rPr>
                    <m:t>η</m:t>
                  </m:r>
                </m:den>
              </m:f>
              <m:r>
                <w:rPr>
                  <w:rFonts w:ascii="Cambria Math" w:hAnsi="Cambria Math" w:cs="Arial"/>
                </w:rPr>
                <m:t xml:space="preserve"> #</m:t>
              </m:r>
              <m:d>
                <m:dPr>
                  <m:ctrlPr>
                    <w:rPr>
                      <w:rFonts w:ascii="Cambria Math" w:hAnsi="Cambria Math" w:cs="Arial"/>
                      <w:i/>
                    </w:rPr>
                  </m:ctrlPr>
                </m:dPr>
                <m:e>
                  <m:r>
                    <w:rPr>
                      <w:rFonts w:ascii="Cambria Math" w:hAnsi="Cambria Math" w:cs="Arial"/>
                    </w:rPr>
                    <m:t>S6</m:t>
                  </m:r>
                </m:e>
              </m:d>
            </m:e>
          </m:eqArr>
        </m:oMath>
      </m:oMathPara>
    </w:p>
    <w:p w14:paraId="416B8E88" w14:textId="77777777" w:rsidR="00E449BC" w:rsidRPr="005B5AC2" w:rsidRDefault="00E449BC" w:rsidP="00E449BC">
      <w:pPr>
        <w:jc w:val="both"/>
        <w:rPr>
          <w:rFonts w:ascii="Arial" w:eastAsiaTheme="minorEastAsia" w:hAnsi="Arial" w:cs="Arial"/>
        </w:rPr>
      </w:pPr>
    </w:p>
    <w:p w14:paraId="1CFC6682" w14:textId="7675C516" w:rsidR="00E449BC" w:rsidRPr="00673587" w:rsidRDefault="00C020D8" w:rsidP="00E449BC">
      <w:pPr>
        <w:jc w:val="both"/>
        <w:rPr>
          <w:rFonts w:ascii="Arial" w:eastAsiaTheme="minorEastAsia" w:hAnsi="Arial" w:cs="Arial"/>
          <w:sz w:val="20"/>
          <w:szCs w:val="20"/>
        </w:rPr>
      </w:pPr>
      <w:r>
        <w:rPr>
          <w:rFonts w:ascii="Arial" w:eastAsiaTheme="minorEastAsia" w:hAnsi="Arial" w:cs="Arial"/>
          <w:sz w:val="20"/>
          <w:szCs w:val="20"/>
        </w:rPr>
        <w:t xml:space="preserve">where </w:t>
      </w:r>
      <m:oMath>
        <m:r>
          <w:rPr>
            <w:rFonts w:ascii="Cambria Math" w:hAnsi="Cambria Math" w:cs="Arial"/>
            <w:sz w:val="20"/>
            <w:szCs w:val="20"/>
          </w:rPr>
          <m:t>dQ</m:t>
        </m:r>
      </m:oMath>
      <w:r w:rsidR="00E449BC" w:rsidRPr="00673587">
        <w:rPr>
          <w:rFonts w:ascii="Arial" w:eastAsiaTheme="minorEastAsia" w:hAnsi="Arial" w:cs="Arial"/>
          <w:sz w:val="20"/>
          <w:szCs w:val="20"/>
        </w:rPr>
        <w:t xml:space="preserve"> is the </w:t>
      </w:r>
      <w:r w:rsidR="00E449BC">
        <w:rPr>
          <w:rFonts w:ascii="Arial" w:eastAsiaTheme="minorEastAsia" w:hAnsi="Arial" w:cs="Arial"/>
          <w:sz w:val="20"/>
          <w:szCs w:val="20"/>
        </w:rPr>
        <w:t>amount</w:t>
      </w:r>
      <w:r w:rsidR="00E449BC" w:rsidRPr="00673587">
        <w:rPr>
          <w:rFonts w:ascii="Arial" w:eastAsiaTheme="minorEastAsia" w:hAnsi="Arial" w:cs="Arial"/>
          <w:sz w:val="20"/>
          <w:szCs w:val="20"/>
        </w:rPr>
        <w:t xml:space="preserve"> of original emissions avoided through CO</w:t>
      </w:r>
      <w:r w:rsidR="00E449BC" w:rsidRPr="00673587">
        <w:rPr>
          <w:rFonts w:ascii="Arial" w:eastAsiaTheme="minorEastAsia" w:hAnsi="Arial" w:cs="Arial"/>
          <w:sz w:val="20"/>
          <w:szCs w:val="20"/>
          <w:vertAlign w:val="subscript"/>
        </w:rPr>
        <w:t>2</w:t>
      </w:r>
      <w:r w:rsidR="00E449BC" w:rsidRPr="00673587">
        <w:rPr>
          <w:rFonts w:ascii="Arial" w:eastAsiaTheme="minorEastAsia" w:hAnsi="Arial" w:cs="Arial"/>
          <w:sz w:val="20"/>
          <w:szCs w:val="20"/>
        </w:rPr>
        <w:t xml:space="preserve"> capture</w:t>
      </w:r>
      <w:r>
        <w:rPr>
          <w:rFonts w:ascii="Arial" w:eastAsiaTheme="minorEastAsia" w:hAnsi="Arial" w:cs="Arial"/>
          <w:sz w:val="20"/>
          <w:szCs w:val="20"/>
        </w:rPr>
        <w:t xml:space="preserve">, and </w:t>
      </w:r>
      <m:oMath>
        <m:r>
          <w:rPr>
            <w:rFonts w:ascii="Cambria Math" w:hAnsi="Cambria Math" w:cs="Arial"/>
            <w:sz w:val="20"/>
            <w:szCs w:val="20"/>
          </w:rPr>
          <m:t>x</m:t>
        </m:r>
      </m:oMath>
      <w:r w:rsidR="00E449BC" w:rsidRPr="00673587">
        <w:rPr>
          <w:rFonts w:ascii="Arial" w:eastAsiaTheme="minorEastAsia" w:hAnsi="Arial" w:cs="Arial"/>
          <w:sz w:val="20"/>
          <w:szCs w:val="20"/>
        </w:rPr>
        <w:t xml:space="preserve"> is the overall system CO</w:t>
      </w:r>
      <w:r w:rsidR="00E449BC" w:rsidRPr="00673587">
        <w:rPr>
          <w:rFonts w:ascii="Arial" w:eastAsiaTheme="minorEastAsia" w:hAnsi="Arial" w:cs="Arial"/>
          <w:sz w:val="20"/>
          <w:szCs w:val="20"/>
          <w:vertAlign w:val="subscript"/>
        </w:rPr>
        <w:t>2</w:t>
      </w:r>
      <w:r w:rsidR="00E449BC" w:rsidRPr="00673587">
        <w:rPr>
          <w:rFonts w:ascii="Arial" w:eastAsiaTheme="minorEastAsia" w:hAnsi="Arial" w:cs="Arial"/>
          <w:sz w:val="20"/>
          <w:szCs w:val="20"/>
        </w:rPr>
        <w:t xml:space="preserve"> capture rate, accounting for both the original emissions, and the emissions generated from the fuel supply used for the capture facility.</w:t>
      </w:r>
    </w:p>
    <w:p w14:paraId="19F54EB0" w14:textId="77777777" w:rsidR="00E449BC" w:rsidRDefault="00120A0E" w:rsidP="00E449BC">
      <w:pPr>
        <w:jc w:val="both"/>
        <w:rPr>
          <w:rFonts w:ascii="Arial" w:eastAsiaTheme="minorEastAsia" w:hAnsi="Arial" w:cs="Arial"/>
          <w:sz w:val="20"/>
          <w:szCs w:val="20"/>
        </w:rPr>
      </w:pPr>
      <m:oMath>
        <m:f>
          <m:fPr>
            <m:ctrlPr>
              <w:rPr>
                <w:rFonts w:ascii="Cambria Math" w:hAnsi="Cambria Math" w:cs="Arial"/>
                <w:i/>
                <w:sz w:val="20"/>
                <w:szCs w:val="20"/>
              </w:rPr>
            </m:ctrlPr>
          </m:fPr>
          <m:num>
            <m:r>
              <w:rPr>
                <w:rFonts w:ascii="Cambria Math" w:hAnsi="Cambria Math" w:cs="Arial"/>
                <w:sz w:val="20"/>
                <w:szCs w:val="20"/>
              </w:rPr>
              <m:t>ER</m:t>
            </m:r>
          </m:num>
          <m:den>
            <m:r>
              <w:rPr>
                <w:rFonts w:ascii="Cambria Math" w:hAnsi="Cambria Math" w:cs="Arial"/>
                <w:sz w:val="20"/>
                <w:szCs w:val="20"/>
              </w:rPr>
              <m:t>η</m:t>
            </m:r>
          </m:den>
        </m:f>
      </m:oMath>
      <w:r w:rsidR="00E449BC" w:rsidRPr="00673587">
        <w:rPr>
          <w:rFonts w:ascii="Arial" w:eastAsiaTheme="minorEastAsia" w:hAnsi="Arial" w:cs="Arial"/>
          <w:sz w:val="20"/>
          <w:szCs w:val="20"/>
        </w:rPr>
        <w:t xml:space="preserve"> is the total natural gas requirement to avoid</w:t>
      </w:r>
      <w:r w:rsidR="00E449BC">
        <w:rPr>
          <w:rFonts w:ascii="Arial" w:eastAsiaTheme="minorEastAsia" w:hAnsi="Arial" w:cs="Arial"/>
          <w:sz w:val="20"/>
          <w:szCs w:val="20"/>
        </w:rPr>
        <w:t xml:space="preserve"> a given</w:t>
      </w:r>
      <w:r w:rsidR="00E449BC" w:rsidRPr="00673587">
        <w:rPr>
          <w:rFonts w:ascii="Arial" w:eastAsiaTheme="minorEastAsia" w:hAnsi="Arial" w:cs="Arial"/>
          <w:sz w:val="20"/>
          <w:szCs w:val="20"/>
        </w:rPr>
        <w:t xml:space="preserve"> quantity of CO</w:t>
      </w:r>
      <w:r w:rsidR="00E449BC" w:rsidRPr="00673587">
        <w:rPr>
          <w:rFonts w:ascii="Arial" w:eastAsiaTheme="minorEastAsia" w:hAnsi="Arial" w:cs="Arial"/>
          <w:sz w:val="20"/>
          <w:szCs w:val="20"/>
          <w:vertAlign w:val="subscript"/>
        </w:rPr>
        <w:t>2</w:t>
      </w:r>
      <w:r w:rsidR="00E449BC">
        <w:rPr>
          <w:rFonts w:ascii="Arial" w:eastAsiaTheme="minorEastAsia" w:hAnsi="Arial" w:cs="Arial"/>
          <w:sz w:val="20"/>
          <w:szCs w:val="20"/>
        </w:rPr>
        <w:t xml:space="preserve">, assumed to be a constant and composite parameter accounting for a boiler efficiency, </w:t>
      </w:r>
      <m:oMath>
        <m:r>
          <w:rPr>
            <w:rFonts w:ascii="Cambria Math" w:hAnsi="Cambria Math" w:cs="Arial"/>
          </w:rPr>
          <m:t>η</m:t>
        </m:r>
      </m:oMath>
      <w:r w:rsidR="00E449BC">
        <w:rPr>
          <w:rFonts w:ascii="Arial" w:eastAsiaTheme="minorEastAsia" w:hAnsi="Arial" w:cs="Arial"/>
          <w:sz w:val="20"/>
          <w:szCs w:val="20"/>
        </w:rPr>
        <w:t>, of 90%.</w:t>
      </w:r>
    </w:p>
    <w:p w14:paraId="72D87805" w14:textId="77777777" w:rsidR="00E449BC" w:rsidRDefault="00E449BC" w:rsidP="00E449BC">
      <w:pPr>
        <w:jc w:val="both"/>
        <w:rPr>
          <w:rFonts w:ascii="Arial" w:eastAsiaTheme="minorEastAsia" w:hAnsi="Arial" w:cs="Arial"/>
          <w:sz w:val="20"/>
          <w:szCs w:val="20"/>
        </w:rPr>
      </w:pPr>
      <w:r w:rsidRPr="00861571">
        <w:rPr>
          <w:rFonts w:ascii="Arial" w:eastAsiaTheme="minorEastAsia" w:hAnsi="Arial" w:cs="Arial"/>
          <w:sz w:val="20"/>
          <w:szCs w:val="20"/>
        </w:rPr>
        <w:t xml:space="preserve">Finally, </w:t>
      </w:r>
      <m:oMath>
        <m:sSub>
          <m:sSubPr>
            <m:ctrlPr>
              <w:rPr>
                <w:rFonts w:ascii="Cambria Math" w:hAnsi="Cambria Math" w:cs="Arial"/>
                <w:i/>
                <w:sz w:val="20"/>
                <w:szCs w:val="20"/>
              </w:rPr>
            </m:ctrlPr>
          </m:sSubPr>
          <m:e>
            <m:r>
              <w:rPr>
                <w:rFonts w:ascii="Cambria Math" w:hAnsi="Cambria Math" w:cs="Arial"/>
                <w:sz w:val="20"/>
                <w:szCs w:val="20"/>
              </w:rPr>
              <m:t>A</m:t>
            </m:r>
          </m:e>
          <m:sub>
            <m:r>
              <w:rPr>
                <w:rFonts w:ascii="Cambria Math" w:hAnsi="Cambria Math" w:cs="Arial"/>
                <w:sz w:val="20"/>
                <w:szCs w:val="20"/>
              </w:rPr>
              <m:t>1</m:t>
            </m:r>
          </m:sub>
        </m:sSub>
      </m:oMath>
      <w:r w:rsidRPr="00861571">
        <w:rPr>
          <w:rFonts w:ascii="Arial" w:eastAsiaTheme="minorEastAsia" w:hAnsi="Arial" w:cs="Arial"/>
          <w:sz w:val="20"/>
          <w:szCs w:val="20"/>
        </w:rPr>
        <w:t xml:space="preserve"> and </w:t>
      </w:r>
      <m:oMath>
        <m:sSub>
          <m:sSubPr>
            <m:ctrlPr>
              <w:rPr>
                <w:rFonts w:ascii="Cambria Math" w:hAnsi="Cambria Math" w:cs="Arial"/>
                <w:i/>
                <w:sz w:val="20"/>
                <w:szCs w:val="20"/>
              </w:rPr>
            </m:ctrlPr>
          </m:sSubPr>
          <m:e>
            <m:r>
              <w:rPr>
                <w:rFonts w:ascii="Cambria Math" w:hAnsi="Cambria Math" w:cs="Arial"/>
                <w:sz w:val="20"/>
                <w:szCs w:val="20"/>
              </w:rPr>
              <m:t>A</m:t>
            </m:r>
          </m:e>
          <m:sub>
            <m:r>
              <w:rPr>
                <w:rFonts w:ascii="Cambria Math" w:hAnsi="Cambria Math" w:cs="Arial"/>
                <w:sz w:val="20"/>
                <w:szCs w:val="20"/>
              </w:rPr>
              <m:t>2</m:t>
            </m:r>
          </m:sub>
        </m:sSub>
      </m:oMath>
      <w:r w:rsidRPr="00861571">
        <w:rPr>
          <w:rFonts w:ascii="Arial" w:eastAsiaTheme="minorEastAsia" w:hAnsi="Arial" w:cs="Arial"/>
          <w:sz w:val="20"/>
          <w:szCs w:val="20"/>
        </w:rPr>
        <w:t xml:space="preserve"> are combined to provide an estimate of </w:t>
      </w:r>
      <m:oMath>
        <m:sSub>
          <m:sSubPr>
            <m:ctrlPr>
              <w:rPr>
                <w:rFonts w:ascii="Cambria Math" w:hAnsi="Cambria Math" w:cs="Arial"/>
                <w:i/>
                <w:sz w:val="20"/>
                <w:szCs w:val="20"/>
              </w:rPr>
            </m:ctrlPr>
          </m:sSubPr>
          <m:e>
            <m:r>
              <w:rPr>
                <w:rFonts w:ascii="Cambria Math" w:hAnsi="Cambria Math" w:cs="Arial"/>
                <w:sz w:val="20"/>
                <w:szCs w:val="20"/>
              </w:rPr>
              <m:t>CI</m:t>
            </m:r>
          </m:e>
          <m:sub>
            <m:r>
              <w:rPr>
                <w:rFonts w:ascii="Cambria Math" w:hAnsi="Cambria Math" w:cs="Arial"/>
                <w:sz w:val="20"/>
                <w:szCs w:val="20"/>
              </w:rPr>
              <m:t>blue hydrogen</m:t>
            </m:r>
          </m:sub>
        </m:sSub>
      </m:oMath>
      <w:r w:rsidRPr="00861571">
        <w:rPr>
          <w:rFonts w:ascii="Arial" w:eastAsiaTheme="minorEastAsia" w:hAnsi="Arial" w:cs="Arial"/>
          <w:sz w:val="20"/>
          <w:szCs w:val="20"/>
        </w:rPr>
        <w:t>. The model variables and parameters are as follows:</w:t>
      </w:r>
    </w:p>
    <w:p w14:paraId="75815FF5" w14:textId="77777777" w:rsidR="00E449BC" w:rsidRPr="00861571" w:rsidRDefault="00E449BC" w:rsidP="00E449BC">
      <w:pPr>
        <w:jc w:val="both"/>
        <w:rPr>
          <w:rFonts w:ascii="Arial" w:eastAsiaTheme="minorEastAsia" w:hAnsi="Arial" w:cs="Arial"/>
          <w:sz w:val="20"/>
          <w:szCs w:val="20"/>
        </w:rPr>
      </w:pPr>
    </w:p>
    <w:p w14:paraId="7F4B3BDA" w14:textId="77777777" w:rsidR="00E449BC" w:rsidRDefault="00E449BC" w:rsidP="00E449BC">
      <w:pPr>
        <w:jc w:val="both"/>
        <w:rPr>
          <w:rFonts w:ascii="Arial" w:eastAsiaTheme="minorEastAsia" w:hAnsi="Arial" w:cs="Arial"/>
          <w:b/>
          <w:bCs/>
          <w:sz w:val="20"/>
          <w:szCs w:val="20"/>
        </w:rPr>
      </w:pPr>
      <w:r>
        <w:rPr>
          <w:rFonts w:ascii="Arial" w:eastAsiaTheme="minorEastAsia" w:hAnsi="Arial" w:cs="Arial"/>
          <w:b/>
          <w:bCs/>
          <w:sz w:val="20"/>
          <w:szCs w:val="20"/>
        </w:rPr>
        <w:t>Variables</w:t>
      </w:r>
    </w:p>
    <w:p w14:paraId="04441229" w14:textId="77777777" w:rsidR="00E449BC" w:rsidRDefault="00E449BC" w:rsidP="00E449BC">
      <w:pPr>
        <w:jc w:val="both"/>
        <w:rPr>
          <w:rFonts w:ascii="Arial" w:eastAsiaTheme="minorEastAsia" w:hAnsi="Arial" w:cs="Arial"/>
          <w:sz w:val="20"/>
          <w:szCs w:val="20"/>
        </w:rPr>
      </w:pPr>
      <m:oMath>
        <m:r>
          <w:rPr>
            <w:rFonts w:ascii="Cambria Math" w:hAnsi="Cambria Math" w:cs="Arial"/>
            <w:sz w:val="20"/>
            <w:szCs w:val="20"/>
          </w:rPr>
          <m:t>dQ</m:t>
        </m:r>
      </m:oMath>
      <w:r>
        <w:rPr>
          <w:rFonts w:ascii="Arial" w:eastAsiaTheme="minorEastAsia" w:hAnsi="Arial" w:cs="Arial"/>
          <w:sz w:val="20"/>
          <w:szCs w:val="20"/>
        </w:rPr>
        <w:t xml:space="preserve"> [kg </w:t>
      </w:r>
      <w:proofErr w:type="gramStart"/>
      <w:r>
        <w:rPr>
          <w:rFonts w:ascii="Arial" w:eastAsiaTheme="minorEastAsia" w:hAnsi="Arial" w:cs="Arial"/>
          <w:sz w:val="20"/>
          <w:szCs w:val="20"/>
        </w:rPr>
        <w:t>CO</w:t>
      </w:r>
      <w:r w:rsidRPr="00FA7A7C">
        <w:rPr>
          <w:rFonts w:ascii="Arial" w:eastAsiaTheme="minorEastAsia" w:hAnsi="Arial" w:cs="Arial"/>
          <w:sz w:val="20"/>
          <w:szCs w:val="20"/>
          <w:vertAlign w:val="subscript"/>
        </w:rPr>
        <w:t>2</w:t>
      </w:r>
      <w:r>
        <w:rPr>
          <w:rFonts w:ascii="Arial" w:eastAsiaTheme="minorEastAsia" w:hAnsi="Arial" w:cs="Arial"/>
          <w:sz w:val="20"/>
          <w:szCs w:val="20"/>
        </w:rPr>
        <w:t>,eq</w:t>
      </w:r>
      <w:proofErr w:type="gramEnd"/>
      <w:r>
        <w:rPr>
          <w:rFonts w:ascii="Arial" w:eastAsiaTheme="minorEastAsia" w:hAnsi="Arial" w:cs="Arial"/>
          <w:sz w:val="20"/>
          <w:szCs w:val="20"/>
        </w:rPr>
        <w:t>/MWh H</w:t>
      </w:r>
      <w:r w:rsidRPr="00FA7A7C">
        <w:rPr>
          <w:rFonts w:ascii="Arial" w:eastAsiaTheme="minorEastAsia" w:hAnsi="Arial" w:cs="Arial"/>
          <w:sz w:val="20"/>
          <w:szCs w:val="20"/>
          <w:vertAlign w:val="subscript"/>
        </w:rPr>
        <w:t>2</w:t>
      </w:r>
      <w:r>
        <w:rPr>
          <w:rFonts w:ascii="Arial" w:eastAsiaTheme="minorEastAsia" w:hAnsi="Arial" w:cs="Arial"/>
          <w:sz w:val="20"/>
          <w:szCs w:val="20"/>
        </w:rPr>
        <w:t xml:space="preserve"> LHV]</w:t>
      </w:r>
    </w:p>
    <w:p w14:paraId="42795B07" w14:textId="77777777" w:rsidR="00E449BC" w:rsidRPr="005C411B" w:rsidRDefault="00E449BC" w:rsidP="00E449BC">
      <w:pPr>
        <w:jc w:val="both"/>
        <w:rPr>
          <w:rFonts w:ascii="Arial" w:eastAsiaTheme="minorEastAsia" w:hAnsi="Arial" w:cs="Arial"/>
          <w:sz w:val="20"/>
          <w:szCs w:val="20"/>
        </w:rPr>
      </w:pPr>
      <m:oMath>
        <m:r>
          <w:rPr>
            <w:rFonts w:ascii="Cambria Math" w:hAnsi="Cambria Math" w:cs="Arial"/>
            <w:sz w:val="20"/>
            <w:szCs w:val="20"/>
          </w:rPr>
          <m:t>x</m:t>
        </m:r>
      </m:oMath>
      <w:r>
        <w:rPr>
          <w:rFonts w:ascii="Arial" w:eastAsiaTheme="minorEastAsia" w:hAnsi="Arial" w:cs="Arial"/>
          <w:sz w:val="20"/>
          <w:szCs w:val="20"/>
        </w:rPr>
        <w:t xml:space="preserve"> [-]</w:t>
      </w:r>
    </w:p>
    <w:p w14:paraId="44A5F4DC" w14:textId="77777777" w:rsidR="00E449BC" w:rsidRDefault="00120A0E" w:rsidP="00E449BC">
      <w:pPr>
        <w:jc w:val="both"/>
        <w:rPr>
          <w:rFonts w:ascii="Arial" w:eastAsiaTheme="minorEastAsia" w:hAnsi="Arial" w:cs="Arial"/>
          <w:sz w:val="20"/>
          <w:szCs w:val="20"/>
        </w:rPr>
      </w:pPr>
      <m:oMath>
        <m:sSub>
          <m:sSubPr>
            <m:ctrlPr>
              <w:rPr>
                <w:rFonts w:ascii="Cambria Math" w:hAnsi="Cambria Math" w:cs="Arial"/>
                <w:i/>
              </w:rPr>
            </m:ctrlPr>
          </m:sSubPr>
          <m:e>
            <m:r>
              <w:rPr>
                <w:rFonts w:ascii="Cambria Math" w:hAnsi="Cambria Math" w:cs="Arial"/>
              </w:rPr>
              <m:t>A</m:t>
            </m:r>
          </m:e>
          <m:sub>
            <m:r>
              <w:rPr>
                <w:rFonts w:ascii="Cambria Math" w:hAnsi="Cambria Math" w:cs="Arial"/>
              </w:rPr>
              <m:t>1</m:t>
            </m:r>
          </m:sub>
        </m:sSub>
      </m:oMath>
      <w:r w:rsidR="00E449BC">
        <w:rPr>
          <w:rFonts w:ascii="Arial" w:eastAsiaTheme="minorEastAsia" w:hAnsi="Arial" w:cs="Arial"/>
        </w:rPr>
        <w:t xml:space="preserve"> [</w:t>
      </w:r>
      <w:r w:rsidR="00E449BC">
        <w:rPr>
          <w:rFonts w:ascii="Arial" w:eastAsiaTheme="minorEastAsia" w:hAnsi="Arial" w:cs="Arial"/>
          <w:sz w:val="20"/>
          <w:szCs w:val="20"/>
        </w:rPr>
        <w:t xml:space="preserve">kg </w:t>
      </w:r>
      <w:proofErr w:type="gramStart"/>
      <w:r w:rsidR="00E449BC">
        <w:rPr>
          <w:rFonts w:ascii="Arial" w:eastAsiaTheme="minorEastAsia" w:hAnsi="Arial" w:cs="Arial"/>
          <w:sz w:val="20"/>
          <w:szCs w:val="20"/>
        </w:rPr>
        <w:t>CO</w:t>
      </w:r>
      <w:r w:rsidR="00E449BC" w:rsidRPr="00FA7A7C">
        <w:rPr>
          <w:rFonts w:ascii="Arial" w:eastAsiaTheme="minorEastAsia" w:hAnsi="Arial" w:cs="Arial"/>
          <w:sz w:val="20"/>
          <w:szCs w:val="20"/>
          <w:vertAlign w:val="subscript"/>
        </w:rPr>
        <w:t>2</w:t>
      </w:r>
      <w:r w:rsidR="00E449BC">
        <w:rPr>
          <w:rFonts w:ascii="Arial" w:eastAsiaTheme="minorEastAsia" w:hAnsi="Arial" w:cs="Arial"/>
          <w:sz w:val="20"/>
          <w:szCs w:val="20"/>
        </w:rPr>
        <w:t>,eq</w:t>
      </w:r>
      <w:proofErr w:type="gramEnd"/>
      <w:r w:rsidR="00E449BC">
        <w:rPr>
          <w:rFonts w:ascii="Arial" w:eastAsiaTheme="minorEastAsia" w:hAnsi="Arial" w:cs="Arial"/>
          <w:sz w:val="20"/>
          <w:szCs w:val="20"/>
        </w:rPr>
        <w:t>/MWh H</w:t>
      </w:r>
      <w:r w:rsidR="00E449BC" w:rsidRPr="00FA7A7C">
        <w:rPr>
          <w:rFonts w:ascii="Arial" w:eastAsiaTheme="minorEastAsia" w:hAnsi="Arial" w:cs="Arial"/>
          <w:sz w:val="20"/>
          <w:szCs w:val="20"/>
          <w:vertAlign w:val="subscript"/>
        </w:rPr>
        <w:t>2</w:t>
      </w:r>
      <w:r w:rsidR="00E449BC">
        <w:rPr>
          <w:rFonts w:ascii="Arial" w:eastAsiaTheme="minorEastAsia" w:hAnsi="Arial" w:cs="Arial"/>
          <w:sz w:val="20"/>
          <w:szCs w:val="20"/>
        </w:rPr>
        <w:t xml:space="preserve"> LHV]</w:t>
      </w:r>
    </w:p>
    <w:p w14:paraId="2DAF632E" w14:textId="77777777" w:rsidR="00E449BC" w:rsidRDefault="00120A0E" w:rsidP="00E449BC">
      <w:pPr>
        <w:jc w:val="both"/>
        <w:rPr>
          <w:rFonts w:ascii="Arial" w:eastAsiaTheme="minorEastAsia" w:hAnsi="Arial" w:cs="Arial"/>
          <w:sz w:val="20"/>
          <w:szCs w:val="20"/>
        </w:rPr>
      </w:pPr>
      <m:oMath>
        <m:sSub>
          <m:sSubPr>
            <m:ctrlPr>
              <w:rPr>
                <w:rFonts w:ascii="Cambria Math" w:hAnsi="Cambria Math" w:cs="Arial"/>
                <w:i/>
              </w:rPr>
            </m:ctrlPr>
          </m:sSubPr>
          <m:e>
            <m:r>
              <w:rPr>
                <w:rFonts w:ascii="Cambria Math" w:hAnsi="Cambria Math" w:cs="Arial"/>
              </w:rPr>
              <m:t>A</m:t>
            </m:r>
          </m:e>
          <m:sub>
            <m:r>
              <w:rPr>
                <w:rFonts w:ascii="Cambria Math" w:hAnsi="Cambria Math" w:cs="Arial"/>
              </w:rPr>
              <m:t>2</m:t>
            </m:r>
          </m:sub>
        </m:sSub>
      </m:oMath>
      <w:r w:rsidR="00E449BC">
        <w:rPr>
          <w:rFonts w:ascii="Arial" w:eastAsiaTheme="minorEastAsia" w:hAnsi="Arial" w:cs="Arial"/>
        </w:rPr>
        <w:t xml:space="preserve"> [</w:t>
      </w:r>
      <w:r w:rsidR="00E449BC">
        <w:rPr>
          <w:rFonts w:ascii="Arial" w:eastAsiaTheme="minorEastAsia" w:hAnsi="Arial" w:cs="Arial"/>
          <w:sz w:val="20"/>
          <w:szCs w:val="20"/>
        </w:rPr>
        <w:t xml:space="preserve">kg </w:t>
      </w:r>
      <w:proofErr w:type="gramStart"/>
      <w:r w:rsidR="00E449BC">
        <w:rPr>
          <w:rFonts w:ascii="Arial" w:eastAsiaTheme="minorEastAsia" w:hAnsi="Arial" w:cs="Arial"/>
          <w:sz w:val="20"/>
          <w:szCs w:val="20"/>
        </w:rPr>
        <w:t>CO</w:t>
      </w:r>
      <w:r w:rsidR="00E449BC" w:rsidRPr="00FA7A7C">
        <w:rPr>
          <w:rFonts w:ascii="Arial" w:eastAsiaTheme="minorEastAsia" w:hAnsi="Arial" w:cs="Arial"/>
          <w:sz w:val="20"/>
          <w:szCs w:val="20"/>
          <w:vertAlign w:val="subscript"/>
        </w:rPr>
        <w:t>2</w:t>
      </w:r>
      <w:r w:rsidR="00E449BC">
        <w:rPr>
          <w:rFonts w:ascii="Arial" w:eastAsiaTheme="minorEastAsia" w:hAnsi="Arial" w:cs="Arial"/>
          <w:sz w:val="20"/>
          <w:szCs w:val="20"/>
        </w:rPr>
        <w:t>,eq</w:t>
      </w:r>
      <w:proofErr w:type="gramEnd"/>
      <w:r w:rsidR="00E449BC">
        <w:rPr>
          <w:rFonts w:ascii="Arial" w:eastAsiaTheme="minorEastAsia" w:hAnsi="Arial" w:cs="Arial"/>
          <w:sz w:val="20"/>
          <w:szCs w:val="20"/>
        </w:rPr>
        <w:t>/MWh H</w:t>
      </w:r>
      <w:r w:rsidR="00E449BC" w:rsidRPr="00FA7A7C">
        <w:rPr>
          <w:rFonts w:ascii="Arial" w:eastAsiaTheme="minorEastAsia" w:hAnsi="Arial" w:cs="Arial"/>
          <w:sz w:val="20"/>
          <w:szCs w:val="20"/>
          <w:vertAlign w:val="subscript"/>
        </w:rPr>
        <w:t>2</w:t>
      </w:r>
      <w:r w:rsidR="00E449BC">
        <w:rPr>
          <w:rFonts w:ascii="Arial" w:eastAsiaTheme="minorEastAsia" w:hAnsi="Arial" w:cs="Arial"/>
          <w:sz w:val="20"/>
          <w:szCs w:val="20"/>
        </w:rPr>
        <w:t xml:space="preserve"> LHV]</w:t>
      </w:r>
    </w:p>
    <w:p w14:paraId="3C7CAB96" w14:textId="77777777" w:rsidR="00E449BC" w:rsidRDefault="00E449BC" w:rsidP="00E449BC">
      <w:pPr>
        <w:jc w:val="both"/>
        <w:rPr>
          <w:rFonts w:ascii="Arial" w:eastAsiaTheme="minorEastAsia" w:hAnsi="Arial" w:cs="Arial"/>
          <w:sz w:val="20"/>
          <w:szCs w:val="20"/>
        </w:rPr>
      </w:pPr>
    </w:p>
    <w:p w14:paraId="15CF6519" w14:textId="77777777" w:rsidR="00E449BC" w:rsidRDefault="00E449BC" w:rsidP="00E449BC">
      <w:pPr>
        <w:jc w:val="both"/>
        <w:rPr>
          <w:rFonts w:ascii="Arial" w:eastAsiaTheme="minorEastAsia" w:hAnsi="Arial" w:cs="Arial"/>
          <w:b/>
          <w:bCs/>
          <w:sz w:val="20"/>
          <w:szCs w:val="20"/>
        </w:rPr>
      </w:pPr>
      <w:r>
        <w:rPr>
          <w:rFonts w:ascii="Arial" w:eastAsiaTheme="minorEastAsia" w:hAnsi="Arial" w:cs="Arial"/>
          <w:b/>
          <w:bCs/>
          <w:sz w:val="20"/>
          <w:szCs w:val="20"/>
        </w:rPr>
        <w:t>Parameters</w:t>
      </w:r>
    </w:p>
    <w:p w14:paraId="50662E1F" w14:textId="77777777" w:rsidR="00E449BC" w:rsidRDefault="00120A0E" w:rsidP="00E449BC">
      <w:pPr>
        <w:jc w:val="both"/>
        <w:rPr>
          <w:rFonts w:ascii="Arial" w:eastAsiaTheme="minorEastAsia" w:hAnsi="Arial" w:cs="Arial"/>
          <w:sz w:val="20"/>
          <w:szCs w:val="20"/>
        </w:rPr>
      </w:pPr>
      <m:oMath>
        <m:f>
          <m:fPr>
            <m:ctrlPr>
              <w:rPr>
                <w:rFonts w:ascii="Cambria Math" w:hAnsi="Cambria Math" w:cs="Arial"/>
                <w:i/>
                <w:sz w:val="20"/>
                <w:szCs w:val="20"/>
              </w:rPr>
            </m:ctrlPr>
          </m:fPr>
          <m:num>
            <m:r>
              <w:rPr>
                <w:rFonts w:ascii="Cambria Math" w:hAnsi="Cambria Math" w:cs="Arial"/>
                <w:sz w:val="20"/>
                <w:szCs w:val="20"/>
              </w:rPr>
              <m:t>ER</m:t>
            </m:r>
          </m:num>
          <m:den>
            <m:r>
              <w:rPr>
                <w:rFonts w:ascii="Cambria Math" w:hAnsi="Cambria Math" w:cs="Arial"/>
                <w:sz w:val="20"/>
                <w:szCs w:val="20"/>
              </w:rPr>
              <m:t>η</m:t>
            </m:r>
          </m:den>
        </m:f>
      </m:oMath>
      <w:r w:rsidR="00E449BC">
        <w:rPr>
          <w:rFonts w:ascii="Arial" w:eastAsiaTheme="minorEastAsia" w:hAnsi="Arial" w:cs="Arial"/>
          <w:sz w:val="20"/>
          <w:szCs w:val="20"/>
        </w:rPr>
        <w:t xml:space="preserve"> (Natural gas requirement to avoid a given quantity of CO</w:t>
      </w:r>
      <w:r w:rsidR="00E449BC" w:rsidRPr="005C411B">
        <w:rPr>
          <w:rFonts w:ascii="Arial" w:eastAsiaTheme="minorEastAsia" w:hAnsi="Arial" w:cs="Arial"/>
          <w:sz w:val="20"/>
          <w:szCs w:val="20"/>
          <w:vertAlign w:val="subscript"/>
        </w:rPr>
        <w:t>2</w:t>
      </w:r>
      <w:r w:rsidR="00E449BC">
        <w:rPr>
          <w:rFonts w:ascii="Arial" w:eastAsiaTheme="minorEastAsia" w:hAnsi="Arial" w:cs="Arial"/>
          <w:sz w:val="20"/>
          <w:szCs w:val="20"/>
        </w:rPr>
        <w:t>) = 4 GJ/t CO</w:t>
      </w:r>
      <w:r w:rsidR="00E449BC" w:rsidRPr="008461F6">
        <w:rPr>
          <w:rFonts w:ascii="Arial" w:eastAsiaTheme="minorEastAsia" w:hAnsi="Arial" w:cs="Arial"/>
          <w:sz w:val="20"/>
          <w:szCs w:val="20"/>
          <w:vertAlign w:val="subscript"/>
        </w:rPr>
        <w:t>2</w:t>
      </w:r>
      <w:r w:rsidR="00E449BC">
        <w:rPr>
          <w:rFonts w:ascii="Arial" w:eastAsiaTheme="minorEastAsia" w:hAnsi="Arial" w:cs="Arial"/>
          <w:sz w:val="20"/>
          <w:szCs w:val="20"/>
        </w:rPr>
        <w:t>.</w:t>
      </w:r>
    </w:p>
    <w:p w14:paraId="7B044462" w14:textId="3C5A6EEC" w:rsidR="00E449BC" w:rsidRDefault="00120A0E" w:rsidP="00E449BC">
      <w:pPr>
        <w:jc w:val="both"/>
        <w:rPr>
          <w:rFonts w:ascii="Arial" w:eastAsiaTheme="minorEastAsia" w:hAnsi="Arial" w:cs="Arial"/>
          <w:sz w:val="20"/>
          <w:szCs w:val="20"/>
        </w:rPr>
      </w:pPr>
      <m:oMath>
        <m:sSub>
          <m:sSubPr>
            <m:ctrlPr>
              <w:rPr>
                <w:rFonts w:ascii="Cambria Math" w:hAnsi="Cambria Math" w:cs="Arial"/>
                <w:i/>
              </w:rPr>
            </m:ctrlPr>
          </m:sSubPr>
          <m:e>
            <m:r>
              <w:rPr>
                <w:rFonts w:ascii="Cambria Math" w:hAnsi="Cambria Math" w:cs="Arial"/>
              </w:rPr>
              <m:t>A</m:t>
            </m:r>
          </m:e>
          <m:sub>
            <m:r>
              <w:rPr>
                <w:rFonts w:ascii="Cambria Math" w:hAnsi="Cambria Math" w:cs="Arial"/>
              </w:rPr>
              <m:t>3</m:t>
            </m:r>
          </m:sub>
        </m:sSub>
      </m:oMath>
      <w:r w:rsidR="00E449BC">
        <w:rPr>
          <w:rFonts w:ascii="Arial" w:eastAsiaTheme="minorEastAsia" w:hAnsi="Arial" w:cs="Arial"/>
        </w:rPr>
        <w:t xml:space="preserve"> </w:t>
      </w:r>
      <w:r w:rsidR="00E449BC" w:rsidRPr="001C62D9">
        <w:rPr>
          <w:rFonts w:ascii="Arial" w:eastAsiaTheme="minorEastAsia" w:hAnsi="Arial" w:cs="Arial"/>
          <w:sz w:val="20"/>
          <w:szCs w:val="20"/>
        </w:rPr>
        <w:t xml:space="preserve">(Residual emissions – </w:t>
      </w:r>
      <w:r w:rsidR="00E449BC">
        <w:rPr>
          <w:rFonts w:ascii="Arial" w:eastAsiaTheme="minorEastAsia" w:hAnsi="Arial" w:cs="Arial"/>
          <w:sz w:val="20"/>
          <w:szCs w:val="20"/>
        </w:rPr>
        <w:t>grey</w:t>
      </w:r>
      <w:r w:rsidR="00E449BC" w:rsidRPr="001C62D9">
        <w:rPr>
          <w:rFonts w:ascii="Arial" w:eastAsiaTheme="minorEastAsia" w:hAnsi="Arial" w:cs="Arial"/>
          <w:sz w:val="20"/>
          <w:szCs w:val="20"/>
        </w:rPr>
        <w:t xml:space="preserve"> hydrogen)</w:t>
      </w:r>
      <w:r w:rsidR="00E449BC">
        <w:rPr>
          <w:rFonts w:ascii="Arial" w:eastAsiaTheme="minorEastAsia" w:hAnsi="Arial" w:cs="Arial"/>
          <w:sz w:val="20"/>
          <w:szCs w:val="20"/>
        </w:rPr>
        <w:t xml:space="preserve"> </w:t>
      </w:r>
      <w:r w:rsidR="00E449BC" w:rsidRPr="00FA7A7C">
        <w:rPr>
          <w:rFonts w:ascii="Arial" w:eastAsiaTheme="minorEastAsia" w:hAnsi="Arial" w:cs="Arial"/>
          <w:sz w:val="20"/>
          <w:szCs w:val="20"/>
        </w:rPr>
        <w:t>= 2</w:t>
      </w:r>
      <w:r w:rsidR="00E449BC">
        <w:rPr>
          <w:rFonts w:ascii="Arial" w:eastAsiaTheme="minorEastAsia" w:hAnsi="Arial" w:cs="Arial"/>
          <w:sz w:val="20"/>
          <w:szCs w:val="20"/>
        </w:rPr>
        <w:t>69</w:t>
      </w:r>
      <w:r w:rsidR="00E449BC" w:rsidRPr="00FA7A7C">
        <w:rPr>
          <w:rFonts w:ascii="Arial" w:eastAsiaTheme="minorEastAsia" w:hAnsi="Arial" w:cs="Arial"/>
          <w:sz w:val="20"/>
          <w:szCs w:val="20"/>
        </w:rPr>
        <w:t xml:space="preserve"> </w:t>
      </w:r>
      <w:r w:rsidR="00E449BC">
        <w:rPr>
          <w:rFonts w:ascii="Arial" w:eastAsiaTheme="minorEastAsia" w:hAnsi="Arial" w:cs="Arial"/>
          <w:sz w:val="20"/>
          <w:szCs w:val="20"/>
        </w:rPr>
        <w:t>kg CO</w:t>
      </w:r>
      <w:r w:rsidR="00E449BC" w:rsidRPr="00FA7A7C">
        <w:rPr>
          <w:rFonts w:ascii="Arial" w:eastAsiaTheme="minorEastAsia" w:hAnsi="Arial" w:cs="Arial"/>
          <w:sz w:val="20"/>
          <w:szCs w:val="20"/>
          <w:vertAlign w:val="subscript"/>
        </w:rPr>
        <w:t>2</w:t>
      </w:r>
      <w:r w:rsidR="00E449BC">
        <w:rPr>
          <w:rFonts w:ascii="Arial" w:eastAsiaTheme="minorEastAsia" w:hAnsi="Arial" w:cs="Arial"/>
          <w:sz w:val="20"/>
          <w:szCs w:val="20"/>
        </w:rPr>
        <w:t>,eq/MWh H</w:t>
      </w:r>
      <w:r w:rsidR="00E449BC" w:rsidRPr="00FA7A7C">
        <w:rPr>
          <w:rFonts w:ascii="Arial" w:eastAsiaTheme="minorEastAsia" w:hAnsi="Arial" w:cs="Arial"/>
          <w:sz w:val="20"/>
          <w:szCs w:val="20"/>
          <w:vertAlign w:val="subscript"/>
        </w:rPr>
        <w:t>2</w:t>
      </w:r>
      <w:r w:rsidR="00E449BC">
        <w:rPr>
          <w:rFonts w:ascii="Arial" w:eastAsiaTheme="minorEastAsia" w:hAnsi="Arial" w:cs="Arial"/>
          <w:sz w:val="20"/>
          <w:szCs w:val="20"/>
        </w:rPr>
        <w:t xml:space="preserve"> LHV</w:t>
      </w:r>
      <w:r w:rsidR="00E449BC">
        <w:rPr>
          <w:rFonts w:ascii="Arial" w:eastAsiaTheme="minorEastAsia" w:hAnsi="Arial" w:cs="Arial"/>
          <w:sz w:val="20"/>
          <w:szCs w:val="20"/>
        </w:rPr>
        <w:fldChar w:fldCharType="begin" w:fldLock="1"/>
      </w:r>
      <w:r w:rsidR="008828C0">
        <w:rPr>
          <w:rFonts w:ascii="Arial" w:eastAsiaTheme="minorEastAsia" w:hAnsi="Arial" w:cs="Arial"/>
          <w:sz w:val="20"/>
          <w:szCs w:val="20"/>
        </w:rPr>
        <w:instrText>ADDIN CSL_CITATION {"citationItems":[{"id":"ITEM-1","itemData":{"DOI":"10.1016/J.EGYPRO.2017.03.1533","ISSN":"1876-6102","abstract":"Hydrogen is a crucial raw materials to other industries. Globally, nearly 90% of the hydrogen or HyCO gas produced is consumed by the ammonia, methanol and oil refining industries. In the future, hydrogen could play an important role in the decarbonisation of transport fuel (i.e. use of fuel cell vehicles) and space heating (i.e. industrial, commercial, building and residential heating). This paper summarizes the results of the feasibility study carried out by Amec Foster Wheeler for the IEA Greenhouse Gas R&amp;D Programme (IEA GHG) with the purpose of evaluating the performance and costs of a modern steam methane reforming without and with CCS producing 100,000 Nm3/h H2 and operating as a merchant plant. This study focuses on the economic evaluation of five different alternatives to capture CO2 from SMR. This paper provides an up-to-date assessment of the performance and cost of producing hydrogen without and with CCS based on technologies that could be erected today. This study demonstrates that CO2 could be captured from an SMR plant with an overall capture rate ranging between 53 to 90%. The integration of CO2 capture plant could increase the NG consumption by -0.03 to 1.41 GJ per Nm3/h of H2. The amount of electricity exported to the grid by the SMR plant is reduced. The levelised cost of H2 production could increase by 2.1 to 5.1 € cent per Nm3 H2 (depending on capture rate and technology selected). This translates to a CO2 avoidance cost of 47 to 70 €/t.","author":[{"dropping-particle":"","family":"Collodi","given":"Guido","non-dropping-particle":"","parse-names":false,"suffix":""},{"dropping-particle":"","family":"Azzaro","given":"Giuliana","non-dropping-particle":"","parse-names":false,"suffix":""},{"dropping-particle":"","family":"Ferrari","given":"Noemi","non-dropping-particle":"","parse-names":false,"suffix":""},{"dropping-particle":"","family":"Santos","given":"Stanley","non-dropping-particle":"","parse-names":false,"suffix":""}],"container-title":"Energy Procedia","id":"ITEM-1","issued":{"date-parts":[["2017","7","1"]]},"page":"2690-2712","publisher":"Elsevier","title":"Techno-economic Evaluation of Deploying CCS in SMR Based Merchant H2 Production with NG as Feedstock and Fuel","type":"article-journal","volume":"114"},"uris":["http://www.mendeley.com/documents/?uuid=6c9ff06c-144e-3cb3-af27-85e931001e56"]}],"mendeley":{"formattedCitation":"&lt;sup&gt;1&lt;/sup&gt;","plainTextFormattedCitation":"1","previouslyFormattedCitation":"&lt;sup&gt;1&lt;/sup&gt;"},"properties":{"noteIndex":0},"schema":"https://github.com/citation-style-language/schema/raw/master/csl-citation.json"}</w:instrText>
      </w:r>
      <w:r w:rsidR="00E449BC">
        <w:rPr>
          <w:rFonts w:ascii="Arial" w:eastAsiaTheme="minorEastAsia" w:hAnsi="Arial" w:cs="Arial"/>
          <w:sz w:val="20"/>
          <w:szCs w:val="20"/>
        </w:rPr>
        <w:fldChar w:fldCharType="separate"/>
      </w:r>
      <w:r w:rsidR="007161C5" w:rsidRPr="007161C5">
        <w:rPr>
          <w:rFonts w:ascii="Arial" w:eastAsiaTheme="minorEastAsia" w:hAnsi="Arial" w:cs="Arial"/>
          <w:noProof/>
          <w:sz w:val="20"/>
          <w:szCs w:val="20"/>
          <w:vertAlign w:val="superscript"/>
        </w:rPr>
        <w:t>1</w:t>
      </w:r>
      <w:r w:rsidR="00E449BC">
        <w:rPr>
          <w:rFonts w:ascii="Arial" w:eastAsiaTheme="minorEastAsia" w:hAnsi="Arial" w:cs="Arial"/>
          <w:sz w:val="20"/>
          <w:szCs w:val="20"/>
        </w:rPr>
        <w:fldChar w:fldCharType="end"/>
      </w:r>
      <w:r w:rsidR="00E449BC">
        <w:rPr>
          <w:rFonts w:ascii="Arial" w:eastAsiaTheme="minorEastAsia" w:hAnsi="Arial" w:cs="Arial"/>
          <w:sz w:val="20"/>
          <w:szCs w:val="20"/>
        </w:rPr>
        <w:t>.</w:t>
      </w:r>
    </w:p>
    <w:p w14:paraId="6DC05DBB" w14:textId="77777777" w:rsidR="00E449BC" w:rsidRDefault="00E449BC" w:rsidP="00E449BC">
      <w:pPr>
        <w:jc w:val="both"/>
        <w:rPr>
          <w:rFonts w:ascii="Arial" w:eastAsiaTheme="minorEastAsia" w:hAnsi="Arial" w:cs="Arial"/>
          <w:sz w:val="20"/>
          <w:szCs w:val="20"/>
        </w:rPr>
      </w:pPr>
    </w:p>
    <w:p w14:paraId="07D8D223" w14:textId="5F863752" w:rsidR="00E449BC" w:rsidRDefault="00E449BC" w:rsidP="00E449BC">
      <w:pPr>
        <w:jc w:val="both"/>
        <w:rPr>
          <w:rFonts w:ascii="Arial" w:eastAsiaTheme="minorEastAsia" w:hAnsi="Arial" w:cs="Arial"/>
          <w:sz w:val="20"/>
          <w:szCs w:val="20"/>
        </w:rPr>
      </w:pPr>
      <w:r w:rsidRPr="00956F37">
        <w:rPr>
          <w:rFonts w:ascii="Arial" w:eastAsiaTheme="minorEastAsia" w:hAnsi="Arial" w:cs="Arial"/>
          <w:sz w:val="20"/>
          <w:szCs w:val="20"/>
        </w:rPr>
        <w:t xml:space="preserve">The variable bounds for </w:t>
      </w:r>
      <m:oMath>
        <m:r>
          <w:rPr>
            <w:rFonts w:ascii="Cambria Math" w:hAnsi="Cambria Math" w:cs="Arial"/>
            <w:sz w:val="20"/>
            <w:szCs w:val="20"/>
          </w:rPr>
          <m:t>x</m:t>
        </m:r>
      </m:oMath>
      <w:r w:rsidRPr="00956F37">
        <w:rPr>
          <w:rFonts w:ascii="Arial" w:eastAsiaTheme="minorEastAsia" w:hAnsi="Arial" w:cs="Arial"/>
          <w:sz w:val="20"/>
          <w:szCs w:val="20"/>
        </w:rPr>
        <w:t xml:space="preserve"> and </w:t>
      </w:r>
      <m:oMath>
        <m:sSub>
          <m:sSubPr>
            <m:ctrlPr>
              <w:rPr>
                <w:rFonts w:ascii="Cambria Math" w:hAnsi="Cambria Math" w:cs="Arial"/>
                <w:i/>
                <w:sz w:val="20"/>
                <w:szCs w:val="20"/>
              </w:rPr>
            </m:ctrlPr>
          </m:sSubPr>
          <m:e>
            <m:r>
              <w:rPr>
                <w:rFonts w:ascii="Cambria Math" w:hAnsi="Cambria Math" w:cs="Arial"/>
                <w:sz w:val="20"/>
                <w:szCs w:val="20"/>
              </w:rPr>
              <m:t>CI</m:t>
            </m:r>
          </m:e>
          <m:sub>
            <m:r>
              <w:rPr>
                <w:rFonts w:ascii="Cambria Math" w:hAnsi="Cambria Math" w:cs="Arial"/>
                <w:sz w:val="20"/>
                <w:szCs w:val="20"/>
              </w:rPr>
              <m:t>natural gas</m:t>
            </m:r>
          </m:sub>
        </m:sSub>
      </m:oMath>
      <w:r w:rsidRPr="00956F37">
        <w:rPr>
          <w:rFonts w:ascii="Arial" w:eastAsiaTheme="minorEastAsia" w:hAnsi="Arial" w:cs="Arial"/>
          <w:sz w:val="20"/>
          <w:szCs w:val="20"/>
        </w:rPr>
        <w:t xml:space="preserve"> are 80 – 100%, and 0 – 25 kg </w:t>
      </w:r>
      <w:proofErr w:type="gramStart"/>
      <w:r w:rsidRPr="00956F37">
        <w:rPr>
          <w:rFonts w:ascii="Arial" w:eastAsiaTheme="minorEastAsia" w:hAnsi="Arial" w:cs="Arial"/>
          <w:sz w:val="20"/>
          <w:szCs w:val="20"/>
        </w:rPr>
        <w:t>CO</w:t>
      </w:r>
      <w:r w:rsidRPr="00956F37">
        <w:rPr>
          <w:rFonts w:ascii="Arial" w:eastAsiaTheme="minorEastAsia" w:hAnsi="Arial" w:cs="Arial"/>
          <w:sz w:val="20"/>
          <w:szCs w:val="20"/>
          <w:vertAlign w:val="subscript"/>
        </w:rPr>
        <w:t>2</w:t>
      </w:r>
      <w:r w:rsidRPr="00956F37">
        <w:rPr>
          <w:rFonts w:ascii="Arial" w:eastAsiaTheme="minorEastAsia" w:hAnsi="Arial" w:cs="Arial"/>
          <w:sz w:val="20"/>
          <w:szCs w:val="20"/>
        </w:rPr>
        <w:t>,eq</w:t>
      </w:r>
      <w:proofErr w:type="gramEnd"/>
      <w:r w:rsidRPr="00956F37">
        <w:rPr>
          <w:rFonts w:ascii="Arial" w:eastAsiaTheme="minorEastAsia" w:hAnsi="Arial" w:cs="Arial"/>
          <w:sz w:val="20"/>
          <w:szCs w:val="20"/>
        </w:rPr>
        <w:t>/GJ LHV, respectively.</w:t>
      </w:r>
      <w:r>
        <w:rPr>
          <w:rFonts w:ascii="Arial" w:eastAsiaTheme="minorEastAsia" w:hAnsi="Arial" w:cs="Arial"/>
          <w:sz w:val="20"/>
          <w:szCs w:val="20"/>
        </w:rPr>
        <w:t xml:space="preserve"> Figure 1B </w:t>
      </w:r>
      <w:r w:rsidR="00174FA0">
        <w:rPr>
          <w:rFonts w:ascii="Arial" w:eastAsiaTheme="minorEastAsia" w:hAnsi="Arial" w:cs="Arial"/>
          <w:sz w:val="20"/>
          <w:szCs w:val="20"/>
        </w:rPr>
        <w:t xml:space="preserve">(Figure S2 below) </w:t>
      </w:r>
      <w:r>
        <w:rPr>
          <w:rFonts w:ascii="Arial" w:eastAsiaTheme="minorEastAsia" w:hAnsi="Arial" w:cs="Arial"/>
          <w:sz w:val="20"/>
          <w:szCs w:val="20"/>
        </w:rPr>
        <w:t>uses vertical lines to denote the gas supply chain footprint for the UK</w:t>
      </w:r>
      <w:r>
        <w:rPr>
          <w:rFonts w:ascii="Arial" w:eastAsiaTheme="minorEastAsia" w:hAnsi="Arial" w:cs="Arial"/>
          <w:sz w:val="20"/>
          <w:szCs w:val="20"/>
        </w:rPr>
        <w:fldChar w:fldCharType="begin" w:fldLock="1"/>
      </w:r>
      <w:r w:rsidR="00050D6C">
        <w:rPr>
          <w:rFonts w:ascii="Arial" w:eastAsiaTheme="minorEastAsia" w:hAnsi="Arial" w:cs="Arial"/>
          <w:sz w:val="20"/>
          <w:szCs w:val="20"/>
        </w:rPr>
        <w:instrText>ADDIN CSL_CITATION {"citationItems":[{"id":"ITEM-1","itemData":{"DOI":"10.1007/s11367-016-1087-8","ISSN":"16147502","abstract":"Purpose: Good background data are an important requirement in LCA. Practitioners generally make use of LCI databases for such data, and the ecoinvent database is the largest transparent unit-process LCI database worldwide. Since its first release in 2003, it has been continuously updated, and version 3 was published in 2013. The release of version 3 introduced several significant methodological and technological improvements, besides a large number of new and updated datasets. The aim was to expand the content of the database, set the foundation for a truly global database, support regionalized LCIA, offer multiple system models, allow for easier integration of data from different regions, and reduce maintenance efforts. This article describes the methodological developments. Methods: Modeling choices and raw data were separated in version 3, which enables the application of different sets of modeling choices, or system models, to the same raw data with little effort. This includes one system model for Consequential LCA. Flow properties were added to all exchanges in the database, giving more information on the inventory and allowing a fast calculation of mass and other balances. With version 3.1, the database is generally water-balanced, and water use and consumption can be determined. Consumption mixes called market datasets were consistently added to the database, and global background data was added, often as an extrapolation from regional data. Results and discussion: In combination with hundreds of new unit processes from regions outside Europe, these changes lead to an improved modeling of global supply chains, and a more realistic distribution of impacts in regionalized LCIA. The new mixes also facilitate further regionalization due to the availability of background data for all regions. Conclusions: With version 3, the ecoinvent database substantially expands the goals and scopes of LCA studies it can support. The new system models allow new, different studies to be performed. Global supply chains and market datasets significantly increase the relevance of the database outside of Europe, and regionalized LCA is supported by the data. Datasets are more transparent, include more information, and support, e.g., water balances. The developments also support easier collaboration with other database initiatives, as demonstrated by a first successful collaboration with a data project in Québec. Version 3 has set the foundation for expanding ecoinvent …","author":[{"dropping-particle":"","family":"Wernet","given":"Gregor","non-dropping-particle":"","parse-names":false,"suffix":""},{"dropping-particle":"","family":"Bauer","given":"Christian","non-dropping-particle":"","parse-names":false,"suffix":""},{"dropping-particle":"","family":"Steubing","given":"Bernhard","non-dropping-particle":"","parse-names":false,"suffix":""},{"dropping-particle":"","family":"Reinhard","given":"Jürgen","non-dropping-particle":"","parse-names":false,"suffix":""},{"dropping-particle":"","family":"Moreno-Ruiz","given":"Emilia","non-dropping-particle":"","parse-names":false,"suffix":""},{"dropping-particle":"","family":"Weidema","given":"Bo","non-dropping-particle":"","parse-names":false,"suffix":""}],"container-title":"International Journal of Life Cycle Assessment","id":"ITEM-1","issue":"9","issued":{"date-parts":[["2016","9","1"]]},"page":"1218-1230","publisher":"Springer Verlag","title":"The ecoinvent database version 3 (part I): overview and methodology","type":"article-journal","volume":"21"},"uris":["http://www.mendeley.com/documents/?uuid=e74a567a-1fb8-3dfb-a8d1-83f43f72c371"]}],"mendeley":{"formattedCitation":"&lt;sup&gt;5&lt;/sup&gt;","plainTextFormattedCitation":"5","previouslyFormattedCitation":"&lt;sup&gt;4&lt;/sup&gt;"},"properties":{"noteIndex":0},"schema":"https://github.com/citation-style-language/schema/raw/master/csl-citation.json"}</w:instrText>
      </w:r>
      <w:r>
        <w:rPr>
          <w:rFonts w:ascii="Arial" w:eastAsiaTheme="minorEastAsia" w:hAnsi="Arial" w:cs="Arial"/>
          <w:sz w:val="20"/>
          <w:szCs w:val="20"/>
        </w:rPr>
        <w:fldChar w:fldCharType="separate"/>
      </w:r>
      <w:r w:rsidR="00050D6C" w:rsidRPr="00050D6C">
        <w:rPr>
          <w:rFonts w:ascii="Arial" w:eastAsiaTheme="minorEastAsia" w:hAnsi="Arial" w:cs="Arial"/>
          <w:noProof/>
          <w:sz w:val="20"/>
          <w:szCs w:val="20"/>
          <w:vertAlign w:val="superscript"/>
        </w:rPr>
        <w:t>5</w:t>
      </w:r>
      <w:r>
        <w:rPr>
          <w:rFonts w:ascii="Arial" w:eastAsiaTheme="minorEastAsia" w:hAnsi="Arial" w:cs="Arial"/>
          <w:sz w:val="20"/>
          <w:szCs w:val="20"/>
        </w:rPr>
        <w:fldChar w:fldCharType="end"/>
      </w:r>
      <w:r>
        <w:rPr>
          <w:rFonts w:ascii="Arial" w:eastAsiaTheme="minorEastAsia" w:hAnsi="Arial" w:cs="Arial"/>
          <w:sz w:val="20"/>
          <w:szCs w:val="20"/>
        </w:rPr>
        <w:t>, global average</w:t>
      </w:r>
      <w:r>
        <w:rPr>
          <w:rFonts w:ascii="Arial" w:eastAsiaTheme="minorEastAsia" w:hAnsi="Arial" w:cs="Arial"/>
          <w:sz w:val="20"/>
          <w:szCs w:val="20"/>
        </w:rPr>
        <w:fldChar w:fldCharType="begin" w:fldLock="1"/>
      </w:r>
      <w:r w:rsidR="008828C0">
        <w:rPr>
          <w:rFonts w:ascii="Arial" w:eastAsiaTheme="minorEastAsia" w:hAnsi="Arial" w:cs="Arial"/>
          <w:sz w:val="20"/>
          <w:szCs w:val="20"/>
        </w:rPr>
        <w:instrText>ADDIN CSL_CITATION {"citationItems":[{"id":"ITEM-1","itemData":{"author":[{"dropping-particle":"","family":"Balcombe","given":"Paul","non-dropping-particle":"","parse-names":false,"suffix":""},{"dropping-particle":"","family":"Anderson","given":"Kris","non-dropping-particle":"","parse-names":false,"suffix":""},{"dropping-particle":"","family":"Speirs","given":"Jamie","non-dropping-particle":"","parse-names":false,"suffix":""},{"dropping-particle":"","family":"Brandon","given":"Nigel","non-dropping-particle":"","parse-names":false,"suffix":""},{"dropping-particle":"","family":"Hawkes","given":"Adam","non-dropping-particle":"","parse-names":false,"suffix":""}],"container-title":"Sustainable Gas Institute","id":"ITEM-1","issue":"September","issued":{"date-parts":[["2015"]]},"title":"Methane and CO2 emissions from the natural gas supply chain: an evidence assessment","type":"report"},"uris":["http://www.mendeley.com/documents/?uuid=698e67a6-56ae-4877-b4e3-d395df77f201"]}],"mendeley":{"formattedCitation":"&lt;sup&gt;2&lt;/sup&gt;","plainTextFormattedCitation":"2","previouslyFormattedCitation":"&lt;sup&gt;2&lt;/sup&gt;"},"properties":{"noteIndex":0},"schema":"https://github.com/citation-style-language/schema/raw/master/csl-citation.json"}</w:instrText>
      </w:r>
      <w:r>
        <w:rPr>
          <w:rFonts w:ascii="Arial" w:eastAsiaTheme="minorEastAsia" w:hAnsi="Arial" w:cs="Arial"/>
          <w:sz w:val="20"/>
          <w:szCs w:val="20"/>
        </w:rPr>
        <w:fldChar w:fldCharType="separate"/>
      </w:r>
      <w:r w:rsidR="007161C5" w:rsidRPr="007161C5">
        <w:rPr>
          <w:rFonts w:ascii="Arial" w:eastAsiaTheme="minorEastAsia" w:hAnsi="Arial" w:cs="Arial"/>
          <w:noProof/>
          <w:sz w:val="20"/>
          <w:szCs w:val="20"/>
          <w:vertAlign w:val="superscript"/>
        </w:rPr>
        <w:t>2</w:t>
      </w:r>
      <w:r>
        <w:rPr>
          <w:rFonts w:ascii="Arial" w:eastAsiaTheme="minorEastAsia" w:hAnsi="Arial" w:cs="Arial"/>
          <w:sz w:val="20"/>
          <w:szCs w:val="20"/>
        </w:rPr>
        <w:fldChar w:fldCharType="end"/>
      </w:r>
      <w:r>
        <w:rPr>
          <w:rFonts w:ascii="Arial" w:eastAsiaTheme="minorEastAsia" w:hAnsi="Arial" w:cs="Arial"/>
          <w:sz w:val="20"/>
          <w:szCs w:val="20"/>
        </w:rPr>
        <w:t>, and EU LNG supplies</w:t>
      </w:r>
      <w:r>
        <w:rPr>
          <w:rFonts w:ascii="Arial" w:eastAsiaTheme="minorEastAsia" w:hAnsi="Arial" w:cs="Arial"/>
          <w:sz w:val="20"/>
          <w:szCs w:val="20"/>
        </w:rPr>
        <w:fldChar w:fldCharType="begin" w:fldLock="1"/>
      </w:r>
      <w:r w:rsidR="00050D6C">
        <w:rPr>
          <w:rFonts w:ascii="Arial" w:eastAsiaTheme="minorEastAsia" w:hAnsi="Arial" w:cs="Arial"/>
          <w:sz w:val="20"/>
          <w:szCs w:val="20"/>
        </w:rPr>
        <w:instrText>ADDIN CSL_CITATION {"citationItems":[{"id":"ITEM-1","itemData":{"author":[{"dropping-particle":"","family":"Schuller","given":"Oliver","non-dropping-particle":"","parse-names":false,"suffix":""},{"dropping-particle":"","family":"Kupferschmid","given":"Stefan","non-dropping-particle":"","parse-names":false,"suffix":""},{"dropping-particle":"","family":"Hengstler","given":"Jasmin","non-dropping-particle":"","parse-names":false,"suffix":""},{"dropping-particle":"","family":"Whitehouse","given":"Simon","non-dropping-particle":"","parse-names":false,"suffix":""}],"id":"ITEM-1","issued":{"date-parts":[["2019"]]},"title":"Life Cycle GHG Emission Study on the Use of LNG as Marine Fuel - Final Report","type":"report"},"uris":["http://www.mendeley.com/documents/?uuid=6601e494-e8ff-3078-b5bd-7042193614c5"]}],"mendeley":{"formattedCitation":"&lt;sup&gt;6&lt;/sup&gt;","plainTextFormattedCitation":"6","previouslyFormattedCitation":"&lt;sup&gt;5&lt;/sup&gt;"},"properties":{"noteIndex":0},"schema":"https://github.com/citation-style-language/schema/raw/master/csl-citation.json"}</w:instrText>
      </w:r>
      <w:r>
        <w:rPr>
          <w:rFonts w:ascii="Arial" w:eastAsiaTheme="minorEastAsia" w:hAnsi="Arial" w:cs="Arial"/>
          <w:sz w:val="20"/>
          <w:szCs w:val="20"/>
        </w:rPr>
        <w:fldChar w:fldCharType="separate"/>
      </w:r>
      <w:r w:rsidR="00050D6C" w:rsidRPr="00050D6C">
        <w:rPr>
          <w:rFonts w:ascii="Arial" w:eastAsiaTheme="minorEastAsia" w:hAnsi="Arial" w:cs="Arial"/>
          <w:noProof/>
          <w:sz w:val="20"/>
          <w:szCs w:val="20"/>
          <w:vertAlign w:val="superscript"/>
        </w:rPr>
        <w:t>6</w:t>
      </w:r>
      <w:r>
        <w:rPr>
          <w:rFonts w:ascii="Arial" w:eastAsiaTheme="minorEastAsia" w:hAnsi="Arial" w:cs="Arial"/>
          <w:sz w:val="20"/>
          <w:szCs w:val="20"/>
        </w:rPr>
        <w:fldChar w:fldCharType="end"/>
      </w:r>
      <w:r>
        <w:rPr>
          <w:rFonts w:ascii="Arial" w:eastAsiaTheme="minorEastAsia" w:hAnsi="Arial" w:cs="Arial"/>
          <w:sz w:val="20"/>
          <w:szCs w:val="20"/>
        </w:rPr>
        <w:t xml:space="preserve">. </w:t>
      </w:r>
    </w:p>
    <w:p w14:paraId="6409E352" w14:textId="77777777" w:rsidR="00C36F48" w:rsidRDefault="008E201A" w:rsidP="00C36F48">
      <w:pPr>
        <w:keepNext/>
        <w:jc w:val="center"/>
      </w:pPr>
      <w:r>
        <w:rPr>
          <w:rFonts w:ascii="Arial" w:eastAsiaTheme="minorEastAsia" w:hAnsi="Arial" w:cs="Arial"/>
          <w:noProof/>
          <w:sz w:val="20"/>
          <w:szCs w:val="20"/>
        </w:rPr>
        <w:drawing>
          <wp:inline distT="0" distB="0" distL="0" distR="0" wp14:anchorId="52FC3F34" wp14:editId="72EE57B9">
            <wp:extent cx="4457700" cy="3910263"/>
            <wp:effectExtent l="0" t="0" r="0" b="0"/>
            <wp:docPr id="4" name="Picture 4"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histogram&#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60243" cy="3912493"/>
                    </a:xfrm>
                    <a:prstGeom prst="rect">
                      <a:avLst/>
                    </a:prstGeom>
                  </pic:spPr>
                </pic:pic>
              </a:graphicData>
            </a:graphic>
          </wp:inline>
        </w:drawing>
      </w:r>
    </w:p>
    <w:p w14:paraId="24023E4A" w14:textId="53A774C9" w:rsidR="00E449BC" w:rsidRPr="00C36F48" w:rsidRDefault="00C36F48" w:rsidP="00272F45">
      <w:pPr>
        <w:pStyle w:val="Caption"/>
        <w:jc w:val="both"/>
        <w:rPr>
          <w:rFonts w:ascii="Arial" w:eastAsiaTheme="minorEastAsia" w:hAnsi="Arial" w:cs="Arial"/>
          <w:sz w:val="20"/>
          <w:szCs w:val="20"/>
        </w:rPr>
      </w:pPr>
      <w:r w:rsidRPr="00C36F48">
        <w:rPr>
          <w:rFonts w:ascii="Arial" w:hAnsi="Arial" w:cs="Arial"/>
        </w:rPr>
        <w:t xml:space="preserve">Figure </w:t>
      </w:r>
      <w:r>
        <w:rPr>
          <w:rFonts w:ascii="Arial" w:hAnsi="Arial" w:cs="Arial"/>
        </w:rPr>
        <w:t>S</w:t>
      </w:r>
      <w:r w:rsidRPr="00C36F48">
        <w:rPr>
          <w:rFonts w:ascii="Arial" w:hAnsi="Arial" w:cs="Arial"/>
        </w:rPr>
        <w:fldChar w:fldCharType="begin"/>
      </w:r>
      <w:r w:rsidRPr="00C36F48">
        <w:rPr>
          <w:rFonts w:ascii="Arial" w:hAnsi="Arial" w:cs="Arial"/>
        </w:rPr>
        <w:instrText xml:space="preserve"> SEQ Figure \* ARABIC </w:instrText>
      </w:r>
      <w:r w:rsidRPr="00C36F48">
        <w:rPr>
          <w:rFonts w:ascii="Arial" w:hAnsi="Arial" w:cs="Arial"/>
        </w:rPr>
        <w:fldChar w:fldCharType="separate"/>
      </w:r>
      <w:r w:rsidR="0003272E">
        <w:rPr>
          <w:rFonts w:ascii="Arial" w:hAnsi="Arial" w:cs="Arial"/>
          <w:noProof/>
        </w:rPr>
        <w:t>2</w:t>
      </w:r>
      <w:r w:rsidRPr="00C36F48">
        <w:rPr>
          <w:rFonts w:ascii="Arial" w:hAnsi="Arial" w:cs="Arial"/>
        </w:rPr>
        <w:fldChar w:fldCharType="end"/>
      </w:r>
      <w:r w:rsidRPr="00C36F48">
        <w:rPr>
          <w:rFonts w:ascii="Arial" w:hAnsi="Arial" w:cs="Arial"/>
        </w:rPr>
        <w:t>:</w:t>
      </w:r>
      <w:r w:rsidR="00272F45">
        <w:rPr>
          <w:rFonts w:ascii="Arial" w:hAnsi="Arial" w:cs="Arial"/>
        </w:rPr>
        <w:t>Carbon footprint of the blue hydrogen supply as a function of the desired CO</w:t>
      </w:r>
      <w:r w:rsidR="00272F45" w:rsidRPr="00272F45">
        <w:rPr>
          <w:rFonts w:ascii="Arial" w:hAnsi="Arial" w:cs="Arial"/>
          <w:vertAlign w:val="subscript"/>
        </w:rPr>
        <w:t>2</w:t>
      </w:r>
      <w:r w:rsidR="00272F45">
        <w:rPr>
          <w:rFonts w:ascii="Arial" w:hAnsi="Arial" w:cs="Arial"/>
        </w:rPr>
        <w:t xml:space="preserve"> capture rate and the natural gas supply chain footprint</w:t>
      </w:r>
      <w:r w:rsidR="00A1182B">
        <w:rPr>
          <w:rFonts w:ascii="Arial" w:hAnsi="Arial" w:cs="Arial"/>
        </w:rPr>
        <w:t>, benchmarked against the carbon footprint of water electrolysis using wind power</w:t>
      </w:r>
      <w:r w:rsidR="00272F45">
        <w:rPr>
          <w:rFonts w:ascii="Arial" w:hAnsi="Arial" w:cs="Arial"/>
        </w:rPr>
        <w:t>.</w:t>
      </w:r>
    </w:p>
    <w:p w14:paraId="051C71DB" w14:textId="5D9B3769" w:rsidR="00E449BC" w:rsidRDefault="00E449BC" w:rsidP="00E449BC">
      <w:pPr>
        <w:pStyle w:val="Heading2"/>
        <w:rPr>
          <w:rFonts w:ascii="Arial" w:eastAsiaTheme="minorEastAsia" w:hAnsi="Arial" w:cs="Arial"/>
        </w:rPr>
      </w:pPr>
      <w:r w:rsidRPr="003567E8">
        <w:rPr>
          <w:rFonts w:ascii="Arial" w:eastAsiaTheme="minorEastAsia" w:hAnsi="Arial" w:cs="Arial"/>
        </w:rPr>
        <w:lastRenderedPageBreak/>
        <w:t>S</w:t>
      </w:r>
      <w:r w:rsidR="00413AE8">
        <w:rPr>
          <w:rFonts w:ascii="Arial" w:eastAsiaTheme="minorEastAsia" w:hAnsi="Arial" w:cs="Arial"/>
        </w:rPr>
        <w:t>1</w:t>
      </w:r>
      <w:r w:rsidRPr="003567E8">
        <w:rPr>
          <w:rFonts w:ascii="Arial" w:eastAsiaTheme="minorEastAsia" w:hAnsi="Arial" w:cs="Arial"/>
        </w:rPr>
        <w:t>.</w:t>
      </w:r>
      <w:r>
        <w:rPr>
          <w:rFonts w:ascii="Arial" w:eastAsiaTheme="minorEastAsia" w:hAnsi="Arial" w:cs="Arial"/>
        </w:rPr>
        <w:t>3</w:t>
      </w:r>
      <w:r w:rsidRPr="003567E8">
        <w:rPr>
          <w:rFonts w:ascii="Arial" w:eastAsiaTheme="minorEastAsia" w:hAnsi="Arial" w:cs="Arial"/>
        </w:rPr>
        <w:t xml:space="preserve"> - Notes on Figures 3A and 3B</w:t>
      </w:r>
    </w:p>
    <w:p w14:paraId="2F489149" w14:textId="222FEE11" w:rsidR="00E449BC" w:rsidRDefault="00E449BC" w:rsidP="00E449BC">
      <w:pPr>
        <w:jc w:val="both"/>
        <w:rPr>
          <w:rFonts w:ascii="Arial" w:hAnsi="Arial" w:cs="Arial"/>
          <w:sz w:val="20"/>
          <w:szCs w:val="20"/>
        </w:rPr>
      </w:pPr>
      <w:r>
        <w:rPr>
          <w:rFonts w:ascii="Arial" w:hAnsi="Arial" w:cs="Arial"/>
          <w:sz w:val="20"/>
          <w:szCs w:val="20"/>
        </w:rPr>
        <w:t>Equations S1 and S3 from S</w:t>
      </w:r>
      <w:r w:rsidR="00867B82">
        <w:rPr>
          <w:rFonts w:ascii="Arial" w:hAnsi="Arial" w:cs="Arial"/>
          <w:sz w:val="20"/>
          <w:szCs w:val="20"/>
        </w:rPr>
        <w:t>1</w:t>
      </w:r>
      <w:r>
        <w:rPr>
          <w:rFonts w:ascii="Arial" w:hAnsi="Arial" w:cs="Arial"/>
          <w:sz w:val="20"/>
          <w:szCs w:val="20"/>
        </w:rPr>
        <w:t>.1 were used to generate both figures 3A and 3B</w:t>
      </w:r>
      <w:r w:rsidR="002C229C">
        <w:rPr>
          <w:rFonts w:ascii="Arial" w:hAnsi="Arial" w:cs="Arial"/>
          <w:sz w:val="20"/>
          <w:szCs w:val="20"/>
        </w:rPr>
        <w:t xml:space="preserve"> in the article</w:t>
      </w:r>
      <w:r w:rsidR="00542BC6">
        <w:rPr>
          <w:rFonts w:ascii="Arial" w:hAnsi="Arial" w:cs="Arial"/>
          <w:sz w:val="20"/>
          <w:szCs w:val="20"/>
        </w:rPr>
        <w:t xml:space="preserve"> (Figure S3 below)</w:t>
      </w:r>
      <w:r>
        <w:rPr>
          <w:rFonts w:ascii="Arial" w:hAnsi="Arial" w:cs="Arial"/>
          <w:sz w:val="20"/>
          <w:szCs w:val="20"/>
        </w:rPr>
        <w:t>. Figure 3B was generated using country-level electricity generation carbon intensity data, together with equation S</w:t>
      </w:r>
      <w:r w:rsidR="00734D79">
        <w:rPr>
          <w:rFonts w:ascii="Arial" w:hAnsi="Arial" w:cs="Arial"/>
          <w:sz w:val="20"/>
          <w:szCs w:val="20"/>
        </w:rPr>
        <w:t>8</w:t>
      </w:r>
      <w:r>
        <w:rPr>
          <w:rFonts w:ascii="Arial" w:hAnsi="Arial" w:cs="Arial"/>
          <w:sz w:val="20"/>
          <w:szCs w:val="20"/>
        </w:rPr>
        <w:t>. The resulting data was plotted using QGIS Desktop version 2.14.21 using country-level shapefiles. Figure 3A is derived using two additional equations as follows:</w:t>
      </w:r>
    </w:p>
    <w:p w14:paraId="0DFA763D" w14:textId="77777777" w:rsidR="00E449BC" w:rsidRPr="00A44457" w:rsidRDefault="00120A0E" w:rsidP="00E449BC">
      <w:pPr>
        <w:jc w:val="both"/>
        <w:rPr>
          <w:rFonts w:ascii="Arial" w:eastAsiaTheme="minorEastAsia" w:hAnsi="Arial" w:cs="Arial"/>
        </w:rPr>
      </w:pPr>
      <m:oMathPara>
        <m:oMath>
          <m:eqArr>
            <m:eqArrPr>
              <m:maxDist m:val="1"/>
              <m:ctrlPr>
                <w:rPr>
                  <w:rFonts w:ascii="Cambria Math" w:hAnsi="Cambria Math" w:cs="Arial"/>
                  <w:i/>
                </w:rPr>
              </m:ctrlPr>
            </m:eqArrPr>
            <m:e>
              <m:sSub>
                <m:sSubPr>
                  <m:ctrlPr>
                    <w:rPr>
                      <w:rFonts w:ascii="Cambria Math" w:hAnsi="Cambria Math" w:cs="Arial"/>
                      <w:i/>
                    </w:rPr>
                  </m:ctrlPr>
                </m:sSubPr>
                <m:e>
                  <m:r>
                    <w:rPr>
                      <w:rFonts w:ascii="Cambria Math" w:hAnsi="Cambria Math" w:cs="Arial"/>
                    </w:rPr>
                    <m:t>CA</m:t>
                  </m:r>
                </m:e>
                <m:sub>
                  <m:r>
                    <w:rPr>
                      <w:rFonts w:ascii="Cambria Math" w:hAnsi="Cambria Math" w:cs="Arial"/>
                    </w:rPr>
                    <m:t>blue hydrogen</m:t>
                  </m:r>
                </m:sub>
              </m:sSub>
              <m:r>
                <w:rPr>
                  <w:rFonts w:ascii="Cambria Math" w:hAnsi="Cambria Math" w:cs="Arial"/>
                </w:rPr>
                <m:t>=</m:t>
              </m:r>
              <m:sSub>
                <m:sSubPr>
                  <m:ctrlPr>
                    <w:rPr>
                      <w:rFonts w:ascii="Cambria Math" w:hAnsi="Cambria Math" w:cs="Arial"/>
                      <w:i/>
                    </w:rPr>
                  </m:ctrlPr>
                </m:sSubPr>
                <m:e>
                  <m:r>
                    <w:rPr>
                      <w:rFonts w:ascii="Cambria Math" w:hAnsi="Cambria Math" w:cs="Arial"/>
                    </w:rPr>
                    <m:t>CE</m:t>
                  </m:r>
                </m:e>
                <m:sub>
                  <m:r>
                    <w:rPr>
                      <w:rFonts w:ascii="Cambria Math" w:hAnsi="Cambria Math" w:cs="Arial"/>
                    </w:rPr>
                    <m:t>natural gas</m:t>
                  </m:r>
                </m:sub>
              </m:sSub>
              <m:r>
                <w:rPr>
                  <w:rFonts w:ascii="Cambria Math" w:hAnsi="Cambria Math" w:cs="Arial"/>
                </w:rPr>
                <m:t>+</m:t>
              </m:r>
              <m:sSub>
                <m:sSubPr>
                  <m:ctrlPr>
                    <w:rPr>
                      <w:rFonts w:ascii="Cambria Math" w:hAnsi="Cambria Math" w:cs="Arial"/>
                      <w:i/>
                    </w:rPr>
                  </m:ctrlPr>
                </m:sSubPr>
                <m:e>
                  <m:r>
                    <w:rPr>
                      <w:rFonts w:ascii="Cambria Math" w:hAnsi="Cambria Math" w:cs="Arial"/>
                    </w:rPr>
                    <m:t>CI</m:t>
                  </m:r>
                </m:e>
                <m:sub>
                  <m:r>
                    <w:rPr>
                      <w:rFonts w:ascii="Cambria Math" w:hAnsi="Cambria Math" w:cs="Arial"/>
                    </w:rPr>
                    <m:t>natural gas</m:t>
                  </m:r>
                </m:sub>
              </m:sSub>
              <m:r>
                <w:rPr>
                  <w:rFonts w:ascii="Cambria Math" w:hAnsi="Cambria Math" w:cs="Arial"/>
                </w:rPr>
                <m:t>-</m:t>
              </m:r>
              <m:sSub>
                <m:sSubPr>
                  <m:ctrlPr>
                    <w:rPr>
                      <w:rFonts w:ascii="Cambria Math" w:hAnsi="Cambria Math" w:cs="Arial"/>
                      <w:i/>
                    </w:rPr>
                  </m:ctrlPr>
                </m:sSubPr>
                <m:e>
                  <m:r>
                    <w:rPr>
                      <w:rFonts w:ascii="Cambria Math" w:hAnsi="Cambria Math" w:cs="Arial"/>
                    </w:rPr>
                    <m:t>CI</m:t>
                  </m:r>
                </m:e>
                <m:sub>
                  <m:r>
                    <w:rPr>
                      <w:rFonts w:ascii="Cambria Math" w:hAnsi="Cambria Math" w:cs="Arial"/>
                    </w:rPr>
                    <m:t>blue hydrogen</m:t>
                  </m:r>
                </m:sub>
              </m:sSub>
              <m:r>
                <w:rPr>
                  <w:rFonts w:ascii="Cambria Math" w:hAnsi="Cambria Math" w:cs="Arial"/>
                </w:rPr>
                <m:t>#</m:t>
              </m:r>
              <m:d>
                <m:dPr>
                  <m:ctrlPr>
                    <w:rPr>
                      <w:rFonts w:ascii="Cambria Math" w:hAnsi="Cambria Math" w:cs="Arial"/>
                      <w:i/>
                    </w:rPr>
                  </m:ctrlPr>
                </m:dPr>
                <m:e>
                  <m:r>
                    <w:rPr>
                      <w:rFonts w:ascii="Cambria Math" w:hAnsi="Cambria Math" w:cs="Arial"/>
                    </w:rPr>
                    <m:t>S7</m:t>
                  </m:r>
                </m:e>
              </m:d>
            </m:e>
          </m:eqArr>
        </m:oMath>
      </m:oMathPara>
    </w:p>
    <w:p w14:paraId="5C96B808" w14:textId="77777777" w:rsidR="00E449BC" w:rsidRPr="00A44457" w:rsidRDefault="00120A0E" w:rsidP="00E449BC">
      <w:pPr>
        <w:jc w:val="both"/>
        <w:rPr>
          <w:rFonts w:ascii="Arial" w:eastAsiaTheme="minorEastAsia" w:hAnsi="Arial" w:cs="Arial"/>
        </w:rPr>
      </w:pPr>
      <m:oMathPara>
        <m:oMath>
          <m:eqArr>
            <m:eqArrPr>
              <m:maxDist m:val="1"/>
              <m:ctrlPr>
                <w:rPr>
                  <w:rFonts w:ascii="Cambria Math" w:hAnsi="Cambria Math" w:cs="Arial"/>
                  <w:i/>
                </w:rPr>
              </m:ctrlPr>
            </m:eqArrPr>
            <m:e>
              <m:sSub>
                <m:sSubPr>
                  <m:ctrlPr>
                    <w:rPr>
                      <w:rFonts w:ascii="Cambria Math" w:hAnsi="Cambria Math" w:cs="Arial"/>
                      <w:i/>
                    </w:rPr>
                  </m:ctrlPr>
                </m:sSubPr>
                <m:e>
                  <m:r>
                    <w:rPr>
                      <w:rFonts w:ascii="Cambria Math" w:hAnsi="Cambria Math" w:cs="Arial"/>
                    </w:rPr>
                    <m:t>CA</m:t>
                  </m:r>
                </m:e>
                <m:sub>
                  <m:r>
                    <w:rPr>
                      <w:rFonts w:ascii="Cambria Math" w:hAnsi="Cambria Math" w:cs="Arial"/>
                    </w:rPr>
                    <m:t>electrolytic hydrogen</m:t>
                  </m:r>
                </m:sub>
              </m:sSub>
              <m:r>
                <w:rPr>
                  <w:rFonts w:ascii="Cambria Math" w:hAnsi="Cambria Math" w:cs="Arial"/>
                </w:rPr>
                <m:t>=</m:t>
              </m:r>
              <m:sSub>
                <m:sSubPr>
                  <m:ctrlPr>
                    <w:rPr>
                      <w:rFonts w:ascii="Cambria Math" w:hAnsi="Cambria Math" w:cs="Arial"/>
                      <w:i/>
                    </w:rPr>
                  </m:ctrlPr>
                </m:sSubPr>
                <m:e>
                  <m:r>
                    <w:rPr>
                      <w:rFonts w:ascii="Cambria Math" w:hAnsi="Cambria Math" w:cs="Arial"/>
                    </w:rPr>
                    <m:t>CE</m:t>
                  </m:r>
                </m:e>
                <m:sub>
                  <m:r>
                    <w:rPr>
                      <w:rFonts w:ascii="Cambria Math" w:hAnsi="Cambria Math" w:cs="Arial"/>
                    </w:rPr>
                    <m:t>natural gas</m:t>
                  </m:r>
                </m:sub>
              </m:sSub>
              <m:r>
                <w:rPr>
                  <w:rFonts w:ascii="Cambria Math" w:hAnsi="Cambria Math" w:cs="Arial"/>
                </w:rPr>
                <m:t>+</m:t>
              </m:r>
              <m:sSub>
                <m:sSubPr>
                  <m:ctrlPr>
                    <w:rPr>
                      <w:rFonts w:ascii="Cambria Math" w:hAnsi="Cambria Math" w:cs="Arial"/>
                      <w:i/>
                    </w:rPr>
                  </m:ctrlPr>
                </m:sSubPr>
                <m:e>
                  <m:r>
                    <w:rPr>
                      <w:rFonts w:ascii="Cambria Math" w:hAnsi="Cambria Math" w:cs="Arial"/>
                    </w:rPr>
                    <m:t>CI</m:t>
                  </m:r>
                </m:e>
                <m:sub>
                  <m:r>
                    <w:rPr>
                      <w:rFonts w:ascii="Cambria Math" w:hAnsi="Cambria Math" w:cs="Arial"/>
                    </w:rPr>
                    <m:t>natural gas</m:t>
                  </m:r>
                </m:sub>
              </m:sSub>
              <m:r>
                <w:rPr>
                  <w:rFonts w:ascii="Cambria Math" w:hAnsi="Cambria Math" w:cs="Arial"/>
                </w:rPr>
                <m:t>-</m:t>
              </m:r>
              <m:sSub>
                <m:sSubPr>
                  <m:ctrlPr>
                    <w:rPr>
                      <w:rFonts w:ascii="Cambria Math" w:hAnsi="Cambria Math" w:cs="Arial"/>
                      <w:i/>
                    </w:rPr>
                  </m:ctrlPr>
                </m:sSubPr>
                <m:e>
                  <m:r>
                    <w:rPr>
                      <w:rFonts w:ascii="Cambria Math" w:hAnsi="Cambria Math" w:cs="Arial"/>
                    </w:rPr>
                    <m:t>CI</m:t>
                  </m:r>
                </m:e>
                <m:sub>
                  <m:r>
                    <w:rPr>
                      <w:rFonts w:ascii="Cambria Math" w:hAnsi="Cambria Math" w:cs="Arial"/>
                    </w:rPr>
                    <m:t>electrolytic hydrogen</m:t>
                  </m:r>
                </m:sub>
              </m:sSub>
              <m:r>
                <w:rPr>
                  <w:rFonts w:ascii="Cambria Math" w:hAnsi="Cambria Math" w:cs="Arial"/>
                </w:rPr>
                <m:t>#</m:t>
              </m:r>
              <m:d>
                <m:dPr>
                  <m:ctrlPr>
                    <w:rPr>
                      <w:rFonts w:ascii="Cambria Math" w:hAnsi="Cambria Math" w:cs="Arial"/>
                      <w:i/>
                    </w:rPr>
                  </m:ctrlPr>
                </m:dPr>
                <m:e>
                  <m:r>
                    <w:rPr>
                      <w:rFonts w:ascii="Cambria Math" w:hAnsi="Cambria Math" w:cs="Arial"/>
                    </w:rPr>
                    <m:t>S8</m:t>
                  </m:r>
                </m:e>
              </m:d>
            </m:e>
          </m:eqArr>
        </m:oMath>
      </m:oMathPara>
    </w:p>
    <w:p w14:paraId="1D1EFBC0" w14:textId="37EB3F38" w:rsidR="00E449BC" w:rsidRDefault="00E449BC" w:rsidP="00E449BC">
      <w:pPr>
        <w:jc w:val="both"/>
        <w:rPr>
          <w:rFonts w:ascii="Arial" w:eastAsiaTheme="minorEastAsia" w:hAnsi="Arial" w:cs="Arial"/>
          <w:sz w:val="20"/>
          <w:szCs w:val="20"/>
        </w:rPr>
      </w:pPr>
      <w:r w:rsidRPr="00320B7E">
        <w:rPr>
          <w:rFonts w:ascii="Arial" w:eastAsiaTheme="minorEastAsia" w:hAnsi="Arial" w:cs="Arial"/>
          <w:sz w:val="20"/>
          <w:szCs w:val="20"/>
        </w:rPr>
        <w:t xml:space="preserve">Where </w:t>
      </w:r>
      <m:oMath>
        <m:sSub>
          <m:sSubPr>
            <m:ctrlPr>
              <w:rPr>
                <w:rFonts w:ascii="Cambria Math" w:hAnsi="Cambria Math" w:cs="Arial"/>
                <w:i/>
                <w:sz w:val="20"/>
                <w:szCs w:val="20"/>
              </w:rPr>
            </m:ctrlPr>
          </m:sSubPr>
          <m:e>
            <m:r>
              <w:rPr>
                <w:rFonts w:ascii="Cambria Math" w:hAnsi="Cambria Math" w:cs="Arial"/>
                <w:sz w:val="20"/>
                <w:szCs w:val="20"/>
              </w:rPr>
              <m:t>CA</m:t>
            </m:r>
          </m:e>
          <m:sub>
            <m:r>
              <w:rPr>
                <w:rFonts w:ascii="Cambria Math" w:hAnsi="Cambria Math" w:cs="Arial"/>
                <w:sz w:val="20"/>
                <w:szCs w:val="20"/>
              </w:rPr>
              <m:t>blue hydrogen</m:t>
            </m:r>
          </m:sub>
        </m:sSub>
      </m:oMath>
      <w:r w:rsidRPr="00320B7E">
        <w:rPr>
          <w:rFonts w:ascii="Arial" w:eastAsiaTheme="minorEastAsia" w:hAnsi="Arial" w:cs="Arial"/>
          <w:sz w:val="20"/>
          <w:szCs w:val="20"/>
        </w:rPr>
        <w:t xml:space="preserve"> and </w:t>
      </w:r>
      <m:oMath>
        <m:sSub>
          <m:sSubPr>
            <m:ctrlPr>
              <w:rPr>
                <w:rFonts w:ascii="Cambria Math" w:hAnsi="Cambria Math" w:cs="Arial"/>
                <w:i/>
                <w:sz w:val="20"/>
                <w:szCs w:val="20"/>
              </w:rPr>
            </m:ctrlPr>
          </m:sSubPr>
          <m:e>
            <m:r>
              <w:rPr>
                <w:rFonts w:ascii="Cambria Math" w:hAnsi="Cambria Math" w:cs="Arial"/>
                <w:sz w:val="20"/>
                <w:szCs w:val="20"/>
              </w:rPr>
              <m:t>CA</m:t>
            </m:r>
          </m:e>
          <m:sub>
            <m:r>
              <w:rPr>
                <w:rFonts w:ascii="Cambria Math" w:hAnsi="Cambria Math" w:cs="Arial"/>
                <w:sz w:val="20"/>
                <w:szCs w:val="20"/>
              </w:rPr>
              <m:t>electrolytic hydrogen</m:t>
            </m:r>
          </m:sub>
        </m:sSub>
      </m:oMath>
      <w:r w:rsidRPr="00320B7E">
        <w:rPr>
          <w:rFonts w:ascii="Arial" w:eastAsiaTheme="minorEastAsia" w:hAnsi="Arial" w:cs="Arial"/>
          <w:sz w:val="20"/>
          <w:szCs w:val="20"/>
        </w:rPr>
        <w:t xml:space="preserve"> represent the carbon avoidance of both blue hydrogen and electrolytic hydrogen</w:t>
      </w:r>
      <w:r>
        <w:rPr>
          <w:rFonts w:ascii="Arial" w:eastAsiaTheme="minorEastAsia" w:hAnsi="Arial" w:cs="Arial"/>
          <w:sz w:val="20"/>
          <w:szCs w:val="20"/>
        </w:rPr>
        <w:t xml:space="preserve"> options relative to natural gas, respectively. </w:t>
      </w:r>
      <m:oMath>
        <m:sSub>
          <m:sSubPr>
            <m:ctrlPr>
              <w:rPr>
                <w:rFonts w:ascii="Cambria Math" w:hAnsi="Cambria Math" w:cs="Arial"/>
                <w:i/>
                <w:sz w:val="20"/>
                <w:szCs w:val="20"/>
              </w:rPr>
            </m:ctrlPr>
          </m:sSubPr>
          <m:e>
            <m:r>
              <w:rPr>
                <w:rFonts w:ascii="Cambria Math" w:hAnsi="Cambria Math" w:cs="Arial"/>
                <w:sz w:val="20"/>
                <w:szCs w:val="20"/>
              </w:rPr>
              <m:t>CE</m:t>
            </m:r>
          </m:e>
          <m:sub>
            <m:r>
              <w:rPr>
                <w:rFonts w:ascii="Cambria Math" w:hAnsi="Cambria Math" w:cs="Arial"/>
                <w:sz w:val="20"/>
                <w:szCs w:val="20"/>
              </w:rPr>
              <m:t>natural gas</m:t>
            </m:r>
          </m:sub>
        </m:sSub>
      </m:oMath>
      <w:r w:rsidRPr="00320B7E">
        <w:rPr>
          <w:rFonts w:ascii="Arial" w:eastAsiaTheme="minorEastAsia" w:hAnsi="Arial" w:cs="Arial"/>
          <w:sz w:val="20"/>
          <w:szCs w:val="20"/>
        </w:rPr>
        <w:t xml:space="preserve"> is a model parameter which represents the direct emission intensity of natural gas, assumed to </w:t>
      </w:r>
      <w:r>
        <w:rPr>
          <w:rFonts w:ascii="Arial" w:eastAsiaTheme="minorEastAsia" w:hAnsi="Arial" w:cs="Arial"/>
          <w:sz w:val="20"/>
          <w:szCs w:val="20"/>
        </w:rPr>
        <w:t xml:space="preserve">be </w:t>
      </w:r>
      <w:r w:rsidRPr="00320B7E">
        <w:rPr>
          <w:rFonts w:ascii="Arial" w:eastAsiaTheme="minorEastAsia" w:hAnsi="Arial" w:cs="Arial"/>
          <w:sz w:val="20"/>
          <w:szCs w:val="20"/>
        </w:rPr>
        <w:t>203.7 kg CO</w:t>
      </w:r>
      <w:r w:rsidRPr="00320B7E">
        <w:rPr>
          <w:rFonts w:ascii="Arial" w:eastAsiaTheme="minorEastAsia" w:hAnsi="Arial" w:cs="Arial"/>
          <w:sz w:val="20"/>
          <w:szCs w:val="20"/>
          <w:vertAlign w:val="subscript"/>
        </w:rPr>
        <w:t>2</w:t>
      </w:r>
      <w:r w:rsidRPr="00320B7E">
        <w:rPr>
          <w:rFonts w:ascii="Arial" w:eastAsiaTheme="minorEastAsia" w:hAnsi="Arial" w:cs="Arial"/>
          <w:sz w:val="20"/>
          <w:szCs w:val="20"/>
        </w:rPr>
        <w:t>,eq/MWh</w:t>
      </w:r>
      <w:r>
        <w:rPr>
          <w:rFonts w:ascii="Arial" w:eastAsiaTheme="minorEastAsia" w:hAnsi="Arial" w:cs="Arial"/>
          <w:sz w:val="20"/>
          <w:szCs w:val="20"/>
        </w:rPr>
        <w:t xml:space="preserve"> LHV</w:t>
      </w:r>
      <w:r>
        <w:rPr>
          <w:rFonts w:ascii="Arial" w:eastAsiaTheme="minorEastAsia" w:hAnsi="Arial" w:cs="Arial"/>
          <w:sz w:val="20"/>
          <w:szCs w:val="20"/>
        </w:rPr>
        <w:fldChar w:fldCharType="begin" w:fldLock="1"/>
      </w:r>
      <w:r w:rsidR="00050D6C">
        <w:rPr>
          <w:rFonts w:ascii="Arial" w:eastAsiaTheme="minorEastAsia" w:hAnsi="Arial" w:cs="Arial"/>
          <w:sz w:val="20"/>
          <w:szCs w:val="20"/>
        </w:rPr>
        <w:instrText>ADDIN CSL_CITATION {"citationItems":[{"id":"ITEM-1","itemData":{"URL":"https://www.gov.uk/government/publications/greenhouse-gas-reporting-conversion-factors-2020","accessed":{"date-parts":[["2021","4","24"]]},"author":[{"dropping-particle":"","family":"Department for Business Energy &amp; Industrial Stratergy","given":"","non-dropping-particle":"","parse-names":false,"suffix":""}],"id":"ITEM-1","issued":{"date-parts":[["2020"]]},"title":"Greenhouse gas reporting: conversion factors 2020","type":"webpage"},"uris":["http://www.mendeley.com/documents/?uuid=df66a366-2c41-36ed-938c-4b43ed18be6e"]}],"mendeley":{"formattedCitation":"&lt;sup&gt;7&lt;/sup&gt;","plainTextFormattedCitation":"7","previouslyFormattedCitation":"&lt;sup&gt;6&lt;/sup&gt;"},"properties":{"noteIndex":0},"schema":"https://github.com/citation-style-language/schema/raw/master/csl-citation.json"}</w:instrText>
      </w:r>
      <w:r>
        <w:rPr>
          <w:rFonts w:ascii="Arial" w:eastAsiaTheme="minorEastAsia" w:hAnsi="Arial" w:cs="Arial"/>
          <w:sz w:val="20"/>
          <w:szCs w:val="20"/>
        </w:rPr>
        <w:fldChar w:fldCharType="separate"/>
      </w:r>
      <w:r w:rsidR="00050D6C" w:rsidRPr="00050D6C">
        <w:rPr>
          <w:rFonts w:ascii="Arial" w:eastAsiaTheme="minorEastAsia" w:hAnsi="Arial" w:cs="Arial"/>
          <w:noProof/>
          <w:sz w:val="20"/>
          <w:szCs w:val="20"/>
          <w:vertAlign w:val="superscript"/>
        </w:rPr>
        <w:t>7</w:t>
      </w:r>
      <w:r>
        <w:rPr>
          <w:rFonts w:ascii="Arial" w:eastAsiaTheme="minorEastAsia" w:hAnsi="Arial" w:cs="Arial"/>
          <w:sz w:val="20"/>
          <w:szCs w:val="20"/>
        </w:rPr>
        <w:fldChar w:fldCharType="end"/>
      </w:r>
      <w:r w:rsidRPr="00320B7E">
        <w:rPr>
          <w:rFonts w:ascii="Arial" w:eastAsiaTheme="minorEastAsia" w:hAnsi="Arial" w:cs="Arial"/>
          <w:sz w:val="20"/>
          <w:szCs w:val="20"/>
        </w:rPr>
        <w:t>.</w:t>
      </w:r>
      <w:r>
        <w:rPr>
          <w:rFonts w:ascii="Arial" w:eastAsiaTheme="minorEastAsia" w:hAnsi="Arial" w:cs="Arial"/>
          <w:sz w:val="20"/>
          <w:szCs w:val="20"/>
        </w:rPr>
        <w:t xml:space="preserve"> For Figure 3A, the </w:t>
      </w:r>
      <m:oMath>
        <m:sSub>
          <m:sSubPr>
            <m:ctrlPr>
              <w:rPr>
                <w:rFonts w:ascii="Cambria Math" w:hAnsi="Cambria Math" w:cs="Arial"/>
                <w:i/>
                <w:sz w:val="20"/>
                <w:szCs w:val="20"/>
              </w:rPr>
            </m:ctrlPr>
          </m:sSubPr>
          <m:e>
            <m:r>
              <w:rPr>
                <w:rFonts w:ascii="Cambria Math" w:hAnsi="Cambria Math" w:cs="Arial"/>
                <w:sz w:val="20"/>
                <w:szCs w:val="20"/>
              </w:rPr>
              <m:t>CI</m:t>
            </m:r>
          </m:e>
          <m:sub>
            <m:r>
              <w:rPr>
                <w:rFonts w:ascii="Cambria Math" w:hAnsi="Cambria Math" w:cs="Arial"/>
                <w:sz w:val="20"/>
                <w:szCs w:val="20"/>
              </w:rPr>
              <m:t>electricity</m:t>
            </m:r>
          </m:sub>
        </m:sSub>
      </m:oMath>
      <w:r>
        <w:rPr>
          <w:rFonts w:ascii="Arial" w:eastAsiaTheme="minorEastAsia" w:hAnsi="Arial" w:cs="Arial"/>
          <w:sz w:val="20"/>
          <w:szCs w:val="20"/>
        </w:rPr>
        <w:t xml:space="preserve"> variable uses a bound of 0 – 160</w:t>
      </w:r>
      <w:r w:rsidRPr="00FC1476">
        <w:rPr>
          <w:rFonts w:ascii="Arial" w:eastAsiaTheme="minorEastAsia" w:hAnsi="Arial" w:cs="Arial"/>
          <w:sz w:val="20"/>
          <w:szCs w:val="20"/>
        </w:rPr>
        <w:t xml:space="preserve"> </w:t>
      </w:r>
      <w:r w:rsidRPr="00320B7E">
        <w:rPr>
          <w:rFonts w:ascii="Arial" w:eastAsiaTheme="minorEastAsia" w:hAnsi="Arial" w:cs="Arial"/>
          <w:sz w:val="20"/>
          <w:szCs w:val="20"/>
        </w:rPr>
        <w:t>kg CO</w:t>
      </w:r>
      <w:r w:rsidRPr="00320B7E">
        <w:rPr>
          <w:rFonts w:ascii="Arial" w:eastAsiaTheme="minorEastAsia" w:hAnsi="Arial" w:cs="Arial"/>
          <w:sz w:val="20"/>
          <w:szCs w:val="20"/>
          <w:vertAlign w:val="subscript"/>
        </w:rPr>
        <w:t>2</w:t>
      </w:r>
      <w:r w:rsidRPr="00320B7E">
        <w:rPr>
          <w:rFonts w:ascii="Arial" w:eastAsiaTheme="minorEastAsia" w:hAnsi="Arial" w:cs="Arial"/>
          <w:sz w:val="20"/>
          <w:szCs w:val="20"/>
        </w:rPr>
        <w:t>,eq/MWh</w:t>
      </w:r>
      <w:r>
        <w:rPr>
          <w:rFonts w:ascii="Arial" w:eastAsiaTheme="minorEastAsia" w:hAnsi="Arial" w:cs="Arial"/>
          <w:sz w:val="20"/>
          <w:szCs w:val="20"/>
        </w:rPr>
        <w:t>.</w:t>
      </w:r>
    </w:p>
    <w:p w14:paraId="3E9239D6" w14:textId="3EE120C2" w:rsidR="00B831F5" w:rsidRDefault="00B831F5" w:rsidP="00B831F5">
      <w:pPr>
        <w:keepNext/>
      </w:pPr>
    </w:p>
    <w:p w14:paraId="0EB447B3" w14:textId="72903C75" w:rsidR="00734D79" w:rsidRDefault="00734D79" w:rsidP="00B831F5">
      <w:pPr>
        <w:keepNext/>
      </w:pPr>
      <w:r>
        <w:rPr>
          <w:noProof/>
        </w:rPr>
        <w:drawing>
          <wp:inline distT="0" distB="0" distL="0" distR="0" wp14:anchorId="226C3DB5" wp14:editId="3160EE81">
            <wp:extent cx="5731510" cy="2306320"/>
            <wp:effectExtent l="0" t="0" r="2540" b="0"/>
            <wp:docPr id="5" name="Picture 5"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chart&#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31510" cy="2306320"/>
                    </a:xfrm>
                    <a:prstGeom prst="rect">
                      <a:avLst/>
                    </a:prstGeom>
                  </pic:spPr>
                </pic:pic>
              </a:graphicData>
            </a:graphic>
          </wp:inline>
        </w:drawing>
      </w:r>
    </w:p>
    <w:p w14:paraId="7C53F71A" w14:textId="0B48BB59" w:rsidR="00E449BC" w:rsidRPr="00B831F5" w:rsidRDefault="00B831F5" w:rsidP="00B831F5">
      <w:pPr>
        <w:pStyle w:val="Caption"/>
        <w:rPr>
          <w:rFonts w:ascii="Arial" w:hAnsi="Arial" w:cs="Arial"/>
        </w:rPr>
      </w:pPr>
      <w:r w:rsidRPr="00B831F5">
        <w:rPr>
          <w:rFonts w:ascii="Arial" w:hAnsi="Arial" w:cs="Arial"/>
        </w:rPr>
        <w:t>Figure S</w:t>
      </w:r>
      <w:r w:rsidRPr="00B831F5">
        <w:rPr>
          <w:rFonts w:ascii="Arial" w:hAnsi="Arial" w:cs="Arial"/>
        </w:rPr>
        <w:fldChar w:fldCharType="begin"/>
      </w:r>
      <w:r w:rsidRPr="00B831F5">
        <w:rPr>
          <w:rFonts w:ascii="Arial" w:hAnsi="Arial" w:cs="Arial"/>
        </w:rPr>
        <w:instrText xml:space="preserve"> SEQ Figure \* ARABIC </w:instrText>
      </w:r>
      <w:r w:rsidRPr="00B831F5">
        <w:rPr>
          <w:rFonts w:ascii="Arial" w:hAnsi="Arial" w:cs="Arial"/>
        </w:rPr>
        <w:fldChar w:fldCharType="separate"/>
      </w:r>
      <w:r w:rsidR="0003272E">
        <w:rPr>
          <w:rFonts w:ascii="Arial" w:hAnsi="Arial" w:cs="Arial"/>
          <w:noProof/>
        </w:rPr>
        <w:t>3</w:t>
      </w:r>
      <w:r w:rsidRPr="00B831F5">
        <w:rPr>
          <w:rFonts w:ascii="Arial" w:hAnsi="Arial" w:cs="Arial"/>
        </w:rPr>
        <w:fldChar w:fldCharType="end"/>
      </w:r>
      <w:r w:rsidRPr="00B831F5">
        <w:rPr>
          <w:rFonts w:ascii="Arial" w:hAnsi="Arial" w:cs="Arial"/>
        </w:rPr>
        <w:t>:</w:t>
      </w:r>
      <w:r w:rsidR="00267D56">
        <w:rPr>
          <w:rFonts w:ascii="Arial" w:hAnsi="Arial" w:cs="Arial"/>
        </w:rPr>
        <w:t xml:space="preserve"> </w:t>
      </w:r>
      <w:r w:rsidR="00542BC6">
        <w:rPr>
          <w:rFonts w:ascii="Arial" w:hAnsi="Arial" w:cs="Arial"/>
        </w:rPr>
        <w:t>CO</w:t>
      </w:r>
      <w:r w:rsidR="00542BC6" w:rsidRPr="00542BC6">
        <w:rPr>
          <w:rFonts w:ascii="Arial" w:hAnsi="Arial" w:cs="Arial"/>
          <w:vertAlign w:val="subscript"/>
        </w:rPr>
        <w:t>2</w:t>
      </w:r>
      <w:r w:rsidR="00542BC6">
        <w:rPr>
          <w:rFonts w:ascii="Arial" w:hAnsi="Arial" w:cs="Arial"/>
        </w:rPr>
        <w:t xml:space="preserve"> avoidance of blue and electrolytic hydrogen as a function of the carbon footprint of electricity (A),</w:t>
      </w:r>
      <w:r w:rsidR="00734D79">
        <w:rPr>
          <w:rFonts w:ascii="Arial" w:hAnsi="Arial" w:cs="Arial"/>
        </w:rPr>
        <w:t>and regionally disaggregated based on the electricity grid carbon footprint from the year, 2019</w:t>
      </w:r>
      <w:r w:rsidR="00542BC6">
        <w:rPr>
          <w:rFonts w:ascii="Arial" w:hAnsi="Arial" w:cs="Arial"/>
        </w:rPr>
        <w:t xml:space="preserve">. </w:t>
      </w:r>
    </w:p>
    <w:p w14:paraId="7875D2F1" w14:textId="77777777" w:rsidR="008E201A" w:rsidRDefault="008E201A" w:rsidP="00E449BC"/>
    <w:p w14:paraId="1CF34191" w14:textId="13A6DE09" w:rsidR="00E449BC" w:rsidRDefault="00E449BC" w:rsidP="00E449BC">
      <w:pPr>
        <w:pStyle w:val="Heading2"/>
        <w:rPr>
          <w:rFonts w:ascii="Arial" w:hAnsi="Arial" w:cs="Arial"/>
        </w:rPr>
      </w:pPr>
      <w:r w:rsidRPr="00E449BC">
        <w:rPr>
          <w:rFonts w:ascii="Arial" w:hAnsi="Arial" w:cs="Arial"/>
        </w:rPr>
        <w:t>S</w:t>
      </w:r>
      <w:r w:rsidR="00413AE8">
        <w:rPr>
          <w:rFonts w:ascii="Arial" w:hAnsi="Arial" w:cs="Arial"/>
        </w:rPr>
        <w:t>1</w:t>
      </w:r>
      <w:r w:rsidRPr="00E449BC">
        <w:rPr>
          <w:rFonts w:ascii="Arial" w:hAnsi="Arial" w:cs="Arial"/>
        </w:rPr>
        <w:t>.</w:t>
      </w:r>
      <w:r w:rsidR="00ED09F5">
        <w:rPr>
          <w:rFonts w:ascii="Arial" w:hAnsi="Arial" w:cs="Arial"/>
        </w:rPr>
        <w:t>4</w:t>
      </w:r>
      <w:r w:rsidRPr="00E449BC">
        <w:rPr>
          <w:rFonts w:ascii="Arial" w:hAnsi="Arial" w:cs="Arial"/>
        </w:rPr>
        <w:t xml:space="preserve"> – </w:t>
      </w:r>
      <w:r w:rsidR="007161C5">
        <w:rPr>
          <w:rFonts w:ascii="Arial" w:hAnsi="Arial" w:cs="Arial"/>
        </w:rPr>
        <w:t xml:space="preserve">Design basis </w:t>
      </w:r>
      <w:r w:rsidRPr="00E449BC">
        <w:rPr>
          <w:rFonts w:ascii="Arial" w:hAnsi="Arial" w:cs="Arial"/>
        </w:rPr>
        <w:t>for Figures 2A and 2B</w:t>
      </w:r>
    </w:p>
    <w:p w14:paraId="3F5D9A88" w14:textId="5F998AEA" w:rsidR="007161C5" w:rsidRDefault="007161C5" w:rsidP="007161C5">
      <w:pPr>
        <w:jc w:val="both"/>
        <w:rPr>
          <w:rFonts w:ascii="Arial" w:hAnsi="Arial" w:cs="Arial"/>
          <w:sz w:val="20"/>
          <w:szCs w:val="20"/>
        </w:rPr>
      </w:pPr>
      <w:r w:rsidRPr="005962B9">
        <w:rPr>
          <w:rFonts w:ascii="Arial" w:hAnsi="Arial" w:cs="Arial"/>
          <w:sz w:val="20"/>
          <w:szCs w:val="20"/>
        </w:rPr>
        <w:t>Figures 2A and 2B present a cradle-to-gate LCA analysis of different H</w:t>
      </w:r>
      <w:r w:rsidRPr="005962B9">
        <w:rPr>
          <w:rFonts w:ascii="Arial" w:hAnsi="Arial" w:cs="Arial"/>
          <w:sz w:val="20"/>
          <w:szCs w:val="20"/>
          <w:vertAlign w:val="subscript"/>
        </w:rPr>
        <w:t>2</w:t>
      </w:r>
      <w:r w:rsidRPr="005962B9">
        <w:rPr>
          <w:rFonts w:ascii="Arial" w:hAnsi="Arial" w:cs="Arial"/>
          <w:sz w:val="20"/>
          <w:szCs w:val="20"/>
        </w:rPr>
        <w:t xml:space="preserve"> supply pathways for supplying the variable heating demands in the North of England. The functional unit for all the production pathways is “1 M</w:t>
      </w:r>
      <w:r w:rsidR="008828C0" w:rsidRPr="005962B9">
        <w:rPr>
          <w:rFonts w:ascii="Arial" w:hAnsi="Arial" w:cs="Arial"/>
          <w:sz w:val="20"/>
          <w:szCs w:val="20"/>
        </w:rPr>
        <w:t>Wh</w:t>
      </w:r>
      <w:r w:rsidRPr="005962B9">
        <w:rPr>
          <w:rFonts w:ascii="Arial" w:hAnsi="Arial" w:cs="Arial"/>
          <w:sz w:val="20"/>
          <w:szCs w:val="20"/>
        </w:rPr>
        <w:t xml:space="preserve"> </w:t>
      </w:r>
      <w:r w:rsidR="008828C0" w:rsidRPr="005962B9">
        <w:rPr>
          <w:rFonts w:ascii="Arial" w:hAnsi="Arial" w:cs="Arial"/>
          <w:sz w:val="20"/>
          <w:szCs w:val="20"/>
        </w:rPr>
        <w:t>LHV</w:t>
      </w:r>
      <w:r w:rsidRPr="005962B9">
        <w:rPr>
          <w:rFonts w:ascii="Arial" w:hAnsi="Arial" w:cs="Arial"/>
          <w:sz w:val="20"/>
          <w:szCs w:val="20"/>
        </w:rPr>
        <w:t xml:space="preserve"> of H</w:t>
      </w:r>
      <w:r w:rsidRPr="005962B9">
        <w:rPr>
          <w:rFonts w:ascii="Arial" w:hAnsi="Arial" w:cs="Arial"/>
          <w:sz w:val="20"/>
          <w:szCs w:val="20"/>
          <w:vertAlign w:val="subscript"/>
        </w:rPr>
        <w:t>2</w:t>
      </w:r>
      <w:r w:rsidRPr="005962B9">
        <w:rPr>
          <w:rFonts w:ascii="Arial" w:hAnsi="Arial" w:cs="Arial"/>
          <w:sz w:val="20"/>
          <w:szCs w:val="20"/>
        </w:rPr>
        <w:t>” and the reference flow is “1 M</w:t>
      </w:r>
      <w:r w:rsidR="008828C0" w:rsidRPr="005962B9">
        <w:rPr>
          <w:rFonts w:ascii="Arial" w:hAnsi="Arial" w:cs="Arial"/>
          <w:sz w:val="20"/>
          <w:szCs w:val="20"/>
        </w:rPr>
        <w:t>Wh</w:t>
      </w:r>
      <w:r w:rsidRPr="005962B9">
        <w:rPr>
          <w:rFonts w:ascii="Arial" w:hAnsi="Arial" w:cs="Arial"/>
          <w:sz w:val="20"/>
          <w:szCs w:val="20"/>
        </w:rPr>
        <w:t xml:space="preserve"> of H</w:t>
      </w:r>
      <w:r w:rsidRPr="005962B9">
        <w:rPr>
          <w:rFonts w:ascii="Arial" w:hAnsi="Arial" w:cs="Arial"/>
          <w:sz w:val="20"/>
          <w:szCs w:val="20"/>
          <w:vertAlign w:val="subscript"/>
        </w:rPr>
        <w:t>2</w:t>
      </w:r>
      <w:r w:rsidRPr="005962B9">
        <w:rPr>
          <w:rFonts w:ascii="Arial" w:hAnsi="Arial" w:cs="Arial"/>
          <w:sz w:val="20"/>
          <w:szCs w:val="20"/>
        </w:rPr>
        <w:t xml:space="preserve"> </w:t>
      </w:r>
      <w:r w:rsidR="008828C0" w:rsidRPr="005962B9">
        <w:rPr>
          <w:rFonts w:ascii="Arial" w:hAnsi="Arial" w:cs="Arial"/>
          <w:sz w:val="20"/>
          <w:szCs w:val="20"/>
        </w:rPr>
        <w:t>L</w:t>
      </w:r>
      <w:r w:rsidRPr="005962B9">
        <w:rPr>
          <w:rFonts w:ascii="Arial" w:hAnsi="Arial" w:cs="Arial"/>
          <w:sz w:val="20"/>
          <w:szCs w:val="20"/>
        </w:rPr>
        <w:t>HV with at least 97.5% purity at 80 bar and an ambient temperature of 22 °C”. The cut-off criteria refer to the omission of non-relevant life cycle stages, activities, and elementary flows in the modelling. A cut-off criteria of 5% of process inventory (by mass, energy, and environmental impact flows) is adopted as per the guidelines in “FC-Hy Guide”</w:t>
      </w:r>
      <w:r w:rsidRPr="005962B9">
        <w:rPr>
          <w:rFonts w:ascii="Arial" w:hAnsi="Arial" w:cs="Arial"/>
          <w:sz w:val="20"/>
          <w:szCs w:val="20"/>
        </w:rPr>
        <w:fldChar w:fldCharType="begin" w:fldLock="1"/>
      </w:r>
      <w:r w:rsidR="00050D6C">
        <w:rPr>
          <w:rFonts w:ascii="Arial" w:hAnsi="Arial" w:cs="Arial"/>
          <w:sz w:val="20"/>
          <w:szCs w:val="20"/>
        </w:rPr>
        <w:instrText>ADDIN CSL_CITATION {"citationItems":[{"id":"ITEM-1","itemData":{"author":[{"dropping-particle":"","family":"Masoni","given":"P.","non-dropping-particle":"","parse-names":false,"suffix":""},{"dropping-particle":"","family":"Zamagni","given":"A.","non-dropping-particle":"","parse-names":false,"suffix":""}],"id":"ITEM-1","issued":{"date-parts":[["2011"]]},"title":"Guidance Document for performing LCAs on Fuel Cells and H</w:instrText>
      </w:r>
      <w:r w:rsidR="00050D6C">
        <w:rPr>
          <w:rFonts w:ascii="Cambria Math" w:hAnsi="Cambria Math" w:cs="Cambria Math"/>
          <w:sz w:val="20"/>
          <w:szCs w:val="20"/>
        </w:rPr>
        <w:instrText>₂</w:instrText>
      </w:r>
      <w:r w:rsidR="00050D6C">
        <w:rPr>
          <w:rFonts w:ascii="Arial" w:hAnsi="Arial" w:cs="Arial"/>
          <w:sz w:val="20"/>
          <w:szCs w:val="20"/>
        </w:rPr>
        <w:instrText xml:space="preserve"> Technologies","type":"report"},"uris":["http://www.mendeley.com/documents/?uuid=b801b432-a245-4de4-aaed-8fc5e948f229"]}],"mendeley":{"formattedCitation":"&lt;sup&gt;8&lt;/sup&gt;","plainTextFormattedCitation":"8","previouslyFormattedCitation":"&lt;sup&gt;7&lt;/sup&gt;"},"properties":{"noteIndex":0},"schema":"https://github.com/citation-style-language/schema/raw/master/csl-citation.json"}</w:instrText>
      </w:r>
      <w:r w:rsidRPr="005962B9">
        <w:rPr>
          <w:rFonts w:ascii="Arial" w:hAnsi="Arial" w:cs="Arial"/>
          <w:sz w:val="20"/>
          <w:szCs w:val="20"/>
        </w:rPr>
        <w:fldChar w:fldCharType="separate"/>
      </w:r>
      <w:r w:rsidR="00050D6C" w:rsidRPr="00050D6C">
        <w:rPr>
          <w:rFonts w:ascii="Arial" w:hAnsi="Arial" w:cs="Arial"/>
          <w:noProof/>
          <w:sz w:val="20"/>
          <w:szCs w:val="20"/>
          <w:vertAlign w:val="superscript"/>
        </w:rPr>
        <w:t>8</w:t>
      </w:r>
      <w:r w:rsidRPr="005962B9">
        <w:rPr>
          <w:rFonts w:ascii="Arial" w:hAnsi="Arial" w:cs="Arial"/>
          <w:sz w:val="20"/>
          <w:szCs w:val="20"/>
        </w:rPr>
        <w:fldChar w:fldCharType="end"/>
      </w:r>
      <w:r w:rsidRPr="005962B9">
        <w:rPr>
          <w:rFonts w:ascii="Arial" w:hAnsi="Arial" w:cs="Arial"/>
          <w:sz w:val="20"/>
          <w:szCs w:val="20"/>
        </w:rPr>
        <w:t>, with exceptions which represent SMR/ ATR plant emissions of trace substances such as amine emissions, freshwater consumption and wastewater releases for all processes</w:t>
      </w:r>
      <w:r w:rsidR="008828C0" w:rsidRPr="005962B9">
        <w:rPr>
          <w:rFonts w:ascii="Arial" w:hAnsi="Arial" w:cs="Arial"/>
          <w:sz w:val="20"/>
          <w:szCs w:val="20"/>
        </w:rPr>
        <w:t>.</w:t>
      </w:r>
      <w:r w:rsidRPr="005962B9">
        <w:rPr>
          <w:rFonts w:ascii="Arial" w:hAnsi="Arial" w:cs="Arial"/>
          <w:sz w:val="20"/>
          <w:szCs w:val="20"/>
        </w:rPr>
        <w:t xml:space="preserve"> </w:t>
      </w:r>
    </w:p>
    <w:p w14:paraId="0B341EB6" w14:textId="77777777" w:rsidR="0003272E" w:rsidRDefault="008E201A" w:rsidP="0003272E">
      <w:pPr>
        <w:keepNext/>
        <w:jc w:val="both"/>
      </w:pPr>
      <w:r>
        <w:rPr>
          <w:noProof/>
          <w:sz w:val="16"/>
          <w:szCs w:val="16"/>
        </w:rPr>
        <w:lastRenderedPageBreak/>
        <w:drawing>
          <wp:inline distT="0" distB="0" distL="0" distR="0" wp14:anchorId="3CA1A67A" wp14:editId="2592FE02">
            <wp:extent cx="5669280" cy="2789421"/>
            <wp:effectExtent l="0" t="0" r="7620" b="0"/>
            <wp:docPr id="1" name="Picture 1" descr="Chart, rad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radar chart&#10;&#10;Description automatically generated"/>
                    <pic:cNvPicPr/>
                  </pic:nvPicPr>
                  <pic:blipFill>
                    <a:blip r:embed="rId11"/>
                    <a:stretch>
                      <a:fillRect/>
                    </a:stretch>
                  </pic:blipFill>
                  <pic:spPr>
                    <a:xfrm>
                      <a:off x="0" y="0"/>
                      <a:ext cx="5675909" cy="2792683"/>
                    </a:xfrm>
                    <a:prstGeom prst="rect">
                      <a:avLst/>
                    </a:prstGeom>
                  </pic:spPr>
                </pic:pic>
              </a:graphicData>
            </a:graphic>
          </wp:inline>
        </w:drawing>
      </w:r>
    </w:p>
    <w:p w14:paraId="7F642308" w14:textId="7D932599" w:rsidR="008E201A" w:rsidRPr="0003272E" w:rsidRDefault="0003272E" w:rsidP="0003272E">
      <w:pPr>
        <w:pStyle w:val="Caption"/>
        <w:jc w:val="both"/>
        <w:rPr>
          <w:rFonts w:ascii="Arial" w:hAnsi="Arial" w:cs="Arial"/>
          <w:sz w:val="20"/>
          <w:szCs w:val="20"/>
        </w:rPr>
      </w:pPr>
      <w:r w:rsidRPr="0003272E">
        <w:rPr>
          <w:rFonts w:ascii="Arial" w:hAnsi="Arial" w:cs="Arial"/>
        </w:rPr>
        <w:t xml:space="preserve">Figure </w:t>
      </w:r>
      <w:r>
        <w:rPr>
          <w:rFonts w:ascii="Arial" w:hAnsi="Arial" w:cs="Arial"/>
        </w:rPr>
        <w:t>S</w:t>
      </w:r>
      <w:r w:rsidRPr="0003272E">
        <w:rPr>
          <w:rFonts w:ascii="Arial" w:hAnsi="Arial" w:cs="Arial"/>
        </w:rPr>
        <w:fldChar w:fldCharType="begin"/>
      </w:r>
      <w:r w:rsidRPr="0003272E">
        <w:rPr>
          <w:rFonts w:ascii="Arial" w:hAnsi="Arial" w:cs="Arial"/>
        </w:rPr>
        <w:instrText xml:space="preserve"> SEQ Figure \* ARABIC </w:instrText>
      </w:r>
      <w:r w:rsidRPr="0003272E">
        <w:rPr>
          <w:rFonts w:ascii="Arial" w:hAnsi="Arial" w:cs="Arial"/>
        </w:rPr>
        <w:fldChar w:fldCharType="separate"/>
      </w:r>
      <w:r w:rsidRPr="0003272E">
        <w:rPr>
          <w:rFonts w:ascii="Arial" w:hAnsi="Arial" w:cs="Arial"/>
          <w:noProof/>
        </w:rPr>
        <w:t>4</w:t>
      </w:r>
      <w:r w:rsidRPr="0003272E">
        <w:rPr>
          <w:rFonts w:ascii="Arial" w:hAnsi="Arial" w:cs="Arial"/>
        </w:rPr>
        <w:fldChar w:fldCharType="end"/>
      </w:r>
      <w:r w:rsidRPr="0003272E">
        <w:rPr>
          <w:rFonts w:ascii="Arial" w:hAnsi="Arial" w:cs="Arial"/>
        </w:rPr>
        <w:t>:</w:t>
      </w:r>
      <w:r>
        <w:rPr>
          <w:rFonts w:ascii="Arial" w:hAnsi="Arial" w:cs="Arial"/>
        </w:rPr>
        <w:t xml:space="preserve"> </w:t>
      </w:r>
      <w:r w:rsidR="00FD63E0">
        <w:rPr>
          <w:rFonts w:ascii="Arial" w:hAnsi="Arial" w:cs="Arial"/>
        </w:rPr>
        <w:t xml:space="preserve">Global warming potential of hydrogen supply </w:t>
      </w:r>
      <w:r w:rsidR="00A14386">
        <w:rPr>
          <w:rFonts w:ascii="Arial" w:hAnsi="Arial" w:cs="Arial"/>
        </w:rPr>
        <w:t xml:space="preserve">routes (A). Abbreviations: Steam methane reforming (SMR), autothermal reforming (ATR), water electrolysis (WE). Two location references are used – Great Britain (GB) and Norway (NO) – which is used to study the impact of using different natural gas and electricity supplies on the overall environmental performance of the supply routes. The textured bars denote both the direct and indirect impacts from operating the production facility. </w:t>
      </w:r>
      <w:r w:rsidR="00894EFB">
        <w:rPr>
          <w:rFonts w:ascii="Arial" w:hAnsi="Arial" w:cs="Arial"/>
        </w:rPr>
        <w:t xml:space="preserve">The radar plot (B) summarises the overall performance of the different hydrogen supply routes in Great Britain across other key performance indicators. See Figure S7 for a side-by-side comparison of </w:t>
      </w:r>
      <w:r w:rsidR="001565B8">
        <w:rPr>
          <w:rFonts w:ascii="Arial" w:hAnsi="Arial" w:cs="Arial"/>
        </w:rPr>
        <w:t xml:space="preserve">other key performance indicators for the </w:t>
      </w:r>
      <w:r w:rsidR="00894EFB">
        <w:rPr>
          <w:rFonts w:ascii="Arial" w:hAnsi="Arial" w:cs="Arial"/>
        </w:rPr>
        <w:t>different supplies in GB and NO.</w:t>
      </w:r>
    </w:p>
    <w:p w14:paraId="62D58A54" w14:textId="09DC2E38" w:rsidR="007161C5" w:rsidRPr="005962B9" w:rsidRDefault="007161C5" w:rsidP="007161C5">
      <w:pPr>
        <w:jc w:val="both"/>
        <w:rPr>
          <w:rFonts w:ascii="Arial" w:hAnsi="Arial" w:cs="Arial"/>
          <w:sz w:val="20"/>
          <w:szCs w:val="20"/>
        </w:rPr>
      </w:pPr>
      <w:r w:rsidRPr="005962B9">
        <w:rPr>
          <w:rFonts w:ascii="Arial" w:hAnsi="Arial" w:cs="Arial"/>
          <w:sz w:val="20"/>
          <w:szCs w:val="20"/>
        </w:rPr>
        <w:t>The production system outlined in the H21 North of England report</w:t>
      </w:r>
      <w:r w:rsidR="008828C0" w:rsidRPr="005962B9">
        <w:rPr>
          <w:rFonts w:ascii="Arial" w:hAnsi="Arial" w:cs="Arial"/>
          <w:sz w:val="20"/>
          <w:szCs w:val="20"/>
        </w:rPr>
        <w:fldChar w:fldCharType="begin" w:fldLock="1"/>
      </w:r>
      <w:r w:rsidR="00050D6C">
        <w:rPr>
          <w:rFonts w:ascii="Arial" w:hAnsi="Arial" w:cs="Arial"/>
          <w:sz w:val="20"/>
          <w:szCs w:val="20"/>
        </w:rPr>
        <w:instrText>ADDIN CSL_CITATION {"citationItems":[{"id":"ITEM-1","itemData":{"abstract":"The H21 North of England ambition is to enable the transition to a 100% sustainable and global hydrogen economy by 2100. This would be established through the utilisation of the appropriate technologies and practical delivery timescales, initially focusing on the period up to 2050.","author":[{"dropping-particle":"","family":"Northern Gas Networks &amp; Equinor &amp; Cadent","given":"","non-dropping-particle":"","parse-names":false,"suffix":""}],"id":"ITEM-1","issued":{"date-parts":[["2018"]]},"title":"H21 North of England Report","type":"report"},"uris":["http://www.mendeley.com/documents/?uuid=89ff7d93-f241-3a7c-81d7-468c5840cce6"]}],"mendeley":{"formattedCitation":"&lt;sup&gt;9&lt;/sup&gt;","plainTextFormattedCitation":"9","previouslyFormattedCitation":"&lt;sup&gt;8&lt;/sup&gt;"},"properties":{"noteIndex":0},"schema":"https://github.com/citation-style-language/schema/raw/master/csl-citation.json"}</w:instrText>
      </w:r>
      <w:r w:rsidR="008828C0" w:rsidRPr="005962B9">
        <w:rPr>
          <w:rFonts w:ascii="Arial" w:hAnsi="Arial" w:cs="Arial"/>
          <w:sz w:val="20"/>
          <w:szCs w:val="20"/>
        </w:rPr>
        <w:fldChar w:fldCharType="separate"/>
      </w:r>
      <w:r w:rsidR="00050D6C" w:rsidRPr="00050D6C">
        <w:rPr>
          <w:rFonts w:ascii="Arial" w:hAnsi="Arial" w:cs="Arial"/>
          <w:noProof/>
          <w:sz w:val="20"/>
          <w:szCs w:val="20"/>
          <w:vertAlign w:val="superscript"/>
        </w:rPr>
        <w:t>9</w:t>
      </w:r>
      <w:r w:rsidR="008828C0" w:rsidRPr="005962B9">
        <w:rPr>
          <w:rFonts w:ascii="Arial" w:hAnsi="Arial" w:cs="Arial"/>
          <w:sz w:val="20"/>
          <w:szCs w:val="20"/>
        </w:rPr>
        <w:fldChar w:fldCharType="end"/>
      </w:r>
      <w:r w:rsidRPr="005962B9">
        <w:rPr>
          <w:rFonts w:ascii="Arial" w:hAnsi="Arial" w:cs="Arial"/>
          <w:sz w:val="20"/>
          <w:szCs w:val="20"/>
        </w:rPr>
        <w:t xml:space="preserve"> is </w:t>
      </w:r>
      <w:r w:rsidR="008828C0" w:rsidRPr="005962B9">
        <w:rPr>
          <w:rFonts w:ascii="Arial" w:hAnsi="Arial" w:cs="Arial"/>
          <w:sz w:val="20"/>
          <w:szCs w:val="20"/>
        </w:rPr>
        <w:t>used as the design basis for the LCA</w:t>
      </w:r>
      <w:r w:rsidRPr="005962B9">
        <w:rPr>
          <w:rFonts w:ascii="Arial" w:hAnsi="Arial" w:cs="Arial"/>
          <w:sz w:val="20"/>
          <w:szCs w:val="20"/>
        </w:rPr>
        <w:t xml:space="preserve"> </w:t>
      </w:r>
      <w:r w:rsidR="008828C0" w:rsidRPr="005962B9">
        <w:rPr>
          <w:rFonts w:ascii="Arial" w:hAnsi="Arial" w:cs="Arial"/>
          <w:sz w:val="20"/>
          <w:szCs w:val="20"/>
        </w:rPr>
        <w:t>- r</w:t>
      </w:r>
      <w:r w:rsidRPr="005962B9">
        <w:rPr>
          <w:rFonts w:ascii="Arial" w:hAnsi="Arial" w:cs="Arial"/>
          <w:sz w:val="20"/>
          <w:szCs w:val="20"/>
        </w:rPr>
        <w:t>eforming and renewable electrolytic H</w:t>
      </w:r>
      <w:r w:rsidRPr="005962B9">
        <w:rPr>
          <w:rFonts w:ascii="Arial" w:hAnsi="Arial" w:cs="Arial"/>
          <w:sz w:val="20"/>
          <w:szCs w:val="20"/>
          <w:vertAlign w:val="subscript"/>
        </w:rPr>
        <w:t>2</w:t>
      </w:r>
      <w:r w:rsidRPr="005962B9">
        <w:rPr>
          <w:rFonts w:ascii="Arial" w:hAnsi="Arial" w:cs="Arial"/>
          <w:sz w:val="20"/>
          <w:szCs w:val="20"/>
        </w:rPr>
        <w:t xml:space="preserve"> pathways </w:t>
      </w:r>
      <w:r w:rsidR="008828C0" w:rsidRPr="005962B9">
        <w:rPr>
          <w:rFonts w:ascii="Arial" w:hAnsi="Arial" w:cs="Arial"/>
          <w:sz w:val="20"/>
          <w:szCs w:val="20"/>
        </w:rPr>
        <w:t>with</w:t>
      </w:r>
      <w:r w:rsidRPr="005962B9">
        <w:rPr>
          <w:rFonts w:ascii="Arial" w:hAnsi="Arial" w:cs="Arial"/>
          <w:sz w:val="20"/>
          <w:szCs w:val="20"/>
        </w:rPr>
        <w:t xml:space="preserve"> 12.15 GW H</w:t>
      </w:r>
      <w:r w:rsidRPr="005962B9">
        <w:rPr>
          <w:rFonts w:ascii="Arial" w:hAnsi="Arial" w:cs="Arial"/>
          <w:sz w:val="20"/>
          <w:szCs w:val="20"/>
          <w:vertAlign w:val="subscript"/>
        </w:rPr>
        <w:t>2</w:t>
      </w:r>
      <w:r w:rsidRPr="005962B9">
        <w:rPr>
          <w:rFonts w:ascii="Arial" w:hAnsi="Arial" w:cs="Arial"/>
          <w:sz w:val="20"/>
          <w:szCs w:val="20"/>
        </w:rPr>
        <w:t xml:space="preserve"> HHV and 18.4 GW H</w:t>
      </w:r>
      <w:r w:rsidRPr="005962B9">
        <w:rPr>
          <w:rFonts w:ascii="Arial" w:hAnsi="Arial" w:cs="Arial"/>
          <w:sz w:val="20"/>
          <w:szCs w:val="20"/>
          <w:vertAlign w:val="subscript"/>
        </w:rPr>
        <w:t>2</w:t>
      </w:r>
      <w:r w:rsidRPr="005962B9">
        <w:rPr>
          <w:rFonts w:ascii="Arial" w:hAnsi="Arial" w:cs="Arial"/>
          <w:sz w:val="20"/>
          <w:szCs w:val="20"/>
        </w:rPr>
        <w:t xml:space="preserve"> HHV of production capacity, respectively. Whilst a constant supply of natural gas may reasonably be assumed, the same is not true of wind power. This results in</w:t>
      </w:r>
      <w:r w:rsidR="008828C0" w:rsidRPr="005962B9">
        <w:rPr>
          <w:rFonts w:ascii="Arial" w:hAnsi="Arial" w:cs="Arial"/>
          <w:sz w:val="20"/>
          <w:szCs w:val="20"/>
        </w:rPr>
        <w:t xml:space="preserve"> an</w:t>
      </w:r>
      <w:r w:rsidRPr="005962B9">
        <w:rPr>
          <w:rFonts w:ascii="Arial" w:hAnsi="Arial" w:cs="Arial"/>
          <w:sz w:val="20"/>
          <w:szCs w:val="20"/>
        </w:rPr>
        <w:t xml:space="preserve"> increase in installed electrolysis capacity relative to SMR or ATR capacity. </w:t>
      </w:r>
    </w:p>
    <w:p w14:paraId="35289308" w14:textId="5B92CAF0" w:rsidR="007161C5" w:rsidRPr="005962B9" w:rsidRDefault="007161C5" w:rsidP="007161C5">
      <w:pPr>
        <w:jc w:val="both"/>
        <w:rPr>
          <w:rFonts w:ascii="Arial" w:hAnsi="Arial" w:cs="Arial"/>
          <w:sz w:val="20"/>
          <w:szCs w:val="20"/>
        </w:rPr>
      </w:pPr>
      <w:r w:rsidRPr="005962B9">
        <w:rPr>
          <w:rFonts w:ascii="Arial" w:hAnsi="Arial" w:cs="Arial"/>
          <w:sz w:val="20"/>
          <w:szCs w:val="20"/>
        </w:rPr>
        <w:t>The production and storage facilities are assumed to be in the North of England, with H</w:t>
      </w:r>
      <w:r w:rsidRPr="005962B9">
        <w:rPr>
          <w:rFonts w:ascii="Arial" w:hAnsi="Arial" w:cs="Arial"/>
          <w:sz w:val="20"/>
          <w:szCs w:val="20"/>
          <w:vertAlign w:val="subscript"/>
        </w:rPr>
        <w:t>2</w:t>
      </w:r>
      <w:r w:rsidRPr="005962B9">
        <w:rPr>
          <w:rFonts w:ascii="Arial" w:hAnsi="Arial" w:cs="Arial"/>
          <w:sz w:val="20"/>
          <w:szCs w:val="20"/>
        </w:rPr>
        <w:t xml:space="preserve"> stored as a compressed gas in medium depth salt caverns in Yorkshire (North East), and CO</w:t>
      </w:r>
      <w:r w:rsidRPr="005962B9">
        <w:rPr>
          <w:rFonts w:ascii="Arial" w:hAnsi="Arial" w:cs="Arial"/>
          <w:sz w:val="20"/>
          <w:szCs w:val="20"/>
          <w:vertAlign w:val="subscript"/>
        </w:rPr>
        <w:t>2</w:t>
      </w:r>
      <w:r w:rsidRPr="005962B9">
        <w:rPr>
          <w:rFonts w:ascii="Arial" w:hAnsi="Arial" w:cs="Arial"/>
          <w:sz w:val="20"/>
          <w:szCs w:val="20"/>
        </w:rPr>
        <w:t xml:space="preserve"> in saline aquifer formations in the North Sea. CO</w:t>
      </w:r>
      <w:r w:rsidRPr="005962B9">
        <w:rPr>
          <w:rFonts w:ascii="Arial" w:hAnsi="Arial" w:cs="Arial"/>
          <w:sz w:val="20"/>
          <w:szCs w:val="20"/>
          <w:vertAlign w:val="subscript"/>
        </w:rPr>
        <w:t>2</w:t>
      </w:r>
      <w:r w:rsidRPr="005962B9">
        <w:rPr>
          <w:rFonts w:ascii="Arial" w:hAnsi="Arial" w:cs="Arial"/>
          <w:sz w:val="20"/>
          <w:szCs w:val="20"/>
        </w:rPr>
        <w:t xml:space="preserve"> is transported from the plant to the offshore storage facility whereas H</w:t>
      </w:r>
      <w:r w:rsidRPr="005962B9">
        <w:rPr>
          <w:rFonts w:ascii="Arial" w:hAnsi="Arial" w:cs="Arial"/>
          <w:sz w:val="20"/>
          <w:szCs w:val="20"/>
          <w:vertAlign w:val="subscript"/>
        </w:rPr>
        <w:t>2</w:t>
      </w:r>
      <w:r w:rsidRPr="005962B9">
        <w:rPr>
          <w:rFonts w:ascii="Arial" w:hAnsi="Arial" w:cs="Arial"/>
          <w:sz w:val="20"/>
          <w:szCs w:val="20"/>
        </w:rPr>
        <w:t xml:space="preserve"> is assumed to be distributed through the gas distribution networks</w:t>
      </w:r>
      <w:r w:rsidRPr="005962B9">
        <w:rPr>
          <w:rStyle w:val="FootnoteReference"/>
          <w:rFonts w:ascii="Arial" w:hAnsi="Arial" w:cs="Arial"/>
          <w:sz w:val="20"/>
          <w:szCs w:val="20"/>
        </w:rPr>
        <w:footnoteReference w:id="1"/>
      </w:r>
      <w:r w:rsidRPr="005962B9">
        <w:rPr>
          <w:rFonts w:ascii="Arial" w:hAnsi="Arial" w:cs="Arial"/>
          <w:sz w:val="20"/>
          <w:szCs w:val="20"/>
        </w:rPr>
        <w:t>. The annual H</w:t>
      </w:r>
      <w:r w:rsidRPr="005962B9">
        <w:rPr>
          <w:rFonts w:ascii="Arial" w:hAnsi="Arial" w:cs="Arial"/>
          <w:sz w:val="20"/>
          <w:szCs w:val="20"/>
          <w:vertAlign w:val="subscript"/>
        </w:rPr>
        <w:t>2</w:t>
      </w:r>
      <w:r w:rsidRPr="005962B9">
        <w:rPr>
          <w:rFonts w:ascii="Arial" w:hAnsi="Arial" w:cs="Arial"/>
          <w:sz w:val="20"/>
          <w:szCs w:val="20"/>
        </w:rPr>
        <w:t>-derived heat supply equals the demand for heat in the region</w:t>
      </w:r>
      <w:r w:rsidR="002C229C">
        <w:rPr>
          <w:rFonts w:ascii="Arial" w:hAnsi="Arial" w:cs="Arial"/>
          <w:sz w:val="20"/>
          <w:szCs w:val="20"/>
        </w:rPr>
        <w:t xml:space="preserve">, with significant </w:t>
      </w:r>
      <w:r w:rsidR="00734D79">
        <w:rPr>
          <w:rFonts w:ascii="Arial" w:hAnsi="Arial" w:cs="Arial"/>
          <w:sz w:val="20"/>
          <w:szCs w:val="20"/>
        </w:rPr>
        <w:t>intra-annual</w:t>
      </w:r>
      <w:r w:rsidR="002C229C">
        <w:rPr>
          <w:rFonts w:ascii="Arial" w:hAnsi="Arial" w:cs="Arial"/>
          <w:sz w:val="20"/>
          <w:szCs w:val="20"/>
        </w:rPr>
        <w:t xml:space="preserve"> variations</w:t>
      </w:r>
      <w:r w:rsidRPr="005962B9">
        <w:rPr>
          <w:rFonts w:ascii="Arial" w:hAnsi="Arial" w:cs="Arial"/>
          <w:sz w:val="20"/>
          <w:szCs w:val="20"/>
        </w:rPr>
        <w:t>. The natural gas required to produce H</w:t>
      </w:r>
      <w:r w:rsidRPr="005962B9">
        <w:rPr>
          <w:rFonts w:ascii="Arial" w:hAnsi="Arial" w:cs="Arial"/>
          <w:sz w:val="20"/>
          <w:szCs w:val="20"/>
          <w:vertAlign w:val="subscript"/>
        </w:rPr>
        <w:t>2</w:t>
      </w:r>
      <w:r w:rsidRPr="005962B9">
        <w:rPr>
          <w:rFonts w:ascii="Arial" w:hAnsi="Arial" w:cs="Arial"/>
          <w:sz w:val="20"/>
          <w:szCs w:val="20"/>
        </w:rPr>
        <w:t xml:space="preserve"> in reforming pathways is assumed to be sourced from the National Transmission System (NTS) in the UK. Furthermore, the electricity required for the ATR process is assumed to be derived from the electricity grid in the UK</w:t>
      </w:r>
      <w:r w:rsidR="002844E7">
        <w:rPr>
          <w:rFonts w:ascii="Arial" w:hAnsi="Arial" w:cs="Arial"/>
          <w:sz w:val="20"/>
          <w:szCs w:val="20"/>
        </w:rPr>
        <w:t>, assuming 2019 as the base year of operation</w:t>
      </w:r>
      <w:r w:rsidRPr="005962B9">
        <w:rPr>
          <w:rFonts w:ascii="Arial" w:hAnsi="Arial" w:cs="Arial"/>
          <w:sz w:val="20"/>
          <w:szCs w:val="20"/>
        </w:rPr>
        <w:t>. The environmental impact of electrolytic-H</w:t>
      </w:r>
      <w:r w:rsidRPr="005962B9">
        <w:rPr>
          <w:rFonts w:ascii="Arial" w:hAnsi="Arial" w:cs="Arial"/>
          <w:sz w:val="20"/>
          <w:szCs w:val="20"/>
          <w:vertAlign w:val="subscript"/>
        </w:rPr>
        <w:t>2</w:t>
      </w:r>
      <w:r w:rsidRPr="005962B9">
        <w:rPr>
          <w:rFonts w:ascii="Arial" w:hAnsi="Arial" w:cs="Arial"/>
          <w:sz w:val="20"/>
          <w:szCs w:val="20"/>
        </w:rPr>
        <w:t xml:space="preserve"> is evaluated based on a) renewable offshore wind power, b) grid power, and c) offshore wind power and grid power. The third scenario is assumed to operate without large-scale H</w:t>
      </w:r>
      <w:r w:rsidRPr="005962B9">
        <w:rPr>
          <w:rFonts w:ascii="Arial" w:hAnsi="Arial" w:cs="Arial"/>
          <w:sz w:val="20"/>
          <w:szCs w:val="20"/>
          <w:vertAlign w:val="subscript"/>
        </w:rPr>
        <w:t>2</w:t>
      </w:r>
      <w:r w:rsidRPr="005962B9">
        <w:rPr>
          <w:rFonts w:ascii="Arial" w:hAnsi="Arial" w:cs="Arial"/>
          <w:sz w:val="20"/>
          <w:szCs w:val="20"/>
        </w:rPr>
        <w:t xml:space="preserve"> storage</w:t>
      </w:r>
      <w:r w:rsidR="00C020D8">
        <w:rPr>
          <w:rFonts w:ascii="Arial" w:hAnsi="Arial" w:cs="Arial"/>
          <w:sz w:val="20"/>
          <w:szCs w:val="20"/>
        </w:rPr>
        <w:t xml:space="preserve">, </w:t>
      </w:r>
      <w:r w:rsidR="00C020D8">
        <w:rPr>
          <w:rFonts w:ascii="Arial" w:hAnsi="Arial" w:cs="Arial"/>
          <w:i/>
          <w:iCs/>
          <w:sz w:val="20"/>
          <w:szCs w:val="20"/>
        </w:rPr>
        <w:t>i.e.</w:t>
      </w:r>
      <w:r w:rsidR="00C020D8">
        <w:rPr>
          <w:rFonts w:ascii="Arial" w:hAnsi="Arial" w:cs="Arial"/>
          <w:sz w:val="20"/>
          <w:szCs w:val="20"/>
        </w:rPr>
        <w:t>, a hybrid scenario, with grid power being used when the dedicated renewable resource is unavailable</w:t>
      </w:r>
      <w:r w:rsidRPr="005962B9">
        <w:rPr>
          <w:rFonts w:ascii="Arial" w:hAnsi="Arial" w:cs="Arial"/>
          <w:sz w:val="20"/>
          <w:szCs w:val="20"/>
        </w:rPr>
        <w:t xml:space="preserve">. </w:t>
      </w:r>
    </w:p>
    <w:p w14:paraId="709D5D90" w14:textId="35BC282C" w:rsidR="007161C5" w:rsidRPr="005962B9" w:rsidRDefault="00C020D8" w:rsidP="007161C5">
      <w:pPr>
        <w:jc w:val="both"/>
        <w:rPr>
          <w:rFonts w:ascii="Arial" w:hAnsi="Arial" w:cs="Arial"/>
          <w:sz w:val="20"/>
          <w:szCs w:val="20"/>
        </w:rPr>
      </w:pPr>
      <w:r>
        <w:rPr>
          <w:rFonts w:ascii="Arial" w:hAnsi="Arial" w:cs="Arial"/>
          <w:sz w:val="20"/>
          <w:szCs w:val="20"/>
        </w:rPr>
        <w:t>The following</w:t>
      </w:r>
      <w:r w:rsidR="007161C5" w:rsidRPr="005962B9">
        <w:rPr>
          <w:rFonts w:ascii="Arial" w:hAnsi="Arial" w:cs="Arial"/>
          <w:sz w:val="20"/>
          <w:szCs w:val="20"/>
        </w:rPr>
        <w:t xml:space="preserve"> five H</w:t>
      </w:r>
      <w:r w:rsidR="007161C5" w:rsidRPr="005962B9">
        <w:rPr>
          <w:rFonts w:ascii="Arial" w:hAnsi="Arial" w:cs="Arial"/>
          <w:sz w:val="20"/>
          <w:szCs w:val="20"/>
          <w:vertAlign w:val="subscript"/>
        </w:rPr>
        <w:t>2</w:t>
      </w:r>
      <w:r w:rsidR="007161C5" w:rsidRPr="005962B9">
        <w:rPr>
          <w:rFonts w:ascii="Arial" w:hAnsi="Arial" w:cs="Arial"/>
          <w:sz w:val="20"/>
          <w:szCs w:val="20"/>
        </w:rPr>
        <w:t xml:space="preserve"> production pathways are evaluated:</w:t>
      </w:r>
    </w:p>
    <w:p w14:paraId="601B5E56" w14:textId="77777777" w:rsidR="007161C5" w:rsidRPr="005962B9" w:rsidRDefault="007161C5" w:rsidP="007161C5">
      <w:pPr>
        <w:pStyle w:val="ListParagraph"/>
        <w:numPr>
          <w:ilvl w:val="0"/>
          <w:numId w:val="1"/>
        </w:numPr>
        <w:jc w:val="both"/>
        <w:rPr>
          <w:rFonts w:ascii="Arial" w:hAnsi="Arial" w:cs="Arial"/>
          <w:sz w:val="20"/>
          <w:szCs w:val="20"/>
        </w:rPr>
      </w:pPr>
      <w:r w:rsidRPr="005962B9">
        <w:rPr>
          <w:rFonts w:ascii="Arial" w:hAnsi="Arial" w:cs="Arial"/>
          <w:sz w:val="20"/>
          <w:szCs w:val="20"/>
        </w:rPr>
        <w:t>12.15 GW HHV of steam methane reforming with CCS operating with a CO</w:t>
      </w:r>
      <w:r w:rsidRPr="005962B9">
        <w:rPr>
          <w:rFonts w:ascii="Arial" w:hAnsi="Arial" w:cs="Arial"/>
          <w:sz w:val="20"/>
          <w:szCs w:val="20"/>
          <w:vertAlign w:val="subscript"/>
        </w:rPr>
        <w:t>2</w:t>
      </w:r>
      <w:r w:rsidRPr="005962B9">
        <w:rPr>
          <w:rFonts w:ascii="Arial" w:hAnsi="Arial" w:cs="Arial"/>
          <w:sz w:val="20"/>
          <w:szCs w:val="20"/>
        </w:rPr>
        <w:t xml:space="preserve"> capture rate of 91.2%. 8.05 TWh of H</w:t>
      </w:r>
      <w:r w:rsidRPr="005962B9">
        <w:rPr>
          <w:rFonts w:ascii="Arial" w:hAnsi="Arial" w:cs="Arial"/>
          <w:sz w:val="20"/>
          <w:szCs w:val="20"/>
          <w:vertAlign w:val="subscript"/>
        </w:rPr>
        <w:t>2</w:t>
      </w:r>
      <w:r w:rsidRPr="005962B9">
        <w:rPr>
          <w:rFonts w:ascii="Arial" w:hAnsi="Arial" w:cs="Arial"/>
          <w:sz w:val="20"/>
          <w:szCs w:val="20"/>
        </w:rPr>
        <w:t xml:space="preserve"> storage supports production and provides a buffer to meet the peak demands.</w:t>
      </w:r>
    </w:p>
    <w:p w14:paraId="14FF015B" w14:textId="77777777" w:rsidR="007161C5" w:rsidRPr="005962B9" w:rsidRDefault="007161C5" w:rsidP="007161C5">
      <w:pPr>
        <w:pStyle w:val="ListParagraph"/>
        <w:numPr>
          <w:ilvl w:val="0"/>
          <w:numId w:val="1"/>
        </w:numPr>
        <w:jc w:val="both"/>
        <w:rPr>
          <w:rFonts w:ascii="Arial" w:hAnsi="Arial" w:cs="Arial"/>
          <w:sz w:val="20"/>
          <w:szCs w:val="20"/>
        </w:rPr>
      </w:pPr>
      <w:r w:rsidRPr="005962B9">
        <w:rPr>
          <w:rFonts w:ascii="Arial" w:hAnsi="Arial" w:cs="Arial"/>
          <w:sz w:val="20"/>
          <w:szCs w:val="20"/>
        </w:rPr>
        <w:t>12.15 GW HHV of autothermal reforming of methane with CCS with a CO</w:t>
      </w:r>
      <w:r w:rsidRPr="005962B9">
        <w:rPr>
          <w:rFonts w:ascii="Arial" w:hAnsi="Arial" w:cs="Arial"/>
          <w:sz w:val="20"/>
          <w:szCs w:val="20"/>
          <w:vertAlign w:val="subscript"/>
        </w:rPr>
        <w:t>2</w:t>
      </w:r>
      <w:r w:rsidRPr="005962B9">
        <w:rPr>
          <w:rFonts w:ascii="Arial" w:hAnsi="Arial" w:cs="Arial"/>
          <w:sz w:val="20"/>
          <w:szCs w:val="20"/>
        </w:rPr>
        <w:t xml:space="preserve"> capture rate of 94.1%. 8.05 TWh of H</w:t>
      </w:r>
      <w:r w:rsidRPr="005962B9">
        <w:rPr>
          <w:rFonts w:ascii="Arial" w:hAnsi="Arial" w:cs="Arial"/>
          <w:sz w:val="20"/>
          <w:szCs w:val="20"/>
          <w:vertAlign w:val="subscript"/>
        </w:rPr>
        <w:t>2</w:t>
      </w:r>
      <w:r w:rsidRPr="005962B9">
        <w:rPr>
          <w:rFonts w:ascii="Arial" w:hAnsi="Arial" w:cs="Arial"/>
          <w:sz w:val="20"/>
          <w:szCs w:val="20"/>
        </w:rPr>
        <w:t xml:space="preserve"> storage supports production and provides a buffer to meet the peak demands.</w:t>
      </w:r>
    </w:p>
    <w:p w14:paraId="15E3BA0E" w14:textId="43C5FA8E" w:rsidR="007161C5" w:rsidRPr="005962B9" w:rsidRDefault="007161C5" w:rsidP="007161C5">
      <w:pPr>
        <w:pStyle w:val="ListParagraph"/>
        <w:numPr>
          <w:ilvl w:val="0"/>
          <w:numId w:val="1"/>
        </w:numPr>
        <w:jc w:val="both"/>
        <w:rPr>
          <w:rFonts w:ascii="Arial" w:hAnsi="Arial" w:cs="Arial"/>
          <w:sz w:val="20"/>
          <w:szCs w:val="20"/>
        </w:rPr>
      </w:pPr>
      <w:r w:rsidRPr="005962B9">
        <w:rPr>
          <w:rFonts w:ascii="Arial" w:hAnsi="Arial" w:cs="Arial"/>
          <w:sz w:val="20"/>
          <w:szCs w:val="20"/>
        </w:rPr>
        <w:lastRenderedPageBreak/>
        <w:t>18.4 GW HHV of water electrolysis using electricity sourced entirely from renewable offshore wind farms at a capacity factor of 37.5 % with 19.5 TWh of H</w:t>
      </w:r>
      <w:r w:rsidRPr="005962B9">
        <w:rPr>
          <w:rFonts w:ascii="Arial" w:hAnsi="Arial" w:cs="Arial"/>
          <w:sz w:val="20"/>
          <w:szCs w:val="20"/>
          <w:vertAlign w:val="subscript"/>
        </w:rPr>
        <w:t>2</w:t>
      </w:r>
      <w:r w:rsidRPr="005962B9">
        <w:rPr>
          <w:rFonts w:ascii="Arial" w:hAnsi="Arial" w:cs="Arial"/>
          <w:sz w:val="20"/>
          <w:szCs w:val="20"/>
        </w:rPr>
        <w:t xml:space="preserve"> storage in salt caverns. Note that capacity factors are a function of the location and higher capacity factors are achievable in some regions of the North Sea, however an average lifetime capacity factor of 37.5% is representative of current North Sea assets</w:t>
      </w:r>
      <w:r w:rsidRPr="005962B9">
        <w:rPr>
          <w:rFonts w:ascii="Arial" w:hAnsi="Arial" w:cs="Arial"/>
          <w:sz w:val="20"/>
          <w:szCs w:val="20"/>
        </w:rPr>
        <w:fldChar w:fldCharType="begin" w:fldLock="1"/>
      </w:r>
      <w:r w:rsidR="00050D6C">
        <w:rPr>
          <w:rFonts w:ascii="Arial" w:hAnsi="Arial" w:cs="Arial"/>
          <w:sz w:val="20"/>
          <w:szCs w:val="20"/>
        </w:rPr>
        <w:instrText>ADDIN CSL_CITATION {"citationItems":[{"id":"ITEM-1","itemData":{"URL":"https://energynumbers.info/uk-offshore-wind-capacity-factors","accessed":{"date-parts":[["2021","4","6"]]},"author":[{"dropping-particle":"","family":"Smith","given":"Andrew ZP","non-dropping-particle":"","parse-names":false,"suffix":""}],"id":"ITEM-1","issued":{"date-parts":[["2021"]]},"title":"UK offshore wind capacity factors","type":"webpage"},"uris":["http://www.mendeley.com/documents/?uuid=6e9a0e18-b927-49be-9b32-d8be564d2d6a"]}],"mendeley":{"formattedCitation":"&lt;sup&gt;10&lt;/sup&gt;","plainTextFormattedCitation":"10","previouslyFormattedCitation":"&lt;sup&gt;9&lt;/sup&gt;"},"properties":{"noteIndex":0},"schema":"https://github.com/citation-style-language/schema/raw/master/csl-citation.json"}</w:instrText>
      </w:r>
      <w:r w:rsidRPr="005962B9">
        <w:rPr>
          <w:rFonts w:ascii="Arial" w:hAnsi="Arial" w:cs="Arial"/>
          <w:sz w:val="20"/>
          <w:szCs w:val="20"/>
        </w:rPr>
        <w:fldChar w:fldCharType="separate"/>
      </w:r>
      <w:r w:rsidR="00050D6C" w:rsidRPr="00050D6C">
        <w:rPr>
          <w:rFonts w:ascii="Arial" w:hAnsi="Arial" w:cs="Arial"/>
          <w:noProof/>
          <w:sz w:val="20"/>
          <w:szCs w:val="20"/>
          <w:vertAlign w:val="superscript"/>
        </w:rPr>
        <w:t>10</w:t>
      </w:r>
      <w:r w:rsidRPr="005962B9">
        <w:rPr>
          <w:rFonts w:ascii="Arial" w:hAnsi="Arial" w:cs="Arial"/>
          <w:sz w:val="20"/>
          <w:szCs w:val="20"/>
        </w:rPr>
        <w:fldChar w:fldCharType="end"/>
      </w:r>
      <w:r w:rsidRPr="005962B9">
        <w:rPr>
          <w:rFonts w:ascii="Arial" w:hAnsi="Arial" w:cs="Arial"/>
          <w:sz w:val="20"/>
          <w:szCs w:val="20"/>
        </w:rPr>
        <w:t>.</w:t>
      </w:r>
    </w:p>
    <w:p w14:paraId="5C657530" w14:textId="6C274AF1" w:rsidR="007161C5" w:rsidRPr="005962B9" w:rsidRDefault="007161C5" w:rsidP="007161C5">
      <w:pPr>
        <w:pStyle w:val="ListParagraph"/>
        <w:numPr>
          <w:ilvl w:val="0"/>
          <w:numId w:val="1"/>
        </w:numPr>
        <w:jc w:val="both"/>
        <w:rPr>
          <w:rFonts w:ascii="Arial" w:hAnsi="Arial" w:cs="Arial"/>
          <w:sz w:val="20"/>
          <w:szCs w:val="20"/>
        </w:rPr>
      </w:pPr>
      <w:r w:rsidRPr="005962B9">
        <w:rPr>
          <w:rFonts w:ascii="Arial" w:hAnsi="Arial" w:cs="Arial"/>
          <w:sz w:val="20"/>
          <w:szCs w:val="20"/>
        </w:rPr>
        <w:t>17.2 GW HHV of water electrolysis (assuming negligible losses) using electricity sourced entirely from the power grid with no H</w:t>
      </w:r>
      <w:r w:rsidRPr="005962B9">
        <w:rPr>
          <w:rFonts w:ascii="Arial" w:hAnsi="Arial" w:cs="Arial"/>
          <w:sz w:val="20"/>
          <w:szCs w:val="20"/>
          <w:vertAlign w:val="subscript"/>
        </w:rPr>
        <w:t>2</w:t>
      </w:r>
      <w:r w:rsidRPr="005962B9">
        <w:rPr>
          <w:rFonts w:ascii="Arial" w:hAnsi="Arial" w:cs="Arial"/>
          <w:sz w:val="20"/>
          <w:szCs w:val="20"/>
        </w:rPr>
        <w:t xml:space="preserve"> storage in salt caverns. The production capacity was estimated by the peak demand less </w:t>
      </w:r>
      <w:proofErr w:type="spellStart"/>
      <w:r w:rsidRPr="005962B9">
        <w:rPr>
          <w:rFonts w:ascii="Arial" w:hAnsi="Arial" w:cs="Arial"/>
          <w:sz w:val="20"/>
          <w:szCs w:val="20"/>
        </w:rPr>
        <w:t>linepack</w:t>
      </w:r>
      <w:proofErr w:type="spellEnd"/>
      <w:r w:rsidRPr="005962B9">
        <w:rPr>
          <w:rFonts w:ascii="Arial" w:hAnsi="Arial" w:cs="Arial"/>
          <w:sz w:val="20"/>
          <w:szCs w:val="20"/>
        </w:rPr>
        <w:t xml:space="preserve"> storage capacity. A peak hour demand of 42.2 GW was combined with a </w:t>
      </w:r>
      <w:proofErr w:type="spellStart"/>
      <w:r w:rsidRPr="005962B9">
        <w:rPr>
          <w:rFonts w:ascii="Arial" w:hAnsi="Arial" w:cs="Arial"/>
          <w:sz w:val="20"/>
          <w:szCs w:val="20"/>
        </w:rPr>
        <w:t>linepack</w:t>
      </w:r>
      <w:proofErr w:type="spellEnd"/>
      <w:r w:rsidRPr="005962B9">
        <w:rPr>
          <w:rFonts w:ascii="Arial" w:hAnsi="Arial" w:cs="Arial"/>
          <w:sz w:val="20"/>
          <w:szCs w:val="20"/>
        </w:rPr>
        <w:t xml:space="preserve"> storage capacity of 25 GW</w:t>
      </w:r>
      <w:r w:rsidR="008828C0" w:rsidRPr="005962B9">
        <w:rPr>
          <w:rFonts w:ascii="Arial" w:hAnsi="Arial" w:cs="Arial"/>
          <w:sz w:val="20"/>
          <w:szCs w:val="20"/>
        </w:rPr>
        <w:t>h</w:t>
      </w:r>
      <w:r w:rsidRPr="005962B9">
        <w:rPr>
          <w:rFonts w:ascii="Arial" w:hAnsi="Arial" w:cs="Arial"/>
          <w:sz w:val="20"/>
          <w:szCs w:val="20"/>
        </w:rPr>
        <w:t>, as reported in the H21 North of England report, to arrive at a production capacity of 42.2 – 25 = 17.2 GW</w:t>
      </w:r>
      <w:r w:rsidRPr="005962B9">
        <w:rPr>
          <w:rFonts w:ascii="Arial" w:hAnsi="Arial" w:cs="Arial"/>
          <w:sz w:val="20"/>
          <w:szCs w:val="20"/>
        </w:rPr>
        <w:fldChar w:fldCharType="begin" w:fldLock="1"/>
      </w:r>
      <w:r w:rsidR="00050D6C">
        <w:rPr>
          <w:rFonts w:ascii="Arial" w:hAnsi="Arial" w:cs="Arial"/>
          <w:sz w:val="20"/>
          <w:szCs w:val="20"/>
        </w:rPr>
        <w:instrText>ADDIN CSL_CITATION {"citationItems":[{"id":"ITEM-1","itemData":{"abstract":"The H21 North of England ambition is to enable the transition to a 100% sustainable and global hydrogen economy by 2100. This would be established through the utilisation of the appropriate technologies and practical delivery timescales, initially focusing on the period up to 2050.","author":[{"dropping-particle":"","family":"Northern Gas Networks &amp; Equinor &amp; Cadent","given":"","non-dropping-particle":"","parse-names":false,"suffix":""}],"id":"ITEM-1","issued":{"date-parts":[["2018"]]},"title":"H21 North of England Report","type":"report"},"uris":["http://www.mendeley.com/documents/?uuid=89ff7d93-f241-3a7c-81d7-468c5840cce6"]}],"mendeley":{"formattedCitation":"&lt;sup&gt;9&lt;/sup&gt;","plainTextFormattedCitation":"9","previouslyFormattedCitation":"&lt;sup&gt;8&lt;/sup&gt;"},"properties":{"noteIndex":0},"schema":"https://github.com/citation-style-language/schema/raw/master/csl-citation.json"}</w:instrText>
      </w:r>
      <w:r w:rsidRPr="005962B9">
        <w:rPr>
          <w:rFonts w:ascii="Arial" w:hAnsi="Arial" w:cs="Arial"/>
          <w:sz w:val="20"/>
          <w:szCs w:val="20"/>
        </w:rPr>
        <w:fldChar w:fldCharType="separate"/>
      </w:r>
      <w:r w:rsidR="00050D6C" w:rsidRPr="00050D6C">
        <w:rPr>
          <w:rFonts w:ascii="Arial" w:hAnsi="Arial" w:cs="Arial"/>
          <w:noProof/>
          <w:sz w:val="20"/>
          <w:szCs w:val="20"/>
          <w:vertAlign w:val="superscript"/>
        </w:rPr>
        <w:t>9</w:t>
      </w:r>
      <w:r w:rsidRPr="005962B9">
        <w:rPr>
          <w:rFonts w:ascii="Arial" w:hAnsi="Arial" w:cs="Arial"/>
          <w:sz w:val="20"/>
          <w:szCs w:val="20"/>
        </w:rPr>
        <w:fldChar w:fldCharType="end"/>
      </w:r>
      <w:r w:rsidRPr="005962B9">
        <w:rPr>
          <w:rFonts w:ascii="Arial" w:hAnsi="Arial" w:cs="Arial"/>
          <w:sz w:val="20"/>
          <w:szCs w:val="20"/>
        </w:rPr>
        <w:t>.</w:t>
      </w:r>
    </w:p>
    <w:p w14:paraId="3B4DA4EE" w14:textId="04536A6D" w:rsidR="007161C5" w:rsidRPr="005962B9" w:rsidRDefault="007161C5" w:rsidP="007161C5">
      <w:pPr>
        <w:pStyle w:val="ListParagraph"/>
        <w:numPr>
          <w:ilvl w:val="0"/>
          <w:numId w:val="1"/>
        </w:numPr>
        <w:jc w:val="both"/>
        <w:rPr>
          <w:rFonts w:ascii="Arial" w:hAnsi="Arial" w:cs="Arial"/>
          <w:sz w:val="20"/>
          <w:szCs w:val="20"/>
        </w:rPr>
      </w:pPr>
      <w:r w:rsidRPr="005962B9">
        <w:rPr>
          <w:rFonts w:ascii="Arial" w:hAnsi="Arial" w:cs="Arial"/>
          <w:sz w:val="20"/>
          <w:szCs w:val="20"/>
        </w:rPr>
        <w:t>17.2 GW HHV of water electrolysis (assuming negligible losses) using electricity sourced partly from the power grid (50%) as well as renewable offshore wind farms (50%) with no H</w:t>
      </w:r>
      <w:r w:rsidRPr="005962B9">
        <w:rPr>
          <w:rFonts w:ascii="Arial" w:hAnsi="Arial" w:cs="Arial"/>
          <w:sz w:val="20"/>
          <w:szCs w:val="20"/>
          <w:vertAlign w:val="subscript"/>
        </w:rPr>
        <w:t>2</w:t>
      </w:r>
      <w:r w:rsidRPr="005962B9">
        <w:rPr>
          <w:rFonts w:ascii="Arial" w:hAnsi="Arial" w:cs="Arial"/>
          <w:sz w:val="20"/>
          <w:szCs w:val="20"/>
        </w:rPr>
        <w:t xml:space="preserve"> storage in salt caverns. A capacity factor of 37.5% is also used for wind-based generation. The production capacity was calculated using a peak hour demand of 42.2 GW and a </w:t>
      </w:r>
      <w:proofErr w:type="spellStart"/>
      <w:r w:rsidRPr="005962B9">
        <w:rPr>
          <w:rFonts w:ascii="Arial" w:hAnsi="Arial" w:cs="Arial"/>
          <w:sz w:val="20"/>
          <w:szCs w:val="20"/>
        </w:rPr>
        <w:t>linepack</w:t>
      </w:r>
      <w:proofErr w:type="spellEnd"/>
      <w:r w:rsidRPr="005962B9">
        <w:rPr>
          <w:rFonts w:ascii="Arial" w:hAnsi="Arial" w:cs="Arial"/>
          <w:sz w:val="20"/>
          <w:szCs w:val="20"/>
        </w:rPr>
        <w:t xml:space="preserve"> storage capacity of 25 GWh as reported in the H21 North of England report</w:t>
      </w:r>
      <w:r w:rsidRPr="005962B9">
        <w:rPr>
          <w:rFonts w:ascii="Arial" w:hAnsi="Arial" w:cs="Arial"/>
          <w:sz w:val="20"/>
          <w:szCs w:val="20"/>
        </w:rPr>
        <w:fldChar w:fldCharType="begin" w:fldLock="1"/>
      </w:r>
      <w:r w:rsidR="00050D6C">
        <w:rPr>
          <w:rFonts w:ascii="Arial" w:hAnsi="Arial" w:cs="Arial"/>
          <w:sz w:val="20"/>
          <w:szCs w:val="20"/>
        </w:rPr>
        <w:instrText>ADDIN CSL_CITATION {"citationItems":[{"id":"ITEM-1","itemData":{"abstract":"The H21 North of England ambition is to enable the transition to a 100% sustainable and global hydrogen economy by 2100. This would be established through the utilisation of the appropriate technologies and practical delivery timescales, initially focusing on the period up to 2050.","author":[{"dropping-particle":"","family":"Northern Gas Networks &amp; Equinor &amp; Cadent","given":"","non-dropping-particle":"","parse-names":false,"suffix":""}],"id":"ITEM-1","issued":{"date-parts":[["2018"]]},"title":"H21 North of England Report","type":"report"},"uris":["http://www.mendeley.com/documents/?uuid=89ff7d93-f241-3a7c-81d7-468c5840cce6"]}],"mendeley":{"formattedCitation":"&lt;sup&gt;9&lt;/sup&gt;","plainTextFormattedCitation":"9","previouslyFormattedCitation":"&lt;sup&gt;8&lt;/sup&gt;"},"properties":{"noteIndex":0},"schema":"https://github.com/citation-style-language/schema/raw/master/csl-citation.json"}</w:instrText>
      </w:r>
      <w:r w:rsidRPr="005962B9">
        <w:rPr>
          <w:rFonts w:ascii="Arial" w:hAnsi="Arial" w:cs="Arial"/>
          <w:sz w:val="20"/>
          <w:szCs w:val="20"/>
        </w:rPr>
        <w:fldChar w:fldCharType="separate"/>
      </w:r>
      <w:r w:rsidR="00050D6C" w:rsidRPr="00050D6C">
        <w:rPr>
          <w:rFonts w:ascii="Arial" w:hAnsi="Arial" w:cs="Arial"/>
          <w:noProof/>
          <w:sz w:val="20"/>
          <w:szCs w:val="20"/>
          <w:vertAlign w:val="superscript"/>
        </w:rPr>
        <w:t>9</w:t>
      </w:r>
      <w:r w:rsidRPr="005962B9">
        <w:rPr>
          <w:rFonts w:ascii="Arial" w:hAnsi="Arial" w:cs="Arial"/>
          <w:sz w:val="20"/>
          <w:szCs w:val="20"/>
        </w:rPr>
        <w:fldChar w:fldCharType="end"/>
      </w:r>
      <w:r w:rsidRPr="005962B9">
        <w:rPr>
          <w:rFonts w:ascii="Arial" w:hAnsi="Arial" w:cs="Arial"/>
          <w:sz w:val="20"/>
          <w:szCs w:val="20"/>
        </w:rPr>
        <w:t>.</w:t>
      </w:r>
    </w:p>
    <w:p w14:paraId="0CB8BC2C" w14:textId="08A033FA" w:rsidR="00D60855" w:rsidRPr="005962B9" w:rsidRDefault="00D60855" w:rsidP="00D60855">
      <w:pPr>
        <w:jc w:val="both"/>
        <w:rPr>
          <w:rFonts w:ascii="Arial" w:hAnsi="Arial" w:cs="Arial"/>
          <w:sz w:val="20"/>
          <w:szCs w:val="20"/>
        </w:rPr>
      </w:pPr>
      <w:r w:rsidRPr="005962B9">
        <w:rPr>
          <w:rFonts w:ascii="Arial" w:hAnsi="Arial" w:cs="Arial"/>
          <w:sz w:val="20"/>
          <w:szCs w:val="20"/>
        </w:rPr>
        <w:t xml:space="preserve">The impact assessments were generated using version 1.1 of the </w:t>
      </w:r>
      <w:proofErr w:type="spellStart"/>
      <w:r w:rsidRPr="005962B9">
        <w:rPr>
          <w:rFonts w:ascii="Arial" w:hAnsi="Arial" w:cs="Arial"/>
          <w:sz w:val="20"/>
          <w:szCs w:val="20"/>
        </w:rPr>
        <w:t>ReCiPe</w:t>
      </w:r>
      <w:proofErr w:type="spellEnd"/>
      <w:r w:rsidRPr="005962B9">
        <w:rPr>
          <w:rFonts w:ascii="Arial" w:hAnsi="Arial" w:cs="Arial"/>
          <w:sz w:val="20"/>
          <w:szCs w:val="20"/>
        </w:rPr>
        <w:t xml:space="preserve"> 2016 impact assessment method as implemented in </w:t>
      </w:r>
      <w:proofErr w:type="spellStart"/>
      <w:r w:rsidRPr="005962B9">
        <w:rPr>
          <w:rFonts w:ascii="Arial" w:hAnsi="Arial" w:cs="Arial"/>
          <w:sz w:val="20"/>
          <w:szCs w:val="20"/>
        </w:rPr>
        <w:t>SimaPro</w:t>
      </w:r>
      <w:proofErr w:type="spellEnd"/>
      <w:r w:rsidRPr="005962B9">
        <w:rPr>
          <w:rFonts w:ascii="Arial" w:hAnsi="Arial" w:cs="Arial"/>
          <w:sz w:val="20"/>
          <w:szCs w:val="20"/>
        </w:rPr>
        <w:t xml:space="preserve">, the lifecycle </w:t>
      </w:r>
      <w:r w:rsidR="00D7191D">
        <w:rPr>
          <w:rFonts w:ascii="Arial" w:hAnsi="Arial" w:cs="Arial"/>
          <w:sz w:val="20"/>
          <w:szCs w:val="20"/>
        </w:rPr>
        <w:t xml:space="preserve">assessment </w:t>
      </w:r>
      <w:r w:rsidRPr="005962B9">
        <w:rPr>
          <w:rFonts w:ascii="Arial" w:hAnsi="Arial" w:cs="Arial"/>
          <w:sz w:val="20"/>
          <w:szCs w:val="20"/>
        </w:rPr>
        <w:t>software, using a time horizon of 100 years. The midpoint impact categories of interest are:</w:t>
      </w:r>
    </w:p>
    <w:p w14:paraId="2617AD31" w14:textId="77777777" w:rsidR="00D60855" w:rsidRPr="005962B9" w:rsidRDefault="00D60855" w:rsidP="00D60855">
      <w:pPr>
        <w:pStyle w:val="ListParagraph"/>
        <w:numPr>
          <w:ilvl w:val="0"/>
          <w:numId w:val="2"/>
        </w:numPr>
        <w:jc w:val="both"/>
        <w:rPr>
          <w:rFonts w:ascii="Arial" w:hAnsi="Arial" w:cs="Arial"/>
          <w:sz w:val="20"/>
          <w:szCs w:val="20"/>
        </w:rPr>
      </w:pPr>
      <w:r w:rsidRPr="005962B9">
        <w:rPr>
          <w:rFonts w:ascii="Arial" w:hAnsi="Arial" w:cs="Arial"/>
          <w:sz w:val="20"/>
          <w:szCs w:val="20"/>
        </w:rPr>
        <w:t>Global warming potential – to consider the impact of greenhouse gas emissions with a time horizon of 100 years.</w:t>
      </w:r>
    </w:p>
    <w:p w14:paraId="755BF608" w14:textId="27A328E6" w:rsidR="00D60855" w:rsidRPr="005962B9" w:rsidRDefault="00D60855" w:rsidP="00D60855">
      <w:pPr>
        <w:pStyle w:val="ListParagraph"/>
        <w:numPr>
          <w:ilvl w:val="0"/>
          <w:numId w:val="2"/>
        </w:numPr>
        <w:jc w:val="both"/>
        <w:rPr>
          <w:rFonts w:ascii="Arial" w:hAnsi="Arial" w:cs="Arial"/>
          <w:sz w:val="20"/>
          <w:szCs w:val="20"/>
        </w:rPr>
      </w:pPr>
      <w:r w:rsidRPr="005962B9">
        <w:rPr>
          <w:rFonts w:ascii="Arial" w:hAnsi="Arial" w:cs="Arial"/>
          <w:sz w:val="20"/>
          <w:szCs w:val="20"/>
        </w:rPr>
        <w:t>Stratospheric ozone depletion potential – to evaluate the potential to release ozone depleting substances that increase the UVB radiation reaching the Earth’s surface.</w:t>
      </w:r>
    </w:p>
    <w:p w14:paraId="3964C59D" w14:textId="05AAE04F" w:rsidR="00D60855" w:rsidRPr="005962B9" w:rsidRDefault="00D60855" w:rsidP="00D60855">
      <w:pPr>
        <w:pStyle w:val="ListParagraph"/>
        <w:numPr>
          <w:ilvl w:val="0"/>
          <w:numId w:val="2"/>
        </w:numPr>
        <w:jc w:val="both"/>
        <w:rPr>
          <w:rFonts w:ascii="Arial" w:hAnsi="Arial" w:cs="Arial"/>
          <w:sz w:val="20"/>
          <w:szCs w:val="20"/>
        </w:rPr>
      </w:pPr>
      <w:r w:rsidRPr="005962B9">
        <w:rPr>
          <w:rFonts w:ascii="Arial" w:hAnsi="Arial" w:cs="Arial"/>
          <w:sz w:val="20"/>
          <w:szCs w:val="20"/>
        </w:rPr>
        <w:t xml:space="preserve">Particulate matter formation – </w:t>
      </w:r>
      <w:r w:rsidR="00A31C52">
        <w:rPr>
          <w:rFonts w:ascii="Arial" w:hAnsi="Arial" w:cs="Arial"/>
          <w:sz w:val="20"/>
          <w:szCs w:val="20"/>
        </w:rPr>
        <w:t>to analyse the</w:t>
      </w:r>
      <w:r w:rsidR="00661D90">
        <w:rPr>
          <w:rFonts w:ascii="Arial" w:hAnsi="Arial" w:cs="Arial"/>
          <w:sz w:val="20"/>
          <w:szCs w:val="20"/>
        </w:rPr>
        <w:t xml:space="preserve"> potential for</w:t>
      </w:r>
      <w:r w:rsidR="00A31C52">
        <w:rPr>
          <w:rFonts w:ascii="Arial" w:hAnsi="Arial" w:cs="Arial"/>
          <w:sz w:val="20"/>
          <w:szCs w:val="20"/>
        </w:rPr>
        <w:t xml:space="preserve"> </w:t>
      </w:r>
      <w:r w:rsidR="00661D90">
        <w:rPr>
          <w:rFonts w:ascii="Arial" w:hAnsi="Arial" w:cs="Arial"/>
          <w:sz w:val="20"/>
          <w:szCs w:val="20"/>
        </w:rPr>
        <w:t xml:space="preserve">both organic and </w:t>
      </w:r>
      <w:r w:rsidR="00A31C52">
        <w:rPr>
          <w:rFonts w:ascii="Arial" w:hAnsi="Arial" w:cs="Arial"/>
          <w:sz w:val="20"/>
          <w:szCs w:val="20"/>
        </w:rPr>
        <w:t xml:space="preserve">inorganic </w:t>
      </w:r>
      <w:r w:rsidR="00661D90">
        <w:rPr>
          <w:rFonts w:ascii="Arial" w:hAnsi="Arial" w:cs="Arial"/>
          <w:sz w:val="20"/>
          <w:szCs w:val="20"/>
        </w:rPr>
        <w:t>matter to be formed from the processes along the H</w:t>
      </w:r>
      <w:r w:rsidR="00661D90" w:rsidRPr="00661D90">
        <w:rPr>
          <w:rFonts w:ascii="Arial" w:hAnsi="Arial" w:cs="Arial"/>
          <w:sz w:val="20"/>
          <w:szCs w:val="20"/>
          <w:vertAlign w:val="subscript"/>
        </w:rPr>
        <w:t>2</w:t>
      </w:r>
      <w:r w:rsidR="00661D90">
        <w:rPr>
          <w:rFonts w:ascii="Arial" w:hAnsi="Arial" w:cs="Arial"/>
          <w:sz w:val="20"/>
          <w:szCs w:val="20"/>
        </w:rPr>
        <w:t xml:space="preserve"> supply chain.</w:t>
      </w:r>
    </w:p>
    <w:p w14:paraId="63FA8AD0" w14:textId="77777777" w:rsidR="00D60855" w:rsidRPr="005962B9" w:rsidRDefault="00D60855" w:rsidP="00D60855">
      <w:pPr>
        <w:pStyle w:val="ListParagraph"/>
        <w:numPr>
          <w:ilvl w:val="0"/>
          <w:numId w:val="2"/>
        </w:numPr>
        <w:jc w:val="both"/>
        <w:rPr>
          <w:rFonts w:ascii="Arial" w:hAnsi="Arial" w:cs="Arial"/>
          <w:sz w:val="20"/>
          <w:szCs w:val="20"/>
        </w:rPr>
      </w:pPr>
      <w:r w:rsidRPr="005962B9">
        <w:rPr>
          <w:rFonts w:ascii="Arial" w:hAnsi="Arial" w:cs="Arial"/>
          <w:sz w:val="20"/>
          <w:szCs w:val="20"/>
        </w:rPr>
        <w:t>Terrestrial acidification – to assess the potential to increase soil acidity and impact terrestrial systems.</w:t>
      </w:r>
    </w:p>
    <w:p w14:paraId="1DAC3BC9" w14:textId="77777777" w:rsidR="00D60855" w:rsidRPr="005962B9" w:rsidRDefault="00D60855" w:rsidP="00D60855">
      <w:pPr>
        <w:pStyle w:val="ListParagraph"/>
        <w:numPr>
          <w:ilvl w:val="0"/>
          <w:numId w:val="2"/>
        </w:numPr>
        <w:jc w:val="both"/>
        <w:rPr>
          <w:rFonts w:ascii="Arial" w:hAnsi="Arial" w:cs="Arial"/>
          <w:sz w:val="20"/>
          <w:szCs w:val="20"/>
        </w:rPr>
      </w:pPr>
      <w:r w:rsidRPr="005962B9">
        <w:rPr>
          <w:rFonts w:ascii="Arial" w:hAnsi="Arial" w:cs="Arial"/>
          <w:sz w:val="20"/>
          <w:szCs w:val="20"/>
        </w:rPr>
        <w:t>Freshwater ecotoxicity – to estimate the potential to increase toxicity levels in freshwater systems.</w:t>
      </w:r>
    </w:p>
    <w:p w14:paraId="6BACDF8B" w14:textId="5303C846" w:rsidR="00E449BC" w:rsidRPr="00374FAA" w:rsidRDefault="00D60855" w:rsidP="00E449BC">
      <w:pPr>
        <w:pStyle w:val="ListParagraph"/>
        <w:numPr>
          <w:ilvl w:val="0"/>
          <w:numId w:val="2"/>
        </w:numPr>
        <w:jc w:val="both"/>
        <w:rPr>
          <w:rFonts w:ascii="Arial" w:hAnsi="Arial" w:cs="Arial"/>
          <w:sz w:val="20"/>
          <w:szCs w:val="20"/>
        </w:rPr>
      </w:pPr>
      <w:r w:rsidRPr="005962B9">
        <w:rPr>
          <w:rFonts w:ascii="Arial" w:hAnsi="Arial" w:cs="Arial"/>
          <w:sz w:val="20"/>
          <w:szCs w:val="20"/>
        </w:rPr>
        <w:t>Mineral resource scarcity – to quantify the potential for the production pathway to deplete finite resources.</w:t>
      </w:r>
    </w:p>
    <w:p w14:paraId="0CBCC86B" w14:textId="330CAD80" w:rsidR="00BF1BE3" w:rsidRDefault="00BF1BE3" w:rsidP="00BF1BE3">
      <w:pPr>
        <w:pStyle w:val="Heading1"/>
        <w:rPr>
          <w:rFonts w:ascii="Arial" w:hAnsi="Arial" w:cs="Arial"/>
        </w:rPr>
      </w:pPr>
      <w:r w:rsidRPr="00E449BC">
        <w:rPr>
          <w:rFonts w:ascii="Arial" w:hAnsi="Arial" w:cs="Arial"/>
        </w:rPr>
        <w:t>S</w:t>
      </w:r>
      <w:r w:rsidR="00413AE8">
        <w:rPr>
          <w:rFonts w:ascii="Arial" w:hAnsi="Arial" w:cs="Arial"/>
        </w:rPr>
        <w:t>2</w:t>
      </w:r>
      <w:r w:rsidRPr="00E449BC">
        <w:rPr>
          <w:rFonts w:ascii="Arial" w:hAnsi="Arial" w:cs="Arial"/>
        </w:rPr>
        <w:t xml:space="preserve"> – Supplemental figures</w:t>
      </w:r>
    </w:p>
    <w:p w14:paraId="0868C47F" w14:textId="418C7B85" w:rsidR="005C06B6" w:rsidRPr="009C3F77" w:rsidRDefault="005C06B6" w:rsidP="005C06B6">
      <w:pPr>
        <w:pStyle w:val="Heading2"/>
        <w:rPr>
          <w:rFonts w:ascii="Arial" w:hAnsi="Arial" w:cs="Arial"/>
        </w:rPr>
      </w:pPr>
      <w:r w:rsidRPr="009C3F77">
        <w:rPr>
          <w:rFonts w:ascii="Arial" w:hAnsi="Arial" w:cs="Arial"/>
        </w:rPr>
        <w:t xml:space="preserve">S2.1 – </w:t>
      </w:r>
      <w:r w:rsidR="009C3F77">
        <w:rPr>
          <w:rFonts w:ascii="Arial" w:hAnsi="Arial" w:cs="Arial"/>
        </w:rPr>
        <w:t>System boundary</w:t>
      </w:r>
      <w:r w:rsidRPr="009C3F77">
        <w:rPr>
          <w:rFonts w:ascii="Arial" w:hAnsi="Arial" w:cs="Arial"/>
        </w:rPr>
        <w:t xml:space="preserve"> </w:t>
      </w:r>
      <w:r w:rsidR="009C3F77">
        <w:rPr>
          <w:rFonts w:ascii="Arial" w:hAnsi="Arial" w:cs="Arial"/>
        </w:rPr>
        <w:t>for LCA analysis</w:t>
      </w:r>
      <w:r w:rsidRPr="009C3F77">
        <w:rPr>
          <w:rFonts w:ascii="Arial" w:hAnsi="Arial" w:cs="Arial"/>
        </w:rPr>
        <w:t xml:space="preserve"> </w:t>
      </w:r>
    </w:p>
    <w:p w14:paraId="0BE988D9" w14:textId="77777777" w:rsidR="00A02E2F" w:rsidRDefault="00BF1BE3" w:rsidP="00A02E2F">
      <w:pPr>
        <w:keepNext/>
      </w:pPr>
      <w:r>
        <w:rPr>
          <w:noProof/>
        </w:rPr>
        <w:drawing>
          <wp:inline distT="0" distB="0" distL="0" distR="0" wp14:anchorId="2F1B5FC6" wp14:editId="48360818">
            <wp:extent cx="5624599" cy="2465538"/>
            <wp:effectExtent l="0" t="0" r="0" b="0"/>
            <wp:docPr id="11" name="Picture 1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Diagram&#10;&#10;Description automatically generated"/>
                    <pic:cNvPicPr/>
                  </pic:nvPicPr>
                  <pic:blipFill rotWithShape="1">
                    <a:blip r:embed="rId12" cstate="print">
                      <a:extLst>
                        <a:ext uri="{28A0092B-C50C-407E-A947-70E740481C1C}">
                          <a14:useLocalDpi xmlns:a14="http://schemas.microsoft.com/office/drawing/2010/main" val="0"/>
                        </a:ext>
                      </a:extLst>
                    </a:blip>
                    <a:srcRect l="4231" t="23215" r="8099" b="8464"/>
                    <a:stretch/>
                  </pic:blipFill>
                  <pic:spPr bwMode="auto">
                    <a:xfrm>
                      <a:off x="0" y="0"/>
                      <a:ext cx="5641005" cy="2472729"/>
                    </a:xfrm>
                    <a:prstGeom prst="rect">
                      <a:avLst/>
                    </a:prstGeom>
                    <a:ln>
                      <a:noFill/>
                    </a:ln>
                    <a:extLst>
                      <a:ext uri="{53640926-AAD7-44D8-BBD7-CCE9431645EC}">
                        <a14:shadowObscured xmlns:a14="http://schemas.microsoft.com/office/drawing/2010/main"/>
                      </a:ext>
                    </a:extLst>
                  </pic:spPr>
                </pic:pic>
              </a:graphicData>
            </a:graphic>
          </wp:inline>
        </w:drawing>
      </w:r>
    </w:p>
    <w:p w14:paraId="7AE490C9" w14:textId="7E35F0BE" w:rsidR="00BF1BE3" w:rsidRPr="00146D5D" w:rsidRDefault="00A02E2F" w:rsidP="008834E0">
      <w:pPr>
        <w:pStyle w:val="Caption"/>
        <w:jc w:val="both"/>
        <w:rPr>
          <w:rFonts w:ascii="Arial" w:hAnsi="Arial" w:cs="Arial"/>
        </w:rPr>
      </w:pPr>
      <w:bookmarkStart w:id="0" w:name="_Hlk82940251"/>
      <w:r w:rsidRPr="00146D5D">
        <w:rPr>
          <w:rFonts w:ascii="Arial" w:hAnsi="Arial" w:cs="Arial"/>
        </w:rPr>
        <w:t>Figure S</w:t>
      </w:r>
      <w:r w:rsidRPr="00146D5D">
        <w:rPr>
          <w:rFonts w:ascii="Arial" w:hAnsi="Arial" w:cs="Arial"/>
        </w:rPr>
        <w:fldChar w:fldCharType="begin"/>
      </w:r>
      <w:r w:rsidRPr="00146D5D">
        <w:rPr>
          <w:rFonts w:ascii="Arial" w:hAnsi="Arial" w:cs="Arial"/>
        </w:rPr>
        <w:instrText xml:space="preserve"> SEQ Figure \* ARABIC </w:instrText>
      </w:r>
      <w:r w:rsidRPr="00146D5D">
        <w:rPr>
          <w:rFonts w:ascii="Arial" w:hAnsi="Arial" w:cs="Arial"/>
        </w:rPr>
        <w:fldChar w:fldCharType="separate"/>
      </w:r>
      <w:r w:rsidR="0003272E">
        <w:rPr>
          <w:rFonts w:ascii="Arial" w:hAnsi="Arial" w:cs="Arial"/>
          <w:noProof/>
        </w:rPr>
        <w:t>5</w:t>
      </w:r>
      <w:r w:rsidRPr="00146D5D">
        <w:rPr>
          <w:rFonts w:ascii="Arial" w:hAnsi="Arial" w:cs="Arial"/>
        </w:rPr>
        <w:fldChar w:fldCharType="end"/>
      </w:r>
      <w:r w:rsidRPr="00146D5D">
        <w:rPr>
          <w:rFonts w:ascii="Arial" w:hAnsi="Arial" w:cs="Arial"/>
        </w:rPr>
        <w:t xml:space="preserve">: </w:t>
      </w:r>
      <w:r w:rsidR="008834E0" w:rsidRPr="00146D5D">
        <w:rPr>
          <w:rFonts w:ascii="Arial" w:hAnsi="Arial" w:cs="Arial"/>
        </w:rPr>
        <w:t xml:space="preserve">The processes included within the system boundary for the lifecycle assessment of blue hydrogen technologies – SMR and ATR with CCS. Note that the boxes highlighted in </w:t>
      </w:r>
      <w:r w:rsidR="000760A5">
        <w:rPr>
          <w:rFonts w:ascii="Arial" w:hAnsi="Arial" w:cs="Arial"/>
        </w:rPr>
        <w:t>yellow</w:t>
      </w:r>
      <w:r w:rsidR="000760A5" w:rsidRPr="00146D5D">
        <w:rPr>
          <w:rFonts w:ascii="Arial" w:hAnsi="Arial" w:cs="Arial"/>
        </w:rPr>
        <w:t xml:space="preserve"> </w:t>
      </w:r>
      <w:r w:rsidR="008834E0" w:rsidRPr="00146D5D">
        <w:rPr>
          <w:rFonts w:ascii="Arial" w:hAnsi="Arial" w:cs="Arial"/>
        </w:rPr>
        <w:t xml:space="preserve">represent processes which use background data from the </w:t>
      </w:r>
      <w:proofErr w:type="spellStart"/>
      <w:r w:rsidR="008834E0" w:rsidRPr="00146D5D">
        <w:rPr>
          <w:rFonts w:ascii="Arial" w:hAnsi="Arial" w:cs="Arial"/>
        </w:rPr>
        <w:t>ecoinvent</w:t>
      </w:r>
      <w:proofErr w:type="spellEnd"/>
      <w:r w:rsidR="008834E0" w:rsidRPr="00146D5D">
        <w:rPr>
          <w:rFonts w:ascii="Arial" w:hAnsi="Arial" w:cs="Arial"/>
        </w:rPr>
        <w:t xml:space="preserve"> database, whereas the others are modelled using primary inventory data</w:t>
      </w:r>
      <w:r w:rsidR="000760A5">
        <w:rPr>
          <w:rFonts w:ascii="Arial" w:hAnsi="Arial" w:cs="Arial"/>
        </w:rPr>
        <w:t xml:space="preserve"> augmented to complete data gaps</w:t>
      </w:r>
      <w:r w:rsidR="008834E0" w:rsidRPr="00146D5D">
        <w:rPr>
          <w:rFonts w:ascii="Arial" w:hAnsi="Arial" w:cs="Arial"/>
        </w:rPr>
        <w:t>.</w:t>
      </w:r>
      <w:bookmarkEnd w:id="0"/>
      <w:r w:rsidR="008834E0" w:rsidRPr="00146D5D">
        <w:rPr>
          <w:rFonts w:ascii="Arial" w:hAnsi="Arial" w:cs="Arial"/>
        </w:rPr>
        <w:t xml:space="preserve"> </w:t>
      </w:r>
    </w:p>
    <w:p w14:paraId="3C83F527" w14:textId="77777777" w:rsidR="00146D5D" w:rsidRDefault="00BF1BE3" w:rsidP="00146D5D">
      <w:pPr>
        <w:keepNext/>
        <w:jc w:val="center"/>
      </w:pPr>
      <w:r>
        <w:rPr>
          <w:noProof/>
        </w:rPr>
        <w:lastRenderedPageBreak/>
        <w:drawing>
          <wp:inline distT="0" distB="0" distL="0" distR="0" wp14:anchorId="43DC3BDC" wp14:editId="72F14A80">
            <wp:extent cx="5285509" cy="2839242"/>
            <wp:effectExtent l="0" t="0" r="0" b="0"/>
            <wp:docPr id="9" name="Picture 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Diagram&#10;&#10;Description automatically generated"/>
                    <pic:cNvPicPr/>
                  </pic:nvPicPr>
                  <pic:blipFill rotWithShape="1">
                    <a:blip r:embed="rId13" cstate="print">
                      <a:extLst>
                        <a:ext uri="{28A0092B-C50C-407E-A947-70E740481C1C}">
                          <a14:useLocalDpi xmlns:a14="http://schemas.microsoft.com/office/drawing/2010/main" val="0"/>
                        </a:ext>
                      </a:extLst>
                    </a:blip>
                    <a:srcRect l="14358" t="22928" r="14114" b="8765"/>
                    <a:stretch/>
                  </pic:blipFill>
                  <pic:spPr bwMode="auto">
                    <a:xfrm>
                      <a:off x="0" y="0"/>
                      <a:ext cx="5343093" cy="2870175"/>
                    </a:xfrm>
                    <a:prstGeom prst="rect">
                      <a:avLst/>
                    </a:prstGeom>
                    <a:ln>
                      <a:noFill/>
                    </a:ln>
                    <a:extLst>
                      <a:ext uri="{53640926-AAD7-44D8-BBD7-CCE9431645EC}">
                        <a14:shadowObscured xmlns:a14="http://schemas.microsoft.com/office/drawing/2010/main"/>
                      </a:ext>
                    </a:extLst>
                  </pic:spPr>
                </pic:pic>
              </a:graphicData>
            </a:graphic>
          </wp:inline>
        </w:drawing>
      </w:r>
    </w:p>
    <w:p w14:paraId="4252EC76" w14:textId="0B843E5B" w:rsidR="00BF1BE3" w:rsidRDefault="00146D5D" w:rsidP="00146D5D">
      <w:pPr>
        <w:pStyle w:val="Caption"/>
        <w:jc w:val="both"/>
        <w:rPr>
          <w:rFonts w:ascii="Arial" w:hAnsi="Arial" w:cs="Arial"/>
        </w:rPr>
      </w:pPr>
      <w:r w:rsidRPr="00146D5D">
        <w:rPr>
          <w:rFonts w:ascii="Arial" w:hAnsi="Arial" w:cs="Arial"/>
        </w:rPr>
        <w:t>Figure S</w:t>
      </w:r>
      <w:r w:rsidRPr="00146D5D">
        <w:rPr>
          <w:rFonts w:ascii="Arial" w:hAnsi="Arial" w:cs="Arial"/>
        </w:rPr>
        <w:fldChar w:fldCharType="begin"/>
      </w:r>
      <w:r w:rsidRPr="00146D5D">
        <w:rPr>
          <w:rFonts w:ascii="Arial" w:hAnsi="Arial" w:cs="Arial"/>
        </w:rPr>
        <w:instrText xml:space="preserve"> SEQ Figure \* ARABIC </w:instrText>
      </w:r>
      <w:r w:rsidRPr="00146D5D">
        <w:rPr>
          <w:rFonts w:ascii="Arial" w:hAnsi="Arial" w:cs="Arial"/>
        </w:rPr>
        <w:fldChar w:fldCharType="separate"/>
      </w:r>
      <w:r w:rsidR="0003272E">
        <w:rPr>
          <w:rFonts w:ascii="Arial" w:hAnsi="Arial" w:cs="Arial"/>
          <w:noProof/>
        </w:rPr>
        <w:t>6</w:t>
      </w:r>
      <w:r w:rsidRPr="00146D5D">
        <w:rPr>
          <w:rFonts w:ascii="Arial" w:hAnsi="Arial" w:cs="Arial"/>
        </w:rPr>
        <w:fldChar w:fldCharType="end"/>
      </w:r>
      <w:r w:rsidRPr="00146D5D">
        <w:rPr>
          <w:rFonts w:ascii="Arial" w:hAnsi="Arial" w:cs="Arial"/>
        </w:rPr>
        <w:t>: The processes included within the system boundary for the lifecycle assessment of electrolytic hydrogen production. Storage infrastructure is captured for the wind-based electrolysis assessments</w:t>
      </w:r>
      <w:r w:rsidR="000760A5">
        <w:rPr>
          <w:rFonts w:ascii="Arial" w:hAnsi="Arial" w:cs="Arial"/>
        </w:rPr>
        <w:t xml:space="preserve">. </w:t>
      </w:r>
      <w:r w:rsidR="000760A5" w:rsidRPr="00146D5D">
        <w:rPr>
          <w:rFonts w:ascii="Arial" w:hAnsi="Arial" w:cs="Arial"/>
        </w:rPr>
        <w:t xml:space="preserve">Note that the boxes highlighted in </w:t>
      </w:r>
      <w:r w:rsidR="000760A5">
        <w:rPr>
          <w:rFonts w:ascii="Arial" w:hAnsi="Arial" w:cs="Arial"/>
        </w:rPr>
        <w:t>yellow</w:t>
      </w:r>
      <w:r w:rsidR="000760A5" w:rsidRPr="00146D5D">
        <w:rPr>
          <w:rFonts w:ascii="Arial" w:hAnsi="Arial" w:cs="Arial"/>
        </w:rPr>
        <w:t xml:space="preserve"> represent processes which use background data from the </w:t>
      </w:r>
      <w:proofErr w:type="spellStart"/>
      <w:r w:rsidR="000760A5" w:rsidRPr="00146D5D">
        <w:rPr>
          <w:rFonts w:ascii="Arial" w:hAnsi="Arial" w:cs="Arial"/>
        </w:rPr>
        <w:t>ecoinvent</w:t>
      </w:r>
      <w:proofErr w:type="spellEnd"/>
      <w:r w:rsidR="000760A5" w:rsidRPr="00146D5D">
        <w:rPr>
          <w:rFonts w:ascii="Arial" w:hAnsi="Arial" w:cs="Arial"/>
        </w:rPr>
        <w:t xml:space="preserve"> database, whereas the others are modelled using primary inventory data</w:t>
      </w:r>
      <w:r w:rsidR="000760A5">
        <w:rPr>
          <w:rFonts w:ascii="Arial" w:hAnsi="Arial" w:cs="Arial"/>
        </w:rPr>
        <w:t xml:space="preserve"> augmented to complete data gaps</w:t>
      </w:r>
      <w:r w:rsidRPr="00146D5D">
        <w:rPr>
          <w:rFonts w:ascii="Arial" w:hAnsi="Arial" w:cs="Arial"/>
        </w:rPr>
        <w:t>.</w:t>
      </w:r>
    </w:p>
    <w:p w14:paraId="06033B9E" w14:textId="77777777" w:rsidR="008E201A" w:rsidRPr="009C3F77" w:rsidRDefault="008E201A" w:rsidP="009C3F77"/>
    <w:p w14:paraId="216FBB8A" w14:textId="524928CE" w:rsidR="009C3F77" w:rsidRPr="009C3F77" w:rsidRDefault="009C3F77" w:rsidP="009C3F77">
      <w:pPr>
        <w:pStyle w:val="Heading2"/>
        <w:rPr>
          <w:rFonts w:ascii="Arial" w:hAnsi="Arial" w:cs="Arial"/>
        </w:rPr>
      </w:pPr>
      <w:r w:rsidRPr="009C3F77">
        <w:rPr>
          <w:rFonts w:ascii="Arial" w:hAnsi="Arial" w:cs="Arial"/>
        </w:rPr>
        <w:t>S2.</w:t>
      </w:r>
      <w:r>
        <w:rPr>
          <w:rFonts w:ascii="Arial" w:hAnsi="Arial" w:cs="Arial"/>
        </w:rPr>
        <w:t>2</w:t>
      </w:r>
      <w:r w:rsidRPr="009C3F77">
        <w:rPr>
          <w:rFonts w:ascii="Arial" w:hAnsi="Arial" w:cs="Arial"/>
        </w:rPr>
        <w:t xml:space="preserve"> – </w:t>
      </w:r>
      <w:r>
        <w:rPr>
          <w:rFonts w:ascii="Arial" w:hAnsi="Arial" w:cs="Arial"/>
        </w:rPr>
        <w:t>Midpoint impact assessment of H</w:t>
      </w:r>
      <w:r w:rsidRPr="009C3F77">
        <w:rPr>
          <w:rFonts w:ascii="Arial" w:hAnsi="Arial" w:cs="Arial"/>
          <w:vertAlign w:val="subscript"/>
        </w:rPr>
        <w:t>2</w:t>
      </w:r>
      <w:r>
        <w:rPr>
          <w:rFonts w:ascii="Arial" w:hAnsi="Arial" w:cs="Arial"/>
        </w:rPr>
        <w:t xml:space="preserve"> supply pathways</w:t>
      </w:r>
    </w:p>
    <w:p w14:paraId="1C652C77" w14:textId="70678202" w:rsidR="00413AE8" w:rsidRDefault="00413AE8" w:rsidP="00413AE8"/>
    <w:p w14:paraId="4DF36A15" w14:textId="6DA6509D" w:rsidR="00413AE8" w:rsidRDefault="009C3F77" w:rsidP="00413AE8">
      <w:r>
        <w:rPr>
          <w:noProof/>
        </w:rPr>
        <w:drawing>
          <wp:inline distT="0" distB="0" distL="0" distR="0" wp14:anchorId="206F949E" wp14:editId="5770A053">
            <wp:extent cx="5731510" cy="3053080"/>
            <wp:effectExtent l="0" t="0" r="2540" b="0"/>
            <wp:docPr id="2" name="Picture 2" descr="Chart, rad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radar chart&#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31510" cy="3053080"/>
                    </a:xfrm>
                    <a:prstGeom prst="rect">
                      <a:avLst/>
                    </a:prstGeom>
                  </pic:spPr>
                </pic:pic>
              </a:graphicData>
            </a:graphic>
          </wp:inline>
        </w:drawing>
      </w:r>
    </w:p>
    <w:p w14:paraId="7A755161" w14:textId="71B7C56E" w:rsidR="00333114" w:rsidRDefault="00333114" w:rsidP="00333114">
      <w:pPr>
        <w:pStyle w:val="Caption"/>
        <w:jc w:val="both"/>
        <w:rPr>
          <w:rFonts w:ascii="Arial" w:hAnsi="Arial" w:cs="Arial"/>
        </w:rPr>
      </w:pPr>
      <w:r w:rsidRPr="00146D5D">
        <w:rPr>
          <w:rFonts w:ascii="Arial" w:hAnsi="Arial" w:cs="Arial"/>
        </w:rPr>
        <w:t>Figure S</w:t>
      </w:r>
      <w:r w:rsidR="00FD63E0">
        <w:rPr>
          <w:rFonts w:ascii="Arial" w:hAnsi="Arial" w:cs="Arial"/>
        </w:rPr>
        <w:t>7</w:t>
      </w:r>
      <w:r w:rsidRPr="00146D5D">
        <w:rPr>
          <w:rFonts w:ascii="Arial" w:hAnsi="Arial" w:cs="Arial"/>
        </w:rPr>
        <w:t xml:space="preserve">: </w:t>
      </w:r>
      <w:r w:rsidR="005C06B6">
        <w:rPr>
          <w:rFonts w:ascii="Arial" w:hAnsi="Arial" w:cs="Arial"/>
        </w:rPr>
        <w:t xml:space="preserve">Environmental performance of </w:t>
      </w:r>
      <w:r w:rsidR="009C3F77">
        <w:rPr>
          <w:rFonts w:ascii="Arial" w:hAnsi="Arial" w:cs="Arial"/>
        </w:rPr>
        <w:t>different H</w:t>
      </w:r>
      <w:r w:rsidR="009C3F77" w:rsidRPr="009C3F77">
        <w:rPr>
          <w:rFonts w:ascii="Arial" w:hAnsi="Arial" w:cs="Arial"/>
          <w:vertAlign w:val="subscript"/>
        </w:rPr>
        <w:t>2</w:t>
      </w:r>
      <w:r w:rsidR="009C3F77">
        <w:rPr>
          <w:rFonts w:ascii="Arial" w:hAnsi="Arial" w:cs="Arial"/>
        </w:rPr>
        <w:t xml:space="preserve"> supply options</w:t>
      </w:r>
      <w:r w:rsidR="00487339">
        <w:rPr>
          <w:rFonts w:ascii="Arial" w:hAnsi="Arial" w:cs="Arial"/>
        </w:rPr>
        <w:t xml:space="preserve"> assuming the supply of both electricity and natural gas from Great Britain (A) and Norway (B). The design assumes operation in North of England. Grid and hybrid-electrolysis performs poorly in Great Britain in comparison to Norway. </w:t>
      </w:r>
      <w:r w:rsidR="000760A5">
        <w:rPr>
          <w:rFonts w:ascii="Arial" w:hAnsi="Arial" w:cs="Arial"/>
        </w:rPr>
        <w:t>Importantly</w:t>
      </w:r>
      <w:r w:rsidR="00487339">
        <w:rPr>
          <w:rFonts w:ascii="Arial" w:hAnsi="Arial" w:cs="Arial"/>
        </w:rPr>
        <w:t>, no single supply pathway is dominant across all indicators, leading to the observation that there is potential for environmental burden shifting from solely focusing on one technology.</w:t>
      </w:r>
    </w:p>
    <w:p w14:paraId="2E412E57" w14:textId="22355CF0" w:rsidR="00BF1BE3" w:rsidRPr="00BF1BE3" w:rsidRDefault="001C0B95" w:rsidP="00BF1BE3">
      <w:pPr>
        <w:pStyle w:val="Heading1"/>
        <w:rPr>
          <w:rFonts w:ascii="Arial" w:hAnsi="Arial" w:cs="Arial"/>
        </w:rPr>
      </w:pPr>
      <w:r>
        <w:rPr>
          <w:rFonts w:ascii="Arial" w:hAnsi="Arial" w:cs="Arial"/>
        </w:rPr>
        <w:lastRenderedPageBreak/>
        <w:t>S</w:t>
      </w:r>
      <w:r w:rsidR="00413AE8">
        <w:rPr>
          <w:rFonts w:ascii="Arial" w:hAnsi="Arial" w:cs="Arial"/>
        </w:rPr>
        <w:t>3</w:t>
      </w:r>
      <w:r>
        <w:rPr>
          <w:rFonts w:ascii="Arial" w:hAnsi="Arial" w:cs="Arial"/>
        </w:rPr>
        <w:t xml:space="preserve"> – Supplemental tables</w:t>
      </w:r>
    </w:p>
    <w:p w14:paraId="41876FB6" w14:textId="63FD4C69" w:rsidR="004C082E" w:rsidRDefault="0043057D" w:rsidP="009C3F77">
      <w:pPr>
        <w:jc w:val="both"/>
        <w:rPr>
          <w:rFonts w:ascii="Arial" w:hAnsi="Arial" w:cs="Arial"/>
          <w:sz w:val="20"/>
          <w:szCs w:val="20"/>
        </w:rPr>
      </w:pPr>
      <w:r w:rsidRPr="0043057D">
        <w:rPr>
          <w:rFonts w:ascii="Arial" w:hAnsi="Arial" w:cs="Arial"/>
          <w:sz w:val="20"/>
          <w:szCs w:val="20"/>
        </w:rPr>
        <w:t xml:space="preserve">This section </w:t>
      </w:r>
      <w:r w:rsidR="00DA3630">
        <w:rPr>
          <w:rFonts w:ascii="Arial" w:hAnsi="Arial" w:cs="Arial"/>
          <w:sz w:val="20"/>
          <w:szCs w:val="20"/>
        </w:rPr>
        <w:t>summarises the primary inventory data used to model the various processes along the H</w:t>
      </w:r>
      <w:r w:rsidR="00DA3630" w:rsidRPr="00DA3630">
        <w:rPr>
          <w:rFonts w:ascii="Arial" w:hAnsi="Arial" w:cs="Arial"/>
          <w:sz w:val="20"/>
          <w:szCs w:val="20"/>
          <w:vertAlign w:val="subscript"/>
        </w:rPr>
        <w:t>2</w:t>
      </w:r>
      <w:r w:rsidR="00DA3630">
        <w:rPr>
          <w:rFonts w:ascii="Arial" w:hAnsi="Arial" w:cs="Arial"/>
          <w:sz w:val="20"/>
          <w:szCs w:val="20"/>
        </w:rPr>
        <w:t xml:space="preserve"> supply chain</w:t>
      </w:r>
      <w:r w:rsidR="00867B82">
        <w:rPr>
          <w:rFonts w:ascii="Arial" w:hAnsi="Arial" w:cs="Arial"/>
          <w:sz w:val="20"/>
          <w:szCs w:val="20"/>
        </w:rPr>
        <w:t xml:space="preserve"> as part of the LCA presented in Figures 2A and 2B</w:t>
      </w:r>
      <w:r w:rsidR="00DA3630">
        <w:rPr>
          <w:rFonts w:ascii="Arial" w:hAnsi="Arial" w:cs="Arial"/>
          <w:sz w:val="20"/>
          <w:szCs w:val="20"/>
        </w:rPr>
        <w:t xml:space="preserve">. </w:t>
      </w:r>
      <w:r w:rsidR="005C0DC5">
        <w:rPr>
          <w:rFonts w:ascii="Arial" w:hAnsi="Arial" w:cs="Arial"/>
          <w:sz w:val="20"/>
          <w:szCs w:val="20"/>
        </w:rPr>
        <w:t xml:space="preserve">Note that the LCA </w:t>
      </w:r>
      <w:r w:rsidR="00EA73C8">
        <w:rPr>
          <w:rFonts w:ascii="Arial" w:hAnsi="Arial" w:cs="Arial"/>
          <w:sz w:val="20"/>
          <w:szCs w:val="20"/>
        </w:rPr>
        <w:t xml:space="preserve">model </w:t>
      </w:r>
      <w:r w:rsidR="005C0DC5">
        <w:rPr>
          <w:rFonts w:ascii="Arial" w:hAnsi="Arial" w:cs="Arial"/>
          <w:sz w:val="20"/>
          <w:szCs w:val="20"/>
        </w:rPr>
        <w:t>uses both primary data and background data from databases such as ecoinvent</w:t>
      </w:r>
      <w:r w:rsidR="005C0DC5">
        <w:rPr>
          <w:rFonts w:ascii="Arial" w:hAnsi="Arial" w:cs="Arial"/>
          <w:sz w:val="20"/>
          <w:szCs w:val="20"/>
        </w:rPr>
        <w:fldChar w:fldCharType="begin" w:fldLock="1"/>
      </w:r>
      <w:r w:rsidR="00050D6C">
        <w:rPr>
          <w:rFonts w:ascii="Arial" w:hAnsi="Arial" w:cs="Arial"/>
          <w:sz w:val="20"/>
          <w:szCs w:val="20"/>
        </w:rPr>
        <w:instrText>ADDIN CSL_CITATION {"citationItems":[{"id":"ITEM-1","itemData":{"DOI":"10.1007/s11367-016-1087-8","ISSN":"16147502","abstract":"Purpose: Good background data are an important requirement in LCA. Practitioners generally make use of LCI databases for such data, and the ecoinvent database is the largest transparent unit-process LCI database worldwide. Since its first release in 2003, it has been continuously updated, and version 3 was published in 2013. The release of version 3 introduced several significant methodological and technological improvements, besides a large number of new and updated datasets. The aim was to expand the content of the database, set the foundation for a truly global database, support regionalized LCIA, offer multiple system models, allow for easier integration of data from different regions, and reduce maintenance efforts. This article describes the methodological developments. Methods: Modeling choices and raw data were separated in version 3, which enables the application of different sets of modeling choices, or system models, to the same raw data with little effort. This includes one system model for Consequential LCA. Flow properties were added to all exchanges in the database, giving more information on the inventory and allowing a fast calculation of mass and other balances. With version 3.1, the database is generally water-balanced, and water use and consumption can be determined. Consumption mixes called market datasets were consistently added to the database, and global background data was added, often as an extrapolation from regional data. Results and discussion: In combination with hundreds of new unit processes from regions outside Europe, these changes lead to an improved modeling of global supply chains, and a more realistic distribution of impacts in regionalized LCIA. The new mixes also facilitate further regionalization due to the availability of background data for all regions. Conclusions: With version 3, the ecoinvent database substantially expands the goals and scopes of LCA studies it can support. The new system models allow new, different studies to be performed. Global supply chains and market datasets significantly increase the relevance of the database outside of Europe, and regionalized LCA is supported by the data. Datasets are more transparent, include more information, and support, e.g., water balances. The developments also support easier collaboration with other database initiatives, as demonstrated by a first successful collaboration with a data project in Québec. Version 3 has set the foundation for expanding ecoinvent …","author":[{"dropping-particle":"","family":"Wernet","given":"Gregor","non-dropping-particle":"","parse-names":false,"suffix":""},{"dropping-particle":"","family":"Bauer","given":"Christian","non-dropping-particle":"","parse-names":false,"suffix":""},{"dropping-particle":"","family":"Steubing","given":"Bernhard","non-dropping-particle":"","parse-names":false,"suffix":""},{"dropping-particle":"","family":"Reinhard","given":"Jürgen","non-dropping-particle":"","parse-names":false,"suffix":""},{"dropping-particle":"","family":"Moreno-Ruiz","given":"Emilia","non-dropping-particle":"","parse-names":false,"suffix":""},{"dropping-particle":"","family":"Weidema","given":"Bo","non-dropping-particle":"","parse-names":false,"suffix":""}],"container-title":"International Journal of Life Cycle Assessment","id":"ITEM-1","issue":"9","issued":{"date-parts":[["2016","9","1"]]},"page":"1218-1230","publisher":"Springer Verlag","title":"The ecoinvent database version 3 (part I): overview and methodology","type":"article-journal","volume":"21"},"uris":["http://www.mendeley.com/documents/?uuid=e74a567a-1fb8-3dfb-a8d1-83f43f72c371"]}],"mendeley":{"formattedCitation":"&lt;sup&gt;5&lt;/sup&gt;","plainTextFormattedCitation":"5","previouslyFormattedCitation":"&lt;sup&gt;4&lt;/sup&gt;"},"properties":{"noteIndex":0},"schema":"https://github.com/citation-style-language/schema/raw/master/csl-citation.json"}</w:instrText>
      </w:r>
      <w:r w:rsidR="005C0DC5">
        <w:rPr>
          <w:rFonts w:ascii="Arial" w:hAnsi="Arial" w:cs="Arial"/>
          <w:sz w:val="20"/>
          <w:szCs w:val="20"/>
        </w:rPr>
        <w:fldChar w:fldCharType="separate"/>
      </w:r>
      <w:r w:rsidR="00050D6C" w:rsidRPr="00050D6C">
        <w:rPr>
          <w:rFonts w:ascii="Arial" w:hAnsi="Arial" w:cs="Arial"/>
          <w:noProof/>
          <w:sz w:val="20"/>
          <w:szCs w:val="20"/>
          <w:vertAlign w:val="superscript"/>
        </w:rPr>
        <w:t>5</w:t>
      </w:r>
      <w:r w:rsidR="005C0DC5">
        <w:rPr>
          <w:rFonts w:ascii="Arial" w:hAnsi="Arial" w:cs="Arial"/>
          <w:sz w:val="20"/>
          <w:szCs w:val="20"/>
        </w:rPr>
        <w:fldChar w:fldCharType="end"/>
      </w:r>
      <w:r w:rsidR="005C0DC5">
        <w:rPr>
          <w:rFonts w:ascii="Arial" w:hAnsi="Arial" w:cs="Arial"/>
          <w:sz w:val="20"/>
          <w:szCs w:val="20"/>
        </w:rPr>
        <w:t xml:space="preserve">, </w:t>
      </w:r>
      <w:r w:rsidR="0042046C">
        <w:rPr>
          <w:rFonts w:ascii="Arial" w:hAnsi="Arial" w:cs="Arial"/>
          <w:sz w:val="20"/>
          <w:szCs w:val="20"/>
        </w:rPr>
        <w:t>hence</w:t>
      </w:r>
      <w:r w:rsidR="005C0DC5">
        <w:rPr>
          <w:rFonts w:ascii="Arial" w:hAnsi="Arial" w:cs="Arial"/>
          <w:sz w:val="20"/>
          <w:szCs w:val="20"/>
        </w:rPr>
        <w:t xml:space="preserve"> a complete description of every model component is not provided here.</w:t>
      </w:r>
    </w:p>
    <w:p w14:paraId="466FCBD3" w14:textId="30651E5C" w:rsidR="001A2C95" w:rsidRPr="00146D5D" w:rsidRDefault="001A2C95" w:rsidP="00146D5D">
      <w:pPr>
        <w:pStyle w:val="Caption"/>
        <w:keepNext/>
        <w:spacing w:after="0"/>
        <w:jc w:val="both"/>
        <w:rPr>
          <w:rFonts w:ascii="Arial" w:hAnsi="Arial" w:cs="Arial"/>
        </w:rPr>
      </w:pPr>
      <w:bookmarkStart w:id="1" w:name="_Ref70183292"/>
      <w:r w:rsidRPr="00146D5D">
        <w:rPr>
          <w:rFonts w:ascii="Arial" w:hAnsi="Arial" w:cs="Arial"/>
        </w:rPr>
        <w:t xml:space="preserve">Table </w:t>
      </w:r>
      <w:r w:rsidR="007C7D0A">
        <w:rPr>
          <w:rFonts w:ascii="Arial" w:hAnsi="Arial" w:cs="Arial"/>
        </w:rPr>
        <w:t>S</w:t>
      </w:r>
      <w:r w:rsidRPr="00146D5D">
        <w:rPr>
          <w:rFonts w:ascii="Arial" w:hAnsi="Arial" w:cs="Arial"/>
        </w:rPr>
        <w:fldChar w:fldCharType="begin"/>
      </w:r>
      <w:r w:rsidRPr="00146D5D">
        <w:rPr>
          <w:rFonts w:ascii="Arial" w:hAnsi="Arial" w:cs="Arial"/>
        </w:rPr>
        <w:instrText xml:space="preserve"> SEQ Table \* ARABIC </w:instrText>
      </w:r>
      <w:r w:rsidRPr="00146D5D">
        <w:rPr>
          <w:rFonts w:ascii="Arial" w:hAnsi="Arial" w:cs="Arial"/>
        </w:rPr>
        <w:fldChar w:fldCharType="separate"/>
      </w:r>
      <w:r w:rsidR="00243CB7">
        <w:rPr>
          <w:rFonts w:ascii="Arial" w:hAnsi="Arial" w:cs="Arial"/>
          <w:noProof/>
        </w:rPr>
        <w:t>1</w:t>
      </w:r>
      <w:r w:rsidRPr="00146D5D">
        <w:rPr>
          <w:rFonts w:ascii="Arial" w:hAnsi="Arial" w:cs="Arial"/>
          <w:noProof/>
        </w:rPr>
        <w:fldChar w:fldCharType="end"/>
      </w:r>
      <w:bookmarkEnd w:id="1"/>
      <w:r w:rsidRPr="00146D5D">
        <w:rPr>
          <w:rFonts w:ascii="Arial" w:hAnsi="Arial" w:cs="Arial"/>
        </w:rPr>
        <w:t>: Estimates of material and processing requirements for a 220 MW HHV methane reforming plant with CCS.</w:t>
      </w:r>
    </w:p>
    <w:tbl>
      <w:tblPr>
        <w:tblStyle w:val="GridTable1Light"/>
        <w:tblpPr w:leftFromText="180" w:rightFromText="180" w:vertAnchor="text" w:horzAnchor="margin" w:tblpXSpec="center" w:tblpY="263"/>
        <w:tblW w:w="0" w:type="auto"/>
        <w:tblLook w:val="04A0" w:firstRow="1" w:lastRow="0" w:firstColumn="1" w:lastColumn="0" w:noHBand="0" w:noVBand="1"/>
      </w:tblPr>
      <w:tblGrid>
        <w:gridCol w:w="4678"/>
        <w:gridCol w:w="4098"/>
      </w:tblGrid>
      <w:tr w:rsidR="00104CF4" w14:paraId="7C752DA1" w14:textId="77777777" w:rsidTr="00104C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Borders>
              <w:top w:val="single" w:sz="4" w:space="0" w:color="auto"/>
              <w:left w:val="nil"/>
              <w:right w:val="single" w:sz="4" w:space="0" w:color="auto"/>
            </w:tcBorders>
          </w:tcPr>
          <w:p w14:paraId="49EB3C23" w14:textId="77777777" w:rsidR="00104CF4" w:rsidRPr="00054ABD" w:rsidRDefault="00104CF4" w:rsidP="00C020D8">
            <w:pPr>
              <w:jc w:val="both"/>
              <w:rPr>
                <w:rFonts w:ascii="Arial" w:hAnsi="Arial" w:cs="Arial"/>
                <w:sz w:val="20"/>
                <w:szCs w:val="20"/>
              </w:rPr>
            </w:pPr>
            <w:r w:rsidRPr="00054ABD">
              <w:rPr>
                <w:rFonts w:ascii="Arial" w:hAnsi="Arial" w:cs="Arial"/>
                <w:sz w:val="20"/>
                <w:szCs w:val="20"/>
              </w:rPr>
              <w:t>Material</w:t>
            </w:r>
          </w:p>
        </w:tc>
        <w:tc>
          <w:tcPr>
            <w:tcW w:w="4098" w:type="dxa"/>
            <w:tcBorders>
              <w:top w:val="single" w:sz="4" w:space="0" w:color="auto"/>
              <w:left w:val="single" w:sz="4" w:space="0" w:color="auto"/>
              <w:right w:val="nil"/>
            </w:tcBorders>
          </w:tcPr>
          <w:p w14:paraId="606EE66D" w14:textId="77777777" w:rsidR="00104CF4" w:rsidRPr="00054ABD" w:rsidRDefault="00104CF4" w:rsidP="00C020D8">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Quantity (ton)</w:t>
            </w:r>
          </w:p>
        </w:tc>
      </w:tr>
      <w:tr w:rsidR="00104CF4" w14:paraId="096DE7DE" w14:textId="77777777" w:rsidTr="00104CF4">
        <w:tc>
          <w:tcPr>
            <w:cnfStyle w:val="001000000000" w:firstRow="0" w:lastRow="0" w:firstColumn="1" w:lastColumn="0" w:oddVBand="0" w:evenVBand="0" w:oddHBand="0" w:evenHBand="0" w:firstRowFirstColumn="0" w:firstRowLastColumn="0" w:lastRowFirstColumn="0" w:lastRowLastColumn="0"/>
            <w:tcW w:w="4678" w:type="dxa"/>
            <w:tcBorders>
              <w:top w:val="single" w:sz="12" w:space="0" w:color="666666" w:themeColor="text1" w:themeTint="99"/>
              <w:left w:val="nil"/>
              <w:bottom w:val="nil"/>
              <w:right w:val="single" w:sz="4" w:space="0" w:color="auto"/>
            </w:tcBorders>
          </w:tcPr>
          <w:p w14:paraId="36647772" w14:textId="77777777" w:rsidR="00104CF4" w:rsidRPr="00054ABD" w:rsidRDefault="00104CF4" w:rsidP="00C020D8">
            <w:pPr>
              <w:jc w:val="both"/>
              <w:rPr>
                <w:rFonts w:ascii="Arial" w:hAnsi="Arial" w:cs="Arial"/>
                <w:b w:val="0"/>
                <w:bCs w:val="0"/>
                <w:sz w:val="20"/>
                <w:szCs w:val="20"/>
              </w:rPr>
            </w:pPr>
            <w:r w:rsidRPr="00054ABD">
              <w:rPr>
                <w:rFonts w:ascii="Arial" w:hAnsi="Arial" w:cs="Arial"/>
                <w:b w:val="0"/>
                <w:bCs w:val="0"/>
                <w:sz w:val="20"/>
                <w:szCs w:val="20"/>
              </w:rPr>
              <w:t>Concrete – SMR plant</w:t>
            </w:r>
          </w:p>
        </w:tc>
        <w:tc>
          <w:tcPr>
            <w:tcW w:w="4098" w:type="dxa"/>
            <w:tcBorders>
              <w:top w:val="single" w:sz="12" w:space="0" w:color="666666" w:themeColor="text1" w:themeTint="99"/>
              <w:left w:val="single" w:sz="4" w:space="0" w:color="auto"/>
              <w:bottom w:val="nil"/>
              <w:right w:val="nil"/>
            </w:tcBorders>
          </w:tcPr>
          <w:p w14:paraId="474710ED" w14:textId="00C1697C" w:rsidR="00104CF4" w:rsidRPr="00054ABD" w:rsidRDefault="00104CF4"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10,242</w:t>
            </w:r>
            <w:r>
              <w:rPr>
                <w:rFonts w:ascii="Arial" w:hAnsi="Arial" w:cs="Arial"/>
                <w:sz w:val="20"/>
                <w:szCs w:val="20"/>
              </w:rPr>
              <w:fldChar w:fldCharType="begin" w:fldLock="1"/>
            </w:r>
            <w:r w:rsidR="00050D6C">
              <w:rPr>
                <w:rFonts w:ascii="Arial" w:hAnsi="Arial" w:cs="Arial"/>
                <w:sz w:val="20"/>
                <w:szCs w:val="20"/>
              </w:rPr>
              <w:instrText>ADDIN CSL_CITATION {"citationItems":[{"id":"ITEM-1","itemData":{"abstract":"A life cycle assessment (LCA) of hydrogen production via natural gas steam reforming was performed to examine the net emissions of greenhouse gases, as well as other major environmental consequences. LCA is a systematic analytical method that helps identify and evaluate the environmental impacts of a specific process or competing processes. In order to quantify the emissions, resource consumption, and energy use (i.e., environmental stressors), material and energy balances are performed in a cradle-to-grave manner on the operations required to transform raw materials into useful products. Natural gas lost to the atmosphere during production and distribution is also taken into account. Ultimately, this LCA will be compared to other hydrogen production technologies to examine the environmental benefits and drawbacks of the competing systems. The size of the hydrogen plant was set at 1.5 million Nm3/day (57 million scfd). The natural gas is reformed in a conventional steam reformer, and the resulting synthesis gas is shifted in both high and low temperature shift reactors; purification is performed using a pressure swing adsorption (PSA) unit. Although the plant requires some steam for the reforming and shift reactions, the highly exothermic reactions result in an excess amount of steam produced by the plant. For the base case, this steam is assumed to be used by some other source. Therefore, the stressors that would have resulted from producing and transporting natural gas and combusting it in a boiler are avoided because the other process/facility is not required to produce this steam (see section 3.0 for details). In terms of total air emissions, CO2 is emitted in the greatest quantity, accounting for 99% (by weight) of the total air emissions. The CO2 accounts for 89.3% of the systems global warming potential (GWP), defined as a combination of CO2, CH4, and N2O emissions expressed as CO2-equivalence for a 100 year time frame. Methane accounts for 10.6% of the GWP. The overall GWP of the system is 11,888 g CO2-equivalent/kg of hydrogen produced; the following table contains a breakdown of the sources showing that the hydrogen plant itself accounts for 74.8% of the greenhouse gas emissions.","author":[{"dropping-particle":"","family":"Spath","given":"Pamela L.","non-dropping-particle":"","parse-names":false,"suffix":""},{"dropping-particle":"","family":"Mann","given":"Margaret K.","non-dropping-particle":"","parse-names":false,"suffix":""}],"id":"ITEM-1","issue":"February","issued":{"date-parts":[["2001"]]},"title":"Life Cycle Assessment of Hydrogen Production via Natural Gas Steam Reforming","type":"report"},"uris":["http://www.mendeley.com/documents/?uuid=5b26e133-6859-4c53-a25e-6bb6ede630a6"]}],"mendeley":{"formattedCitation":"&lt;sup&gt;11&lt;/sup&gt;","plainTextFormattedCitation":"11","previouslyFormattedCitation":"&lt;sup&gt;10&lt;/sup&gt;"},"properties":{"noteIndex":0},"schema":"https://github.com/citation-style-language/schema/raw/master/csl-citation.json"}</w:instrText>
            </w:r>
            <w:r>
              <w:rPr>
                <w:rFonts w:ascii="Arial" w:hAnsi="Arial" w:cs="Arial"/>
                <w:sz w:val="20"/>
                <w:szCs w:val="20"/>
              </w:rPr>
              <w:fldChar w:fldCharType="separate"/>
            </w:r>
            <w:r w:rsidR="00050D6C" w:rsidRPr="00050D6C">
              <w:rPr>
                <w:rFonts w:ascii="Arial" w:hAnsi="Arial" w:cs="Arial"/>
                <w:noProof/>
                <w:sz w:val="20"/>
                <w:szCs w:val="20"/>
                <w:vertAlign w:val="superscript"/>
              </w:rPr>
              <w:t>11</w:t>
            </w:r>
            <w:r>
              <w:rPr>
                <w:rFonts w:ascii="Arial" w:hAnsi="Arial" w:cs="Arial"/>
                <w:sz w:val="20"/>
                <w:szCs w:val="20"/>
              </w:rPr>
              <w:fldChar w:fldCharType="end"/>
            </w:r>
          </w:p>
        </w:tc>
      </w:tr>
      <w:tr w:rsidR="00104CF4" w14:paraId="327A4463" w14:textId="77777777" w:rsidTr="00104CF4">
        <w:tc>
          <w:tcPr>
            <w:cnfStyle w:val="001000000000" w:firstRow="0" w:lastRow="0" w:firstColumn="1" w:lastColumn="0" w:oddVBand="0" w:evenVBand="0" w:oddHBand="0" w:evenHBand="0" w:firstRowFirstColumn="0" w:firstRowLastColumn="0" w:lastRowFirstColumn="0" w:lastRowLastColumn="0"/>
            <w:tcW w:w="4678" w:type="dxa"/>
            <w:tcBorders>
              <w:top w:val="nil"/>
              <w:left w:val="nil"/>
              <w:bottom w:val="nil"/>
              <w:right w:val="single" w:sz="4" w:space="0" w:color="auto"/>
            </w:tcBorders>
          </w:tcPr>
          <w:p w14:paraId="5864F255" w14:textId="77777777" w:rsidR="00104CF4" w:rsidRPr="00054ABD" w:rsidRDefault="00104CF4" w:rsidP="00C020D8">
            <w:pPr>
              <w:jc w:val="both"/>
              <w:rPr>
                <w:rFonts w:ascii="Arial" w:hAnsi="Arial" w:cs="Arial"/>
                <w:b w:val="0"/>
                <w:bCs w:val="0"/>
                <w:sz w:val="20"/>
                <w:szCs w:val="20"/>
              </w:rPr>
            </w:pPr>
            <w:r w:rsidRPr="00054ABD">
              <w:rPr>
                <w:rFonts w:ascii="Arial" w:hAnsi="Arial" w:cs="Arial"/>
                <w:b w:val="0"/>
                <w:bCs w:val="0"/>
                <w:sz w:val="20"/>
                <w:szCs w:val="20"/>
              </w:rPr>
              <w:t>Steel – SMR plant</w:t>
            </w:r>
          </w:p>
        </w:tc>
        <w:tc>
          <w:tcPr>
            <w:tcW w:w="4098" w:type="dxa"/>
            <w:tcBorders>
              <w:top w:val="nil"/>
              <w:left w:val="single" w:sz="4" w:space="0" w:color="auto"/>
              <w:bottom w:val="nil"/>
              <w:right w:val="nil"/>
            </w:tcBorders>
          </w:tcPr>
          <w:p w14:paraId="33B19A0B" w14:textId="4F6BC385" w:rsidR="00104CF4" w:rsidRPr="00054ABD" w:rsidRDefault="00104CF4"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3,272</w:t>
            </w:r>
            <w:r>
              <w:rPr>
                <w:rFonts w:ascii="Arial" w:hAnsi="Arial" w:cs="Arial"/>
                <w:sz w:val="20"/>
                <w:szCs w:val="20"/>
              </w:rPr>
              <w:fldChar w:fldCharType="begin" w:fldLock="1"/>
            </w:r>
            <w:r w:rsidR="00050D6C">
              <w:rPr>
                <w:rFonts w:ascii="Arial" w:hAnsi="Arial" w:cs="Arial"/>
                <w:sz w:val="20"/>
                <w:szCs w:val="20"/>
              </w:rPr>
              <w:instrText>ADDIN CSL_CITATION {"citationItems":[{"id":"ITEM-1","itemData":{"abstract":"A life cycle assessment (LCA) of hydrogen production via natural gas steam reforming was performed to examine the net emissions of greenhouse gases, as well as other major environmental consequences. LCA is a systematic analytical method that helps identify and evaluate the environmental impacts of a specific process or competing processes. In order to quantify the emissions, resource consumption, and energy use (i.e., environmental stressors), material and energy balances are performed in a cradle-to-grave manner on the operations required to transform raw materials into useful products. Natural gas lost to the atmosphere during production and distribution is also taken into account. Ultimately, this LCA will be compared to other hydrogen production technologies to examine the environmental benefits and drawbacks of the competing systems. The size of the hydrogen plant was set at 1.5 million Nm3/day (57 million scfd). The natural gas is reformed in a conventional steam reformer, and the resulting synthesis gas is shifted in both high and low temperature shift reactors; purification is performed using a pressure swing adsorption (PSA) unit. Although the plant requires some steam for the reforming and shift reactions, the highly exothermic reactions result in an excess amount of steam produced by the plant. For the base case, this steam is assumed to be used by some other source. Therefore, the stressors that would have resulted from producing and transporting natural gas and combusting it in a boiler are avoided because the other process/facility is not required to produce this steam (see section 3.0 for details). In terms of total air emissions, CO2 is emitted in the greatest quantity, accounting for 99% (by weight) of the total air emissions. The CO2 accounts for 89.3% of the systems global warming potential (GWP), defined as a combination of CO2, CH4, and N2O emissions expressed as CO2-equivalence for a 100 year time frame. Methane accounts for 10.6% of the GWP. The overall GWP of the system is 11,888 g CO2-equivalent/kg of hydrogen produced; the following table contains a breakdown of the sources showing that the hydrogen plant itself accounts for 74.8% of the greenhouse gas emissions.","author":[{"dropping-particle":"","family":"Spath","given":"Pamela L.","non-dropping-particle":"","parse-names":false,"suffix":""},{"dropping-particle":"","family":"Mann","given":"Margaret K.","non-dropping-particle":"","parse-names":false,"suffix":""}],"id":"ITEM-1","issue":"February","issued":{"date-parts":[["2001"]]},"title":"Life Cycle Assessment of Hydrogen Production via Natural Gas Steam Reforming","type":"report"},"uris":["http://www.mendeley.com/documents/?uuid=5b26e133-6859-4c53-a25e-6bb6ede630a6"]}],"mendeley":{"formattedCitation":"&lt;sup&gt;11&lt;/sup&gt;","plainTextFormattedCitation":"11","previouslyFormattedCitation":"&lt;sup&gt;10&lt;/sup&gt;"},"properties":{"noteIndex":0},"schema":"https://github.com/citation-style-language/schema/raw/master/csl-citation.json"}</w:instrText>
            </w:r>
            <w:r>
              <w:rPr>
                <w:rFonts w:ascii="Arial" w:hAnsi="Arial" w:cs="Arial"/>
                <w:sz w:val="20"/>
                <w:szCs w:val="20"/>
              </w:rPr>
              <w:fldChar w:fldCharType="separate"/>
            </w:r>
            <w:r w:rsidR="00050D6C" w:rsidRPr="00050D6C">
              <w:rPr>
                <w:rFonts w:ascii="Arial" w:hAnsi="Arial" w:cs="Arial"/>
                <w:noProof/>
                <w:sz w:val="20"/>
                <w:szCs w:val="20"/>
                <w:vertAlign w:val="superscript"/>
              </w:rPr>
              <w:t>11</w:t>
            </w:r>
            <w:r>
              <w:rPr>
                <w:rFonts w:ascii="Arial" w:hAnsi="Arial" w:cs="Arial"/>
                <w:sz w:val="20"/>
                <w:szCs w:val="20"/>
              </w:rPr>
              <w:fldChar w:fldCharType="end"/>
            </w:r>
          </w:p>
        </w:tc>
      </w:tr>
      <w:tr w:rsidR="00104CF4" w14:paraId="71BBCE6B" w14:textId="77777777" w:rsidTr="00104CF4">
        <w:tc>
          <w:tcPr>
            <w:cnfStyle w:val="001000000000" w:firstRow="0" w:lastRow="0" w:firstColumn="1" w:lastColumn="0" w:oddVBand="0" w:evenVBand="0" w:oddHBand="0" w:evenHBand="0" w:firstRowFirstColumn="0" w:firstRowLastColumn="0" w:lastRowFirstColumn="0" w:lastRowLastColumn="0"/>
            <w:tcW w:w="4678" w:type="dxa"/>
            <w:tcBorders>
              <w:top w:val="nil"/>
              <w:left w:val="nil"/>
              <w:bottom w:val="nil"/>
              <w:right w:val="single" w:sz="4" w:space="0" w:color="auto"/>
            </w:tcBorders>
          </w:tcPr>
          <w:p w14:paraId="179E63BB" w14:textId="77777777" w:rsidR="00104CF4" w:rsidRPr="00054ABD" w:rsidRDefault="00104CF4" w:rsidP="00C020D8">
            <w:pPr>
              <w:jc w:val="both"/>
              <w:rPr>
                <w:rFonts w:ascii="Arial" w:hAnsi="Arial" w:cs="Arial"/>
                <w:b w:val="0"/>
                <w:bCs w:val="0"/>
                <w:sz w:val="20"/>
                <w:szCs w:val="20"/>
              </w:rPr>
            </w:pPr>
            <w:r w:rsidRPr="00054ABD">
              <w:rPr>
                <w:rFonts w:ascii="Arial" w:hAnsi="Arial" w:cs="Arial"/>
                <w:b w:val="0"/>
                <w:bCs w:val="0"/>
                <w:sz w:val="20"/>
                <w:szCs w:val="20"/>
              </w:rPr>
              <w:t>Aluminium – SMR plant</w:t>
            </w:r>
          </w:p>
        </w:tc>
        <w:tc>
          <w:tcPr>
            <w:tcW w:w="4098" w:type="dxa"/>
            <w:tcBorders>
              <w:top w:val="nil"/>
              <w:left w:val="single" w:sz="4" w:space="0" w:color="auto"/>
              <w:bottom w:val="nil"/>
              <w:right w:val="nil"/>
            </w:tcBorders>
          </w:tcPr>
          <w:p w14:paraId="3264C7A3" w14:textId="6387BFFC" w:rsidR="00104CF4" w:rsidRPr="00054ABD" w:rsidRDefault="00104CF4"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27</w:t>
            </w:r>
            <w:r>
              <w:rPr>
                <w:rFonts w:ascii="Arial" w:hAnsi="Arial" w:cs="Arial"/>
                <w:sz w:val="20"/>
                <w:szCs w:val="20"/>
              </w:rPr>
              <w:fldChar w:fldCharType="begin" w:fldLock="1"/>
            </w:r>
            <w:r w:rsidR="00050D6C">
              <w:rPr>
                <w:rFonts w:ascii="Arial" w:hAnsi="Arial" w:cs="Arial"/>
                <w:sz w:val="20"/>
                <w:szCs w:val="20"/>
              </w:rPr>
              <w:instrText>ADDIN CSL_CITATION {"citationItems":[{"id":"ITEM-1","itemData":{"abstract":"A life cycle assessment (LCA) of hydrogen production via natural gas steam reforming was performed to examine the net emissions of greenhouse gases, as well as other major environmental consequences. LCA is a systematic analytical method that helps identify and evaluate the environmental impacts of a specific process or competing processes. In order to quantify the emissions, resource consumption, and energy use (i.e., environmental stressors), material and energy balances are performed in a cradle-to-grave manner on the operations required to transform raw materials into useful products. Natural gas lost to the atmosphere during production and distribution is also taken into account. Ultimately, this LCA will be compared to other hydrogen production technologies to examine the environmental benefits and drawbacks of the competing systems. The size of the hydrogen plant was set at 1.5 million Nm3/day (57 million scfd). The natural gas is reformed in a conventional steam reformer, and the resulting synthesis gas is shifted in both high and low temperature shift reactors; purification is performed using a pressure swing adsorption (PSA) unit. Although the plant requires some steam for the reforming and shift reactions, the highly exothermic reactions result in an excess amount of steam produced by the plant. For the base case, this steam is assumed to be used by some other source. Therefore, the stressors that would have resulted from producing and transporting natural gas and combusting it in a boiler are avoided because the other process/facility is not required to produce this steam (see section 3.0 for details). In terms of total air emissions, CO2 is emitted in the greatest quantity, accounting for 99% (by weight) of the total air emissions. The CO2 accounts for 89.3% of the systems global warming potential (GWP), defined as a combination of CO2, CH4, and N2O emissions expressed as CO2-equivalence for a 100 year time frame. Methane accounts for 10.6% of the GWP. The overall GWP of the system is 11,888 g CO2-equivalent/kg of hydrogen produced; the following table contains a breakdown of the sources showing that the hydrogen plant itself accounts for 74.8% of the greenhouse gas emissions.","author":[{"dropping-particle":"","family":"Spath","given":"Pamela L.","non-dropping-particle":"","parse-names":false,"suffix":""},{"dropping-particle":"","family":"Mann","given":"Margaret K.","non-dropping-particle":"","parse-names":false,"suffix":""}],"id":"ITEM-1","issue":"February","issued":{"date-parts":[["2001"]]},"title":"Life Cycle Assessment of Hydrogen Production via Natural Gas Steam Reforming","type":"report"},"uris":["http://www.mendeley.com/documents/?uuid=5b26e133-6859-4c53-a25e-6bb6ede630a6"]}],"mendeley":{"formattedCitation":"&lt;sup&gt;11&lt;/sup&gt;","plainTextFormattedCitation":"11","previouslyFormattedCitation":"&lt;sup&gt;10&lt;/sup&gt;"},"properties":{"noteIndex":0},"schema":"https://github.com/citation-style-language/schema/raw/master/csl-citation.json"}</w:instrText>
            </w:r>
            <w:r>
              <w:rPr>
                <w:rFonts w:ascii="Arial" w:hAnsi="Arial" w:cs="Arial"/>
                <w:sz w:val="20"/>
                <w:szCs w:val="20"/>
              </w:rPr>
              <w:fldChar w:fldCharType="separate"/>
            </w:r>
            <w:r w:rsidR="00050D6C" w:rsidRPr="00050D6C">
              <w:rPr>
                <w:rFonts w:ascii="Arial" w:hAnsi="Arial" w:cs="Arial"/>
                <w:noProof/>
                <w:sz w:val="20"/>
                <w:szCs w:val="20"/>
                <w:vertAlign w:val="superscript"/>
              </w:rPr>
              <w:t>11</w:t>
            </w:r>
            <w:r>
              <w:rPr>
                <w:rFonts w:ascii="Arial" w:hAnsi="Arial" w:cs="Arial"/>
                <w:sz w:val="20"/>
                <w:szCs w:val="20"/>
              </w:rPr>
              <w:fldChar w:fldCharType="end"/>
            </w:r>
          </w:p>
        </w:tc>
      </w:tr>
      <w:tr w:rsidR="00104CF4" w14:paraId="2138162A" w14:textId="77777777" w:rsidTr="00104CF4">
        <w:tc>
          <w:tcPr>
            <w:cnfStyle w:val="001000000000" w:firstRow="0" w:lastRow="0" w:firstColumn="1" w:lastColumn="0" w:oddVBand="0" w:evenVBand="0" w:oddHBand="0" w:evenHBand="0" w:firstRowFirstColumn="0" w:firstRowLastColumn="0" w:lastRowFirstColumn="0" w:lastRowLastColumn="0"/>
            <w:tcW w:w="4678" w:type="dxa"/>
            <w:tcBorders>
              <w:top w:val="nil"/>
              <w:left w:val="nil"/>
              <w:bottom w:val="nil"/>
              <w:right w:val="single" w:sz="4" w:space="0" w:color="auto"/>
            </w:tcBorders>
          </w:tcPr>
          <w:p w14:paraId="4CEAD482" w14:textId="77777777" w:rsidR="00104CF4" w:rsidRPr="00054ABD" w:rsidRDefault="00104CF4" w:rsidP="00C020D8">
            <w:pPr>
              <w:jc w:val="both"/>
              <w:rPr>
                <w:rFonts w:ascii="Arial" w:hAnsi="Arial" w:cs="Arial"/>
                <w:b w:val="0"/>
                <w:bCs w:val="0"/>
                <w:sz w:val="20"/>
                <w:szCs w:val="20"/>
              </w:rPr>
            </w:pPr>
            <w:r w:rsidRPr="00054ABD">
              <w:rPr>
                <w:rFonts w:ascii="Arial" w:hAnsi="Arial" w:cs="Arial"/>
                <w:b w:val="0"/>
                <w:bCs w:val="0"/>
                <w:sz w:val="20"/>
                <w:szCs w:val="20"/>
              </w:rPr>
              <w:t>Iron – SMR plant</w:t>
            </w:r>
          </w:p>
        </w:tc>
        <w:tc>
          <w:tcPr>
            <w:tcW w:w="4098" w:type="dxa"/>
            <w:tcBorders>
              <w:top w:val="nil"/>
              <w:left w:val="single" w:sz="4" w:space="0" w:color="auto"/>
              <w:bottom w:val="nil"/>
              <w:right w:val="nil"/>
            </w:tcBorders>
          </w:tcPr>
          <w:p w14:paraId="67E75FF5" w14:textId="63A0610C" w:rsidR="00104CF4" w:rsidRPr="00054ABD" w:rsidRDefault="00104CF4"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40</w:t>
            </w:r>
            <w:r>
              <w:rPr>
                <w:rFonts w:ascii="Arial" w:hAnsi="Arial" w:cs="Arial"/>
                <w:sz w:val="20"/>
                <w:szCs w:val="20"/>
              </w:rPr>
              <w:fldChar w:fldCharType="begin" w:fldLock="1"/>
            </w:r>
            <w:r w:rsidR="00050D6C">
              <w:rPr>
                <w:rFonts w:ascii="Arial" w:hAnsi="Arial" w:cs="Arial"/>
                <w:sz w:val="20"/>
                <w:szCs w:val="20"/>
              </w:rPr>
              <w:instrText>ADDIN CSL_CITATION {"citationItems":[{"id":"ITEM-1","itemData":{"abstract":"A life cycle assessment (LCA) of hydrogen production via natural gas steam reforming was performed to examine the net emissions of greenhouse gases, as well as other major environmental consequences. LCA is a systematic analytical method that helps identify and evaluate the environmental impacts of a specific process or competing processes. In order to quantify the emissions, resource consumption, and energy use (i.e., environmental stressors), material and energy balances are performed in a cradle-to-grave manner on the operations required to transform raw materials into useful products. Natural gas lost to the atmosphere during production and distribution is also taken into account. Ultimately, this LCA will be compared to other hydrogen production technologies to examine the environmental benefits and drawbacks of the competing systems. The size of the hydrogen plant was set at 1.5 million Nm3/day (57 million scfd). The natural gas is reformed in a conventional steam reformer, and the resulting synthesis gas is shifted in both high and low temperature shift reactors; purification is performed using a pressure swing adsorption (PSA) unit. Although the plant requires some steam for the reforming and shift reactions, the highly exothermic reactions result in an excess amount of steam produced by the plant. For the base case, this steam is assumed to be used by some other source. Therefore, the stressors that would have resulted from producing and transporting natural gas and combusting it in a boiler are avoided because the other process/facility is not required to produce this steam (see section 3.0 for details). In terms of total air emissions, CO2 is emitted in the greatest quantity, accounting for 99% (by weight) of the total air emissions. The CO2 accounts for 89.3% of the systems global warming potential (GWP), defined as a combination of CO2, CH4, and N2O emissions expressed as CO2-equivalence for a 100 year time frame. Methane accounts for 10.6% of the GWP. The overall GWP of the system is 11,888 g CO2-equivalent/kg of hydrogen produced; the following table contains a breakdown of the sources showing that the hydrogen plant itself accounts for 74.8% of the greenhouse gas emissions.","author":[{"dropping-particle":"","family":"Spath","given":"Pamela L.","non-dropping-particle":"","parse-names":false,"suffix":""},{"dropping-particle":"","family":"Mann","given":"Margaret K.","non-dropping-particle":"","parse-names":false,"suffix":""}],"id":"ITEM-1","issue":"February","issued":{"date-parts":[["2001"]]},"title":"Life Cycle Assessment of Hydrogen Production via Natural Gas Steam Reforming","type":"report"},"uris":["http://www.mendeley.com/documents/?uuid=5b26e133-6859-4c53-a25e-6bb6ede630a6"]}],"mendeley":{"formattedCitation":"&lt;sup&gt;11&lt;/sup&gt;","plainTextFormattedCitation":"11","previouslyFormattedCitation":"&lt;sup&gt;10&lt;/sup&gt;"},"properties":{"noteIndex":0},"schema":"https://github.com/citation-style-language/schema/raw/master/csl-citation.json"}</w:instrText>
            </w:r>
            <w:r>
              <w:rPr>
                <w:rFonts w:ascii="Arial" w:hAnsi="Arial" w:cs="Arial"/>
                <w:sz w:val="20"/>
                <w:szCs w:val="20"/>
              </w:rPr>
              <w:fldChar w:fldCharType="separate"/>
            </w:r>
            <w:r w:rsidR="00050D6C" w:rsidRPr="00050D6C">
              <w:rPr>
                <w:rFonts w:ascii="Arial" w:hAnsi="Arial" w:cs="Arial"/>
                <w:noProof/>
                <w:sz w:val="20"/>
                <w:szCs w:val="20"/>
                <w:vertAlign w:val="superscript"/>
              </w:rPr>
              <w:t>11</w:t>
            </w:r>
            <w:r>
              <w:rPr>
                <w:rFonts w:ascii="Arial" w:hAnsi="Arial" w:cs="Arial"/>
                <w:sz w:val="20"/>
                <w:szCs w:val="20"/>
              </w:rPr>
              <w:fldChar w:fldCharType="end"/>
            </w:r>
          </w:p>
        </w:tc>
      </w:tr>
      <w:tr w:rsidR="00104CF4" w14:paraId="571578FC" w14:textId="77777777" w:rsidTr="00104CF4">
        <w:tc>
          <w:tcPr>
            <w:cnfStyle w:val="001000000000" w:firstRow="0" w:lastRow="0" w:firstColumn="1" w:lastColumn="0" w:oddVBand="0" w:evenVBand="0" w:oddHBand="0" w:evenHBand="0" w:firstRowFirstColumn="0" w:firstRowLastColumn="0" w:lastRowFirstColumn="0" w:lastRowLastColumn="0"/>
            <w:tcW w:w="4678" w:type="dxa"/>
            <w:tcBorders>
              <w:top w:val="nil"/>
              <w:left w:val="nil"/>
              <w:bottom w:val="nil"/>
              <w:right w:val="single" w:sz="4" w:space="0" w:color="auto"/>
            </w:tcBorders>
          </w:tcPr>
          <w:p w14:paraId="7FB71395" w14:textId="77777777" w:rsidR="00104CF4" w:rsidRPr="00054ABD" w:rsidRDefault="00104CF4" w:rsidP="00C020D8">
            <w:pPr>
              <w:jc w:val="both"/>
              <w:rPr>
                <w:rFonts w:ascii="Arial" w:hAnsi="Arial" w:cs="Arial"/>
                <w:b w:val="0"/>
                <w:bCs w:val="0"/>
                <w:sz w:val="20"/>
                <w:szCs w:val="20"/>
              </w:rPr>
            </w:pPr>
            <w:r w:rsidRPr="00054ABD">
              <w:rPr>
                <w:rFonts w:ascii="Arial" w:hAnsi="Arial" w:cs="Arial"/>
                <w:b w:val="0"/>
                <w:bCs w:val="0"/>
                <w:sz w:val="20"/>
                <w:szCs w:val="20"/>
              </w:rPr>
              <w:t>Carbon steel – CCS plant</w:t>
            </w:r>
          </w:p>
        </w:tc>
        <w:tc>
          <w:tcPr>
            <w:tcW w:w="4098" w:type="dxa"/>
            <w:tcBorders>
              <w:top w:val="nil"/>
              <w:left w:val="single" w:sz="4" w:space="0" w:color="auto"/>
              <w:bottom w:val="nil"/>
              <w:right w:val="nil"/>
            </w:tcBorders>
          </w:tcPr>
          <w:p w14:paraId="2D774287" w14:textId="150EFD5D" w:rsidR="00104CF4" w:rsidRPr="00054ABD" w:rsidRDefault="00104CF4"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1,456</w:t>
            </w:r>
            <w:r>
              <w:rPr>
                <w:rFonts w:ascii="Arial" w:hAnsi="Arial" w:cs="Arial"/>
                <w:sz w:val="20"/>
                <w:szCs w:val="20"/>
              </w:rPr>
              <w:fldChar w:fldCharType="begin" w:fldLock="1"/>
            </w:r>
            <w:r w:rsidR="00050D6C">
              <w:rPr>
                <w:rFonts w:ascii="Arial" w:hAnsi="Arial" w:cs="Arial"/>
                <w:sz w:val="20"/>
                <w:szCs w:val="20"/>
              </w:rPr>
              <w:instrText>ADDIN CSL_CITATION {"citationItems":[{"id":"ITEM-1","itemData":{"DOI":"10.1016/j.energy.2011.07.003","ISSN":"03605442","abstract":"Today, almost 70% of the electricity is produced from fossil fuels and power generation accounts for over 40% of global CO2 emissions. If the targets to reduce climate change are to be met, substantial reductions in emissions are necessary. Compared to other sectors emission reductions in the power sector are relatively easy to achieve because it consists mainly of point-sources. Carbon Capture and Storage (CCS) and the use of low-carbon alternative energy sources are the two categories of options to reduce CO2 emissions. However, for both options additional infrastructure and equipment is needed. This article compares CO2 emissions and metal requirements of different low-carbon power generation technologies on the basis of Life Cycle Assessment. We analyze the most critical output (CO2) and the most critical input (metals) in the same methodological framework. CO2 emissions and metal requirements are compared with annual global emissions and annual production for different metals. It was found that all technologies are very effective in reducing CO2 emissions. However, CCS and especially non-fossil technologies are substantially more metal intensive than existing power generation. A transition to a low-carbon based power generation would require a substantial upscaling of current mining of several metals. © 2011 Elsevier Ltd.","author":[{"dropping-particle":"","family":"Kleijn","given":"René","non-dropping-particle":"","parse-names":false,"suffix":""},{"dropping-particle":"","family":"Voet","given":"Ester","non-dropping-particle":"van der","parse-names":false,"suffix":""},{"dropping-particle":"","family":"Kramer","given":"Gert Jan","non-dropping-particle":"","parse-names":false,"suffix":""},{"dropping-particle":"","family":"Oers","given":"Lauran","non-dropping-particle":"van","parse-names":false,"suffix":""},{"dropping-particle":"","family":"Giesen","given":"Coen","non-dropping-particle":"van der","parse-names":false,"suffix":""}],"container-title":"Energy","id":"ITEM-1","issue":"9","issued":{"date-parts":[["2011","9","1"]]},"page":"5640-5648","publisher":"Elsevier Ltd","title":"Metal requirements of low-carbon power generation","type":"article-journal","volume":"36"},"uris":["http://www.mendeley.com/documents/?uuid=72449eb2-b539-30cf-a339-68516aa16f35"]}],"mendeley":{"formattedCitation":"&lt;sup&gt;12&lt;/sup&gt;","plainTextFormattedCitation":"12","previouslyFormattedCitation":"&lt;sup&gt;11&lt;/sup&gt;"},"properties":{"noteIndex":0},"schema":"https://github.com/citation-style-language/schema/raw/master/csl-citation.json"}</w:instrText>
            </w:r>
            <w:r>
              <w:rPr>
                <w:rFonts w:ascii="Arial" w:hAnsi="Arial" w:cs="Arial"/>
                <w:sz w:val="20"/>
                <w:szCs w:val="20"/>
              </w:rPr>
              <w:fldChar w:fldCharType="separate"/>
            </w:r>
            <w:r w:rsidR="00050D6C" w:rsidRPr="00050D6C">
              <w:rPr>
                <w:rFonts w:ascii="Arial" w:hAnsi="Arial" w:cs="Arial"/>
                <w:noProof/>
                <w:sz w:val="20"/>
                <w:szCs w:val="20"/>
                <w:vertAlign w:val="superscript"/>
              </w:rPr>
              <w:t>12</w:t>
            </w:r>
            <w:r>
              <w:rPr>
                <w:rFonts w:ascii="Arial" w:hAnsi="Arial" w:cs="Arial"/>
                <w:sz w:val="20"/>
                <w:szCs w:val="20"/>
              </w:rPr>
              <w:fldChar w:fldCharType="end"/>
            </w:r>
          </w:p>
        </w:tc>
      </w:tr>
      <w:tr w:rsidR="00104CF4" w14:paraId="7C043547" w14:textId="77777777" w:rsidTr="00104CF4">
        <w:tc>
          <w:tcPr>
            <w:cnfStyle w:val="001000000000" w:firstRow="0" w:lastRow="0" w:firstColumn="1" w:lastColumn="0" w:oddVBand="0" w:evenVBand="0" w:oddHBand="0" w:evenHBand="0" w:firstRowFirstColumn="0" w:firstRowLastColumn="0" w:lastRowFirstColumn="0" w:lastRowLastColumn="0"/>
            <w:tcW w:w="4678" w:type="dxa"/>
            <w:tcBorders>
              <w:top w:val="nil"/>
              <w:left w:val="nil"/>
              <w:bottom w:val="nil"/>
              <w:right w:val="single" w:sz="4" w:space="0" w:color="auto"/>
            </w:tcBorders>
          </w:tcPr>
          <w:p w14:paraId="6DCF499D" w14:textId="77777777" w:rsidR="00104CF4" w:rsidRPr="00054ABD" w:rsidRDefault="00104CF4" w:rsidP="00C020D8">
            <w:pPr>
              <w:jc w:val="both"/>
              <w:rPr>
                <w:rFonts w:ascii="Arial" w:hAnsi="Arial" w:cs="Arial"/>
                <w:b w:val="0"/>
                <w:bCs w:val="0"/>
                <w:sz w:val="20"/>
                <w:szCs w:val="20"/>
              </w:rPr>
            </w:pPr>
            <w:r w:rsidRPr="00054ABD">
              <w:rPr>
                <w:rFonts w:ascii="Arial" w:hAnsi="Arial" w:cs="Arial"/>
                <w:b w:val="0"/>
                <w:bCs w:val="0"/>
                <w:sz w:val="20"/>
                <w:szCs w:val="20"/>
              </w:rPr>
              <w:t>Stainless steel – CCS plant</w:t>
            </w:r>
          </w:p>
        </w:tc>
        <w:tc>
          <w:tcPr>
            <w:tcW w:w="4098" w:type="dxa"/>
            <w:tcBorders>
              <w:top w:val="nil"/>
              <w:left w:val="single" w:sz="4" w:space="0" w:color="auto"/>
              <w:bottom w:val="nil"/>
              <w:right w:val="nil"/>
            </w:tcBorders>
          </w:tcPr>
          <w:p w14:paraId="444805B8" w14:textId="03A3A301" w:rsidR="00104CF4" w:rsidRPr="00054ABD" w:rsidRDefault="00104CF4"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374</w:t>
            </w:r>
            <w:r>
              <w:rPr>
                <w:rFonts w:ascii="Arial" w:hAnsi="Arial" w:cs="Arial"/>
                <w:sz w:val="20"/>
                <w:szCs w:val="20"/>
              </w:rPr>
              <w:fldChar w:fldCharType="begin" w:fldLock="1"/>
            </w:r>
            <w:r w:rsidR="00050D6C">
              <w:rPr>
                <w:rFonts w:ascii="Arial" w:hAnsi="Arial" w:cs="Arial"/>
                <w:sz w:val="20"/>
                <w:szCs w:val="20"/>
              </w:rPr>
              <w:instrText>ADDIN CSL_CITATION {"citationItems":[{"id":"ITEM-1","itemData":{"DOI":"10.1016/j.energy.2011.07.003","ISSN":"03605442","abstract":"Today, almost 70% of the electricity is produced from fossil fuels and power generation accounts for over 40% of global CO2 emissions. If the targets to reduce climate change are to be met, substantial reductions in emissions are necessary. Compared to other sectors emission reductions in the power sector are relatively easy to achieve because it consists mainly of point-sources. Carbon Capture and Storage (CCS) and the use of low-carbon alternative energy sources are the two categories of options to reduce CO2 emissions. However, for both options additional infrastructure and equipment is needed. This article compares CO2 emissions and metal requirements of different low-carbon power generation technologies on the basis of Life Cycle Assessment. We analyze the most critical output (CO2) and the most critical input (metals) in the same methodological framework. CO2 emissions and metal requirements are compared with annual global emissions and annual production for different metals. It was found that all technologies are very effective in reducing CO2 emissions. However, CCS and especially non-fossil technologies are substantially more metal intensive than existing power generation. A transition to a low-carbon based power generation would require a substantial upscaling of current mining of several metals. © 2011 Elsevier Ltd.","author":[{"dropping-particle":"","family":"Kleijn","given":"René","non-dropping-particle":"","parse-names":false,"suffix":""},{"dropping-particle":"","family":"Voet","given":"Ester","non-dropping-particle":"van der","parse-names":false,"suffix":""},{"dropping-particle":"","family":"Kramer","given":"Gert Jan","non-dropping-particle":"","parse-names":false,"suffix":""},{"dropping-particle":"","family":"Oers","given":"Lauran","non-dropping-particle":"van","parse-names":false,"suffix":""},{"dropping-particle":"","family":"Giesen","given":"Coen","non-dropping-particle":"van der","parse-names":false,"suffix":""}],"container-title":"Energy","id":"ITEM-1","issue":"9","issued":{"date-parts":[["2011","9","1"]]},"page":"5640-5648","publisher":"Elsevier Ltd","title":"Metal requirements of low-carbon power generation","type":"article-journal","volume":"36"},"uris":["http://www.mendeley.com/documents/?uuid=72449eb2-b539-30cf-a339-68516aa16f35"]}],"mendeley":{"formattedCitation":"&lt;sup&gt;12&lt;/sup&gt;","plainTextFormattedCitation":"12","previouslyFormattedCitation":"&lt;sup&gt;11&lt;/sup&gt;"},"properties":{"noteIndex":0},"schema":"https://github.com/citation-style-language/schema/raw/master/csl-citation.json"}</w:instrText>
            </w:r>
            <w:r>
              <w:rPr>
                <w:rFonts w:ascii="Arial" w:hAnsi="Arial" w:cs="Arial"/>
                <w:sz w:val="20"/>
                <w:szCs w:val="20"/>
              </w:rPr>
              <w:fldChar w:fldCharType="separate"/>
            </w:r>
            <w:r w:rsidR="00050D6C" w:rsidRPr="00050D6C">
              <w:rPr>
                <w:rFonts w:ascii="Arial" w:hAnsi="Arial" w:cs="Arial"/>
                <w:noProof/>
                <w:sz w:val="20"/>
                <w:szCs w:val="20"/>
                <w:vertAlign w:val="superscript"/>
              </w:rPr>
              <w:t>12</w:t>
            </w:r>
            <w:r>
              <w:rPr>
                <w:rFonts w:ascii="Arial" w:hAnsi="Arial" w:cs="Arial"/>
                <w:sz w:val="20"/>
                <w:szCs w:val="20"/>
              </w:rPr>
              <w:fldChar w:fldCharType="end"/>
            </w:r>
          </w:p>
        </w:tc>
      </w:tr>
      <w:tr w:rsidR="00104CF4" w14:paraId="72B7E6A7" w14:textId="77777777" w:rsidTr="00104CF4">
        <w:tc>
          <w:tcPr>
            <w:cnfStyle w:val="001000000000" w:firstRow="0" w:lastRow="0" w:firstColumn="1" w:lastColumn="0" w:oddVBand="0" w:evenVBand="0" w:oddHBand="0" w:evenHBand="0" w:firstRowFirstColumn="0" w:firstRowLastColumn="0" w:lastRowFirstColumn="0" w:lastRowLastColumn="0"/>
            <w:tcW w:w="4678" w:type="dxa"/>
            <w:tcBorders>
              <w:top w:val="nil"/>
              <w:left w:val="nil"/>
              <w:bottom w:val="nil"/>
              <w:right w:val="single" w:sz="4" w:space="0" w:color="auto"/>
            </w:tcBorders>
          </w:tcPr>
          <w:p w14:paraId="487CDF27" w14:textId="77777777" w:rsidR="00104CF4" w:rsidRPr="00054ABD" w:rsidRDefault="00104CF4" w:rsidP="00C020D8">
            <w:pPr>
              <w:jc w:val="both"/>
              <w:rPr>
                <w:rFonts w:ascii="Arial" w:hAnsi="Arial" w:cs="Arial"/>
                <w:b w:val="0"/>
                <w:bCs w:val="0"/>
                <w:sz w:val="20"/>
                <w:szCs w:val="20"/>
              </w:rPr>
            </w:pPr>
            <w:r w:rsidRPr="00054ABD">
              <w:rPr>
                <w:rFonts w:ascii="Arial" w:hAnsi="Arial" w:cs="Arial"/>
                <w:b w:val="0"/>
                <w:bCs w:val="0"/>
                <w:sz w:val="20"/>
                <w:szCs w:val="20"/>
              </w:rPr>
              <w:t xml:space="preserve">Process – casting steel </w:t>
            </w:r>
          </w:p>
        </w:tc>
        <w:tc>
          <w:tcPr>
            <w:tcW w:w="4098" w:type="dxa"/>
            <w:tcBorders>
              <w:top w:val="nil"/>
              <w:left w:val="single" w:sz="4" w:space="0" w:color="auto"/>
              <w:bottom w:val="nil"/>
              <w:right w:val="nil"/>
            </w:tcBorders>
          </w:tcPr>
          <w:p w14:paraId="7989A678" w14:textId="18873ABE" w:rsidR="00104CF4" w:rsidRPr="00104CF4" w:rsidRDefault="00104CF4"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5,132</w:t>
            </w:r>
            <w:r>
              <w:rPr>
                <w:rFonts w:ascii="Arial" w:hAnsi="Arial" w:cs="Arial"/>
                <w:sz w:val="20"/>
                <w:szCs w:val="20"/>
              </w:rPr>
              <w:fldChar w:fldCharType="begin" w:fldLock="1"/>
            </w:r>
            <w:r w:rsidR="00050D6C">
              <w:rPr>
                <w:rFonts w:ascii="Arial" w:hAnsi="Arial" w:cs="Arial"/>
                <w:sz w:val="20"/>
                <w:szCs w:val="20"/>
              </w:rPr>
              <w:instrText>ADDIN CSL_CITATION {"citationItems":[{"id":"ITEM-1","itemData":{"abstract":"A life cycle assessment (LCA) of hydrogen production via natural gas steam reforming was performed to examine the net emissions of greenhouse gases, as well as other major environmental consequences. LCA is a systematic analytical method that helps identify and evaluate the environmental impacts of a specific process or competing processes. In order to quantify the emissions, resource consumption, and energy use (i.e., environmental stressors), material and energy balances are performed in a cradle-to-grave manner on the operations required to transform raw materials into useful products. Natural gas lost to the atmosphere during production and distribution is also taken into account. Ultimately, this LCA will be compared to other hydrogen production technologies to examine the environmental benefits and drawbacks of the competing systems. The size of the hydrogen plant was set at 1.5 million Nm3/day (57 million scfd). The natural gas is reformed in a conventional steam reformer, and the resulting synthesis gas is shifted in both high and low temperature shift reactors; purification is performed using a pressure swing adsorption (PSA) unit. Although the plant requires some steam for the reforming and shift reactions, the highly exothermic reactions result in an excess amount of steam produced by the plant. For the base case, this steam is assumed to be used by some other source. Therefore, the stressors that would have resulted from producing and transporting natural gas and combusting it in a boiler are avoided because the other process/facility is not required to produce this steam (see section 3.0 for details). In terms of total air emissions, CO2 is emitted in the greatest quantity, accounting for 99% (by weight) of the total air emissions. The CO2 accounts for 89.3% of the systems global warming potential (GWP), defined as a combination of CO2, CH4, and N2O emissions expressed as CO2-equivalence for a 100 year time frame. Methane accounts for 10.6% of the GWP. The overall GWP of the system is 11,888 g CO2-equivalent/kg of hydrogen produced; the following table contains a breakdown of the sources showing that the hydrogen plant itself accounts for 74.8% of the greenhouse gas emissions.","author":[{"dropping-particle":"","family":"Spath","given":"Pamela L.","non-dropping-particle":"","parse-names":false,"suffix":""},{"dropping-particle":"","family":"Mann","given":"Margaret K.","non-dropping-particle":"","parse-names":false,"suffix":""}],"id":"ITEM-1","issue":"February","issued":{"date-parts":[["2001"]]},"title":"Life Cycle Assessment of Hydrogen Production via Natural Gas Steam Reforming","type":"report"},"uris":["http://www.mendeley.com/documents/?uuid=5b26e133-6859-4c53-a25e-6bb6ede630a6"]}],"mendeley":{"formattedCitation":"&lt;sup&gt;11&lt;/sup&gt;","plainTextFormattedCitation":"11","previouslyFormattedCitation":"&lt;sup&gt;10&lt;/sup&gt;"},"properties":{"noteIndex":0},"schema":"https://github.com/citation-style-language/schema/raw/master/csl-citation.json"}</w:instrText>
            </w:r>
            <w:r>
              <w:rPr>
                <w:rFonts w:ascii="Arial" w:hAnsi="Arial" w:cs="Arial"/>
                <w:sz w:val="20"/>
                <w:szCs w:val="20"/>
              </w:rPr>
              <w:fldChar w:fldCharType="separate"/>
            </w:r>
            <w:r w:rsidR="00050D6C" w:rsidRPr="00050D6C">
              <w:rPr>
                <w:rFonts w:ascii="Arial" w:hAnsi="Arial" w:cs="Arial"/>
                <w:noProof/>
                <w:sz w:val="20"/>
                <w:szCs w:val="20"/>
                <w:vertAlign w:val="superscript"/>
              </w:rPr>
              <w:t>11</w:t>
            </w:r>
            <w:r>
              <w:rPr>
                <w:rFonts w:ascii="Arial" w:hAnsi="Arial" w:cs="Arial"/>
                <w:sz w:val="20"/>
                <w:szCs w:val="20"/>
              </w:rPr>
              <w:fldChar w:fldCharType="end"/>
            </w:r>
            <w:r w:rsidRPr="00104CF4">
              <w:rPr>
                <w:rFonts w:ascii="Arial" w:hAnsi="Arial" w:cs="Arial"/>
                <w:sz w:val="20"/>
                <w:szCs w:val="20"/>
                <w:vertAlign w:val="superscript"/>
              </w:rPr>
              <w:t>,</w:t>
            </w:r>
            <w:r>
              <w:rPr>
                <w:rFonts w:ascii="Arial" w:hAnsi="Arial" w:cs="Arial"/>
                <w:sz w:val="20"/>
                <w:szCs w:val="20"/>
                <w:vertAlign w:val="superscript"/>
              </w:rPr>
              <w:fldChar w:fldCharType="begin" w:fldLock="1"/>
            </w:r>
            <w:r w:rsidR="00050D6C">
              <w:rPr>
                <w:rFonts w:ascii="Arial" w:hAnsi="Arial" w:cs="Arial"/>
                <w:sz w:val="20"/>
                <w:szCs w:val="20"/>
                <w:vertAlign w:val="superscript"/>
              </w:rPr>
              <w:instrText>ADDIN CSL_CITATION {"citationItems":[{"id":"ITEM-1","itemData":{"DOI":"10.1016/j.energy.2011.07.003","ISSN":"03605442","abstract":"Today, almost 70% of the electricity is produced from fossil fuels and power generation accounts for over 40% of global CO2 emissions. If the targets to reduce climate change are to be met, substantial reductions in emissions are necessary. Compared to other sectors emission reductions in the power sector are relatively easy to achieve because it consists mainly of point-sources. Carbon Capture and Storage (CCS) and the use of low-carbon alternative energy sources are the two categories of options to reduce CO2 emissions. However, for both options additional infrastructure and equipment is needed. This article compares CO2 emissions and metal requirements of different low-carbon power generation technologies on the basis of Life Cycle Assessment. We analyze the most critical output (CO2) and the most critical input (metals) in the same methodological framework. CO2 emissions and metal requirements are compared with annual global emissions and annual production for different metals. It was found that all technologies are very effective in reducing CO2 emissions. However, CCS and especially non-fossil technologies are substantially more metal intensive than existing power generation. A transition to a low-carbon based power generation would require a substantial upscaling of current mining of several metals. © 2011 Elsevier Ltd.","author":[{"dropping-particle":"","family":"Kleijn","given":"René","non-dropping-particle":"","parse-names":false,"suffix":""},{"dropping-particle":"","family":"Voet","given":"Ester","non-dropping-particle":"van der","parse-names":false,"suffix":""},{"dropping-particle":"","family":"Kramer","given":"Gert Jan","non-dropping-particle":"","parse-names":false,"suffix":""},{"dropping-particle":"","family":"Oers","given":"Lauran","non-dropping-particle":"van","parse-names":false,"suffix":""},{"dropping-particle":"","family":"Giesen","given":"Coen","non-dropping-particle":"van der","parse-names":false,"suffix":""}],"container-title":"Energy","id":"ITEM-1","issue":"9","issued":{"date-parts":[["2011","9","1"]]},"page":"5640-5648","publisher":"Elsevier Ltd","title":"Metal requirements of low-carbon power generation","type":"article-journal","volume":"36"},"uris":["http://www.mendeley.com/documents/?uuid=72449eb2-b539-30cf-a339-68516aa16f35"]}],"mendeley":{"formattedCitation":"&lt;sup&gt;12&lt;/sup&gt;","plainTextFormattedCitation":"12","previouslyFormattedCitation":"&lt;sup&gt;11&lt;/sup&gt;"},"properties":{"noteIndex":0},"schema":"https://github.com/citation-style-language/schema/raw/master/csl-citation.json"}</w:instrText>
            </w:r>
            <w:r>
              <w:rPr>
                <w:rFonts w:ascii="Arial" w:hAnsi="Arial" w:cs="Arial"/>
                <w:sz w:val="20"/>
                <w:szCs w:val="20"/>
                <w:vertAlign w:val="superscript"/>
              </w:rPr>
              <w:fldChar w:fldCharType="separate"/>
            </w:r>
            <w:r w:rsidR="00050D6C" w:rsidRPr="00050D6C">
              <w:rPr>
                <w:rFonts w:ascii="Arial" w:hAnsi="Arial" w:cs="Arial"/>
                <w:noProof/>
                <w:sz w:val="20"/>
                <w:szCs w:val="20"/>
                <w:vertAlign w:val="superscript"/>
              </w:rPr>
              <w:t>12</w:t>
            </w:r>
            <w:r>
              <w:rPr>
                <w:rFonts w:ascii="Arial" w:hAnsi="Arial" w:cs="Arial"/>
                <w:sz w:val="20"/>
                <w:szCs w:val="20"/>
                <w:vertAlign w:val="superscript"/>
              </w:rPr>
              <w:fldChar w:fldCharType="end"/>
            </w:r>
          </w:p>
        </w:tc>
      </w:tr>
      <w:tr w:rsidR="00104CF4" w14:paraId="26348B42" w14:textId="77777777" w:rsidTr="00104CF4">
        <w:tc>
          <w:tcPr>
            <w:cnfStyle w:val="001000000000" w:firstRow="0" w:lastRow="0" w:firstColumn="1" w:lastColumn="0" w:oddVBand="0" w:evenVBand="0" w:oddHBand="0" w:evenHBand="0" w:firstRowFirstColumn="0" w:firstRowLastColumn="0" w:lastRowFirstColumn="0" w:lastRowLastColumn="0"/>
            <w:tcW w:w="4678" w:type="dxa"/>
            <w:tcBorders>
              <w:top w:val="nil"/>
              <w:left w:val="nil"/>
              <w:bottom w:val="single" w:sz="4" w:space="0" w:color="auto"/>
              <w:right w:val="single" w:sz="4" w:space="0" w:color="auto"/>
            </w:tcBorders>
          </w:tcPr>
          <w:p w14:paraId="14188D4E" w14:textId="77777777" w:rsidR="00104CF4" w:rsidRPr="00054ABD" w:rsidRDefault="00104CF4" w:rsidP="00C020D8">
            <w:pPr>
              <w:jc w:val="both"/>
              <w:rPr>
                <w:rFonts w:ascii="Arial" w:hAnsi="Arial" w:cs="Arial"/>
                <w:b w:val="0"/>
                <w:bCs w:val="0"/>
                <w:sz w:val="20"/>
                <w:szCs w:val="20"/>
              </w:rPr>
            </w:pPr>
            <w:r w:rsidRPr="00054ABD">
              <w:rPr>
                <w:rFonts w:ascii="Arial" w:hAnsi="Arial" w:cs="Arial"/>
                <w:b w:val="0"/>
                <w:bCs w:val="0"/>
                <w:sz w:val="20"/>
                <w:szCs w:val="20"/>
              </w:rPr>
              <w:t>Process – casting aluminium</w:t>
            </w:r>
          </w:p>
        </w:tc>
        <w:tc>
          <w:tcPr>
            <w:tcW w:w="4098" w:type="dxa"/>
            <w:tcBorders>
              <w:top w:val="nil"/>
              <w:left w:val="single" w:sz="4" w:space="0" w:color="auto"/>
              <w:bottom w:val="single" w:sz="4" w:space="0" w:color="auto"/>
              <w:right w:val="nil"/>
            </w:tcBorders>
          </w:tcPr>
          <w:p w14:paraId="0CF1ADE6" w14:textId="6BCA75F3" w:rsidR="00104CF4" w:rsidRPr="00054ABD" w:rsidRDefault="00104CF4"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27</w:t>
            </w:r>
            <w:r>
              <w:rPr>
                <w:rFonts w:ascii="Arial" w:hAnsi="Arial" w:cs="Arial"/>
                <w:sz w:val="20"/>
                <w:szCs w:val="20"/>
              </w:rPr>
              <w:fldChar w:fldCharType="begin" w:fldLock="1"/>
            </w:r>
            <w:r w:rsidR="00050D6C">
              <w:rPr>
                <w:rFonts w:ascii="Arial" w:hAnsi="Arial" w:cs="Arial"/>
                <w:sz w:val="20"/>
                <w:szCs w:val="20"/>
              </w:rPr>
              <w:instrText>ADDIN CSL_CITATION {"citationItems":[{"id":"ITEM-1","itemData":{"abstract":"A life cycle assessment (LCA) of hydrogen production via natural gas steam reforming was performed to examine the net emissions of greenhouse gases, as well as other major environmental consequences. LCA is a systematic analytical method that helps identify and evaluate the environmental impacts of a specific process or competing processes. In order to quantify the emissions, resource consumption, and energy use (i.e., environmental stressors), material and energy balances are performed in a cradle-to-grave manner on the operations required to transform raw materials into useful products. Natural gas lost to the atmosphere during production and distribution is also taken into account. Ultimately, this LCA will be compared to other hydrogen production technologies to examine the environmental benefits and drawbacks of the competing systems. The size of the hydrogen plant was set at 1.5 million Nm3/day (57 million scfd). The natural gas is reformed in a conventional steam reformer, and the resulting synthesis gas is shifted in both high and low temperature shift reactors; purification is performed using a pressure swing adsorption (PSA) unit. Although the plant requires some steam for the reforming and shift reactions, the highly exothermic reactions result in an excess amount of steam produced by the plant. For the base case, this steam is assumed to be used by some other source. Therefore, the stressors that would have resulted from producing and transporting natural gas and combusting it in a boiler are avoided because the other process/facility is not required to produce this steam (see section 3.0 for details). In terms of total air emissions, CO2 is emitted in the greatest quantity, accounting for 99% (by weight) of the total air emissions. The CO2 accounts for 89.3% of the systems global warming potential (GWP), defined as a combination of CO2, CH4, and N2O emissions expressed as CO2-equivalence for a 100 year time frame. Methane accounts for 10.6% of the GWP. The overall GWP of the system is 11,888 g CO2-equivalent/kg of hydrogen produced; the following table contains a breakdown of the sources showing that the hydrogen plant itself accounts for 74.8% of the greenhouse gas emissions.","author":[{"dropping-particle":"","family":"Spath","given":"Pamela L.","non-dropping-particle":"","parse-names":false,"suffix":""},{"dropping-particle":"","family":"Mann","given":"Margaret K.","non-dropping-particle":"","parse-names":false,"suffix":""}],"id":"ITEM-1","issue":"February","issued":{"date-parts":[["2001"]]},"title":"Life Cycle Assessment of Hydrogen Production via Natural Gas Steam Reforming","type":"report"},"uris":["http://www.mendeley.com/documents/?uuid=5b26e133-6859-4c53-a25e-6bb6ede630a6"]}],"mendeley":{"formattedCitation":"&lt;sup&gt;11&lt;/sup&gt;","plainTextFormattedCitation":"11","previouslyFormattedCitation":"&lt;sup&gt;10&lt;/sup&gt;"},"properties":{"noteIndex":0},"schema":"https://github.com/citation-style-language/schema/raw/master/csl-citation.json"}</w:instrText>
            </w:r>
            <w:r>
              <w:rPr>
                <w:rFonts w:ascii="Arial" w:hAnsi="Arial" w:cs="Arial"/>
                <w:sz w:val="20"/>
                <w:szCs w:val="20"/>
              </w:rPr>
              <w:fldChar w:fldCharType="separate"/>
            </w:r>
            <w:r w:rsidR="00050D6C" w:rsidRPr="00050D6C">
              <w:rPr>
                <w:rFonts w:ascii="Arial" w:hAnsi="Arial" w:cs="Arial"/>
                <w:noProof/>
                <w:sz w:val="20"/>
                <w:szCs w:val="20"/>
                <w:vertAlign w:val="superscript"/>
              </w:rPr>
              <w:t>11</w:t>
            </w:r>
            <w:r>
              <w:rPr>
                <w:rFonts w:ascii="Arial" w:hAnsi="Arial" w:cs="Arial"/>
                <w:sz w:val="20"/>
                <w:szCs w:val="20"/>
              </w:rPr>
              <w:fldChar w:fldCharType="end"/>
            </w:r>
            <w:r w:rsidRPr="00104CF4">
              <w:rPr>
                <w:rFonts w:ascii="Arial" w:hAnsi="Arial" w:cs="Arial"/>
                <w:sz w:val="20"/>
                <w:szCs w:val="20"/>
                <w:vertAlign w:val="superscript"/>
              </w:rPr>
              <w:t>,</w:t>
            </w:r>
            <w:r>
              <w:rPr>
                <w:rFonts w:ascii="Arial" w:hAnsi="Arial" w:cs="Arial"/>
                <w:sz w:val="20"/>
                <w:szCs w:val="20"/>
                <w:vertAlign w:val="superscript"/>
              </w:rPr>
              <w:fldChar w:fldCharType="begin" w:fldLock="1"/>
            </w:r>
            <w:r w:rsidR="00050D6C">
              <w:rPr>
                <w:rFonts w:ascii="Arial" w:hAnsi="Arial" w:cs="Arial"/>
                <w:sz w:val="20"/>
                <w:szCs w:val="20"/>
                <w:vertAlign w:val="superscript"/>
              </w:rPr>
              <w:instrText>ADDIN CSL_CITATION {"citationItems":[{"id":"ITEM-1","itemData":{"DOI":"10.1016/j.energy.2011.07.003","ISSN":"03605442","abstract":"Today, almost 70% of the electricity is produced from fossil fuels and power generation accounts for over 40% of global CO2 emissions. If the targets to reduce climate change are to be met, substantial reductions in emissions are necessary. Compared to other sectors emission reductions in the power sector are relatively easy to achieve because it consists mainly of point-sources. Carbon Capture and Storage (CCS) and the use of low-carbon alternative energy sources are the two categories of options to reduce CO2 emissions. However, for both options additional infrastructure and equipment is needed. This article compares CO2 emissions and metal requirements of different low-carbon power generation technologies on the basis of Life Cycle Assessment. We analyze the most critical output (CO2) and the most critical input (metals) in the same methodological framework. CO2 emissions and metal requirements are compared with annual global emissions and annual production for different metals. It was found that all technologies are very effective in reducing CO2 emissions. However, CCS and especially non-fossil technologies are substantially more metal intensive than existing power generation. A transition to a low-carbon based power generation would require a substantial upscaling of current mining of several metals. © 2011 Elsevier Ltd.","author":[{"dropping-particle":"","family":"Kleijn","given":"René","non-dropping-particle":"","parse-names":false,"suffix":""},{"dropping-particle":"","family":"Voet","given":"Ester","non-dropping-particle":"van der","parse-names":false,"suffix":""},{"dropping-particle":"","family":"Kramer","given":"Gert Jan","non-dropping-particle":"","parse-names":false,"suffix":""},{"dropping-particle":"","family":"Oers","given":"Lauran","non-dropping-particle":"van","parse-names":false,"suffix":""},{"dropping-particle":"","family":"Giesen","given":"Coen","non-dropping-particle":"van der","parse-names":false,"suffix":""}],"container-title":"Energy","id":"ITEM-1","issue":"9","issued":{"date-parts":[["2011","9","1"]]},"page":"5640-5648","publisher":"Elsevier Ltd","title":"Metal requirements of low-carbon power generation","type":"article-journal","volume":"36"},"uris":["http://www.mendeley.com/documents/?uuid=72449eb2-b539-30cf-a339-68516aa16f35"]}],"mendeley":{"formattedCitation":"&lt;sup&gt;12&lt;/sup&gt;","plainTextFormattedCitation":"12","previouslyFormattedCitation":"&lt;sup&gt;11&lt;/sup&gt;"},"properties":{"noteIndex":0},"schema":"https://github.com/citation-style-language/schema/raw/master/csl-citation.json"}</w:instrText>
            </w:r>
            <w:r>
              <w:rPr>
                <w:rFonts w:ascii="Arial" w:hAnsi="Arial" w:cs="Arial"/>
                <w:sz w:val="20"/>
                <w:szCs w:val="20"/>
                <w:vertAlign w:val="superscript"/>
              </w:rPr>
              <w:fldChar w:fldCharType="separate"/>
            </w:r>
            <w:r w:rsidR="00050D6C" w:rsidRPr="00050D6C">
              <w:rPr>
                <w:rFonts w:ascii="Arial" w:hAnsi="Arial" w:cs="Arial"/>
                <w:noProof/>
                <w:sz w:val="20"/>
                <w:szCs w:val="20"/>
                <w:vertAlign w:val="superscript"/>
              </w:rPr>
              <w:t>12</w:t>
            </w:r>
            <w:r>
              <w:rPr>
                <w:rFonts w:ascii="Arial" w:hAnsi="Arial" w:cs="Arial"/>
                <w:sz w:val="20"/>
                <w:szCs w:val="20"/>
                <w:vertAlign w:val="superscript"/>
              </w:rPr>
              <w:fldChar w:fldCharType="end"/>
            </w:r>
          </w:p>
        </w:tc>
      </w:tr>
    </w:tbl>
    <w:p w14:paraId="4714F513" w14:textId="77777777" w:rsidR="001A2C95" w:rsidRPr="001A2C95" w:rsidRDefault="001A2C95" w:rsidP="001A2C95">
      <w:pPr>
        <w:pStyle w:val="Caption"/>
        <w:keepNext/>
        <w:spacing w:after="0"/>
        <w:rPr>
          <w:i w:val="0"/>
          <w:iCs w:val="0"/>
          <w:sz w:val="22"/>
          <w:szCs w:val="22"/>
        </w:rPr>
      </w:pPr>
      <w:bookmarkStart w:id="2" w:name="_Ref72498073"/>
    </w:p>
    <w:p w14:paraId="3873B1F3" w14:textId="77777777" w:rsidR="00243CB7" w:rsidRDefault="00243CB7" w:rsidP="00146D5D">
      <w:pPr>
        <w:pStyle w:val="Caption"/>
        <w:keepNext/>
        <w:spacing w:after="0"/>
        <w:jc w:val="both"/>
        <w:rPr>
          <w:rFonts w:ascii="Arial" w:hAnsi="Arial" w:cs="Arial"/>
        </w:rPr>
      </w:pPr>
    </w:p>
    <w:p w14:paraId="65CE0C7D" w14:textId="324A6A8B" w:rsidR="001A2C95" w:rsidRPr="00146D5D" w:rsidRDefault="001A2C95" w:rsidP="00146D5D">
      <w:pPr>
        <w:pStyle w:val="Caption"/>
        <w:keepNext/>
        <w:spacing w:after="0"/>
        <w:jc w:val="both"/>
        <w:rPr>
          <w:rFonts w:ascii="Arial" w:hAnsi="Arial" w:cs="Arial"/>
        </w:rPr>
      </w:pPr>
      <w:r w:rsidRPr="00146D5D">
        <w:rPr>
          <w:rFonts w:ascii="Arial" w:hAnsi="Arial" w:cs="Arial"/>
        </w:rPr>
        <w:t xml:space="preserve">Table </w:t>
      </w:r>
      <w:r w:rsidR="007C7D0A">
        <w:rPr>
          <w:rFonts w:ascii="Arial" w:hAnsi="Arial" w:cs="Arial"/>
        </w:rPr>
        <w:t>S</w:t>
      </w:r>
      <w:r w:rsidRPr="00146D5D">
        <w:rPr>
          <w:rFonts w:ascii="Arial" w:hAnsi="Arial" w:cs="Arial"/>
        </w:rPr>
        <w:fldChar w:fldCharType="begin"/>
      </w:r>
      <w:r w:rsidRPr="00146D5D">
        <w:rPr>
          <w:rFonts w:ascii="Arial" w:hAnsi="Arial" w:cs="Arial"/>
        </w:rPr>
        <w:instrText xml:space="preserve"> SEQ Table \* ARABIC </w:instrText>
      </w:r>
      <w:r w:rsidRPr="00146D5D">
        <w:rPr>
          <w:rFonts w:ascii="Arial" w:hAnsi="Arial" w:cs="Arial"/>
        </w:rPr>
        <w:fldChar w:fldCharType="separate"/>
      </w:r>
      <w:r w:rsidR="00243CB7">
        <w:rPr>
          <w:rFonts w:ascii="Arial" w:hAnsi="Arial" w:cs="Arial"/>
          <w:noProof/>
        </w:rPr>
        <w:t>2</w:t>
      </w:r>
      <w:r w:rsidRPr="00146D5D">
        <w:rPr>
          <w:rFonts w:ascii="Arial" w:hAnsi="Arial" w:cs="Arial"/>
          <w:noProof/>
        </w:rPr>
        <w:fldChar w:fldCharType="end"/>
      </w:r>
      <w:bookmarkEnd w:id="2"/>
      <w:r w:rsidRPr="00146D5D">
        <w:rPr>
          <w:rFonts w:ascii="Arial" w:hAnsi="Arial" w:cs="Arial"/>
        </w:rPr>
        <w:t>: Natural gas consumption used in the methane reforming processes in this study in comparison to that used in gas boilers for delivering heat. A volumetric energy density of 39.7 MJ/m</w:t>
      </w:r>
      <w:r w:rsidRPr="00146D5D">
        <w:rPr>
          <w:rFonts w:ascii="Arial" w:hAnsi="Arial" w:cs="Arial"/>
          <w:vertAlign w:val="superscript"/>
        </w:rPr>
        <w:t>3</w:t>
      </w:r>
      <w:r w:rsidRPr="00146D5D">
        <w:rPr>
          <w:rFonts w:ascii="Arial" w:hAnsi="Arial" w:cs="Arial"/>
        </w:rPr>
        <w:t xml:space="preserve"> is assumed for natural gas. </w:t>
      </w:r>
    </w:p>
    <w:tbl>
      <w:tblPr>
        <w:tblStyle w:val="GridTable1Light"/>
        <w:tblpPr w:leftFromText="180" w:rightFromText="180" w:vertAnchor="text" w:horzAnchor="margin" w:tblpY="263"/>
        <w:tblW w:w="0" w:type="auto"/>
        <w:tblLook w:val="04A0" w:firstRow="1" w:lastRow="0" w:firstColumn="1" w:lastColumn="0" w:noHBand="0" w:noVBand="1"/>
      </w:tblPr>
      <w:tblGrid>
        <w:gridCol w:w="3033"/>
        <w:gridCol w:w="3239"/>
        <w:gridCol w:w="2754"/>
      </w:tblGrid>
      <w:tr w:rsidR="001A2C95" w14:paraId="49F845FE" w14:textId="77777777" w:rsidTr="00C020D8">
        <w:trPr>
          <w:cnfStyle w:val="100000000000" w:firstRow="1" w:lastRow="0" w:firstColumn="0" w:lastColumn="0" w:oddVBand="0" w:evenVBand="0" w:oddHBand="0"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3033" w:type="dxa"/>
            <w:tcBorders>
              <w:top w:val="single" w:sz="4" w:space="0" w:color="auto"/>
              <w:left w:val="nil"/>
              <w:right w:val="single" w:sz="4" w:space="0" w:color="auto"/>
            </w:tcBorders>
          </w:tcPr>
          <w:p w14:paraId="2CC204F5" w14:textId="77777777" w:rsidR="001A2C95" w:rsidRPr="00054ABD" w:rsidRDefault="001A2C95" w:rsidP="00C020D8">
            <w:pPr>
              <w:jc w:val="both"/>
              <w:rPr>
                <w:rFonts w:ascii="Arial" w:hAnsi="Arial" w:cs="Arial"/>
                <w:sz w:val="20"/>
                <w:szCs w:val="20"/>
              </w:rPr>
            </w:pPr>
            <w:r w:rsidRPr="00054ABD">
              <w:rPr>
                <w:rFonts w:ascii="Arial" w:hAnsi="Arial" w:cs="Arial"/>
                <w:sz w:val="20"/>
                <w:szCs w:val="20"/>
              </w:rPr>
              <w:t>Process</w:t>
            </w:r>
          </w:p>
        </w:tc>
        <w:tc>
          <w:tcPr>
            <w:tcW w:w="3239" w:type="dxa"/>
            <w:tcBorders>
              <w:top w:val="single" w:sz="4" w:space="0" w:color="auto"/>
              <w:left w:val="single" w:sz="4" w:space="0" w:color="auto"/>
              <w:right w:val="nil"/>
            </w:tcBorders>
          </w:tcPr>
          <w:p w14:paraId="2A44F3E9" w14:textId="77777777" w:rsidR="001A2C95" w:rsidRPr="00054ABD" w:rsidRDefault="001A2C95" w:rsidP="00C020D8">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054ABD">
              <w:rPr>
                <w:rFonts w:ascii="Arial" w:hAnsi="Arial" w:cs="Arial"/>
                <w:sz w:val="20"/>
                <w:szCs w:val="20"/>
              </w:rPr>
              <w:t xml:space="preserve">Natural gas consumption </w:t>
            </w:r>
          </w:p>
          <w:p w14:paraId="324E015F" w14:textId="77777777" w:rsidR="001A2C95" w:rsidRPr="00054ABD" w:rsidRDefault="001A2C95" w:rsidP="00C020D8">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(m</w:t>
            </w:r>
            <w:r w:rsidRPr="00054ABD">
              <w:rPr>
                <w:rFonts w:ascii="Arial" w:hAnsi="Arial" w:cs="Arial"/>
                <w:sz w:val="20"/>
                <w:szCs w:val="20"/>
                <w:vertAlign w:val="superscript"/>
              </w:rPr>
              <w:t>3</w:t>
            </w:r>
            <w:r w:rsidRPr="00054ABD">
              <w:rPr>
                <w:rFonts w:ascii="Arial" w:hAnsi="Arial" w:cs="Arial"/>
                <w:sz w:val="20"/>
                <w:szCs w:val="20"/>
              </w:rPr>
              <w:t xml:space="preserve">/MJ heat supply) </w:t>
            </w:r>
          </w:p>
        </w:tc>
        <w:tc>
          <w:tcPr>
            <w:tcW w:w="2754" w:type="dxa"/>
            <w:tcBorders>
              <w:top w:val="single" w:sz="4" w:space="0" w:color="auto"/>
              <w:left w:val="single" w:sz="4" w:space="0" w:color="auto"/>
              <w:right w:val="nil"/>
            </w:tcBorders>
          </w:tcPr>
          <w:p w14:paraId="7597572D" w14:textId="77777777" w:rsidR="001A2C95" w:rsidRPr="00054ABD" w:rsidRDefault="001A2C95" w:rsidP="00C020D8">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Efficiency (% HHV)</w:t>
            </w:r>
          </w:p>
        </w:tc>
      </w:tr>
      <w:tr w:rsidR="001A2C95" w14:paraId="64DA32E8" w14:textId="77777777" w:rsidTr="00C020D8">
        <w:trPr>
          <w:trHeight w:val="256"/>
        </w:trPr>
        <w:tc>
          <w:tcPr>
            <w:cnfStyle w:val="001000000000" w:firstRow="0" w:lastRow="0" w:firstColumn="1" w:lastColumn="0" w:oddVBand="0" w:evenVBand="0" w:oddHBand="0" w:evenHBand="0" w:firstRowFirstColumn="0" w:firstRowLastColumn="0" w:lastRowFirstColumn="0" w:lastRowLastColumn="0"/>
            <w:tcW w:w="3033" w:type="dxa"/>
            <w:tcBorders>
              <w:top w:val="single" w:sz="12" w:space="0" w:color="666666" w:themeColor="text1" w:themeTint="99"/>
              <w:left w:val="nil"/>
              <w:bottom w:val="nil"/>
              <w:right w:val="single" w:sz="4" w:space="0" w:color="auto"/>
            </w:tcBorders>
          </w:tcPr>
          <w:p w14:paraId="54A209CC" w14:textId="77777777" w:rsidR="001A2C95" w:rsidRPr="00054ABD" w:rsidRDefault="001A2C95" w:rsidP="00C020D8">
            <w:pPr>
              <w:jc w:val="both"/>
              <w:rPr>
                <w:rFonts w:ascii="Arial" w:hAnsi="Arial" w:cs="Arial"/>
                <w:b w:val="0"/>
                <w:bCs w:val="0"/>
                <w:sz w:val="20"/>
                <w:szCs w:val="20"/>
              </w:rPr>
            </w:pPr>
            <w:r w:rsidRPr="00054ABD">
              <w:rPr>
                <w:rFonts w:ascii="Arial" w:hAnsi="Arial" w:cs="Arial"/>
                <w:b w:val="0"/>
                <w:bCs w:val="0"/>
                <w:sz w:val="20"/>
                <w:szCs w:val="20"/>
              </w:rPr>
              <w:t>Natural gas heating</w:t>
            </w:r>
          </w:p>
        </w:tc>
        <w:tc>
          <w:tcPr>
            <w:tcW w:w="3239" w:type="dxa"/>
            <w:tcBorders>
              <w:top w:val="single" w:sz="12" w:space="0" w:color="666666" w:themeColor="text1" w:themeTint="99"/>
              <w:left w:val="single" w:sz="4" w:space="0" w:color="auto"/>
              <w:bottom w:val="nil"/>
              <w:right w:val="nil"/>
            </w:tcBorders>
          </w:tcPr>
          <w:p w14:paraId="675EBFDB" w14:textId="77777777" w:rsidR="001A2C95" w:rsidRPr="00054ABD" w:rsidRDefault="001A2C9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0.0252</w:t>
            </w:r>
          </w:p>
        </w:tc>
        <w:tc>
          <w:tcPr>
            <w:tcW w:w="2754" w:type="dxa"/>
            <w:tcBorders>
              <w:top w:val="single" w:sz="12" w:space="0" w:color="666666" w:themeColor="text1" w:themeTint="99"/>
              <w:left w:val="single" w:sz="4" w:space="0" w:color="auto"/>
              <w:bottom w:val="nil"/>
              <w:right w:val="nil"/>
            </w:tcBorders>
          </w:tcPr>
          <w:p w14:paraId="38F33237" w14:textId="77777777" w:rsidR="001A2C95" w:rsidRPr="00054ABD" w:rsidRDefault="001A2C9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w:t>
            </w:r>
          </w:p>
        </w:tc>
      </w:tr>
      <w:tr w:rsidR="001A2C95" w14:paraId="73381EB6" w14:textId="77777777" w:rsidTr="00C020D8">
        <w:trPr>
          <w:trHeight w:val="267"/>
        </w:trPr>
        <w:tc>
          <w:tcPr>
            <w:cnfStyle w:val="001000000000" w:firstRow="0" w:lastRow="0" w:firstColumn="1" w:lastColumn="0" w:oddVBand="0" w:evenVBand="0" w:oddHBand="0" w:evenHBand="0" w:firstRowFirstColumn="0" w:firstRowLastColumn="0" w:lastRowFirstColumn="0" w:lastRowLastColumn="0"/>
            <w:tcW w:w="3033" w:type="dxa"/>
            <w:tcBorders>
              <w:top w:val="nil"/>
              <w:left w:val="nil"/>
              <w:bottom w:val="nil"/>
              <w:right w:val="single" w:sz="4" w:space="0" w:color="auto"/>
            </w:tcBorders>
          </w:tcPr>
          <w:p w14:paraId="21DFE0B3" w14:textId="77777777" w:rsidR="001A2C95" w:rsidRPr="00054ABD" w:rsidRDefault="001A2C95" w:rsidP="00C020D8">
            <w:pPr>
              <w:jc w:val="both"/>
              <w:rPr>
                <w:rFonts w:ascii="Arial" w:hAnsi="Arial" w:cs="Arial"/>
                <w:b w:val="0"/>
                <w:bCs w:val="0"/>
                <w:sz w:val="20"/>
                <w:szCs w:val="20"/>
              </w:rPr>
            </w:pPr>
            <w:r w:rsidRPr="00054ABD">
              <w:rPr>
                <w:rFonts w:ascii="Arial" w:hAnsi="Arial" w:cs="Arial"/>
                <w:b w:val="0"/>
                <w:bCs w:val="0"/>
                <w:sz w:val="20"/>
                <w:szCs w:val="20"/>
              </w:rPr>
              <w:t>H</w:t>
            </w:r>
            <w:r w:rsidRPr="00054ABD">
              <w:rPr>
                <w:rFonts w:ascii="Arial" w:hAnsi="Arial" w:cs="Arial"/>
                <w:b w:val="0"/>
                <w:bCs w:val="0"/>
                <w:sz w:val="20"/>
                <w:szCs w:val="20"/>
                <w:vertAlign w:val="subscript"/>
              </w:rPr>
              <w:t>2</w:t>
            </w:r>
            <w:r w:rsidRPr="00054ABD">
              <w:rPr>
                <w:rFonts w:ascii="Arial" w:hAnsi="Arial" w:cs="Arial"/>
                <w:b w:val="0"/>
                <w:bCs w:val="0"/>
                <w:sz w:val="20"/>
                <w:szCs w:val="20"/>
              </w:rPr>
              <w:t xml:space="preserve"> heating – SMR CCS</w:t>
            </w:r>
          </w:p>
        </w:tc>
        <w:tc>
          <w:tcPr>
            <w:tcW w:w="3239" w:type="dxa"/>
            <w:tcBorders>
              <w:top w:val="nil"/>
              <w:left w:val="single" w:sz="4" w:space="0" w:color="auto"/>
              <w:bottom w:val="nil"/>
              <w:right w:val="nil"/>
            </w:tcBorders>
          </w:tcPr>
          <w:p w14:paraId="24BBF484" w14:textId="4BB93D70" w:rsidR="001A2C95" w:rsidRPr="00054ABD" w:rsidRDefault="001A2C9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054ABD">
              <w:rPr>
                <w:rFonts w:ascii="Arial" w:hAnsi="Arial" w:cs="Arial"/>
                <w:sz w:val="20"/>
                <w:szCs w:val="20"/>
              </w:rPr>
              <w:t>0.0366</w:t>
            </w:r>
            <w:r w:rsidR="0033432A">
              <w:rPr>
                <w:rFonts w:ascii="Arial" w:hAnsi="Arial" w:cs="Arial"/>
                <w:sz w:val="20"/>
                <w:szCs w:val="20"/>
              </w:rPr>
              <w:fldChar w:fldCharType="begin" w:fldLock="1"/>
            </w:r>
            <w:r w:rsidR="00050D6C">
              <w:rPr>
                <w:rFonts w:ascii="Arial" w:hAnsi="Arial" w:cs="Arial"/>
                <w:sz w:val="20"/>
                <w:szCs w:val="20"/>
              </w:rPr>
              <w:instrText>ADDIN CSL_CITATION {"citationItems":[{"id":"ITEM-1","itemData":{"abstract":"The H21 North of England ambition is to enable the transition to a 100% sustainable and global hydrogen economy by 2100. This would be established through the utilisation of the appropriate technologies and practical delivery timescales, initially focusing on the period up to 2050.","author":[{"dropping-particle":"","family":"Northern Gas Networks &amp; Equinor &amp; Cadent","given":"","non-dropping-particle":"","parse-names":false,"suffix":""}],"id":"ITEM-1","issued":{"date-parts":[["2018"]]},"title":"H21 North of England Report","type":"report"},"uris":["http://www.mendeley.com/documents/?uuid=89ff7d93-f241-3a7c-81d7-468c5840cce6"]}],"mendeley":{"formattedCitation":"&lt;sup&gt;9&lt;/sup&gt;","plainTextFormattedCitation":"9","previouslyFormattedCitation":"&lt;sup&gt;8&lt;/sup&gt;"},"properties":{"noteIndex":0},"schema":"https://github.com/citation-style-language/schema/raw/master/csl-citation.json"}</w:instrText>
            </w:r>
            <w:r w:rsidR="0033432A">
              <w:rPr>
                <w:rFonts w:ascii="Arial" w:hAnsi="Arial" w:cs="Arial"/>
                <w:sz w:val="20"/>
                <w:szCs w:val="20"/>
              </w:rPr>
              <w:fldChar w:fldCharType="separate"/>
            </w:r>
            <w:r w:rsidR="00050D6C" w:rsidRPr="00050D6C">
              <w:rPr>
                <w:rFonts w:ascii="Arial" w:hAnsi="Arial" w:cs="Arial"/>
                <w:noProof/>
                <w:sz w:val="20"/>
                <w:szCs w:val="20"/>
                <w:vertAlign w:val="superscript"/>
              </w:rPr>
              <w:t>9</w:t>
            </w:r>
            <w:r w:rsidR="0033432A">
              <w:rPr>
                <w:rFonts w:ascii="Arial" w:hAnsi="Arial" w:cs="Arial"/>
                <w:sz w:val="20"/>
                <w:szCs w:val="20"/>
              </w:rPr>
              <w:fldChar w:fldCharType="end"/>
            </w:r>
          </w:p>
        </w:tc>
        <w:tc>
          <w:tcPr>
            <w:tcW w:w="2754" w:type="dxa"/>
            <w:tcBorders>
              <w:top w:val="nil"/>
              <w:left w:val="single" w:sz="4" w:space="0" w:color="auto"/>
              <w:bottom w:val="nil"/>
              <w:right w:val="nil"/>
            </w:tcBorders>
          </w:tcPr>
          <w:p w14:paraId="59A03C5A" w14:textId="77777777" w:rsidR="001A2C95" w:rsidRPr="00054ABD" w:rsidRDefault="001A2C9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68.8</w:t>
            </w:r>
          </w:p>
        </w:tc>
      </w:tr>
      <w:tr w:rsidR="001A2C95" w14:paraId="50E9219E" w14:textId="77777777" w:rsidTr="00C020D8">
        <w:trPr>
          <w:trHeight w:val="256"/>
        </w:trPr>
        <w:tc>
          <w:tcPr>
            <w:cnfStyle w:val="001000000000" w:firstRow="0" w:lastRow="0" w:firstColumn="1" w:lastColumn="0" w:oddVBand="0" w:evenVBand="0" w:oddHBand="0" w:evenHBand="0" w:firstRowFirstColumn="0" w:firstRowLastColumn="0" w:lastRowFirstColumn="0" w:lastRowLastColumn="0"/>
            <w:tcW w:w="3033" w:type="dxa"/>
            <w:tcBorders>
              <w:top w:val="nil"/>
              <w:left w:val="nil"/>
              <w:right w:val="single" w:sz="4" w:space="0" w:color="auto"/>
            </w:tcBorders>
          </w:tcPr>
          <w:p w14:paraId="4AFF1A09" w14:textId="77777777" w:rsidR="001A2C95" w:rsidRPr="00054ABD" w:rsidRDefault="001A2C95" w:rsidP="00C020D8">
            <w:pPr>
              <w:jc w:val="both"/>
              <w:rPr>
                <w:rFonts w:ascii="Arial" w:hAnsi="Arial" w:cs="Arial"/>
                <w:b w:val="0"/>
                <w:bCs w:val="0"/>
                <w:sz w:val="20"/>
                <w:szCs w:val="20"/>
              </w:rPr>
            </w:pPr>
            <w:r w:rsidRPr="00054ABD">
              <w:rPr>
                <w:rFonts w:ascii="Arial" w:hAnsi="Arial" w:cs="Arial"/>
                <w:b w:val="0"/>
                <w:bCs w:val="0"/>
                <w:sz w:val="20"/>
                <w:szCs w:val="20"/>
              </w:rPr>
              <w:t>H</w:t>
            </w:r>
            <w:r w:rsidRPr="00054ABD">
              <w:rPr>
                <w:rFonts w:ascii="Arial" w:hAnsi="Arial" w:cs="Arial"/>
                <w:b w:val="0"/>
                <w:bCs w:val="0"/>
                <w:sz w:val="20"/>
                <w:szCs w:val="20"/>
                <w:vertAlign w:val="subscript"/>
              </w:rPr>
              <w:t>2</w:t>
            </w:r>
            <w:r w:rsidRPr="00054ABD">
              <w:rPr>
                <w:rFonts w:ascii="Arial" w:hAnsi="Arial" w:cs="Arial"/>
                <w:b w:val="0"/>
                <w:bCs w:val="0"/>
                <w:sz w:val="20"/>
                <w:szCs w:val="20"/>
              </w:rPr>
              <w:t xml:space="preserve"> heating – ATR CCS</w:t>
            </w:r>
          </w:p>
        </w:tc>
        <w:tc>
          <w:tcPr>
            <w:tcW w:w="3239" w:type="dxa"/>
            <w:tcBorders>
              <w:top w:val="nil"/>
              <w:left w:val="single" w:sz="4" w:space="0" w:color="auto"/>
              <w:right w:val="nil"/>
            </w:tcBorders>
          </w:tcPr>
          <w:p w14:paraId="3796B718" w14:textId="60D68FBB" w:rsidR="001A2C95" w:rsidRPr="00054ABD" w:rsidRDefault="001A2C9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054ABD">
              <w:rPr>
                <w:rFonts w:ascii="Arial" w:hAnsi="Arial" w:cs="Arial"/>
                <w:sz w:val="20"/>
                <w:szCs w:val="20"/>
              </w:rPr>
              <w:t>0.0303</w:t>
            </w:r>
            <w:r w:rsidR="0033432A">
              <w:rPr>
                <w:rFonts w:ascii="Arial" w:hAnsi="Arial" w:cs="Arial"/>
                <w:sz w:val="20"/>
                <w:szCs w:val="20"/>
              </w:rPr>
              <w:fldChar w:fldCharType="begin" w:fldLock="1"/>
            </w:r>
            <w:r w:rsidR="00050D6C">
              <w:rPr>
                <w:rFonts w:ascii="Arial" w:hAnsi="Arial" w:cs="Arial"/>
                <w:sz w:val="20"/>
                <w:szCs w:val="20"/>
              </w:rPr>
              <w:instrText>ADDIN CSL_CITATION {"citationItems":[{"id":"ITEM-1","itemData":{"abstract":"The H21 North of England ambition is to enable the transition to a 100% sustainable and global hydrogen economy by 2100. This would be established through the utilisation of the appropriate technologies and practical delivery timescales, initially focusing on the period up to 2050.","author":[{"dropping-particle":"","family":"Northern Gas Networks &amp; Equinor &amp; Cadent","given":"","non-dropping-particle":"","parse-names":false,"suffix":""}],"id":"ITEM-1","issued":{"date-parts":[["2018"]]},"title":"H21 North of England Report","type":"report"},"uris":["http://www.mendeley.com/documents/?uuid=89ff7d93-f241-3a7c-81d7-468c5840cce6"]}],"mendeley":{"formattedCitation":"&lt;sup&gt;9&lt;/sup&gt;","plainTextFormattedCitation":"9","previouslyFormattedCitation":"&lt;sup&gt;8&lt;/sup&gt;"},"properties":{"noteIndex":0},"schema":"https://github.com/citation-style-language/schema/raw/master/csl-citation.json"}</w:instrText>
            </w:r>
            <w:r w:rsidR="0033432A">
              <w:rPr>
                <w:rFonts w:ascii="Arial" w:hAnsi="Arial" w:cs="Arial"/>
                <w:sz w:val="20"/>
                <w:szCs w:val="20"/>
              </w:rPr>
              <w:fldChar w:fldCharType="separate"/>
            </w:r>
            <w:r w:rsidR="00050D6C" w:rsidRPr="00050D6C">
              <w:rPr>
                <w:rFonts w:ascii="Arial" w:hAnsi="Arial" w:cs="Arial"/>
                <w:noProof/>
                <w:sz w:val="20"/>
                <w:szCs w:val="20"/>
                <w:vertAlign w:val="superscript"/>
              </w:rPr>
              <w:t>9</w:t>
            </w:r>
            <w:r w:rsidR="0033432A">
              <w:rPr>
                <w:rFonts w:ascii="Arial" w:hAnsi="Arial" w:cs="Arial"/>
                <w:sz w:val="20"/>
                <w:szCs w:val="20"/>
              </w:rPr>
              <w:fldChar w:fldCharType="end"/>
            </w:r>
          </w:p>
        </w:tc>
        <w:tc>
          <w:tcPr>
            <w:tcW w:w="2754" w:type="dxa"/>
            <w:tcBorders>
              <w:top w:val="nil"/>
              <w:left w:val="single" w:sz="4" w:space="0" w:color="auto"/>
              <w:right w:val="nil"/>
            </w:tcBorders>
          </w:tcPr>
          <w:p w14:paraId="2BFAD5CF" w14:textId="77777777" w:rsidR="001A2C95" w:rsidRPr="00054ABD" w:rsidRDefault="001A2C9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79.9</w:t>
            </w:r>
          </w:p>
        </w:tc>
      </w:tr>
    </w:tbl>
    <w:p w14:paraId="48CF39E5" w14:textId="77777777" w:rsidR="001A2C95" w:rsidRPr="00184725" w:rsidRDefault="001A2C95" w:rsidP="001A2C95"/>
    <w:p w14:paraId="454780D2" w14:textId="6E778D13" w:rsidR="009567B5" w:rsidRPr="00146D5D" w:rsidRDefault="009567B5" w:rsidP="009567B5">
      <w:pPr>
        <w:pStyle w:val="Caption"/>
        <w:keepNext/>
        <w:spacing w:after="0"/>
        <w:jc w:val="both"/>
        <w:rPr>
          <w:rFonts w:ascii="Arial" w:hAnsi="Arial" w:cs="Arial"/>
        </w:rPr>
      </w:pPr>
      <w:bookmarkStart w:id="3" w:name="_Ref70184596"/>
      <w:r w:rsidRPr="00146D5D">
        <w:rPr>
          <w:rFonts w:ascii="Arial" w:hAnsi="Arial" w:cs="Arial"/>
        </w:rPr>
        <w:t xml:space="preserve">Table </w:t>
      </w:r>
      <w:r w:rsidR="007C7D0A">
        <w:rPr>
          <w:rFonts w:ascii="Arial" w:hAnsi="Arial" w:cs="Arial"/>
        </w:rPr>
        <w:t>S</w:t>
      </w:r>
      <w:r w:rsidRPr="00146D5D">
        <w:rPr>
          <w:rFonts w:ascii="Arial" w:hAnsi="Arial" w:cs="Arial"/>
        </w:rPr>
        <w:fldChar w:fldCharType="begin"/>
      </w:r>
      <w:r w:rsidRPr="00146D5D">
        <w:rPr>
          <w:rFonts w:ascii="Arial" w:hAnsi="Arial" w:cs="Arial"/>
        </w:rPr>
        <w:instrText xml:space="preserve"> SEQ Table \* ARABIC </w:instrText>
      </w:r>
      <w:r w:rsidRPr="00146D5D">
        <w:rPr>
          <w:rFonts w:ascii="Arial" w:hAnsi="Arial" w:cs="Arial"/>
        </w:rPr>
        <w:fldChar w:fldCharType="separate"/>
      </w:r>
      <w:r w:rsidR="00243CB7">
        <w:rPr>
          <w:rFonts w:ascii="Arial" w:hAnsi="Arial" w:cs="Arial"/>
          <w:noProof/>
        </w:rPr>
        <w:t>3</w:t>
      </w:r>
      <w:r w:rsidRPr="00146D5D">
        <w:rPr>
          <w:rFonts w:ascii="Arial" w:hAnsi="Arial" w:cs="Arial"/>
          <w:noProof/>
        </w:rPr>
        <w:fldChar w:fldCharType="end"/>
      </w:r>
      <w:bookmarkEnd w:id="3"/>
      <w:r w:rsidRPr="00146D5D">
        <w:rPr>
          <w:rFonts w:ascii="Arial" w:hAnsi="Arial" w:cs="Arial"/>
        </w:rPr>
        <w:t>: List of emission components and their mass fractions based on a kg of H</w:t>
      </w:r>
      <w:r w:rsidRPr="00146D5D">
        <w:rPr>
          <w:rFonts w:ascii="Arial" w:hAnsi="Arial" w:cs="Arial"/>
          <w:vertAlign w:val="subscript"/>
        </w:rPr>
        <w:t>2</w:t>
      </w:r>
      <w:r w:rsidRPr="00146D5D">
        <w:rPr>
          <w:rFonts w:ascii="Arial" w:hAnsi="Arial" w:cs="Arial"/>
        </w:rPr>
        <w:t xml:space="preserve"> produced through SMR-CCS at a CO</w:t>
      </w:r>
      <w:r w:rsidRPr="00146D5D">
        <w:rPr>
          <w:rFonts w:ascii="Arial" w:hAnsi="Arial" w:cs="Arial"/>
          <w:vertAlign w:val="subscript"/>
        </w:rPr>
        <w:t>2</w:t>
      </w:r>
      <w:r w:rsidRPr="00146D5D">
        <w:rPr>
          <w:rFonts w:ascii="Arial" w:hAnsi="Arial" w:cs="Arial"/>
        </w:rPr>
        <w:t xml:space="preserve"> capture rate of 91.</w:t>
      </w:r>
      <w:r w:rsidR="00146D5D">
        <w:rPr>
          <w:rFonts w:ascii="Arial" w:hAnsi="Arial" w:cs="Arial"/>
        </w:rPr>
        <w:t>1</w:t>
      </w:r>
      <w:r w:rsidRPr="00146D5D">
        <w:rPr>
          <w:rFonts w:ascii="Arial" w:hAnsi="Arial" w:cs="Arial"/>
        </w:rPr>
        <w:t xml:space="preserve">% as used in this study, based on outputs presented in </w:t>
      </w:r>
      <w:proofErr w:type="spellStart"/>
      <w:r w:rsidRPr="00146D5D">
        <w:rPr>
          <w:rFonts w:ascii="Arial" w:hAnsi="Arial" w:cs="Arial"/>
        </w:rPr>
        <w:t>Antonini</w:t>
      </w:r>
      <w:proofErr w:type="spellEnd"/>
      <w:r w:rsidRPr="00146D5D">
        <w:rPr>
          <w:rFonts w:ascii="Arial" w:hAnsi="Arial" w:cs="Arial"/>
        </w:rPr>
        <w:t xml:space="preserve"> et al </w:t>
      </w:r>
      <w:r w:rsidRPr="00146D5D">
        <w:rPr>
          <w:rFonts w:ascii="Arial" w:hAnsi="Arial" w:cs="Arial"/>
        </w:rPr>
        <w:fldChar w:fldCharType="begin" w:fldLock="1"/>
      </w:r>
      <w:r w:rsidR="00050D6C">
        <w:rPr>
          <w:rFonts w:ascii="Arial" w:hAnsi="Arial" w:cs="Arial"/>
        </w:rPr>
        <w:instrText>ADDIN CSL_CITATION {"citationItems":[{"id":"ITEM-1","itemData":{"DOI":"10.1039/d0se00222d","abstract":"This study presents an integrated techno-environmental assessment of hydrogen production from natural gas and biomethane, combined with CO 2 capture and storage (CCS). We have included steam methane reforming (SMR) and autothermal reforming (ATR) for syngas production. CO 2 is captured from the syngas with a novel vacuum pressure swing adsorption (VPSA) process, that combines hydrogen purification and CO 2 separation in one cycle. As comparison, we have included cases with conventional amine-based technology. We have extended standard attributional Life Cycle Assessment (LCA) following ISO standards with a detailed carbon balance of the biogas production process (via digestion) and its by-products. The results show that the life-cycle greenhouse gas (GHG) performance of the VPSA and amine-based CO 2 capture technologies is very similar as a result of comparable energy consumption. The configuration with the highest plant-wide CO 2 capture rate (almost 100% of produced CO 2 captured) is autothermal reforming with a two-stage water-gas shift and VPSA CO 2 capture-because the latter has an inherently high CO 2 capture rate of 98% or more for the investigated syngas. Depending on the configuration, the addition of CCS to natural gas reforming-based hydrogen production reduces its life-cycle Global Warming Potential by 45-85 percent, while the other environmental life-cycle impacts slightly increase. This brings natural gas-based hydrogen on par with renewable electricity-based hydrogen regarding impacts on climate change. When biomethane is used instead of natural gas, our study shows potential for net negative greenhouse gas emissions, i.e. the net removal of CO 2 over the life cycle of biowaste-based hydrogen production. In the special case where the biogas digestate is used as agricultural fertiliser, and where a substantial amount of the carbon in the digestate remains in the soil, the biowaste-based hydrogen reaches net-negative life cycle greenhouse gas emissions even without the application of CCS. Addition of CCS to biomethane-based hydrogen production leads to net-negative emissions in all investigated cases.","author":[{"dropping-particle":"","family":"Antonini","given":"Cristina","non-dropping-particle":"","parse-names":false,"suffix":""},{"dropping-particle":"","family":"Treyer","given":"Karin","non-dropping-particle":"","parse-names":false,"suffix":""},{"dropping-particle":"","family":"Streb","given":"Anne","non-dropping-particle":"","parse-names":false,"suffix":""},{"dropping-particle":"","family":"Spek","given":"Mijndert","non-dropping-particle":"Van Der","parse-names":false,"suffix":""},{"dropping-particle":"","family":"Bauer","given":"Christian","non-dropping-particle":"","parse-names":false,"suffix":""},{"dropping-particle":"","family":"Mazzotti","given":"Marco","non-dropping-particle":"","parse-names":false,"suffix":""}],"container-title":"Sustainable Energy and Fuels","id":"ITEM-1","issued":{"date-parts":[["2020"]]},"title":"Hydrogen production from natural gas and biomethane with carbon capture and storage-A techno-environmental analysis †","type":"article-journal"},"uris":["http://www.mendeley.com/documents/?uuid=917b1957-5e98-305f-847b-14a0e99d35d0"]}],"mendeley":{"formattedCitation":"&lt;sup&gt;13&lt;/sup&gt;","plainTextFormattedCitation":"13","previouslyFormattedCitation":"&lt;sup&gt;12&lt;/sup&gt;"},"properties":{"noteIndex":0},"schema":"https://github.com/citation-style-language/schema/raw/master/csl-citation.json"}</w:instrText>
      </w:r>
      <w:r w:rsidRPr="00146D5D">
        <w:rPr>
          <w:rFonts w:ascii="Arial" w:hAnsi="Arial" w:cs="Arial"/>
        </w:rPr>
        <w:fldChar w:fldCharType="separate"/>
      </w:r>
      <w:r w:rsidR="00050D6C" w:rsidRPr="00050D6C">
        <w:rPr>
          <w:rFonts w:ascii="Arial" w:hAnsi="Arial" w:cs="Arial"/>
          <w:i w:val="0"/>
          <w:noProof/>
          <w:vertAlign w:val="superscript"/>
        </w:rPr>
        <w:t>13</w:t>
      </w:r>
      <w:r w:rsidRPr="00146D5D">
        <w:rPr>
          <w:rFonts w:ascii="Arial" w:hAnsi="Arial" w:cs="Arial"/>
        </w:rPr>
        <w:fldChar w:fldCharType="end"/>
      </w:r>
      <w:r w:rsidRPr="00146D5D">
        <w:rPr>
          <w:rFonts w:ascii="Arial" w:hAnsi="Arial" w:cs="Arial"/>
        </w:rPr>
        <w:t xml:space="preserve">. </w:t>
      </w:r>
    </w:p>
    <w:tbl>
      <w:tblPr>
        <w:tblStyle w:val="GridTable1Light"/>
        <w:tblpPr w:leftFromText="180" w:rightFromText="180" w:vertAnchor="text" w:horzAnchor="margin" w:tblpY="263"/>
        <w:tblW w:w="0" w:type="auto"/>
        <w:tblLook w:val="04A0" w:firstRow="1" w:lastRow="0" w:firstColumn="1" w:lastColumn="0" w:noHBand="0" w:noVBand="1"/>
      </w:tblPr>
      <w:tblGrid>
        <w:gridCol w:w="4489"/>
        <w:gridCol w:w="4489"/>
      </w:tblGrid>
      <w:tr w:rsidR="009567B5" w14:paraId="0C3ACC31" w14:textId="77777777" w:rsidTr="00C020D8">
        <w:trPr>
          <w:cnfStyle w:val="100000000000" w:firstRow="1" w:lastRow="0" w:firstColumn="0" w:lastColumn="0" w:oddVBand="0" w:evenVBand="0" w:oddHBand="0"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4489" w:type="dxa"/>
            <w:tcBorders>
              <w:top w:val="single" w:sz="4" w:space="0" w:color="auto"/>
              <w:left w:val="nil"/>
              <w:right w:val="single" w:sz="4" w:space="0" w:color="auto"/>
            </w:tcBorders>
          </w:tcPr>
          <w:p w14:paraId="6325D07A" w14:textId="77777777" w:rsidR="009567B5" w:rsidRPr="00054ABD" w:rsidRDefault="009567B5" w:rsidP="00C020D8">
            <w:pPr>
              <w:jc w:val="both"/>
              <w:rPr>
                <w:rFonts w:ascii="Arial" w:hAnsi="Arial" w:cs="Arial"/>
                <w:sz w:val="20"/>
                <w:szCs w:val="20"/>
              </w:rPr>
            </w:pPr>
            <w:r w:rsidRPr="00054ABD">
              <w:rPr>
                <w:rFonts w:ascii="Arial" w:hAnsi="Arial" w:cs="Arial"/>
                <w:sz w:val="20"/>
                <w:szCs w:val="20"/>
              </w:rPr>
              <w:t>Chemical</w:t>
            </w:r>
          </w:p>
        </w:tc>
        <w:tc>
          <w:tcPr>
            <w:tcW w:w="4489" w:type="dxa"/>
            <w:tcBorders>
              <w:top w:val="single" w:sz="4" w:space="0" w:color="auto"/>
              <w:left w:val="single" w:sz="4" w:space="0" w:color="auto"/>
              <w:right w:val="nil"/>
            </w:tcBorders>
          </w:tcPr>
          <w:p w14:paraId="3CBBD081" w14:textId="77777777" w:rsidR="009567B5" w:rsidRPr="00054ABD" w:rsidRDefault="009567B5" w:rsidP="00C020D8">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Quantity emitted (kg/MJ H</w:t>
            </w:r>
            <w:r w:rsidRPr="00054ABD">
              <w:rPr>
                <w:rFonts w:ascii="Arial" w:hAnsi="Arial" w:cs="Arial"/>
                <w:sz w:val="20"/>
                <w:szCs w:val="20"/>
                <w:vertAlign w:val="subscript"/>
              </w:rPr>
              <w:t>2</w:t>
            </w:r>
            <w:r w:rsidRPr="00054ABD">
              <w:rPr>
                <w:rFonts w:ascii="Arial" w:hAnsi="Arial" w:cs="Arial"/>
                <w:sz w:val="20"/>
                <w:szCs w:val="20"/>
              </w:rPr>
              <w:t xml:space="preserve">) </w:t>
            </w:r>
          </w:p>
        </w:tc>
      </w:tr>
      <w:tr w:rsidR="009567B5" w14:paraId="6853F99D" w14:textId="77777777" w:rsidTr="00C020D8">
        <w:trPr>
          <w:trHeight w:val="256"/>
        </w:trPr>
        <w:tc>
          <w:tcPr>
            <w:cnfStyle w:val="001000000000" w:firstRow="0" w:lastRow="0" w:firstColumn="1" w:lastColumn="0" w:oddVBand="0" w:evenVBand="0" w:oddHBand="0" w:evenHBand="0" w:firstRowFirstColumn="0" w:firstRowLastColumn="0" w:lastRowFirstColumn="0" w:lastRowLastColumn="0"/>
            <w:tcW w:w="4489" w:type="dxa"/>
            <w:tcBorders>
              <w:top w:val="single" w:sz="12" w:space="0" w:color="666666" w:themeColor="text1" w:themeTint="99"/>
              <w:left w:val="nil"/>
              <w:bottom w:val="nil"/>
              <w:right w:val="single" w:sz="4" w:space="0" w:color="auto"/>
            </w:tcBorders>
          </w:tcPr>
          <w:p w14:paraId="46B839C9"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Carbon dioxide</w:t>
            </w:r>
          </w:p>
        </w:tc>
        <w:tc>
          <w:tcPr>
            <w:tcW w:w="4489" w:type="dxa"/>
            <w:tcBorders>
              <w:top w:val="single" w:sz="12" w:space="0" w:color="666666" w:themeColor="text1" w:themeTint="99"/>
              <w:left w:val="single" w:sz="4" w:space="0" w:color="auto"/>
              <w:bottom w:val="nil"/>
              <w:right w:val="nil"/>
            </w:tcBorders>
          </w:tcPr>
          <w:p w14:paraId="248DA086" w14:textId="136FC108"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0.00668</w:t>
            </w:r>
            <w:r w:rsidR="0033432A">
              <w:rPr>
                <w:rFonts w:ascii="Arial" w:hAnsi="Arial" w:cs="Arial"/>
                <w:sz w:val="20"/>
                <w:szCs w:val="20"/>
              </w:rPr>
              <w:fldChar w:fldCharType="begin" w:fldLock="1"/>
            </w:r>
            <w:r w:rsidR="00050D6C">
              <w:rPr>
                <w:rFonts w:ascii="Arial" w:hAnsi="Arial" w:cs="Arial"/>
                <w:sz w:val="20"/>
                <w:szCs w:val="20"/>
              </w:rPr>
              <w:instrText>ADDIN CSL_CITATION {"citationItems":[{"id":"ITEM-1","itemData":{"abstract":"The H21 North of England ambition is to enable the transition to a 100% sustainable and global hydrogen economy by 2100. This would be established through the utilisation of the appropriate technologies and practical delivery timescales, initially focusing on the period up to 2050.","author":[{"dropping-particle":"","family":"Northern Gas Networks &amp; Equinor &amp; Cadent","given":"","non-dropping-particle":"","parse-names":false,"suffix":""}],"id":"ITEM-1","issued":{"date-parts":[["2018"]]},"title":"H21 North of England Report","type":"report"},"uris":["http://www.mendeley.com/documents/?uuid=89ff7d93-f241-3a7c-81d7-468c5840cce6"]}],"mendeley":{"formattedCitation":"&lt;sup&gt;9&lt;/sup&gt;","plainTextFormattedCitation":"9","previouslyFormattedCitation":"&lt;sup&gt;8&lt;/sup&gt;"},"properties":{"noteIndex":0},"schema":"https://github.com/citation-style-language/schema/raw/master/csl-citation.json"}</w:instrText>
            </w:r>
            <w:r w:rsidR="0033432A">
              <w:rPr>
                <w:rFonts w:ascii="Arial" w:hAnsi="Arial" w:cs="Arial"/>
                <w:sz w:val="20"/>
                <w:szCs w:val="20"/>
              </w:rPr>
              <w:fldChar w:fldCharType="separate"/>
            </w:r>
            <w:r w:rsidR="00050D6C" w:rsidRPr="00050D6C">
              <w:rPr>
                <w:rFonts w:ascii="Arial" w:hAnsi="Arial" w:cs="Arial"/>
                <w:noProof/>
                <w:sz w:val="20"/>
                <w:szCs w:val="20"/>
                <w:vertAlign w:val="superscript"/>
              </w:rPr>
              <w:t>9</w:t>
            </w:r>
            <w:r w:rsidR="0033432A">
              <w:rPr>
                <w:rFonts w:ascii="Arial" w:hAnsi="Arial" w:cs="Arial"/>
                <w:sz w:val="20"/>
                <w:szCs w:val="20"/>
              </w:rPr>
              <w:fldChar w:fldCharType="end"/>
            </w:r>
          </w:p>
        </w:tc>
      </w:tr>
      <w:tr w:rsidR="009567B5" w14:paraId="269D03C7" w14:textId="77777777" w:rsidTr="00C020D8">
        <w:trPr>
          <w:trHeight w:val="267"/>
        </w:trPr>
        <w:tc>
          <w:tcPr>
            <w:cnfStyle w:val="001000000000" w:firstRow="0" w:lastRow="0" w:firstColumn="1" w:lastColumn="0" w:oddVBand="0" w:evenVBand="0" w:oddHBand="0" w:evenHBand="0" w:firstRowFirstColumn="0" w:firstRowLastColumn="0" w:lastRowFirstColumn="0" w:lastRowLastColumn="0"/>
            <w:tcW w:w="4489" w:type="dxa"/>
            <w:tcBorders>
              <w:top w:val="nil"/>
              <w:left w:val="nil"/>
              <w:bottom w:val="nil"/>
              <w:right w:val="single" w:sz="4" w:space="0" w:color="auto"/>
            </w:tcBorders>
          </w:tcPr>
          <w:p w14:paraId="789BDA11"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Acetaldehyde</w:t>
            </w:r>
          </w:p>
        </w:tc>
        <w:tc>
          <w:tcPr>
            <w:tcW w:w="4489" w:type="dxa"/>
            <w:tcBorders>
              <w:top w:val="nil"/>
              <w:left w:val="single" w:sz="4" w:space="0" w:color="auto"/>
              <w:bottom w:val="nil"/>
              <w:right w:val="nil"/>
            </w:tcBorders>
          </w:tcPr>
          <w:p w14:paraId="0E09BCCF"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054ABD">
              <w:rPr>
                <w:rFonts w:ascii="Arial" w:hAnsi="Arial" w:cs="Arial"/>
                <w:color w:val="000000"/>
                <w:sz w:val="20"/>
                <w:szCs w:val="20"/>
              </w:rPr>
              <w:t>3.38</w:t>
            </w:r>
            <w:r w:rsidRPr="00054ABD">
              <w:rPr>
                <w:rFonts w:ascii="Arial" w:hAnsi="Arial" w:cs="Arial"/>
                <w:sz w:val="20"/>
                <w:szCs w:val="20"/>
              </w:rPr>
              <w:t xml:space="preserve"> x 10</w:t>
            </w:r>
            <w:r w:rsidRPr="00054ABD">
              <w:rPr>
                <w:rFonts w:ascii="Arial" w:hAnsi="Arial" w:cs="Arial"/>
                <w:color w:val="000000"/>
                <w:sz w:val="20"/>
                <w:szCs w:val="20"/>
                <w:vertAlign w:val="superscript"/>
              </w:rPr>
              <w:t>-11</w:t>
            </w:r>
          </w:p>
        </w:tc>
      </w:tr>
      <w:tr w:rsidR="009567B5" w14:paraId="11E8B8A0" w14:textId="77777777" w:rsidTr="00C020D8">
        <w:trPr>
          <w:trHeight w:val="256"/>
        </w:trPr>
        <w:tc>
          <w:tcPr>
            <w:cnfStyle w:val="001000000000" w:firstRow="0" w:lastRow="0" w:firstColumn="1" w:lastColumn="0" w:oddVBand="0" w:evenVBand="0" w:oddHBand="0" w:evenHBand="0" w:firstRowFirstColumn="0" w:firstRowLastColumn="0" w:lastRowFirstColumn="0" w:lastRowLastColumn="0"/>
            <w:tcW w:w="4489" w:type="dxa"/>
            <w:tcBorders>
              <w:top w:val="nil"/>
              <w:left w:val="nil"/>
              <w:bottom w:val="nil"/>
              <w:right w:val="single" w:sz="4" w:space="0" w:color="auto"/>
            </w:tcBorders>
          </w:tcPr>
          <w:p w14:paraId="70A6B412"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Acetic acid</w:t>
            </w:r>
          </w:p>
        </w:tc>
        <w:tc>
          <w:tcPr>
            <w:tcW w:w="4489" w:type="dxa"/>
            <w:tcBorders>
              <w:top w:val="nil"/>
              <w:left w:val="single" w:sz="4" w:space="0" w:color="auto"/>
              <w:bottom w:val="nil"/>
              <w:right w:val="nil"/>
            </w:tcBorders>
          </w:tcPr>
          <w:p w14:paraId="4656FB05"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054ABD">
              <w:rPr>
                <w:rFonts w:ascii="Arial" w:hAnsi="Arial" w:cs="Arial"/>
                <w:sz w:val="20"/>
                <w:szCs w:val="20"/>
              </w:rPr>
              <w:t>5.07 x 10</w:t>
            </w:r>
            <w:r w:rsidRPr="00054ABD">
              <w:rPr>
                <w:rFonts w:ascii="Arial" w:hAnsi="Arial" w:cs="Arial"/>
                <w:color w:val="000000"/>
                <w:sz w:val="20"/>
                <w:szCs w:val="20"/>
                <w:vertAlign w:val="superscript"/>
              </w:rPr>
              <w:t>-9</w:t>
            </w:r>
          </w:p>
        </w:tc>
      </w:tr>
      <w:tr w:rsidR="009567B5" w14:paraId="0D295B7E" w14:textId="77777777" w:rsidTr="00C020D8">
        <w:trPr>
          <w:trHeight w:val="256"/>
        </w:trPr>
        <w:tc>
          <w:tcPr>
            <w:cnfStyle w:val="001000000000" w:firstRow="0" w:lastRow="0" w:firstColumn="1" w:lastColumn="0" w:oddVBand="0" w:evenVBand="0" w:oddHBand="0" w:evenHBand="0" w:firstRowFirstColumn="0" w:firstRowLastColumn="0" w:lastRowFirstColumn="0" w:lastRowLastColumn="0"/>
            <w:tcW w:w="4489" w:type="dxa"/>
            <w:tcBorders>
              <w:top w:val="nil"/>
              <w:left w:val="nil"/>
              <w:bottom w:val="nil"/>
              <w:right w:val="single" w:sz="4" w:space="0" w:color="auto"/>
            </w:tcBorders>
          </w:tcPr>
          <w:p w14:paraId="27FF8261"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Benzene</w:t>
            </w:r>
          </w:p>
        </w:tc>
        <w:tc>
          <w:tcPr>
            <w:tcW w:w="4489" w:type="dxa"/>
            <w:tcBorders>
              <w:top w:val="nil"/>
              <w:left w:val="single" w:sz="4" w:space="0" w:color="auto"/>
              <w:bottom w:val="nil"/>
              <w:right w:val="nil"/>
            </w:tcBorders>
          </w:tcPr>
          <w:p w14:paraId="10399C2E"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054ABD">
              <w:rPr>
                <w:rFonts w:ascii="Arial" w:hAnsi="Arial" w:cs="Arial"/>
                <w:color w:val="000000"/>
                <w:sz w:val="20"/>
                <w:szCs w:val="20"/>
              </w:rPr>
              <w:t>1.35</w:t>
            </w:r>
            <w:r w:rsidRPr="00054ABD">
              <w:rPr>
                <w:rFonts w:ascii="Arial" w:hAnsi="Arial" w:cs="Arial"/>
                <w:sz w:val="20"/>
                <w:szCs w:val="20"/>
              </w:rPr>
              <w:t xml:space="preserve"> x 10</w:t>
            </w:r>
            <w:r w:rsidRPr="00054ABD">
              <w:rPr>
                <w:rFonts w:ascii="Arial" w:hAnsi="Arial" w:cs="Arial"/>
                <w:color w:val="000000"/>
                <w:sz w:val="20"/>
                <w:szCs w:val="20"/>
                <w:vertAlign w:val="superscript"/>
              </w:rPr>
              <w:t>-8</w:t>
            </w:r>
          </w:p>
        </w:tc>
      </w:tr>
      <w:tr w:rsidR="009567B5" w14:paraId="4A867F99" w14:textId="77777777" w:rsidTr="00C020D8">
        <w:trPr>
          <w:trHeight w:val="267"/>
        </w:trPr>
        <w:tc>
          <w:tcPr>
            <w:cnfStyle w:val="001000000000" w:firstRow="0" w:lastRow="0" w:firstColumn="1" w:lastColumn="0" w:oddVBand="0" w:evenVBand="0" w:oddHBand="0" w:evenHBand="0" w:firstRowFirstColumn="0" w:firstRowLastColumn="0" w:lastRowFirstColumn="0" w:lastRowLastColumn="0"/>
            <w:tcW w:w="4489" w:type="dxa"/>
            <w:tcBorders>
              <w:top w:val="nil"/>
              <w:left w:val="nil"/>
              <w:bottom w:val="nil"/>
              <w:right w:val="single" w:sz="4" w:space="0" w:color="auto"/>
            </w:tcBorders>
          </w:tcPr>
          <w:p w14:paraId="06A7AEE5"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Benzopyrene</w:t>
            </w:r>
          </w:p>
        </w:tc>
        <w:tc>
          <w:tcPr>
            <w:tcW w:w="4489" w:type="dxa"/>
            <w:tcBorders>
              <w:top w:val="nil"/>
              <w:left w:val="single" w:sz="4" w:space="0" w:color="auto"/>
              <w:bottom w:val="nil"/>
              <w:right w:val="nil"/>
            </w:tcBorders>
          </w:tcPr>
          <w:p w14:paraId="69ED2A8E"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054ABD">
              <w:rPr>
                <w:rFonts w:ascii="Arial" w:hAnsi="Arial" w:cs="Arial"/>
                <w:color w:val="000000"/>
                <w:sz w:val="20"/>
                <w:szCs w:val="20"/>
              </w:rPr>
              <w:t>3.40</w:t>
            </w:r>
            <w:r w:rsidRPr="00054ABD">
              <w:rPr>
                <w:rFonts w:ascii="Arial" w:hAnsi="Arial" w:cs="Arial"/>
                <w:sz w:val="20"/>
                <w:szCs w:val="20"/>
              </w:rPr>
              <w:t xml:space="preserve"> x 10</w:t>
            </w:r>
            <w:r w:rsidRPr="00054ABD">
              <w:rPr>
                <w:rFonts w:ascii="Arial" w:hAnsi="Arial" w:cs="Arial"/>
                <w:color w:val="000000"/>
                <w:sz w:val="20"/>
                <w:szCs w:val="20"/>
                <w:vertAlign w:val="superscript"/>
              </w:rPr>
              <w:t>-13</w:t>
            </w:r>
          </w:p>
        </w:tc>
      </w:tr>
      <w:tr w:rsidR="009567B5" w14:paraId="2F6720F8" w14:textId="77777777" w:rsidTr="00C020D8">
        <w:trPr>
          <w:trHeight w:val="256"/>
        </w:trPr>
        <w:tc>
          <w:tcPr>
            <w:cnfStyle w:val="001000000000" w:firstRow="0" w:lastRow="0" w:firstColumn="1" w:lastColumn="0" w:oddVBand="0" w:evenVBand="0" w:oddHBand="0" w:evenHBand="0" w:firstRowFirstColumn="0" w:firstRowLastColumn="0" w:lastRowFirstColumn="0" w:lastRowLastColumn="0"/>
            <w:tcW w:w="4489" w:type="dxa"/>
            <w:tcBorders>
              <w:top w:val="nil"/>
              <w:left w:val="nil"/>
              <w:bottom w:val="nil"/>
              <w:right w:val="single" w:sz="4" w:space="0" w:color="auto"/>
            </w:tcBorders>
          </w:tcPr>
          <w:p w14:paraId="24D9EDA5"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Butane</w:t>
            </w:r>
          </w:p>
        </w:tc>
        <w:tc>
          <w:tcPr>
            <w:tcW w:w="4489" w:type="dxa"/>
            <w:tcBorders>
              <w:top w:val="nil"/>
              <w:left w:val="single" w:sz="4" w:space="0" w:color="auto"/>
              <w:bottom w:val="nil"/>
              <w:right w:val="nil"/>
            </w:tcBorders>
          </w:tcPr>
          <w:p w14:paraId="577E9D58"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054ABD">
              <w:rPr>
                <w:rFonts w:ascii="Arial" w:hAnsi="Arial" w:cs="Arial"/>
                <w:color w:val="000000"/>
                <w:sz w:val="20"/>
                <w:szCs w:val="20"/>
              </w:rPr>
              <w:t>2.37</w:t>
            </w:r>
            <w:r w:rsidRPr="00054ABD">
              <w:rPr>
                <w:rFonts w:ascii="Arial" w:hAnsi="Arial" w:cs="Arial"/>
                <w:sz w:val="20"/>
                <w:szCs w:val="20"/>
              </w:rPr>
              <w:t xml:space="preserve"> x 10</w:t>
            </w:r>
            <w:r w:rsidRPr="00054ABD">
              <w:rPr>
                <w:rFonts w:ascii="Arial" w:hAnsi="Arial" w:cs="Arial"/>
                <w:color w:val="000000"/>
                <w:sz w:val="20"/>
                <w:szCs w:val="20"/>
                <w:vertAlign w:val="superscript"/>
              </w:rPr>
              <w:t>-8</w:t>
            </w:r>
          </w:p>
        </w:tc>
      </w:tr>
      <w:tr w:rsidR="009567B5" w14:paraId="6DD687F7" w14:textId="77777777" w:rsidTr="00C020D8">
        <w:trPr>
          <w:trHeight w:val="267"/>
        </w:trPr>
        <w:tc>
          <w:tcPr>
            <w:cnfStyle w:val="001000000000" w:firstRow="0" w:lastRow="0" w:firstColumn="1" w:lastColumn="0" w:oddVBand="0" w:evenVBand="0" w:oddHBand="0" w:evenHBand="0" w:firstRowFirstColumn="0" w:firstRowLastColumn="0" w:lastRowFirstColumn="0" w:lastRowLastColumn="0"/>
            <w:tcW w:w="4489" w:type="dxa"/>
            <w:tcBorders>
              <w:top w:val="nil"/>
              <w:left w:val="nil"/>
              <w:bottom w:val="nil"/>
              <w:right w:val="single" w:sz="4" w:space="0" w:color="auto"/>
            </w:tcBorders>
          </w:tcPr>
          <w:p w14:paraId="2268A86E"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Carbon monoxide</w:t>
            </w:r>
          </w:p>
        </w:tc>
        <w:tc>
          <w:tcPr>
            <w:tcW w:w="4489" w:type="dxa"/>
            <w:tcBorders>
              <w:top w:val="nil"/>
              <w:left w:val="single" w:sz="4" w:space="0" w:color="auto"/>
              <w:bottom w:val="nil"/>
              <w:right w:val="nil"/>
            </w:tcBorders>
          </w:tcPr>
          <w:p w14:paraId="241251BD"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054ABD">
              <w:rPr>
                <w:rFonts w:ascii="Arial" w:hAnsi="Arial" w:cs="Arial"/>
                <w:sz w:val="20"/>
                <w:szCs w:val="20"/>
              </w:rPr>
              <w:t>7.10 x 10</w:t>
            </w:r>
            <w:r w:rsidRPr="00054ABD">
              <w:rPr>
                <w:rFonts w:ascii="Arial" w:hAnsi="Arial" w:cs="Arial"/>
                <w:color w:val="000000"/>
                <w:sz w:val="20"/>
                <w:szCs w:val="20"/>
                <w:vertAlign w:val="superscript"/>
              </w:rPr>
              <w:t>-8</w:t>
            </w:r>
          </w:p>
        </w:tc>
      </w:tr>
      <w:tr w:rsidR="009567B5" w14:paraId="2408EBA8" w14:textId="77777777" w:rsidTr="00C020D8">
        <w:trPr>
          <w:trHeight w:val="267"/>
        </w:trPr>
        <w:tc>
          <w:tcPr>
            <w:cnfStyle w:val="001000000000" w:firstRow="0" w:lastRow="0" w:firstColumn="1" w:lastColumn="0" w:oddVBand="0" w:evenVBand="0" w:oddHBand="0" w:evenHBand="0" w:firstRowFirstColumn="0" w:firstRowLastColumn="0" w:lastRowFirstColumn="0" w:lastRowLastColumn="0"/>
            <w:tcW w:w="4489" w:type="dxa"/>
            <w:tcBorders>
              <w:top w:val="nil"/>
              <w:left w:val="nil"/>
              <w:bottom w:val="nil"/>
              <w:right w:val="single" w:sz="4" w:space="0" w:color="auto"/>
            </w:tcBorders>
          </w:tcPr>
          <w:p w14:paraId="5A2AF36F"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Dinitrogen monoxide</w:t>
            </w:r>
          </w:p>
        </w:tc>
        <w:tc>
          <w:tcPr>
            <w:tcW w:w="4489" w:type="dxa"/>
            <w:tcBorders>
              <w:top w:val="nil"/>
              <w:left w:val="single" w:sz="4" w:space="0" w:color="auto"/>
              <w:bottom w:val="nil"/>
              <w:right w:val="nil"/>
            </w:tcBorders>
          </w:tcPr>
          <w:p w14:paraId="3CC9C7F6"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054ABD">
              <w:rPr>
                <w:rFonts w:ascii="Arial" w:hAnsi="Arial" w:cs="Arial"/>
                <w:sz w:val="20"/>
                <w:szCs w:val="20"/>
              </w:rPr>
              <w:t>3.38 x 10</w:t>
            </w:r>
            <w:r w:rsidRPr="00054ABD">
              <w:rPr>
                <w:rFonts w:ascii="Arial" w:hAnsi="Arial" w:cs="Arial"/>
                <w:color w:val="000000"/>
                <w:sz w:val="20"/>
                <w:szCs w:val="20"/>
                <w:vertAlign w:val="superscript"/>
              </w:rPr>
              <w:t>-9</w:t>
            </w:r>
          </w:p>
        </w:tc>
      </w:tr>
      <w:tr w:rsidR="009567B5" w14:paraId="0108619B" w14:textId="77777777" w:rsidTr="00C020D8">
        <w:trPr>
          <w:trHeight w:val="267"/>
        </w:trPr>
        <w:tc>
          <w:tcPr>
            <w:cnfStyle w:val="001000000000" w:firstRow="0" w:lastRow="0" w:firstColumn="1" w:lastColumn="0" w:oddVBand="0" w:evenVBand="0" w:oddHBand="0" w:evenHBand="0" w:firstRowFirstColumn="0" w:firstRowLastColumn="0" w:lastRowFirstColumn="0" w:lastRowLastColumn="0"/>
            <w:tcW w:w="4489" w:type="dxa"/>
            <w:tcBorders>
              <w:top w:val="nil"/>
              <w:left w:val="nil"/>
              <w:bottom w:val="nil"/>
              <w:right w:val="single" w:sz="4" w:space="0" w:color="auto"/>
            </w:tcBorders>
          </w:tcPr>
          <w:p w14:paraId="054543DB"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Formaldehyde</w:t>
            </w:r>
          </w:p>
        </w:tc>
        <w:tc>
          <w:tcPr>
            <w:tcW w:w="4489" w:type="dxa"/>
            <w:tcBorders>
              <w:top w:val="nil"/>
              <w:left w:val="single" w:sz="4" w:space="0" w:color="auto"/>
              <w:bottom w:val="nil"/>
              <w:right w:val="nil"/>
            </w:tcBorders>
          </w:tcPr>
          <w:p w14:paraId="4D48E866"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054ABD">
              <w:rPr>
                <w:rFonts w:ascii="Arial" w:hAnsi="Arial" w:cs="Arial"/>
                <w:sz w:val="20"/>
                <w:szCs w:val="20"/>
              </w:rPr>
              <w:t>3.38 x 10</w:t>
            </w:r>
            <w:r w:rsidRPr="00054ABD">
              <w:rPr>
                <w:rFonts w:ascii="Arial" w:hAnsi="Arial" w:cs="Arial"/>
                <w:color w:val="000000"/>
                <w:sz w:val="20"/>
                <w:szCs w:val="20"/>
                <w:vertAlign w:val="superscript"/>
              </w:rPr>
              <w:t>-9</w:t>
            </w:r>
          </w:p>
        </w:tc>
      </w:tr>
      <w:tr w:rsidR="009567B5" w14:paraId="2CA26C65" w14:textId="77777777" w:rsidTr="00C020D8">
        <w:trPr>
          <w:trHeight w:val="267"/>
        </w:trPr>
        <w:tc>
          <w:tcPr>
            <w:cnfStyle w:val="001000000000" w:firstRow="0" w:lastRow="0" w:firstColumn="1" w:lastColumn="0" w:oddVBand="0" w:evenVBand="0" w:oddHBand="0" w:evenHBand="0" w:firstRowFirstColumn="0" w:firstRowLastColumn="0" w:lastRowFirstColumn="0" w:lastRowLastColumn="0"/>
            <w:tcW w:w="4489" w:type="dxa"/>
            <w:tcBorders>
              <w:top w:val="nil"/>
              <w:left w:val="nil"/>
              <w:bottom w:val="nil"/>
              <w:right w:val="single" w:sz="4" w:space="0" w:color="auto"/>
            </w:tcBorders>
          </w:tcPr>
          <w:p w14:paraId="399534E6"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Mercury</w:t>
            </w:r>
          </w:p>
        </w:tc>
        <w:tc>
          <w:tcPr>
            <w:tcW w:w="4489" w:type="dxa"/>
            <w:tcBorders>
              <w:top w:val="nil"/>
              <w:left w:val="single" w:sz="4" w:space="0" w:color="auto"/>
              <w:bottom w:val="nil"/>
              <w:right w:val="nil"/>
            </w:tcBorders>
          </w:tcPr>
          <w:p w14:paraId="2C1B413C"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054ABD">
              <w:rPr>
                <w:rFonts w:ascii="Arial" w:hAnsi="Arial" w:cs="Arial"/>
                <w:sz w:val="20"/>
                <w:szCs w:val="20"/>
              </w:rPr>
              <w:t>1.01 x 10</w:t>
            </w:r>
            <w:r w:rsidRPr="00054ABD">
              <w:rPr>
                <w:rFonts w:ascii="Arial" w:hAnsi="Arial" w:cs="Arial"/>
                <w:color w:val="000000"/>
                <w:sz w:val="20"/>
                <w:szCs w:val="20"/>
                <w:vertAlign w:val="superscript"/>
              </w:rPr>
              <w:t>-12</w:t>
            </w:r>
          </w:p>
        </w:tc>
      </w:tr>
      <w:tr w:rsidR="009567B5" w14:paraId="7C07648D" w14:textId="77777777" w:rsidTr="00C020D8">
        <w:trPr>
          <w:trHeight w:val="267"/>
        </w:trPr>
        <w:tc>
          <w:tcPr>
            <w:cnfStyle w:val="001000000000" w:firstRow="0" w:lastRow="0" w:firstColumn="1" w:lastColumn="0" w:oddVBand="0" w:evenVBand="0" w:oddHBand="0" w:evenHBand="0" w:firstRowFirstColumn="0" w:firstRowLastColumn="0" w:lastRowFirstColumn="0" w:lastRowLastColumn="0"/>
            <w:tcW w:w="4489" w:type="dxa"/>
            <w:tcBorders>
              <w:top w:val="nil"/>
              <w:left w:val="nil"/>
              <w:bottom w:val="nil"/>
              <w:right w:val="single" w:sz="4" w:space="0" w:color="auto"/>
            </w:tcBorders>
          </w:tcPr>
          <w:p w14:paraId="6E25311C"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Methane</w:t>
            </w:r>
          </w:p>
        </w:tc>
        <w:tc>
          <w:tcPr>
            <w:tcW w:w="4489" w:type="dxa"/>
            <w:tcBorders>
              <w:top w:val="nil"/>
              <w:left w:val="single" w:sz="4" w:space="0" w:color="auto"/>
              <w:bottom w:val="nil"/>
              <w:right w:val="nil"/>
            </w:tcBorders>
          </w:tcPr>
          <w:p w14:paraId="23D9F7E2"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054ABD">
              <w:rPr>
                <w:rFonts w:ascii="Arial" w:hAnsi="Arial" w:cs="Arial"/>
                <w:sz w:val="20"/>
                <w:szCs w:val="20"/>
              </w:rPr>
              <w:t>6.76 x 10</w:t>
            </w:r>
            <w:r w:rsidRPr="00054ABD">
              <w:rPr>
                <w:rFonts w:ascii="Arial" w:hAnsi="Arial" w:cs="Arial"/>
                <w:color w:val="000000"/>
                <w:sz w:val="20"/>
                <w:szCs w:val="20"/>
                <w:vertAlign w:val="superscript"/>
              </w:rPr>
              <w:t>-8</w:t>
            </w:r>
          </w:p>
        </w:tc>
      </w:tr>
      <w:tr w:rsidR="009567B5" w14:paraId="238B5B1F" w14:textId="77777777" w:rsidTr="00C020D8">
        <w:trPr>
          <w:trHeight w:val="267"/>
        </w:trPr>
        <w:tc>
          <w:tcPr>
            <w:cnfStyle w:val="001000000000" w:firstRow="0" w:lastRow="0" w:firstColumn="1" w:lastColumn="0" w:oddVBand="0" w:evenVBand="0" w:oddHBand="0" w:evenHBand="0" w:firstRowFirstColumn="0" w:firstRowLastColumn="0" w:lastRowFirstColumn="0" w:lastRowLastColumn="0"/>
            <w:tcW w:w="4489" w:type="dxa"/>
            <w:tcBorders>
              <w:top w:val="nil"/>
              <w:left w:val="nil"/>
              <w:bottom w:val="nil"/>
              <w:right w:val="single" w:sz="4" w:space="0" w:color="auto"/>
            </w:tcBorders>
          </w:tcPr>
          <w:p w14:paraId="42A9720E"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Nitrogen oxides</w:t>
            </w:r>
          </w:p>
        </w:tc>
        <w:tc>
          <w:tcPr>
            <w:tcW w:w="4489" w:type="dxa"/>
            <w:tcBorders>
              <w:top w:val="nil"/>
              <w:left w:val="single" w:sz="4" w:space="0" w:color="auto"/>
              <w:bottom w:val="nil"/>
              <w:right w:val="nil"/>
            </w:tcBorders>
          </w:tcPr>
          <w:p w14:paraId="79894E3C"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054ABD">
              <w:rPr>
                <w:rFonts w:ascii="Arial" w:hAnsi="Arial" w:cs="Arial"/>
                <w:sz w:val="20"/>
                <w:szCs w:val="20"/>
              </w:rPr>
              <w:t>6.05 x 10</w:t>
            </w:r>
            <w:r w:rsidRPr="00054ABD">
              <w:rPr>
                <w:rFonts w:ascii="Arial" w:hAnsi="Arial" w:cs="Arial"/>
                <w:color w:val="000000"/>
                <w:sz w:val="20"/>
                <w:szCs w:val="20"/>
                <w:vertAlign w:val="superscript"/>
              </w:rPr>
              <w:t>-7</w:t>
            </w:r>
          </w:p>
        </w:tc>
      </w:tr>
      <w:tr w:rsidR="009567B5" w14:paraId="336476A5" w14:textId="77777777" w:rsidTr="00C020D8">
        <w:trPr>
          <w:trHeight w:val="267"/>
        </w:trPr>
        <w:tc>
          <w:tcPr>
            <w:cnfStyle w:val="001000000000" w:firstRow="0" w:lastRow="0" w:firstColumn="1" w:lastColumn="0" w:oddVBand="0" w:evenVBand="0" w:oddHBand="0" w:evenHBand="0" w:firstRowFirstColumn="0" w:firstRowLastColumn="0" w:lastRowFirstColumn="0" w:lastRowLastColumn="0"/>
            <w:tcW w:w="4489" w:type="dxa"/>
            <w:tcBorders>
              <w:top w:val="nil"/>
              <w:left w:val="nil"/>
              <w:bottom w:val="nil"/>
              <w:right w:val="single" w:sz="4" w:space="0" w:color="auto"/>
            </w:tcBorders>
          </w:tcPr>
          <w:p w14:paraId="34336989"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Polycyclic aromatic hydrocarbons</w:t>
            </w:r>
          </w:p>
        </w:tc>
        <w:tc>
          <w:tcPr>
            <w:tcW w:w="4489" w:type="dxa"/>
            <w:tcBorders>
              <w:top w:val="nil"/>
              <w:left w:val="single" w:sz="4" w:space="0" w:color="auto"/>
              <w:bottom w:val="nil"/>
              <w:right w:val="nil"/>
            </w:tcBorders>
          </w:tcPr>
          <w:p w14:paraId="33648C3B"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054ABD">
              <w:rPr>
                <w:rFonts w:ascii="Arial" w:hAnsi="Arial" w:cs="Arial"/>
                <w:color w:val="000000"/>
                <w:sz w:val="20"/>
                <w:szCs w:val="20"/>
              </w:rPr>
              <w:t>3.38</w:t>
            </w:r>
            <w:r w:rsidRPr="00054ABD">
              <w:rPr>
                <w:rFonts w:ascii="Arial" w:hAnsi="Arial" w:cs="Arial"/>
                <w:sz w:val="20"/>
                <w:szCs w:val="20"/>
              </w:rPr>
              <w:t xml:space="preserve"> x 10</w:t>
            </w:r>
            <w:r w:rsidRPr="00054ABD">
              <w:rPr>
                <w:rFonts w:ascii="Arial" w:hAnsi="Arial" w:cs="Arial"/>
                <w:color w:val="000000"/>
                <w:sz w:val="20"/>
                <w:szCs w:val="20"/>
                <w:vertAlign w:val="superscript"/>
              </w:rPr>
              <w:t>-10</w:t>
            </w:r>
          </w:p>
        </w:tc>
      </w:tr>
      <w:tr w:rsidR="009567B5" w14:paraId="3A2E10BC" w14:textId="77777777" w:rsidTr="00C020D8">
        <w:trPr>
          <w:trHeight w:val="267"/>
        </w:trPr>
        <w:tc>
          <w:tcPr>
            <w:cnfStyle w:val="001000000000" w:firstRow="0" w:lastRow="0" w:firstColumn="1" w:lastColumn="0" w:oddVBand="0" w:evenVBand="0" w:oddHBand="0" w:evenHBand="0" w:firstRowFirstColumn="0" w:firstRowLastColumn="0" w:lastRowFirstColumn="0" w:lastRowLastColumn="0"/>
            <w:tcW w:w="4489" w:type="dxa"/>
            <w:tcBorders>
              <w:top w:val="nil"/>
              <w:left w:val="nil"/>
              <w:bottom w:val="nil"/>
              <w:right w:val="single" w:sz="4" w:space="0" w:color="auto"/>
            </w:tcBorders>
          </w:tcPr>
          <w:p w14:paraId="30286F29"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Particulates</w:t>
            </w:r>
          </w:p>
        </w:tc>
        <w:tc>
          <w:tcPr>
            <w:tcW w:w="4489" w:type="dxa"/>
            <w:tcBorders>
              <w:top w:val="nil"/>
              <w:left w:val="single" w:sz="4" w:space="0" w:color="auto"/>
              <w:bottom w:val="nil"/>
              <w:right w:val="nil"/>
            </w:tcBorders>
          </w:tcPr>
          <w:p w14:paraId="1A3D3BDB"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054ABD">
              <w:rPr>
                <w:rFonts w:ascii="Arial" w:hAnsi="Arial" w:cs="Arial"/>
                <w:sz w:val="20"/>
                <w:szCs w:val="20"/>
              </w:rPr>
              <w:t>6.76 x 10</w:t>
            </w:r>
            <w:r w:rsidRPr="00054ABD">
              <w:rPr>
                <w:rFonts w:ascii="Arial" w:hAnsi="Arial" w:cs="Arial"/>
                <w:color w:val="000000"/>
                <w:sz w:val="20"/>
                <w:szCs w:val="20"/>
                <w:vertAlign w:val="superscript"/>
              </w:rPr>
              <w:t>-9</w:t>
            </w:r>
          </w:p>
        </w:tc>
      </w:tr>
      <w:tr w:rsidR="009567B5" w14:paraId="5E51056F" w14:textId="77777777" w:rsidTr="00C020D8">
        <w:trPr>
          <w:trHeight w:val="267"/>
        </w:trPr>
        <w:tc>
          <w:tcPr>
            <w:cnfStyle w:val="001000000000" w:firstRow="0" w:lastRow="0" w:firstColumn="1" w:lastColumn="0" w:oddVBand="0" w:evenVBand="0" w:oddHBand="0" w:evenHBand="0" w:firstRowFirstColumn="0" w:firstRowLastColumn="0" w:lastRowFirstColumn="0" w:lastRowLastColumn="0"/>
            <w:tcW w:w="4489" w:type="dxa"/>
            <w:tcBorders>
              <w:top w:val="nil"/>
              <w:left w:val="nil"/>
              <w:bottom w:val="nil"/>
              <w:right w:val="single" w:sz="4" w:space="0" w:color="auto"/>
            </w:tcBorders>
          </w:tcPr>
          <w:p w14:paraId="1444BD6A"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Pentane</w:t>
            </w:r>
          </w:p>
        </w:tc>
        <w:tc>
          <w:tcPr>
            <w:tcW w:w="4489" w:type="dxa"/>
            <w:tcBorders>
              <w:top w:val="nil"/>
              <w:left w:val="single" w:sz="4" w:space="0" w:color="auto"/>
              <w:bottom w:val="nil"/>
              <w:right w:val="nil"/>
            </w:tcBorders>
          </w:tcPr>
          <w:p w14:paraId="2C233911"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054ABD">
              <w:rPr>
                <w:rFonts w:ascii="Arial" w:hAnsi="Arial" w:cs="Arial"/>
                <w:sz w:val="20"/>
                <w:szCs w:val="20"/>
              </w:rPr>
              <w:t>4.06 x 10</w:t>
            </w:r>
            <w:r w:rsidRPr="00054ABD">
              <w:rPr>
                <w:rFonts w:ascii="Arial" w:hAnsi="Arial" w:cs="Arial"/>
                <w:color w:val="000000"/>
                <w:sz w:val="20"/>
                <w:szCs w:val="20"/>
                <w:vertAlign w:val="superscript"/>
              </w:rPr>
              <w:t>-8</w:t>
            </w:r>
          </w:p>
        </w:tc>
      </w:tr>
      <w:tr w:rsidR="009567B5" w14:paraId="494FA848" w14:textId="77777777" w:rsidTr="00C020D8">
        <w:trPr>
          <w:trHeight w:val="267"/>
        </w:trPr>
        <w:tc>
          <w:tcPr>
            <w:cnfStyle w:val="001000000000" w:firstRow="0" w:lastRow="0" w:firstColumn="1" w:lastColumn="0" w:oddVBand="0" w:evenVBand="0" w:oddHBand="0" w:evenHBand="0" w:firstRowFirstColumn="0" w:firstRowLastColumn="0" w:lastRowFirstColumn="0" w:lastRowLastColumn="0"/>
            <w:tcW w:w="4489" w:type="dxa"/>
            <w:tcBorders>
              <w:top w:val="nil"/>
              <w:left w:val="nil"/>
              <w:bottom w:val="nil"/>
              <w:right w:val="single" w:sz="4" w:space="0" w:color="auto"/>
            </w:tcBorders>
          </w:tcPr>
          <w:p w14:paraId="654A5F5E"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Propane</w:t>
            </w:r>
          </w:p>
        </w:tc>
        <w:tc>
          <w:tcPr>
            <w:tcW w:w="4489" w:type="dxa"/>
            <w:tcBorders>
              <w:top w:val="nil"/>
              <w:left w:val="single" w:sz="4" w:space="0" w:color="auto"/>
              <w:bottom w:val="nil"/>
              <w:right w:val="nil"/>
            </w:tcBorders>
          </w:tcPr>
          <w:p w14:paraId="71399680"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054ABD">
              <w:rPr>
                <w:rFonts w:ascii="Arial" w:hAnsi="Arial" w:cs="Arial"/>
                <w:sz w:val="20"/>
                <w:szCs w:val="20"/>
              </w:rPr>
              <w:t>6.76 x 10</w:t>
            </w:r>
            <w:r w:rsidRPr="00054ABD">
              <w:rPr>
                <w:rFonts w:ascii="Arial" w:hAnsi="Arial" w:cs="Arial"/>
                <w:color w:val="000000"/>
                <w:sz w:val="20"/>
                <w:szCs w:val="20"/>
                <w:vertAlign w:val="superscript"/>
              </w:rPr>
              <w:t>-9</w:t>
            </w:r>
          </w:p>
        </w:tc>
      </w:tr>
      <w:tr w:rsidR="009567B5" w14:paraId="096DBF28" w14:textId="77777777" w:rsidTr="00C020D8">
        <w:trPr>
          <w:trHeight w:val="256"/>
        </w:trPr>
        <w:tc>
          <w:tcPr>
            <w:cnfStyle w:val="001000000000" w:firstRow="0" w:lastRow="0" w:firstColumn="1" w:lastColumn="0" w:oddVBand="0" w:evenVBand="0" w:oddHBand="0" w:evenHBand="0" w:firstRowFirstColumn="0" w:firstRowLastColumn="0" w:lastRowFirstColumn="0" w:lastRowLastColumn="0"/>
            <w:tcW w:w="4489" w:type="dxa"/>
            <w:tcBorders>
              <w:top w:val="nil"/>
              <w:left w:val="nil"/>
              <w:bottom w:val="nil"/>
              <w:right w:val="single" w:sz="4" w:space="0" w:color="auto"/>
            </w:tcBorders>
          </w:tcPr>
          <w:p w14:paraId="0FF7AEB2"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Propionic acid</w:t>
            </w:r>
          </w:p>
        </w:tc>
        <w:tc>
          <w:tcPr>
            <w:tcW w:w="4489" w:type="dxa"/>
            <w:tcBorders>
              <w:top w:val="nil"/>
              <w:left w:val="single" w:sz="4" w:space="0" w:color="auto"/>
              <w:bottom w:val="nil"/>
              <w:right w:val="nil"/>
            </w:tcBorders>
          </w:tcPr>
          <w:p w14:paraId="2BF5A2A8"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054ABD">
              <w:rPr>
                <w:rFonts w:ascii="Arial" w:hAnsi="Arial" w:cs="Arial"/>
                <w:sz w:val="20"/>
                <w:szCs w:val="20"/>
              </w:rPr>
              <w:t>6.76 x 10</w:t>
            </w:r>
            <w:r w:rsidRPr="00054ABD">
              <w:rPr>
                <w:rFonts w:ascii="Arial" w:hAnsi="Arial" w:cs="Arial"/>
                <w:color w:val="000000"/>
                <w:sz w:val="20"/>
                <w:szCs w:val="20"/>
                <w:vertAlign w:val="superscript"/>
              </w:rPr>
              <w:t>-10</w:t>
            </w:r>
          </w:p>
        </w:tc>
      </w:tr>
      <w:tr w:rsidR="009567B5" w14:paraId="5CA8DCB6" w14:textId="77777777" w:rsidTr="00C020D8">
        <w:trPr>
          <w:trHeight w:val="256"/>
        </w:trPr>
        <w:tc>
          <w:tcPr>
            <w:cnfStyle w:val="001000000000" w:firstRow="0" w:lastRow="0" w:firstColumn="1" w:lastColumn="0" w:oddVBand="0" w:evenVBand="0" w:oddHBand="0" w:evenHBand="0" w:firstRowFirstColumn="0" w:firstRowLastColumn="0" w:lastRowFirstColumn="0" w:lastRowLastColumn="0"/>
            <w:tcW w:w="4489" w:type="dxa"/>
            <w:tcBorders>
              <w:top w:val="nil"/>
              <w:left w:val="nil"/>
              <w:bottom w:val="nil"/>
              <w:right w:val="single" w:sz="4" w:space="0" w:color="auto"/>
            </w:tcBorders>
          </w:tcPr>
          <w:p w14:paraId="524B16E1"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Sulphur dioxide</w:t>
            </w:r>
          </w:p>
        </w:tc>
        <w:tc>
          <w:tcPr>
            <w:tcW w:w="4489" w:type="dxa"/>
            <w:tcBorders>
              <w:top w:val="nil"/>
              <w:left w:val="single" w:sz="4" w:space="0" w:color="auto"/>
              <w:bottom w:val="nil"/>
              <w:right w:val="nil"/>
            </w:tcBorders>
          </w:tcPr>
          <w:p w14:paraId="25B99C2B"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054ABD">
              <w:rPr>
                <w:rFonts w:ascii="Arial" w:hAnsi="Arial" w:cs="Arial"/>
                <w:sz w:val="20"/>
                <w:szCs w:val="20"/>
              </w:rPr>
              <w:t>1.86 x 10</w:t>
            </w:r>
            <w:r w:rsidRPr="00054ABD">
              <w:rPr>
                <w:rFonts w:ascii="Arial" w:hAnsi="Arial" w:cs="Arial"/>
                <w:color w:val="000000"/>
                <w:sz w:val="20"/>
                <w:szCs w:val="20"/>
                <w:vertAlign w:val="superscript"/>
              </w:rPr>
              <w:t>-8</w:t>
            </w:r>
          </w:p>
        </w:tc>
      </w:tr>
      <w:tr w:rsidR="009567B5" w14:paraId="0BA46885" w14:textId="77777777" w:rsidTr="00C020D8">
        <w:trPr>
          <w:trHeight w:val="256"/>
        </w:trPr>
        <w:tc>
          <w:tcPr>
            <w:cnfStyle w:val="001000000000" w:firstRow="0" w:lastRow="0" w:firstColumn="1" w:lastColumn="0" w:oddVBand="0" w:evenVBand="0" w:oddHBand="0" w:evenHBand="0" w:firstRowFirstColumn="0" w:firstRowLastColumn="0" w:lastRowFirstColumn="0" w:lastRowLastColumn="0"/>
            <w:tcW w:w="4489" w:type="dxa"/>
            <w:tcBorders>
              <w:top w:val="nil"/>
              <w:left w:val="nil"/>
              <w:bottom w:val="nil"/>
              <w:right w:val="single" w:sz="4" w:space="0" w:color="auto"/>
            </w:tcBorders>
          </w:tcPr>
          <w:p w14:paraId="552809B5"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Toluene</w:t>
            </w:r>
          </w:p>
        </w:tc>
        <w:tc>
          <w:tcPr>
            <w:tcW w:w="4489" w:type="dxa"/>
            <w:tcBorders>
              <w:top w:val="nil"/>
              <w:left w:val="single" w:sz="4" w:space="0" w:color="auto"/>
              <w:bottom w:val="nil"/>
              <w:right w:val="nil"/>
            </w:tcBorders>
          </w:tcPr>
          <w:p w14:paraId="7C094B8D"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6.76 x 10</w:t>
            </w:r>
            <w:r w:rsidRPr="00054ABD">
              <w:rPr>
                <w:rFonts w:ascii="Arial" w:hAnsi="Arial" w:cs="Arial"/>
                <w:color w:val="000000"/>
                <w:sz w:val="20"/>
                <w:szCs w:val="20"/>
                <w:vertAlign w:val="superscript"/>
              </w:rPr>
              <w:t>-9</w:t>
            </w:r>
          </w:p>
        </w:tc>
      </w:tr>
      <w:tr w:rsidR="009567B5" w14:paraId="64078584" w14:textId="77777777" w:rsidTr="00C020D8">
        <w:trPr>
          <w:trHeight w:val="256"/>
        </w:trPr>
        <w:tc>
          <w:tcPr>
            <w:cnfStyle w:val="001000000000" w:firstRow="0" w:lastRow="0" w:firstColumn="1" w:lastColumn="0" w:oddVBand="0" w:evenVBand="0" w:oddHBand="0" w:evenHBand="0" w:firstRowFirstColumn="0" w:firstRowLastColumn="0" w:lastRowFirstColumn="0" w:lastRowLastColumn="0"/>
            <w:tcW w:w="4489" w:type="dxa"/>
            <w:tcBorders>
              <w:top w:val="nil"/>
              <w:left w:val="nil"/>
              <w:right w:val="single" w:sz="4" w:space="0" w:color="auto"/>
            </w:tcBorders>
          </w:tcPr>
          <w:p w14:paraId="3D4A7961" w14:textId="77777777" w:rsidR="009567B5" w:rsidRPr="00054ABD" w:rsidRDefault="009567B5" w:rsidP="00C020D8">
            <w:pPr>
              <w:jc w:val="both"/>
              <w:rPr>
                <w:rFonts w:ascii="Arial" w:hAnsi="Arial" w:cs="Arial"/>
                <w:b w:val="0"/>
                <w:bCs w:val="0"/>
                <w:sz w:val="20"/>
                <w:szCs w:val="20"/>
              </w:rPr>
            </w:pPr>
            <w:proofErr w:type="spellStart"/>
            <w:r w:rsidRPr="00054ABD">
              <w:rPr>
                <w:rFonts w:ascii="Arial" w:hAnsi="Arial" w:cs="Arial"/>
                <w:b w:val="0"/>
                <w:bCs w:val="0"/>
                <w:sz w:val="20"/>
                <w:szCs w:val="20"/>
              </w:rPr>
              <w:t>Monoethanolamine</w:t>
            </w:r>
            <w:proofErr w:type="spellEnd"/>
          </w:p>
        </w:tc>
        <w:tc>
          <w:tcPr>
            <w:tcW w:w="4489" w:type="dxa"/>
            <w:tcBorders>
              <w:top w:val="nil"/>
              <w:left w:val="single" w:sz="4" w:space="0" w:color="auto"/>
              <w:right w:val="nil"/>
            </w:tcBorders>
          </w:tcPr>
          <w:p w14:paraId="6D1F4784"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054ABD">
              <w:rPr>
                <w:rFonts w:ascii="Arial" w:hAnsi="Arial" w:cs="Arial"/>
                <w:sz w:val="20"/>
                <w:szCs w:val="20"/>
              </w:rPr>
              <w:t>2.05 x 10</w:t>
            </w:r>
            <w:r w:rsidRPr="00054ABD">
              <w:rPr>
                <w:rFonts w:ascii="Arial" w:hAnsi="Arial" w:cs="Arial"/>
                <w:color w:val="000000"/>
                <w:sz w:val="20"/>
                <w:szCs w:val="20"/>
                <w:vertAlign w:val="superscript"/>
              </w:rPr>
              <w:t>-6</w:t>
            </w:r>
          </w:p>
        </w:tc>
      </w:tr>
    </w:tbl>
    <w:p w14:paraId="602B52D4" w14:textId="77777777" w:rsidR="004C082E" w:rsidRPr="0043057D" w:rsidRDefault="004C082E" w:rsidP="0043057D">
      <w:pPr>
        <w:jc w:val="both"/>
        <w:rPr>
          <w:rFonts w:ascii="Arial" w:hAnsi="Arial" w:cs="Arial"/>
          <w:sz w:val="20"/>
          <w:szCs w:val="20"/>
        </w:rPr>
      </w:pPr>
    </w:p>
    <w:p w14:paraId="351AFD7B" w14:textId="1D4447A1" w:rsidR="009567B5" w:rsidRDefault="009567B5" w:rsidP="009567B5"/>
    <w:p w14:paraId="1E6299A4" w14:textId="01792409" w:rsidR="009567B5" w:rsidRPr="00146D5D" w:rsidRDefault="009567B5" w:rsidP="00146D5D">
      <w:pPr>
        <w:pStyle w:val="Caption"/>
        <w:keepNext/>
        <w:spacing w:after="0"/>
        <w:jc w:val="both"/>
        <w:rPr>
          <w:rFonts w:ascii="Arial" w:hAnsi="Arial" w:cs="Arial"/>
        </w:rPr>
      </w:pPr>
      <w:bookmarkStart w:id="4" w:name="_Ref70185999"/>
      <w:r w:rsidRPr="00146D5D">
        <w:rPr>
          <w:rFonts w:ascii="Arial" w:hAnsi="Arial" w:cs="Arial"/>
        </w:rPr>
        <w:lastRenderedPageBreak/>
        <w:t xml:space="preserve">Table </w:t>
      </w:r>
      <w:r w:rsidR="007C7D0A">
        <w:rPr>
          <w:rFonts w:ascii="Arial" w:hAnsi="Arial" w:cs="Arial"/>
        </w:rPr>
        <w:t>S</w:t>
      </w:r>
      <w:r w:rsidRPr="00146D5D">
        <w:rPr>
          <w:rFonts w:ascii="Arial" w:hAnsi="Arial" w:cs="Arial"/>
        </w:rPr>
        <w:fldChar w:fldCharType="begin"/>
      </w:r>
      <w:r w:rsidRPr="00146D5D">
        <w:rPr>
          <w:rFonts w:ascii="Arial" w:hAnsi="Arial" w:cs="Arial"/>
        </w:rPr>
        <w:instrText xml:space="preserve"> SEQ Table \* ARABIC </w:instrText>
      </w:r>
      <w:r w:rsidRPr="00146D5D">
        <w:rPr>
          <w:rFonts w:ascii="Arial" w:hAnsi="Arial" w:cs="Arial"/>
        </w:rPr>
        <w:fldChar w:fldCharType="separate"/>
      </w:r>
      <w:r w:rsidR="00243CB7">
        <w:rPr>
          <w:rFonts w:ascii="Arial" w:hAnsi="Arial" w:cs="Arial"/>
          <w:noProof/>
        </w:rPr>
        <w:t>4</w:t>
      </w:r>
      <w:r w:rsidRPr="00146D5D">
        <w:rPr>
          <w:rFonts w:ascii="Arial" w:hAnsi="Arial" w:cs="Arial"/>
          <w:noProof/>
        </w:rPr>
        <w:fldChar w:fldCharType="end"/>
      </w:r>
      <w:bookmarkEnd w:id="4"/>
      <w:r w:rsidRPr="00146D5D">
        <w:rPr>
          <w:rFonts w:ascii="Arial" w:hAnsi="Arial" w:cs="Arial"/>
        </w:rPr>
        <w:t xml:space="preserve">: Materials for a current and potential future 1 MW PEM stack with the current estimates used to parametrise the LCA model in this study. Source: </w:t>
      </w:r>
      <w:proofErr w:type="spellStart"/>
      <w:r w:rsidRPr="00146D5D">
        <w:rPr>
          <w:rFonts w:ascii="Arial" w:hAnsi="Arial" w:cs="Arial"/>
        </w:rPr>
        <w:t>Bareiß</w:t>
      </w:r>
      <w:proofErr w:type="spellEnd"/>
      <w:r w:rsidRPr="00146D5D">
        <w:rPr>
          <w:rFonts w:ascii="Arial" w:hAnsi="Arial" w:cs="Arial"/>
        </w:rPr>
        <w:t xml:space="preserve"> et al. </w:t>
      </w:r>
      <w:r w:rsidRPr="00146D5D">
        <w:rPr>
          <w:rFonts w:ascii="Arial" w:hAnsi="Arial" w:cs="Arial"/>
        </w:rPr>
        <w:fldChar w:fldCharType="begin" w:fldLock="1"/>
      </w:r>
      <w:r w:rsidR="00050D6C">
        <w:rPr>
          <w:rFonts w:ascii="Arial" w:hAnsi="Arial" w:cs="Arial"/>
        </w:rPr>
        <w:instrText>ADDIN CSL_CITATION {"citationItems":[{"id":"ITEM-1","itemData":{"DOI":"10.1016/j.apenergy.2019.01.001","ISSN":"03062619","abstract":"This study discusses the potential of H2 production by proton exchange membrane water electrolysis as an effective option to reduce greenhouse gas emissions in the hydrogen sector. To address this topic, a life cycle assessment is conducted to compare proton exchange membrane water electrolysis versus the reference process - steam methane reforming. As a relevant result we show that hydrogen production via proton exchange membrane water electrolysis is a promising technology to reduce CO2 emissions of the hydrogen sector by up to 75%, if the electrolysis system runs exclusively on electricity generated from renewable energy sources. In a future (2050) base-load operation mode emissions are comparable to the reference system. The results for the global warming potential show a strong reduction of greenhouse gas emissions by 2050. The thoroughly and in-depth modeled components of the electrolyser have negligible influence on impact categories; thus, emissions are mainly determined by the electricity mix. With 2017 electricity mix of Germany, the global warming potential corresponds to 29.5 kg CO2 eq. for each kg of produced hydrogen. Referring to the electricity mix we received from an energy model emissions can be reduced to 11.5 kg CO2 eq. in base-load operation by the year 2050. Using only the 3000 h of excess power from renewables in a year will allow for the reduction of the global warming potential to 3.3 kg CO2 eq. From this result we see that an environmentally friendly electricity mix is crucial for reducing the global warming impact of electrolytic hydrogen.","author":[{"dropping-particle":"","family":"Bareiß","given":"Kay","non-dropping-particle":"","parse-names":false,"suffix":""},{"dropping-particle":"","family":"la Rua","given":"Cristina","non-dropping-particle":"de","parse-names":false,"suffix":""},{"dropping-particle":"","family":"Möckl","given":"Maximilian","non-dropping-particle":"","parse-names":false,"suffix":""},{"dropping-particle":"","family":"Hamacher","given":"Thomas","non-dropping-particle":"","parse-names":false,"suffix":""}],"container-title":"Applied Energy","id":"ITEM-1","issued":{"date-parts":[["2019","3","1"]]},"page":"862-872","publisher":"Elsevier Ltd","title":"Life cycle assessment of hydrogen from proton exchange membrane water electrolysis in future energy systems","type":"article-journal","volume":"237"},"uris":["http://www.mendeley.com/documents/?uuid=062db9f6-3148-3262-bcd7-11d5c336e32c"]}],"mendeley":{"formattedCitation":"&lt;sup&gt;14&lt;/sup&gt;","plainTextFormattedCitation":"14","previouslyFormattedCitation":"&lt;sup&gt;13&lt;/sup&gt;"},"properties":{"noteIndex":0},"schema":"https://github.com/citation-style-language/schema/raw/master/csl-citation.json"}</w:instrText>
      </w:r>
      <w:r w:rsidRPr="00146D5D">
        <w:rPr>
          <w:rFonts w:ascii="Arial" w:hAnsi="Arial" w:cs="Arial"/>
        </w:rPr>
        <w:fldChar w:fldCharType="separate"/>
      </w:r>
      <w:r w:rsidR="00050D6C" w:rsidRPr="00050D6C">
        <w:rPr>
          <w:rFonts w:ascii="Arial" w:hAnsi="Arial" w:cs="Arial"/>
          <w:i w:val="0"/>
          <w:noProof/>
          <w:vertAlign w:val="superscript"/>
        </w:rPr>
        <w:t>14</w:t>
      </w:r>
      <w:r w:rsidRPr="00146D5D">
        <w:rPr>
          <w:rFonts w:ascii="Arial" w:hAnsi="Arial" w:cs="Arial"/>
        </w:rPr>
        <w:fldChar w:fldCharType="end"/>
      </w:r>
      <w:r w:rsidRPr="00146D5D">
        <w:rPr>
          <w:rFonts w:ascii="Arial" w:hAnsi="Arial" w:cs="Arial"/>
        </w:rPr>
        <w:t xml:space="preserve">. </w:t>
      </w:r>
    </w:p>
    <w:tbl>
      <w:tblPr>
        <w:tblStyle w:val="GridTable1Light"/>
        <w:tblpPr w:leftFromText="180" w:rightFromText="180" w:vertAnchor="text" w:horzAnchor="margin" w:tblpY="263"/>
        <w:tblW w:w="0" w:type="auto"/>
        <w:tblLook w:val="04A0" w:firstRow="1" w:lastRow="0" w:firstColumn="1" w:lastColumn="0" w:noHBand="0" w:noVBand="1"/>
      </w:tblPr>
      <w:tblGrid>
        <w:gridCol w:w="2552"/>
        <w:gridCol w:w="2977"/>
        <w:gridCol w:w="3487"/>
      </w:tblGrid>
      <w:tr w:rsidR="009567B5" w14:paraId="01C4F180" w14:textId="77777777" w:rsidTr="00C020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auto"/>
              <w:left w:val="nil"/>
              <w:right w:val="single" w:sz="4" w:space="0" w:color="auto"/>
            </w:tcBorders>
          </w:tcPr>
          <w:p w14:paraId="47ACFD2C" w14:textId="77777777" w:rsidR="009567B5" w:rsidRPr="00054ABD" w:rsidRDefault="009567B5" w:rsidP="00C020D8">
            <w:pPr>
              <w:jc w:val="both"/>
              <w:rPr>
                <w:rFonts w:ascii="Arial" w:hAnsi="Arial" w:cs="Arial"/>
                <w:sz w:val="20"/>
                <w:szCs w:val="20"/>
              </w:rPr>
            </w:pPr>
            <w:r w:rsidRPr="00054ABD">
              <w:rPr>
                <w:rFonts w:ascii="Arial" w:hAnsi="Arial" w:cs="Arial"/>
                <w:sz w:val="20"/>
                <w:szCs w:val="20"/>
              </w:rPr>
              <w:t>Material</w:t>
            </w:r>
          </w:p>
        </w:tc>
        <w:tc>
          <w:tcPr>
            <w:tcW w:w="2977" w:type="dxa"/>
            <w:tcBorders>
              <w:top w:val="single" w:sz="4" w:space="0" w:color="auto"/>
              <w:left w:val="single" w:sz="4" w:space="0" w:color="auto"/>
              <w:right w:val="single" w:sz="4" w:space="0" w:color="auto"/>
            </w:tcBorders>
          </w:tcPr>
          <w:p w14:paraId="52795D98" w14:textId="77777777" w:rsidR="009567B5" w:rsidRPr="00054ABD" w:rsidRDefault="009567B5" w:rsidP="00C020D8">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Mass of current system (kg)</w:t>
            </w:r>
          </w:p>
        </w:tc>
        <w:tc>
          <w:tcPr>
            <w:tcW w:w="3487" w:type="dxa"/>
            <w:tcBorders>
              <w:top w:val="single" w:sz="4" w:space="0" w:color="auto"/>
              <w:left w:val="single" w:sz="4" w:space="0" w:color="auto"/>
              <w:right w:val="nil"/>
            </w:tcBorders>
          </w:tcPr>
          <w:p w14:paraId="15087D8B" w14:textId="77777777" w:rsidR="009567B5" w:rsidRPr="00054ABD" w:rsidRDefault="009567B5" w:rsidP="00C020D8">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Mass of possible future system (kg)</w:t>
            </w:r>
          </w:p>
        </w:tc>
      </w:tr>
      <w:tr w:rsidR="009567B5" w14:paraId="748C74BB" w14:textId="77777777" w:rsidTr="00C020D8">
        <w:tc>
          <w:tcPr>
            <w:cnfStyle w:val="001000000000" w:firstRow="0" w:lastRow="0" w:firstColumn="1" w:lastColumn="0" w:oddVBand="0" w:evenVBand="0" w:oddHBand="0" w:evenHBand="0" w:firstRowFirstColumn="0" w:firstRowLastColumn="0" w:lastRowFirstColumn="0" w:lastRowLastColumn="0"/>
            <w:tcW w:w="2552" w:type="dxa"/>
            <w:tcBorders>
              <w:top w:val="single" w:sz="12" w:space="0" w:color="666666" w:themeColor="text1" w:themeTint="99"/>
              <w:left w:val="nil"/>
              <w:bottom w:val="nil"/>
              <w:right w:val="single" w:sz="4" w:space="0" w:color="auto"/>
            </w:tcBorders>
          </w:tcPr>
          <w:p w14:paraId="7B717138"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Titanium</w:t>
            </w:r>
          </w:p>
        </w:tc>
        <w:tc>
          <w:tcPr>
            <w:tcW w:w="2977" w:type="dxa"/>
            <w:tcBorders>
              <w:top w:val="single" w:sz="12" w:space="0" w:color="666666" w:themeColor="text1" w:themeTint="99"/>
              <w:left w:val="single" w:sz="4" w:space="0" w:color="auto"/>
              <w:bottom w:val="nil"/>
              <w:right w:val="single" w:sz="4" w:space="0" w:color="auto"/>
            </w:tcBorders>
          </w:tcPr>
          <w:p w14:paraId="4A117A9D"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528</w:t>
            </w:r>
          </w:p>
        </w:tc>
        <w:tc>
          <w:tcPr>
            <w:tcW w:w="3487" w:type="dxa"/>
            <w:tcBorders>
              <w:top w:val="single" w:sz="12" w:space="0" w:color="666666" w:themeColor="text1" w:themeTint="99"/>
              <w:left w:val="single" w:sz="4" w:space="0" w:color="auto"/>
              <w:bottom w:val="nil"/>
              <w:right w:val="nil"/>
            </w:tcBorders>
          </w:tcPr>
          <w:p w14:paraId="1B99C0F7"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37</w:t>
            </w:r>
          </w:p>
        </w:tc>
      </w:tr>
      <w:tr w:rsidR="009567B5" w14:paraId="57A29AAE" w14:textId="77777777" w:rsidTr="00C020D8">
        <w:tc>
          <w:tcPr>
            <w:cnfStyle w:val="001000000000" w:firstRow="0" w:lastRow="0" w:firstColumn="1" w:lastColumn="0" w:oddVBand="0" w:evenVBand="0" w:oddHBand="0" w:evenHBand="0" w:firstRowFirstColumn="0" w:firstRowLastColumn="0" w:lastRowFirstColumn="0" w:lastRowLastColumn="0"/>
            <w:tcW w:w="2552" w:type="dxa"/>
            <w:tcBorders>
              <w:top w:val="nil"/>
              <w:left w:val="nil"/>
              <w:bottom w:val="nil"/>
              <w:right w:val="single" w:sz="4" w:space="0" w:color="auto"/>
            </w:tcBorders>
          </w:tcPr>
          <w:p w14:paraId="4B672231"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Aluminium</w:t>
            </w:r>
          </w:p>
        </w:tc>
        <w:tc>
          <w:tcPr>
            <w:tcW w:w="2977" w:type="dxa"/>
            <w:tcBorders>
              <w:top w:val="nil"/>
              <w:left w:val="single" w:sz="4" w:space="0" w:color="auto"/>
              <w:bottom w:val="nil"/>
              <w:right w:val="single" w:sz="4" w:space="0" w:color="auto"/>
            </w:tcBorders>
          </w:tcPr>
          <w:p w14:paraId="4E97A02B"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27</w:t>
            </w:r>
          </w:p>
        </w:tc>
        <w:tc>
          <w:tcPr>
            <w:tcW w:w="3487" w:type="dxa"/>
            <w:tcBorders>
              <w:top w:val="nil"/>
              <w:left w:val="single" w:sz="4" w:space="0" w:color="auto"/>
              <w:bottom w:val="nil"/>
              <w:right w:val="nil"/>
            </w:tcBorders>
          </w:tcPr>
          <w:p w14:paraId="29E880D1"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54</w:t>
            </w:r>
          </w:p>
        </w:tc>
      </w:tr>
      <w:tr w:rsidR="009567B5" w14:paraId="727E9595" w14:textId="77777777" w:rsidTr="00C020D8">
        <w:tc>
          <w:tcPr>
            <w:cnfStyle w:val="001000000000" w:firstRow="0" w:lastRow="0" w:firstColumn="1" w:lastColumn="0" w:oddVBand="0" w:evenVBand="0" w:oddHBand="0" w:evenHBand="0" w:firstRowFirstColumn="0" w:firstRowLastColumn="0" w:lastRowFirstColumn="0" w:lastRowLastColumn="0"/>
            <w:tcW w:w="2552" w:type="dxa"/>
            <w:tcBorders>
              <w:top w:val="nil"/>
              <w:left w:val="nil"/>
              <w:bottom w:val="nil"/>
              <w:right w:val="single" w:sz="4" w:space="0" w:color="auto"/>
            </w:tcBorders>
          </w:tcPr>
          <w:p w14:paraId="1414ED5D"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Stainless steel</w:t>
            </w:r>
          </w:p>
        </w:tc>
        <w:tc>
          <w:tcPr>
            <w:tcW w:w="2977" w:type="dxa"/>
            <w:tcBorders>
              <w:top w:val="nil"/>
              <w:left w:val="single" w:sz="4" w:space="0" w:color="auto"/>
              <w:bottom w:val="nil"/>
              <w:right w:val="single" w:sz="4" w:space="0" w:color="auto"/>
            </w:tcBorders>
          </w:tcPr>
          <w:p w14:paraId="01E2CEB3"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100</w:t>
            </w:r>
          </w:p>
        </w:tc>
        <w:tc>
          <w:tcPr>
            <w:tcW w:w="3487" w:type="dxa"/>
            <w:tcBorders>
              <w:top w:val="nil"/>
              <w:left w:val="single" w:sz="4" w:space="0" w:color="auto"/>
              <w:bottom w:val="nil"/>
              <w:right w:val="nil"/>
            </w:tcBorders>
          </w:tcPr>
          <w:p w14:paraId="75204832"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40</w:t>
            </w:r>
          </w:p>
        </w:tc>
      </w:tr>
      <w:tr w:rsidR="009567B5" w14:paraId="6F7AF8CB" w14:textId="77777777" w:rsidTr="00C020D8">
        <w:tc>
          <w:tcPr>
            <w:cnfStyle w:val="001000000000" w:firstRow="0" w:lastRow="0" w:firstColumn="1" w:lastColumn="0" w:oddVBand="0" w:evenVBand="0" w:oddHBand="0" w:evenHBand="0" w:firstRowFirstColumn="0" w:firstRowLastColumn="0" w:lastRowFirstColumn="0" w:lastRowLastColumn="0"/>
            <w:tcW w:w="2552" w:type="dxa"/>
            <w:tcBorders>
              <w:top w:val="nil"/>
              <w:left w:val="nil"/>
              <w:bottom w:val="nil"/>
              <w:right w:val="single" w:sz="4" w:space="0" w:color="auto"/>
            </w:tcBorders>
          </w:tcPr>
          <w:p w14:paraId="7D3D69CA"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Copper</w:t>
            </w:r>
          </w:p>
        </w:tc>
        <w:tc>
          <w:tcPr>
            <w:tcW w:w="2977" w:type="dxa"/>
            <w:tcBorders>
              <w:top w:val="nil"/>
              <w:left w:val="single" w:sz="4" w:space="0" w:color="auto"/>
              <w:bottom w:val="nil"/>
              <w:right w:val="single" w:sz="4" w:space="0" w:color="auto"/>
            </w:tcBorders>
          </w:tcPr>
          <w:p w14:paraId="3810638B"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4.5</w:t>
            </w:r>
          </w:p>
        </w:tc>
        <w:tc>
          <w:tcPr>
            <w:tcW w:w="3487" w:type="dxa"/>
            <w:tcBorders>
              <w:top w:val="nil"/>
              <w:left w:val="single" w:sz="4" w:space="0" w:color="auto"/>
              <w:bottom w:val="nil"/>
              <w:right w:val="nil"/>
            </w:tcBorders>
          </w:tcPr>
          <w:p w14:paraId="67C79A65"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9</w:t>
            </w:r>
          </w:p>
        </w:tc>
      </w:tr>
      <w:tr w:rsidR="009567B5" w14:paraId="69036F2C" w14:textId="77777777" w:rsidTr="00C020D8">
        <w:tc>
          <w:tcPr>
            <w:cnfStyle w:val="001000000000" w:firstRow="0" w:lastRow="0" w:firstColumn="1" w:lastColumn="0" w:oddVBand="0" w:evenVBand="0" w:oddHBand="0" w:evenHBand="0" w:firstRowFirstColumn="0" w:firstRowLastColumn="0" w:lastRowFirstColumn="0" w:lastRowLastColumn="0"/>
            <w:tcW w:w="2552" w:type="dxa"/>
            <w:tcBorders>
              <w:top w:val="nil"/>
              <w:left w:val="nil"/>
              <w:bottom w:val="nil"/>
              <w:right w:val="single" w:sz="4" w:space="0" w:color="auto"/>
            </w:tcBorders>
          </w:tcPr>
          <w:p w14:paraId="5BA7775C" w14:textId="77777777" w:rsidR="009567B5" w:rsidRPr="00054ABD" w:rsidRDefault="009567B5" w:rsidP="00C020D8">
            <w:pPr>
              <w:jc w:val="both"/>
              <w:rPr>
                <w:rFonts w:ascii="Arial" w:hAnsi="Arial" w:cs="Arial"/>
                <w:b w:val="0"/>
                <w:bCs w:val="0"/>
                <w:sz w:val="20"/>
                <w:szCs w:val="20"/>
              </w:rPr>
            </w:pPr>
            <w:proofErr w:type="spellStart"/>
            <w:r w:rsidRPr="00054ABD">
              <w:rPr>
                <w:rFonts w:ascii="Arial" w:hAnsi="Arial" w:cs="Arial"/>
                <w:b w:val="0"/>
                <w:bCs w:val="0"/>
                <w:sz w:val="20"/>
                <w:szCs w:val="20"/>
              </w:rPr>
              <w:t>Nafion</w:t>
            </w:r>
            <w:proofErr w:type="spellEnd"/>
            <w:r w:rsidRPr="00054ABD">
              <w:rPr>
                <w:rFonts w:ascii="Arial" w:hAnsi="Arial" w:cs="Arial"/>
                <w:b w:val="0"/>
                <w:bCs w:val="0"/>
                <w:sz w:val="20"/>
                <w:szCs w:val="20"/>
              </w:rPr>
              <w:t>®</w:t>
            </w:r>
          </w:p>
        </w:tc>
        <w:tc>
          <w:tcPr>
            <w:tcW w:w="2977" w:type="dxa"/>
            <w:tcBorders>
              <w:top w:val="nil"/>
              <w:left w:val="single" w:sz="4" w:space="0" w:color="auto"/>
              <w:bottom w:val="nil"/>
              <w:right w:val="single" w:sz="4" w:space="0" w:color="auto"/>
            </w:tcBorders>
          </w:tcPr>
          <w:p w14:paraId="429AE8C0"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16</w:t>
            </w:r>
          </w:p>
        </w:tc>
        <w:tc>
          <w:tcPr>
            <w:tcW w:w="3487" w:type="dxa"/>
            <w:tcBorders>
              <w:top w:val="nil"/>
              <w:left w:val="single" w:sz="4" w:space="0" w:color="auto"/>
              <w:bottom w:val="nil"/>
              <w:right w:val="nil"/>
            </w:tcBorders>
          </w:tcPr>
          <w:p w14:paraId="4BDFEFE8"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2</w:t>
            </w:r>
          </w:p>
        </w:tc>
      </w:tr>
      <w:tr w:rsidR="009567B5" w14:paraId="2DB1426A" w14:textId="77777777" w:rsidTr="00C020D8">
        <w:tc>
          <w:tcPr>
            <w:cnfStyle w:val="001000000000" w:firstRow="0" w:lastRow="0" w:firstColumn="1" w:lastColumn="0" w:oddVBand="0" w:evenVBand="0" w:oddHBand="0" w:evenHBand="0" w:firstRowFirstColumn="0" w:firstRowLastColumn="0" w:lastRowFirstColumn="0" w:lastRowLastColumn="0"/>
            <w:tcW w:w="2552" w:type="dxa"/>
            <w:tcBorders>
              <w:top w:val="nil"/>
              <w:left w:val="nil"/>
              <w:bottom w:val="nil"/>
              <w:right w:val="single" w:sz="4" w:space="0" w:color="auto"/>
            </w:tcBorders>
          </w:tcPr>
          <w:p w14:paraId="43CCC74C"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Activated carbon</w:t>
            </w:r>
          </w:p>
        </w:tc>
        <w:tc>
          <w:tcPr>
            <w:tcW w:w="2977" w:type="dxa"/>
            <w:tcBorders>
              <w:top w:val="nil"/>
              <w:left w:val="single" w:sz="4" w:space="0" w:color="auto"/>
              <w:bottom w:val="nil"/>
              <w:right w:val="single" w:sz="4" w:space="0" w:color="auto"/>
            </w:tcBorders>
          </w:tcPr>
          <w:p w14:paraId="2206800F"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9</w:t>
            </w:r>
          </w:p>
        </w:tc>
        <w:tc>
          <w:tcPr>
            <w:tcW w:w="3487" w:type="dxa"/>
            <w:tcBorders>
              <w:top w:val="nil"/>
              <w:left w:val="single" w:sz="4" w:space="0" w:color="auto"/>
              <w:bottom w:val="nil"/>
              <w:right w:val="nil"/>
            </w:tcBorders>
          </w:tcPr>
          <w:p w14:paraId="6E6B83EE"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4.5</w:t>
            </w:r>
          </w:p>
        </w:tc>
      </w:tr>
      <w:tr w:rsidR="009567B5" w14:paraId="7F4B0A60" w14:textId="77777777" w:rsidTr="00C020D8">
        <w:tc>
          <w:tcPr>
            <w:cnfStyle w:val="001000000000" w:firstRow="0" w:lastRow="0" w:firstColumn="1" w:lastColumn="0" w:oddVBand="0" w:evenVBand="0" w:oddHBand="0" w:evenHBand="0" w:firstRowFirstColumn="0" w:firstRowLastColumn="0" w:lastRowFirstColumn="0" w:lastRowLastColumn="0"/>
            <w:tcW w:w="2552" w:type="dxa"/>
            <w:tcBorders>
              <w:top w:val="nil"/>
              <w:left w:val="nil"/>
              <w:bottom w:val="nil"/>
              <w:right w:val="single" w:sz="4" w:space="0" w:color="auto"/>
            </w:tcBorders>
          </w:tcPr>
          <w:p w14:paraId="044DA737"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Iridium</w:t>
            </w:r>
          </w:p>
        </w:tc>
        <w:tc>
          <w:tcPr>
            <w:tcW w:w="2977" w:type="dxa"/>
            <w:tcBorders>
              <w:top w:val="nil"/>
              <w:left w:val="single" w:sz="4" w:space="0" w:color="auto"/>
              <w:bottom w:val="nil"/>
              <w:right w:val="single" w:sz="4" w:space="0" w:color="auto"/>
            </w:tcBorders>
          </w:tcPr>
          <w:p w14:paraId="3214A021"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0.75</w:t>
            </w:r>
          </w:p>
        </w:tc>
        <w:tc>
          <w:tcPr>
            <w:tcW w:w="3487" w:type="dxa"/>
            <w:tcBorders>
              <w:top w:val="nil"/>
              <w:left w:val="single" w:sz="4" w:space="0" w:color="auto"/>
              <w:bottom w:val="nil"/>
              <w:right w:val="nil"/>
            </w:tcBorders>
          </w:tcPr>
          <w:p w14:paraId="5C4FDFD6"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0.037</w:t>
            </w:r>
          </w:p>
        </w:tc>
      </w:tr>
      <w:tr w:rsidR="009567B5" w14:paraId="51007100" w14:textId="77777777" w:rsidTr="00C020D8">
        <w:tc>
          <w:tcPr>
            <w:cnfStyle w:val="001000000000" w:firstRow="0" w:lastRow="0" w:firstColumn="1" w:lastColumn="0" w:oddVBand="0" w:evenVBand="0" w:oddHBand="0" w:evenHBand="0" w:firstRowFirstColumn="0" w:firstRowLastColumn="0" w:lastRowFirstColumn="0" w:lastRowLastColumn="0"/>
            <w:tcW w:w="2552" w:type="dxa"/>
            <w:tcBorders>
              <w:top w:val="nil"/>
              <w:left w:val="nil"/>
              <w:right w:val="single" w:sz="4" w:space="0" w:color="auto"/>
            </w:tcBorders>
          </w:tcPr>
          <w:p w14:paraId="7CDA0BD1" w14:textId="77777777" w:rsidR="009567B5" w:rsidRPr="00054ABD" w:rsidRDefault="009567B5" w:rsidP="00C020D8">
            <w:pPr>
              <w:jc w:val="both"/>
              <w:rPr>
                <w:rFonts w:ascii="Arial" w:hAnsi="Arial" w:cs="Arial"/>
                <w:b w:val="0"/>
                <w:bCs w:val="0"/>
                <w:sz w:val="20"/>
                <w:szCs w:val="20"/>
              </w:rPr>
            </w:pPr>
            <w:r w:rsidRPr="00054ABD">
              <w:rPr>
                <w:rFonts w:ascii="Arial" w:hAnsi="Arial" w:cs="Arial"/>
                <w:b w:val="0"/>
                <w:bCs w:val="0"/>
                <w:sz w:val="20"/>
                <w:szCs w:val="20"/>
              </w:rPr>
              <w:t>Platinum</w:t>
            </w:r>
          </w:p>
        </w:tc>
        <w:tc>
          <w:tcPr>
            <w:tcW w:w="2977" w:type="dxa"/>
            <w:tcBorders>
              <w:top w:val="nil"/>
              <w:left w:val="single" w:sz="4" w:space="0" w:color="auto"/>
              <w:right w:val="single" w:sz="4" w:space="0" w:color="auto"/>
            </w:tcBorders>
          </w:tcPr>
          <w:p w14:paraId="5404565F"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0.075</w:t>
            </w:r>
          </w:p>
        </w:tc>
        <w:tc>
          <w:tcPr>
            <w:tcW w:w="3487" w:type="dxa"/>
            <w:tcBorders>
              <w:top w:val="nil"/>
              <w:left w:val="single" w:sz="4" w:space="0" w:color="auto"/>
              <w:right w:val="nil"/>
            </w:tcBorders>
          </w:tcPr>
          <w:p w14:paraId="457267AF" w14:textId="77777777" w:rsidR="009567B5" w:rsidRPr="00054ABD" w:rsidRDefault="009567B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0.01</w:t>
            </w:r>
          </w:p>
        </w:tc>
      </w:tr>
    </w:tbl>
    <w:p w14:paraId="2C8DE14F" w14:textId="77777777" w:rsidR="00E250DF" w:rsidRDefault="00E250DF" w:rsidP="00E250DF">
      <w:pPr>
        <w:jc w:val="both"/>
      </w:pPr>
    </w:p>
    <w:p w14:paraId="5A095290" w14:textId="6B815838" w:rsidR="00E250DF" w:rsidRPr="00146D5D" w:rsidRDefault="00E250DF" w:rsidP="00146D5D">
      <w:pPr>
        <w:pStyle w:val="Caption"/>
        <w:keepNext/>
        <w:spacing w:after="0"/>
        <w:jc w:val="both"/>
        <w:rPr>
          <w:rFonts w:ascii="Arial" w:hAnsi="Arial" w:cs="Arial"/>
        </w:rPr>
      </w:pPr>
      <w:bookmarkStart w:id="5" w:name="_Ref70186027"/>
      <w:r w:rsidRPr="00146D5D">
        <w:rPr>
          <w:rFonts w:ascii="Arial" w:hAnsi="Arial" w:cs="Arial"/>
        </w:rPr>
        <w:t xml:space="preserve">Table </w:t>
      </w:r>
      <w:r w:rsidR="007C7D0A">
        <w:rPr>
          <w:rFonts w:ascii="Arial" w:hAnsi="Arial" w:cs="Arial"/>
        </w:rPr>
        <w:t>S</w:t>
      </w:r>
      <w:r w:rsidRPr="00146D5D">
        <w:rPr>
          <w:rFonts w:ascii="Arial" w:hAnsi="Arial" w:cs="Arial"/>
        </w:rPr>
        <w:fldChar w:fldCharType="begin"/>
      </w:r>
      <w:r w:rsidRPr="00146D5D">
        <w:rPr>
          <w:rFonts w:ascii="Arial" w:hAnsi="Arial" w:cs="Arial"/>
        </w:rPr>
        <w:instrText xml:space="preserve"> SEQ Table \* ARABIC </w:instrText>
      </w:r>
      <w:r w:rsidRPr="00146D5D">
        <w:rPr>
          <w:rFonts w:ascii="Arial" w:hAnsi="Arial" w:cs="Arial"/>
        </w:rPr>
        <w:fldChar w:fldCharType="separate"/>
      </w:r>
      <w:r w:rsidR="00243CB7">
        <w:rPr>
          <w:rFonts w:ascii="Arial" w:hAnsi="Arial" w:cs="Arial"/>
          <w:noProof/>
        </w:rPr>
        <w:t>5</w:t>
      </w:r>
      <w:r w:rsidRPr="00146D5D">
        <w:rPr>
          <w:rFonts w:ascii="Arial" w:hAnsi="Arial" w:cs="Arial"/>
          <w:noProof/>
        </w:rPr>
        <w:fldChar w:fldCharType="end"/>
      </w:r>
      <w:bookmarkEnd w:id="5"/>
      <w:r w:rsidRPr="00146D5D">
        <w:rPr>
          <w:rFonts w:ascii="Arial" w:hAnsi="Arial" w:cs="Arial"/>
        </w:rPr>
        <w:t xml:space="preserve">: Material requirements for Balance of Plant (BOP) to house a 1 MW PEM stack. Source: </w:t>
      </w:r>
      <w:proofErr w:type="spellStart"/>
      <w:r w:rsidRPr="00146D5D">
        <w:rPr>
          <w:rFonts w:ascii="Arial" w:hAnsi="Arial" w:cs="Arial"/>
        </w:rPr>
        <w:t>Bareiß</w:t>
      </w:r>
      <w:proofErr w:type="spellEnd"/>
      <w:r w:rsidRPr="00146D5D">
        <w:rPr>
          <w:rFonts w:ascii="Arial" w:hAnsi="Arial" w:cs="Arial"/>
        </w:rPr>
        <w:t xml:space="preserve"> et al. </w:t>
      </w:r>
      <w:r w:rsidRPr="00146D5D">
        <w:rPr>
          <w:rFonts w:ascii="Arial" w:hAnsi="Arial" w:cs="Arial"/>
        </w:rPr>
        <w:fldChar w:fldCharType="begin" w:fldLock="1"/>
      </w:r>
      <w:r w:rsidR="00050D6C">
        <w:rPr>
          <w:rFonts w:ascii="Arial" w:hAnsi="Arial" w:cs="Arial"/>
        </w:rPr>
        <w:instrText>ADDIN CSL_CITATION {"citationItems":[{"id":"ITEM-1","itemData":{"DOI":"10.1016/j.apenergy.2019.01.001","ISSN":"03062619","abstract":"This study discusses the potential of H2 production by proton exchange membrane water electrolysis as an effective option to reduce greenhouse gas emissions in the hydrogen sector. To address this topic, a life cycle assessment is conducted to compare proton exchange membrane water electrolysis versus the reference process - steam methane reforming. As a relevant result we show that hydrogen production via proton exchange membrane water electrolysis is a promising technology to reduce CO2 emissions of the hydrogen sector by up to 75%, if the electrolysis system runs exclusively on electricity generated from renewable energy sources. In a future (2050) base-load operation mode emissions are comparable to the reference system. The results for the global warming potential show a strong reduction of greenhouse gas emissions by 2050. The thoroughly and in-depth modeled components of the electrolyser have negligible influence on impact categories; thus, emissions are mainly determined by the electricity mix. With 2017 electricity mix of Germany, the global warming potential corresponds to 29.5 kg CO2 eq. for each kg of produced hydrogen. Referring to the electricity mix we received from an energy model emissions can be reduced to 11.5 kg CO2 eq. in base-load operation by the year 2050. Using only the 3000 h of excess power from renewables in a year will allow for the reduction of the global warming potential to 3.3 kg CO2 eq. From this result we see that an environmentally friendly electricity mix is crucial for reducing the global warming impact of electrolytic hydrogen.","author":[{"dropping-particle":"","family":"Bareiß","given":"Kay","non-dropping-particle":"","parse-names":false,"suffix":""},{"dropping-particle":"","family":"la Rua","given":"Cristina","non-dropping-particle":"de","parse-names":false,"suffix":""},{"dropping-particle":"","family":"Möckl","given":"Maximilian","non-dropping-particle":"","parse-names":false,"suffix":""},{"dropping-particle":"","family":"Hamacher","given":"Thomas","non-dropping-particle":"","parse-names":false,"suffix":""}],"container-title":"Applied Energy","id":"ITEM-1","issued":{"date-parts":[["2019","3","1"]]},"page":"862-872","publisher":"Elsevier Ltd","title":"Life cycle assessment of hydrogen from proton exchange membrane water electrolysis in future energy systems","type":"article-journal","volume":"237"},"uris":["http://www.mendeley.com/documents/?uuid=062db9f6-3148-3262-bcd7-11d5c336e32c"]}],"mendeley":{"formattedCitation":"&lt;sup&gt;14&lt;/sup&gt;","plainTextFormattedCitation":"14","previouslyFormattedCitation":"&lt;sup&gt;13&lt;/sup&gt;"},"properties":{"noteIndex":0},"schema":"https://github.com/citation-style-language/schema/raw/master/csl-citation.json"}</w:instrText>
      </w:r>
      <w:r w:rsidRPr="00146D5D">
        <w:rPr>
          <w:rFonts w:ascii="Arial" w:hAnsi="Arial" w:cs="Arial"/>
        </w:rPr>
        <w:fldChar w:fldCharType="separate"/>
      </w:r>
      <w:r w:rsidR="00050D6C" w:rsidRPr="00050D6C">
        <w:rPr>
          <w:rFonts w:ascii="Arial" w:hAnsi="Arial" w:cs="Arial"/>
          <w:i w:val="0"/>
          <w:noProof/>
          <w:vertAlign w:val="superscript"/>
        </w:rPr>
        <w:t>14</w:t>
      </w:r>
      <w:r w:rsidRPr="00146D5D">
        <w:rPr>
          <w:rFonts w:ascii="Arial" w:hAnsi="Arial" w:cs="Arial"/>
        </w:rPr>
        <w:fldChar w:fldCharType="end"/>
      </w:r>
      <w:r w:rsidRPr="00146D5D">
        <w:rPr>
          <w:rFonts w:ascii="Arial" w:hAnsi="Arial" w:cs="Arial"/>
        </w:rPr>
        <w:t xml:space="preserve">. </w:t>
      </w:r>
    </w:p>
    <w:tbl>
      <w:tblPr>
        <w:tblStyle w:val="GridTable1Light"/>
        <w:tblpPr w:leftFromText="180" w:rightFromText="180" w:vertAnchor="text" w:horzAnchor="margin" w:tblpY="263"/>
        <w:tblW w:w="9038" w:type="dxa"/>
        <w:tblLook w:val="04A0" w:firstRow="1" w:lastRow="0" w:firstColumn="1" w:lastColumn="0" w:noHBand="0" w:noVBand="1"/>
      </w:tblPr>
      <w:tblGrid>
        <w:gridCol w:w="4962"/>
        <w:gridCol w:w="4076"/>
      </w:tblGrid>
      <w:tr w:rsidR="00E250DF" w14:paraId="135D664D" w14:textId="77777777" w:rsidTr="00C020D8">
        <w:trPr>
          <w:cnfStyle w:val="100000000000" w:firstRow="1" w:lastRow="0" w:firstColumn="0" w:lastColumn="0" w:oddVBand="0" w:evenVBand="0" w:oddHBand="0" w:evenHBand="0" w:firstRowFirstColumn="0" w:firstRowLastColumn="0" w:lastRowFirstColumn="0" w:lastRowLastColumn="0"/>
          <w:trHeight w:val="291"/>
        </w:trPr>
        <w:tc>
          <w:tcPr>
            <w:cnfStyle w:val="001000000000" w:firstRow="0" w:lastRow="0" w:firstColumn="1" w:lastColumn="0" w:oddVBand="0" w:evenVBand="0" w:oddHBand="0" w:evenHBand="0" w:firstRowFirstColumn="0" w:firstRowLastColumn="0" w:lastRowFirstColumn="0" w:lastRowLastColumn="0"/>
            <w:tcW w:w="4962" w:type="dxa"/>
            <w:tcBorders>
              <w:top w:val="single" w:sz="4" w:space="0" w:color="auto"/>
              <w:left w:val="nil"/>
              <w:right w:val="single" w:sz="4" w:space="0" w:color="auto"/>
            </w:tcBorders>
          </w:tcPr>
          <w:p w14:paraId="32B1475D" w14:textId="77777777" w:rsidR="00E250DF" w:rsidRPr="00054ABD" w:rsidRDefault="00E250DF" w:rsidP="00C020D8">
            <w:pPr>
              <w:jc w:val="both"/>
              <w:rPr>
                <w:rFonts w:ascii="Arial" w:hAnsi="Arial" w:cs="Arial"/>
                <w:sz w:val="20"/>
                <w:szCs w:val="20"/>
              </w:rPr>
            </w:pPr>
            <w:r w:rsidRPr="00054ABD">
              <w:rPr>
                <w:rFonts w:ascii="Arial" w:hAnsi="Arial" w:cs="Arial"/>
                <w:sz w:val="20"/>
                <w:szCs w:val="20"/>
              </w:rPr>
              <w:t>Material</w:t>
            </w:r>
          </w:p>
        </w:tc>
        <w:tc>
          <w:tcPr>
            <w:tcW w:w="4076" w:type="dxa"/>
            <w:tcBorders>
              <w:top w:val="single" w:sz="4" w:space="0" w:color="auto"/>
              <w:left w:val="single" w:sz="4" w:space="0" w:color="auto"/>
              <w:right w:val="nil"/>
            </w:tcBorders>
          </w:tcPr>
          <w:p w14:paraId="560B8796" w14:textId="77777777" w:rsidR="00E250DF" w:rsidRPr="00054ABD" w:rsidRDefault="00E250DF" w:rsidP="00C020D8">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Mass of the BOP (ton)</w:t>
            </w:r>
          </w:p>
        </w:tc>
      </w:tr>
      <w:tr w:rsidR="00E250DF" w14:paraId="6B42A31E" w14:textId="77777777" w:rsidTr="00C020D8">
        <w:trPr>
          <w:trHeight w:val="291"/>
        </w:trPr>
        <w:tc>
          <w:tcPr>
            <w:cnfStyle w:val="001000000000" w:firstRow="0" w:lastRow="0" w:firstColumn="1" w:lastColumn="0" w:oddVBand="0" w:evenVBand="0" w:oddHBand="0" w:evenHBand="0" w:firstRowFirstColumn="0" w:firstRowLastColumn="0" w:lastRowFirstColumn="0" w:lastRowLastColumn="0"/>
            <w:tcW w:w="4962" w:type="dxa"/>
            <w:tcBorders>
              <w:top w:val="single" w:sz="12" w:space="0" w:color="666666" w:themeColor="text1" w:themeTint="99"/>
              <w:left w:val="nil"/>
              <w:bottom w:val="nil"/>
              <w:right w:val="single" w:sz="4" w:space="0" w:color="auto"/>
            </w:tcBorders>
          </w:tcPr>
          <w:p w14:paraId="012A6587" w14:textId="77777777" w:rsidR="00E250DF" w:rsidRPr="00054ABD" w:rsidRDefault="00E250DF" w:rsidP="00C020D8">
            <w:pPr>
              <w:jc w:val="both"/>
              <w:rPr>
                <w:rFonts w:ascii="Arial" w:hAnsi="Arial" w:cs="Arial"/>
                <w:b w:val="0"/>
                <w:bCs w:val="0"/>
                <w:sz w:val="20"/>
                <w:szCs w:val="20"/>
              </w:rPr>
            </w:pPr>
            <w:r w:rsidRPr="00054ABD">
              <w:rPr>
                <w:rFonts w:ascii="Arial" w:hAnsi="Arial" w:cs="Arial"/>
                <w:b w:val="0"/>
                <w:bCs w:val="0"/>
                <w:sz w:val="20"/>
                <w:szCs w:val="20"/>
              </w:rPr>
              <w:t>Low alloyed steel</w:t>
            </w:r>
          </w:p>
        </w:tc>
        <w:tc>
          <w:tcPr>
            <w:tcW w:w="4076" w:type="dxa"/>
            <w:tcBorders>
              <w:top w:val="single" w:sz="12" w:space="0" w:color="666666" w:themeColor="text1" w:themeTint="99"/>
              <w:left w:val="single" w:sz="4" w:space="0" w:color="auto"/>
              <w:bottom w:val="nil"/>
              <w:right w:val="nil"/>
            </w:tcBorders>
          </w:tcPr>
          <w:p w14:paraId="52859F71" w14:textId="77777777" w:rsidR="00E250DF" w:rsidRPr="00054ABD" w:rsidRDefault="00E250DF"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4.8</w:t>
            </w:r>
          </w:p>
        </w:tc>
      </w:tr>
      <w:tr w:rsidR="00E250DF" w14:paraId="4F315F21" w14:textId="77777777" w:rsidTr="00C020D8">
        <w:trPr>
          <w:trHeight w:val="304"/>
        </w:trPr>
        <w:tc>
          <w:tcPr>
            <w:cnfStyle w:val="001000000000" w:firstRow="0" w:lastRow="0" w:firstColumn="1" w:lastColumn="0" w:oddVBand="0" w:evenVBand="0" w:oddHBand="0" w:evenHBand="0" w:firstRowFirstColumn="0" w:firstRowLastColumn="0" w:lastRowFirstColumn="0" w:lastRowLastColumn="0"/>
            <w:tcW w:w="4962" w:type="dxa"/>
            <w:tcBorders>
              <w:top w:val="nil"/>
              <w:left w:val="nil"/>
              <w:bottom w:val="nil"/>
              <w:right w:val="single" w:sz="4" w:space="0" w:color="auto"/>
            </w:tcBorders>
          </w:tcPr>
          <w:p w14:paraId="76789EDF" w14:textId="77777777" w:rsidR="00E250DF" w:rsidRPr="00054ABD" w:rsidRDefault="00E250DF" w:rsidP="00C020D8">
            <w:pPr>
              <w:jc w:val="both"/>
              <w:rPr>
                <w:rFonts w:ascii="Arial" w:hAnsi="Arial" w:cs="Arial"/>
                <w:b w:val="0"/>
                <w:bCs w:val="0"/>
                <w:sz w:val="20"/>
                <w:szCs w:val="20"/>
              </w:rPr>
            </w:pPr>
            <w:r w:rsidRPr="00054ABD">
              <w:rPr>
                <w:rFonts w:ascii="Arial" w:hAnsi="Arial" w:cs="Arial"/>
                <w:b w:val="0"/>
                <w:bCs w:val="0"/>
                <w:sz w:val="20"/>
                <w:szCs w:val="20"/>
              </w:rPr>
              <w:t>High alloyed steel</w:t>
            </w:r>
          </w:p>
        </w:tc>
        <w:tc>
          <w:tcPr>
            <w:tcW w:w="4076" w:type="dxa"/>
            <w:tcBorders>
              <w:top w:val="nil"/>
              <w:left w:val="single" w:sz="4" w:space="0" w:color="auto"/>
              <w:bottom w:val="nil"/>
              <w:right w:val="nil"/>
            </w:tcBorders>
          </w:tcPr>
          <w:p w14:paraId="0C73BD49" w14:textId="77777777" w:rsidR="00E250DF" w:rsidRPr="00054ABD" w:rsidRDefault="00E250DF"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1.9</w:t>
            </w:r>
          </w:p>
        </w:tc>
      </w:tr>
      <w:tr w:rsidR="00E250DF" w14:paraId="6E9BC5A6" w14:textId="77777777" w:rsidTr="00C020D8">
        <w:trPr>
          <w:trHeight w:val="291"/>
        </w:trPr>
        <w:tc>
          <w:tcPr>
            <w:cnfStyle w:val="001000000000" w:firstRow="0" w:lastRow="0" w:firstColumn="1" w:lastColumn="0" w:oddVBand="0" w:evenVBand="0" w:oddHBand="0" w:evenHBand="0" w:firstRowFirstColumn="0" w:firstRowLastColumn="0" w:lastRowFirstColumn="0" w:lastRowLastColumn="0"/>
            <w:tcW w:w="4962" w:type="dxa"/>
            <w:tcBorders>
              <w:top w:val="nil"/>
              <w:left w:val="nil"/>
              <w:bottom w:val="nil"/>
              <w:right w:val="single" w:sz="4" w:space="0" w:color="auto"/>
            </w:tcBorders>
          </w:tcPr>
          <w:p w14:paraId="341B4503" w14:textId="77777777" w:rsidR="00E250DF" w:rsidRPr="00054ABD" w:rsidRDefault="00E250DF" w:rsidP="00C020D8">
            <w:pPr>
              <w:jc w:val="both"/>
              <w:rPr>
                <w:rFonts w:ascii="Arial" w:hAnsi="Arial" w:cs="Arial"/>
                <w:b w:val="0"/>
                <w:bCs w:val="0"/>
                <w:sz w:val="20"/>
                <w:szCs w:val="20"/>
              </w:rPr>
            </w:pPr>
            <w:r w:rsidRPr="00054ABD">
              <w:rPr>
                <w:rFonts w:ascii="Arial" w:hAnsi="Arial" w:cs="Arial"/>
                <w:b w:val="0"/>
                <w:bCs w:val="0"/>
                <w:sz w:val="20"/>
                <w:szCs w:val="20"/>
              </w:rPr>
              <w:t>Aluminium</w:t>
            </w:r>
          </w:p>
        </w:tc>
        <w:tc>
          <w:tcPr>
            <w:tcW w:w="4076" w:type="dxa"/>
            <w:tcBorders>
              <w:top w:val="nil"/>
              <w:left w:val="single" w:sz="4" w:space="0" w:color="auto"/>
              <w:bottom w:val="nil"/>
              <w:right w:val="nil"/>
            </w:tcBorders>
          </w:tcPr>
          <w:p w14:paraId="15335DA2" w14:textId="77777777" w:rsidR="00E250DF" w:rsidRPr="00054ABD" w:rsidRDefault="00E250DF"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&lt; 0.1</w:t>
            </w:r>
          </w:p>
        </w:tc>
      </w:tr>
      <w:tr w:rsidR="00E250DF" w14:paraId="044E4267" w14:textId="77777777" w:rsidTr="00C020D8">
        <w:trPr>
          <w:trHeight w:val="291"/>
        </w:trPr>
        <w:tc>
          <w:tcPr>
            <w:cnfStyle w:val="001000000000" w:firstRow="0" w:lastRow="0" w:firstColumn="1" w:lastColumn="0" w:oddVBand="0" w:evenVBand="0" w:oddHBand="0" w:evenHBand="0" w:firstRowFirstColumn="0" w:firstRowLastColumn="0" w:lastRowFirstColumn="0" w:lastRowLastColumn="0"/>
            <w:tcW w:w="4962" w:type="dxa"/>
            <w:tcBorders>
              <w:top w:val="nil"/>
              <w:left w:val="nil"/>
              <w:bottom w:val="nil"/>
              <w:right w:val="single" w:sz="4" w:space="0" w:color="auto"/>
            </w:tcBorders>
          </w:tcPr>
          <w:p w14:paraId="68FA5B2D" w14:textId="77777777" w:rsidR="00E250DF" w:rsidRPr="00054ABD" w:rsidRDefault="00E250DF" w:rsidP="00C020D8">
            <w:pPr>
              <w:jc w:val="both"/>
              <w:rPr>
                <w:rFonts w:ascii="Arial" w:hAnsi="Arial" w:cs="Arial"/>
                <w:b w:val="0"/>
                <w:bCs w:val="0"/>
                <w:sz w:val="20"/>
                <w:szCs w:val="20"/>
              </w:rPr>
            </w:pPr>
            <w:r w:rsidRPr="00054ABD">
              <w:rPr>
                <w:rFonts w:ascii="Arial" w:hAnsi="Arial" w:cs="Arial"/>
                <w:b w:val="0"/>
                <w:bCs w:val="0"/>
                <w:sz w:val="20"/>
                <w:szCs w:val="20"/>
              </w:rPr>
              <w:t>Copper</w:t>
            </w:r>
          </w:p>
        </w:tc>
        <w:tc>
          <w:tcPr>
            <w:tcW w:w="4076" w:type="dxa"/>
            <w:tcBorders>
              <w:top w:val="nil"/>
              <w:left w:val="single" w:sz="4" w:space="0" w:color="auto"/>
              <w:bottom w:val="nil"/>
              <w:right w:val="nil"/>
            </w:tcBorders>
          </w:tcPr>
          <w:p w14:paraId="6788C083" w14:textId="77777777" w:rsidR="00E250DF" w:rsidRPr="00054ABD" w:rsidRDefault="00E250DF"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&lt; 0.1</w:t>
            </w:r>
          </w:p>
        </w:tc>
      </w:tr>
      <w:tr w:rsidR="00E250DF" w14:paraId="6085779B" w14:textId="77777777" w:rsidTr="00C020D8">
        <w:trPr>
          <w:trHeight w:val="304"/>
        </w:trPr>
        <w:tc>
          <w:tcPr>
            <w:cnfStyle w:val="001000000000" w:firstRow="0" w:lastRow="0" w:firstColumn="1" w:lastColumn="0" w:oddVBand="0" w:evenVBand="0" w:oddHBand="0" w:evenHBand="0" w:firstRowFirstColumn="0" w:firstRowLastColumn="0" w:lastRowFirstColumn="0" w:lastRowLastColumn="0"/>
            <w:tcW w:w="4962" w:type="dxa"/>
            <w:tcBorders>
              <w:top w:val="nil"/>
              <w:left w:val="nil"/>
              <w:bottom w:val="nil"/>
              <w:right w:val="single" w:sz="4" w:space="0" w:color="auto"/>
            </w:tcBorders>
          </w:tcPr>
          <w:p w14:paraId="4956109B" w14:textId="77777777" w:rsidR="00E250DF" w:rsidRPr="00054ABD" w:rsidRDefault="00E250DF" w:rsidP="00C020D8">
            <w:pPr>
              <w:jc w:val="both"/>
              <w:rPr>
                <w:rFonts w:ascii="Arial" w:hAnsi="Arial" w:cs="Arial"/>
                <w:b w:val="0"/>
                <w:bCs w:val="0"/>
                <w:sz w:val="20"/>
                <w:szCs w:val="20"/>
              </w:rPr>
            </w:pPr>
            <w:r w:rsidRPr="00054ABD">
              <w:rPr>
                <w:rFonts w:ascii="Arial" w:hAnsi="Arial" w:cs="Arial"/>
                <w:b w:val="0"/>
                <w:bCs w:val="0"/>
                <w:sz w:val="20"/>
                <w:szCs w:val="20"/>
              </w:rPr>
              <w:t>Plastic</w:t>
            </w:r>
          </w:p>
        </w:tc>
        <w:tc>
          <w:tcPr>
            <w:tcW w:w="4076" w:type="dxa"/>
            <w:tcBorders>
              <w:top w:val="nil"/>
              <w:left w:val="single" w:sz="4" w:space="0" w:color="auto"/>
              <w:bottom w:val="nil"/>
              <w:right w:val="nil"/>
            </w:tcBorders>
          </w:tcPr>
          <w:p w14:paraId="05C7E414" w14:textId="77777777" w:rsidR="00E250DF" w:rsidRPr="00054ABD" w:rsidRDefault="00E250DF"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0.3</w:t>
            </w:r>
          </w:p>
        </w:tc>
      </w:tr>
      <w:tr w:rsidR="00E250DF" w14:paraId="6670046D" w14:textId="77777777" w:rsidTr="00C020D8">
        <w:trPr>
          <w:trHeight w:val="291"/>
        </w:trPr>
        <w:tc>
          <w:tcPr>
            <w:cnfStyle w:val="001000000000" w:firstRow="0" w:lastRow="0" w:firstColumn="1" w:lastColumn="0" w:oddVBand="0" w:evenVBand="0" w:oddHBand="0" w:evenHBand="0" w:firstRowFirstColumn="0" w:firstRowLastColumn="0" w:lastRowFirstColumn="0" w:lastRowLastColumn="0"/>
            <w:tcW w:w="4962" w:type="dxa"/>
            <w:tcBorders>
              <w:top w:val="nil"/>
              <w:left w:val="nil"/>
              <w:bottom w:val="nil"/>
              <w:right w:val="single" w:sz="4" w:space="0" w:color="auto"/>
            </w:tcBorders>
          </w:tcPr>
          <w:p w14:paraId="7B4A52D1" w14:textId="77777777" w:rsidR="00E250DF" w:rsidRPr="00054ABD" w:rsidRDefault="00E250DF" w:rsidP="00C020D8">
            <w:pPr>
              <w:jc w:val="both"/>
              <w:rPr>
                <w:rFonts w:ascii="Arial" w:hAnsi="Arial" w:cs="Arial"/>
                <w:b w:val="0"/>
                <w:bCs w:val="0"/>
                <w:sz w:val="20"/>
                <w:szCs w:val="20"/>
              </w:rPr>
            </w:pPr>
            <w:r w:rsidRPr="00054ABD">
              <w:rPr>
                <w:rFonts w:ascii="Arial" w:hAnsi="Arial" w:cs="Arial"/>
                <w:b w:val="0"/>
                <w:bCs w:val="0"/>
                <w:sz w:val="20"/>
                <w:szCs w:val="20"/>
              </w:rPr>
              <w:t>Electronic control (power, control)</w:t>
            </w:r>
          </w:p>
        </w:tc>
        <w:tc>
          <w:tcPr>
            <w:tcW w:w="4076" w:type="dxa"/>
            <w:tcBorders>
              <w:top w:val="nil"/>
              <w:left w:val="single" w:sz="4" w:space="0" w:color="auto"/>
              <w:bottom w:val="nil"/>
              <w:right w:val="nil"/>
            </w:tcBorders>
          </w:tcPr>
          <w:p w14:paraId="6D581023" w14:textId="77777777" w:rsidR="00E250DF" w:rsidRPr="00054ABD" w:rsidRDefault="00E250DF"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1.1</w:t>
            </w:r>
          </w:p>
        </w:tc>
      </w:tr>
      <w:tr w:rsidR="00E250DF" w14:paraId="5240ABD8" w14:textId="77777777" w:rsidTr="00C020D8">
        <w:trPr>
          <w:trHeight w:val="304"/>
        </w:trPr>
        <w:tc>
          <w:tcPr>
            <w:cnfStyle w:val="001000000000" w:firstRow="0" w:lastRow="0" w:firstColumn="1" w:lastColumn="0" w:oddVBand="0" w:evenVBand="0" w:oddHBand="0" w:evenHBand="0" w:firstRowFirstColumn="0" w:firstRowLastColumn="0" w:lastRowFirstColumn="0" w:lastRowLastColumn="0"/>
            <w:tcW w:w="4962" w:type="dxa"/>
            <w:tcBorders>
              <w:top w:val="nil"/>
              <w:left w:val="nil"/>
              <w:bottom w:val="nil"/>
              <w:right w:val="single" w:sz="4" w:space="0" w:color="auto"/>
            </w:tcBorders>
          </w:tcPr>
          <w:p w14:paraId="7266B139" w14:textId="77777777" w:rsidR="00E250DF" w:rsidRPr="00054ABD" w:rsidRDefault="00E250DF" w:rsidP="00C020D8">
            <w:pPr>
              <w:jc w:val="both"/>
              <w:rPr>
                <w:rFonts w:ascii="Arial" w:hAnsi="Arial" w:cs="Arial"/>
                <w:b w:val="0"/>
                <w:bCs w:val="0"/>
                <w:sz w:val="20"/>
                <w:szCs w:val="20"/>
              </w:rPr>
            </w:pPr>
            <w:r w:rsidRPr="00054ABD">
              <w:rPr>
                <w:rFonts w:ascii="Arial" w:hAnsi="Arial" w:cs="Arial"/>
                <w:b w:val="0"/>
                <w:bCs w:val="0"/>
                <w:sz w:val="20"/>
                <w:szCs w:val="20"/>
              </w:rPr>
              <w:t>Process material (adsorbent, lubricant)</w:t>
            </w:r>
          </w:p>
        </w:tc>
        <w:tc>
          <w:tcPr>
            <w:tcW w:w="4076" w:type="dxa"/>
            <w:tcBorders>
              <w:top w:val="nil"/>
              <w:left w:val="single" w:sz="4" w:space="0" w:color="auto"/>
              <w:bottom w:val="nil"/>
              <w:right w:val="nil"/>
            </w:tcBorders>
          </w:tcPr>
          <w:p w14:paraId="68A9B990" w14:textId="77777777" w:rsidR="00E250DF" w:rsidRPr="00054ABD" w:rsidRDefault="00E250DF"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0.2</w:t>
            </w:r>
          </w:p>
        </w:tc>
      </w:tr>
      <w:tr w:rsidR="00E250DF" w14:paraId="3CA03AE2" w14:textId="77777777" w:rsidTr="00C020D8">
        <w:trPr>
          <w:trHeight w:val="291"/>
        </w:trPr>
        <w:tc>
          <w:tcPr>
            <w:cnfStyle w:val="001000000000" w:firstRow="0" w:lastRow="0" w:firstColumn="1" w:lastColumn="0" w:oddVBand="0" w:evenVBand="0" w:oddHBand="0" w:evenHBand="0" w:firstRowFirstColumn="0" w:firstRowLastColumn="0" w:lastRowFirstColumn="0" w:lastRowLastColumn="0"/>
            <w:tcW w:w="4962" w:type="dxa"/>
            <w:tcBorders>
              <w:top w:val="nil"/>
              <w:left w:val="nil"/>
              <w:right w:val="single" w:sz="4" w:space="0" w:color="auto"/>
            </w:tcBorders>
          </w:tcPr>
          <w:p w14:paraId="160D51D7" w14:textId="77777777" w:rsidR="00E250DF" w:rsidRPr="00054ABD" w:rsidRDefault="00E250DF" w:rsidP="00C020D8">
            <w:pPr>
              <w:jc w:val="both"/>
              <w:rPr>
                <w:rFonts w:ascii="Arial" w:hAnsi="Arial" w:cs="Arial"/>
                <w:b w:val="0"/>
                <w:bCs w:val="0"/>
                <w:sz w:val="20"/>
                <w:szCs w:val="20"/>
              </w:rPr>
            </w:pPr>
            <w:r w:rsidRPr="00054ABD">
              <w:rPr>
                <w:rFonts w:ascii="Arial" w:hAnsi="Arial" w:cs="Arial"/>
                <w:b w:val="0"/>
                <w:bCs w:val="0"/>
                <w:sz w:val="20"/>
                <w:szCs w:val="20"/>
              </w:rPr>
              <w:t>Concrete</w:t>
            </w:r>
          </w:p>
        </w:tc>
        <w:tc>
          <w:tcPr>
            <w:tcW w:w="4076" w:type="dxa"/>
            <w:tcBorders>
              <w:top w:val="nil"/>
              <w:left w:val="single" w:sz="4" w:space="0" w:color="auto"/>
              <w:right w:val="nil"/>
            </w:tcBorders>
          </w:tcPr>
          <w:p w14:paraId="18096CD1" w14:textId="77777777" w:rsidR="00E250DF" w:rsidRPr="00054ABD" w:rsidRDefault="00E250DF"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5.6</w:t>
            </w:r>
          </w:p>
        </w:tc>
      </w:tr>
    </w:tbl>
    <w:p w14:paraId="69FFC957" w14:textId="77777777" w:rsidR="00E250DF" w:rsidRDefault="00E250DF" w:rsidP="00E250DF">
      <w:pPr>
        <w:jc w:val="both"/>
      </w:pPr>
    </w:p>
    <w:p w14:paraId="75330094" w14:textId="20B2460F" w:rsidR="00444DE5" w:rsidRPr="001B2908" w:rsidRDefault="00444DE5" w:rsidP="001B2908">
      <w:pPr>
        <w:pStyle w:val="Caption"/>
        <w:keepNext/>
        <w:spacing w:after="0"/>
        <w:jc w:val="both"/>
        <w:rPr>
          <w:rFonts w:ascii="Arial" w:hAnsi="Arial" w:cs="Arial"/>
        </w:rPr>
      </w:pPr>
      <w:bookmarkStart w:id="6" w:name="_Ref72499562"/>
      <w:r w:rsidRPr="001B2908">
        <w:rPr>
          <w:rFonts w:ascii="Arial" w:hAnsi="Arial" w:cs="Arial"/>
        </w:rPr>
        <w:t xml:space="preserve">Table </w:t>
      </w:r>
      <w:r w:rsidR="007C7D0A">
        <w:rPr>
          <w:rFonts w:ascii="Arial" w:hAnsi="Arial" w:cs="Arial"/>
        </w:rPr>
        <w:t>S</w:t>
      </w:r>
      <w:r w:rsidRPr="001B2908">
        <w:rPr>
          <w:rFonts w:ascii="Arial" w:hAnsi="Arial" w:cs="Arial"/>
        </w:rPr>
        <w:fldChar w:fldCharType="begin"/>
      </w:r>
      <w:r w:rsidRPr="001B2908">
        <w:rPr>
          <w:rFonts w:ascii="Arial" w:hAnsi="Arial" w:cs="Arial"/>
        </w:rPr>
        <w:instrText xml:space="preserve"> SEQ Table \* ARABIC </w:instrText>
      </w:r>
      <w:r w:rsidRPr="001B2908">
        <w:rPr>
          <w:rFonts w:ascii="Arial" w:hAnsi="Arial" w:cs="Arial"/>
        </w:rPr>
        <w:fldChar w:fldCharType="separate"/>
      </w:r>
      <w:r w:rsidR="00243CB7">
        <w:rPr>
          <w:rFonts w:ascii="Arial" w:hAnsi="Arial" w:cs="Arial"/>
          <w:noProof/>
        </w:rPr>
        <w:t>6</w:t>
      </w:r>
      <w:r w:rsidRPr="001B2908">
        <w:rPr>
          <w:rFonts w:ascii="Arial" w:hAnsi="Arial" w:cs="Arial"/>
          <w:noProof/>
        </w:rPr>
        <w:fldChar w:fldCharType="end"/>
      </w:r>
      <w:bookmarkEnd w:id="6"/>
      <w:r w:rsidRPr="001B2908">
        <w:rPr>
          <w:rFonts w:ascii="Arial" w:hAnsi="Arial" w:cs="Arial"/>
        </w:rPr>
        <w:t xml:space="preserve">: Material and energy inputs to establish 19.5 TWh of </w:t>
      </w:r>
      <w:r w:rsidR="001B2908">
        <w:rPr>
          <w:rFonts w:ascii="Arial" w:hAnsi="Arial" w:cs="Arial"/>
        </w:rPr>
        <w:t xml:space="preserve">cavern-based </w:t>
      </w:r>
      <w:r w:rsidRPr="001B2908">
        <w:rPr>
          <w:rFonts w:ascii="Arial" w:hAnsi="Arial" w:cs="Arial"/>
        </w:rPr>
        <w:t>H</w:t>
      </w:r>
      <w:r w:rsidRPr="001B2908">
        <w:rPr>
          <w:rFonts w:ascii="Arial" w:hAnsi="Arial" w:cs="Arial"/>
          <w:vertAlign w:val="subscript"/>
        </w:rPr>
        <w:t>2</w:t>
      </w:r>
      <w:r w:rsidRPr="001B2908">
        <w:rPr>
          <w:rFonts w:ascii="Arial" w:hAnsi="Arial" w:cs="Arial"/>
        </w:rPr>
        <w:t xml:space="preserve"> storage for wind-based electrolysis. </w:t>
      </w:r>
    </w:p>
    <w:tbl>
      <w:tblPr>
        <w:tblStyle w:val="GridTable1Light"/>
        <w:tblpPr w:leftFromText="180" w:rightFromText="180" w:vertAnchor="text" w:horzAnchor="margin" w:tblpY="263"/>
        <w:tblW w:w="9038" w:type="dxa"/>
        <w:tblLook w:val="04A0" w:firstRow="1" w:lastRow="0" w:firstColumn="1" w:lastColumn="0" w:noHBand="0" w:noVBand="1"/>
      </w:tblPr>
      <w:tblGrid>
        <w:gridCol w:w="4962"/>
        <w:gridCol w:w="4076"/>
      </w:tblGrid>
      <w:tr w:rsidR="00444DE5" w14:paraId="05381ED6" w14:textId="77777777" w:rsidTr="00C020D8">
        <w:trPr>
          <w:cnfStyle w:val="100000000000" w:firstRow="1" w:lastRow="0" w:firstColumn="0" w:lastColumn="0" w:oddVBand="0" w:evenVBand="0" w:oddHBand="0" w:evenHBand="0" w:firstRowFirstColumn="0" w:firstRowLastColumn="0" w:lastRowFirstColumn="0" w:lastRowLastColumn="0"/>
          <w:trHeight w:val="291"/>
        </w:trPr>
        <w:tc>
          <w:tcPr>
            <w:cnfStyle w:val="001000000000" w:firstRow="0" w:lastRow="0" w:firstColumn="1" w:lastColumn="0" w:oddVBand="0" w:evenVBand="0" w:oddHBand="0" w:evenHBand="0" w:firstRowFirstColumn="0" w:firstRowLastColumn="0" w:lastRowFirstColumn="0" w:lastRowLastColumn="0"/>
            <w:tcW w:w="4962" w:type="dxa"/>
            <w:tcBorders>
              <w:top w:val="single" w:sz="4" w:space="0" w:color="auto"/>
              <w:left w:val="nil"/>
              <w:right w:val="single" w:sz="4" w:space="0" w:color="auto"/>
            </w:tcBorders>
          </w:tcPr>
          <w:p w14:paraId="40AA2161" w14:textId="77777777" w:rsidR="00444DE5" w:rsidRPr="00054ABD" w:rsidRDefault="00444DE5" w:rsidP="00C020D8">
            <w:pPr>
              <w:jc w:val="both"/>
              <w:rPr>
                <w:rFonts w:ascii="Arial" w:hAnsi="Arial" w:cs="Arial"/>
                <w:sz w:val="20"/>
                <w:szCs w:val="20"/>
              </w:rPr>
            </w:pPr>
            <w:r w:rsidRPr="00054ABD">
              <w:rPr>
                <w:rFonts w:ascii="Arial" w:hAnsi="Arial" w:cs="Arial"/>
                <w:sz w:val="20"/>
                <w:szCs w:val="20"/>
              </w:rPr>
              <w:t>Material/ energy input-outputs</w:t>
            </w:r>
          </w:p>
        </w:tc>
        <w:tc>
          <w:tcPr>
            <w:tcW w:w="4076" w:type="dxa"/>
            <w:tcBorders>
              <w:top w:val="single" w:sz="4" w:space="0" w:color="auto"/>
              <w:left w:val="single" w:sz="4" w:space="0" w:color="auto"/>
              <w:right w:val="nil"/>
            </w:tcBorders>
          </w:tcPr>
          <w:p w14:paraId="59CF6A91" w14:textId="77777777" w:rsidR="00444DE5" w:rsidRPr="00054ABD" w:rsidRDefault="00444DE5" w:rsidP="00C020D8">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Quantity</w:t>
            </w:r>
          </w:p>
        </w:tc>
      </w:tr>
      <w:tr w:rsidR="00444DE5" w14:paraId="6EBF92AF" w14:textId="77777777" w:rsidTr="00C020D8">
        <w:trPr>
          <w:trHeight w:val="291"/>
        </w:trPr>
        <w:tc>
          <w:tcPr>
            <w:cnfStyle w:val="001000000000" w:firstRow="0" w:lastRow="0" w:firstColumn="1" w:lastColumn="0" w:oddVBand="0" w:evenVBand="0" w:oddHBand="0" w:evenHBand="0" w:firstRowFirstColumn="0" w:firstRowLastColumn="0" w:lastRowFirstColumn="0" w:lastRowLastColumn="0"/>
            <w:tcW w:w="4962" w:type="dxa"/>
            <w:tcBorders>
              <w:top w:val="single" w:sz="12" w:space="0" w:color="666666" w:themeColor="text1" w:themeTint="99"/>
              <w:left w:val="nil"/>
              <w:bottom w:val="nil"/>
              <w:right w:val="single" w:sz="4" w:space="0" w:color="auto"/>
            </w:tcBorders>
          </w:tcPr>
          <w:p w14:paraId="5503A945" w14:textId="77777777" w:rsidR="00444DE5" w:rsidRPr="00054ABD" w:rsidRDefault="00444DE5" w:rsidP="00C020D8">
            <w:pPr>
              <w:jc w:val="both"/>
              <w:rPr>
                <w:rFonts w:ascii="Arial" w:hAnsi="Arial" w:cs="Arial"/>
                <w:b w:val="0"/>
                <w:bCs w:val="0"/>
                <w:sz w:val="20"/>
                <w:szCs w:val="20"/>
              </w:rPr>
            </w:pPr>
            <w:r w:rsidRPr="00054ABD">
              <w:rPr>
                <w:rFonts w:ascii="Arial" w:hAnsi="Arial" w:cs="Arial"/>
                <w:b w:val="0"/>
                <w:bCs w:val="0"/>
                <w:sz w:val="20"/>
                <w:szCs w:val="20"/>
              </w:rPr>
              <w:t>Water input (m</w:t>
            </w:r>
            <w:r w:rsidRPr="00054ABD">
              <w:rPr>
                <w:rFonts w:ascii="Arial" w:hAnsi="Arial" w:cs="Arial"/>
                <w:b w:val="0"/>
                <w:bCs w:val="0"/>
                <w:sz w:val="20"/>
                <w:szCs w:val="20"/>
                <w:vertAlign w:val="superscript"/>
              </w:rPr>
              <w:t>3</w:t>
            </w:r>
            <w:r w:rsidRPr="00054ABD">
              <w:rPr>
                <w:rFonts w:ascii="Arial" w:hAnsi="Arial" w:cs="Arial"/>
                <w:b w:val="0"/>
                <w:bCs w:val="0"/>
                <w:sz w:val="20"/>
                <w:szCs w:val="20"/>
              </w:rPr>
              <w:t>)</w:t>
            </w:r>
          </w:p>
        </w:tc>
        <w:tc>
          <w:tcPr>
            <w:tcW w:w="4076" w:type="dxa"/>
            <w:tcBorders>
              <w:top w:val="single" w:sz="12" w:space="0" w:color="666666" w:themeColor="text1" w:themeTint="99"/>
              <w:left w:val="single" w:sz="4" w:space="0" w:color="auto"/>
              <w:bottom w:val="nil"/>
              <w:right w:val="nil"/>
            </w:tcBorders>
          </w:tcPr>
          <w:p w14:paraId="08819862" w14:textId="53723FC8" w:rsidR="00444DE5" w:rsidRPr="00BB45F6" w:rsidRDefault="00444DE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3.12 x 10</w:t>
            </w:r>
            <w:r w:rsidRPr="00054ABD">
              <w:rPr>
                <w:rFonts w:ascii="Arial" w:hAnsi="Arial" w:cs="Arial"/>
                <w:sz w:val="20"/>
                <w:szCs w:val="20"/>
                <w:vertAlign w:val="superscript"/>
              </w:rPr>
              <w:t>8</w:t>
            </w:r>
            <w:r w:rsidR="00BB45F6">
              <w:rPr>
                <w:rFonts w:ascii="Arial" w:hAnsi="Arial" w:cs="Arial"/>
                <w:sz w:val="20"/>
                <w:szCs w:val="20"/>
                <w:vertAlign w:val="superscript"/>
              </w:rPr>
              <w:t xml:space="preserve"> (Ref </w:t>
            </w:r>
            <w:r w:rsidR="00BB45F6">
              <w:rPr>
                <w:rFonts w:ascii="Arial" w:hAnsi="Arial" w:cs="Arial"/>
                <w:sz w:val="20"/>
                <w:szCs w:val="20"/>
              </w:rPr>
              <w:fldChar w:fldCharType="begin" w:fldLock="1"/>
            </w:r>
            <w:r w:rsidR="00050D6C">
              <w:rPr>
                <w:rFonts w:ascii="Arial" w:hAnsi="Arial" w:cs="Arial"/>
                <w:sz w:val="20"/>
                <w:szCs w:val="20"/>
              </w:rPr>
              <w:instrText>ADDIN CSL_CITATION {"citationItems":[{"id":"ITEM-1","itemData":{"author":[{"dropping-particle":"","family":"Chabrelie","given":"M.F.","non-dropping-particle":"","parse-names":false,"suffix":""},{"dropping-particle":"","family":"Dussaud","given":"M.","non-dropping-particle":"","parse-names":false,"suffix":""},{"dropping-particle":"","family":"Bourjas","given":"D.","non-dropping-particle":"","parse-names":false,"suffix":""},{"dropping-particle":"","family":"Hugout","given":"B.","non-dropping-particle":"","parse-names":false,"suffix":""}],"container-title":"17th World Energy Congress held in Houston, Texas, USA, September","id":"ITEM-1","issued":{"date-parts":[["1988"]]},"title":"Underground Gas Storage: Technological Innovation for Increased Efficiency","type":"paper-conference"},"uris":["http://www.mendeley.com/documents/?uuid=341e2dcc-e11f-48ed-b00d-f8c25ed3214c"]}],"mendeley":{"formattedCitation":"&lt;sup&gt;15&lt;/sup&gt;","plainTextFormattedCitation":"15","previouslyFormattedCitation":"&lt;sup&gt;14&lt;/sup&gt;"},"properties":{"noteIndex":0},"schema":"https://github.com/citation-style-language/schema/raw/master/csl-citation.json"}</w:instrText>
            </w:r>
            <w:r w:rsidR="00BB45F6">
              <w:rPr>
                <w:rFonts w:ascii="Arial" w:hAnsi="Arial" w:cs="Arial"/>
                <w:sz w:val="20"/>
                <w:szCs w:val="20"/>
              </w:rPr>
              <w:fldChar w:fldCharType="separate"/>
            </w:r>
            <w:r w:rsidR="00050D6C" w:rsidRPr="00050D6C">
              <w:rPr>
                <w:rFonts w:ascii="Arial" w:hAnsi="Arial" w:cs="Arial"/>
                <w:noProof/>
                <w:sz w:val="20"/>
                <w:szCs w:val="20"/>
                <w:vertAlign w:val="superscript"/>
              </w:rPr>
              <w:t>15</w:t>
            </w:r>
            <w:r w:rsidR="00BB45F6">
              <w:rPr>
                <w:rFonts w:ascii="Arial" w:hAnsi="Arial" w:cs="Arial"/>
                <w:sz w:val="20"/>
                <w:szCs w:val="20"/>
              </w:rPr>
              <w:fldChar w:fldCharType="end"/>
            </w:r>
            <w:r w:rsidR="00BB45F6" w:rsidRPr="00BB45F6">
              <w:rPr>
                <w:rFonts w:ascii="Arial" w:hAnsi="Arial" w:cs="Arial"/>
                <w:sz w:val="20"/>
                <w:szCs w:val="20"/>
                <w:vertAlign w:val="superscript"/>
              </w:rPr>
              <w:t>)</w:t>
            </w:r>
          </w:p>
        </w:tc>
      </w:tr>
      <w:tr w:rsidR="00444DE5" w14:paraId="01318C07" w14:textId="77777777" w:rsidTr="00C020D8">
        <w:trPr>
          <w:trHeight w:val="304"/>
        </w:trPr>
        <w:tc>
          <w:tcPr>
            <w:cnfStyle w:val="001000000000" w:firstRow="0" w:lastRow="0" w:firstColumn="1" w:lastColumn="0" w:oddVBand="0" w:evenVBand="0" w:oddHBand="0" w:evenHBand="0" w:firstRowFirstColumn="0" w:firstRowLastColumn="0" w:lastRowFirstColumn="0" w:lastRowLastColumn="0"/>
            <w:tcW w:w="4962" w:type="dxa"/>
            <w:tcBorders>
              <w:top w:val="nil"/>
              <w:left w:val="nil"/>
              <w:bottom w:val="nil"/>
              <w:right w:val="single" w:sz="4" w:space="0" w:color="auto"/>
            </w:tcBorders>
          </w:tcPr>
          <w:p w14:paraId="466B2E6C" w14:textId="77777777" w:rsidR="00444DE5" w:rsidRPr="00054ABD" w:rsidRDefault="00444DE5" w:rsidP="00C020D8">
            <w:pPr>
              <w:jc w:val="both"/>
              <w:rPr>
                <w:rFonts w:ascii="Arial" w:hAnsi="Arial" w:cs="Arial"/>
                <w:b w:val="0"/>
                <w:bCs w:val="0"/>
                <w:sz w:val="20"/>
                <w:szCs w:val="20"/>
              </w:rPr>
            </w:pPr>
            <w:r w:rsidRPr="00054ABD">
              <w:rPr>
                <w:rFonts w:ascii="Arial" w:hAnsi="Arial" w:cs="Arial"/>
                <w:b w:val="0"/>
                <w:bCs w:val="0"/>
                <w:sz w:val="20"/>
                <w:szCs w:val="20"/>
              </w:rPr>
              <w:t>Occupation of industrial area (m</w:t>
            </w:r>
            <w:r w:rsidRPr="00054ABD">
              <w:rPr>
                <w:rFonts w:ascii="Arial" w:hAnsi="Arial" w:cs="Arial"/>
                <w:b w:val="0"/>
                <w:bCs w:val="0"/>
                <w:sz w:val="20"/>
                <w:szCs w:val="20"/>
                <w:vertAlign w:val="superscript"/>
              </w:rPr>
              <w:t>2</w:t>
            </w:r>
            <w:r w:rsidRPr="00054ABD">
              <w:rPr>
                <w:rFonts w:ascii="Arial" w:hAnsi="Arial" w:cs="Arial"/>
                <w:b w:val="0"/>
                <w:bCs w:val="0"/>
                <w:sz w:val="20"/>
                <w:szCs w:val="20"/>
              </w:rPr>
              <w:t>)</w:t>
            </w:r>
          </w:p>
        </w:tc>
        <w:tc>
          <w:tcPr>
            <w:tcW w:w="4076" w:type="dxa"/>
            <w:tcBorders>
              <w:top w:val="nil"/>
              <w:left w:val="single" w:sz="4" w:space="0" w:color="auto"/>
              <w:bottom w:val="nil"/>
              <w:right w:val="nil"/>
            </w:tcBorders>
          </w:tcPr>
          <w:p w14:paraId="18E0BFFA" w14:textId="68F49F34" w:rsidR="00444DE5" w:rsidRPr="00054ABD" w:rsidRDefault="00444DE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261,500</w:t>
            </w:r>
            <w:r w:rsidR="00BB45F6">
              <w:rPr>
                <w:rFonts w:ascii="Arial" w:hAnsi="Arial" w:cs="Arial"/>
                <w:sz w:val="20"/>
                <w:szCs w:val="20"/>
              </w:rPr>
              <w:fldChar w:fldCharType="begin" w:fldLock="1"/>
            </w:r>
            <w:r w:rsidR="00050D6C">
              <w:rPr>
                <w:rFonts w:ascii="Arial" w:hAnsi="Arial" w:cs="Arial"/>
                <w:sz w:val="20"/>
                <w:szCs w:val="20"/>
              </w:rPr>
              <w:instrText>ADDIN CSL_CITATION {"citationItems":[{"id":"ITEM-1","itemData":{"abstract":"The H21 North of England ambition is to enable the transition to a 100% sustainable and global hydrogen economy by 2100. This would be established through the utilisation of the appropriate technologies and practical delivery timescales, initially focusing on the period up to 2050.","author":[{"dropping-particle":"","family":"Northern Gas Networks &amp; Equinor &amp; Cadent","given":"","non-dropping-particle":"","parse-names":false,"suffix":""}],"id":"ITEM-1","issued":{"date-parts":[["2018"]]},"title":"H21 North of England Report","type":"report"},"uris":["http://www.mendeley.com/documents/?uuid=89ff7d93-f241-3a7c-81d7-468c5840cce6"]}],"mendeley":{"formattedCitation":"&lt;sup&gt;9&lt;/sup&gt;","plainTextFormattedCitation":"9","previouslyFormattedCitation":"&lt;sup&gt;8&lt;/sup&gt;"},"properties":{"noteIndex":0},"schema":"https://github.com/citation-style-language/schema/raw/master/csl-citation.json"}</w:instrText>
            </w:r>
            <w:r w:rsidR="00BB45F6">
              <w:rPr>
                <w:rFonts w:ascii="Arial" w:hAnsi="Arial" w:cs="Arial"/>
                <w:sz w:val="20"/>
                <w:szCs w:val="20"/>
              </w:rPr>
              <w:fldChar w:fldCharType="separate"/>
            </w:r>
            <w:r w:rsidR="00050D6C" w:rsidRPr="00050D6C">
              <w:rPr>
                <w:rFonts w:ascii="Arial" w:hAnsi="Arial" w:cs="Arial"/>
                <w:noProof/>
                <w:sz w:val="20"/>
                <w:szCs w:val="20"/>
                <w:vertAlign w:val="superscript"/>
              </w:rPr>
              <w:t>9</w:t>
            </w:r>
            <w:r w:rsidR="00BB45F6">
              <w:rPr>
                <w:rFonts w:ascii="Arial" w:hAnsi="Arial" w:cs="Arial"/>
                <w:sz w:val="20"/>
                <w:szCs w:val="20"/>
              </w:rPr>
              <w:fldChar w:fldCharType="end"/>
            </w:r>
          </w:p>
        </w:tc>
      </w:tr>
      <w:tr w:rsidR="00444DE5" w14:paraId="601B161A" w14:textId="77777777" w:rsidTr="00C020D8">
        <w:trPr>
          <w:trHeight w:val="291"/>
        </w:trPr>
        <w:tc>
          <w:tcPr>
            <w:cnfStyle w:val="001000000000" w:firstRow="0" w:lastRow="0" w:firstColumn="1" w:lastColumn="0" w:oddVBand="0" w:evenVBand="0" w:oddHBand="0" w:evenHBand="0" w:firstRowFirstColumn="0" w:firstRowLastColumn="0" w:lastRowFirstColumn="0" w:lastRowLastColumn="0"/>
            <w:tcW w:w="4962" w:type="dxa"/>
            <w:tcBorders>
              <w:top w:val="nil"/>
              <w:left w:val="nil"/>
              <w:bottom w:val="nil"/>
              <w:right w:val="single" w:sz="4" w:space="0" w:color="auto"/>
            </w:tcBorders>
          </w:tcPr>
          <w:p w14:paraId="64D5907A" w14:textId="77777777" w:rsidR="00444DE5" w:rsidRPr="00054ABD" w:rsidRDefault="00444DE5" w:rsidP="00C020D8">
            <w:pPr>
              <w:jc w:val="both"/>
              <w:rPr>
                <w:rFonts w:ascii="Arial" w:hAnsi="Arial" w:cs="Arial"/>
                <w:b w:val="0"/>
                <w:bCs w:val="0"/>
                <w:sz w:val="20"/>
                <w:szCs w:val="20"/>
              </w:rPr>
            </w:pPr>
            <w:r w:rsidRPr="00054ABD">
              <w:rPr>
                <w:rFonts w:ascii="Arial" w:hAnsi="Arial" w:cs="Arial"/>
                <w:b w:val="0"/>
                <w:bCs w:val="0"/>
                <w:sz w:val="20"/>
                <w:szCs w:val="20"/>
              </w:rPr>
              <w:t>Transformation to industrial area (m</w:t>
            </w:r>
            <w:r w:rsidRPr="00054ABD">
              <w:rPr>
                <w:rFonts w:ascii="Arial" w:hAnsi="Arial" w:cs="Arial"/>
                <w:b w:val="0"/>
                <w:bCs w:val="0"/>
                <w:sz w:val="20"/>
                <w:szCs w:val="20"/>
                <w:vertAlign w:val="superscript"/>
              </w:rPr>
              <w:t>2</w:t>
            </w:r>
            <w:r w:rsidRPr="00054ABD">
              <w:rPr>
                <w:rFonts w:ascii="Arial" w:hAnsi="Arial" w:cs="Arial"/>
                <w:b w:val="0"/>
                <w:bCs w:val="0"/>
                <w:sz w:val="20"/>
                <w:szCs w:val="20"/>
              </w:rPr>
              <w:t>)</w:t>
            </w:r>
          </w:p>
        </w:tc>
        <w:tc>
          <w:tcPr>
            <w:tcW w:w="4076" w:type="dxa"/>
            <w:tcBorders>
              <w:top w:val="nil"/>
              <w:left w:val="single" w:sz="4" w:space="0" w:color="auto"/>
              <w:bottom w:val="nil"/>
              <w:right w:val="nil"/>
            </w:tcBorders>
          </w:tcPr>
          <w:p w14:paraId="70149167" w14:textId="791FF8B5" w:rsidR="00444DE5" w:rsidRPr="00054ABD" w:rsidRDefault="00444DE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261,500</w:t>
            </w:r>
            <w:r w:rsidR="00BB45F6">
              <w:rPr>
                <w:rFonts w:ascii="Arial" w:hAnsi="Arial" w:cs="Arial"/>
                <w:sz w:val="20"/>
                <w:szCs w:val="20"/>
              </w:rPr>
              <w:fldChar w:fldCharType="begin" w:fldLock="1"/>
            </w:r>
            <w:r w:rsidR="00050D6C">
              <w:rPr>
                <w:rFonts w:ascii="Arial" w:hAnsi="Arial" w:cs="Arial"/>
                <w:sz w:val="20"/>
                <w:szCs w:val="20"/>
              </w:rPr>
              <w:instrText>ADDIN CSL_CITATION {"citationItems":[{"id":"ITEM-1","itemData":{"abstract":"The H21 North of England ambition is to enable the transition to a 100% sustainable and global hydrogen economy by 2100. This would be established through the utilisation of the appropriate technologies and practical delivery timescales, initially focusing on the period up to 2050.","author":[{"dropping-particle":"","family":"Northern Gas Networks &amp; Equinor &amp; Cadent","given":"","non-dropping-particle":"","parse-names":false,"suffix":""}],"id":"ITEM-1","issued":{"date-parts":[["2018"]]},"title":"H21 North of England Report","type":"report"},"uris":["http://www.mendeley.com/documents/?uuid=89ff7d93-f241-3a7c-81d7-468c5840cce6"]}],"mendeley":{"formattedCitation":"&lt;sup&gt;9&lt;/sup&gt;","plainTextFormattedCitation":"9","previouslyFormattedCitation":"&lt;sup&gt;8&lt;/sup&gt;"},"properties":{"noteIndex":0},"schema":"https://github.com/citation-style-language/schema/raw/master/csl-citation.json"}</w:instrText>
            </w:r>
            <w:r w:rsidR="00BB45F6">
              <w:rPr>
                <w:rFonts w:ascii="Arial" w:hAnsi="Arial" w:cs="Arial"/>
                <w:sz w:val="20"/>
                <w:szCs w:val="20"/>
              </w:rPr>
              <w:fldChar w:fldCharType="separate"/>
            </w:r>
            <w:r w:rsidR="00050D6C" w:rsidRPr="00050D6C">
              <w:rPr>
                <w:rFonts w:ascii="Arial" w:hAnsi="Arial" w:cs="Arial"/>
                <w:noProof/>
                <w:sz w:val="20"/>
                <w:szCs w:val="20"/>
                <w:vertAlign w:val="superscript"/>
              </w:rPr>
              <w:t>9</w:t>
            </w:r>
            <w:r w:rsidR="00BB45F6">
              <w:rPr>
                <w:rFonts w:ascii="Arial" w:hAnsi="Arial" w:cs="Arial"/>
                <w:sz w:val="20"/>
                <w:szCs w:val="20"/>
              </w:rPr>
              <w:fldChar w:fldCharType="end"/>
            </w:r>
          </w:p>
        </w:tc>
      </w:tr>
      <w:tr w:rsidR="00444DE5" w14:paraId="512EC110" w14:textId="77777777" w:rsidTr="00C020D8">
        <w:trPr>
          <w:trHeight w:val="291"/>
        </w:trPr>
        <w:tc>
          <w:tcPr>
            <w:cnfStyle w:val="001000000000" w:firstRow="0" w:lastRow="0" w:firstColumn="1" w:lastColumn="0" w:oddVBand="0" w:evenVBand="0" w:oddHBand="0" w:evenHBand="0" w:firstRowFirstColumn="0" w:firstRowLastColumn="0" w:lastRowFirstColumn="0" w:lastRowLastColumn="0"/>
            <w:tcW w:w="4962" w:type="dxa"/>
            <w:tcBorders>
              <w:top w:val="nil"/>
              <w:left w:val="nil"/>
              <w:bottom w:val="nil"/>
              <w:right w:val="single" w:sz="4" w:space="0" w:color="auto"/>
            </w:tcBorders>
          </w:tcPr>
          <w:p w14:paraId="0A2BBCB0" w14:textId="77777777" w:rsidR="00444DE5" w:rsidRPr="00054ABD" w:rsidRDefault="00444DE5" w:rsidP="00C020D8">
            <w:pPr>
              <w:jc w:val="both"/>
              <w:rPr>
                <w:rFonts w:ascii="Arial" w:hAnsi="Arial" w:cs="Arial"/>
                <w:b w:val="0"/>
                <w:bCs w:val="0"/>
                <w:sz w:val="20"/>
                <w:szCs w:val="20"/>
              </w:rPr>
            </w:pPr>
            <w:r w:rsidRPr="00054ABD">
              <w:rPr>
                <w:rFonts w:ascii="Arial" w:hAnsi="Arial" w:cs="Arial"/>
                <w:b w:val="0"/>
                <w:bCs w:val="0"/>
                <w:sz w:val="20"/>
                <w:szCs w:val="20"/>
              </w:rPr>
              <w:t>Pipeline for water inlet and brine outlet (km)</w:t>
            </w:r>
          </w:p>
        </w:tc>
        <w:tc>
          <w:tcPr>
            <w:tcW w:w="4076" w:type="dxa"/>
            <w:tcBorders>
              <w:top w:val="nil"/>
              <w:left w:val="single" w:sz="4" w:space="0" w:color="auto"/>
              <w:bottom w:val="nil"/>
              <w:right w:val="nil"/>
            </w:tcBorders>
          </w:tcPr>
          <w:p w14:paraId="4AF26C3A" w14:textId="3A4FB309" w:rsidR="00444DE5" w:rsidRPr="00054ABD" w:rsidRDefault="00444DE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10</w:t>
            </w:r>
            <w:r w:rsidR="00BB45F6">
              <w:rPr>
                <w:rFonts w:ascii="Arial" w:hAnsi="Arial" w:cs="Arial"/>
                <w:sz w:val="20"/>
                <w:szCs w:val="20"/>
              </w:rPr>
              <w:fldChar w:fldCharType="begin" w:fldLock="1"/>
            </w:r>
            <w:r w:rsidR="00050D6C">
              <w:rPr>
                <w:rFonts w:ascii="Arial" w:hAnsi="Arial" w:cs="Arial"/>
                <w:sz w:val="20"/>
                <w:szCs w:val="20"/>
              </w:rPr>
              <w:instrText>ADDIN CSL_CITATION {"citationItems":[{"id":"ITEM-1","itemData":{"author":[{"dropping-particle":"","family":"Energy Technologies Institute","given":"","non-dropping-particle":"","parse-names":false,"suffix":""}],"id":"ITEM-1","issued":{"date-parts":[["2015"]]},"number-of-pages":"2-10","title":"The role of hydrogen storage in a clean responsive power system","type":"report"},"uris":["http://www.mendeley.com/documents/?uuid=dcbd6e86-b2ad-316a-9031-e98570a241aa"]}],"mendeley":{"formattedCitation":"&lt;sup&gt;16&lt;/sup&gt;","plainTextFormattedCitation":"16","previouslyFormattedCitation":"&lt;sup&gt;15&lt;/sup&gt;"},"properties":{"noteIndex":0},"schema":"https://github.com/citation-style-language/schema/raw/master/csl-citation.json"}</w:instrText>
            </w:r>
            <w:r w:rsidR="00BB45F6">
              <w:rPr>
                <w:rFonts w:ascii="Arial" w:hAnsi="Arial" w:cs="Arial"/>
                <w:sz w:val="20"/>
                <w:szCs w:val="20"/>
              </w:rPr>
              <w:fldChar w:fldCharType="separate"/>
            </w:r>
            <w:r w:rsidR="00050D6C" w:rsidRPr="00050D6C">
              <w:rPr>
                <w:rFonts w:ascii="Arial" w:hAnsi="Arial" w:cs="Arial"/>
                <w:noProof/>
                <w:sz w:val="20"/>
                <w:szCs w:val="20"/>
                <w:vertAlign w:val="superscript"/>
              </w:rPr>
              <w:t>16</w:t>
            </w:r>
            <w:r w:rsidR="00BB45F6">
              <w:rPr>
                <w:rFonts w:ascii="Arial" w:hAnsi="Arial" w:cs="Arial"/>
                <w:sz w:val="20"/>
                <w:szCs w:val="20"/>
              </w:rPr>
              <w:fldChar w:fldCharType="end"/>
            </w:r>
          </w:p>
        </w:tc>
      </w:tr>
      <w:tr w:rsidR="00444DE5" w14:paraId="5447B656" w14:textId="77777777" w:rsidTr="00C020D8">
        <w:trPr>
          <w:trHeight w:val="304"/>
        </w:trPr>
        <w:tc>
          <w:tcPr>
            <w:cnfStyle w:val="001000000000" w:firstRow="0" w:lastRow="0" w:firstColumn="1" w:lastColumn="0" w:oddVBand="0" w:evenVBand="0" w:oddHBand="0" w:evenHBand="0" w:firstRowFirstColumn="0" w:firstRowLastColumn="0" w:lastRowFirstColumn="0" w:lastRowLastColumn="0"/>
            <w:tcW w:w="4962" w:type="dxa"/>
            <w:tcBorders>
              <w:top w:val="nil"/>
              <w:left w:val="nil"/>
              <w:bottom w:val="nil"/>
              <w:right w:val="single" w:sz="4" w:space="0" w:color="auto"/>
            </w:tcBorders>
          </w:tcPr>
          <w:p w14:paraId="09B17468" w14:textId="77777777" w:rsidR="00444DE5" w:rsidRPr="00054ABD" w:rsidRDefault="00444DE5" w:rsidP="00C020D8">
            <w:pPr>
              <w:jc w:val="both"/>
              <w:rPr>
                <w:rFonts w:ascii="Arial" w:hAnsi="Arial" w:cs="Arial"/>
                <w:b w:val="0"/>
                <w:bCs w:val="0"/>
                <w:sz w:val="20"/>
                <w:szCs w:val="20"/>
              </w:rPr>
            </w:pPr>
            <w:r w:rsidRPr="00054ABD">
              <w:rPr>
                <w:rFonts w:ascii="Arial" w:hAnsi="Arial" w:cs="Arial"/>
                <w:b w:val="0"/>
                <w:bCs w:val="0"/>
                <w:sz w:val="20"/>
                <w:szCs w:val="20"/>
              </w:rPr>
              <w:t>Compressor size (3 x 15.02 GW)</w:t>
            </w:r>
          </w:p>
        </w:tc>
        <w:tc>
          <w:tcPr>
            <w:tcW w:w="4076" w:type="dxa"/>
            <w:tcBorders>
              <w:top w:val="nil"/>
              <w:left w:val="single" w:sz="4" w:space="0" w:color="auto"/>
              <w:bottom w:val="nil"/>
              <w:right w:val="nil"/>
            </w:tcBorders>
          </w:tcPr>
          <w:p w14:paraId="77CB7B57" w14:textId="4BB4F725" w:rsidR="00444DE5" w:rsidRPr="00054ABD" w:rsidRDefault="00444DE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45.06</w:t>
            </w:r>
            <w:r w:rsidR="0045569C">
              <w:rPr>
                <w:rStyle w:val="FootnoteReference"/>
                <w:rFonts w:ascii="Arial" w:hAnsi="Arial" w:cs="Arial"/>
                <w:sz w:val="20"/>
                <w:szCs w:val="20"/>
              </w:rPr>
              <w:footnoteReference w:id="2"/>
            </w:r>
          </w:p>
        </w:tc>
      </w:tr>
      <w:tr w:rsidR="00444DE5" w14:paraId="7A490CBB" w14:textId="77777777" w:rsidTr="00C020D8">
        <w:trPr>
          <w:trHeight w:val="291"/>
        </w:trPr>
        <w:tc>
          <w:tcPr>
            <w:cnfStyle w:val="001000000000" w:firstRow="0" w:lastRow="0" w:firstColumn="1" w:lastColumn="0" w:oddVBand="0" w:evenVBand="0" w:oddHBand="0" w:evenHBand="0" w:firstRowFirstColumn="0" w:firstRowLastColumn="0" w:lastRowFirstColumn="0" w:lastRowLastColumn="0"/>
            <w:tcW w:w="4962" w:type="dxa"/>
            <w:tcBorders>
              <w:top w:val="nil"/>
              <w:left w:val="nil"/>
              <w:bottom w:val="nil"/>
              <w:right w:val="single" w:sz="4" w:space="0" w:color="auto"/>
            </w:tcBorders>
          </w:tcPr>
          <w:p w14:paraId="5E2AD34A" w14:textId="77777777" w:rsidR="00444DE5" w:rsidRPr="00054ABD" w:rsidRDefault="00444DE5" w:rsidP="00C020D8">
            <w:pPr>
              <w:jc w:val="both"/>
              <w:rPr>
                <w:rFonts w:ascii="Arial" w:hAnsi="Arial" w:cs="Arial"/>
                <w:b w:val="0"/>
                <w:bCs w:val="0"/>
                <w:sz w:val="20"/>
                <w:szCs w:val="20"/>
              </w:rPr>
            </w:pPr>
            <w:r w:rsidRPr="00054ABD">
              <w:rPr>
                <w:rFonts w:ascii="Arial" w:hAnsi="Arial" w:cs="Arial"/>
                <w:b w:val="0"/>
                <w:bCs w:val="0"/>
                <w:sz w:val="20"/>
                <w:szCs w:val="20"/>
              </w:rPr>
              <w:t>Cushion gas requirement (TWh)</w:t>
            </w:r>
          </w:p>
        </w:tc>
        <w:tc>
          <w:tcPr>
            <w:tcW w:w="4076" w:type="dxa"/>
            <w:tcBorders>
              <w:top w:val="nil"/>
              <w:left w:val="single" w:sz="4" w:space="0" w:color="auto"/>
              <w:bottom w:val="nil"/>
              <w:right w:val="nil"/>
            </w:tcBorders>
          </w:tcPr>
          <w:p w14:paraId="2BF893C1" w14:textId="552F7EB1" w:rsidR="00444DE5" w:rsidRPr="00054ABD" w:rsidRDefault="00444DE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10.14</w:t>
            </w:r>
          </w:p>
        </w:tc>
      </w:tr>
      <w:tr w:rsidR="00444DE5" w14:paraId="57A7052D" w14:textId="77777777" w:rsidTr="00C020D8">
        <w:trPr>
          <w:trHeight w:val="291"/>
        </w:trPr>
        <w:tc>
          <w:tcPr>
            <w:cnfStyle w:val="001000000000" w:firstRow="0" w:lastRow="0" w:firstColumn="1" w:lastColumn="0" w:oddVBand="0" w:evenVBand="0" w:oddHBand="0" w:evenHBand="0" w:firstRowFirstColumn="0" w:firstRowLastColumn="0" w:lastRowFirstColumn="0" w:lastRowLastColumn="0"/>
            <w:tcW w:w="4962" w:type="dxa"/>
            <w:tcBorders>
              <w:top w:val="nil"/>
              <w:left w:val="nil"/>
              <w:bottom w:val="nil"/>
              <w:right w:val="single" w:sz="4" w:space="0" w:color="auto"/>
            </w:tcBorders>
          </w:tcPr>
          <w:p w14:paraId="5F7A55EC" w14:textId="77777777" w:rsidR="00444DE5" w:rsidRPr="00054ABD" w:rsidRDefault="00444DE5" w:rsidP="00C020D8">
            <w:pPr>
              <w:jc w:val="both"/>
              <w:rPr>
                <w:rFonts w:ascii="Arial" w:hAnsi="Arial" w:cs="Arial"/>
                <w:b w:val="0"/>
                <w:bCs w:val="0"/>
                <w:sz w:val="20"/>
                <w:szCs w:val="20"/>
              </w:rPr>
            </w:pPr>
            <w:r w:rsidRPr="00054ABD">
              <w:rPr>
                <w:rFonts w:ascii="Arial" w:hAnsi="Arial" w:cs="Arial"/>
                <w:b w:val="0"/>
                <w:bCs w:val="0"/>
                <w:sz w:val="20"/>
                <w:szCs w:val="20"/>
              </w:rPr>
              <w:t>Electricity requirement for compression (GWh/</w:t>
            </w:r>
            <w:proofErr w:type="spellStart"/>
            <w:r w:rsidRPr="00054ABD">
              <w:rPr>
                <w:rFonts w:ascii="Arial" w:hAnsi="Arial" w:cs="Arial"/>
                <w:b w:val="0"/>
                <w:bCs w:val="0"/>
                <w:sz w:val="20"/>
                <w:szCs w:val="20"/>
              </w:rPr>
              <w:t>yr</w:t>
            </w:r>
            <w:proofErr w:type="spellEnd"/>
            <w:r w:rsidRPr="00054ABD">
              <w:rPr>
                <w:rFonts w:ascii="Arial" w:hAnsi="Arial" w:cs="Arial"/>
                <w:b w:val="0"/>
                <w:bCs w:val="0"/>
                <w:sz w:val="20"/>
                <w:szCs w:val="20"/>
              </w:rPr>
              <w:t>)</w:t>
            </w:r>
          </w:p>
        </w:tc>
        <w:tc>
          <w:tcPr>
            <w:tcW w:w="4076" w:type="dxa"/>
            <w:tcBorders>
              <w:top w:val="nil"/>
              <w:left w:val="single" w:sz="4" w:space="0" w:color="auto"/>
              <w:bottom w:val="nil"/>
              <w:right w:val="nil"/>
            </w:tcBorders>
          </w:tcPr>
          <w:p w14:paraId="733F1F77" w14:textId="1A1C41B7" w:rsidR="00444DE5" w:rsidRPr="00054ABD" w:rsidRDefault="00444DE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608</w:t>
            </w:r>
            <w:r w:rsidR="00D73250">
              <w:rPr>
                <w:rStyle w:val="FootnoteReference"/>
                <w:rFonts w:ascii="Arial" w:hAnsi="Arial" w:cs="Arial"/>
                <w:sz w:val="20"/>
                <w:szCs w:val="20"/>
              </w:rPr>
              <w:footnoteReference w:id="3"/>
            </w:r>
          </w:p>
        </w:tc>
      </w:tr>
      <w:tr w:rsidR="00444DE5" w14:paraId="7BF4BD6F" w14:textId="77777777" w:rsidTr="00C020D8">
        <w:trPr>
          <w:trHeight w:val="304"/>
        </w:trPr>
        <w:tc>
          <w:tcPr>
            <w:cnfStyle w:val="001000000000" w:firstRow="0" w:lastRow="0" w:firstColumn="1" w:lastColumn="0" w:oddVBand="0" w:evenVBand="0" w:oddHBand="0" w:evenHBand="0" w:firstRowFirstColumn="0" w:firstRowLastColumn="0" w:lastRowFirstColumn="0" w:lastRowLastColumn="0"/>
            <w:tcW w:w="4962" w:type="dxa"/>
            <w:tcBorders>
              <w:top w:val="nil"/>
              <w:left w:val="nil"/>
              <w:bottom w:val="nil"/>
              <w:right w:val="single" w:sz="4" w:space="0" w:color="auto"/>
            </w:tcBorders>
          </w:tcPr>
          <w:p w14:paraId="3D7E6D62" w14:textId="77777777" w:rsidR="00444DE5" w:rsidRPr="00054ABD" w:rsidRDefault="00444DE5" w:rsidP="00C020D8">
            <w:pPr>
              <w:jc w:val="both"/>
              <w:rPr>
                <w:rFonts w:ascii="Arial" w:hAnsi="Arial" w:cs="Arial"/>
                <w:b w:val="0"/>
                <w:bCs w:val="0"/>
                <w:sz w:val="20"/>
                <w:szCs w:val="20"/>
              </w:rPr>
            </w:pPr>
            <w:r w:rsidRPr="00054ABD">
              <w:rPr>
                <w:rFonts w:ascii="Arial" w:hAnsi="Arial" w:cs="Arial"/>
                <w:b w:val="0"/>
                <w:bCs w:val="0"/>
                <w:sz w:val="20"/>
                <w:szCs w:val="20"/>
              </w:rPr>
              <w:t>Wastewater output (</w:t>
            </w:r>
            <w:proofErr w:type="spellStart"/>
            <w:r w:rsidRPr="00054ABD">
              <w:rPr>
                <w:rFonts w:ascii="Arial" w:hAnsi="Arial" w:cs="Arial"/>
                <w:b w:val="0"/>
                <w:bCs w:val="0"/>
                <w:sz w:val="20"/>
                <w:szCs w:val="20"/>
              </w:rPr>
              <w:t>Mton</w:t>
            </w:r>
            <w:proofErr w:type="spellEnd"/>
            <w:r w:rsidRPr="00054ABD">
              <w:rPr>
                <w:rFonts w:ascii="Arial" w:hAnsi="Arial" w:cs="Arial"/>
                <w:b w:val="0"/>
                <w:bCs w:val="0"/>
                <w:sz w:val="20"/>
                <w:szCs w:val="20"/>
              </w:rPr>
              <w:t>)</w:t>
            </w:r>
          </w:p>
        </w:tc>
        <w:tc>
          <w:tcPr>
            <w:tcW w:w="4076" w:type="dxa"/>
            <w:tcBorders>
              <w:top w:val="nil"/>
              <w:left w:val="single" w:sz="4" w:space="0" w:color="auto"/>
              <w:bottom w:val="nil"/>
              <w:right w:val="nil"/>
            </w:tcBorders>
          </w:tcPr>
          <w:p w14:paraId="363720DE" w14:textId="570EFAB1" w:rsidR="00444DE5" w:rsidRPr="00054ABD" w:rsidRDefault="00444DE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312</w:t>
            </w:r>
            <w:r w:rsidR="00604358">
              <w:rPr>
                <w:rFonts w:ascii="Arial" w:hAnsi="Arial" w:cs="Arial"/>
                <w:sz w:val="20"/>
                <w:szCs w:val="20"/>
              </w:rPr>
              <w:fldChar w:fldCharType="begin" w:fldLock="1"/>
            </w:r>
            <w:r w:rsidR="00050D6C">
              <w:rPr>
                <w:rFonts w:ascii="Arial" w:hAnsi="Arial" w:cs="Arial"/>
                <w:sz w:val="20"/>
                <w:szCs w:val="20"/>
              </w:rPr>
              <w:instrText>ADDIN CSL_CITATION {"citationItems":[{"id":"ITEM-1","itemData":{"author":[{"dropping-particle":"","family":"Chabrelie","given":"M.F.","non-dropping-particle":"","parse-names":false,"suffix":""},{"dropping-particle":"","family":"Dussaud","given":"M.","non-dropping-particle":"","parse-names":false,"suffix":""},{"dropping-particle":"","family":"Bourjas","given":"D.","non-dropping-particle":"","parse-names":false,"suffix":""},{"dropping-particle":"","family":"Hugout","given":"B.","non-dropping-particle":"","parse-names":false,"suffix":""}],"container-title":"17th World Energy Congress held in Houston, Texas, USA, September","id":"ITEM-1","issued":{"date-parts":[["1988"]]},"title":"Underground Gas Storage: Technological Innovation for Increased Efficiency","type":"paper-conference"},"uris":["http://www.mendeley.com/documents/?uuid=341e2dcc-e11f-48ed-b00d-f8c25ed3214c"]}],"mendeley":{"formattedCitation":"&lt;sup&gt;15&lt;/sup&gt;","plainTextFormattedCitation":"15","previouslyFormattedCitation":"&lt;sup&gt;14&lt;/sup&gt;"},"properties":{"noteIndex":0},"schema":"https://github.com/citation-style-language/schema/raw/master/csl-citation.json"}</w:instrText>
            </w:r>
            <w:r w:rsidR="00604358">
              <w:rPr>
                <w:rFonts w:ascii="Arial" w:hAnsi="Arial" w:cs="Arial"/>
                <w:sz w:val="20"/>
                <w:szCs w:val="20"/>
              </w:rPr>
              <w:fldChar w:fldCharType="separate"/>
            </w:r>
            <w:r w:rsidR="00050D6C" w:rsidRPr="00050D6C">
              <w:rPr>
                <w:rFonts w:ascii="Arial" w:hAnsi="Arial" w:cs="Arial"/>
                <w:noProof/>
                <w:sz w:val="20"/>
                <w:szCs w:val="20"/>
                <w:vertAlign w:val="superscript"/>
              </w:rPr>
              <w:t>15</w:t>
            </w:r>
            <w:r w:rsidR="00604358">
              <w:rPr>
                <w:rFonts w:ascii="Arial" w:hAnsi="Arial" w:cs="Arial"/>
                <w:sz w:val="20"/>
                <w:szCs w:val="20"/>
              </w:rPr>
              <w:fldChar w:fldCharType="end"/>
            </w:r>
          </w:p>
        </w:tc>
      </w:tr>
      <w:tr w:rsidR="00444DE5" w14:paraId="25A13948" w14:textId="77777777" w:rsidTr="00C020D8">
        <w:trPr>
          <w:trHeight w:val="291"/>
        </w:trPr>
        <w:tc>
          <w:tcPr>
            <w:cnfStyle w:val="001000000000" w:firstRow="0" w:lastRow="0" w:firstColumn="1" w:lastColumn="0" w:oddVBand="0" w:evenVBand="0" w:oddHBand="0" w:evenHBand="0" w:firstRowFirstColumn="0" w:firstRowLastColumn="0" w:lastRowFirstColumn="0" w:lastRowLastColumn="0"/>
            <w:tcW w:w="4962" w:type="dxa"/>
            <w:tcBorders>
              <w:top w:val="nil"/>
              <w:left w:val="nil"/>
              <w:right w:val="single" w:sz="4" w:space="0" w:color="auto"/>
            </w:tcBorders>
          </w:tcPr>
          <w:p w14:paraId="771454E4" w14:textId="77777777" w:rsidR="00444DE5" w:rsidRPr="00054ABD" w:rsidRDefault="00444DE5" w:rsidP="00C020D8">
            <w:pPr>
              <w:jc w:val="both"/>
              <w:rPr>
                <w:rFonts w:ascii="Arial" w:hAnsi="Arial" w:cs="Arial"/>
                <w:b w:val="0"/>
                <w:bCs w:val="0"/>
                <w:sz w:val="20"/>
                <w:szCs w:val="20"/>
              </w:rPr>
            </w:pPr>
            <w:r w:rsidRPr="00054ABD">
              <w:rPr>
                <w:rFonts w:ascii="Arial" w:hAnsi="Arial" w:cs="Arial"/>
                <w:b w:val="0"/>
                <w:bCs w:val="0"/>
                <w:sz w:val="20"/>
                <w:szCs w:val="20"/>
              </w:rPr>
              <w:t>Salt discharge in brine outlet (</w:t>
            </w:r>
            <w:proofErr w:type="spellStart"/>
            <w:r w:rsidRPr="00054ABD">
              <w:rPr>
                <w:rFonts w:ascii="Arial" w:hAnsi="Arial" w:cs="Arial"/>
                <w:b w:val="0"/>
                <w:bCs w:val="0"/>
                <w:sz w:val="20"/>
                <w:szCs w:val="20"/>
              </w:rPr>
              <w:t>Mton</w:t>
            </w:r>
            <w:proofErr w:type="spellEnd"/>
            <w:r w:rsidRPr="00054ABD">
              <w:rPr>
                <w:rFonts w:ascii="Arial" w:hAnsi="Arial" w:cs="Arial"/>
                <w:b w:val="0"/>
                <w:bCs w:val="0"/>
                <w:sz w:val="20"/>
                <w:szCs w:val="20"/>
              </w:rPr>
              <w:t>)</w:t>
            </w:r>
          </w:p>
        </w:tc>
        <w:tc>
          <w:tcPr>
            <w:tcW w:w="4076" w:type="dxa"/>
            <w:tcBorders>
              <w:top w:val="nil"/>
              <w:left w:val="single" w:sz="4" w:space="0" w:color="auto"/>
              <w:right w:val="nil"/>
            </w:tcBorders>
          </w:tcPr>
          <w:p w14:paraId="62099B8C" w14:textId="2BA8C27C" w:rsidR="00444DE5" w:rsidRPr="00054ABD" w:rsidRDefault="00444DE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88.9</w:t>
            </w:r>
            <w:r w:rsidR="00604358">
              <w:rPr>
                <w:rFonts w:ascii="Arial" w:hAnsi="Arial" w:cs="Arial"/>
                <w:sz w:val="20"/>
                <w:szCs w:val="20"/>
              </w:rPr>
              <w:fldChar w:fldCharType="begin" w:fldLock="1"/>
            </w:r>
            <w:r w:rsidR="00050D6C">
              <w:rPr>
                <w:rFonts w:ascii="Arial" w:hAnsi="Arial" w:cs="Arial"/>
                <w:sz w:val="20"/>
                <w:szCs w:val="20"/>
              </w:rPr>
              <w:instrText>ADDIN CSL_CITATION {"citationItems":[{"id":"ITEM-1","itemData":{"author":[{"dropping-particle":"","family":"Chabrelie","given":"M.F.","non-dropping-particle":"","parse-names":false,"suffix":""},{"dropping-particle":"","family":"Dussaud","given":"M.","non-dropping-particle":"","parse-names":false,"suffix":""},{"dropping-particle":"","family":"Bourjas","given":"D.","non-dropping-particle":"","parse-names":false,"suffix":""},{"dropping-particle":"","family":"Hugout","given":"B.","non-dropping-particle":"","parse-names":false,"suffix":""}],"container-title":"17th World Energy Congress held in Houston, Texas, USA, September","id":"ITEM-1","issued":{"date-parts":[["1988"]]},"title":"Underground Gas Storage: Technological Innovation for Increased Efficiency","type":"paper-conference"},"uris":["http://www.mendeley.com/documents/?uuid=341e2dcc-e11f-48ed-b00d-f8c25ed3214c"]}],"mendeley":{"formattedCitation":"&lt;sup&gt;15&lt;/sup&gt;","plainTextFormattedCitation":"15","previouslyFormattedCitation":"&lt;sup&gt;14&lt;/sup&gt;"},"properties":{"noteIndex":0},"schema":"https://github.com/citation-style-language/schema/raw/master/csl-citation.json"}</w:instrText>
            </w:r>
            <w:r w:rsidR="00604358">
              <w:rPr>
                <w:rFonts w:ascii="Arial" w:hAnsi="Arial" w:cs="Arial"/>
                <w:sz w:val="20"/>
                <w:szCs w:val="20"/>
              </w:rPr>
              <w:fldChar w:fldCharType="separate"/>
            </w:r>
            <w:r w:rsidR="00050D6C" w:rsidRPr="00050D6C">
              <w:rPr>
                <w:rFonts w:ascii="Arial" w:hAnsi="Arial" w:cs="Arial"/>
                <w:noProof/>
                <w:sz w:val="20"/>
                <w:szCs w:val="20"/>
                <w:vertAlign w:val="superscript"/>
              </w:rPr>
              <w:t>15</w:t>
            </w:r>
            <w:r w:rsidR="00604358">
              <w:rPr>
                <w:rFonts w:ascii="Arial" w:hAnsi="Arial" w:cs="Arial"/>
                <w:sz w:val="20"/>
                <w:szCs w:val="20"/>
              </w:rPr>
              <w:fldChar w:fldCharType="end"/>
            </w:r>
          </w:p>
        </w:tc>
      </w:tr>
    </w:tbl>
    <w:p w14:paraId="351F3674" w14:textId="2E79C22F" w:rsidR="00444DE5" w:rsidRDefault="00444DE5" w:rsidP="00444DE5">
      <w:pPr>
        <w:jc w:val="both"/>
      </w:pPr>
    </w:p>
    <w:p w14:paraId="101B490A" w14:textId="01CDAE72" w:rsidR="000F538A" w:rsidRDefault="000F538A" w:rsidP="00444DE5">
      <w:pPr>
        <w:jc w:val="both"/>
      </w:pPr>
    </w:p>
    <w:p w14:paraId="4AAA0C87" w14:textId="3C40D367" w:rsidR="000F538A" w:rsidRDefault="000F538A" w:rsidP="00444DE5">
      <w:pPr>
        <w:jc w:val="both"/>
      </w:pPr>
    </w:p>
    <w:p w14:paraId="1DFAFC3F" w14:textId="77777777" w:rsidR="000F538A" w:rsidRDefault="000F538A" w:rsidP="00444DE5">
      <w:pPr>
        <w:jc w:val="both"/>
      </w:pPr>
    </w:p>
    <w:p w14:paraId="0978DBEE" w14:textId="72365E26" w:rsidR="00444DE5" w:rsidRPr="001B2908" w:rsidRDefault="00444DE5" w:rsidP="00444DE5">
      <w:pPr>
        <w:pStyle w:val="Caption"/>
        <w:keepNext/>
        <w:spacing w:after="0"/>
        <w:rPr>
          <w:rFonts w:ascii="Arial" w:hAnsi="Arial" w:cs="Arial"/>
        </w:rPr>
      </w:pPr>
      <w:bookmarkStart w:id="7" w:name="_Ref76075743"/>
      <w:r w:rsidRPr="001B2908">
        <w:rPr>
          <w:rFonts w:ascii="Arial" w:hAnsi="Arial" w:cs="Arial"/>
        </w:rPr>
        <w:lastRenderedPageBreak/>
        <w:t xml:space="preserve">Table </w:t>
      </w:r>
      <w:r w:rsidR="007C7D0A">
        <w:rPr>
          <w:rFonts w:ascii="Arial" w:hAnsi="Arial" w:cs="Arial"/>
        </w:rPr>
        <w:t>S</w:t>
      </w:r>
      <w:r w:rsidRPr="001B2908">
        <w:rPr>
          <w:rFonts w:ascii="Arial" w:hAnsi="Arial" w:cs="Arial"/>
        </w:rPr>
        <w:fldChar w:fldCharType="begin"/>
      </w:r>
      <w:r w:rsidRPr="001B2908">
        <w:rPr>
          <w:rFonts w:ascii="Arial" w:hAnsi="Arial" w:cs="Arial"/>
        </w:rPr>
        <w:instrText xml:space="preserve"> SEQ Table \* ARABIC </w:instrText>
      </w:r>
      <w:r w:rsidRPr="001B2908">
        <w:rPr>
          <w:rFonts w:ascii="Arial" w:hAnsi="Arial" w:cs="Arial"/>
        </w:rPr>
        <w:fldChar w:fldCharType="separate"/>
      </w:r>
      <w:r w:rsidR="00243CB7">
        <w:rPr>
          <w:rFonts w:ascii="Arial" w:hAnsi="Arial" w:cs="Arial"/>
          <w:noProof/>
        </w:rPr>
        <w:t>7</w:t>
      </w:r>
      <w:r w:rsidRPr="001B2908">
        <w:rPr>
          <w:rFonts w:ascii="Arial" w:hAnsi="Arial" w:cs="Arial"/>
          <w:noProof/>
        </w:rPr>
        <w:fldChar w:fldCharType="end"/>
      </w:r>
      <w:bookmarkEnd w:id="7"/>
      <w:r w:rsidRPr="001B2908">
        <w:rPr>
          <w:rFonts w:ascii="Arial" w:hAnsi="Arial" w:cs="Arial"/>
        </w:rPr>
        <w:t>: Material and energy inputs to establish 8.05 TWh of H</w:t>
      </w:r>
      <w:r w:rsidRPr="001B2908">
        <w:rPr>
          <w:rFonts w:ascii="Arial" w:hAnsi="Arial" w:cs="Arial"/>
          <w:vertAlign w:val="subscript"/>
        </w:rPr>
        <w:t>2</w:t>
      </w:r>
      <w:r w:rsidRPr="001B2908">
        <w:rPr>
          <w:rFonts w:ascii="Arial" w:hAnsi="Arial" w:cs="Arial"/>
        </w:rPr>
        <w:t xml:space="preserve"> storage for both SMR-CCS and ATR-CCS. </w:t>
      </w:r>
    </w:p>
    <w:tbl>
      <w:tblPr>
        <w:tblStyle w:val="GridTable1Light"/>
        <w:tblpPr w:leftFromText="180" w:rightFromText="180" w:vertAnchor="text" w:horzAnchor="margin" w:tblpY="263"/>
        <w:tblW w:w="9038" w:type="dxa"/>
        <w:tblLook w:val="04A0" w:firstRow="1" w:lastRow="0" w:firstColumn="1" w:lastColumn="0" w:noHBand="0" w:noVBand="1"/>
      </w:tblPr>
      <w:tblGrid>
        <w:gridCol w:w="4962"/>
        <w:gridCol w:w="4076"/>
      </w:tblGrid>
      <w:tr w:rsidR="00444DE5" w14:paraId="3376BADA" w14:textId="77777777" w:rsidTr="00C020D8">
        <w:trPr>
          <w:cnfStyle w:val="100000000000" w:firstRow="1" w:lastRow="0" w:firstColumn="0" w:lastColumn="0" w:oddVBand="0" w:evenVBand="0" w:oddHBand="0" w:evenHBand="0" w:firstRowFirstColumn="0" w:firstRowLastColumn="0" w:lastRowFirstColumn="0" w:lastRowLastColumn="0"/>
          <w:trHeight w:val="291"/>
        </w:trPr>
        <w:tc>
          <w:tcPr>
            <w:cnfStyle w:val="001000000000" w:firstRow="0" w:lastRow="0" w:firstColumn="1" w:lastColumn="0" w:oddVBand="0" w:evenVBand="0" w:oddHBand="0" w:evenHBand="0" w:firstRowFirstColumn="0" w:firstRowLastColumn="0" w:lastRowFirstColumn="0" w:lastRowLastColumn="0"/>
            <w:tcW w:w="4962" w:type="dxa"/>
            <w:tcBorders>
              <w:top w:val="single" w:sz="4" w:space="0" w:color="auto"/>
              <w:left w:val="nil"/>
              <w:right w:val="single" w:sz="4" w:space="0" w:color="auto"/>
            </w:tcBorders>
          </w:tcPr>
          <w:p w14:paraId="7C9A007D" w14:textId="77777777" w:rsidR="00444DE5" w:rsidRPr="00054ABD" w:rsidRDefault="00444DE5" w:rsidP="00C020D8">
            <w:pPr>
              <w:jc w:val="both"/>
              <w:rPr>
                <w:rFonts w:ascii="Arial" w:hAnsi="Arial" w:cs="Arial"/>
                <w:sz w:val="20"/>
                <w:szCs w:val="20"/>
              </w:rPr>
            </w:pPr>
            <w:r w:rsidRPr="00054ABD">
              <w:rPr>
                <w:rFonts w:ascii="Arial" w:hAnsi="Arial" w:cs="Arial"/>
                <w:sz w:val="20"/>
                <w:szCs w:val="20"/>
              </w:rPr>
              <w:t>Material/ energy input-outputs</w:t>
            </w:r>
          </w:p>
        </w:tc>
        <w:tc>
          <w:tcPr>
            <w:tcW w:w="4076" w:type="dxa"/>
            <w:tcBorders>
              <w:top w:val="single" w:sz="4" w:space="0" w:color="auto"/>
              <w:left w:val="single" w:sz="4" w:space="0" w:color="auto"/>
              <w:right w:val="nil"/>
            </w:tcBorders>
          </w:tcPr>
          <w:p w14:paraId="3B11C31B" w14:textId="77777777" w:rsidR="00444DE5" w:rsidRPr="00054ABD" w:rsidRDefault="00444DE5" w:rsidP="00C020D8">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Quantity</w:t>
            </w:r>
          </w:p>
        </w:tc>
      </w:tr>
      <w:tr w:rsidR="00444DE5" w14:paraId="108B160E" w14:textId="77777777" w:rsidTr="00C020D8">
        <w:trPr>
          <w:trHeight w:val="291"/>
        </w:trPr>
        <w:tc>
          <w:tcPr>
            <w:cnfStyle w:val="001000000000" w:firstRow="0" w:lastRow="0" w:firstColumn="1" w:lastColumn="0" w:oddVBand="0" w:evenVBand="0" w:oddHBand="0" w:evenHBand="0" w:firstRowFirstColumn="0" w:firstRowLastColumn="0" w:lastRowFirstColumn="0" w:lastRowLastColumn="0"/>
            <w:tcW w:w="4962" w:type="dxa"/>
            <w:tcBorders>
              <w:top w:val="single" w:sz="12" w:space="0" w:color="666666" w:themeColor="text1" w:themeTint="99"/>
              <w:left w:val="nil"/>
              <w:bottom w:val="nil"/>
              <w:right w:val="single" w:sz="4" w:space="0" w:color="auto"/>
            </w:tcBorders>
          </w:tcPr>
          <w:p w14:paraId="6CEB0114" w14:textId="77777777" w:rsidR="00444DE5" w:rsidRPr="00054ABD" w:rsidRDefault="00444DE5" w:rsidP="00C020D8">
            <w:pPr>
              <w:jc w:val="both"/>
              <w:rPr>
                <w:rFonts w:ascii="Arial" w:hAnsi="Arial" w:cs="Arial"/>
                <w:b w:val="0"/>
                <w:bCs w:val="0"/>
                <w:sz w:val="20"/>
                <w:szCs w:val="20"/>
              </w:rPr>
            </w:pPr>
            <w:r w:rsidRPr="00054ABD">
              <w:rPr>
                <w:rFonts w:ascii="Arial" w:hAnsi="Arial" w:cs="Arial"/>
                <w:b w:val="0"/>
                <w:bCs w:val="0"/>
                <w:sz w:val="20"/>
                <w:szCs w:val="20"/>
              </w:rPr>
              <w:t>Water input (m</w:t>
            </w:r>
            <w:r w:rsidRPr="00054ABD">
              <w:rPr>
                <w:rFonts w:ascii="Arial" w:hAnsi="Arial" w:cs="Arial"/>
                <w:b w:val="0"/>
                <w:bCs w:val="0"/>
                <w:sz w:val="20"/>
                <w:szCs w:val="20"/>
                <w:vertAlign w:val="superscript"/>
              </w:rPr>
              <w:t>3</w:t>
            </w:r>
            <w:r w:rsidRPr="00054ABD">
              <w:rPr>
                <w:rFonts w:ascii="Arial" w:hAnsi="Arial" w:cs="Arial"/>
                <w:b w:val="0"/>
                <w:bCs w:val="0"/>
                <w:sz w:val="20"/>
                <w:szCs w:val="20"/>
              </w:rPr>
              <w:t>)</w:t>
            </w:r>
          </w:p>
        </w:tc>
        <w:tc>
          <w:tcPr>
            <w:tcW w:w="4076" w:type="dxa"/>
            <w:tcBorders>
              <w:top w:val="single" w:sz="12" w:space="0" w:color="666666" w:themeColor="text1" w:themeTint="99"/>
              <w:left w:val="single" w:sz="4" w:space="0" w:color="auto"/>
              <w:bottom w:val="nil"/>
              <w:right w:val="nil"/>
            </w:tcBorders>
          </w:tcPr>
          <w:p w14:paraId="0E954BD6" w14:textId="77777777" w:rsidR="00444DE5" w:rsidRPr="00054ABD" w:rsidRDefault="00444DE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1.34 x 10</w:t>
            </w:r>
            <w:r w:rsidRPr="00054ABD">
              <w:rPr>
                <w:rFonts w:ascii="Arial" w:hAnsi="Arial" w:cs="Arial"/>
                <w:sz w:val="20"/>
                <w:szCs w:val="20"/>
                <w:vertAlign w:val="superscript"/>
              </w:rPr>
              <w:t>8</w:t>
            </w:r>
          </w:p>
        </w:tc>
      </w:tr>
      <w:tr w:rsidR="00444DE5" w14:paraId="6F4AA0F3" w14:textId="77777777" w:rsidTr="00C020D8">
        <w:trPr>
          <w:trHeight w:val="304"/>
        </w:trPr>
        <w:tc>
          <w:tcPr>
            <w:cnfStyle w:val="001000000000" w:firstRow="0" w:lastRow="0" w:firstColumn="1" w:lastColumn="0" w:oddVBand="0" w:evenVBand="0" w:oddHBand="0" w:evenHBand="0" w:firstRowFirstColumn="0" w:firstRowLastColumn="0" w:lastRowFirstColumn="0" w:lastRowLastColumn="0"/>
            <w:tcW w:w="4962" w:type="dxa"/>
            <w:tcBorders>
              <w:top w:val="nil"/>
              <w:left w:val="nil"/>
              <w:bottom w:val="nil"/>
              <w:right w:val="single" w:sz="4" w:space="0" w:color="auto"/>
            </w:tcBorders>
          </w:tcPr>
          <w:p w14:paraId="42D9CB3C" w14:textId="77777777" w:rsidR="00444DE5" w:rsidRPr="00054ABD" w:rsidRDefault="00444DE5" w:rsidP="00C020D8">
            <w:pPr>
              <w:jc w:val="both"/>
              <w:rPr>
                <w:rFonts w:ascii="Arial" w:hAnsi="Arial" w:cs="Arial"/>
                <w:b w:val="0"/>
                <w:bCs w:val="0"/>
                <w:sz w:val="20"/>
                <w:szCs w:val="20"/>
              </w:rPr>
            </w:pPr>
            <w:r w:rsidRPr="00054ABD">
              <w:rPr>
                <w:rFonts w:ascii="Arial" w:hAnsi="Arial" w:cs="Arial"/>
                <w:b w:val="0"/>
                <w:bCs w:val="0"/>
                <w:sz w:val="20"/>
                <w:szCs w:val="20"/>
              </w:rPr>
              <w:t>Occupation of industrial area (m</w:t>
            </w:r>
            <w:r w:rsidRPr="00054ABD">
              <w:rPr>
                <w:rFonts w:ascii="Arial" w:hAnsi="Arial" w:cs="Arial"/>
                <w:b w:val="0"/>
                <w:bCs w:val="0"/>
                <w:sz w:val="20"/>
                <w:szCs w:val="20"/>
                <w:vertAlign w:val="superscript"/>
              </w:rPr>
              <w:t>2</w:t>
            </w:r>
            <w:r w:rsidRPr="00054ABD">
              <w:rPr>
                <w:rFonts w:ascii="Arial" w:hAnsi="Arial" w:cs="Arial"/>
                <w:b w:val="0"/>
                <w:bCs w:val="0"/>
                <w:sz w:val="20"/>
                <w:szCs w:val="20"/>
              </w:rPr>
              <w:t>)</w:t>
            </w:r>
          </w:p>
        </w:tc>
        <w:tc>
          <w:tcPr>
            <w:tcW w:w="4076" w:type="dxa"/>
            <w:tcBorders>
              <w:top w:val="nil"/>
              <w:left w:val="single" w:sz="4" w:space="0" w:color="auto"/>
              <w:bottom w:val="nil"/>
              <w:right w:val="nil"/>
            </w:tcBorders>
          </w:tcPr>
          <w:p w14:paraId="3856A6D2" w14:textId="77777777" w:rsidR="00444DE5" w:rsidRPr="00054ABD" w:rsidRDefault="00444DE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108,000</w:t>
            </w:r>
          </w:p>
        </w:tc>
      </w:tr>
      <w:tr w:rsidR="00444DE5" w14:paraId="7B397658" w14:textId="77777777" w:rsidTr="00C020D8">
        <w:trPr>
          <w:trHeight w:val="291"/>
        </w:trPr>
        <w:tc>
          <w:tcPr>
            <w:cnfStyle w:val="001000000000" w:firstRow="0" w:lastRow="0" w:firstColumn="1" w:lastColumn="0" w:oddVBand="0" w:evenVBand="0" w:oddHBand="0" w:evenHBand="0" w:firstRowFirstColumn="0" w:firstRowLastColumn="0" w:lastRowFirstColumn="0" w:lastRowLastColumn="0"/>
            <w:tcW w:w="4962" w:type="dxa"/>
            <w:tcBorders>
              <w:top w:val="nil"/>
              <w:left w:val="nil"/>
              <w:bottom w:val="nil"/>
              <w:right w:val="single" w:sz="4" w:space="0" w:color="auto"/>
            </w:tcBorders>
          </w:tcPr>
          <w:p w14:paraId="1D0D823D" w14:textId="77777777" w:rsidR="00444DE5" w:rsidRPr="00054ABD" w:rsidRDefault="00444DE5" w:rsidP="00C020D8">
            <w:pPr>
              <w:jc w:val="both"/>
              <w:rPr>
                <w:rFonts w:ascii="Arial" w:hAnsi="Arial" w:cs="Arial"/>
                <w:b w:val="0"/>
                <w:bCs w:val="0"/>
                <w:sz w:val="20"/>
                <w:szCs w:val="20"/>
              </w:rPr>
            </w:pPr>
            <w:r w:rsidRPr="00054ABD">
              <w:rPr>
                <w:rFonts w:ascii="Arial" w:hAnsi="Arial" w:cs="Arial"/>
                <w:b w:val="0"/>
                <w:bCs w:val="0"/>
                <w:sz w:val="20"/>
                <w:szCs w:val="20"/>
              </w:rPr>
              <w:t>Transformation to industrial area (m</w:t>
            </w:r>
            <w:r w:rsidRPr="00054ABD">
              <w:rPr>
                <w:rFonts w:ascii="Arial" w:hAnsi="Arial" w:cs="Arial"/>
                <w:b w:val="0"/>
                <w:bCs w:val="0"/>
                <w:sz w:val="20"/>
                <w:szCs w:val="20"/>
                <w:vertAlign w:val="superscript"/>
              </w:rPr>
              <w:t>2</w:t>
            </w:r>
            <w:r w:rsidRPr="00054ABD">
              <w:rPr>
                <w:rFonts w:ascii="Arial" w:hAnsi="Arial" w:cs="Arial"/>
                <w:b w:val="0"/>
                <w:bCs w:val="0"/>
                <w:sz w:val="20"/>
                <w:szCs w:val="20"/>
              </w:rPr>
              <w:t>)</w:t>
            </w:r>
          </w:p>
        </w:tc>
        <w:tc>
          <w:tcPr>
            <w:tcW w:w="4076" w:type="dxa"/>
            <w:tcBorders>
              <w:top w:val="nil"/>
              <w:left w:val="single" w:sz="4" w:space="0" w:color="auto"/>
              <w:bottom w:val="nil"/>
              <w:right w:val="nil"/>
            </w:tcBorders>
          </w:tcPr>
          <w:p w14:paraId="2A4A30A8" w14:textId="77777777" w:rsidR="00444DE5" w:rsidRPr="00054ABD" w:rsidRDefault="00444DE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108,000</w:t>
            </w:r>
          </w:p>
        </w:tc>
      </w:tr>
      <w:tr w:rsidR="00444DE5" w14:paraId="79E47467" w14:textId="77777777" w:rsidTr="00C020D8">
        <w:trPr>
          <w:trHeight w:val="291"/>
        </w:trPr>
        <w:tc>
          <w:tcPr>
            <w:cnfStyle w:val="001000000000" w:firstRow="0" w:lastRow="0" w:firstColumn="1" w:lastColumn="0" w:oddVBand="0" w:evenVBand="0" w:oddHBand="0" w:evenHBand="0" w:firstRowFirstColumn="0" w:firstRowLastColumn="0" w:lastRowFirstColumn="0" w:lastRowLastColumn="0"/>
            <w:tcW w:w="4962" w:type="dxa"/>
            <w:tcBorders>
              <w:top w:val="nil"/>
              <w:left w:val="nil"/>
              <w:bottom w:val="nil"/>
              <w:right w:val="single" w:sz="4" w:space="0" w:color="auto"/>
            </w:tcBorders>
          </w:tcPr>
          <w:p w14:paraId="667DFB96" w14:textId="77777777" w:rsidR="00444DE5" w:rsidRPr="00054ABD" w:rsidRDefault="00444DE5" w:rsidP="00C020D8">
            <w:pPr>
              <w:jc w:val="both"/>
              <w:rPr>
                <w:rFonts w:ascii="Arial" w:hAnsi="Arial" w:cs="Arial"/>
                <w:b w:val="0"/>
                <w:bCs w:val="0"/>
                <w:sz w:val="20"/>
                <w:szCs w:val="20"/>
              </w:rPr>
            </w:pPr>
            <w:r w:rsidRPr="00054ABD">
              <w:rPr>
                <w:rFonts w:ascii="Arial" w:hAnsi="Arial" w:cs="Arial"/>
                <w:b w:val="0"/>
                <w:bCs w:val="0"/>
                <w:sz w:val="20"/>
                <w:szCs w:val="20"/>
              </w:rPr>
              <w:t>Pipeline for water inlet and brine outlet (km)</w:t>
            </w:r>
          </w:p>
        </w:tc>
        <w:tc>
          <w:tcPr>
            <w:tcW w:w="4076" w:type="dxa"/>
            <w:tcBorders>
              <w:top w:val="nil"/>
              <w:left w:val="single" w:sz="4" w:space="0" w:color="auto"/>
              <w:bottom w:val="nil"/>
              <w:right w:val="nil"/>
            </w:tcBorders>
          </w:tcPr>
          <w:p w14:paraId="0A299FCF" w14:textId="77777777" w:rsidR="00444DE5" w:rsidRPr="00054ABD" w:rsidRDefault="00444DE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10</w:t>
            </w:r>
          </w:p>
        </w:tc>
      </w:tr>
      <w:tr w:rsidR="00444DE5" w14:paraId="03F24A2F" w14:textId="77777777" w:rsidTr="00C020D8">
        <w:trPr>
          <w:trHeight w:val="304"/>
        </w:trPr>
        <w:tc>
          <w:tcPr>
            <w:cnfStyle w:val="001000000000" w:firstRow="0" w:lastRow="0" w:firstColumn="1" w:lastColumn="0" w:oddVBand="0" w:evenVBand="0" w:oddHBand="0" w:evenHBand="0" w:firstRowFirstColumn="0" w:firstRowLastColumn="0" w:lastRowFirstColumn="0" w:lastRowLastColumn="0"/>
            <w:tcW w:w="4962" w:type="dxa"/>
            <w:tcBorders>
              <w:top w:val="nil"/>
              <w:left w:val="nil"/>
              <w:bottom w:val="nil"/>
              <w:right w:val="single" w:sz="4" w:space="0" w:color="auto"/>
            </w:tcBorders>
          </w:tcPr>
          <w:p w14:paraId="4C529A10" w14:textId="77777777" w:rsidR="00444DE5" w:rsidRPr="00054ABD" w:rsidRDefault="00444DE5" w:rsidP="00C020D8">
            <w:pPr>
              <w:jc w:val="both"/>
              <w:rPr>
                <w:rFonts w:ascii="Arial" w:hAnsi="Arial" w:cs="Arial"/>
                <w:b w:val="0"/>
                <w:bCs w:val="0"/>
                <w:sz w:val="20"/>
                <w:szCs w:val="20"/>
              </w:rPr>
            </w:pPr>
            <w:r w:rsidRPr="00054ABD">
              <w:rPr>
                <w:rFonts w:ascii="Arial" w:hAnsi="Arial" w:cs="Arial"/>
                <w:b w:val="0"/>
                <w:bCs w:val="0"/>
                <w:sz w:val="20"/>
                <w:szCs w:val="20"/>
              </w:rPr>
              <w:t>Compressor size (3 x 6.2 GW)</w:t>
            </w:r>
          </w:p>
        </w:tc>
        <w:tc>
          <w:tcPr>
            <w:tcW w:w="4076" w:type="dxa"/>
            <w:tcBorders>
              <w:top w:val="nil"/>
              <w:left w:val="single" w:sz="4" w:space="0" w:color="auto"/>
              <w:bottom w:val="nil"/>
              <w:right w:val="nil"/>
            </w:tcBorders>
          </w:tcPr>
          <w:p w14:paraId="17ED4164" w14:textId="77777777" w:rsidR="00444DE5" w:rsidRPr="00054ABD" w:rsidRDefault="00444DE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18.6</w:t>
            </w:r>
          </w:p>
        </w:tc>
      </w:tr>
      <w:tr w:rsidR="00444DE5" w14:paraId="3844B487" w14:textId="77777777" w:rsidTr="00C020D8">
        <w:trPr>
          <w:trHeight w:val="291"/>
        </w:trPr>
        <w:tc>
          <w:tcPr>
            <w:cnfStyle w:val="001000000000" w:firstRow="0" w:lastRow="0" w:firstColumn="1" w:lastColumn="0" w:oddVBand="0" w:evenVBand="0" w:oddHBand="0" w:evenHBand="0" w:firstRowFirstColumn="0" w:firstRowLastColumn="0" w:lastRowFirstColumn="0" w:lastRowLastColumn="0"/>
            <w:tcW w:w="4962" w:type="dxa"/>
            <w:tcBorders>
              <w:top w:val="nil"/>
              <w:left w:val="nil"/>
              <w:bottom w:val="nil"/>
              <w:right w:val="single" w:sz="4" w:space="0" w:color="auto"/>
            </w:tcBorders>
          </w:tcPr>
          <w:p w14:paraId="0114B10A" w14:textId="77777777" w:rsidR="00444DE5" w:rsidRPr="00054ABD" w:rsidRDefault="00444DE5" w:rsidP="00C020D8">
            <w:pPr>
              <w:jc w:val="both"/>
              <w:rPr>
                <w:rFonts w:ascii="Arial" w:hAnsi="Arial" w:cs="Arial"/>
                <w:b w:val="0"/>
                <w:bCs w:val="0"/>
                <w:sz w:val="20"/>
                <w:szCs w:val="20"/>
              </w:rPr>
            </w:pPr>
            <w:r w:rsidRPr="00054ABD">
              <w:rPr>
                <w:rFonts w:ascii="Arial" w:hAnsi="Arial" w:cs="Arial"/>
                <w:b w:val="0"/>
                <w:bCs w:val="0"/>
                <w:sz w:val="20"/>
                <w:szCs w:val="20"/>
              </w:rPr>
              <w:t>Cushion gas requirement (TWh)</w:t>
            </w:r>
          </w:p>
        </w:tc>
        <w:tc>
          <w:tcPr>
            <w:tcW w:w="4076" w:type="dxa"/>
            <w:tcBorders>
              <w:top w:val="nil"/>
              <w:left w:val="single" w:sz="4" w:space="0" w:color="auto"/>
              <w:bottom w:val="nil"/>
              <w:right w:val="nil"/>
            </w:tcBorders>
          </w:tcPr>
          <w:p w14:paraId="11D87672" w14:textId="77777777" w:rsidR="00444DE5" w:rsidRPr="00054ABD" w:rsidRDefault="00444DE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4.37</w:t>
            </w:r>
          </w:p>
        </w:tc>
      </w:tr>
      <w:tr w:rsidR="00444DE5" w14:paraId="474AB13D" w14:textId="77777777" w:rsidTr="00C020D8">
        <w:trPr>
          <w:trHeight w:val="291"/>
        </w:trPr>
        <w:tc>
          <w:tcPr>
            <w:cnfStyle w:val="001000000000" w:firstRow="0" w:lastRow="0" w:firstColumn="1" w:lastColumn="0" w:oddVBand="0" w:evenVBand="0" w:oddHBand="0" w:evenHBand="0" w:firstRowFirstColumn="0" w:firstRowLastColumn="0" w:lastRowFirstColumn="0" w:lastRowLastColumn="0"/>
            <w:tcW w:w="4962" w:type="dxa"/>
            <w:tcBorders>
              <w:top w:val="nil"/>
              <w:left w:val="nil"/>
              <w:bottom w:val="nil"/>
              <w:right w:val="single" w:sz="4" w:space="0" w:color="auto"/>
            </w:tcBorders>
          </w:tcPr>
          <w:p w14:paraId="3ECE7E77" w14:textId="77777777" w:rsidR="00444DE5" w:rsidRPr="00054ABD" w:rsidRDefault="00444DE5" w:rsidP="00C020D8">
            <w:pPr>
              <w:jc w:val="both"/>
              <w:rPr>
                <w:rFonts w:ascii="Arial" w:hAnsi="Arial" w:cs="Arial"/>
                <w:b w:val="0"/>
                <w:bCs w:val="0"/>
                <w:sz w:val="20"/>
                <w:szCs w:val="20"/>
              </w:rPr>
            </w:pPr>
            <w:r w:rsidRPr="00054ABD">
              <w:rPr>
                <w:rFonts w:ascii="Arial" w:hAnsi="Arial" w:cs="Arial"/>
                <w:b w:val="0"/>
                <w:bCs w:val="0"/>
                <w:sz w:val="20"/>
                <w:szCs w:val="20"/>
              </w:rPr>
              <w:t>Electricity requirement for compression (GWh/</w:t>
            </w:r>
            <w:proofErr w:type="spellStart"/>
            <w:r w:rsidRPr="00054ABD">
              <w:rPr>
                <w:rFonts w:ascii="Arial" w:hAnsi="Arial" w:cs="Arial"/>
                <w:b w:val="0"/>
                <w:bCs w:val="0"/>
                <w:sz w:val="20"/>
                <w:szCs w:val="20"/>
              </w:rPr>
              <w:t>yr</w:t>
            </w:r>
            <w:proofErr w:type="spellEnd"/>
            <w:r w:rsidRPr="00054ABD">
              <w:rPr>
                <w:rFonts w:ascii="Arial" w:hAnsi="Arial" w:cs="Arial"/>
                <w:b w:val="0"/>
                <w:bCs w:val="0"/>
                <w:sz w:val="20"/>
                <w:szCs w:val="20"/>
              </w:rPr>
              <w:t>)</w:t>
            </w:r>
          </w:p>
        </w:tc>
        <w:tc>
          <w:tcPr>
            <w:tcW w:w="4076" w:type="dxa"/>
            <w:tcBorders>
              <w:top w:val="nil"/>
              <w:left w:val="single" w:sz="4" w:space="0" w:color="auto"/>
              <w:bottom w:val="nil"/>
              <w:right w:val="nil"/>
            </w:tcBorders>
          </w:tcPr>
          <w:p w14:paraId="12D66E1B" w14:textId="77777777" w:rsidR="00444DE5" w:rsidRPr="00054ABD" w:rsidRDefault="00444DE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262</w:t>
            </w:r>
            <w:r w:rsidRPr="00054ABD">
              <w:rPr>
                <w:rStyle w:val="FootnoteReference"/>
                <w:rFonts w:ascii="Arial" w:hAnsi="Arial" w:cs="Arial"/>
                <w:sz w:val="20"/>
                <w:szCs w:val="20"/>
              </w:rPr>
              <w:footnoteReference w:id="4"/>
            </w:r>
          </w:p>
        </w:tc>
      </w:tr>
      <w:tr w:rsidR="00444DE5" w14:paraId="3D55E314" w14:textId="77777777" w:rsidTr="00C020D8">
        <w:trPr>
          <w:trHeight w:val="304"/>
        </w:trPr>
        <w:tc>
          <w:tcPr>
            <w:cnfStyle w:val="001000000000" w:firstRow="0" w:lastRow="0" w:firstColumn="1" w:lastColumn="0" w:oddVBand="0" w:evenVBand="0" w:oddHBand="0" w:evenHBand="0" w:firstRowFirstColumn="0" w:firstRowLastColumn="0" w:lastRowFirstColumn="0" w:lastRowLastColumn="0"/>
            <w:tcW w:w="4962" w:type="dxa"/>
            <w:tcBorders>
              <w:top w:val="nil"/>
              <w:left w:val="nil"/>
              <w:bottom w:val="nil"/>
              <w:right w:val="single" w:sz="4" w:space="0" w:color="auto"/>
            </w:tcBorders>
          </w:tcPr>
          <w:p w14:paraId="177E4A2E" w14:textId="77777777" w:rsidR="00444DE5" w:rsidRPr="00054ABD" w:rsidRDefault="00444DE5" w:rsidP="00C020D8">
            <w:pPr>
              <w:jc w:val="both"/>
              <w:rPr>
                <w:rFonts w:ascii="Arial" w:hAnsi="Arial" w:cs="Arial"/>
                <w:b w:val="0"/>
                <w:bCs w:val="0"/>
                <w:sz w:val="20"/>
                <w:szCs w:val="20"/>
              </w:rPr>
            </w:pPr>
            <w:r w:rsidRPr="00054ABD">
              <w:rPr>
                <w:rFonts w:ascii="Arial" w:hAnsi="Arial" w:cs="Arial"/>
                <w:b w:val="0"/>
                <w:bCs w:val="0"/>
                <w:sz w:val="20"/>
                <w:szCs w:val="20"/>
              </w:rPr>
              <w:t>Wastewater output (</w:t>
            </w:r>
            <w:proofErr w:type="spellStart"/>
            <w:r w:rsidRPr="00054ABD">
              <w:rPr>
                <w:rFonts w:ascii="Arial" w:hAnsi="Arial" w:cs="Arial"/>
                <w:b w:val="0"/>
                <w:bCs w:val="0"/>
                <w:sz w:val="20"/>
                <w:szCs w:val="20"/>
              </w:rPr>
              <w:t>Mton</w:t>
            </w:r>
            <w:proofErr w:type="spellEnd"/>
            <w:r w:rsidRPr="00054ABD">
              <w:rPr>
                <w:rFonts w:ascii="Arial" w:hAnsi="Arial" w:cs="Arial"/>
                <w:b w:val="0"/>
                <w:bCs w:val="0"/>
                <w:sz w:val="20"/>
                <w:szCs w:val="20"/>
              </w:rPr>
              <w:t>)</w:t>
            </w:r>
          </w:p>
        </w:tc>
        <w:tc>
          <w:tcPr>
            <w:tcW w:w="4076" w:type="dxa"/>
            <w:tcBorders>
              <w:top w:val="nil"/>
              <w:left w:val="single" w:sz="4" w:space="0" w:color="auto"/>
              <w:bottom w:val="nil"/>
              <w:right w:val="nil"/>
            </w:tcBorders>
          </w:tcPr>
          <w:p w14:paraId="62F07218" w14:textId="77777777" w:rsidR="00444DE5" w:rsidRPr="00054ABD" w:rsidRDefault="00444DE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134</w:t>
            </w:r>
          </w:p>
        </w:tc>
      </w:tr>
      <w:tr w:rsidR="00444DE5" w14:paraId="39F68409" w14:textId="77777777" w:rsidTr="00C020D8">
        <w:trPr>
          <w:trHeight w:val="291"/>
        </w:trPr>
        <w:tc>
          <w:tcPr>
            <w:cnfStyle w:val="001000000000" w:firstRow="0" w:lastRow="0" w:firstColumn="1" w:lastColumn="0" w:oddVBand="0" w:evenVBand="0" w:oddHBand="0" w:evenHBand="0" w:firstRowFirstColumn="0" w:firstRowLastColumn="0" w:lastRowFirstColumn="0" w:lastRowLastColumn="0"/>
            <w:tcW w:w="4962" w:type="dxa"/>
            <w:tcBorders>
              <w:top w:val="nil"/>
              <w:left w:val="nil"/>
              <w:right w:val="single" w:sz="4" w:space="0" w:color="auto"/>
            </w:tcBorders>
          </w:tcPr>
          <w:p w14:paraId="22F5405F" w14:textId="77777777" w:rsidR="00444DE5" w:rsidRPr="00054ABD" w:rsidRDefault="00444DE5" w:rsidP="00C020D8">
            <w:pPr>
              <w:jc w:val="both"/>
              <w:rPr>
                <w:rFonts w:ascii="Arial" w:hAnsi="Arial" w:cs="Arial"/>
                <w:b w:val="0"/>
                <w:bCs w:val="0"/>
                <w:sz w:val="20"/>
                <w:szCs w:val="20"/>
              </w:rPr>
            </w:pPr>
            <w:r w:rsidRPr="00054ABD">
              <w:rPr>
                <w:rFonts w:ascii="Arial" w:hAnsi="Arial" w:cs="Arial"/>
                <w:b w:val="0"/>
                <w:bCs w:val="0"/>
                <w:sz w:val="20"/>
                <w:szCs w:val="20"/>
              </w:rPr>
              <w:t>Salt discharge in brine outlet (</w:t>
            </w:r>
            <w:proofErr w:type="spellStart"/>
            <w:r w:rsidRPr="00054ABD">
              <w:rPr>
                <w:rFonts w:ascii="Arial" w:hAnsi="Arial" w:cs="Arial"/>
                <w:b w:val="0"/>
                <w:bCs w:val="0"/>
                <w:sz w:val="20"/>
                <w:szCs w:val="20"/>
              </w:rPr>
              <w:t>Mton</w:t>
            </w:r>
            <w:proofErr w:type="spellEnd"/>
            <w:r w:rsidRPr="00054ABD">
              <w:rPr>
                <w:rFonts w:ascii="Arial" w:hAnsi="Arial" w:cs="Arial"/>
                <w:b w:val="0"/>
                <w:bCs w:val="0"/>
                <w:sz w:val="20"/>
                <w:szCs w:val="20"/>
              </w:rPr>
              <w:t>)</w:t>
            </w:r>
          </w:p>
        </w:tc>
        <w:tc>
          <w:tcPr>
            <w:tcW w:w="4076" w:type="dxa"/>
            <w:tcBorders>
              <w:top w:val="nil"/>
              <w:left w:val="single" w:sz="4" w:space="0" w:color="auto"/>
              <w:right w:val="nil"/>
            </w:tcBorders>
          </w:tcPr>
          <w:p w14:paraId="35B348A4" w14:textId="77777777" w:rsidR="00444DE5" w:rsidRPr="00054ABD" w:rsidRDefault="00444DE5" w:rsidP="00C020D8">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54ABD">
              <w:rPr>
                <w:rFonts w:ascii="Arial" w:hAnsi="Arial" w:cs="Arial"/>
                <w:sz w:val="20"/>
                <w:szCs w:val="20"/>
              </w:rPr>
              <w:t>38.3</w:t>
            </w:r>
          </w:p>
        </w:tc>
      </w:tr>
    </w:tbl>
    <w:p w14:paraId="4134198C" w14:textId="77777777" w:rsidR="00444DE5" w:rsidRPr="00054ABD" w:rsidRDefault="00444DE5" w:rsidP="00444DE5">
      <w:pPr>
        <w:jc w:val="both"/>
        <w:rPr>
          <w:rFonts w:ascii="Arial" w:hAnsi="Arial" w:cs="Arial"/>
          <w:sz w:val="20"/>
          <w:szCs w:val="20"/>
        </w:rPr>
      </w:pPr>
    </w:p>
    <w:p w14:paraId="6E6159A6" w14:textId="77777777" w:rsidR="00E250DF" w:rsidRPr="00054ABD" w:rsidRDefault="00E250DF" w:rsidP="009567B5">
      <w:pPr>
        <w:rPr>
          <w:rFonts w:ascii="Arial" w:hAnsi="Arial" w:cs="Arial"/>
          <w:sz w:val="20"/>
          <w:szCs w:val="20"/>
        </w:rPr>
      </w:pPr>
    </w:p>
    <w:p w14:paraId="770CEDF8" w14:textId="76B2E5EC" w:rsidR="00072219" w:rsidRPr="00E449BC" w:rsidRDefault="00072219" w:rsidP="003D24D5">
      <w:pPr>
        <w:jc w:val="both"/>
        <w:rPr>
          <w:rFonts w:ascii="Arial" w:hAnsi="Arial" w:cs="Arial"/>
          <w:b/>
          <w:bCs/>
          <w:sz w:val="20"/>
          <w:szCs w:val="20"/>
        </w:rPr>
      </w:pPr>
      <w:r w:rsidRPr="00E449BC">
        <w:rPr>
          <w:rFonts w:ascii="Arial" w:hAnsi="Arial" w:cs="Arial"/>
          <w:b/>
          <w:bCs/>
          <w:sz w:val="20"/>
          <w:szCs w:val="20"/>
        </w:rPr>
        <w:t>References</w:t>
      </w:r>
    </w:p>
    <w:p w14:paraId="0F275A98" w14:textId="54DF4906" w:rsidR="00050D6C" w:rsidRPr="00050D6C" w:rsidRDefault="008F489A" w:rsidP="0038322F">
      <w:pPr>
        <w:widowControl w:val="0"/>
        <w:autoSpaceDE w:val="0"/>
        <w:autoSpaceDN w:val="0"/>
        <w:adjustRightInd w:val="0"/>
        <w:spacing w:line="240" w:lineRule="auto"/>
        <w:ind w:left="640" w:hanging="640"/>
        <w:jc w:val="both"/>
        <w:rPr>
          <w:rFonts w:ascii="Arial" w:hAnsi="Arial" w:cs="Arial"/>
          <w:noProof/>
          <w:sz w:val="20"/>
          <w:szCs w:val="24"/>
        </w:rPr>
      </w:pPr>
      <w:r>
        <w:rPr>
          <w:rFonts w:ascii="Arial" w:hAnsi="Arial" w:cs="Arial"/>
          <w:sz w:val="20"/>
          <w:szCs w:val="20"/>
        </w:rPr>
        <w:fldChar w:fldCharType="begin" w:fldLock="1"/>
      </w:r>
      <w:r w:rsidRPr="00D7191D">
        <w:rPr>
          <w:rFonts w:ascii="Arial" w:hAnsi="Arial" w:cs="Arial"/>
          <w:sz w:val="20"/>
          <w:szCs w:val="20"/>
          <w:lang w:val="it-IT"/>
        </w:rPr>
        <w:instrText xml:space="preserve">ADDIN Mendeley Bibliography CSL_BIBLIOGRAPHY </w:instrText>
      </w:r>
      <w:r>
        <w:rPr>
          <w:rFonts w:ascii="Arial" w:hAnsi="Arial" w:cs="Arial"/>
          <w:sz w:val="20"/>
          <w:szCs w:val="20"/>
        </w:rPr>
        <w:fldChar w:fldCharType="separate"/>
      </w:r>
      <w:r w:rsidR="00050D6C" w:rsidRPr="00D7191D">
        <w:rPr>
          <w:rFonts w:ascii="Arial" w:hAnsi="Arial" w:cs="Arial"/>
          <w:noProof/>
          <w:sz w:val="20"/>
          <w:szCs w:val="24"/>
          <w:lang w:val="it-IT"/>
        </w:rPr>
        <w:t>1.</w:t>
      </w:r>
      <w:r w:rsidR="00050D6C" w:rsidRPr="00D7191D">
        <w:rPr>
          <w:rFonts w:ascii="Arial" w:hAnsi="Arial" w:cs="Arial"/>
          <w:noProof/>
          <w:sz w:val="20"/>
          <w:szCs w:val="24"/>
          <w:lang w:val="it-IT"/>
        </w:rPr>
        <w:tab/>
        <w:t xml:space="preserve">Collodi, G., Azzaro, G., Ferrari, N., and Santos, S. (2017). </w:t>
      </w:r>
      <w:r w:rsidR="00050D6C" w:rsidRPr="00050D6C">
        <w:rPr>
          <w:rFonts w:ascii="Arial" w:hAnsi="Arial" w:cs="Arial"/>
          <w:noProof/>
          <w:sz w:val="20"/>
          <w:szCs w:val="24"/>
        </w:rPr>
        <w:t>Techno-economic Evaluation of Deploying CCS in SMR Based Merchant H</w:t>
      </w:r>
      <w:r w:rsidR="00050D6C" w:rsidRPr="0038322F">
        <w:rPr>
          <w:rFonts w:ascii="Arial" w:hAnsi="Arial" w:cs="Arial"/>
          <w:noProof/>
          <w:sz w:val="20"/>
          <w:szCs w:val="24"/>
          <w:vertAlign w:val="subscript"/>
        </w:rPr>
        <w:t>2</w:t>
      </w:r>
      <w:r w:rsidR="00050D6C" w:rsidRPr="00050D6C">
        <w:rPr>
          <w:rFonts w:ascii="Arial" w:hAnsi="Arial" w:cs="Arial"/>
          <w:noProof/>
          <w:sz w:val="20"/>
          <w:szCs w:val="24"/>
        </w:rPr>
        <w:t xml:space="preserve"> Production with NG as Feedstock and Fuel. Energy Procedia </w:t>
      </w:r>
      <w:r w:rsidR="00050D6C" w:rsidRPr="00050D6C">
        <w:rPr>
          <w:rFonts w:ascii="Arial" w:hAnsi="Arial" w:cs="Arial"/>
          <w:i/>
          <w:iCs/>
          <w:noProof/>
          <w:sz w:val="20"/>
          <w:szCs w:val="24"/>
        </w:rPr>
        <w:t>114</w:t>
      </w:r>
      <w:r w:rsidR="00050D6C" w:rsidRPr="00050D6C">
        <w:rPr>
          <w:rFonts w:ascii="Arial" w:hAnsi="Arial" w:cs="Arial"/>
          <w:noProof/>
          <w:sz w:val="20"/>
          <w:szCs w:val="24"/>
        </w:rPr>
        <w:t>, 2690–2712.</w:t>
      </w:r>
    </w:p>
    <w:p w14:paraId="73CB40C6" w14:textId="77777777" w:rsidR="00050D6C" w:rsidRPr="00050D6C" w:rsidRDefault="00050D6C" w:rsidP="0038322F">
      <w:pPr>
        <w:widowControl w:val="0"/>
        <w:autoSpaceDE w:val="0"/>
        <w:autoSpaceDN w:val="0"/>
        <w:adjustRightInd w:val="0"/>
        <w:spacing w:line="240" w:lineRule="auto"/>
        <w:ind w:left="640" w:hanging="640"/>
        <w:jc w:val="both"/>
        <w:rPr>
          <w:rFonts w:ascii="Arial" w:hAnsi="Arial" w:cs="Arial"/>
          <w:noProof/>
          <w:sz w:val="20"/>
          <w:szCs w:val="24"/>
        </w:rPr>
      </w:pPr>
      <w:r w:rsidRPr="00050D6C">
        <w:rPr>
          <w:rFonts w:ascii="Arial" w:hAnsi="Arial" w:cs="Arial"/>
          <w:noProof/>
          <w:sz w:val="20"/>
          <w:szCs w:val="24"/>
        </w:rPr>
        <w:t>2.</w:t>
      </w:r>
      <w:r w:rsidRPr="00050D6C">
        <w:rPr>
          <w:rFonts w:ascii="Arial" w:hAnsi="Arial" w:cs="Arial"/>
          <w:noProof/>
          <w:sz w:val="20"/>
          <w:szCs w:val="24"/>
        </w:rPr>
        <w:tab/>
        <w:t>Balcombe, P., Anderson, K., Speirs, J., Brandon, N., and Hawkes, A. (2015). Methane and CO</w:t>
      </w:r>
      <w:r w:rsidRPr="0038322F">
        <w:rPr>
          <w:rFonts w:ascii="Arial" w:hAnsi="Arial" w:cs="Arial"/>
          <w:noProof/>
          <w:sz w:val="20"/>
          <w:szCs w:val="24"/>
          <w:vertAlign w:val="subscript"/>
        </w:rPr>
        <w:t>2</w:t>
      </w:r>
      <w:r w:rsidRPr="00050D6C">
        <w:rPr>
          <w:rFonts w:ascii="Arial" w:hAnsi="Arial" w:cs="Arial"/>
          <w:noProof/>
          <w:sz w:val="20"/>
          <w:szCs w:val="24"/>
        </w:rPr>
        <w:t xml:space="preserve"> emissions from the natural gas supply chain: an evidence assessment.</w:t>
      </w:r>
    </w:p>
    <w:p w14:paraId="5780D7AD" w14:textId="77777777" w:rsidR="00050D6C" w:rsidRPr="00050D6C" w:rsidRDefault="00050D6C" w:rsidP="0038322F">
      <w:pPr>
        <w:widowControl w:val="0"/>
        <w:autoSpaceDE w:val="0"/>
        <w:autoSpaceDN w:val="0"/>
        <w:adjustRightInd w:val="0"/>
        <w:spacing w:line="240" w:lineRule="auto"/>
        <w:ind w:left="640" w:hanging="640"/>
        <w:jc w:val="both"/>
        <w:rPr>
          <w:rFonts w:ascii="Arial" w:hAnsi="Arial" w:cs="Arial"/>
          <w:noProof/>
          <w:sz w:val="20"/>
          <w:szCs w:val="24"/>
        </w:rPr>
      </w:pPr>
      <w:r w:rsidRPr="00050D6C">
        <w:rPr>
          <w:rFonts w:ascii="Arial" w:hAnsi="Arial" w:cs="Arial"/>
          <w:noProof/>
          <w:sz w:val="20"/>
          <w:szCs w:val="24"/>
        </w:rPr>
        <w:t>3.</w:t>
      </w:r>
      <w:r w:rsidRPr="00050D6C">
        <w:rPr>
          <w:rFonts w:ascii="Arial" w:hAnsi="Arial" w:cs="Arial"/>
          <w:noProof/>
          <w:sz w:val="20"/>
          <w:szCs w:val="24"/>
        </w:rPr>
        <w:tab/>
        <w:t>European Environment Agency (2021). Greenhouse gas emission intensity of electricity generation. https://www.eea.europa.eu/data-and-maps/daviz/co2-emission-intensity-6#tab-googlechartid_googlechartid_googlechartid_googlechartid_chart_11111.</w:t>
      </w:r>
    </w:p>
    <w:p w14:paraId="04DEE97C" w14:textId="77777777" w:rsidR="00050D6C" w:rsidRPr="00D7191D" w:rsidRDefault="00050D6C" w:rsidP="0038322F">
      <w:pPr>
        <w:widowControl w:val="0"/>
        <w:autoSpaceDE w:val="0"/>
        <w:autoSpaceDN w:val="0"/>
        <w:adjustRightInd w:val="0"/>
        <w:spacing w:line="240" w:lineRule="auto"/>
        <w:ind w:left="640" w:hanging="640"/>
        <w:jc w:val="both"/>
        <w:rPr>
          <w:rFonts w:ascii="Arial" w:hAnsi="Arial" w:cs="Arial"/>
          <w:noProof/>
          <w:sz w:val="20"/>
          <w:szCs w:val="24"/>
          <w:lang w:val="de-DE"/>
        </w:rPr>
      </w:pPr>
      <w:r w:rsidRPr="00050D6C">
        <w:rPr>
          <w:rFonts w:ascii="Arial" w:hAnsi="Arial" w:cs="Arial"/>
          <w:noProof/>
          <w:sz w:val="20"/>
          <w:szCs w:val="24"/>
        </w:rPr>
        <w:t>4.</w:t>
      </w:r>
      <w:r w:rsidRPr="00050D6C">
        <w:rPr>
          <w:rFonts w:ascii="Arial" w:hAnsi="Arial" w:cs="Arial"/>
          <w:noProof/>
          <w:sz w:val="20"/>
          <w:szCs w:val="24"/>
        </w:rPr>
        <w:tab/>
        <w:t xml:space="preserve">Cetinkaya, E., Dincer, I., and Naterer, G.F. (2012). Life cycle assessment of various hydrogen production methods. </w:t>
      </w:r>
      <w:r w:rsidRPr="00D7191D">
        <w:rPr>
          <w:rFonts w:ascii="Arial" w:hAnsi="Arial" w:cs="Arial"/>
          <w:noProof/>
          <w:sz w:val="20"/>
          <w:szCs w:val="24"/>
          <w:lang w:val="de-DE"/>
        </w:rPr>
        <w:t xml:space="preserve">Int. J. Hydrogen Energy </w:t>
      </w:r>
      <w:r w:rsidRPr="00D7191D">
        <w:rPr>
          <w:rFonts w:ascii="Arial" w:hAnsi="Arial" w:cs="Arial"/>
          <w:i/>
          <w:iCs/>
          <w:noProof/>
          <w:sz w:val="20"/>
          <w:szCs w:val="24"/>
          <w:lang w:val="de-DE"/>
        </w:rPr>
        <w:t>37</w:t>
      </w:r>
      <w:r w:rsidRPr="00D7191D">
        <w:rPr>
          <w:rFonts w:ascii="Arial" w:hAnsi="Arial" w:cs="Arial"/>
          <w:noProof/>
          <w:sz w:val="20"/>
          <w:szCs w:val="24"/>
          <w:lang w:val="de-DE"/>
        </w:rPr>
        <w:t>, 2071–2080.</w:t>
      </w:r>
    </w:p>
    <w:p w14:paraId="76AFE128" w14:textId="77777777" w:rsidR="00050D6C" w:rsidRPr="00050D6C" w:rsidRDefault="00050D6C" w:rsidP="0038322F">
      <w:pPr>
        <w:widowControl w:val="0"/>
        <w:autoSpaceDE w:val="0"/>
        <w:autoSpaceDN w:val="0"/>
        <w:adjustRightInd w:val="0"/>
        <w:spacing w:line="240" w:lineRule="auto"/>
        <w:ind w:left="640" w:hanging="640"/>
        <w:jc w:val="both"/>
        <w:rPr>
          <w:rFonts w:ascii="Arial" w:hAnsi="Arial" w:cs="Arial"/>
          <w:noProof/>
          <w:sz w:val="20"/>
          <w:szCs w:val="24"/>
        </w:rPr>
      </w:pPr>
      <w:r w:rsidRPr="00D7191D">
        <w:rPr>
          <w:rFonts w:ascii="Arial" w:hAnsi="Arial" w:cs="Arial"/>
          <w:noProof/>
          <w:sz w:val="20"/>
          <w:szCs w:val="24"/>
          <w:lang w:val="de-DE"/>
        </w:rPr>
        <w:t>5.</w:t>
      </w:r>
      <w:r w:rsidRPr="00D7191D">
        <w:rPr>
          <w:rFonts w:ascii="Arial" w:hAnsi="Arial" w:cs="Arial"/>
          <w:noProof/>
          <w:sz w:val="20"/>
          <w:szCs w:val="24"/>
          <w:lang w:val="de-DE"/>
        </w:rPr>
        <w:tab/>
        <w:t xml:space="preserve">Wernet, G., Bauer, C., Steubing, B., Reinhard, J., Moreno-Ruiz, E., and Weidema, B. (2016). </w:t>
      </w:r>
      <w:r w:rsidRPr="00050D6C">
        <w:rPr>
          <w:rFonts w:ascii="Arial" w:hAnsi="Arial" w:cs="Arial"/>
          <w:noProof/>
          <w:sz w:val="20"/>
          <w:szCs w:val="24"/>
        </w:rPr>
        <w:t xml:space="preserve">The ecoinvent database version 3 (part I): overview and methodology. Int. J. Life Cycle Assess. </w:t>
      </w:r>
      <w:r w:rsidRPr="00050D6C">
        <w:rPr>
          <w:rFonts w:ascii="Arial" w:hAnsi="Arial" w:cs="Arial"/>
          <w:i/>
          <w:iCs/>
          <w:noProof/>
          <w:sz w:val="20"/>
          <w:szCs w:val="24"/>
        </w:rPr>
        <w:t>21</w:t>
      </w:r>
      <w:r w:rsidRPr="00050D6C">
        <w:rPr>
          <w:rFonts w:ascii="Arial" w:hAnsi="Arial" w:cs="Arial"/>
          <w:noProof/>
          <w:sz w:val="20"/>
          <w:szCs w:val="24"/>
        </w:rPr>
        <w:t>, 1218–1230.</w:t>
      </w:r>
    </w:p>
    <w:p w14:paraId="545DB4B0" w14:textId="77777777" w:rsidR="00050D6C" w:rsidRPr="00050D6C" w:rsidRDefault="00050D6C" w:rsidP="0038322F">
      <w:pPr>
        <w:widowControl w:val="0"/>
        <w:autoSpaceDE w:val="0"/>
        <w:autoSpaceDN w:val="0"/>
        <w:adjustRightInd w:val="0"/>
        <w:spacing w:line="240" w:lineRule="auto"/>
        <w:ind w:left="640" w:hanging="640"/>
        <w:jc w:val="both"/>
        <w:rPr>
          <w:rFonts w:ascii="Arial" w:hAnsi="Arial" w:cs="Arial"/>
          <w:noProof/>
          <w:sz w:val="20"/>
          <w:szCs w:val="24"/>
        </w:rPr>
      </w:pPr>
      <w:r w:rsidRPr="00050D6C">
        <w:rPr>
          <w:rFonts w:ascii="Arial" w:hAnsi="Arial" w:cs="Arial"/>
          <w:noProof/>
          <w:sz w:val="20"/>
          <w:szCs w:val="24"/>
        </w:rPr>
        <w:t>6.</w:t>
      </w:r>
      <w:r w:rsidRPr="00050D6C">
        <w:rPr>
          <w:rFonts w:ascii="Arial" w:hAnsi="Arial" w:cs="Arial"/>
          <w:noProof/>
          <w:sz w:val="20"/>
          <w:szCs w:val="24"/>
        </w:rPr>
        <w:tab/>
        <w:t>Schuller, O., Kupferschmid, S., Hengstler, J., and Whitehouse, S. (2019). Life Cycle GHG Emission Study on the Use of LNG as Marine Fuel - Final Report.</w:t>
      </w:r>
    </w:p>
    <w:p w14:paraId="29E9B934" w14:textId="77777777" w:rsidR="00050D6C" w:rsidRPr="00050D6C" w:rsidRDefault="00050D6C" w:rsidP="0038322F">
      <w:pPr>
        <w:widowControl w:val="0"/>
        <w:autoSpaceDE w:val="0"/>
        <w:autoSpaceDN w:val="0"/>
        <w:adjustRightInd w:val="0"/>
        <w:spacing w:line="240" w:lineRule="auto"/>
        <w:ind w:left="640" w:hanging="640"/>
        <w:jc w:val="both"/>
        <w:rPr>
          <w:rFonts w:ascii="Arial" w:hAnsi="Arial" w:cs="Arial"/>
          <w:noProof/>
          <w:sz w:val="20"/>
          <w:szCs w:val="24"/>
        </w:rPr>
      </w:pPr>
      <w:r w:rsidRPr="00050D6C">
        <w:rPr>
          <w:rFonts w:ascii="Arial" w:hAnsi="Arial" w:cs="Arial"/>
          <w:noProof/>
          <w:sz w:val="20"/>
          <w:szCs w:val="24"/>
        </w:rPr>
        <w:t>7.</w:t>
      </w:r>
      <w:r w:rsidRPr="00050D6C">
        <w:rPr>
          <w:rFonts w:ascii="Arial" w:hAnsi="Arial" w:cs="Arial"/>
          <w:noProof/>
          <w:sz w:val="20"/>
          <w:szCs w:val="24"/>
        </w:rPr>
        <w:tab/>
        <w:t>Department for Business Energy &amp; Industrial Stratergy (2020). Greenhouse gas reporting: conversion factors 2020. https://www.gov.uk/government/publications/greenhouse-gas-reporting-conversion-factors-2020.</w:t>
      </w:r>
    </w:p>
    <w:p w14:paraId="0672BDA3" w14:textId="77777777" w:rsidR="00050D6C" w:rsidRPr="00050D6C" w:rsidRDefault="00050D6C" w:rsidP="0038322F">
      <w:pPr>
        <w:widowControl w:val="0"/>
        <w:autoSpaceDE w:val="0"/>
        <w:autoSpaceDN w:val="0"/>
        <w:adjustRightInd w:val="0"/>
        <w:spacing w:line="240" w:lineRule="auto"/>
        <w:ind w:left="640" w:hanging="640"/>
        <w:jc w:val="both"/>
        <w:rPr>
          <w:rFonts w:ascii="Arial" w:hAnsi="Arial" w:cs="Arial"/>
          <w:noProof/>
          <w:sz w:val="20"/>
          <w:szCs w:val="24"/>
        </w:rPr>
      </w:pPr>
      <w:r w:rsidRPr="00050D6C">
        <w:rPr>
          <w:rFonts w:ascii="Arial" w:hAnsi="Arial" w:cs="Arial"/>
          <w:noProof/>
          <w:sz w:val="20"/>
          <w:szCs w:val="24"/>
        </w:rPr>
        <w:t>8.</w:t>
      </w:r>
      <w:r w:rsidRPr="00050D6C">
        <w:rPr>
          <w:rFonts w:ascii="Arial" w:hAnsi="Arial" w:cs="Arial"/>
          <w:noProof/>
          <w:sz w:val="20"/>
          <w:szCs w:val="24"/>
        </w:rPr>
        <w:tab/>
        <w:t>Masoni, P., and Zamagni, A. (2011). Guidance Document for performing LCAs on Fuel Cells and H</w:t>
      </w:r>
      <w:r w:rsidRPr="00050D6C">
        <w:rPr>
          <w:rFonts w:ascii="Cambria Math" w:hAnsi="Cambria Math" w:cs="Cambria Math"/>
          <w:noProof/>
          <w:sz w:val="20"/>
          <w:szCs w:val="24"/>
        </w:rPr>
        <w:t>₂</w:t>
      </w:r>
      <w:r w:rsidRPr="00050D6C">
        <w:rPr>
          <w:rFonts w:ascii="Arial" w:hAnsi="Arial" w:cs="Arial"/>
          <w:noProof/>
          <w:sz w:val="20"/>
          <w:szCs w:val="24"/>
        </w:rPr>
        <w:t xml:space="preserve"> Technologies.</w:t>
      </w:r>
    </w:p>
    <w:p w14:paraId="7AE1BD19" w14:textId="77777777" w:rsidR="00050D6C" w:rsidRPr="00050D6C" w:rsidRDefault="00050D6C" w:rsidP="0038322F">
      <w:pPr>
        <w:widowControl w:val="0"/>
        <w:autoSpaceDE w:val="0"/>
        <w:autoSpaceDN w:val="0"/>
        <w:adjustRightInd w:val="0"/>
        <w:spacing w:line="240" w:lineRule="auto"/>
        <w:ind w:left="640" w:hanging="640"/>
        <w:jc w:val="both"/>
        <w:rPr>
          <w:rFonts w:ascii="Arial" w:hAnsi="Arial" w:cs="Arial"/>
          <w:noProof/>
          <w:sz w:val="20"/>
          <w:szCs w:val="24"/>
        </w:rPr>
      </w:pPr>
      <w:r w:rsidRPr="00050D6C">
        <w:rPr>
          <w:rFonts w:ascii="Arial" w:hAnsi="Arial" w:cs="Arial"/>
          <w:noProof/>
          <w:sz w:val="20"/>
          <w:szCs w:val="24"/>
        </w:rPr>
        <w:t>9.</w:t>
      </w:r>
      <w:r w:rsidRPr="00050D6C">
        <w:rPr>
          <w:rFonts w:ascii="Arial" w:hAnsi="Arial" w:cs="Arial"/>
          <w:noProof/>
          <w:sz w:val="20"/>
          <w:szCs w:val="24"/>
        </w:rPr>
        <w:tab/>
        <w:t>Northern Gas Networks &amp; Equinor &amp; Cadent (2018). H21 North of England Report.</w:t>
      </w:r>
    </w:p>
    <w:p w14:paraId="412072B3" w14:textId="77777777" w:rsidR="00050D6C" w:rsidRPr="00050D6C" w:rsidRDefault="00050D6C" w:rsidP="0038322F">
      <w:pPr>
        <w:widowControl w:val="0"/>
        <w:autoSpaceDE w:val="0"/>
        <w:autoSpaceDN w:val="0"/>
        <w:adjustRightInd w:val="0"/>
        <w:spacing w:line="240" w:lineRule="auto"/>
        <w:ind w:left="640" w:hanging="640"/>
        <w:jc w:val="both"/>
        <w:rPr>
          <w:rFonts w:ascii="Arial" w:hAnsi="Arial" w:cs="Arial"/>
          <w:noProof/>
          <w:sz w:val="20"/>
          <w:szCs w:val="24"/>
        </w:rPr>
      </w:pPr>
      <w:r w:rsidRPr="00050D6C">
        <w:rPr>
          <w:rFonts w:ascii="Arial" w:hAnsi="Arial" w:cs="Arial"/>
          <w:noProof/>
          <w:sz w:val="20"/>
          <w:szCs w:val="24"/>
        </w:rPr>
        <w:t>10.</w:t>
      </w:r>
      <w:r w:rsidRPr="00050D6C">
        <w:rPr>
          <w:rFonts w:ascii="Arial" w:hAnsi="Arial" w:cs="Arial"/>
          <w:noProof/>
          <w:sz w:val="20"/>
          <w:szCs w:val="24"/>
        </w:rPr>
        <w:tab/>
        <w:t>Smith, A.Z. (2021). UK offshore wind capacity factors. https://energynumbers.info/uk-offshore-wind-capacity-factors.</w:t>
      </w:r>
    </w:p>
    <w:p w14:paraId="14DD185E" w14:textId="77777777" w:rsidR="00050D6C" w:rsidRPr="00050D6C" w:rsidRDefault="00050D6C" w:rsidP="0038322F">
      <w:pPr>
        <w:widowControl w:val="0"/>
        <w:autoSpaceDE w:val="0"/>
        <w:autoSpaceDN w:val="0"/>
        <w:adjustRightInd w:val="0"/>
        <w:spacing w:line="240" w:lineRule="auto"/>
        <w:ind w:left="640" w:hanging="640"/>
        <w:jc w:val="both"/>
        <w:rPr>
          <w:rFonts w:ascii="Arial" w:hAnsi="Arial" w:cs="Arial"/>
          <w:noProof/>
          <w:sz w:val="20"/>
          <w:szCs w:val="24"/>
        </w:rPr>
      </w:pPr>
      <w:r w:rsidRPr="00050D6C">
        <w:rPr>
          <w:rFonts w:ascii="Arial" w:hAnsi="Arial" w:cs="Arial"/>
          <w:noProof/>
          <w:sz w:val="20"/>
          <w:szCs w:val="24"/>
        </w:rPr>
        <w:t>11.</w:t>
      </w:r>
      <w:r w:rsidRPr="00050D6C">
        <w:rPr>
          <w:rFonts w:ascii="Arial" w:hAnsi="Arial" w:cs="Arial"/>
          <w:noProof/>
          <w:sz w:val="20"/>
          <w:szCs w:val="24"/>
        </w:rPr>
        <w:tab/>
        <w:t>Spath, P.L., and Mann, M.K. (2001). Life Cycle Assessment of Hydrogen Production via Natural Gas Steam Reforming.</w:t>
      </w:r>
    </w:p>
    <w:p w14:paraId="00FC91BD" w14:textId="77777777" w:rsidR="00050D6C" w:rsidRPr="00050D6C" w:rsidRDefault="00050D6C" w:rsidP="0038322F">
      <w:pPr>
        <w:widowControl w:val="0"/>
        <w:autoSpaceDE w:val="0"/>
        <w:autoSpaceDN w:val="0"/>
        <w:adjustRightInd w:val="0"/>
        <w:spacing w:line="240" w:lineRule="auto"/>
        <w:ind w:left="640" w:hanging="640"/>
        <w:jc w:val="both"/>
        <w:rPr>
          <w:rFonts w:ascii="Arial" w:hAnsi="Arial" w:cs="Arial"/>
          <w:noProof/>
          <w:sz w:val="20"/>
          <w:szCs w:val="24"/>
        </w:rPr>
      </w:pPr>
      <w:r w:rsidRPr="00D7191D">
        <w:rPr>
          <w:rFonts w:ascii="Arial" w:hAnsi="Arial" w:cs="Arial"/>
          <w:noProof/>
          <w:sz w:val="20"/>
          <w:szCs w:val="24"/>
          <w:lang w:val="nl-NL"/>
        </w:rPr>
        <w:t>12.</w:t>
      </w:r>
      <w:r w:rsidRPr="00D7191D">
        <w:rPr>
          <w:rFonts w:ascii="Arial" w:hAnsi="Arial" w:cs="Arial"/>
          <w:noProof/>
          <w:sz w:val="20"/>
          <w:szCs w:val="24"/>
          <w:lang w:val="nl-NL"/>
        </w:rPr>
        <w:tab/>
        <w:t xml:space="preserve">Kleijn, R., van der Voet, E., Kramer, G.J., van Oers, L., and van der Giesen, C. (2011). </w:t>
      </w:r>
      <w:r w:rsidRPr="00050D6C">
        <w:rPr>
          <w:rFonts w:ascii="Arial" w:hAnsi="Arial" w:cs="Arial"/>
          <w:noProof/>
          <w:sz w:val="20"/>
          <w:szCs w:val="24"/>
        </w:rPr>
        <w:t xml:space="preserve">Metal requirements of low-carbon power generation. Energy </w:t>
      </w:r>
      <w:r w:rsidRPr="00050D6C">
        <w:rPr>
          <w:rFonts w:ascii="Arial" w:hAnsi="Arial" w:cs="Arial"/>
          <w:i/>
          <w:iCs/>
          <w:noProof/>
          <w:sz w:val="20"/>
          <w:szCs w:val="24"/>
        </w:rPr>
        <w:t>36</w:t>
      </w:r>
      <w:r w:rsidRPr="00050D6C">
        <w:rPr>
          <w:rFonts w:ascii="Arial" w:hAnsi="Arial" w:cs="Arial"/>
          <w:noProof/>
          <w:sz w:val="20"/>
          <w:szCs w:val="24"/>
        </w:rPr>
        <w:t>, 5640–5648.</w:t>
      </w:r>
    </w:p>
    <w:p w14:paraId="746FACFD" w14:textId="77777777" w:rsidR="00050D6C" w:rsidRPr="00050D6C" w:rsidRDefault="00050D6C" w:rsidP="0038322F">
      <w:pPr>
        <w:widowControl w:val="0"/>
        <w:autoSpaceDE w:val="0"/>
        <w:autoSpaceDN w:val="0"/>
        <w:adjustRightInd w:val="0"/>
        <w:spacing w:line="240" w:lineRule="auto"/>
        <w:ind w:left="640" w:hanging="640"/>
        <w:jc w:val="both"/>
        <w:rPr>
          <w:rFonts w:ascii="Arial" w:hAnsi="Arial" w:cs="Arial"/>
          <w:noProof/>
          <w:sz w:val="20"/>
          <w:szCs w:val="24"/>
        </w:rPr>
      </w:pPr>
      <w:r w:rsidRPr="00050D6C">
        <w:rPr>
          <w:rFonts w:ascii="Arial" w:hAnsi="Arial" w:cs="Arial"/>
          <w:noProof/>
          <w:sz w:val="20"/>
          <w:szCs w:val="24"/>
        </w:rPr>
        <w:t>13.</w:t>
      </w:r>
      <w:r w:rsidRPr="00050D6C">
        <w:rPr>
          <w:rFonts w:ascii="Arial" w:hAnsi="Arial" w:cs="Arial"/>
          <w:noProof/>
          <w:sz w:val="20"/>
          <w:szCs w:val="24"/>
        </w:rPr>
        <w:tab/>
        <w:t>Antonini, C., Treyer, K., Streb, A., Van Der Spek, M., Bauer, C., and Mazzotti, M. (2020). Hydrogen production from natural gas and biomethane with carbon capture and storage-A techno-environmental analysis †. Sustain. Energy Fuels.</w:t>
      </w:r>
    </w:p>
    <w:p w14:paraId="7B4C61FD" w14:textId="77777777" w:rsidR="00050D6C" w:rsidRPr="00050D6C" w:rsidRDefault="00050D6C" w:rsidP="0038322F">
      <w:pPr>
        <w:widowControl w:val="0"/>
        <w:autoSpaceDE w:val="0"/>
        <w:autoSpaceDN w:val="0"/>
        <w:adjustRightInd w:val="0"/>
        <w:spacing w:line="240" w:lineRule="auto"/>
        <w:ind w:left="640" w:hanging="640"/>
        <w:jc w:val="both"/>
        <w:rPr>
          <w:rFonts w:ascii="Arial" w:hAnsi="Arial" w:cs="Arial"/>
          <w:noProof/>
          <w:sz w:val="20"/>
          <w:szCs w:val="24"/>
        </w:rPr>
      </w:pPr>
      <w:r w:rsidRPr="00050D6C">
        <w:rPr>
          <w:rFonts w:ascii="Arial" w:hAnsi="Arial" w:cs="Arial"/>
          <w:noProof/>
          <w:sz w:val="20"/>
          <w:szCs w:val="24"/>
        </w:rPr>
        <w:lastRenderedPageBreak/>
        <w:t>14.</w:t>
      </w:r>
      <w:r w:rsidRPr="00050D6C">
        <w:rPr>
          <w:rFonts w:ascii="Arial" w:hAnsi="Arial" w:cs="Arial"/>
          <w:noProof/>
          <w:sz w:val="20"/>
          <w:szCs w:val="24"/>
        </w:rPr>
        <w:tab/>
        <w:t xml:space="preserve">Bareiß, K., de la Rua, C., Möckl, M., and Hamacher, T. (2019). Life cycle assessment of hydrogen from proton exchange membrane water electrolysis in future energy systems. Appl. Energy </w:t>
      </w:r>
      <w:r w:rsidRPr="00050D6C">
        <w:rPr>
          <w:rFonts w:ascii="Arial" w:hAnsi="Arial" w:cs="Arial"/>
          <w:i/>
          <w:iCs/>
          <w:noProof/>
          <w:sz w:val="20"/>
          <w:szCs w:val="24"/>
        </w:rPr>
        <w:t>237</w:t>
      </w:r>
      <w:r w:rsidRPr="00050D6C">
        <w:rPr>
          <w:rFonts w:ascii="Arial" w:hAnsi="Arial" w:cs="Arial"/>
          <w:noProof/>
          <w:sz w:val="20"/>
          <w:szCs w:val="24"/>
        </w:rPr>
        <w:t>, 862–872.</w:t>
      </w:r>
    </w:p>
    <w:p w14:paraId="3C582ADC" w14:textId="77777777" w:rsidR="00050D6C" w:rsidRPr="00050D6C" w:rsidRDefault="00050D6C" w:rsidP="0038322F">
      <w:pPr>
        <w:widowControl w:val="0"/>
        <w:autoSpaceDE w:val="0"/>
        <w:autoSpaceDN w:val="0"/>
        <w:adjustRightInd w:val="0"/>
        <w:spacing w:line="240" w:lineRule="auto"/>
        <w:ind w:left="640" w:hanging="640"/>
        <w:jc w:val="both"/>
        <w:rPr>
          <w:rFonts w:ascii="Arial" w:hAnsi="Arial" w:cs="Arial"/>
          <w:noProof/>
          <w:sz w:val="20"/>
          <w:szCs w:val="24"/>
        </w:rPr>
      </w:pPr>
      <w:r w:rsidRPr="00050D6C">
        <w:rPr>
          <w:rFonts w:ascii="Arial" w:hAnsi="Arial" w:cs="Arial"/>
          <w:noProof/>
          <w:sz w:val="20"/>
          <w:szCs w:val="24"/>
        </w:rPr>
        <w:t>15.</w:t>
      </w:r>
      <w:r w:rsidRPr="00050D6C">
        <w:rPr>
          <w:rFonts w:ascii="Arial" w:hAnsi="Arial" w:cs="Arial"/>
          <w:noProof/>
          <w:sz w:val="20"/>
          <w:szCs w:val="24"/>
        </w:rPr>
        <w:tab/>
        <w:t>Chabrelie, M.F., Dussaud, M., Bourjas, D., and Hugout, B. (1988). Underground Gas Storage: Technological Innovation for Increased Efficiency. In 17th World Energy Congress held in Houston, Texas, USA, September.</w:t>
      </w:r>
    </w:p>
    <w:p w14:paraId="1D710ED1" w14:textId="77777777" w:rsidR="00050D6C" w:rsidRPr="00050D6C" w:rsidRDefault="00050D6C" w:rsidP="0038322F">
      <w:pPr>
        <w:widowControl w:val="0"/>
        <w:autoSpaceDE w:val="0"/>
        <w:autoSpaceDN w:val="0"/>
        <w:adjustRightInd w:val="0"/>
        <w:spacing w:line="240" w:lineRule="auto"/>
        <w:ind w:left="640" w:hanging="640"/>
        <w:jc w:val="both"/>
        <w:rPr>
          <w:rFonts w:ascii="Arial" w:hAnsi="Arial" w:cs="Arial"/>
          <w:noProof/>
          <w:sz w:val="20"/>
        </w:rPr>
      </w:pPr>
      <w:r w:rsidRPr="00050D6C">
        <w:rPr>
          <w:rFonts w:ascii="Arial" w:hAnsi="Arial" w:cs="Arial"/>
          <w:noProof/>
          <w:sz w:val="20"/>
          <w:szCs w:val="24"/>
        </w:rPr>
        <w:t>16.</w:t>
      </w:r>
      <w:r w:rsidRPr="00050D6C">
        <w:rPr>
          <w:rFonts w:ascii="Arial" w:hAnsi="Arial" w:cs="Arial"/>
          <w:noProof/>
          <w:sz w:val="20"/>
          <w:szCs w:val="24"/>
        </w:rPr>
        <w:tab/>
        <w:t>Energy Technologies Institute (2015). The role of hydrogen storage in a clean responsive power system.</w:t>
      </w:r>
    </w:p>
    <w:p w14:paraId="482B79F5" w14:textId="3EA0FACB" w:rsidR="00072219" w:rsidRPr="00072219" w:rsidRDefault="008F489A" w:rsidP="0038322F">
      <w:pPr>
        <w:jc w:val="both"/>
        <w:rPr>
          <w:rFonts w:ascii="Arial" w:hAnsi="Arial" w:cs="Arial"/>
          <w:sz w:val="20"/>
          <w:szCs w:val="20"/>
        </w:rPr>
      </w:pPr>
      <w:r>
        <w:rPr>
          <w:rFonts w:ascii="Arial" w:hAnsi="Arial" w:cs="Arial"/>
          <w:sz w:val="20"/>
          <w:szCs w:val="20"/>
        </w:rPr>
        <w:fldChar w:fldCharType="end"/>
      </w:r>
    </w:p>
    <w:sectPr w:rsidR="00072219" w:rsidRPr="00072219">
      <w:footnotePr>
        <w:numFmt w:val="chicago"/>
      </w:foot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440192" w14:textId="77777777" w:rsidR="004149B2" w:rsidRDefault="004149B2" w:rsidP="00444DE5">
      <w:pPr>
        <w:spacing w:after="0" w:line="240" w:lineRule="auto"/>
      </w:pPr>
      <w:r>
        <w:separator/>
      </w:r>
    </w:p>
  </w:endnote>
  <w:endnote w:type="continuationSeparator" w:id="0">
    <w:p w14:paraId="4ED4A10C" w14:textId="77777777" w:rsidR="004149B2" w:rsidRDefault="004149B2" w:rsidP="00444D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742B3E" w14:textId="77777777" w:rsidR="004149B2" w:rsidRDefault="004149B2" w:rsidP="00444DE5">
      <w:pPr>
        <w:spacing w:after="0" w:line="240" w:lineRule="auto"/>
      </w:pPr>
      <w:r>
        <w:separator/>
      </w:r>
    </w:p>
  </w:footnote>
  <w:footnote w:type="continuationSeparator" w:id="0">
    <w:p w14:paraId="1BB944BB" w14:textId="77777777" w:rsidR="004149B2" w:rsidRDefault="004149B2" w:rsidP="00444DE5">
      <w:pPr>
        <w:spacing w:after="0" w:line="240" w:lineRule="auto"/>
      </w:pPr>
      <w:r>
        <w:continuationSeparator/>
      </w:r>
    </w:p>
  </w:footnote>
  <w:footnote w:id="1">
    <w:p w14:paraId="2CBD06EB" w14:textId="4B4091BA" w:rsidR="00C020D8" w:rsidRPr="00066543" w:rsidRDefault="00C020D8" w:rsidP="007161C5">
      <w:pPr>
        <w:pStyle w:val="FootnoteText"/>
        <w:jc w:val="both"/>
        <w:rPr>
          <w:rFonts w:ascii="Arial" w:hAnsi="Arial" w:cs="Arial"/>
          <w:sz w:val="18"/>
          <w:szCs w:val="18"/>
        </w:rPr>
      </w:pPr>
      <w:r w:rsidRPr="00066543">
        <w:rPr>
          <w:rStyle w:val="FootnoteReference"/>
          <w:rFonts w:ascii="Arial" w:hAnsi="Arial" w:cs="Arial"/>
        </w:rPr>
        <w:footnoteRef/>
      </w:r>
      <w:r w:rsidRPr="00066543">
        <w:rPr>
          <w:rFonts w:ascii="Arial" w:hAnsi="Arial" w:cs="Arial"/>
        </w:rPr>
        <w:t xml:space="preserve"> </w:t>
      </w:r>
      <w:r w:rsidRPr="00066543">
        <w:rPr>
          <w:rFonts w:ascii="Arial" w:hAnsi="Arial" w:cs="Arial"/>
          <w:sz w:val="18"/>
          <w:szCs w:val="18"/>
        </w:rPr>
        <w:t>The ability to repurpose existing natural gas distribution networks for the transport of hydrogen is currently being assessed in the UK through safety trials and testing through projects such as H100 to arrive at a policy decision by 2030.</w:t>
      </w:r>
    </w:p>
  </w:footnote>
  <w:footnote w:id="2">
    <w:p w14:paraId="787A1E08" w14:textId="7737ACFA" w:rsidR="00C020D8" w:rsidRPr="00066543" w:rsidRDefault="00C020D8" w:rsidP="00066543">
      <w:pPr>
        <w:pStyle w:val="FootnoteText"/>
        <w:jc w:val="both"/>
        <w:rPr>
          <w:rFonts w:ascii="Arial" w:hAnsi="Arial" w:cs="Arial"/>
          <w:sz w:val="18"/>
          <w:szCs w:val="18"/>
        </w:rPr>
      </w:pPr>
      <w:r w:rsidRPr="00066543">
        <w:rPr>
          <w:rStyle w:val="FootnoteReference"/>
          <w:rFonts w:ascii="Arial" w:hAnsi="Arial" w:cs="Arial"/>
          <w:sz w:val="18"/>
          <w:szCs w:val="18"/>
        </w:rPr>
        <w:footnoteRef/>
      </w:r>
      <w:r w:rsidRPr="00066543">
        <w:rPr>
          <w:rFonts w:ascii="Arial" w:hAnsi="Arial" w:cs="Arial"/>
          <w:sz w:val="18"/>
          <w:szCs w:val="18"/>
        </w:rPr>
        <w:t xml:space="preserve"> The compressor sizes were estimated by scaling the size of the H</w:t>
      </w:r>
      <w:r w:rsidRPr="00066543">
        <w:rPr>
          <w:rFonts w:ascii="Arial" w:hAnsi="Arial" w:cs="Arial"/>
          <w:sz w:val="18"/>
          <w:szCs w:val="18"/>
          <w:vertAlign w:val="subscript"/>
        </w:rPr>
        <w:t>2</w:t>
      </w:r>
      <w:r w:rsidRPr="00066543">
        <w:rPr>
          <w:rFonts w:ascii="Arial" w:hAnsi="Arial" w:cs="Arial"/>
          <w:sz w:val="18"/>
          <w:szCs w:val="18"/>
        </w:rPr>
        <w:t xml:space="preserve"> storage system for the wind-based electrolysis system relative to SMRs/ ATRs. </w:t>
      </w:r>
    </w:p>
  </w:footnote>
  <w:footnote w:id="3">
    <w:p w14:paraId="4911D528" w14:textId="6FD73784" w:rsidR="00C020D8" w:rsidRPr="00D73250" w:rsidRDefault="00C020D8" w:rsidP="00066543">
      <w:pPr>
        <w:pStyle w:val="FootnoteText"/>
        <w:jc w:val="both"/>
      </w:pPr>
      <w:r w:rsidRPr="00066543">
        <w:rPr>
          <w:rStyle w:val="FootnoteReference"/>
          <w:rFonts w:ascii="Arial" w:hAnsi="Arial" w:cs="Arial"/>
          <w:sz w:val="18"/>
          <w:szCs w:val="18"/>
        </w:rPr>
        <w:footnoteRef/>
      </w:r>
      <w:r w:rsidRPr="00066543">
        <w:rPr>
          <w:rFonts w:ascii="Arial" w:hAnsi="Arial" w:cs="Arial"/>
          <w:sz w:val="18"/>
          <w:szCs w:val="18"/>
        </w:rPr>
        <w:t xml:space="preserve"> The annual compression requirement is based on a single fill and discharge cycle for the salt caverns. </w:t>
      </w:r>
    </w:p>
  </w:footnote>
  <w:footnote w:id="4">
    <w:p w14:paraId="06C4E641" w14:textId="77777777" w:rsidR="00C020D8" w:rsidRPr="00066543" w:rsidRDefault="00C020D8" w:rsidP="00444DE5">
      <w:pPr>
        <w:pStyle w:val="FootnoteText"/>
        <w:jc w:val="both"/>
        <w:rPr>
          <w:rFonts w:ascii="Arial" w:hAnsi="Arial" w:cs="Arial"/>
        </w:rPr>
      </w:pPr>
      <w:r w:rsidRPr="00066543">
        <w:rPr>
          <w:rStyle w:val="FootnoteReference"/>
          <w:rFonts w:ascii="Arial" w:hAnsi="Arial" w:cs="Arial"/>
          <w:sz w:val="18"/>
          <w:szCs w:val="18"/>
        </w:rPr>
        <w:footnoteRef/>
      </w:r>
      <w:r w:rsidRPr="00066543">
        <w:rPr>
          <w:rFonts w:ascii="Arial" w:hAnsi="Arial" w:cs="Arial"/>
          <w:sz w:val="18"/>
          <w:szCs w:val="18"/>
        </w:rPr>
        <w:t xml:space="preserve"> The H21 North of England study reported 54 GWh/yr. This study estimates an annual single fill and discharge cycle with a higher compression requirement of 262 GWh/yr.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D8727B3"/>
    <w:multiLevelType w:val="hybridMultilevel"/>
    <w:tmpl w:val="5DBEA13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DC5626D"/>
    <w:multiLevelType w:val="hybridMultilevel"/>
    <w:tmpl w:val="7122BB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2109"/>
    <w:rsid w:val="000033BF"/>
    <w:rsid w:val="0003272E"/>
    <w:rsid w:val="00050120"/>
    <w:rsid w:val="00050D6C"/>
    <w:rsid w:val="00054ABD"/>
    <w:rsid w:val="00066543"/>
    <w:rsid w:val="00072219"/>
    <w:rsid w:val="000760A5"/>
    <w:rsid w:val="000847E3"/>
    <w:rsid w:val="000D0343"/>
    <w:rsid w:val="000D56DC"/>
    <w:rsid w:val="000E17AB"/>
    <w:rsid w:val="000F538A"/>
    <w:rsid w:val="00102967"/>
    <w:rsid w:val="00104012"/>
    <w:rsid w:val="00104CF4"/>
    <w:rsid w:val="00120A0E"/>
    <w:rsid w:val="001222A8"/>
    <w:rsid w:val="00135C36"/>
    <w:rsid w:val="00146D5D"/>
    <w:rsid w:val="0015198A"/>
    <w:rsid w:val="001565B8"/>
    <w:rsid w:val="00174FA0"/>
    <w:rsid w:val="00180865"/>
    <w:rsid w:val="00190CCB"/>
    <w:rsid w:val="00195ABC"/>
    <w:rsid w:val="001A2C95"/>
    <w:rsid w:val="001B2908"/>
    <w:rsid w:val="001C0B95"/>
    <w:rsid w:val="001C62D9"/>
    <w:rsid w:val="001D3462"/>
    <w:rsid w:val="0020493F"/>
    <w:rsid w:val="00205713"/>
    <w:rsid w:val="002359FF"/>
    <w:rsid w:val="00243CB7"/>
    <w:rsid w:val="00260AAA"/>
    <w:rsid w:val="00267D56"/>
    <w:rsid w:val="00272F45"/>
    <w:rsid w:val="002844E7"/>
    <w:rsid w:val="002958C3"/>
    <w:rsid w:val="002A6765"/>
    <w:rsid w:val="002B772E"/>
    <w:rsid w:val="002C229C"/>
    <w:rsid w:val="002E61FD"/>
    <w:rsid w:val="002F2109"/>
    <w:rsid w:val="002F2B15"/>
    <w:rsid w:val="002F7C87"/>
    <w:rsid w:val="00320B7E"/>
    <w:rsid w:val="00333114"/>
    <w:rsid w:val="0033432A"/>
    <w:rsid w:val="003567E8"/>
    <w:rsid w:val="00360ABD"/>
    <w:rsid w:val="00374FAA"/>
    <w:rsid w:val="0037521E"/>
    <w:rsid w:val="0038322F"/>
    <w:rsid w:val="003D09C5"/>
    <w:rsid w:val="003D24D5"/>
    <w:rsid w:val="003D563B"/>
    <w:rsid w:val="003F767B"/>
    <w:rsid w:val="00413AE8"/>
    <w:rsid w:val="004149B2"/>
    <w:rsid w:val="0042046C"/>
    <w:rsid w:val="0043057D"/>
    <w:rsid w:val="00444DE5"/>
    <w:rsid w:val="0045569C"/>
    <w:rsid w:val="00455E18"/>
    <w:rsid w:val="00487339"/>
    <w:rsid w:val="00494921"/>
    <w:rsid w:val="004A1128"/>
    <w:rsid w:val="004B0004"/>
    <w:rsid w:val="004C082E"/>
    <w:rsid w:val="004D4BD9"/>
    <w:rsid w:val="005133A2"/>
    <w:rsid w:val="00532944"/>
    <w:rsid w:val="00542BC6"/>
    <w:rsid w:val="00586B88"/>
    <w:rsid w:val="00595377"/>
    <w:rsid w:val="005962B9"/>
    <w:rsid w:val="005A021A"/>
    <w:rsid w:val="005B5AC2"/>
    <w:rsid w:val="005B62FA"/>
    <w:rsid w:val="005C06B6"/>
    <w:rsid w:val="005C0DC5"/>
    <w:rsid w:val="005C411B"/>
    <w:rsid w:val="0060422A"/>
    <w:rsid w:val="00604358"/>
    <w:rsid w:val="00620238"/>
    <w:rsid w:val="00633EE1"/>
    <w:rsid w:val="0064059E"/>
    <w:rsid w:val="00661D90"/>
    <w:rsid w:val="00670AE3"/>
    <w:rsid w:val="00673587"/>
    <w:rsid w:val="0069001A"/>
    <w:rsid w:val="006B58D3"/>
    <w:rsid w:val="006C44E2"/>
    <w:rsid w:val="006E66BF"/>
    <w:rsid w:val="006F34C9"/>
    <w:rsid w:val="007161C5"/>
    <w:rsid w:val="00734D79"/>
    <w:rsid w:val="00736CC6"/>
    <w:rsid w:val="00742130"/>
    <w:rsid w:val="00756E8A"/>
    <w:rsid w:val="007814FE"/>
    <w:rsid w:val="00795237"/>
    <w:rsid w:val="007A7721"/>
    <w:rsid w:val="007C75A4"/>
    <w:rsid w:val="007C7D0A"/>
    <w:rsid w:val="00817E8C"/>
    <w:rsid w:val="00824303"/>
    <w:rsid w:val="00845C7F"/>
    <w:rsid w:val="008461F6"/>
    <w:rsid w:val="0084672F"/>
    <w:rsid w:val="00861571"/>
    <w:rsid w:val="00867B82"/>
    <w:rsid w:val="0088242E"/>
    <w:rsid w:val="008828C0"/>
    <w:rsid w:val="008834E0"/>
    <w:rsid w:val="00894EFB"/>
    <w:rsid w:val="008B5785"/>
    <w:rsid w:val="008E201A"/>
    <w:rsid w:val="008F489A"/>
    <w:rsid w:val="00930818"/>
    <w:rsid w:val="00954B28"/>
    <w:rsid w:val="009567B5"/>
    <w:rsid w:val="00956F37"/>
    <w:rsid w:val="009A08D9"/>
    <w:rsid w:val="009A65CB"/>
    <w:rsid w:val="009B02D9"/>
    <w:rsid w:val="009C39C7"/>
    <w:rsid w:val="009C3F77"/>
    <w:rsid w:val="009C735B"/>
    <w:rsid w:val="00A01DDF"/>
    <w:rsid w:val="00A02E2F"/>
    <w:rsid w:val="00A1182B"/>
    <w:rsid w:val="00A13356"/>
    <w:rsid w:val="00A14386"/>
    <w:rsid w:val="00A31C52"/>
    <w:rsid w:val="00A44457"/>
    <w:rsid w:val="00A64826"/>
    <w:rsid w:val="00A742EE"/>
    <w:rsid w:val="00A80980"/>
    <w:rsid w:val="00A8298F"/>
    <w:rsid w:val="00A9772C"/>
    <w:rsid w:val="00AB7CDA"/>
    <w:rsid w:val="00AF0536"/>
    <w:rsid w:val="00AF784C"/>
    <w:rsid w:val="00B32577"/>
    <w:rsid w:val="00B42A55"/>
    <w:rsid w:val="00B827DE"/>
    <w:rsid w:val="00B831F5"/>
    <w:rsid w:val="00BB45F6"/>
    <w:rsid w:val="00BC230C"/>
    <w:rsid w:val="00BD6998"/>
    <w:rsid w:val="00BD6F47"/>
    <w:rsid w:val="00BE5374"/>
    <w:rsid w:val="00BF1BE3"/>
    <w:rsid w:val="00C020D8"/>
    <w:rsid w:val="00C125B4"/>
    <w:rsid w:val="00C14DA6"/>
    <w:rsid w:val="00C36F48"/>
    <w:rsid w:val="00CA7B6A"/>
    <w:rsid w:val="00CB234B"/>
    <w:rsid w:val="00D13012"/>
    <w:rsid w:val="00D60855"/>
    <w:rsid w:val="00D66F9E"/>
    <w:rsid w:val="00D7191D"/>
    <w:rsid w:val="00D725B9"/>
    <w:rsid w:val="00D72A1F"/>
    <w:rsid w:val="00D73250"/>
    <w:rsid w:val="00D93C55"/>
    <w:rsid w:val="00D93E79"/>
    <w:rsid w:val="00DA0C83"/>
    <w:rsid w:val="00DA3630"/>
    <w:rsid w:val="00E022A2"/>
    <w:rsid w:val="00E250DF"/>
    <w:rsid w:val="00E449BC"/>
    <w:rsid w:val="00E55D17"/>
    <w:rsid w:val="00E81578"/>
    <w:rsid w:val="00E822E1"/>
    <w:rsid w:val="00E93442"/>
    <w:rsid w:val="00EA2636"/>
    <w:rsid w:val="00EA73C8"/>
    <w:rsid w:val="00ED09F5"/>
    <w:rsid w:val="00EE1D35"/>
    <w:rsid w:val="00F27E66"/>
    <w:rsid w:val="00F30092"/>
    <w:rsid w:val="00F30700"/>
    <w:rsid w:val="00F30E5B"/>
    <w:rsid w:val="00F4088E"/>
    <w:rsid w:val="00F74A9F"/>
    <w:rsid w:val="00F807CF"/>
    <w:rsid w:val="00FA7A7C"/>
    <w:rsid w:val="00FB02A3"/>
    <w:rsid w:val="00FB3C41"/>
    <w:rsid w:val="00FC1476"/>
    <w:rsid w:val="00FD507C"/>
    <w:rsid w:val="00FD63E0"/>
    <w:rsid w:val="00FE45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9CD980A"/>
  <w15:chartTrackingRefBased/>
  <w15:docId w15:val="{3ACED648-3EDD-4D81-AABB-FC85F13C68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1335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14DA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35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C14DA6"/>
    <w:rPr>
      <w:rFonts w:asciiTheme="majorHAnsi" w:eastAsiaTheme="majorEastAsia" w:hAnsiTheme="majorHAnsi" w:cstheme="majorBidi"/>
      <w:color w:val="2F5496" w:themeColor="accent1" w:themeShade="BF"/>
      <w:sz w:val="26"/>
      <w:szCs w:val="26"/>
    </w:rPr>
  </w:style>
  <w:style w:type="character" w:styleId="PlaceholderText">
    <w:name w:val="Placeholder Text"/>
    <w:basedOn w:val="DefaultParagraphFont"/>
    <w:uiPriority w:val="99"/>
    <w:semiHidden/>
    <w:rsid w:val="005B5AC2"/>
    <w:rPr>
      <w:color w:val="808080"/>
    </w:rPr>
  </w:style>
  <w:style w:type="character" w:styleId="CommentReference">
    <w:name w:val="annotation reference"/>
    <w:basedOn w:val="DefaultParagraphFont"/>
    <w:uiPriority w:val="99"/>
    <w:semiHidden/>
    <w:unhideWhenUsed/>
    <w:rsid w:val="00195ABC"/>
    <w:rPr>
      <w:sz w:val="16"/>
      <w:szCs w:val="16"/>
    </w:rPr>
  </w:style>
  <w:style w:type="paragraph" w:styleId="CommentText">
    <w:name w:val="annotation text"/>
    <w:basedOn w:val="Normal"/>
    <w:link w:val="CommentTextChar"/>
    <w:uiPriority w:val="99"/>
    <w:semiHidden/>
    <w:unhideWhenUsed/>
    <w:rsid w:val="00195ABC"/>
    <w:pPr>
      <w:spacing w:line="240" w:lineRule="auto"/>
    </w:pPr>
    <w:rPr>
      <w:sz w:val="20"/>
      <w:szCs w:val="20"/>
    </w:rPr>
  </w:style>
  <w:style w:type="character" w:customStyle="1" w:styleId="CommentTextChar">
    <w:name w:val="Comment Text Char"/>
    <w:basedOn w:val="DefaultParagraphFont"/>
    <w:link w:val="CommentText"/>
    <w:uiPriority w:val="99"/>
    <w:semiHidden/>
    <w:rsid w:val="00195ABC"/>
    <w:rPr>
      <w:sz w:val="20"/>
      <w:szCs w:val="20"/>
    </w:rPr>
  </w:style>
  <w:style w:type="paragraph" w:styleId="CommentSubject">
    <w:name w:val="annotation subject"/>
    <w:basedOn w:val="CommentText"/>
    <w:next w:val="CommentText"/>
    <w:link w:val="CommentSubjectChar"/>
    <w:uiPriority w:val="99"/>
    <w:semiHidden/>
    <w:unhideWhenUsed/>
    <w:rsid w:val="00195ABC"/>
    <w:rPr>
      <w:b/>
      <w:bCs/>
    </w:rPr>
  </w:style>
  <w:style w:type="character" w:customStyle="1" w:styleId="CommentSubjectChar">
    <w:name w:val="Comment Subject Char"/>
    <w:basedOn w:val="CommentTextChar"/>
    <w:link w:val="CommentSubject"/>
    <w:uiPriority w:val="99"/>
    <w:semiHidden/>
    <w:rsid w:val="00195ABC"/>
    <w:rPr>
      <w:b/>
      <w:bCs/>
      <w:sz w:val="20"/>
      <w:szCs w:val="20"/>
    </w:rPr>
  </w:style>
  <w:style w:type="paragraph" w:styleId="Caption">
    <w:name w:val="caption"/>
    <w:basedOn w:val="Normal"/>
    <w:next w:val="Normal"/>
    <w:uiPriority w:val="35"/>
    <w:unhideWhenUsed/>
    <w:qFormat/>
    <w:rsid w:val="001A2C95"/>
    <w:pPr>
      <w:spacing w:after="200" w:line="240" w:lineRule="auto"/>
    </w:pPr>
    <w:rPr>
      <w:i/>
      <w:iCs/>
      <w:color w:val="44546A" w:themeColor="text2"/>
      <w:sz w:val="18"/>
      <w:szCs w:val="18"/>
    </w:rPr>
  </w:style>
  <w:style w:type="table" w:styleId="GridTable1Light">
    <w:name w:val="Grid Table 1 Light"/>
    <w:basedOn w:val="TableNormal"/>
    <w:uiPriority w:val="46"/>
    <w:rsid w:val="001A2C95"/>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FootnoteText">
    <w:name w:val="footnote text"/>
    <w:basedOn w:val="Normal"/>
    <w:link w:val="FootnoteTextChar"/>
    <w:uiPriority w:val="99"/>
    <w:unhideWhenUsed/>
    <w:rsid w:val="00444DE5"/>
    <w:pPr>
      <w:spacing w:after="0" w:line="240" w:lineRule="auto"/>
    </w:pPr>
    <w:rPr>
      <w:sz w:val="20"/>
      <w:szCs w:val="20"/>
    </w:rPr>
  </w:style>
  <w:style w:type="character" w:customStyle="1" w:styleId="FootnoteTextChar">
    <w:name w:val="Footnote Text Char"/>
    <w:basedOn w:val="DefaultParagraphFont"/>
    <w:link w:val="FootnoteText"/>
    <w:uiPriority w:val="99"/>
    <w:rsid w:val="00444DE5"/>
    <w:rPr>
      <w:sz w:val="20"/>
      <w:szCs w:val="20"/>
    </w:rPr>
  </w:style>
  <w:style w:type="character" w:styleId="FootnoteReference">
    <w:name w:val="footnote reference"/>
    <w:basedOn w:val="DefaultParagraphFont"/>
    <w:uiPriority w:val="99"/>
    <w:semiHidden/>
    <w:unhideWhenUsed/>
    <w:rsid w:val="00444DE5"/>
    <w:rPr>
      <w:vertAlign w:val="superscript"/>
    </w:rPr>
  </w:style>
  <w:style w:type="character" w:styleId="Hyperlink">
    <w:name w:val="Hyperlink"/>
    <w:basedOn w:val="DefaultParagraphFont"/>
    <w:uiPriority w:val="99"/>
    <w:unhideWhenUsed/>
    <w:rsid w:val="00795237"/>
    <w:rPr>
      <w:color w:val="0563C1" w:themeColor="hyperlink"/>
      <w:u w:val="single"/>
    </w:rPr>
  </w:style>
  <w:style w:type="character" w:styleId="UnresolvedMention">
    <w:name w:val="Unresolved Mention"/>
    <w:basedOn w:val="DefaultParagraphFont"/>
    <w:uiPriority w:val="99"/>
    <w:semiHidden/>
    <w:unhideWhenUsed/>
    <w:rsid w:val="00795237"/>
    <w:rPr>
      <w:color w:val="605E5C"/>
      <w:shd w:val="clear" w:color="auto" w:fill="E1DFDD"/>
    </w:rPr>
  </w:style>
  <w:style w:type="character" w:styleId="FollowedHyperlink">
    <w:name w:val="FollowedHyperlink"/>
    <w:basedOn w:val="DefaultParagraphFont"/>
    <w:uiPriority w:val="99"/>
    <w:semiHidden/>
    <w:unhideWhenUsed/>
    <w:rsid w:val="00A02E2F"/>
    <w:rPr>
      <w:color w:val="954F72" w:themeColor="followedHyperlink"/>
      <w:u w:val="single"/>
    </w:rPr>
  </w:style>
  <w:style w:type="paragraph" w:styleId="ListParagraph">
    <w:name w:val="List Paragraph"/>
    <w:basedOn w:val="Normal"/>
    <w:uiPriority w:val="34"/>
    <w:qFormat/>
    <w:rsid w:val="007161C5"/>
    <w:pPr>
      <w:ind w:left="720"/>
      <w:contextualSpacing/>
    </w:pPr>
  </w:style>
  <w:style w:type="paragraph" w:styleId="BalloonText">
    <w:name w:val="Balloon Text"/>
    <w:basedOn w:val="Normal"/>
    <w:link w:val="BalloonTextChar"/>
    <w:uiPriority w:val="99"/>
    <w:semiHidden/>
    <w:unhideWhenUsed/>
    <w:rsid w:val="00C020D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020D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4375456">
      <w:bodyDiv w:val="1"/>
      <w:marLeft w:val="0"/>
      <w:marRight w:val="0"/>
      <w:marTop w:val="0"/>
      <w:marBottom w:val="0"/>
      <w:divBdr>
        <w:top w:val="none" w:sz="0" w:space="0" w:color="auto"/>
        <w:left w:val="none" w:sz="0" w:space="0" w:color="auto"/>
        <w:bottom w:val="none" w:sz="0" w:space="0" w:color="auto"/>
        <w:right w:val="none" w:sz="0" w:space="0" w:color="auto"/>
      </w:divBdr>
      <w:divsChild>
        <w:div w:id="20866817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DCA4FCEE-9650-42CA-881D-52B89A212A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15231</Words>
  <Characters>86821</Characters>
  <Application>Microsoft Office Word</Application>
  <DocSecurity>4</DocSecurity>
  <Lines>723</Lines>
  <Paragraphs>203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Sunny, Nixon</dc:creator>
  <cp:keywords/>
  <dc:description/>
  <cp:lastModifiedBy>Katie Jones</cp:lastModifiedBy>
  <cp:revision>2</cp:revision>
  <dcterms:created xsi:type="dcterms:W3CDTF">2021-10-05T12:37:00Z</dcterms:created>
  <dcterms:modified xsi:type="dcterms:W3CDTF">2021-10-05T12:37:00Z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df7becbb-e43a-310b-b7b4-9652efbe9700</vt:lpwstr>
  </property>
  <property fmtid="{D5CDD505-2E9C-101B-9397-08002B2CF9AE}" pid="4" name="Mendeley Citation Style_1">
    <vt:lpwstr>http://www.zotero.org/styles/joule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http://www.zotero.org/styles/joule</vt:lpwstr>
  </property>
  <property fmtid="{D5CDD505-2E9C-101B-9397-08002B2CF9AE}" pid="20" name="Mendeley Recent Style Name 7_1">
    <vt:lpwstr>Joule</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8th edition</vt:lpwstr>
  </property>
</Properties>
</file>