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14182" w14:textId="592DCA2A" w:rsidR="004C4EFA" w:rsidRPr="002B5A47" w:rsidRDefault="00B5439C" w:rsidP="00224A54">
      <w:pPr>
        <w:pStyle w:val="Heading1"/>
        <w:rPr>
          <w:sz w:val="30"/>
        </w:rPr>
      </w:pPr>
      <w:r>
        <w:rPr>
          <w:sz w:val="30"/>
        </w:rPr>
        <w:t>Online Supplemental F</w:t>
      </w:r>
      <w:r w:rsidR="00B6721C" w:rsidRPr="002B5A47">
        <w:rPr>
          <w:sz w:val="30"/>
        </w:rPr>
        <w:t>ile</w:t>
      </w:r>
    </w:p>
    <w:p w14:paraId="3B9D3232" w14:textId="5501E191" w:rsidR="00BE131F" w:rsidRDefault="00FA686A" w:rsidP="000038CF">
      <w:pPr>
        <w:pStyle w:val="Heading1"/>
        <w:numPr>
          <w:ilvl w:val="0"/>
          <w:numId w:val="11"/>
        </w:numPr>
        <w:ind w:left="360"/>
      </w:pPr>
      <w:bookmarkStart w:id="0" w:name="_Ref484182100"/>
      <w:r>
        <w:t>Model input paramet</w:t>
      </w:r>
      <w:bookmarkStart w:id="1" w:name="_GoBack"/>
      <w:bookmarkEnd w:id="1"/>
      <w:r>
        <w:t>ers</w:t>
      </w:r>
      <w:bookmarkEnd w:id="0"/>
    </w:p>
    <w:p w14:paraId="58E1BB5C" w14:textId="2819BE07" w:rsidR="00F4093A" w:rsidRDefault="00D0379C" w:rsidP="00921576">
      <w:pPr>
        <w:pStyle w:val="Caption"/>
      </w:pPr>
      <w:bookmarkStart w:id="2" w:name="_Ref474771857"/>
      <w:r>
        <w:t>Table S1</w:t>
      </w:r>
      <w:bookmarkEnd w:id="2"/>
      <w:r w:rsidR="00F4093A">
        <w:t xml:space="preserve">: </w:t>
      </w:r>
      <w:r w:rsidR="00FA686A">
        <w:t>P</w:t>
      </w:r>
      <w:r w:rsidR="00EB6D50">
        <w:t>hysical activity</w:t>
      </w:r>
      <w:r w:rsidR="00FA686A">
        <w:t xml:space="preserve"> at baseline and e</w:t>
      </w:r>
      <w:r w:rsidR="00F4093A">
        <w:t>stimates of disease incidence</w:t>
      </w:r>
    </w:p>
    <w:tbl>
      <w:tblPr>
        <w:tblStyle w:val="TableSimple1"/>
        <w:tblW w:w="13469" w:type="dxa"/>
        <w:tblLayout w:type="fixed"/>
        <w:tblLook w:val="04A0" w:firstRow="1" w:lastRow="0" w:firstColumn="1" w:lastColumn="0" w:noHBand="0" w:noVBand="1"/>
      </w:tblPr>
      <w:tblGrid>
        <w:gridCol w:w="2410"/>
        <w:gridCol w:w="851"/>
        <w:gridCol w:w="1134"/>
        <w:gridCol w:w="1134"/>
        <w:gridCol w:w="1128"/>
        <w:gridCol w:w="6"/>
        <w:gridCol w:w="1134"/>
        <w:gridCol w:w="1134"/>
        <w:gridCol w:w="1134"/>
        <w:gridCol w:w="1137"/>
        <w:gridCol w:w="1275"/>
        <w:gridCol w:w="992"/>
      </w:tblGrid>
      <w:tr w:rsidR="00035702" w:rsidRPr="00B93BB3" w14:paraId="76541297" w14:textId="3C9E2EFE" w:rsidTr="007E76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4"/>
          <w:tblHeader/>
        </w:trPr>
        <w:tc>
          <w:tcPr>
            <w:tcW w:w="2410" w:type="dxa"/>
            <w:vMerge w:val="restart"/>
            <w:tcBorders>
              <w:top w:val="single" w:sz="12" w:space="0" w:color="auto"/>
              <w:bottom w:val="single" w:sz="4" w:space="0" w:color="595959" w:themeColor="text1" w:themeTint="A6"/>
            </w:tcBorders>
            <w:vAlign w:val="center"/>
          </w:tcPr>
          <w:p w14:paraId="66DD9DDF" w14:textId="77777777" w:rsidR="00035702" w:rsidRPr="00426C9C" w:rsidRDefault="00035702" w:rsidP="00035702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Parameters</w:t>
            </w:r>
          </w:p>
        </w:tc>
        <w:tc>
          <w:tcPr>
            <w:tcW w:w="4247" w:type="dxa"/>
            <w:gridSpan w:val="4"/>
            <w:tcBorders>
              <w:top w:val="single" w:sz="12" w:space="0" w:color="auto"/>
              <w:bottom w:val="single" w:sz="4" w:space="0" w:color="595959" w:themeColor="text1" w:themeTint="A6"/>
            </w:tcBorders>
            <w:vAlign w:val="center"/>
          </w:tcPr>
          <w:p w14:paraId="5EFE71F7" w14:textId="77777777" w:rsidR="00035702" w:rsidRPr="00426C9C" w:rsidRDefault="00035702" w:rsidP="00035702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Male</w:t>
            </w:r>
          </w:p>
        </w:tc>
        <w:tc>
          <w:tcPr>
            <w:tcW w:w="4542" w:type="dxa"/>
            <w:gridSpan w:val="5"/>
            <w:tcBorders>
              <w:top w:val="single" w:sz="12" w:space="0" w:color="auto"/>
              <w:bottom w:val="single" w:sz="4" w:space="0" w:color="595959" w:themeColor="text1" w:themeTint="A6"/>
            </w:tcBorders>
            <w:vAlign w:val="center"/>
          </w:tcPr>
          <w:p w14:paraId="6266F788" w14:textId="77777777" w:rsidR="00035702" w:rsidRPr="00426C9C" w:rsidRDefault="00035702" w:rsidP="00035702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Female</w:t>
            </w:r>
          </w:p>
        </w:tc>
        <w:tc>
          <w:tcPr>
            <w:tcW w:w="1275" w:type="dxa"/>
            <w:vMerge w:val="restart"/>
            <w:tcBorders>
              <w:top w:val="single" w:sz="12" w:space="0" w:color="auto"/>
            </w:tcBorders>
            <w:vAlign w:val="center"/>
          </w:tcPr>
          <w:p w14:paraId="2332FE57" w14:textId="73F69000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>
              <w:rPr>
                <w:rFonts w:asciiTheme="minorHAnsi" w:hAnsiTheme="minorHAnsi"/>
                <w:lang w:eastAsia="zh-TW"/>
              </w:rPr>
              <w:t>Distribution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vAlign w:val="center"/>
          </w:tcPr>
          <w:p w14:paraId="1B7DA104" w14:textId="5EEBAF54" w:rsidR="00035702" w:rsidRPr="00426C9C" w:rsidRDefault="00035702" w:rsidP="00035702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Source</w:t>
            </w:r>
          </w:p>
        </w:tc>
      </w:tr>
      <w:tr w:rsidR="00035702" w:rsidRPr="00B93BB3" w14:paraId="4E5B91B1" w14:textId="3D96C8A8" w:rsidTr="007E76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7"/>
          <w:tblHeader/>
        </w:trPr>
        <w:tc>
          <w:tcPr>
            <w:tcW w:w="2410" w:type="dxa"/>
            <w:vMerge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125A1389" w14:textId="77777777" w:rsidR="00035702" w:rsidRPr="00426C9C" w:rsidRDefault="00035702" w:rsidP="00035702">
            <w:pPr>
              <w:spacing w:after="40"/>
              <w:jc w:val="center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24AC18CE" w14:textId="77777777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Inactive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79406CDA" w14:textId="77777777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Low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379CD51E" w14:textId="77777777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Moderate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16A8A55C" w14:textId="77777777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High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5EDC7C82" w14:textId="77777777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Inactive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4BA16902" w14:textId="77777777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Low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0A464D25" w14:textId="77777777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Moderate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460A28A2" w14:textId="77777777" w:rsidR="00035702" w:rsidRPr="00426C9C" w:rsidRDefault="00035702" w:rsidP="00035702">
            <w:pPr>
              <w:spacing w:after="40"/>
              <w:ind w:left="-113" w:right="-113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High</w:t>
            </w:r>
          </w:p>
        </w:tc>
        <w:tc>
          <w:tcPr>
            <w:tcW w:w="1275" w:type="dxa"/>
            <w:vMerge/>
            <w:tcBorders>
              <w:bottom w:val="single" w:sz="12" w:space="0" w:color="auto"/>
            </w:tcBorders>
            <w:vAlign w:val="center"/>
          </w:tcPr>
          <w:p w14:paraId="0EC59E6E" w14:textId="77777777" w:rsidR="00035702" w:rsidRPr="00426C9C" w:rsidRDefault="00035702" w:rsidP="00035702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92" w:type="dxa"/>
            <w:vMerge/>
            <w:tcBorders>
              <w:bottom w:val="single" w:sz="12" w:space="0" w:color="auto"/>
            </w:tcBorders>
            <w:vAlign w:val="center"/>
          </w:tcPr>
          <w:p w14:paraId="5C9CA354" w14:textId="77777777" w:rsidR="00035702" w:rsidRPr="00426C9C" w:rsidRDefault="00035702" w:rsidP="00035702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</w:p>
        </w:tc>
      </w:tr>
      <w:tr w:rsidR="00B01E70" w:rsidRPr="00B93BB3" w14:paraId="4A115AAD" w14:textId="0032C69B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29F101D4" w14:textId="6883ED05" w:rsidR="00B01E70" w:rsidRPr="00426C9C" w:rsidRDefault="00B01E70" w:rsidP="00B0543F">
            <w:pPr>
              <w:spacing w:after="40"/>
              <w:rPr>
                <w:rFonts w:asciiTheme="minorHAnsi" w:hAnsiTheme="minorHAnsi"/>
                <w:lang w:eastAsia="zh-TW"/>
              </w:rPr>
            </w:pPr>
            <w:r>
              <w:rPr>
                <w:rFonts w:asciiTheme="minorHAnsi" w:hAnsiTheme="minorHAnsi"/>
                <w:lang w:eastAsia="zh-TW"/>
              </w:rPr>
              <w:t>Baseline PA levels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1DDFE348" w14:textId="172F267C" w:rsidR="00B01E70" w:rsidRPr="00426C9C" w:rsidRDefault="00B01E70" w:rsidP="00B0543F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>
              <w:t>12</w:t>
            </w:r>
            <w:r w:rsidRPr="007A4A03">
              <w:t>%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311EFCA7" w14:textId="66756A5F" w:rsidR="00B01E70" w:rsidRPr="00426C9C" w:rsidRDefault="00B01E70" w:rsidP="00B0543F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>
              <w:t>7</w:t>
            </w:r>
            <w:r w:rsidRPr="007A4A03">
              <w:t>%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0CCF4EB0" w14:textId="66D957F8" w:rsidR="00B01E70" w:rsidRPr="00426C9C" w:rsidRDefault="00B01E70" w:rsidP="00B0543F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>
              <w:t>25</w:t>
            </w:r>
            <w:r w:rsidRPr="007A4A03">
              <w:t>%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080A7C60" w14:textId="3CF781B6" w:rsidR="00B01E70" w:rsidRPr="00426C9C" w:rsidRDefault="00B01E70" w:rsidP="00B0543F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>
              <w:t>56</w:t>
            </w:r>
            <w:r w:rsidRPr="007A4A03">
              <w:t>%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15521877" w14:textId="2BEEE785" w:rsidR="00B01E70" w:rsidRPr="00426C9C" w:rsidRDefault="00B01E70" w:rsidP="00B0543F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>
              <w:t>23</w:t>
            </w:r>
            <w:r w:rsidRPr="007A4A03">
              <w:t>%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09813971" w14:textId="730D6A99" w:rsidR="00B01E70" w:rsidRPr="00426C9C" w:rsidRDefault="00B01E70" w:rsidP="00B0543F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>
              <w:t>35</w:t>
            </w:r>
            <w:r w:rsidRPr="007A4A03">
              <w:t>%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3D855DF9" w14:textId="5C3F9946" w:rsidR="00B01E70" w:rsidRPr="00426C9C" w:rsidRDefault="00B01E70" w:rsidP="00B0543F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 w:rsidRPr="007A4A03">
              <w:t>2</w:t>
            </w:r>
            <w:r>
              <w:t>0</w:t>
            </w:r>
            <w:r w:rsidRPr="007A4A03">
              <w:t>%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4072DC98" w14:textId="21218315" w:rsidR="00B01E70" w:rsidRPr="00426C9C" w:rsidRDefault="00B01E70" w:rsidP="00B0543F">
            <w:pPr>
              <w:spacing w:after="40"/>
              <w:jc w:val="center"/>
              <w:rPr>
                <w:rFonts w:asciiTheme="minorHAnsi" w:hAnsiTheme="minorHAnsi"/>
                <w:lang w:eastAsia="zh-TW"/>
              </w:rPr>
            </w:pPr>
            <w:r>
              <w:t>22</w:t>
            </w:r>
            <w:r w:rsidRPr="007A4A03">
              <w:t>%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11858378" w14:textId="01FD2A59" w:rsidR="00B01E70" w:rsidRPr="00426C9C" w:rsidRDefault="00B01E70" w:rsidP="00FA686A">
            <w:pPr>
              <w:spacing w:after="40"/>
              <w:rPr>
                <w:rFonts w:asciiTheme="minorHAnsi" w:hAnsiTheme="minorHAnsi"/>
                <w:lang w:eastAsia="zh-TW"/>
              </w:rPr>
            </w:pPr>
            <w:r>
              <w:rPr>
                <w:rFonts w:asciiTheme="minorHAnsi" w:hAnsiTheme="minorHAnsi"/>
                <w:lang w:eastAsia="zh-TW"/>
              </w:rPr>
              <w:t>Fixed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36F9C9CD" w14:textId="7FD67B3C" w:rsidR="00B01E70" w:rsidRDefault="00B01E70" w:rsidP="0076344E">
            <w:pPr>
              <w:spacing w:after="40"/>
              <w:rPr>
                <w:lang w:eastAsia="zh-TW"/>
              </w:rPr>
            </w:pPr>
            <w:r>
              <w:rPr>
                <w:lang w:eastAsia="zh-TW"/>
              </w:rPr>
              <w:fldChar w:fldCharType="begin"/>
            </w:r>
            <w:r w:rsidR="0076344E">
              <w:rPr>
                <w:lang w:eastAsia="zh-TW"/>
              </w:rPr>
              <w:instrText xml:space="preserve"> ADDIN EN.CITE &lt;EndNote&gt;&lt;Cite&gt;&lt;Author&gt;Scholes&lt;/Author&gt;&lt;Year&gt;2013&lt;/Year&gt;&lt;RecNum&gt;16&lt;/RecNum&gt;&lt;DisplayText&gt;[1]&lt;/DisplayText&gt;&lt;record&gt;&lt;rec-number&gt;16&lt;/rec-number&gt;&lt;foreign-keys&gt;&lt;key app="EN" db-id="prraawewz2tpwae0awep2et8axzf05ftfe2d" timestamp="1478528821"&gt;16&lt;/key&gt;&lt;/foreign-keys&gt;&lt;ref-type name="Book Section"&gt;5&lt;/ref-type&gt;&lt;contributors&gt;&lt;authors&gt;&lt;author&gt;Shaun Scholes&lt;/author&gt;&lt;author&gt;Jennifer Mindell&lt;/author&gt;&lt;/authors&gt;&lt;secondary-authors&gt;&lt;author&gt;Rachel Craig&lt;/author&gt;&lt;author&gt;Jennifer Mindell&lt;/author&gt;&lt;/secondary-authors&gt;&lt;/contributors&gt;&lt;titles&gt;&lt;title&gt;Physical activity in children&lt;/title&gt;&lt;secondary-title&gt;Health Survey for England 2012&lt;/secondary-title&gt;&lt;/titles&gt;&lt;dates&gt;&lt;year&gt;2013&lt;/year&gt;&lt;/dates&gt;&lt;pub-location&gt;London&lt;/pub-location&gt;&lt;publisher&gt;The Health and Social Care Information Centre &lt;/publisher&gt;&lt;urls&gt;&lt;/urls&gt;&lt;/record&gt;&lt;/Cite&gt;&lt;/EndNote&gt;</w:instrText>
            </w:r>
            <w:r>
              <w:rPr>
                <w:lang w:eastAsia="zh-TW"/>
              </w:rPr>
              <w:fldChar w:fldCharType="separate"/>
            </w:r>
            <w:r w:rsidR="0076344E">
              <w:rPr>
                <w:noProof/>
                <w:lang w:eastAsia="zh-TW"/>
              </w:rPr>
              <w:t>[1]</w:t>
            </w:r>
            <w:r>
              <w:rPr>
                <w:lang w:eastAsia="zh-TW"/>
              </w:rPr>
              <w:fldChar w:fldCharType="end"/>
            </w:r>
          </w:p>
        </w:tc>
      </w:tr>
      <w:tr w:rsidR="00AA2E5D" w:rsidRPr="00B93BB3" w14:paraId="4945FFD7" w14:textId="27BF9EBC" w:rsidTr="007E76E1">
        <w:trPr>
          <w:trHeight w:val="614"/>
        </w:trPr>
        <w:tc>
          <w:tcPr>
            <w:tcW w:w="13469" w:type="dxa"/>
            <w:gridSpan w:val="1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center"/>
          </w:tcPr>
          <w:p w14:paraId="7D394B50" w14:textId="1B800554" w:rsidR="00AA2E5D" w:rsidRPr="007E76E1" w:rsidRDefault="00AA2E5D" w:rsidP="0020640D">
            <w:pPr>
              <w:spacing w:after="40"/>
              <w:jc w:val="both"/>
              <w:rPr>
                <w:rFonts w:asciiTheme="minorHAnsi" w:hAnsiTheme="minorHAnsi"/>
                <w:b/>
                <w:lang w:eastAsia="zh-TW"/>
              </w:rPr>
            </w:pPr>
            <w:r w:rsidRPr="007E76E1">
              <w:rPr>
                <w:rFonts w:asciiTheme="minorHAnsi" w:hAnsiTheme="minorHAnsi"/>
                <w:b/>
                <w:i/>
                <w:lang w:eastAsia="zh-TW"/>
              </w:rPr>
              <w:t xml:space="preserve">Relative risk </w:t>
            </w:r>
            <w:r w:rsidRPr="007E76E1">
              <w:rPr>
                <w:rFonts w:asciiTheme="minorHAnsi" w:hAnsiTheme="minorHAnsi"/>
                <w:b/>
                <w:i/>
                <w:lang w:eastAsia="zh-TW"/>
              </w:rPr>
              <w:t xml:space="preserve">(95% CI) </w:t>
            </w:r>
            <w:r w:rsidRPr="007E76E1">
              <w:rPr>
                <w:rFonts w:asciiTheme="minorHAnsi" w:hAnsiTheme="minorHAnsi"/>
                <w:b/>
                <w:i/>
                <w:lang w:eastAsia="zh-TW"/>
              </w:rPr>
              <w:t>estimates used to adjust disease incidence</w:t>
            </w:r>
          </w:p>
        </w:tc>
      </w:tr>
      <w:tr w:rsidR="002A7D48" w:rsidRPr="00B93BB3" w14:paraId="032B165E" w14:textId="1A0B4509" w:rsidTr="00C674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6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78442BF" w14:textId="552CD8AF" w:rsidR="002A7D48" w:rsidRPr="00426C9C" w:rsidRDefault="002A7D48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  <w:r>
              <w:rPr>
                <w:lang w:eastAsia="zh-TW"/>
              </w:rPr>
              <w:t>CHD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801831D" w14:textId="0C857313" w:rsidR="002A7D48" w:rsidRPr="00426C9C" w:rsidRDefault="002A7D48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0FAE66" w14:textId="34458325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0.87</w:t>
            </w:r>
            <w:r w:rsidR="00C018F7">
              <w:rPr>
                <w:lang w:eastAsia="zh-TW"/>
              </w:rPr>
              <w:br/>
            </w:r>
            <w:r w:rsidR="00CA122B">
              <w:rPr>
                <w:lang w:eastAsia="zh-TW"/>
              </w:rPr>
              <w:t>(0.80–0.95)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A2681B" w14:textId="29F29ABC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0.78</w:t>
            </w:r>
            <w:r w:rsidR="00C018F7">
              <w:rPr>
                <w:lang w:eastAsia="zh-TW"/>
              </w:rPr>
              <w:br/>
            </w:r>
            <w:r w:rsidR="00C018F7">
              <w:rPr>
                <w:lang w:eastAsia="zh-TW"/>
              </w:rPr>
              <w:t>(0.</w:t>
            </w:r>
            <w:r w:rsidR="00480312">
              <w:rPr>
                <w:lang w:eastAsia="zh-TW"/>
              </w:rPr>
              <w:t>74</w:t>
            </w:r>
            <w:r w:rsidR="00C018F7">
              <w:rPr>
                <w:lang w:eastAsia="zh-TW"/>
              </w:rPr>
              <w:t>–0.</w:t>
            </w:r>
            <w:r w:rsidR="00480312">
              <w:rPr>
                <w:lang w:eastAsia="zh-TW"/>
              </w:rPr>
              <w:t>82</w:t>
            </w:r>
            <w:r w:rsidR="00C018F7">
              <w:rPr>
                <w:lang w:eastAsia="zh-TW"/>
              </w:rPr>
              <w:t>)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A80A09D" w14:textId="0EFB8C49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0.70</w:t>
            </w:r>
            <w:r w:rsidR="00C018F7">
              <w:rPr>
                <w:lang w:eastAsia="zh-TW"/>
              </w:rPr>
              <w:br/>
            </w:r>
            <w:r w:rsidR="00C018F7">
              <w:rPr>
                <w:lang w:eastAsia="zh-TW"/>
              </w:rPr>
              <w:t>(0.</w:t>
            </w:r>
            <w:r w:rsidR="00480312">
              <w:rPr>
                <w:lang w:eastAsia="zh-TW"/>
              </w:rPr>
              <w:t>66</w:t>
            </w:r>
            <w:r w:rsidR="00C018F7">
              <w:rPr>
                <w:lang w:eastAsia="zh-TW"/>
              </w:rPr>
              <w:t>–0.</w:t>
            </w:r>
            <w:r w:rsidR="00480312">
              <w:rPr>
                <w:lang w:eastAsia="zh-TW"/>
              </w:rPr>
              <w:t>75</w:t>
            </w:r>
            <w:r w:rsidR="00C018F7">
              <w:rPr>
                <w:lang w:eastAsia="zh-TW"/>
              </w:rPr>
              <w:t>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39E617A" w14:textId="2F5A3531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0E793B" w14:textId="49A39659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0.87</w:t>
            </w:r>
            <w:r w:rsidR="00C018F7">
              <w:rPr>
                <w:lang w:eastAsia="zh-TW"/>
              </w:rPr>
              <w:br/>
            </w:r>
            <w:r w:rsidR="00C018F7">
              <w:rPr>
                <w:lang w:eastAsia="zh-TW"/>
              </w:rPr>
              <w:t>(0.80–0.95)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C4DCC91" w14:textId="565B03A8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0.78</w:t>
            </w:r>
            <w:r w:rsidR="00C018F7">
              <w:rPr>
                <w:lang w:eastAsia="zh-TW"/>
              </w:rPr>
              <w:br/>
            </w:r>
            <w:r w:rsidR="00C018F7">
              <w:rPr>
                <w:lang w:eastAsia="zh-TW"/>
              </w:rPr>
              <w:t>(0.80–0.95)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FAD7B2B" w14:textId="146186F2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0.70</w:t>
            </w:r>
            <w:r w:rsidR="00C018F7">
              <w:rPr>
                <w:lang w:eastAsia="zh-TW"/>
              </w:rPr>
              <w:br/>
            </w:r>
            <w:r w:rsidR="00C018F7">
              <w:rPr>
                <w:lang w:eastAsia="zh-TW"/>
              </w:rPr>
              <w:t>(0.80–0.95)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5AE5B4" w14:textId="7CAF8A8F" w:rsidR="002A7D48" w:rsidRPr="00426C9C" w:rsidRDefault="002A7D48" w:rsidP="00773018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>
              <w:rPr>
                <w:rFonts w:asciiTheme="minorHAnsi" w:hAnsiTheme="minorHAnsi"/>
                <w:lang w:eastAsia="zh-TW"/>
              </w:rPr>
              <w:t>lognormal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641F3F" w14:textId="72B02EFD" w:rsidR="002A7D48" w:rsidRPr="001C2E03" w:rsidRDefault="002A7D48" w:rsidP="0076344E">
            <w:pPr>
              <w:spacing w:after="40"/>
              <w:rPr>
                <w:lang w:eastAsia="zh-TW"/>
              </w:rPr>
            </w:pPr>
            <w:r w:rsidRPr="001C2E03">
              <w:rPr>
                <w:lang w:eastAsia="zh-TW"/>
              </w:rPr>
              <w:fldChar w:fldCharType="begin">
                <w:fldData xml:space="preserve">PEVuZE5vdGU+PENpdGU+PEF1dGhvcj5XYWhpZDwvQXV0aG9yPjxZZWFyPjIwMTY8L1llYXI+PFJl
Y051bT43PC9SZWNOdW0+PERpc3BsYXlUZXh0PlsyXTwvRGlzcGxheVRleHQ+PHJlY29yZD48cmVj
LW51bWJlcj43PC9yZWMtbnVtYmVyPjxmb3JlaWduLWtleXM+PGtleSBhcHA9IkVOIiBkYi1pZD0i
cHJyYWF3ZXd6MnRwd2FlMGF3ZXAyZXQ4YXh6ZjA1ZnRmZTJkIiB0aW1lc3RhbXA9IjE0Nzc2NTU3
NjMiPjc8L2tleT48L2ZvcmVpZ24ta2V5cz48cmVmLXR5cGUgbmFtZT0iSm91cm5hbCBBcnRpY2xl
Ij4xNzwvcmVmLXR5cGU+PGNvbnRyaWJ1dG9ycz48YXV0aG9ycz48YXV0aG9yPldhaGlkLCBBLjwv
YXV0aG9yPjxhdXRob3I+TWFuZWssIE4uPC9hdXRob3I+PGF1dGhvcj5OaWNob2xzLCBNLjwvYXV0
aG9yPjxhdXRob3I+S2VsbHksIFAuPC9hdXRob3I+PGF1dGhvcj5Gb3N0ZXIsIEMuPC9hdXRob3I+
PGF1dGhvcj5XZWJzdGVyLCBQLjwvYXV0aG9yPjxhdXRob3I+S2F1ciwgQS48L2F1dGhvcj48YXV0
aG9yPkZyaWVkZW1hbm4gU21pdGgsIEMuPC9hdXRob3I+PGF1dGhvcj5XaWxraW5zLCBFLjwvYXV0
aG9yPjxhdXRob3I+UmF5bmVyLCBNLjwvYXV0aG9yPjxhdXRob3I+Um9iZXJ0cywgTi48L2F1dGhv
cj48YXV0aG9yPlNjYXJib3JvdWdoLCBQLjwvYXV0aG9yPjwvYXV0aG9ycz48L2NvbnRyaWJ1dG9y
cz48YXV0aC1hZGRyZXNzPkpvaG4gUmFkY2xpZmZlIEhvc3BpdGFsLCBPeGZvcmQgJmFtcDsgVW5p
dmVyc2l0eSBvZiBPeGZvcmQgQ2xpbmljYWwgQWNhZGVtaWMgR3JhZHVhdGUgU2Nob29sIChPVUNB
R1MpLCBPeGZvcmQsIFVuaXRlZCBLaW5nZG9tLiYjeEQ7V2F0Zm9yZCBHZW5lcmFsIEhvc3BpdGFs
LCBJbXBlcmlhbCBDb2xsZWdlIEhlYWx0aGNhcmUgTkhTIFRydXN0LCBMb25kb24sIFVuaXRlZCBL
aW5nZG9tLiYjeEQ7VGhlIEJyaXRpc2ggSGVhcnQgRm91bmRhdGlvbiBDZW50ZXIgb24gUG9wdWxh
dGlvbiBBcHByb2FjaGVzIGZvciBOb24tQ29tbXVuaWNhYmxlIERpc2Vhc2UgUHJldmVudGlvbiwg
TnVmZmllbGQgRGVwYXJ0bWVudCBvZiBQb3B1bGF0aW9uIEhlYWx0aCwgVW5pdmVyc2l0eSBvZiBP
eGZvcmQsIFVuaXRlZCBLaW5nZG9tIFdITyBDb2xsYWJvcmF0aW5nIENlbnRlciBmb3IgT2Jlc2l0
eSBQcmV2ZW50aW9uLCBEZWFraW4gVW5pdmVyc2l0eSwgR2VlbG9uZywgQXVzdHJhbGlhLiYjeEQ7
VGhlIEJyaXRpc2ggSGVhcnQgRm91bmRhdGlvbiBDZW50ZXIgb24gUG9wdWxhdGlvbiBBcHByb2Fj
aGVzIGZvciBOb24tQ29tbXVuaWNhYmxlIERpc2Vhc2UgUHJldmVudGlvbiwgTnVmZmllbGQgRGVw
YXJ0bWVudCBvZiBQb3B1bGF0aW9uIEhlYWx0aCwgVW5pdmVyc2l0eSBvZiBPeGZvcmQsIFVuaXRl
ZCBLaW5nZG9tIFNwb3J0LCBQaHlzaWNhbCBFZHVjYXRpb24gYW5kIEhlYWx0aCBTY2llbmNlcyBE
ZXBhcnRtZW50IChTUEVIUyksIFVuaXZlcnNpdHkgb2YgRWRpbmJ1cmdoLCBVbml0ZWQgS2luZ2Rv
bS4mI3hEO1RoZSBCcml0aXNoIEhlYXJ0IEZvdW5kYXRpb24gQ2VudGVyIG9uIFBvcHVsYXRpb24g
QXBwcm9hY2hlcyBmb3IgTm9uLUNvbW11bmljYWJsZSBEaXNlYXNlIFByZXZlbnRpb24sIE51ZmZp
ZWxkIERlcGFydG1lbnQgb2YgUG9wdWxhdGlvbiBIZWFsdGgsIFVuaXZlcnNpdHkgb2YgT3hmb3Jk
LCBVbml0ZWQgS2luZ2RvbS4mI3hEO051ZmZpZWxkIERlcGFydG1lbnQgb2YgUG9wdWxhdGlvbiBI
ZWFsdGgsIFVuaXZlcnNpdHkgb2YgT3hmb3JkLCBVbml0ZWQgS2luZ2RvbS4mI3hEO1RoZSBCcml0
aXNoIEhlYXJ0IEZvdW5kYXRpb24gQ2VudGVyIG9uIFBvcHVsYXRpb24gQXBwcm9hY2hlcyBmb3Ig
Tm9uLUNvbW11bmljYWJsZSBEaXNlYXNlIFByZXZlbnRpb24sIE51ZmZpZWxkIERlcGFydG1lbnQg
b2YgUG9wdWxhdGlvbiBIZWFsdGgsIFVuaXZlcnNpdHkgb2YgT3hmb3JkLCBVbml0ZWQgS2luZ2Rv
bSBEZXBhcnRtZW50IG9mIEVwaWRlbWlvbG9neSBhbmQgUHVibGljIEhlYWx0aCwgSGVhbHRoIEJl
aGF2aW91ciBSZXNlYXJjaCBDZW50cmUsIFVuaXZlcnNpdHkgQ29sbGVnZSBMb25kb24sIExvbmRv
biwgVW5pdGVkIEtpbmdkb20uJiN4RDtCb2RsZWlhbiBIZWFsdGggQ2FyZSBMaWJyYXJpZXMsIEtu
b3dsZWRnZSBDZW50ZXIsIFVuaXZlcnNpdHkgb2YgT3hmb3JkLCBVbml0ZWQgS2luZ2RvbS4mI3hE
O1RoZSBCcml0aXNoIEhlYXJ0IEZvdW5kYXRpb24gQ2VudGVyIG9uIFBvcHVsYXRpb24gQXBwcm9h
Y2hlcyBmb3IgTm9uLUNvbW11bmljYWJsZSBEaXNlYXNlIFByZXZlbnRpb24sIE51ZmZpZWxkIERl
cGFydG1lbnQgb2YgUG9wdWxhdGlvbiBIZWFsdGgsIFVuaXZlcnNpdHkgb2YgT3hmb3JkLCBVbml0
ZWQgS2luZ2RvbSBwZXRlci5zY2FyYm9yb3VnaEBkcGgub3guYWMudWsuPC9hdXRoLWFkZHJlc3M+
PHRpdGxlcz48dGl0bGU+UXVhbnRpZnlpbmcgdGhlIEFzc29jaWF0aW9uIEJldHdlZW4gUGh5c2lj
YWwgQWN0aXZpdHkgYW5kIENhcmRpb3Zhc2N1bGFyIERpc2Vhc2UgYW5kIERpYWJldGVzOiBBIFN5
c3RlbWF0aWMgUmV2aWV3IGFuZCBNZXRhLUFuYWx5c2lzPC90aXRsZT48c2Vjb25kYXJ5LXRpdGxl
PkogQW0gSGVhcnQgQXNzb2M8L3NlY29uZGFyeS10aXRsZT48L3RpdGxlcz48cGVyaW9kaWNhbD48
ZnVsbC10aXRsZT5KIEFtIEhlYXJ0IEFzc29jPC9mdWxsLXRpdGxlPjwvcGVyaW9kaWNhbD48dm9s
dW1lPjU8L3ZvbHVtZT48bnVtYmVyPjk8L251bWJlcj48a2V5d29yZHM+PGtleXdvcmQ+Y2FyZGlv
dmFzY3VsYXIgZGlzZWFzZXM8L2tleXdvcmQ+PGtleXdvcmQ+bWV0YS1hbmFseXNpczwva2V5d29y
ZD48a2V5d29yZD5waHlzaWNhbCBhY3Rpdml0eTwva2V5d29yZD48a2V5d29yZD5zeXN0ZW1hdGlj
IHJldmlldzwva2V5d29yZD48L2tleXdvcmRzPjxkYXRlcz48eWVhcj4yMDE2PC95ZWFyPjxwdWIt
ZGF0ZXM+PGRhdGU+U2VwIDE0PC9kYXRlPjwvcHViLWRhdGVzPjwvZGF0ZXM+PGlzYm4+MjA0Ny05
OTgwIChFbGVjdHJvbmljKSYjeEQ7MjA0Ny05OTgwIChMaW5raW5nKTwvaXNibj48YWNjZXNzaW9u
LW51bT4yNzYyODU3MjwvYWNjZXNzaW9uLW51bT48dXJscz48cmVsYXRlZC11cmxzPjx1cmw+aHR0
cDovL3d3dy5uY2JpLm5sbS5uaWguZ292L3B1Ym1lZC8yNzYyODU3MjwvdXJsPjwvcmVsYXRlZC11
cmxzPjwvdXJscz48ZWxlY3Ryb25pYy1yZXNvdXJjZS1udW0+MTAuMTE2MS9KQUhBLjExNS4wMDI0
OTU8L2VsZWN0cm9uaWMtcmVzb3VyY2UtbnVtPjwvcmVjb3JkPjwvQ2l0ZT48L0VuZE5vdGU+
</w:fldData>
              </w:fldChar>
            </w:r>
            <w:r w:rsidR="0076344E">
              <w:rPr>
                <w:lang w:eastAsia="zh-TW"/>
              </w:rPr>
              <w:instrText xml:space="preserve"> ADDIN EN.CITE </w:instrText>
            </w:r>
            <w:r w:rsidR="0076344E">
              <w:rPr>
                <w:lang w:eastAsia="zh-TW"/>
              </w:rPr>
              <w:fldChar w:fldCharType="begin">
                <w:fldData xml:space="preserve">PEVuZE5vdGU+PENpdGU+PEF1dGhvcj5XYWhpZDwvQXV0aG9yPjxZZWFyPjIwMTY8L1llYXI+PFJl
Y051bT43PC9SZWNOdW0+PERpc3BsYXlUZXh0PlsyXTwvRGlzcGxheVRleHQ+PHJlY29yZD48cmVj
LW51bWJlcj43PC9yZWMtbnVtYmVyPjxmb3JlaWduLWtleXM+PGtleSBhcHA9IkVOIiBkYi1pZD0i
cHJyYWF3ZXd6MnRwd2FlMGF3ZXAyZXQ4YXh6ZjA1ZnRmZTJkIiB0aW1lc3RhbXA9IjE0Nzc2NTU3
NjMiPjc8L2tleT48L2ZvcmVpZ24ta2V5cz48cmVmLXR5cGUgbmFtZT0iSm91cm5hbCBBcnRpY2xl
Ij4xNzwvcmVmLXR5cGU+PGNvbnRyaWJ1dG9ycz48YXV0aG9ycz48YXV0aG9yPldhaGlkLCBBLjwv
YXV0aG9yPjxhdXRob3I+TWFuZWssIE4uPC9hdXRob3I+PGF1dGhvcj5OaWNob2xzLCBNLjwvYXV0
aG9yPjxhdXRob3I+S2VsbHksIFAuPC9hdXRob3I+PGF1dGhvcj5Gb3N0ZXIsIEMuPC9hdXRob3I+
PGF1dGhvcj5XZWJzdGVyLCBQLjwvYXV0aG9yPjxhdXRob3I+S2F1ciwgQS48L2F1dGhvcj48YXV0
aG9yPkZyaWVkZW1hbm4gU21pdGgsIEMuPC9hdXRob3I+PGF1dGhvcj5XaWxraW5zLCBFLjwvYXV0
aG9yPjxhdXRob3I+UmF5bmVyLCBNLjwvYXV0aG9yPjxhdXRob3I+Um9iZXJ0cywgTi48L2F1dGhv
cj48YXV0aG9yPlNjYXJib3JvdWdoLCBQLjwvYXV0aG9yPjwvYXV0aG9ycz48L2NvbnRyaWJ1dG9y
cz48YXV0aC1hZGRyZXNzPkpvaG4gUmFkY2xpZmZlIEhvc3BpdGFsLCBPeGZvcmQgJmFtcDsgVW5p
dmVyc2l0eSBvZiBPeGZvcmQgQ2xpbmljYWwgQWNhZGVtaWMgR3JhZHVhdGUgU2Nob29sIChPVUNB
R1MpLCBPeGZvcmQsIFVuaXRlZCBLaW5nZG9tLiYjeEQ7V2F0Zm9yZCBHZW5lcmFsIEhvc3BpdGFs
LCBJbXBlcmlhbCBDb2xsZWdlIEhlYWx0aGNhcmUgTkhTIFRydXN0LCBMb25kb24sIFVuaXRlZCBL
aW5nZG9tLiYjeEQ7VGhlIEJyaXRpc2ggSGVhcnQgRm91bmRhdGlvbiBDZW50ZXIgb24gUG9wdWxh
dGlvbiBBcHByb2FjaGVzIGZvciBOb24tQ29tbXVuaWNhYmxlIERpc2Vhc2UgUHJldmVudGlvbiwg
TnVmZmllbGQgRGVwYXJ0bWVudCBvZiBQb3B1bGF0aW9uIEhlYWx0aCwgVW5pdmVyc2l0eSBvZiBP
eGZvcmQsIFVuaXRlZCBLaW5nZG9tIFdITyBDb2xsYWJvcmF0aW5nIENlbnRlciBmb3IgT2Jlc2l0
eSBQcmV2ZW50aW9uLCBEZWFraW4gVW5pdmVyc2l0eSwgR2VlbG9uZywgQXVzdHJhbGlhLiYjeEQ7
VGhlIEJyaXRpc2ggSGVhcnQgRm91bmRhdGlvbiBDZW50ZXIgb24gUG9wdWxhdGlvbiBBcHByb2Fj
aGVzIGZvciBOb24tQ29tbXVuaWNhYmxlIERpc2Vhc2UgUHJldmVudGlvbiwgTnVmZmllbGQgRGVw
YXJ0bWVudCBvZiBQb3B1bGF0aW9uIEhlYWx0aCwgVW5pdmVyc2l0eSBvZiBPeGZvcmQsIFVuaXRl
ZCBLaW5nZG9tIFNwb3J0LCBQaHlzaWNhbCBFZHVjYXRpb24gYW5kIEhlYWx0aCBTY2llbmNlcyBE
ZXBhcnRtZW50IChTUEVIUyksIFVuaXZlcnNpdHkgb2YgRWRpbmJ1cmdoLCBVbml0ZWQgS2luZ2Rv
bS4mI3hEO1RoZSBCcml0aXNoIEhlYXJ0IEZvdW5kYXRpb24gQ2VudGVyIG9uIFBvcHVsYXRpb24g
QXBwcm9hY2hlcyBmb3IgTm9uLUNvbW11bmljYWJsZSBEaXNlYXNlIFByZXZlbnRpb24sIE51ZmZp
ZWxkIERlcGFydG1lbnQgb2YgUG9wdWxhdGlvbiBIZWFsdGgsIFVuaXZlcnNpdHkgb2YgT3hmb3Jk
LCBVbml0ZWQgS2luZ2RvbS4mI3hEO051ZmZpZWxkIERlcGFydG1lbnQgb2YgUG9wdWxhdGlvbiBI
ZWFsdGgsIFVuaXZlcnNpdHkgb2YgT3hmb3JkLCBVbml0ZWQgS2luZ2RvbS4mI3hEO1RoZSBCcml0
aXNoIEhlYXJ0IEZvdW5kYXRpb24gQ2VudGVyIG9uIFBvcHVsYXRpb24gQXBwcm9hY2hlcyBmb3Ig
Tm9uLUNvbW11bmljYWJsZSBEaXNlYXNlIFByZXZlbnRpb24sIE51ZmZpZWxkIERlcGFydG1lbnQg
b2YgUG9wdWxhdGlvbiBIZWFsdGgsIFVuaXZlcnNpdHkgb2YgT3hmb3JkLCBVbml0ZWQgS2luZ2Rv
bSBEZXBhcnRtZW50IG9mIEVwaWRlbWlvbG9neSBhbmQgUHVibGljIEhlYWx0aCwgSGVhbHRoIEJl
aGF2aW91ciBSZXNlYXJjaCBDZW50cmUsIFVuaXZlcnNpdHkgQ29sbGVnZSBMb25kb24sIExvbmRv
biwgVW5pdGVkIEtpbmdkb20uJiN4RDtCb2RsZWlhbiBIZWFsdGggQ2FyZSBMaWJyYXJpZXMsIEtu
b3dsZWRnZSBDZW50ZXIsIFVuaXZlcnNpdHkgb2YgT3hmb3JkLCBVbml0ZWQgS2luZ2RvbS4mI3hE
O1RoZSBCcml0aXNoIEhlYXJ0IEZvdW5kYXRpb24gQ2VudGVyIG9uIFBvcHVsYXRpb24gQXBwcm9h
Y2hlcyBmb3IgTm9uLUNvbW11bmljYWJsZSBEaXNlYXNlIFByZXZlbnRpb24sIE51ZmZpZWxkIERl
cGFydG1lbnQgb2YgUG9wdWxhdGlvbiBIZWFsdGgsIFVuaXZlcnNpdHkgb2YgT3hmb3JkLCBVbml0
ZWQgS2luZ2RvbSBwZXRlci5zY2FyYm9yb3VnaEBkcGgub3guYWMudWsuPC9hdXRoLWFkZHJlc3M+
PHRpdGxlcz48dGl0bGU+UXVhbnRpZnlpbmcgdGhlIEFzc29jaWF0aW9uIEJldHdlZW4gUGh5c2lj
YWwgQWN0aXZpdHkgYW5kIENhcmRpb3Zhc2N1bGFyIERpc2Vhc2UgYW5kIERpYWJldGVzOiBBIFN5
c3RlbWF0aWMgUmV2aWV3IGFuZCBNZXRhLUFuYWx5c2lzPC90aXRsZT48c2Vjb25kYXJ5LXRpdGxl
PkogQW0gSGVhcnQgQXNzb2M8L3NlY29uZGFyeS10aXRsZT48L3RpdGxlcz48cGVyaW9kaWNhbD48
ZnVsbC10aXRsZT5KIEFtIEhlYXJ0IEFzc29jPC9mdWxsLXRpdGxlPjwvcGVyaW9kaWNhbD48dm9s
dW1lPjU8L3ZvbHVtZT48bnVtYmVyPjk8L251bWJlcj48a2V5d29yZHM+PGtleXdvcmQ+Y2FyZGlv
dmFzY3VsYXIgZGlzZWFzZXM8L2tleXdvcmQ+PGtleXdvcmQ+bWV0YS1hbmFseXNpczwva2V5d29y
ZD48a2V5d29yZD5waHlzaWNhbCBhY3Rpdml0eTwva2V5d29yZD48a2V5d29yZD5zeXN0ZW1hdGlj
IHJldmlldzwva2V5d29yZD48L2tleXdvcmRzPjxkYXRlcz48eWVhcj4yMDE2PC95ZWFyPjxwdWIt
ZGF0ZXM+PGRhdGU+U2VwIDE0PC9kYXRlPjwvcHViLWRhdGVzPjwvZGF0ZXM+PGlzYm4+MjA0Ny05
OTgwIChFbGVjdHJvbmljKSYjeEQ7MjA0Ny05OTgwIChMaW5raW5nKTwvaXNibj48YWNjZXNzaW9u
LW51bT4yNzYyODU3MjwvYWNjZXNzaW9uLW51bT48dXJscz48cmVsYXRlZC11cmxzPjx1cmw+aHR0
cDovL3d3dy5uY2JpLm5sbS5uaWguZ292L3B1Ym1lZC8yNzYyODU3MjwvdXJsPjwvcmVsYXRlZC11
cmxzPjwvdXJscz48ZWxlY3Ryb25pYy1yZXNvdXJjZS1udW0+MTAuMTE2MS9KQUhBLjExNS4wMDI0
OTU8L2VsZWN0cm9uaWMtcmVzb3VyY2UtbnVtPjwvcmVjb3JkPjwvQ2l0ZT48L0VuZE5vdGU+
</w:fldData>
              </w:fldChar>
            </w:r>
            <w:r w:rsidR="0076344E">
              <w:rPr>
                <w:lang w:eastAsia="zh-TW"/>
              </w:rPr>
              <w:instrText xml:space="preserve"> ADDIN EN.CITE.DATA </w:instrText>
            </w:r>
            <w:r w:rsidR="0076344E">
              <w:rPr>
                <w:lang w:eastAsia="zh-TW"/>
              </w:rPr>
            </w:r>
            <w:r w:rsidR="0076344E">
              <w:rPr>
                <w:lang w:eastAsia="zh-TW"/>
              </w:rPr>
              <w:fldChar w:fldCharType="end"/>
            </w:r>
            <w:r w:rsidRPr="001C2E03">
              <w:rPr>
                <w:lang w:eastAsia="zh-TW"/>
              </w:rPr>
            </w:r>
            <w:r w:rsidRPr="001C2E03">
              <w:rPr>
                <w:lang w:eastAsia="zh-TW"/>
              </w:rPr>
              <w:fldChar w:fldCharType="separate"/>
            </w:r>
            <w:r w:rsidR="0076344E">
              <w:rPr>
                <w:noProof/>
                <w:lang w:eastAsia="zh-TW"/>
              </w:rPr>
              <w:t>[2]</w:t>
            </w:r>
            <w:r w:rsidRPr="001C2E03">
              <w:rPr>
                <w:lang w:eastAsia="zh-TW"/>
              </w:rPr>
              <w:fldChar w:fldCharType="end"/>
            </w:r>
          </w:p>
        </w:tc>
      </w:tr>
      <w:tr w:rsidR="007E30EB" w:rsidRPr="00B93BB3" w14:paraId="7531B49C" w14:textId="450F7779" w:rsidTr="00C67441">
        <w:trPr>
          <w:trHeight w:val="756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9F27DA2" w14:textId="0DF9B8C4" w:rsidR="007E30EB" w:rsidRPr="00426C9C" w:rsidRDefault="007E30EB" w:rsidP="007E30EB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1C2E03">
              <w:rPr>
                <w:lang w:eastAsia="zh-TW"/>
              </w:rPr>
              <w:t>Stroke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6CA67BF" w14:textId="58905AF5" w:rsidR="007E30EB" w:rsidRPr="00426C9C" w:rsidRDefault="007E30EB" w:rsidP="007E30EB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DFAF78F" w14:textId="0959D1A1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0.85</w:t>
            </w:r>
            <w:r>
              <w:rPr>
                <w:lang w:eastAsia="zh-TW"/>
              </w:rPr>
              <w:br/>
              <w:t>(0.80–0.91)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FF7F561" w14:textId="4A53637D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0.81</w:t>
            </w:r>
            <w:r>
              <w:rPr>
                <w:lang w:eastAsia="zh-TW"/>
              </w:rPr>
              <w:br/>
              <w:t>(0.74–0.88)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68D4834" w14:textId="314AA1E7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0.76</w:t>
            </w:r>
            <w:r>
              <w:rPr>
                <w:lang w:eastAsia="zh-TW"/>
              </w:rPr>
              <w:br/>
              <w:t>(0.68–0.85)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517D50B" w14:textId="541E4BD9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E550540" w14:textId="71273075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0.85</w:t>
            </w:r>
            <w:r>
              <w:rPr>
                <w:lang w:eastAsia="zh-TW"/>
              </w:rPr>
              <w:br/>
              <w:t>(0.80–0.91)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B7448F" w14:textId="10EF48BF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0.81</w:t>
            </w:r>
            <w:r>
              <w:rPr>
                <w:lang w:eastAsia="zh-TW"/>
              </w:rPr>
              <w:br/>
              <w:t>(0.74–0.88)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7CE19C2" w14:textId="48C5D20D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0.76</w:t>
            </w:r>
            <w:r>
              <w:rPr>
                <w:lang w:eastAsia="zh-TW"/>
              </w:rPr>
              <w:br/>
              <w:t>(0.68–0.85)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8BF1267" w14:textId="27A0E5D1" w:rsidR="007E30EB" w:rsidRPr="00426C9C" w:rsidRDefault="007E30EB" w:rsidP="007E30EB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A24C63">
              <w:rPr>
                <w:rFonts w:asciiTheme="minorHAnsi" w:hAnsiTheme="minorHAnsi"/>
                <w:lang w:eastAsia="zh-TW"/>
              </w:rPr>
              <w:t>lognormal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6730A6" w14:textId="285ACB15" w:rsidR="007E30EB" w:rsidRPr="001C2E03" w:rsidRDefault="007E30EB" w:rsidP="007E30EB">
            <w:pPr>
              <w:spacing w:after="40"/>
              <w:rPr>
                <w:lang w:eastAsia="zh-TW"/>
              </w:rPr>
            </w:pPr>
            <w:r w:rsidRPr="001C2E03">
              <w:rPr>
                <w:lang w:eastAsia="zh-TW"/>
              </w:rPr>
              <w:fldChar w:fldCharType="begin">
                <w:fldData xml:space="preserve">PEVuZE5vdGU+PENpdGU+PEF1dGhvcj5XYWhpZDwvQXV0aG9yPjxZZWFyPjIwMTY8L1llYXI+PFJl
Y051bT43PC9SZWNOdW0+PERpc3BsYXlUZXh0PlsyXTwvRGlzcGxheVRleHQ+PHJlY29yZD48cmVj
LW51bWJlcj43PC9yZWMtbnVtYmVyPjxmb3JlaWduLWtleXM+PGtleSBhcHA9IkVOIiBkYi1pZD0i
cHJyYWF3ZXd6MnRwd2FlMGF3ZXAyZXQ4YXh6ZjA1ZnRmZTJkIiB0aW1lc3RhbXA9IjE0Nzc2NTU3
NjMiPjc8L2tleT48L2ZvcmVpZ24ta2V5cz48cmVmLXR5cGUgbmFtZT0iSm91cm5hbCBBcnRpY2xl
Ij4xNzwvcmVmLXR5cGU+PGNvbnRyaWJ1dG9ycz48YXV0aG9ycz48YXV0aG9yPldhaGlkLCBBLjwv
YXV0aG9yPjxhdXRob3I+TWFuZWssIE4uPC9hdXRob3I+PGF1dGhvcj5OaWNob2xzLCBNLjwvYXV0
aG9yPjxhdXRob3I+S2VsbHksIFAuPC9hdXRob3I+PGF1dGhvcj5Gb3N0ZXIsIEMuPC9hdXRob3I+
PGF1dGhvcj5XZWJzdGVyLCBQLjwvYXV0aG9yPjxhdXRob3I+S2F1ciwgQS48L2F1dGhvcj48YXV0
aG9yPkZyaWVkZW1hbm4gU21pdGgsIEMuPC9hdXRob3I+PGF1dGhvcj5XaWxraW5zLCBFLjwvYXV0
aG9yPjxhdXRob3I+UmF5bmVyLCBNLjwvYXV0aG9yPjxhdXRob3I+Um9iZXJ0cywgTi48L2F1dGhv
cj48YXV0aG9yPlNjYXJib3JvdWdoLCBQLjwvYXV0aG9yPjwvYXV0aG9ycz48L2NvbnRyaWJ1dG9y
cz48YXV0aC1hZGRyZXNzPkpvaG4gUmFkY2xpZmZlIEhvc3BpdGFsLCBPeGZvcmQgJmFtcDsgVW5p
dmVyc2l0eSBvZiBPeGZvcmQgQ2xpbmljYWwgQWNhZGVtaWMgR3JhZHVhdGUgU2Nob29sIChPVUNB
R1MpLCBPeGZvcmQsIFVuaXRlZCBLaW5nZG9tLiYjeEQ7V2F0Zm9yZCBHZW5lcmFsIEhvc3BpdGFs
LCBJbXBlcmlhbCBDb2xsZWdlIEhlYWx0aGNhcmUgTkhTIFRydXN0LCBMb25kb24sIFVuaXRlZCBL
aW5nZG9tLiYjeEQ7VGhlIEJyaXRpc2ggSGVhcnQgRm91bmRhdGlvbiBDZW50ZXIgb24gUG9wdWxh
dGlvbiBBcHByb2FjaGVzIGZvciBOb24tQ29tbXVuaWNhYmxlIERpc2Vhc2UgUHJldmVudGlvbiwg
TnVmZmllbGQgRGVwYXJ0bWVudCBvZiBQb3B1bGF0aW9uIEhlYWx0aCwgVW5pdmVyc2l0eSBvZiBP
eGZvcmQsIFVuaXRlZCBLaW5nZG9tIFdITyBDb2xsYWJvcmF0aW5nIENlbnRlciBmb3IgT2Jlc2l0
eSBQcmV2ZW50aW9uLCBEZWFraW4gVW5pdmVyc2l0eSwgR2VlbG9uZywgQXVzdHJhbGlhLiYjeEQ7
VGhlIEJyaXRpc2ggSGVhcnQgRm91bmRhdGlvbiBDZW50ZXIgb24gUG9wdWxhdGlvbiBBcHByb2Fj
aGVzIGZvciBOb24tQ29tbXVuaWNhYmxlIERpc2Vhc2UgUHJldmVudGlvbiwgTnVmZmllbGQgRGVw
YXJ0bWVudCBvZiBQb3B1bGF0aW9uIEhlYWx0aCwgVW5pdmVyc2l0eSBvZiBPeGZvcmQsIFVuaXRl
ZCBLaW5nZG9tIFNwb3J0LCBQaHlzaWNhbCBFZHVjYXRpb24gYW5kIEhlYWx0aCBTY2llbmNlcyBE
ZXBhcnRtZW50IChTUEVIUyksIFVuaXZlcnNpdHkgb2YgRWRpbmJ1cmdoLCBVbml0ZWQgS2luZ2Rv
bS4mI3hEO1RoZSBCcml0aXNoIEhlYXJ0IEZvdW5kYXRpb24gQ2VudGVyIG9uIFBvcHVsYXRpb24g
QXBwcm9hY2hlcyBmb3IgTm9uLUNvbW11bmljYWJsZSBEaXNlYXNlIFByZXZlbnRpb24sIE51ZmZp
ZWxkIERlcGFydG1lbnQgb2YgUG9wdWxhdGlvbiBIZWFsdGgsIFVuaXZlcnNpdHkgb2YgT3hmb3Jk
LCBVbml0ZWQgS2luZ2RvbS4mI3hEO051ZmZpZWxkIERlcGFydG1lbnQgb2YgUG9wdWxhdGlvbiBI
ZWFsdGgsIFVuaXZlcnNpdHkgb2YgT3hmb3JkLCBVbml0ZWQgS2luZ2RvbS4mI3hEO1RoZSBCcml0
aXNoIEhlYXJ0IEZvdW5kYXRpb24gQ2VudGVyIG9uIFBvcHVsYXRpb24gQXBwcm9hY2hlcyBmb3Ig
Tm9uLUNvbW11bmljYWJsZSBEaXNlYXNlIFByZXZlbnRpb24sIE51ZmZpZWxkIERlcGFydG1lbnQg
b2YgUG9wdWxhdGlvbiBIZWFsdGgsIFVuaXZlcnNpdHkgb2YgT3hmb3JkLCBVbml0ZWQgS2luZ2Rv
bSBEZXBhcnRtZW50IG9mIEVwaWRlbWlvbG9neSBhbmQgUHVibGljIEhlYWx0aCwgSGVhbHRoIEJl
aGF2aW91ciBSZXNlYXJjaCBDZW50cmUsIFVuaXZlcnNpdHkgQ29sbGVnZSBMb25kb24sIExvbmRv
biwgVW5pdGVkIEtpbmdkb20uJiN4RDtCb2RsZWlhbiBIZWFsdGggQ2FyZSBMaWJyYXJpZXMsIEtu
b3dsZWRnZSBDZW50ZXIsIFVuaXZlcnNpdHkgb2YgT3hmb3JkLCBVbml0ZWQgS2luZ2RvbS4mI3hE
O1RoZSBCcml0aXNoIEhlYXJ0IEZvdW5kYXRpb24gQ2VudGVyIG9uIFBvcHVsYXRpb24gQXBwcm9h
Y2hlcyBmb3IgTm9uLUNvbW11bmljYWJsZSBEaXNlYXNlIFByZXZlbnRpb24sIE51ZmZpZWxkIERl
cGFydG1lbnQgb2YgUG9wdWxhdGlvbiBIZWFsdGgsIFVuaXZlcnNpdHkgb2YgT3hmb3JkLCBVbml0
ZWQgS2luZ2RvbSBwZXRlci5zY2FyYm9yb3VnaEBkcGgub3guYWMudWsuPC9hdXRoLWFkZHJlc3M+
PHRpdGxlcz48dGl0bGU+UXVhbnRpZnlpbmcgdGhlIEFzc29jaWF0aW9uIEJldHdlZW4gUGh5c2lj
YWwgQWN0aXZpdHkgYW5kIENhcmRpb3Zhc2N1bGFyIERpc2Vhc2UgYW5kIERpYWJldGVzOiBBIFN5
c3RlbWF0aWMgUmV2aWV3IGFuZCBNZXRhLUFuYWx5c2lzPC90aXRsZT48c2Vjb25kYXJ5LXRpdGxl
PkogQW0gSGVhcnQgQXNzb2M8L3NlY29uZGFyeS10aXRsZT48L3RpdGxlcz48cGVyaW9kaWNhbD48
ZnVsbC10aXRsZT5KIEFtIEhlYXJ0IEFzc29jPC9mdWxsLXRpdGxlPjwvcGVyaW9kaWNhbD48dm9s
dW1lPjU8L3ZvbHVtZT48bnVtYmVyPjk8L251bWJlcj48a2V5d29yZHM+PGtleXdvcmQ+Y2FyZGlv
dmFzY3VsYXIgZGlzZWFzZXM8L2tleXdvcmQ+PGtleXdvcmQ+bWV0YS1hbmFseXNpczwva2V5d29y
ZD48a2V5d29yZD5waHlzaWNhbCBhY3Rpdml0eTwva2V5d29yZD48a2V5d29yZD5zeXN0ZW1hdGlj
IHJldmlldzwva2V5d29yZD48L2tleXdvcmRzPjxkYXRlcz48eWVhcj4yMDE2PC95ZWFyPjxwdWIt
ZGF0ZXM+PGRhdGU+U2VwIDE0PC9kYXRlPjwvcHViLWRhdGVzPjwvZGF0ZXM+PGlzYm4+MjA0Ny05
OTgwIChFbGVjdHJvbmljKSYjeEQ7MjA0Ny05OTgwIChMaW5raW5nKTwvaXNibj48YWNjZXNzaW9u
LW51bT4yNzYyODU3MjwvYWNjZXNzaW9uLW51bT48dXJscz48cmVsYXRlZC11cmxzPjx1cmw+aHR0
cDovL3d3dy5uY2JpLm5sbS5uaWguZ292L3B1Ym1lZC8yNzYyODU3MjwvdXJsPjwvcmVsYXRlZC11
cmxzPjwvdXJscz48ZWxlY3Ryb25pYy1yZXNvdXJjZS1udW0+MTAuMTE2MS9KQUhBLjExNS4wMDI0
OTU8L2VsZWN0cm9uaWMtcmVzb3VyY2UtbnVtPjwvcmVjb3JkPjwvQ2l0ZT48L0VuZE5vdGU+
</w:fldData>
              </w:fldChar>
            </w:r>
            <w:r>
              <w:rPr>
                <w:lang w:eastAsia="zh-TW"/>
              </w:rPr>
              <w:instrText xml:space="preserve"> ADDIN EN.CITE </w:instrText>
            </w:r>
            <w:r>
              <w:rPr>
                <w:lang w:eastAsia="zh-TW"/>
              </w:rPr>
              <w:fldChar w:fldCharType="begin">
                <w:fldData xml:space="preserve">PEVuZE5vdGU+PENpdGU+PEF1dGhvcj5XYWhpZDwvQXV0aG9yPjxZZWFyPjIwMTY8L1llYXI+PFJl
Y051bT43PC9SZWNOdW0+PERpc3BsYXlUZXh0PlsyXTwvRGlzcGxheVRleHQ+PHJlY29yZD48cmVj
LW51bWJlcj43PC9yZWMtbnVtYmVyPjxmb3JlaWduLWtleXM+PGtleSBhcHA9IkVOIiBkYi1pZD0i
cHJyYWF3ZXd6MnRwd2FlMGF3ZXAyZXQ4YXh6ZjA1ZnRmZTJkIiB0aW1lc3RhbXA9IjE0Nzc2NTU3
NjMiPjc8L2tleT48L2ZvcmVpZ24ta2V5cz48cmVmLXR5cGUgbmFtZT0iSm91cm5hbCBBcnRpY2xl
Ij4xNzwvcmVmLXR5cGU+PGNvbnRyaWJ1dG9ycz48YXV0aG9ycz48YXV0aG9yPldhaGlkLCBBLjwv
YXV0aG9yPjxhdXRob3I+TWFuZWssIE4uPC9hdXRob3I+PGF1dGhvcj5OaWNob2xzLCBNLjwvYXV0
aG9yPjxhdXRob3I+S2VsbHksIFAuPC9hdXRob3I+PGF1dGhvcj5Gb3N0ZXIsIEMuPC9hdXRob3I+
PGF1dGhvcj5XZWJzdGVyLCBQLjwvYXV0aG9yPjxhdXRob3I+S2F1ciwgQS48L2F1dGhvcj48YXV0
aG9yPkZyaWVkZW1hbm4gU21pdGgsIEMuPC9hdXRob3I+PGF1dGhvcj5XaWxraW5zLCBFLjwvYXV0
aG9yPjxhdXRob3I+UmF5bmVyLCBNLjwvYXV0aG9yPjxhdXRob3I+Um9iZXJ0cywgTi48L2F1dGhv
cj48YXV0aG9yPlNjYXJib3JvdWdoLCBQLjwvYXV0aG9yPjwvYXV0aG9ycz48L2NvbnRyaWJ1dG9y
cz48YXV0aC1hZGRyZXNzPkpvaG4gUmFkY2xpZmZlIEhvc3BpdGFsLCBPeGZvcmQgJmFtcDsgVW5p
dmVyc2l0eSBvZiBPeGZvcmQgQ2xpbmljYWwgQWNhZGVtaWMgR3JhZHVhdGUgU2Nob29sIChPVUNB
R1MpLCBPeGZvcmQsIFVuaXRlZCBLaW5nZG9tLiYjeEQ7V2F0Zm9yZCBHZW5lcmFsIEhvc3BpdGFs
LCBJbXBlcmlhbCBDb2xsZWdlIEhlYWx0aGNhcmUgTkhTIFRydXN0LCBMb25kb24sIFVuaXRlZCBL
aW5nZG9tLiYjeEQ7VGhlIEJyaXRpc2ggSGVhcnQgRm91bmRhdGlvbiBDZW50ZXIgb24gUG9wdWxh
dGlvbiBBcHByb2FjaGVzIGZvciBOb24tQ29tbXVuaWNhYmxlIERpc2Vhc2UgUHJldmVudGlvbiwg
TnVmZmllbGQgRGVwYXJ0bWVudCBvZiBQb3B1bGF0aW9uIEhlYWx0aCwgVW5pdmVyc2l0eSBvZiBP
eGZvcmQsIFVuaXRlZCBLaW5nZG9tIFdITyBDb2xsYWJvcmF0aW5nIENlbnRlciBmb3IgT2Jlc2l0
eSBQcmV2ZW50aW9uLCBEZWFraW4gVW5pdmVyc2l0eSwgR2VlbG9uZywgQXVzdHJhbGlhLiYjeEQ7
VGhlIEJyaXRpc2ggSGVhcnQgRm91bmRhdGlvbiBDZW50ZXIgb24gUG9wdWxhdGlvbiBBcHByb2Fj
aGVzIGZvciBOb24tQ29tbXVuaWNhYmxlIERpc2Vhc2UgUHJldmVudGlvbiwgTnVmZmllbGQgRGVw
YXJ0bWVudCBvZiBQb3B1bGF0aW9uIEhlYWx0aCwgVW5pdmVyc2l0eSBvZiBPeGZvcmQsIFVuaXRl
ZCBLaW5nZG9tIFNwb3J0LCBQaHlzaWNhbCBFZHVjYXRpb24gYW5kIEhlYWx0aCBTY2llbmNlcyBE
ZXBhcnRtZW50IChTUEVIUyksIFVuaXZlcnNpdHkgb2YgRWRpbmJ1cmdoLCBVbml0ZWQgS2luZ2Rv
bS4mI3hEO1RoZSBCcml0aXNoIEhlYXJ0IEZvdW5kYXRpb24gQ2VudGVyIG9uIFBvcHVsYXRpb24g
QXBwcm9hY2hlcyBmb3IgTm9uLUNvbW11bmljYWJsZSBEaXNlYXNlIFByZXZlbnRpb24sIE51ZmZp
ZWxkIERlcGFydG1lbnQgb2YgUG9wdWxhdGlvbiBIZWFsdGgsIFVuaXZlcnNpdHkgb2YgT3hmb3Jk
LCBVbml0ZWQgS2luZ2RvbS4mI3hEO051ZmZpZWxkIERlcGFydG1lbnQgb2YgUG9wdWxhdGlvbiBI
ZWFsdGgsIFVuaXZlcnNpdHkgb2YgT3hmb3JkLCBVbml0ZWQgS2luZ2RvbS4mI3hEO1RoZSBCcml0
aXNoIEhlYXJ0IEZvdW5kYXRpb24gQ2VudGVyIG9uIFBvcHVsYXRpb24gQXBwcm9hY2hlcyBmb3Ig
Tm9uLUNvbW11bmljYWJsZSBEaXNlYXNlIFByZXZlbnRpb24sIE51ZmZpZWxkIERlcGFydG1lbnQg
b2YgUG9wdWxhdGlvbiBIZWFsdGgsIFVuaXZlcnNpdHkgb2YgT3hmb3JkLCBVbml0ZWQgS2luZ2Rv
bSBEZXBhcnRtZW50IG9mIEVwaWRlbWlvbG9neSBhbmQgUHVibGljIEhlYWx0aCwgSGVhbHRoIEJl
aGF2aW91ciBSZXNlYXJjaCBDZW50cmUsIFVuaXZlcnNpdHkgQ29sbGVnZSBMb25kb24sIExvbmRv
biwgVW5pdGVkIEtpbmdkb20uJiN4RDtCb2RsZWlhbiBIZWFsdGggQ2FyZSBMaWJyYXJpZXMsIEtu
b3dsZWRnZSBDZW50ZXIsIFVuaXZlcnNpdHkgb2YgT3hmb3JkLCBVbml0ZWQgS2luZ2RvbS4mI3hE
O1RoZSBCcml0aXNoIEhlYXJ0IEZvdW5kYXRpb24gQ2VudGVyIG9uIFBvcHVsYXRpb24gQXBwcm9h
Y2hlcyBmb3IgTm9uLUNvbW11bmljYWJsZSBEaXNlYXNlIFByZXZlbnRpb24sIE51ZmZpZWxkIERl
cGFydG1lbnQgb2YgUG9wdWxhdGlvbiBIZWFsdGgsIFVuaXZlcnNpdHkgb2YgT3hmb3JkLCBVbml0
ZWQgS2luZ2RvbSBwZXRlci5zY2FyYm9yb3VnaEBkcGgub3guYWMudWsuPC9hdXRoLWFkZHJlc3M+
PHRpdGxlcz48dGl0bGU+UXVhbnRpZnlpbmcgdGhlIEFzc29jaWF0aW9uIEJldHdlZW4gUGh5c2lj
YWwgQWN0aXZpdHkgYW5kIENhcmRpb3Zhc2N1bGFyIERpc2Vhc2UgYW5kIERpYWJldGVzOiBBIFN5
c3RlbWF0aWMgUmV2aWV3IGFuZCBNZXRhLUFuYWx5c2lzPC90aXRsZT48c2Vjb25kYXJ5LXRpdGxl
PkogQW0gSGVhcnQgQXNzb2M8L3NlY29uZGFyeS10aXRsZT48L3RpdGxlcz48cGVyaW9kaWNhbD48
ZnVsbC10aXRsZT5KIEFtIEhlYXJ0IEFzc29jPC9mdWxsLXRpdGxlPjwvcGVyaW9kaWNhbD48dm9s
dW1lPjU8L3ZvbHVtZT48bnVtYmVyPjk8L251bWJlcj48a2V5d29yZHM+PGtleXdvcmQ+Y2FyZGlv
dmFzY3VsYXIgZGlzZWFzZXM8L2tleXdvcmQ+PGtleXdvcmQ+bWV0YS1hbmFseXNpczwva2V5d29y
ZD48a2V5d29yZD5waHlzaWNhbCBhY3Rpdml0eTwva2V5d29yZD48a2V5d29yZD5zeXN0ZW1hdGlj
IHJldmlldzwva2V5d29yZD48L2tleXdvcmRzPjxkYXRlcz48eWVhcj4yMDE2PC95ZWFyPjxwdWIt
ZGF0ZXM+PGRhdGU+U2VwIDE0PC9kYXRlPjwvcHViLWRhdGVzPjwvZGF0ZXM+PGlzYm4+MjA0Ny05
OTgwIChFbGVjdHJvbmljKSYjeEQ7MjA0Ny05OTgwIChMaW5raW5nKTwvaXNibj48YWNjZXNzaW9u
LW51bT4yNzYyODU3MjwvYWNjZXNzaW9uLW51bT48dXJscz48cmVsYXRlZC11cmxzPjx1cmw+aHR0
cDovL3d3dy5uY2JpLm5sbS5uaWguZ292L3B1Ym1lZC8yNzYyODU3MjwvdXJsPjwvcmVsYXRlZC11
cmxzPjwvdXJscz48ZWxlY3Ryb25pYy1yZXNvdXJjZS1udW0+MTAuMTE2MS9KQUhBLjExNS4wMDI0
OTU8L2VsZWN0cm9uaWMtcmVzb3VyY2UtbnVtPjwvcmVjb3JkPjwvQ2l0ZT48L0VuZE5vdGU+
</w:fldData>
              </w:fldChar>
            </w:r>
            <w:r>
              <w:rPr>
                <w:lang w:eastAsia="zh-TW"/>
              </w:rPr>
              <w:instrText xml:space="preserve"> ADDIN EN.CITE.DATA </w:instrText>
            </w:r>
            <w:r>
              <w:rPr>
                <w:lang w:eastAsia="zh-TW"/>
              </w:rPr>
            </w:r>
            <w:r>
              <w:rPr>
                <w:lang w:eastAsia="zh-TW"/>
              </w:rPr>
              <w:fldChar w:fldCharType="end"/>
            </w:r>
            <w:r w:rsidRPr="001C2E03">
              <w:rPr>
                <w:lang w:eastAsia="zh-TW"/>
              </w:rPr>
            </w:r>
            <w:r w:rsidRPr="001C2E03">
              <w:rPr>
                <w:lang w:eastAsia="zh-TW"/>
              </w:rPr>
              <w:fldChar w:fldCharType="separate"/>
            </w:r>
            <w:r>
              <w:rPr>
                <w:noProof/>
                <w:lang w:eastAsia="zh-TW"/>
              </w:rPr>
              <w:t>[2]</w:t>
            </w:r>
            <w:r w:rsidRPr="001C2E03">
              <w:rPr>
                <w:lang w:eastAsia="zh-TW"/>
              </w:rPr>
              <w:fldChar w:fldCharType="end"/>
            </w:r>
          </w:p>
        </w:tc>
      </w:tr>
      <w:tr w:rsidR="007E30EB" w:rsidRPr="00B93BB3" w14:paraId="2A63513D" w14:textId="7AC24C62" w:rsidTr="00C674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F40E914" w14:textId="0B3A446D" w:rsidR="007E30EB" w:rsidRPr="00426C9C" w:rsidRDefault="007E30EB" w:rsidP="007E30EB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1C2E03">
              <w:rPr>
                <w:lang w:eastAsia="zh-TW"/>
              </w:rPr>
              <w:t>Heart failure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3A67A0" w14:textId="34FE3E33" w:rsidR="007E30EB" w:rsidRPr="00426C9C" w:rsidRDefault="007E30EB" w:rsidP="007E30EB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3A64A48" w14:textId="02779B86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0.85</w:t>
            </w:r>
            <w:r>
              <w:rPr>
                <w:lang w:eastAsia="zh-TW"/>
              </w:rPr>
              <w:br/>
              <w:t>(0.79–0.92)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7C67E0" w14:textId="003D54DC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0.78</w:t>
            </w:r>
            <w:r>
              <w:rPr>
                <w:lang w:eastAsia="zh-TW"/>
              </w:rPr>
              <w:br/>
              <w:t>(0.75–0.82)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A9CD4C" w14:textId="674890D7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0.70</w:t>
            </w:r>
            <w:r>
              <w:rPr>
                <w:lang w:eastAsia="zh-TW"/>
              </w:rPr>
              <w:br/>
              <w:t>(0.67–0.73)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535BD0B" w14:textId="562B6300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A22011" w14:textId="7D5F2728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0.85</w:t>
            </w:r>
            <w:r>
              <w:rPr>
                <w:lang w:eastAsia="zh-TW"/>
              </w:rPr>
              <w:br/>
              <w:t>(0.79–0.92)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B51A8C" w14:textId="0D4C2B90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0.78</w:t>
            </w:r>
            <w:r>
              <w:rPr>
                <w:lang w:eastAsia="zh-TW"/>
              </w:rPr>
              <w:br/>
              <w:t>(0.75–0.82)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C835B1" w14:textId="51D7A0F9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0.70</w:t>
            </w:r>
            <w:r>
              <w:rPr>
                <w:lang w:eastAsia="zh-TW"/>
              </w:rPr>
              <w:br/>
              <w:t>(0.67–0.73)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C0900E" w14:textId="629D4995" w:rsidR="007E30EB" w:rsidRPr="00426C9C" w:rsidRDefault="007E30EB" w:rsidP="007E30EB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A24C63">
              <w:rPr>
                <w:rFonts w:asciiTheme="minorHAnsi" w:hAnsiTheme="minorHAnsi"/>
                <w:lang w:eastAsia="zh-TW"/>
              </w:rPr>
              <w:t>lognormal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AF94404" w14:textId="724535DB" w:rsidR="007E30EB" w:rsidRPr="001C2E03" w:rsidRDefault="007E30EB" w:rsidP="007E30EB">
            <w:pPr>
              <w:spacing w:after="40"/>
              <w:rPr>
                <w:lang w:eastAsia="zh-TW"/>
              </w:rPr>
            </w:pPr>
            <w:r w:rsidRPr="001C2E03">
              <w:rPr>
                <w:lang w:eastAsia="zh-TW"/>
              </w:rPr>
              <w:fldChar w:fldCharType="begin">
                <w:fldData xml:space="preserve">PEVuZE5vdGU+PENpdGU+PEF1dGhvcj5QYW5kZXk8L0F1dGhvcj48WWVhcj4yMDE1PC9ZZWFyPjxS
ZWNOdW0+MjwvUmVjTnVtPjxEaXNwbGF5VGV4dD5bM108L0Rpc3BsYXlUZXh0PjxyZWNvcmQ+PHJl
Yy1udW1iZXI+MjwvcmVjLW51bWJlcj48Zm9yZWlnbi1rZXlzPjxrZXkgYXBwPSJFTiIgZGItaWQ9
InBycmFhd2V3ejJ0cHdhZTBhd2VwMmV0OGF4emYwNWZ0ZmUyZCIgdGltZXN0YW1wPSIxNDc2NzIw
NDIzIj4yPC9rZXk+PC9mb3JlaWduLWtleXM+PHJlZi10eXBlIG5hbWU9IkpvdXJuYWwgQXJ0aWNs
ZSI+MTc8L3JlZi10eXBlPjxjb250cmlidXRvcnM+PGF1dGhvcnM+PGF1dGhvcj5QYW5kZXksIEEu
PC9hdXRob3I+PGF1dGhvcj5HYXJnLCBTLjwvYXV0aG9yPjxhdXRob3I+S2h1bmdlciwgTS48L2F1
dGhvcj48YXV0aG9yPkRhcmRlbiwgRC48L2F1dGhvcj48YXV0aG9yPkF5ZXJzLCBDLjwvYXV0aG9y
PjxhdXRob3I+S3VtYmhhbmksIEQuIEouPC9hdXRob3I+PGF1dGhvcj5NYXlvLCBILiBHLjwvYXV0
aG9yPjxhdXRob3I+ZGUgTGVtb3MsIEouIEEuPC9hdXRob3I+PGF1dGhvcj5CZXJyeSwgSi4gRC48
L2F1dGhvcj48L2F1dGhvcnM+PC9jb250cmlidXRvcnM+PGF1dGgtYWRkcmVzcz5Gcm9tIERpdmlz
aW9uIG9mIENhcmRpb2xvZ3kgKEEuUC4sIEMuQS4sIEQuSi5LLiwgSi5BLmQuTC4sIEouRC5CLiks
IERlcGFydG1lbnQgb2YgSW50ZXJuYWwgTWVkaWNpbmUgKEQuRC4pLCBhbmQgRGVwYXJ0bWVudCBv
ZiBDbGluaWNhbCBTY2llbmNlcyAoQy5BLiwgSi5ELkIuKSwgVW5pdmVyc2l0eSBvZiBUZXhhcyBT
b3V0aHdlc3Rlcm4gTWVkaWNhbCBDZW50ZXIsIERhbGxhczsgRGVwYXJ0bWVudCBvZiBJbnRlcm5h
bCBNZWRpY2luZSwgVW5pdmVyc2l0eSBvZiBNaW5uZXNvdGEgU2Nob29sIG9mIE1lZGljaW5lLCBN
aW5uZWFwb2xpcyAoUy5HLik7IERlcGFydG1lbnQgb2YgSW50ZXJuYWwgTWVkaWNpbmUsIENsZXZl
bGFuZCBDbGluaWMsIE9IIChNLksuKTsgYW5kIFVuaXZlcnNpdHkgb2YgVGV4YXMgU291dGh3ZXN0
ZXJuIE1lZGljYWwgQ2VudGVyIExpYnJhcnksIERhbGxhcyAoSC5HLk0uKS4mI3hEO0Zyb20gRGl2
aXNpb24gb2YgQ2FyZGlvbG9neSAoQS5QLiwgQy5BLiwgRC5KLksuLCBKLkEuZC5MLiwgSi5ELkIu
KSwgRGVwYXJ0bWVudCBvZiBJbnRlcm5hbCBNZWRpY2luZSAoRC5ELiksIGFuZCBEZXBhcnRtZW50
IG9mIENsaW5pY2FsIFNjaWVuY2VzIChDLkEuLCBKLkQuQi4pLCBVbml2ZXJzaXR5IG9mIFRleGFz
IFNvdXRod2VzdGVybiBNZWRpY2FsIENlbnRlciwgRGFsbGFzOyBEZXBhcnRtZW50IG9mIEludGVy
bmFsIE1lZGljaW5lLCBVbml2ZXJzaXR5IG9mIE1pbm5lc290YSBTY2hvb2wgb2YgTWVkaWNpbmUs
IE1pbm5lYXBvbGlzIChTLkcuKTsgRGVwYXJ0bWVudCBvZiBJbnRlcm5hbCBNZWRpY2luZSwgQ2xl
dmVsYW5kIENsaW5pYywgT0ggKE0uSy4pOyBhbmQgVW5pdmVyc2l0eSBvZiBUZXhhcyBTb3V0aHdl
c3Rlcm4gTWVkaWNhbCBDZW50ZXIgTGlicmFyeSwgRGFsbGFzIChILkcuTS4pLiBqYXJldHQuYmVy
cnlAdXRzb3V0aHdlc3Rlcm4uZWR1LjwvYXV0aC1hZGRyZXNzPjx0aXRsZXM+PHRpdGxlPkRvc2Ut
UmVzcG9uc2UgUmVsYXRpb25zaGlwIEJldHdlZW4gUGh5c2ljYWwgQWN0aXZpdHkgYW5kIFJpc2sg
b2YgSGVhcnQgRmFpbHVyZTogQSBNZXRhLUFuYWx5c2lzPC90aXRsZT48c2Vjb25kYXJ5LXRpdGxl
PkNpcmN1bGF0aW9uPC9zZWNvbmRhcnktdGl0bGU+PC90aXRsZXM+PHBlcmlvZGljYWw+PGZ1bGwt
dGl0bGU+Q2lyY3VsYXRpb248L2Z1bGwtdGl0bGU+PC9wZXJpb2RpY2FsPjxwYWdlcz4xNzg2LTk0
PC9wYWdlcz48dm9sdW1lPjEzMjwvdm9sdW1lPjxudW1iZXI+MTk8L251bWJlcj48a2V5d29yZHM+
PGtleXdvcmQ+Q29ob3J0IFN0dWRpZXM8L2tleXdvcmQ+PGtleXdvcmQ+RXhlcmNpc2UvcGh5c2lv
bG9neTwva2V5d29yZD48a2V5d29yZD5IZWFydCBGYWlsdXJlLyplcGlkZW1pb2xvZ3kvcGh5c2lv
cGF0aG9sb2d5LypwcmV2ZW50aW9uICZhbXA7IGNvbnRyb2w8L2tleXdvcmQ+PGtleXdvcmQ+SHVt
YW5zPC9rZXl3b3JkPjxrZXl3b3JkPk1vdG9yIEFjdGl2aXR5LypwaHlzaW9sb2d5PC9rZXl3b3Jk
PjxrZXl3b3JkPlByb3NwZWN0aXZlIFN0dWRpZXM8L2tleXdvcmQ+PGtleXdvcmQ+UmlzayBGYWN0
b3JzPC9rZXl3b3JkPjxrZXl3b3JkPipSaXNrIFJlZHVjdGlvbiBCZWhhdmlvcjwva2V5d29yZD48
a2V5d29yZD5leGVyY2lzZTwva2V5d29yZD48a2V5d29yZD5oZWFydCBmYWlsdXJlPC9rZXl3b3Jk
PjxrZXl3b3JkPm1ldGEtYW5hbHlzaXM8L2tleXdvcmQ+PGtleXdvcmQ+cHJldmVudGlvbiBhbmQg
Y29udHJvbDwva2V5d29yZD48L2tleXdvcmRzPjxkYXRlcz48eWVhcj4yMDE1PC95ZWFyPjxwdWIt
ZGF0ZXM+PGRhdGU+Tm92IDEwPC9kYXRlPjwvcHViLWRhdGVzPjwvZGF0ZXM+PGlzYm4+MTUyNC00
NTM5IChFbGVjdHJvbmljKSYjeEQ7MDAwOS03MzIyIChMaW5raW5nKTwvaXNibj48YWNjZXNzaW9u
LW51bT4yNjQzODc4MTwvYWNjZXNzaW9uLW51bT48dXJscz48cmVsYXRlZC11cmxzPjx1cmw+aHR0
cDovL3d3dy5uY2JpLm5sbS5uaWguZ292L3B1Ym1lZC8yNjQzODc4MTwvdXJsPjwvcmVsYXRlZC11
cmxzPjwvdXJscz48ZWxlY3Ryb25pYy1yZXNvdXJjZS1udW0+MTAuMTE2MS9DSVJDVUxBVElPTkFI
QS4xMTUuMDE1ODUzPC9lbGVjdHJvbmljLXJlc291cmNlLW51bT48L3JlY29yZD48L0NpdGU+PC9F
bmROb3RlPgB=
</w:fldData>
              </w:fldChar>
            </w:r>
            <w:r>
              <w:rPr>
                <w:lang w:eastAsia="zh-TW"/>
              </w:rPr>
              <w:instrText xml:space="preserve"> ADDIN EN.CITE </w:instrText>
            </w:r>
            <w:r>
              <w:rPr>
                <w:lang w:eastAsia="zh-TW"/>
              </w:rPr>
              <w:fldChar w:fldCharType="begin">
                <w:fldData xml:space="preserve">PEVuZE5vdGU+PENpdGU+PEF1dGhvcj5QYW5kZXk8L0F1dGhvcj48WWVhcj4yMDE1PC9ZZWFyPjxS
ZWNOdW0+MjwvUmVjTnVtPjxEaXNwbGF5VGV4dD5bM108L0Rpc3BsYXlUZXh0PjxyZWNvcmQ+PHJl
Yy1udW1iZXI+MjwvcmVjLW51bWJlcj48Zm9yZWlnbi1rZXlzPjxrZXkgYXBwPSJFTiIgZGItaWQ9
InBycmFhd2V3ejJ0cHdhZTBhd2VwMmV0OGF4emYwNWZ0ZmUyZCIgdGltZXN0YW1wPSIxNDc2NzIw
NDIzIj4yPC9rZXk+PC9mb3JlaWduLWtleXM+PHJlZi10eXBlIG5hbWU9IkpvdXJuYWwgQXJ0aWNs
ZSI+MTc8L3JlZi10eXBlPjxjb250cmlidXRvcnM+PGF1dGhvcnM+PGF1dGhvcj5QYW5kZXksIEEu
PC9hdXRob3I+PGF1dGhvcj5HYXJnLCBTLjwvYXV0aG9yPjxhdXRob3I+S2h1bmdlciwgTS48L2F1
dGhvcj48YXV0aG9yPkRhcmRlbiwgRC48L2F1dGhvcj48YXV0aG9yPkF5ZXJzLCBDLjwvYXV0aG9y
PjxhdXRob3I+S3VtYmhhbmksIEQuIEouPC9hdXRob3I+PGF1dGhvcj5NYXlvLCBILiBHLjwvYXV0
aG9yPjxhdXRob3I+ZGUgTGVtb3MsIEouIEEuPC9hdXRob3I+PGF1dGhvcj5CZXJyeSwgSi4gRC48
L2F1dGhvcj48L2F1dGhvcnM+PC9jb250cmlidXRvcnM+PGF1dGgtYWRkcmVzcz5Gcm9tIERpdmlz
aW9uIG9mIENhcmRpb2xvZ3kgKEEuUC4sIEMuQS4sIEQuSi5LLiwgSi5BLmQuTC4sIEouRC5CLiks
IERlcGFydG1lbnQgb2YgSW50ZXJuYWwgTWVkaWNpbmUgKEQuRC4pLCBhbmQgRGVwYXJ0bWVudCBv
ZiBDbGluaWNhbCBTY2llbmNlcyAoQy5BLiwgSi5ELkIuKSwgVW5pdmVyc2l0eSBvZiBUZXhhcyBT
b3V0aHdlc3Rlcm4gTWVkaWNhbCBDZW50ZXIsIERhbGxhczsgRGVwYXJ0bWVudCBvZiBJbnRlcm5h
bCBNZWRpY2luZSwgVW5pdmVyc2l0eSBvZiBNaW5uZXNvdGEgU2Nob29sIG9mIE1lZGljaW5lLCBN
aW5uZWFwb2xpcyAoUy5HLik7IERlcGFydG1lbnQgb2YgSW50ZXJuYWwgTWVkaWNpbmUsIENsZXZl
bGFuZCBDbGluaWMsIE9IIChNLksuKTsgYW5kIFVuaXZlcnNpdHkgb2YgVGV4YXMgU291dGh3ZXN0
ZXJuIE1lZGljYWwgQ2VudGVyIExpYnJhcnksIERhbGxhcyAoSC5HLk0uKS4mI3hEO0Zyb20gRGl2
aXNpb24gb2YgQ2FyZGlvbG9neSAoQS5QLiwgQy5BLiwgRC5KLksuLCBKLkEuZC5MLiwgSi5ELkIu
KSwgRGVwYXJ0bWVudCBvZiBJbnRlcm5hbCBNZWRpY2luZSAoRC5ELiksIGFuZCBEZXBhcnRtZW50
IG9mIENsaW5pY2FsIFNjaWVuY2VzIChDLkEuLCBKLkQuQi4pLCBVbml2ZXJzaXR5IG9mIFRleGFz
IFNvdXRod2VzdGVybiBNZWRpY2FsIENlbnRlciwgRGFsbGFzOyBEZXBhcnRtZW50IG9mIEludGVy
bmFsIE1lZGljaW5lLCBVbml2ZXJzaXR5IG9mIE1pbm5lc290YSBTY2hvb2wgb2YgTWVkaWNpbmUs
IE1pbm5lYXBvbGlzIChTLkcuKTsgRGVwYXJ0bWVudCBvZiBJbnRlcm5hbCBNZWRpY2luZSwgQ2xl
dmVsYW5kIENsaW5pYywgT0ggKE0uSy4pOyBhbmQgVW5pdmVyc2l0eSBvZiBUZXhhcyBTb3V0aHdl
c3Rlcm4gTWVkaWNhbCBDZW50ZXIgTGlicmFyeSwgRGFsbGFzIChILkcuTS4pLiBqYXJldHQuYmVy
cnlAdXRzb3V0aHdlc3Rlcm4uZWR1LjwvYXV0aC1hZGRyZXNzPjx0aXRsZXM+PHRpdGxlPkRvc2Ut
UmVzcG9uc2UgUmVsYXRpb25zaGlwIEJldHdlZW4gUGh5c2ljYWwgQWN0aXZpdHkgYW5kIFJpc2sg
b2YgSGVhcnQgRmFpbHVyZTogQSBNZXRhLUFuYWx5c2lzPC90aXRsZT48c2Vjb25kYXJ5LXRpdGxl
PkNpcmN1bGF0aW9uPC9zZWNvbmRhcnktdGl0bGU+PC90aXRsZXM+PHBlcmlvZGljYWw+PGZ1bGwt
dGl0bGU+Q2lyY3VsYXRpb248L2Z1bGwtdGl0bGU+PC9wZXJpb2RpY2FsPjxwYWdlcz4xNzg2LTk0
PC9wYWdlcz48dm9sdW1lPjEzMjwvdm9sdW1lPjxudW1iZXI+MTk8L251bWJlcj48a2V5d29yZHM+
PGtleXdvcmQ+Q29ob3J0IFN0dWRpZXM8L2tleXdvcmQ+PGtleXdvcmQ+RXhlcmNpc2UvcGh5c2lv
bG9neTwva2V5d29yZD48a2V5d29yZD5IZWFydCBGYWlsdXJlLyplcGlkZW1pb2xvZ3kvcGh5c2lv
cGF0aG9sb2d5LypwcmV2ZW50aW9uICZhbXA7IGNvbnRyb2w8L2tleXdvcmQ+PGtleXdvcmQ+SHVt
YW5zPC9rZXl3b3JkPjxrZXl3b3JkPk1vdG9yIEFjdGl2aXR5LypwaHlzaW9sb2d5PC9rZXl3b3Jk
PjxrZXl3b3JkPlByb3NwZWN0aXZlIFN0dWRpZXM8L2tleXdvcmQ+PGtleXdvcmQ+UmlzayBGYWN0
b3JzPC9rZXl3b3JkPjxrZXl3b3JkPipSaXNrIFJlZHVjdGlvbiBCZWhhdmlvcjwva2V5d29yZD48
a2V5d29yZD5leGVyY2lzZTwva2V5d29yZD48a2V5d29yZD5oZWFydCBmYWlsdXJlPC9rZXl3b3Jk
PjxrZXl3b3JkPm1ldGEtYW5hbHlzaXM8L2tleXdvcmQ+PGtleXdvcmQ+cHJldmVudGlvbiBhbmQg
Y29udHJvbDwva2V5d29yZD48L2tleXdvcmRzPjxkYXRlcz48eWVhcj4yMDE1PC95ZWFyPjxwdWIt
ZGF0ZXM+PGRhdGU+Tm92IDEwPC9kYXRlPjwvcHViLWRhdGVzPjwvZGF0ZXM+PGlzYm4+MTUyNC00
NTM5IChFbGVjdHJvbmljKSYjeEQ7MDAwOS03MzIyIChMaW5raW5nKTwvaXNibj48YWNjZXNzaW9u
LW51bT4yNjQzODc4MTwvYWNjZXNzaW9uLW51bT48dXJscz48cmVsYXRlZC11cmxzPjx1cmw+aHR0
cDovL3d3dy5uY2JpLm5sbS5uaWguZ292L3B1Ym1lZC8yNjQzODc4MTwvdXJsPjwvcmVsYXRlZC11
cmxzPjwvdXJscz48ZWxlY3Ryb25pYy1yZXNvdXJjZS1udW0+MTAuMTE2MS9DSVJDVUxBVElPTkFI
QS4xMTUuMDE1ODUzPC9lbGVjdHJvbmljLXJlc291cmNlLW51bT48L3JlY29yZD48L0NpdGU+PC9F
bmROb3RlPgB=
</w:fldData>
              </w:fldChar>
            </w:r>
            <w:r>
              <w:rPr>
                <w:lang w:eastAsia="zh-TW"/>
              </w:rPr>
              <w:instrText xml:space="preserve"> ADDIN EN.CITE.DATA </w:instrText>
            </w:r>
            <w:r>
              <w:rPr>
                <w:lang w:eastAsia="zh-TW"/>
              </w:rPr>
            </w:r>
            <w:r>
              <w:rPr>
                <w:lang w:eastAsia="zh-TW"/>
              </w:rPr>
              <w:fldChar w:fldCharType="end"/>
            </w:r>
            <w:r w:rsidRPr="001C2E03">
              <w:rPr>
                <w:lang w:eastAsia="zh-TW"/>
              </w:rPr>
            </w:r>
            <w:r w:rsidRPr="001C2E03">
              <w:rPr>
                <w:lang w:eastAsia="zh-TW"/>
              </w:rPr>
              <w:fldChar w:fldCharType="separate"/>
            </w:r>
            <w:r>
              <w:rPr>
                <w:noProof/>
                <w:lang w:eastAsia="zh-TW"/>
              </w:rPr>
              <w:t>[3]</w:t>
            </w:r>
            <w:r w:rsidRPr="001C2E03">
              <w:rPr>
                <w:lang w:eastAsia="zh-TW"/>
              </w:rPr>
              <w:fldChar w:fldCharType="end"/>
            </w:r>
          </w:p>
        </w:tc>
      </w:tr>
      <w:tr w:rsidR="007E30EB" w:rsidRPr="00B93BB3" w14:paraId="6BADBAC5" w14:textId="17B2FD09" w:rsidTr="00C67441">
        <w:trPr>
          <w:trHeight w:val="718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233DF6B" w14:textId="0477F532" w:rsidR="007E30EB" w:rsidRPr="00426C9C" w:rsidRDefault="007E30EB" w:rsidP="007E30EB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1C2E03">
              <w:rPr>
                <w:lang w:eastAsia="zh-TW"/>
              </w:rPr>
              <w:t>Type 2 diabetes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0ECFAF" w14:textId="18A4F229" w:rsidR="007E30EB" w:rsidRPr="00426C9C" w:rsidRDefault="007E30EB" w:rsidP="007E30EB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2422ECF" w14:textId="1BD748E9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0.93</w:t>
            </w:r>
            <w:r>
              <w:rPr>
                <w:lang w:eastAsia="zh-TW"/>
              </w:rPr>
              <w:br/>
              <w:t>(0.92–0.95)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0AAAEB" w14:textId="1DDA5AD6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0.75</w:t>
            </w:r>
            <w:r>
              <w:rPr>
                <w:lang w:eastAsia="zh-TW"/>
              </w:rPr>
              <w:br/>
              <w:t>(0.69–0.80)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4BCC8B" w14:textId="25DAA876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0.60</w:t>
            </w:r>
            <w:r>
              <w:rPr>
                <w:lang w:eastAsia="zh-TW"/>
              </w:rPr>
              <w:br/>
              <w:t>(0.51–0.70)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AF2BBCD" w14:textId="6620525C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1B7001" w14:textId="56A50FF1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0.93</w:t>
            </w:r>
            <w:r>
              <w:rPr>
                <w:lang w:eastAsia="zh-TW"/>
              </w:rPr>
              <w:br/>
              <w:t>(0.92–0.95)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0A4A99B" w14:textId="55DF28A1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0.75</w:t>
            </w:r>
            <w:r>
              <w:rPr>
                <w:lang w:eastAsia="zh-TW"/>
              </w:rPr>
              <w:br/>
              <w:t>(0.69–0.80)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80B97F2" w14:textId="789C4B1C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0.60</w:t>
            </w:r>
            <w:r>
              <w:rPr>
                <w:lang w:eastAsia="zh-TW"/>
              </w:rPr>
              <w:br/>
              <w:t>(0.51–0.70)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FD0E352" w14:textId="471CBDFB" w:rsidR="007E30EB" w:rsidRPr="00426C9C" w:rsidRDefault="007E30EB" w:rsidP="007E30EB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A24C63">
              <w:rPr>
                <w:rFonts w:asciiTheme="minorHAnsi" w:hAnsiTheme="minorHAnsi"/>
                <w:lang w:eastAsia="zh-TW"/>
              </w:rPr>
              <w:t>lognormal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A202DC" w14:textId="538DDE0E" w:rsidR="007E30EB" w:rsidRPr="001C2E03" w:rsidRDefault="007E30EB" w:rsidP="007E30EB">
            <w:pPr>
              <w:spacing w:after="40"/>
              <w:rPr>
                <w:lang w:eastAsia="zh-TW"/>
              </w:rPr>
            </w:pPr>
            <w:r w:rsidRPr="001C2E03">
              <w:rPr>
                <w:lang w:eastAsia="zh-TW"/>
              </w:rPr>
              <w:fldChar w:fldCharType="begin"/>
            </w:r>
            <w:r>
              <w:rPr>
                <w:lang w:eastAsia="zh-TW"/>
              </w:rPr>
              <w:instrText xml:space="preserve"> ADDIN EN.CITE &lt;EndNote&gt;&lt;Cite&gt;&lt;Author&gt;Smith&lt;/Author&gt;&lt;Year&gt;2016&lt;/Year&gt;&lt;RecNum&gt;9&lt;/RecNum&gt;&lt;DisplayText&gt;[4]&lt;/DisplayText&gt;&lt;record&gt;&lt;rec-number&gt;9&lt;/rec-number&gt;&lt;foreign-keys&gt;&lt;key app="EN" db-id="prraawewz2tpwae0awep2et8axzf05ftfe2d" timestamp="1477656414"&gt;9&lt;/key&gt;&lt;/foreign-keys&gt;&lt;ref-type name="Journal Article"&gt;17&lt;/ref-type&gt;&lt;contributors&gt;&lt;authors&gt;&lt;author&gt;Smith, A. D.&lt;/author&gt;&lt;author&gt;Crippa, A.&lt;/author&gt;&lt;author&gt;Woodcock, J.&lt;/author&gt;&lt;author&gt;Brage, S.&lt;/author&gt;&lt;/authors&gt;&lt;/contributors&gt;&lt;auth-address&gt;Health Behaviour Research Centre, Department of Epidemiology and Public Health, University College London, 1-19 Torrington Place, London, WC1E 6BT, UK. andrea.smith.14@ucl.ac.uk.&amp;#xD;Institute of Public Health and Primary Care, University of Cambridge, Cambridge, UK. andrea.smith.14@ucl.ac.uk.&amp;#xD;Institute of Environmental Medicine, Karolinska Institutet, Solna, Sweden.&amp;#xD;UKCRC Centre for Diet and Activity Research (CEDAR), University of Cambridge, Institute of Metabolic Science, Cambridge, UK.&amp;#xD;MRC Epidemiology Unit, University of Cambridge, Institute of Metabolic Science, Cambridge, UK.&lt;/auth-address&gt;&lt;titles&gt;&lt;title&gt;Physical activity and incident type 2 diabetes mellitus: a systematic review and dose-response meta-analysis of prospective cohort studies&lt;/title&gt;&lt;secondary-title&gt;Diabetologia&lt;/secondary-title&gt;&lt;/titles&gt;&lt;periodical&gt;&lt;full-title&gt;Diabetologia&lt;/full-title&gt;&lt;/periodical&gt;&lt;keywords&gt;&lt;keyword&gt;Cohort studies&lt;/keyword&gt;&lt;keyword&gt;Dose-response&lt;/keyword&gt;&lt;keyword&gt;Meta-analysis&lt;/keyword&gt;&lt;keyword&gt;Physical activity&lt;/keyword&gt;&lt;keyword&gt;Systematic review&lt;/keyword&gt;&lt;keyword&gt;Type 2 diabetes&lt;/keyword&gt;&lt;/keywords&gt;&lt;dates&gt;&lt;year&gt;2016&lt;/year&gt;&lt;pub-dates&gt;&lt;date&gt;Oct 17&lt;/date&gt;&lt;/pub-dates&gt;&lt;/dates&gt;&lt;isbn&gt;1432-0428 (Electronic)&amp;#xD;0012-186X (Linking)&lt;/isbn&gt;&lt;accession-num&gt;27747395&lt;/accession-num&gt;&lt;urls&gt;&lt;related-urls&gt;&lt;url&gt;http://www.ncbi.nlm.nih.gov/pubmed/27747395&lt;/url&gt;&lt;/related-urls&gt;&lt;/urls&gt;&lt;electronic-resource-num&gt;10.1007/s00125-016-4079-0&lt;/electronic-resource-num&gt;&lt;/record&gt;&lt;/Cite&gt;&lt;/EndNote&gt;</w:instrText>
            </w:r>
            <w:r w:rsidRPr="001C2E03">
              <w:rPr>
                <w:lang w:eastAsia="zh-TW"/>
              </w:rPr>
              <w:fldChar w:fldCharType="separate"/>
            </w:r>
            <w:r>
              <w:rPr>
                <w:noProof/>
                <w:lang w:eastAsia="zh-TW"/>
              </w:rPr>
              <w:t>[4]</w:t>
            </w:r>
            <w:r w:rsidRPr="001C2E03">
              <w:rPr>
                <w:lang w:eastAsia="zh-TW"/>
              </w:rPr>
              <w:fldChar w:fldCharType="end"/>
            </w:r>
          </w:p>
        </w:tc>
      </w:tr>
      <w:tr w:rsidR="002A7D48" w:rsidRPr="00B93BB3" w14:paraId="77D2A0F5" w14:textId="0A547B6E" w:rsidTr="00C674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2F3BE88" w14:textId="54F599C7" w:rsidR="002A7D48" w:rsidRPr="00426C9C" w:rsidRDefault="002A7D48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1C2E03">
              <w:rPr>
                <w:lang w:eastAsia="zh-TW"/>
              </w:rPr>
              <w:t>Breast cancer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E13375" w14:textId="48F538AA" w:rsidR="002A7D48" w:rsidRPr="00426C9C" w:rsidRDefault="002A7D48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7FF75B" w14:textId="52F8ACDB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412E75" w14:textId="59D71EBB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8A01486" w14:textId="651F1822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040203D" w14:textId="048E3079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721898B" w14:textId="4131EB65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0.97</w:t>
            </w:r>
            <w:r w:rsidR="00DA443D">
              <w:rPr>
                <w:lang w:eastAsia="zh-TW"/>
              </w:rPr>
              <w:br/>
              <w:t>(0.94–</w:t>
            </w:r>
            <w:r w:rsidR="007E30EB">
              <w:rPr>
                <w:lang w:eastAsia="zh-TW"/>
              </w:rPr>
              <w:t>0.998</w:t>
            </w:r>
            <w:r w:rsidR="00DA443D">
              <w:rPr>
                <w:lang w:eastAsia="zh-TW"/>
              </w:rPr>
              <w:t>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A67AFA" w14:textId="226F58D2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0.94</w:t>
            </w:r>
            <w:r w:rsidR="00555C7D">
              <w:rPr>
                <w:lang w:eastAsia="zh-TW"/>
              </w:rPr>
              <w:br/>
              <w:t>(0.90–0.98)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9C8AEB9" w14:textId="7B0321B1" w:rsidR="002A7D48" w:rsidRPr="00426C9C" w:rsidRDefault="002A7D48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0.86</w:t>
            </w:r>
            <w:r w:rsidR="00555C7D">
              <w:rPr>
                <w:lang w:eastAsia="zh-TW"/>
              </w:rPr>
              <w:br/>
              <w:t>(0.83–0.90)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2E3CA40" w14:textId="34B132C1" w:rsidR="002A7D48" w:rsidRPr="00426C9C" w:rsidRDefault="002A7D48" w:rsidP="00773018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A24C63">
              <w:rPr>
                <w:rFonts w:asciiTheme="minorHAnsi" w:hAnsiTheme="minorHAnsi"/>
                <w:lang w:eastAsia="zh-TW"/>
              </w:rPr>
              <w:t>lognormal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60FE5B4" w14:textId="57BAC159" w:rsidR="002A7D48" w:rsidRPr="001C2E03" w:rsidRDefault="002A7D48" w:rsidP="0076344E">
            <w:pPr>
              <w:spacing w:after="40"/>
              <w:rPr>
                <w:lang w:eastAsia="zh-TW"/>
              </w:rPr>
            </w:pPr>
            <w:r w:rsidRPr="001C2E03">
              <w:rPr>
                <w:lang w:eastAsia="zh-TW"/>
              </w:rPr>
              <w:fldChar w:fldCharType="begin">
                <w:fldData xml:space="preserve">PEVuZE5vdGU+PENpdGU+PEF1dGhvcj5LeXU8L0F1dGhvcj48WWVhcj4yMDE2PC9ZZWFyPjxSZWNO
dW0+MTwvUmVjTnVtPjxEaXNwbGF5VGV4dD5bNV08L0Rpc3BsYXlUZXh0PjxyZWNvcmQ+PHJlYy1u
dW1iZXI+MTwvcmVjLW51bWJlcj48Zm9yZWlnbi1rZXlzPjxrZXkgYXBwPSJFTiIgZGItaWQ9InBy
cmFhd2V3ejJ0cHdhZTBhd2VwMmV0OGF4emYwNWZ0ZmUyZCIgdGltZXN0YW1wPSIxNDc2NzIwNDIz
Ij4xPC9rZXk+PC9mb3JlaWduLWtleXM+PHJlZi10eXBlIG5hbWU9IkpvdXJuYWwgQXJ0aWNsZSI+
MTc8L3JlZi10eXBlPjxjb250cmlidXRvcnM+PGF1dGhvcnM+PGF1dGhvcj5LeXUsIEguIEguPC9h
dXRob3I+PGF1dGhvcj5CYWNobWFuLCBWLiBGLjwvYXV0aG9yPjxhdXRob3I+QWxleGFuZGVyLCBM
LiBULjwvYXV0aG9yPjxhdXRob3I+TXVtZm9yZCwgSi4gRS48L2F1dGhvcj48YXV0aG9yPkFmc2hp
biwgQS48L2F1dGhvcj48YXV0aG9yPkVzdGVwLCBLLjwvYXV0aG9yPjxhdXRob3I+VmVlcm1hbiwg
Si4gTC48L2F1dGhvcj48YXV0aG9yPkRlbHdpY2hlLCBLLjwvYXV0aG9yPjxhdXRob3I+SWFubmFy
b25lLCBNLiBMLjwvYXV0aG9yPjxhdXRob3I+TW95ZXIsIE0uIEwuPC9hdXRob3I+PGF1dGhvcj5D
ZXJjeSwgSy48L2F1dGhvcj48YXV0aG9yPlZvcywgVC48L2F1dGhvcj48YXV0aG9yPk11cnJheSwg
Qy4gSi48L2F1dGhvcj48YXV0aG9yPkZvcm91emFuZmFyLCBNLiBILjwvYXV0aG9yPjwvYXV0aG9y
cz48L2NvbnRyaWJ1dG9ycz48YXV0aC1hZGRyZXNzPkluc3RpdHV0ZSBmb3IgSGVhbHRoIE1ldHJp
Y3MgYW5kIEV2YWx1YXRpb24sIFVuaXZlcnNpdHkgb2YgV2FzaGluZ3RvbiwgMjMwMSA1dGggQXZl
bnVlLCBTdWl0ZSA2MDAsIFNlYXR0bGUsIFdBIDk4MTIxLCBVU0EuJiN4RDtTY2hvb2wgb2YgTWVk
aWNpbmUsIFVuaXZlcnNpdHkgb2YgV2FzaGluZ3RvbiwgU2VhdHRsZSwgV0EgOTgxMDUsIFVTQS4m
I3hEO1NjaG9vbCBvZiBQdWJsaWMgSGVhbHRoLCBGYWN1bHR5IG9mIE1lZGljaW5lIGFuZCBCaW9t
ZWRpY2FsIFNjaWVuY2VzLCBVbml2ZXJzaXR5IG9mIFF1ZWVuc2xhbmQsIEhlcnN0b24sIFFMRCA0
MDA2LCBBdXN0cmFsaWEuJiN4RDtHZWlzZWwgU2Nob29sIG9mIE1lZGljaW5lLCBEYXJ0bW91dGgg
Q29sbGVnZSwgSGFub3ZlciwgTkggMDM3NTUtMTQwNCwgVVNBLiYjeEQ7SW5zdGl0dXRlIGZvciBI
ZWFsdGggTWV0cmljcyBhbmQgRXZhbHVhdGlvbiwgVW5pdmVyc2l0eSBvZiBXYXNoaW5ndG9uLCAy
MzAxIDV0aCBBdmVudWUsIFN1aXRlIDYwMCwgU2VhdHRsZSwgV0EgOTgxMjEsIFVTQSBmb3JvdXph
bkB1dy5lZHUuPC9hdXRoLWFkZHJlc3M+PHRpdGxlcz48dGl0bGU+UGh5c2ljYWwgYWN0aXZpdHkg
YW5kIHJpc2sgb2YgYnJlYXN0IGNhbmNlciwgY29sb24gY2FuY2VyLCBkaWFiZXRlcywgaXNjaGVt
aWMgaGVhcnQgZGlzZWFzZSwgYW5kIGlzY2hlbWljIHN0cm9rZSBldmVudHM6IHN5c3RlbWF0aWMg
cmV2aWV3IGFuZCBkb3NlLXJlc3BvbnNlIG1ldGEtYW5hbHlzaXMgZm9yIHRoZSBHbG9iYWwgQnVy
ZGVuIG9mIERpc2Vhc2UgU3R1ZHkgMjAxMzwvdGl0bGU+PHNlY29uZGFyeS10aXRsZT5CTUo8L3Nl
Y29uZGFyeS10aXRsZT48L3RpdGxlcz48cGVyaW9kaWNhbD48ZnVsbC10aXRsZT5CTUo8L2Z1bGwt
dGl0bGU+PC9wZXJpb2RpY2FsPjxwYWdlcz5pMzg1NzwvcGFnZXM+PHZvbHVtZT4zNTQ8L3ZvbHVt
ZT48ZGF0ZXM+PHllYXI+MjAxNjwveWVhcj48cHViLWRhdGVzPjxkYXRlPkF1ZyAwOTwvZGF0ZT48
L3B1Yi1kYXRlcz48L2RhdGVzPjxpc2JuPjE3NTYtMTgzMyAoRWxlY3Ryb25pYykmI3hEOzA5NTkt
NTM1WCAoTGlua2luZyk8L2lzYm4+PGFjY2Vzc2lvbi1udW0+Mjc1MTA1MTE8L2FjY2Vzc2lvbi1u
dW0+PHVybHM+PHJlbGF0ZWQtdXJscz48dXJsPmh0dHA6Ly93d3cubmNiaS5ubG0ubmloLmdvdi9w
dWJtZWQvMjc1MTA1MTE8L3VybD48L3JlbGF0ZWQtdXJscz48L3VybHM+PGN1c3RvbTI+UE1DNDk3
OTM1ODwvY3VzdG9tMj48ZWxlY3Ryb25pYy1yZXNvdXJjZS1udW0+MTAuMTEzNi9ibWouaTM4NTc8
L2VsZWN0cm9uaWMtcmVzb3VyY2UtbnVtPjwvcmVjb3JkPjwvQ2l0ZT48L0VuZE5vdGU+AG==
</w:fldData>
              </w:fldChar>
            </w:r>
            <w:r w:rsidR="0076344E">
              <w:rPr>
                <w:lang w:eastAsia="zh-TW"/>
              </w:rPr>
              <w:instrText xml:space="preserve"> ADDIN EN.CITE </w:instrText>
            </w:r>
            <w:r w:rsidR="0076344E">
              <w:rPr>
                <w:lang w:eastAsia="zh-TW"/>
              </w:rPr>
              <w:fldChar w:fldCharType="begin">
                <w:fldData xml:space="preserve">PEVuZE5vdGU+PENpdGU+PEF1dGhvcj5LeXU8L0F1dGhvcj48WWVhcj4yMDE2PC9ZZWFyPjxSZWNO
dW0+MTwvUmVjTnVtPjxEaXNwbGF5VGV4dD5bNV08L0Rpc3BsYXlUZXh0PjxyZWNvcmQ+PHJlYy1u
dW1iZXI+MTwvcmVjLW51bWJlcj48Zm9yZWlnbi1rZXlzPjxrZXkgYXBwPSJFTiIgZGItaWQ9InBy
cmFhd2V3ejJ0cHdhZTBhd2VwMmV0OGF4emYwNWZ0ZmUyZCIgdGltZXN0YW1wPSIxNDc2NzIwNDIz
Ij4xPC9rZXk+PC9mb3JlaWduLWtleXM+PHJlZi10eXBlIG5hbWU9IkpvdXJuYWwgQXJ0aWNsZSI+
MTc8L3JlZi10eXBlPjxjb250cmlidXRvcnM+PGF1dGhvcnM+PGF1dGhvcj5LeXUsIEguIEguPC9h
dXRob3I+PGF1dGhvcj5CYWNobWFuLCBWLiBGLjwvYXV0aG9yPjxhdXRob3I+QWxleGFuZGVyLCBM
LiBULjwvYXV0aG9yPjxhdXRob3I+TXVtZm9yZCwgSi4gRS48L2F1dGhvcj48YXV0aG9yPkFmc2hp
biwgQS48L2F1dGhvcj48YXV0aG9yPkVzdGVwLCBLLjwvYXV0aG9yPjxhdXRob3I+VmVlcm1hbiwg
Si4gTC48L2F1dGhvcj48YXV0aG9yPkRlbHdpY2hlLCBLLjwvYXV0aG9yPjxhdXRob3I+SWFubmFy
b25lLCBNLiBMLjwvYXV0aG9yPjxhdXRob3I+TW95ZXIsIE0uIEwuPC9hdXRob3I+PGF1dGhvcj5D
ZXJjeSwgSy48L2F1dGhvcj48YXV0aG9yPlZvcywgVC48L2F1dGhvcj48YXV0aG9yPk11cnJheSwg
Qy4gSi48L2F1dGhvcj48YXV0aG9yPkZvcm91emFuZmFyLCBNLiBILjwvYXV0aG9yPjwvYXV0aG9y
cz48L2NvbnRyaWJ1dG9ycz48YXV0aC1hZGRyZXNzPkluc3RpdHV0ZSBmb3IgSGVhbHRoIE1ldHJp
Y3MgYW5kIEV2YWx1YXRpb24sIFVuaXZlcnNpdHkgb2YgV2FzaGluZ3RvbiwgMjMwMSA1dGggQXZl
bnVlLCBTdWl0ZSA2MDAsIFNlYXR0bGUsIFdBIDk4MTIxLCBVU0EuJiN4RDtTY2hvb2wgb2YgTWVk
aWNpbmUsIFVuaXZlcnNpdHkgb2YgV2FzaGluZ3RvbiwgU2VhdHRsZSwgV0EgOTgxMDUsIFVTQS4m
I3hEO1NjaG9vbCBvZiBQdWJsaWMgSGVhbHRoLCBGYWN1bHR5IG9mIE1lZGljaW5lIGFuZCBCaW9t
ZWRpY2FsIFNjaWVuY2VzLCBVbml2ZXJzaXR5IG9mIFF1ZWVuc2xhbmQsIEhlcnN0b24sIFFMRCA0
MDA2LCBBdXN0cmFsaWEuJiN4RDtHZWlzZWwgU2Nob29sIG9mIE1lZGljaW5lLCBEYXJ0bW91dGgg
Q29sbGVnZSwgSGFub3ZlciwgTkggMDM3NTUtMTQwNCwgVVNBLiYjeEQ7SW5zdGl0dXRlIGZvciBI
ZWFsdGggTWV0cmljcyBhbmQgRXZhbHVhdGlvbiwgVW5pdmVyc2l0eSBvZiBXYXNoaW5ndG9uLCAy
MzAxIDV0aCBBdmVudWUsIFN1aXRlIDYwMCwgU2VhdHRsZSwgV0EgOTgxMjEsIFVTQSBmb3JvdXph
bkB1dy5lZHUuPC9hdXRoLWFkZHJlc3M+PHRpdGxlcz48dGl0bGU+UGh5c2ljYWwgYWN0aXZpdHkg
YW5kIHJpc2sgb2YgYnJlYXN0IGNhbmNlciwgY29sb24gY2FuY2VyLCBkaWFiZXRlcywgaXNjaGVt
aWMgaGVhcnQgZGlzZWFzZSwgYW5kIGlzY2hlbWljIHN0cm9rZSBldmVudHM6IHN5c3RlbWF0aWMg
cmV2aWV3IGFuZCBkb3NlLXJlc3BvbnNlIG1ldGEtYW5hbHlzaXMgZm9yIHRoZSBHbG9iYWwgQnVy
ZGVuIG9mIERpc2Vhc2UgU3R1ZHkgMjAxMzwvdGl0bGU+PHNlY29uZGFyeS10aXRsZT5CTUo8L3Nl
Y29uZGFyeS10aXRsZT48L3RpdGxlcz48cGVyaW9kaWNhbD48ZnVsbC10aXRsZT5CTUo8L2Z1bGwt
dGl0bGU+PC9wZXJpb2RpY2FsPjxwYWdlcz5pMzg1NzwvcGFnZXM+PHZvbHVtZT4zNTQ8L3ZvbHVt
ZT48ZGF0ZXM+PHllYXI+MjAxNjwveWVhcj48cHViLWRhdGVzPjxkYXRlPkF1ZyAwOTwvZGF0ZT48
L3B1Yi1kYXRlcz48L2RhdGVzPjxpc2JuPjE3NTYtMTgzMyAoRWxlY3Ryb25pYykmI3hEOzA5NTkt
NTM1WCAoTGlua2luZyk8L2lzYm4+PGFjY2Vzc2lvbi1udW0+Mjc1MTA1MTE8L2FjY2Vzc2lvbi1u
dW0+PHVybHM+PHJlbGF0ZWQtdXJscz48dXJsPmh0dHA6Ly93d3cubmNiaS5ubG0ubmloLmdvdi9w
dWJtZWQvMjc1MTA1MTE8L3VybD48L3JlbGF0ZWQtdXJscz48L3VybHM+PGN1c3RvbTI+UE1DNDk3
OTM1ODwvY3VzdG9tMj48ZWxlY3Ryb25pYy1yZXNvdXJjZS1udW0+MTAuMTEzNi9ibWouaTM4NTc8
L2VsZWN0cm9uaWMtcmVzb3VyY2UtbnVtPjwvcmVjb3JkPjwvQ2l0ZT48L0VuZE5vdGU+AG==
</w:fldData>
              </w:fldChar>
            </w:r>
            <w:r w:rsidR="0076344E">
              <w:rPr>
                <w:lang w:eastAsia="zh-TW"/>
              </w:rPr>
              <w:instrText xml:space="preserve"> ADDIN EN.CITE.DATA </w:instrText>
            </w:r>
            <w:r w:rsidR="0076344E">
              <w:rPr>
                <w:lang w:eastAsia="zh-TW"/>
              </w:rPr>
            </w:r>
            <w:r w:rsidR="0076344E">
              <w:rPr>
                <w:lang w:eastAsia="zh-TW"/>
              </w:rPr>
              <w:fldChar w:fldCharType="end"/>
            </w:r>
            <w:r w:rsidRPr="001C2E03">
              <w:rPr>
                <w:lang w:eastAsia="zh-TW"/>
              </w:rPr>
            </w:r>
            <w:r w:rsidRPr="001C2E03">
              <w:rPr>
                <w:lang w:eastAsia="zh-TW"/>
              </w:rPr>
              <w:fldChar w:fldCharType="separate"/>
            </w:r>
            <w:r w:rsidR="0076344E">
              <w:rPr>
                <w:noProof/>
                <w:lang w:eastAsia="zh-TW"/>
              </w:rPr>
              <w:t>[5]</w:t>
            </w:r>
            <w:r w:rsidRPr="001C2E03">
              <w:rPr>
                <w:lang w:eastAsia="zh-TW"/>
              </w:rPr>
              <w:fldChar w:fldCharType="end"/>
            </w:r>
          </w:p>
        </w:tc>
      </w:tr>
      <w:tr w:rsidR="007E30EB" w:rsidRPr="00B93BB3" w14:paraId="5AF32195" w14:textId="0AEC13D1" w:rsidTr="00C67441">
        <w:trPr>
          <w:trHeight w:val="824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2876CBC" w14:textId="11583FE6" w:rsidR="007E30EB" w:rsidRPr="00426C9C" w:rsidRDefault="007E30EB" w:rsidP="007E30EB">
            <w:pPr>
              <w:spacing w:after="40"/>
              <w:rPr>
                <w:rFonts w:asciiTheme="minorHAnsi" w:hAnsiTheme="minorHAnsi"/>
                <w:lang w:eastAsia="zh-TW"/>
              </w:rPr>
            </w:pPr>
            <w:r>
              <w:rPr>
                <w:lang w:eastAsia="zh-TW"/>
              </w:rPr>
              <w:t xml:space="preserve">Colorectal </w:t>
            </w:r>
            <w:r w:rsidRPr="001C2E03">
              <w:rPr>
                <w:lang w:eastAsia="zh-TW"/>
              </w:rPr>
              <w:t>cancer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0632EE2" w14:textId="6EE9DD3F" w:rsidR="007E30EB" w:rsidRPr="00426C9C" w:rsidRDefault="007E30EB" w:rsidP="007E30EB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0A4BA0" w14:textId="42BCF16B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0.90</w:t>
            </w:r>
            <w:r>
              <w:rPr>
                <w:lang w:eastAsia="zh-TW"/>
              </w:rPr>
              <w:br/>
              <w:t>(0.85–0.95)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E040374" w14:textId="411C730B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0.83</w:t>
            </w:r>
            <w:r>
              <w:rPr>
                <w:lang w:eastAsia="zh-TW"/>
              </w:rPr>
              <w:br/>
              <w:t>(0.77–0.97)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055A2D" w14:textId="1B3AF185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0.79</w:t>
            </w:r>
            <w:r>
              <w:rPr>
                <w:lang w:eastAsia="zh-TW"/>
              </w:rPr>
              <w:br/>
              <w:t>(0.74–0.85)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7612C70" w14:textId="53027710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C85F9F">
              <w:rPr>
                <w:rFonts w:asciiTheme="minorHAnsi" w:hAnsiTheme="minorHAnsi"/>
              </w:rPr>
              <w:t>1.0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5F2B874" w14:textId="618E7D8E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0.90</w:t>
            </w:r>
            <w:r>
              <w:rPr>
                <w:lang w:eastAsia="zh-TW"/>
              </w:rPr>
              <w:br/>
              <w:t>(0.85–0.95)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B9B05F8" w14:textId="15DFE5C8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0.83</w:t>
            </w:r>
            <w:r>
              <w:rPr>
                <w:lang w:eastAsia="zh-TW"/>
              </w:rPr>
              <w:br/>
              <w:t>(0.77–0.97)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540CE0B" w14:textId="23778D35" w:rsidR="007E30EB" w:rsidRPr="00426C9C" w:rsidRDefault="007E30EB" w:rsidP="00C67441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>
              <w:rPr>
                <w:lang w:eastAsia="zh-TW"/>
              </w:rPr>
              <w:t>0.79</w:t>
            </w:r>
            <w:r>
              <w:rPr>
                <w:lang w:eastAsia="zh-TW"/>
              </w:rPr>
              <w:br/>
              <w:t>(0.74–0.85)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22D3265" w14:textId="0CF4F786" w:rsidR="007E30EB" w:rsidRPr="00426C9C" w:rsidRDefault="007E30EB" w:rsidP="007E30EB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A24C63">
              <w:rPr>
                <w:rFonts w:asciiTheme="minorHAnsi" w:hAnsiTheme="minorHAnsi"/>
                <w:lang w:eastAsia="zh-TW"/>
              </w:rPr>
              <w:t>lognormal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C10235" w14:textId="7C1FF129" w:rsidR="007E30EB" w:rsidRPr="001C2E03" w:rsidRDefault="007E30EB" w:rsidP="007E30EB">
            <w:pPr>
              <w:spacing w:after="40"/>
              <w:rPr>
                <w:lang w:eastAsia="zh-TW"/>
              </w:rPr>
            </w:pPr>
            <w:r w:rsidRPr="001C2E03">
              <w:rPr>
                <w:lang w:eastAsia="zh-TW"/>
              </w:rPr>
              <w:fldChar w:fldCharType="begin">
                <w:fldData xml:space="preserve">PEVuZE5vdGU+PENpdGU+PEF1dGhvcj5LeXU8L0F1dGhvcj48WWVhcj4yMDE2PC9ZZWFyPjxSZWNO
dW0+MTwvUmVjTnVtPjxEaXNwbGF5VGV4dD5bNV08L0Rpc3BsYXlUZXh0PjxyZWNvcmQ+PHJlYy1u
dW1iZXI+MTwvcmVjLW51bWJlcj48Zm9yZWlnbi1rZXlzPjxrZXkgYXBwPSJFTiIgZGItaWQ9InBy
cmFhd2V3ejJ0cHdhZTBhd2VwMmV0OGF4emYwNWZ0ZmUyZCIgdGltZXN0YW1wPSIxNDc2NzIwNDIz
Ij4xPC9rZXk+PC9mb3JlaWduLWtleXM+PHJlZi10eXBlIG5hbWU9IkpvdXJuYWwgQXJ0aWNsZSI+
MTc8L3JlZi10eXBlPjxjb250cmlidXRvcnM+PGF1dGhvcnM+PGF1dGhvcj5LeXUsIEguIEguPC9h
dXRob3I+PGF1dGhvcj5CYWNobWFuLCBWLiBGLjwvYXV0aG9yPjxhdXRob3I+QWxleGFuZGVyLCBM
LiBULjwvYXV0aG9yPjxhdXRob3I+TXVtZm9yZCwgSi4gRS48L2F1dGhvcj48YXV0aG9yPkFmc2hp
biwgQS48L2F1dGhvcj48YXV0aG9yPkVzdGVwLCBLLjwvYXV0aG9yPjxhdXRob3I+VmVlcm1hbiwg
Si4gTC48L2F1dGhvcj48YXV0aG9yPkRlbHdpY2hlLCBLLjwvYXV0aG9yPjxhdXRob3I+SWFubmFy
b25lLCBNLiBMLjwvYXV0aG9yPjxhdXRob3I+TW95ZXIsIE0uIEwuPC9hdXRob3I+PGF1dGhvcj5D
ZXJjeSwgSy48L2F1dGhvcj48YXV0aG9yPlZvcywgVC48L2F1dGhvcj48YXV0aG9yPk11cnJheSwg
Qy4gSi48L2F1dGhvcj48YXV0aG9yPkZvcm91emFuZmFyLCBNLiBILjwvYXV0aG9yPjwvYXV0aG9y
cz48L2NvbnRyaWJ1dG9ycz48YXV0aC1hZGRyZXNzPkluc3RpdHV0ZSBmb3IgSGVhbHRoIE1ldHJp
Y3MgYW5kIEV2YWx1YXRpb24sIFVuaXZlcnNpdHkgb2YgV2FzaGluZ3RvbiwgMjMwMSA1dGggQXZl
bnVlLCBTdWl0ZSA2MDAsIFNlYXR0bGUsIFdBIDk4MTIxLCBVU0EuJiN4RDtTY2hvb2wgb2YgTWVk
aWNpbmUsIFVuaXZlcnNpdHkgb2YgV2FzaGluZ3RvbiwgU2VhdHRsZSwgV0EgOTgxMDUsIFVTQS4m
I3hEO1NjaG9vbCBvZiBQdWJsaWMgSGVhbHRoLCBGYWN1bHR5IG9mIE1lZGljaW5lIGFuZCBCaW9t
ZWRpY2FsIFNjaWVuY2VzLCBVbml2ZXJzaXR5IG9mIFF1ZWVuc2xhbmQsIEhlcnN0b24sIFFMRCA0
MDA2LCBBdXN0cmFsaWEuJiN4RDtHZWlzZWwgU2Nob29sIG9mIE1lZGljaW5lLCBEYXJ0bW91dGgg
Q29sbGVnZSwgSGFub3ZlciwgTkggMDM3NTUtMTQwNCwgVVNBLiYjeEQ7SW5zdGl0dXRlIGZvciBI
ZWFsdGggTWV0cmljcyBhbmQgRXZhbHVhdGlvbiwgVW5pdmVyc2l0eSBvZiBXYXNoaW5ndG9uLCAy
MzAxIDV0aCBBdmVudWUsIFN1aXRlIDYwMCwgU2VhdHRsZSwgV0EgOTgxMjEsIFVTQSBmb3JvdXph
bkB1dy5lZHUuPC9hdXRoLWFkZHJlc3M+PHRpdGxlcz48dGl0bGU+UGh5c2ljYWwgYWN0aXZpdHkg
YW5kIHJpc2sgb2YgYnJlYXN0IGNhbmNlciwgY29sb24gY2FuY2VyLCBkaWFiZXRlcywgaXNjaGVt
aWMgaGVhcnQgZGlzZWFzZSwgYW5kIGlzY2hlbWljIHN0cm9rZSBldmVudHM6IHN5c3RlbWF0aWMg
cmV2aWV3IGFuZCBkb3NlLXJlc3BvbnNlIG1ldGEtYW5hbHlzaXMgZm9yIHRoZSBHbG9iYWwgQnVy
ZGVuIG9mIERpc2Vhc2UgU3R1ZHkgMjAxMzwvdGl0bGU+PHNlY29uZGFyeS10aXRsZT5CTUo8L3Nl
Y29uZGFyeS10aXRsZT48L3RpdGxlcz48cGVyaW9kaWNhbD48ZnVsbC10aXRsZT5CTUo8L2Z1bGwt
dGl0bGU+PC9wZXJpb2RpY2FsPjxwYWdlcz5pMzg1NzwvcGFnZXM+PHZvbHVtZT4zNTQ8L3ZvbHVt
ZT48ZGF0ZXM+PHllYXI+MjAxNjwveWVhcj48cHViLWRhdGVzPjxkYXRlPkF1ZyAwOTwvZGF0ZT48
L3B1Yi1kYXRlcz48L2RhdGVzPjxpc2JuPjE3NTYtMTgzMyAoRWxlY3Ryb25pYykmI3hEOzA5NTkt
NTM1WCAoTGlua2luZyk8L2lzYm4+PGFjY2Vzc2lvbi1udW0+Mjc1MTA1MTE8L2FjY2Vzc2lvbi1u
dW0+PHVybHM+PHJlbGF0ZWQtdXJscz48dXJsPmh0dHA6Ly93d3cubmNiaS5ubG0ubmloLmdvdi9w
dWJtZWQvMjc1MTA1MTE8L3VybD48L3JlbGF0ZWQtdXJscz48L3VybHM+PGN1c3RvbTI+UE1DNDk3
OTM1ODwvY3VzdG9tMj48ZWxlY3Ryb25pYy1yZXNvdXJjZS1udW0+MTAuMTEzNi9ibWouaTM4NTc8
L2VsZWN0cm9uaWMtcmVzb3VyY2UtbnVtPjwvcmVjb3JkPjwvQ2l0ZT48L0VuZE5vdGU+AG==
</w:fldData>
              </w:fldChar>
            </w:r>
            <w:r>
              <w:rPr>
                <w:lang w:eastAsia="zh-TW"/>
              </w:rPr>
              <w:instrText xml:space="preserve"> ADDIN EN.CITE </w:instrText>
            </w:r>
            <w:r>
              <w:rPr>
                <w:lang w:eastAsia="zh-TW"/>
              </w:rPr>
              <w:fldChar w:fldCharType="begin">
                <w:fldData xml:space="preserve">PEVuZE5vdGU+PENpdGU+PEF1dGhvcj5LeXU8L0F1dGhvcj48WWVhcj4yMDE2PC9ZZWFyPjxSZWNO
dW0+MTwvUmVjTnVtPjxEaXNwbGF5VGV4dD5bNV08L0Rpc3BsYXlUZXh0PjxyZWNvcmQ+PHJlYy1u
dW1iZXI+MTwvcmVjLW51bWJlcj48Zm9yZWlnbi1rZXlzPjxrZXkgYXBwPSJFTiIgZGItaWQ9InBy
cmFhd2V3ejJ0cHdhZTBhd2VwMmV0OGF4emYwNWZ0ZmUyZCIgdGltZXN0YW1wPSIxNDc2NzIwNDIz
Ij4xPC9rZXk+PC9mb3JlaWduLWtleXM+PHJlZi10eXBlIG5hbWU9IkpvdXJuYWwgQXJ0aWNsZSI+
MTc8L3JlZi10eXBlPjxjb250cmlidXRvcnM+PGF1dGhvcnM+PGF1dGhvcj5LeXUsIEguIEguPC9h
dXRob3I+PGF1dGhvcj5CYWNobWFuLCBWLiBGLjwvYXV0aG9yPjxhdXRob3I+QWxleGFuZGVyLCBM
LiBULjwvYXV0aG9yPjxhdXRob3I+TXVtZm9yZCwgSi4gRS48L2F1dGhvcj48YXV0aG9yPkFmc2hp
biwgQS48L2F1dGhvcj48YXV0aG9yPkVzdGVwLCBLLjwvYXV0aG9yPjxhdXRob3I+VmVlcm1hbiwg
Si4gTC48L2F1dGhvcj48YXV0aG9yPkRlbHdpY2hlLCBLLjwvYXV0aG9yPjxhdXRob3I+SWFubmFy
b25lLCBNLiBMLjwvYXV0aG9yPjxhdXRob3I+TW95ZXIsIE0uIEwuPC9hdXRob3I+PGF1dGhvcj5D
ZXJjeSwgSy48L2F1dGhvcj48YXV0aG9yPlZvcywgVC48L2F1dGhvcj48YXV0aG9yPk11cnJheSwg
Qy4gSi48L2F1dGhvcj48YXV0aG9yPkZvcm91emFuZmFyLCBNLiBILjwvYXV0aG9yPjwvYXV0aG9y
cz48L2NvbnRyaWJ1dG9ycz48YXV0aC1hZGRyZXNzPkluc3RpdHV0ZSBmb3IgSGVhbHRoIE1ldHJp
Y3MgYW5kIEV2YWx1YXRpb24sIFVuaXZlcnNpdHkgb2YgV2FzaGluZ3RvbiwgMjMwMSA1dGggQXZl
bnVlLCBTdWl0ZSA2MDAsIFNlYXR0bGUsIFdBIDk4MTIxLCBVU0EuJiN4RDtTY2hvb2wgb2YgTWVk
aWNpbmUsIFVuaXZlcnNpdHkgb2YgV2FzaGluZ3RvbiwgU2VhdHRsZSwgV0EgOTgxMDUsIFVTQS4m
I3hEO1NjaG9vbCBvZiBQdWJsaWMgSGVhbHRoLCBGYWN1bHR5IG9mIE1lZGljaW5lIGFuZCBCaW9t
ZWRpY2FsIFNjaWVuY2VzLCBVbml2ZXJzaXR5IG9mIFF1ZWVuc2xhbmQsIEhlcnN0b24sIFFMRCA0
MDA2LCBBdXN0cmFsaWEuJiN4RDtHZWlzZWwgU2Nob29sIG9mIE1lZGljaW5lLCBEYXJ0bW91dGgg
Q29sbGVnZSwgSGFub3ZlciwgTkggMDM3NTUtMTQwNCwgVVNBLiYjeEQ7SW5zdGl0dXRlIGZvciBI
ZWFsdGggTWV0cmljcyBhbmQgRXZhbHVhdGlvbiwgVW5pdmVyc2l0eSBvZiBXYXNoaW5ndG9uLCAy
MzAxIDV0aCBBdmVudWUsIFN1aXRlIDYwMCwgU2VhdHRsZSwgV0EgOTgxMjEsIFVTQSBmb3JvdXph
bkB1dy5lZHUuPC9hdXRoLWFkZHJlc3M+PHRpdGxlcz48dGl0bGU+UGh5c2ljYWwgYWN0aXZpdHkg
YW5kIHJpc2sgb2YgYnJlYXN0IGNhbmNlciwgY29sb24gY2FuY2VyLCBkaWFiZXRlcywgaXNjaGVt
aWMgaGVhcnQgZGlzZWFzZSwgYW5kIGlzY2hlbWljIHN0cm9rZSBldmVudHM6IHN5c3RlbWF0aWMg
cmV2aWV3IGFuZCBkb3NlLXJlc3BvbnNlIG1ldGEtYW5hbHlzaXMgZm9yIHRoZSBHbG9iYWwgQnVy
ZGVuIG9mIERpc2Vhc2UgU3R1ZHkgMjAxMzwvdGl0bGU+PHNlY29uZGFyeS10aXRsZT5CTUo8L3Nl
Y29uZGFyeS10aXRsZT48L3RpdGxlcz48cGVyaW9kaWNhbD48ZnVsbC10aXRsZT5CTUo8L2Z1bGwt
dGl0bGU+PC9wZXJpb2RpY2FsPjxwYWdlcz5pMzg1NzwvcGFnZXM+PHZvbHVtZT4zNTQ8L3ZvbHVt
ZT48ZGF0ZXM+PHllYXI+MjAxNjwveWVhcj48cHViLWRhdGVzPjxkYXRlPkF1ZyAwOTwvZGF0ZT48
L3B1Yi1kYXRlcz48L2RhdGVzPjxpc2JuPjE3NTYtMTgzMyAoRWxlY3Ryb25pYykmI3hEOzA5NTkt
NTM1WCAoTGlua2luZyk8L2lzYm4+PGFjY2Vzc2lvbi1udW0+Mjc1MTA1MTE8L2FjY2Vzc2lvbi1u
dW0+PHVybHM+PHJlbGF0ZWQtdXJscz48dXJsPmh0dHA6Ly93d3cubmNiaS5ubG0ubmloLmdvdi9w
dWJtZWQvMjc1MTA1MTE8L3VybD48L3JlbGF0ZWQtdXJscz48L3VybHM+PGN1c3RvbTI+UE1DNDk3
OTM1ODwvY3VzdG9tMj48ZWxlY3Ryb25pYy1yZXNvdXJjZS1udW0+MTAuMTEzNi9ibWouaTM4NTc8
L2VsZWN0cm9uaWMtcmVzb3VyY2UtbnVtPjwvcmVjb3JkPjwvQ2l0ZT48L0VuZE5vdGU+AG==
</w:fldData>
              </w:fldChar>
            </w:r>
            <w:r>
              <w:rPr>
                <w:lang w:eastAsia="zh-TW"/>
              </w:rPr>
              <w:instrText xml:space="preserve"> ADDIN EN.CITE.DATA </w:instrText>
            </w:r>
            <w:r>
              <w:rPr>
                <w:lang w:eastAsia="zh-TW"/>
              </w:rPr>
            </w:r>
            <w:r>
              <w:rPr>
                <w:lang w:eastAsia="zh-TW"/>
              </w:rPr>
              <w:fldChar w:fldCharType="end"/>
            </w:r>
            <w:r w:rsidRPr="001C2E03">
              <w:rPr>
                <w:lang w:eastAsia="zh-TW"/>
              </w:rPr>
            </w:r>
            <w:r w:rsidRPr="001C2E03">
              <w:rPr>
                <w:lang w:eastAsia="zh-TW"/>
              </w:rPr>
              <w:fldChar w:fldCharType="separate"/>
            </w:r>
            <w:r>
              <w:rPr>
                <w:noProof/>
                <w:lang w:eastAsia="zh-TW"/>
              </w:rPr>
              <w:t>[5]</w:t>
            </w:r>
            <w:r w:rsidRPr="001C2E03">
              <w:rPr>
                <w:lang w:eastAsia="zh-TW"/>
              </w:rPr>
              <w:fldChar w:fldCharType="end"/>
            </w:r>
          </w:p>
        </w:tc>
      </w:tr>
      <w:tr w:rsidR="00AE457A" w:rsidRPr="00B93BB3" w14:paraId="6D1174EB" w14:textId="10467C9F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8"/>
        </w:trPr>
        <w:tc>
          <w:tcPr>
            <w:tcW w:w="11202" w:type="dxa"/>
            <w:gridSpan w:val="10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center"/>
          </w:tcPr>
          <w:p w14:paraId="3C180A4C" w14:textId="3CE2752A" w:rsidR="00AE457A" w:rsidRPr="00AA2E5D" w:rsidRDefault="00AE457A" w:rsidP="00AA2E5D">
            <w:pPr>
              <w:spacing w:after="40"/>
              <w:ind w:left="-57" w:right="-57"/>
              <w:rPr>
                <w:rFonts w:asciiTheme="minorHAnsi" w:hAnsiTheme="minorHAnsi"/>
                <w:b/>
              </w:rPr>
            </w:pPr>
            <w:r w:rsidRPr="00AA2E5D">
              <w:rPr>
                <w:rFonts w:asciiTheme="minorHAnsi" w:hAnsiTheme="minorHAnsi"/>
                <w:b/>
                <w:i/>
                <w:lang w:eastAsia="zh-TW"/>
              </w:rPr>
              <w:lastRenderedPageBreak/>
              <w:t>CHD incidence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14FCA53" w14:textId="7A61C498" w:rsidR="00AE457A" w:rsidRPr="00426C9C" w:rsidRDefault="00AE457A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B27902A" w14:textId="4C442A4D" w:rsidR="00AE457A" w:rsidRPr="00426C9C" w:rsidRDefault="00AE457A" w:rsidP="0076344E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&lt;EndNote&gt;&lt;Cite&gt;&lt;Author&gt;Smolina&lt;/Author&gt;&lt;Year&gt;2012&lt;/Year&gt;&lt;RecNum&gt;37&lt;/RecNum&gt;&lt;DisplayText&gt;[6]&lt;/DisplayText&gt;&lt;record&gt;&lt;rec-number&gt;37&lt;/rec-number&gt;&lt;foreign-keys&gt;&lt;key app="EN" db-id="prraawewz2tpwae0awep2et8axzf05ftfe2d" timestamp="1484239829"&gt;37&lt;/key&gt;&lt;/foreign-keys&gt;&lt;ref-type name="Journal Article"&gt;17&lt;/ref-type&gt;&lt;contributors&gt;&lt;authors&gt;&lt;author&gt;Smolina, K.&lt;/author&gt;&lt;author&gt;Wright, F. L.&lt;/author&gt;&lt;author&gt;Rayner, M.&lt;/author&gt;&lt;author&gt;Goldacre, M. J.&lt;/author&gt;&lt;/authors&gt;&lt;/contributors&gt;&lt;auth-address&gt;Unit of Health-Care Epidemiology, Department of Public Health, Headington, Oxford, UK. kate.smolina@spc.ox.ac.uk&lt;/auth-address&gt;&lt;titles&gt;&lt;title&gt;Determinants of the decline in mortality from acute myocardial infarction in England between 2002 and 2010: linked national database study&lt;/title&gt;&lt;secondary-title&gt;BMJ&lt;/secondary-title&gt;&lt;/titles&gt;&lt;periodical&gt;&lt;full-title&gt;BMJ&lt;/full-title&gt;&lt;/periodical&gt;&lt;pages&gt;d8059&lt;/pages&gt;&lt;volume&gt;344&lt;/volume&gt;&lt;keywords&gt;&lt;keyword&gt;Adult&lt;/keyword&gt;&lt;keyword&gt;Age Factors&lt;/keyword&gt;&lt;keyword&gt;Aged&lt;/keyword&gt;&lt;keyword&gt;Aged, 80 and over&lt;/keyword&gt;&lt;keyword&gt;England/epidemiology&lt;/keyword&gt;&lt;keyword&gt;Female&lt;/keyword&gt;&lt;keyword&gt;Hospitalization/trends&lt;/keyword&gt;&lt;keyword&gt;Humans&lt;/keyword&gt;&lt;keyword&gt;Male&lt;/keyword&gt;&lt;keyword&gt;Middle Aged&lt;/keyword&gt;&lt;keyword&gt;Myocardial Infarction/*mortality&lt;/keyword&gt;&lt;keyword&gt;Sex Factors&lt;/keyword&gt;&lt;keyword&gt;Survival Rate/trends&lt;/keyword&gt;&lt;keyword&gt;Time Factors&lt;/keyword&gt;&lt;/keywords&gt;&lt;dates&gt;&lt;year&gt;2012&lt;/year&gt;&lt;pub-dates&gt;&lt;date&gt;Jan 25&lt;/date&gt;&lt;/pub-dates&gt;&lt;/dates&gt;&lt;isbn&gt;1756-1833 (Electronic)&amp;#xD;0959-535X (Linking)&lt;/isbn&gt;&lt;accession-num&gt;22279113&lt;/accession-num&gt;&lt;urls&gt;&lt;related-urls&gt;&lt;url&gt;&lt;style face="underline" font="default" size="100%"&gt;https://www.ncbi.nlm.nih.gov/pubmed/22279113&lt;/style&gt;&lt;/url&gt;&lt;/related-urls&gt;&lt;/urls&gt;&lt;custom2&gt;PMC3266430&lt;/custom2&gt;&lt;electronic-resource-num&gt;10.1136/bmj.d8059&lt;/electronic-resource-num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[6]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2A7D48" w:rsidRPr="00B93BB3" w14:paraId="683E4159" w14:textId="37D28223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bottom"/>
          </w:tcPr>
          <w:p w14:paraId="324462CF" w14:textId="594016CA" w:rsidR="002A7D48" w:rsidRPr="00426C9C" w:rsidRDefault="002A7D48" w:rsidP="002A7D48">
            <w:pPr>
              <w:spacing w:after="40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&lt;35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48F7FC9" w14:textId="0AB71A74" w:rsidR="002A7D48" w:rsidRPr="00426C9C" w:rsidRDefault="002A7D48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025FAAB" w14:textId="2D7E95A1" w:rsidR="002A7D48" w:rsidRPr="00426C9C" w:rsidRDefault="002A7D48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C0E31E3" w14:textId="6C3F11E2" w:rsidR="002A7D48" w:rsidRPr="00426C9C" w:rsidRDefault="002A7D48" w:rsidP="00AE457A">
            <w:pPr>
              <w:spacing w:after="40"/>
              <w:ind w:left="-57" w:right="-57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79C9B0B" w14:textId="4A9E077B" w:rsidR="002A7D48" w:rsidRPr="00426C9C" w:rsidRDefault="002A7D48" w:rsidP="00AE457A">
            <w:pPr>
              <w:spacing w:after="40"/>
              <w:ind w:left="-57" w:right="-57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F4DD11" w14:textId="2B91E79B" w:rsidR="002A7D48" w:rsidRPr="00426C9C" w:rsidRDefault="002A7D48" w:rsidP="00AE457A">
            <w:pPr>
              <w:spacing w:after="40"/>
              <w:ind w:left="-57" w:right="-57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5D1E0D8" w14:textId="176EEAB2" w:rsidR="002A7D48" w:rsidRPr="00426C9C" w:rsidRDefault="002A7D48" w:rsidP="00AE457A">
            <w:pPr>
              <w:spacing w:after="40"/>
              <w:ind w:left="-57" w:right="-57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AB881F" w14:textId="152E69C9" w:rsidR="002A7D48" w:rsidRPr="00426C9C" w:rsidRDefault="002A7D48" w:rsidP="00AE457A">
            <w:pPr>
              <w:spacing w:after="40"/>
              <w:ind w:left="-57" w:right="-57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291FC4F" w14:textId="309D038F" w:rsidR="002A7D48" w:rsidRPr="00426C9C" w:rsidRDefault="002A7D48" w:rsidP="00AE457A">
            <w:pPr>
              <w:spacing w:after="40"/>
              <w:ind w:left="-57" w:right="-57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5891D85" w14:textId="5B1FF8BF" w:rsidR="002A7D48" w:rsidRPr="00426C9C" w:rsidRDefault="00B0637D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  <w:r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1D73B54" w14:textId="77777777" w:rsidR="002A7D48" w:rsidRPr="00426C9C" w:rsidRDefault="002A7D48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40D528A2" w14:textId="590BCB59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bottom"/>
          </w:tcPr>
          <w:p w14:paraId="418B9E1F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35-44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3DDE82" w14:textId="03682A6F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8DF37F" w14:textId="3A47B91E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4C339EA" w14:textId="7E4826E4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917357" w14:textId="3CF6D949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702A652" w14:textId="1B1D070E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BB39033" w14:textId="3C27248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2AFCA78" w14:textId="0601B1F9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CF7448B" w14:textId="52ECBC2D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50D7884" w14:textId="058FC6B1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C026A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484FA43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603EA0FB" w14:textId="6C81A983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bottom"/>
          </w:tcPr>
          <w:p w14:paraId="4C84B008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45-54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62134D" w14:textId="46430659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28B3621" w14:textId="780F20C8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1A882EE" w14:textId="270079C8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0.08%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8B3B05E" w14:textId="0F4161DB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081B9B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BBDE0A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60D576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EA0BC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D37BBC" w14:textId="0891C7BA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C026A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5510A3D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4335D257" w14:textId="5102A58B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bottom"/>
          </w:tcPr>
          <w:p w14:paraId="5DB2942D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55-64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6EB57C5" w14:textId="58817960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D92D6BE" w14:textId="59B88DBD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544F702" w14:textId="7B6BA7DB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0.32%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1C50C92" w14:textId="441BC5C6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F803F3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60501E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27099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A76CF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0.08%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70C701D" w14:textId="51DBC595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C026A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D95A819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2C503DA6" w14:textId="215EC8C9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bottom"/>
          </w:tcPr>
          <w:p w14:paraId="02D32A3A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65-74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A07A5A5" w14:textId="3FCA0788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1.08%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6A9C17" w14:textId="586ACAF1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0.94%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EF2CD30" w14:textId="38FA6978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0.84%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B67211" w14:textId="78617069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0.76%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42E8E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6ED503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2A27B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1426F0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CA90C78" w14:textId="323E2F6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C026A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C498AAE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26CB570E" w14:textId="3C5A0FE0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bottom"/>
          </w:tcPr>
          <w:p w14:paraId="1D59D775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75+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AAB684A" w14:textId="3DF0D514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1.67%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CCAEFB" w14:textId="22B4A2C1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1.45%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361B3B2" w14:textId="2040C7EB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1.30%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6376558" w14:textId="38E1A2F1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1.17%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637A4D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0.67%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FBC2EC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0.59%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5ADA7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0.53%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57ACE3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0.47%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469B94" w14:textId="1232333D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C026A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61FD5F8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6D7B0772" w14:textId="6E6083E0" w:rsidTr="007E76E1">
        <w:trPr>
          <w:trHeight w:val="449"/>
        </w:trPr>
        <w:tc>
          <w:tcPr>
            <w:tcW w:w="11202" w:type="dxa"/>
            <w:gridSpan w:val="10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center"/>
          </w:tcPr>
          <w:p w14:paraId="580F66B1" w14:textId="09A38074" w:rsidR="00B0637D" w:rsidRPr="00AA2E5D" w:rsidRDefault="00B0637D" w:rsidP="00AA2E5D">
            <w:pPr>
              <w:spacing w:after="40"/>
              <w:ind w:left="-57" w:right="-57"/>
              <w:rPr>
                <w:rFonts w:asciiTheme="minorHAnsi" w:hAnsiTheme="minorHAnsi"/>
                <w:b/>
                <w:i/>
              </w:rPr>
            </w:pPr>
            <w:r w:rsidRPr="00AA2E5D">
              <w:rPr>
                <w:rFonts w:asciiTheme="minorHAnsi" w:hAnsiTheme="minorHAnsi"/>
                <w:b/>
                <w:i/>
              </w:rPr>
              <w:t>Stroke incidence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1E37136" w14:textId="022A053B" w:rsidR="00B0637D" w:rsidRPr="00426C9C" w:rsidRDefault="00B0637D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B02117" w14:textId="5CDF7FEB" w:rsidR="00B0637D" w:rsidRPr="00426C9C" w:rsidRDefault="00B0637D" w:rsidP="0076344E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>
                <w:fldData xml:space="preserve">PEVuZE5vdGU+PENpdGU+PEF1dGhvcj5CYW1mb3JkPC9BdXRob3I+PFllYXI+MTk4ODwvWWVhcj48
UmVjTnVtPjI2PC9SZWNOdW0+PERpc3BsYXlUZXh0Pls3XTwvRGlzcGxheVRleHQ+PHJlY29yZD48
cmVjLW51bWJlcj4yNjwvcmVjLW51bWJlcj48Zm9yZWlnbi1rZXlzPjxrZXkgYXBwPSJFTiIgZGIt
aWQ9InBycmFhd2V3ejJ0cHdhZTBhd2VwMmV0OGF4emYwNWZ0ZmUyZCIgdGltZXN0YW1wPSIxNDc4
NjIxMTM3Ij4yNjwva2V5PjwvZm9yZWlnbi1rZXlzPjxyZWYtdHlwZSBuYW1lPSJKb3VybmFsIEFy
dGljbGUiPjE3PC9yZWYtdHlwZT48Y29udHJpYnV0b3JzPjxhdXRob3JzPjxhdXRob3I+QmFtZm9y
ZCwgSi48L2F1dGhvcj48YXV0aG9yPlNhbmRlcmNvY2ssIFAuPC9hdXRob3I+PGF1dGhvcj5EZW5u
aXMsIE0uPC9hdXRob3I+PGF1dGhvcj5XYXJsb3csIEMuPC9hdXRob3I+PGF1dGhvcj5Kb25lcywg
TC48L2F1dGhvcj48YXV0aG9yPk1jUGhlcnNvbiwgSy48L2F1dGhvcj48YXV0aG9yPlZlc3NleSwg
TS48L2F1dGhvcj48YXV0aG9yPkZvd2xlciwgRy48L2F1dGhvcj48YXV0aG9yPk1vbHluZXV4LCBB
LjwvYXV0aG9yPjxhdXRob3I+SHVnaGVzLCBULjwvYXV0aG9yPjxhdXRob3I+ZXQgYWwuLDwvYXV0
aG9yPjwvYXV0aG9ycz48L2NvbnRyaWJ1dG9ycz48YXV0aC1hZGRyZXNzPkRlcGFydG1lbnQgb2Yg
Q2xpbmljYWwgTmV1cm9sb2d5LCBSYWRjbGlmZmUgSW5maXJtYXJ5LCBPeGZvcmQsIFVLLjwvYXV0
aC1hZGRyZXNzPjx0aXRsZXM+PHRpdGxlPkEgcHJvc3BlY3RpdmUgc3R1ZHkgb2YgYWN1dGUgY2Vy
ZWJyb3Zhc2N1bGFyIGRpc2Vhc2UgaW4gdGhlIGNvbW11bml0eTogdGhlIE94Zm9yZHNoaXJlIENv
bW11bml0eSBTdHJva2UgUHJvamVjdCAxOTgxLTg2LiAxLiBNZXRob2RvbG9neSwgZGVtb2dyYXBo
eSBhbmQgaW5jaWRlbnQgY2FzZXMgb2YgZmlyc3QtZXZlciBzdHJva2U8L3RpdGxlPjxzZWNvbmRh
cnktdGl0bGU+SiBOZXVyb2wgTmV1cm9zdXJnIFBzeWNoaWF0cnk8L3NlY29uZGFyeS10aXRsZT48
L3RpdGxlcz48cGVyaW9kaWNhbD48ZnVsbC10aXRsZT5KIE5ldXJvbCBOZXVyb3N1cmcgUHN5Y2hp
YXRyeTwvZnVsbC10aXRsZT48L3BlcmlvZGljYWw+PHBhZ2VzPjEzNzMtODA8L3BhZ2VzPjx2b2x1
bWU+NTE8L3ZvbHVtZT48bnVtYmVyPjExPC9udW1iZXI+PGtleXdvcmRzPjxrZXl3b3JkPkFkb2xl
c2NlbnQ8L2tleXdvcmQ+PGtleXdvcmQ+QWR1bHQ8L2tleXdvcmQ+PGtleXdvcmQ+QWdlZDwva2V5
d29yZD48a2V5d29yZD5BZ2VkLCA4MCBhbmQgb3Zlcjwva2V5d29yZD48a2V5d29yZD5DZXJlYnJh
bCBJbmZhcmN0aW9uL21vcnRhbGl0eTwva2V5d29yZD48a2V5d29yZD5DZXJlYnJvdmFzY3VsYXIg
RGlzb3JkZXJzLyptb3J0YWxpdHk8L2tleXdvcmQ+PGtleXdvcmQ+Q2hpbGQ8L2tleXdvcmQ+PGtl
eXdvcmQ+Q2hpbGQsIFByZXNjaG9vbDwva2V5d29yZD48a2V5d29yZD5Dcm9zcy1TZWN0aW9uYWwg
U3R1ZGllczwva2V5d29yZD48a2V5d29yZD5FbmdsYW5kPC9rZXl3b3JkPjxrZXl3b3JkPkZlbWFs
ZTwva2V5d29yZD48a2V5d29yZD5Gb2xsb3ctVXAgU3R1ZGllczwva2V5d29yZD48a2V5d29yZD5I
dW1hbnM8L2tleXdvcmQ+PGtleXdvcmQ+SW5mYW50PC9rZXl3b3JkPjxrZXl3b3JkPklzY2hlbWlj
IEF0dGFjaywgVHJhbnNpZW50L21vcnRhbGl0eTwva2V5d29yZD48a2V5d29yZD5NYWxlPC9rZXl3
b3JkPjxrZXl3b3JkPk1pZGRsZSBBZ2VkPC9rZXl3b3JkPjxrZXl3b3JkPlByb3NwZWN0aXZlIFN0
dWRpZXM8L2tleXdvcmQ+PGtleXdvcmQ+UmlzayBGYWN0b3JzPC9rZXl3b3JkPjxrZXl3b3JkPlRv
bW9ncmFwaHksIFgtUmF5IENvbXB1dGVkPC9rZXl3b3JkPjwva2V5d29yZHM+PGRhdGVzPjx5ZWFy
PjE5ODg8L3llYXI+PHB1Yi1kYXRlcz48ZGF0ZT5Ob3Y8L2RhdGU+PC9wdWItZGF0ZXM+PC9kYXRl
cz48aXNibj4wMDIyLTMwNTAgKFByaW50KSYjeEQ7MDAyMi0zMDUwIChMaW5raW5nKTwvaXNibj48
YWNjZXNzaW9uLW51bT4zMjY2MjM0PC9hY2Nlc3Npb24tbnVtPjx1cmxzPjxyZWxhdGVkLXVybHM+
PHVybD5odHRwczovL3d3dy5uY2JpLm5sbS5uaWguZ292L3B1Ym1lZC8zMjY2MjM0PC91cmw+PC9y
ZWxhdGVkLXVybHM+PC91cmxzPjxjdXN0b20yPlBNQzEwMzI4MDU8L2N1c3RvbTI+PC9yZWNvcmQ+
PC9DaXRlPjwvRW5kTm90ZT4A
</w:fldData>
              </w:fldChar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</w:instrText>
            </w:r>
            <w:r w:rsidR="0076344E">
              <w:rPr>
                <w:rFonts w:asciiTheme="minorHAnsi" w:hAnsiTheme="minorHAnsi"/>
                <w:lang w:eastAsia="zh-TW"/>
              </w:rPr>
              <w:fldChar w:fldCharType="begin">
                <w:fldData xml:space="preserve">PEVuZE5vdGU+PENpdGU+PEF1dGhvcj5CYW1mb3JkPC9BdXRob3I+PFllYXI+MTk4ODwvWWVhcj48
UmVjTnVtPjI2PC9SZWNOdW0+PERpc3BsYXlUZXh0Pls3XTwvRGlzcGxheVRleHQ+PHJlY29yZD48
cmVjLW51bWJlcj4yNjwvcmVjLW51bWJlcj48Zm9yZWlnbi1rZXlzPjxrZXkgYXBwPSJFTiIgZGIt
aWQ9InBycmFhd2V3ejJ0cHdhZTBhd2VwMmV0OGF4emYwNWZ0ZmUyZCIgdGltZXN0YW1wPSIxNDc4
NjIxMTM3Ij4yNjwva2V5PjwvZm9yZWlnbi1rZXlzPjxyZWYtdHlwZSBuYW1lPSJKb3VybmFsIEFy
dGljbGUiPjE3PC9yZWYtdHlwZT48Y29udHJpYnV0b3JzPjxhdXRob3JzPjxhdXRob3I+QmFtZm9y
ZCwgSi48L2F1dGhvcj48YXV0aG9yPlNhbmRlcmNvY2ssIFAuPC9hdXRob3I+PGF1dGhvcj5EZW5u
aXMsIE0uPC9hdXRob3I+PGF1dGhvcj5XYXJsb3csIEMuPC9hdXRob3I+PGF1dGhvcj5Kb25lcywg
TC48L2F1dGhvcj48YXV0aG9yPk1jUGhlcnNvbiwgSy48L2F1dGhvcj48YXV0aG9yPlZlc3NleSwg
TS48L2F1dGhvcj48YXV0aG9yPkZvd2xlciwgRy48L2F1dGhvcj48YXV0aG9yPk1vbHluZXV4LCBB
LjwvYXV0aG9yPjxhdXRob3I+SHVnaGVzLCBULjwvYXV0aG9yPjxhdXRob3I+ZXQgYWwuLDwvYXV0
aG9yPjwvYXV0aG9ycz48L2NvbnRyaWJ1dG9ycz48YXV0aC1hZGRyZXNzPkRlcGFydG1lbnQgb2Yg
Q2xpbmljYWwgTmV1cm9sb2d5LCBSYWRjbGlmZmUgSW5maXJtYXJ5LCBPeGZvcmQsIFVLLjwvYXV0
aC1hZGRyZXNzPjx0aXRsZXM+PHRpdGxlPkEgcHJvc3BlY3RpdmUgc3R1ZHkgb2YgYWN1dGUgY2Vy
ZWJyb3Zhc2N1bGFyIGRpc2Vhc2UgaW4gdGhlIGNvbW11bml0eTogdGhlIE94Zm9yZHNoaXJlIENv
bW11bml0eSBTdHJva2UgUHJvamVjdCAxOTgxLTg2LiAxLiBNZXRob2RvbG9neSwgZGVtb2dyYXBo
eSBhbmQgaW5jaWRlbnQgY2FzZXMgb2YgZmlyc3QtZXZlciBzdHJva2U8L3RpdGxlPjxzZWNvbmRh
cnktdGl0bGU+SiBOZXVyb2wgTmV1cm9zdXJnIFBzeWNoaWF0cnk8L3NlY29uZGFyeS10aXRsZT48
L3RpdGxlcz48cGVyaW9kaWNhbD48ZnVsbC10aXRsZT5KIE5ldXJvbCBOZXVyb3N1cmcgUHN5Y2hp
YXRyeTwvZnVsbC10aXRsZT48L3BlcmlvZGljYWw+PHBhZ2VzPjEzNzMtODA8L3BhZ2VzPjx2b2x1
bWU+NTE8L3ZvbHVtZT48bnVtYmVyPjExPC9udW1iZXI+PGtleXdvcmRzPjxrZXl3b3JkPkFkb2xl
c2NlbnQ8L2tleXdvcmQ+PGtleXdvcmQ+QWR1bHQ8L2tleXdvcmQ+PGtleXdvcmQ+QWdlZDwva2V5
d29yZD48a2V5d29yZD5BZ2VkLCA4MCBhbmQgb3Zlcjwva2V5d29yZD48a2V5d29yZD5DZXJlYnJh
bCBJbmZhcmN0aW9uL21vcnRhbGl0eTwva2V5d29yZD48a2V5d29yZD5DZXJlYnJvdmFzY3VsYXIg
RGlzb3JkZXJzLyptb3J0YWxpdHk8L2tleXdvcmQ+PGtleXdvcmQ+Q2hpbGQ8L2tleXdvcmQ+PGtl
eXdvcmQ+Q2hpbGQsIFByZXNjaG9vbDwva2V5d29yZD48a2V5d29yZD5Dcm9zcy1TZWN0aW9uYWwg
U3R1ZGllczwva2V5d29yZD48a2V5d29yZD5FbmdsYW5kPC9rZXl3b3JkPjxrZXl3b3JkPkZlbWFs
ZTwva2V5d29yZD48a2V5d29yZD5Gb2xsb3ctVXAgU3R1ZGllczwva2V5d29yZD48a2V5d29yZD5I
dW1hbnM8L2tleXdvcmQ+PGtleXdvcmQ+SW5mYW50PC9rZXl3b3JkPjxrZXl3b3JkPklzY2hlbWlj
IEF0dGFjaywgVHJhbnNpZW50L21vcnRhbGl0eTwva2V5d29yZD48a2V5d29yZD5NYWxlPC9rZXl3
b3JkPjxrZXl3b3JkPk1pZGRsZSBBZ2VkPC9rZXl3b3JkPjxrZXl3b3JkPlByb3NwZWN0aXZlIFN0
dWRpZXM8L2tleXdvcmQ+PGtleXdvcmQ+UmlzayBGYWN0b3JzPC9rZXl3b3JkPjxrZXl3b3JkPlRv
bW9ncmFwaHksIFgtUmF5IENvbXB1dGVkPC9rZXl3b3JkPjwva2V5d29yZHM+PGRhdGVzPjx5ZWFy
PjE5ODg8L3llYXI+PHB1Yi1kYXRlcz48ZGF0ZT5Ob3Y8L2RhdGU+PC9wdWItZGF0ZXM+PC9kYXRl
cz48aXNibj4wMDIyLTMwNTAgKFByaW50KSYjeEQ7MDAyMi0zMDUwIChMaW5raW5nKTwvaXNibj48
YWNjZXNzaW9uLW51bT4zMjY2MjM0PC9hY2Nlc3Npb24tbnVtPjx1cmxzPjxyZWxhdGVkLXVybHM+
PHVybD5odHRwczovL3d3dy5uY2JpLm5sbS5uaWguZ292L3B1Ym1lZC8zMjY2MjM0PC91cmw+PC9y
ZWxhdGVkLXVybHM+PC91cmxzPjxjdXN0b20yPlBNQzEwMzI4MDU8L2N1c3RvbTI+PC9yZWNvcmQ+
PC9DaXRlPjwvRW5kTm90ZT4A
</w:fldData>
              </w:fldChar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EN.CITE.DATA </w:instrText>
            </w:r>
            <w:r w:rsidR="0076344E">
              <w:rPr>
                <w:rFonts w:asciiTheme="minorHAnsi" w:hAnsiTheme="minorHAnsi"/>
                <w:lang w:eastAsia="zh-TW"/>
              </w:rPr>
            </w:r>
            <w:r w:rsidR="0076344E">
              <w:rPr>
                <w:rFonts w:asciiTheme="minorHAnsi" w:hAnsiTheme="minorHAnsi"/>
                <w:lang w:eastAsia="zh-TW"/>
              </w:rPr>
              <w:fldChar w:fldCharType="end"/>
            </w:r>
            <w:r w:rsidRPr="00426C9C">
              <w:rPr>
                <w:rFonts w:asciiTheme="minorHAnsi" w:hAnsiTheme="minorHAnsi"/>
                <w:lang w:eastAsia="zh-TW"/>
              </w:rPr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[7]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B93BB3" w14:paraId="45169005" w14:textId="0AF21473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3D990A9" w14:textId="334504C6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&lt;35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C8F5AC4" w14:textId="40AA4040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299F3F5" w14:textId="48E202EE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730E76D" w14:textId="1B792A89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A2B303E" w14:textId="358FBFCE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5E686E0" w14:textId="24691100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D11CBD" w14:textId="29594E7C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C483E92" w14:textId="345AAFE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A9564EA" w14:textId="22C3F0D4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4D6B34" w14:textId="681578A3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E3254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4072FE3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5743E626" w14:textId="22C4BC1B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D9FD966" w14:textId="7B0D3E63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35-44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63DFC4" w14:textId="7B7CACF5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A8C4782" w14:textId="43FB6D99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2A00FE2" w14:textId="4361B0CA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8E19C8" w14:textId="241945F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37FEED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FA782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CDF9BD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96BACF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D6D8B2" w14:textId="1AC1E1C1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E3254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0712AD4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3A8ED5B2" w14:textId="4084EABF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2E13690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45-54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F72EB1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9C72A38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AB922A" w14:textId="14986856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133DB5" w14:textId="28F0F04F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2332AB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FF964ED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A19A69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BAD7E77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9D990A5" w14:textId="1AFE691B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E3254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62E723C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7C736FC" w14:textId="7EE14142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4A8D9A5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55-64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CB24976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EB90863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B83939C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1C292BF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84A9BD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C709759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66AE315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968DD8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3CC82EA" w14:textId="2D12E8EE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E3254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2917C89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7358F3F2" w14:textId="42635B7A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0950B49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65-74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0DEA9A9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91FB6CD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0B4A5F9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0.07%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D50109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398F6C7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E3FF142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61736F6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3A447DF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0.04%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65FAF2" w14:textId="497ECE2C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E3254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B92AA3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4027B3E6" w14:textId="72A5AED1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693898B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75-84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510726F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302FD77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4C2A2B5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0.33%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9E8E9EC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62D95B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6392AA2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A2579FF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AC5E9E7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5AB1A95" w14:textId="20B8546A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E3254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9306EA7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EF45F01" w14:textId="3211D7B5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2"/>
        </w:trPr>
        <w:tc>
          <w:tcPr>
            <w:tcW w:w="11202" w:type="dxa"/>
            <w:gridSpan w:val="10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center"/>
          </w:tcPr>
          <w:p w14:paraId="6A546FF8" w14:textId="18BC38A9" w:rsidR="00B0637D" w:rsidRPr="00AA2E5D" w:rsidRDefault="00B0637D" w:rsidP="00AA2E5D">
            <w:pPr>
              <w:spacing w:after="40"/>
              <w:ind w:left="-57" w:right="-57"/>
              <w:rPr>
                <w:rFonts w:asciiTheme="minorHAnsi" w:hAnsiTheme="minorHAnsi"/>
                <w:b/>
                <w:i/>
              </w:rPr>
            </w:pPr>
            <w:r w:rsidRPr="00AA2E5D">
              <w:rPr>
                <w:rFonts w:asciiTheme="minorHAnsi" w:hAnsiTheme="minorHAnsi"/>
                <w:b/>
                <w:i/>
              </w:rPr>
              <w:t>Heart failure incidence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586A57" w14:textId="574B0767" w:rsidR="00B0637D" w:rsidRPr="00426C9C" w:rsidRDefault="00B0637D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18D08D4" w14:textId="502EC2F5" w:rsidR="00B0637D" w:rsidRPr="00426C9C" w:rsidRDefault="00B0637D" w:rsidP="0076344E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&lt;EndNote&gt;&lt;Cite&gt;&lt;Author&gt;Cowie&lt;/Author&gt;&lt;Year&gt;1999&lt;/Year&gt;&lt;RecNum&gt;25&lt;/RecNum&gt;&lt;DisplayText&gt;[8]&lt;/DisplayText&gt;&lt;record&gt;&lt;rec-number&gt;25&lt;/rec-number&gt;&lt;foreign-keys&gt;&lt;key app="EN" db-id="prraawewz2tpwae0awep2et8axzf05ftfe2d" timestamp="1478621075"&gt;25&lt;/key&gt;&lt;/foreign-keys&gt;&lt;ref-type name="Journal Article"&gt;17&lt;/ref-type&gt;&lt;contributors&gt;&lt;authors&gt;&lt;author&gt;Cowie, M. R.&lt;/author&gt;&lt;author&gt;Wood, D. A.&lt;/author&gt;&lt;author&gt;Coats, A. J.&lt;/author&gt;&lt;author&gt;Thompson, S. G.&lt;/author&gt;&lt;author&gt;Poole-Wilson, P. A.&lt;/author&gt;&lt;author&gt;Suresh, V.&lt;/author&gt;&lt;author&gt;Sutton, G. C.&lt;/author&gt;&lt;/authors&gt;&lt;/contributors&gt;&lt;auth-address&gt;Cardiac Medicine, Imperial College School of Medicine at the National Heart &amp;amp; Lung Institute, London, UK.&lt;/auth-address&gt;&lt;titles&gt;&lt;title&gt;Incidence and aetiology of heart failure; a population-based study&lt;/title&gt;&lt;secondary-title&gt;Eur Heart J&lt;/secondary-title&gt;&lt;/titles&gt;&lt;periodical&gt;&lt;full-title&gt;Eur Heart J&lt;/full-title&gt;&lt;/periodical&gt;&lt;pages&gt;421-8&lt;/pages&gt;&lt;volume&gt;20&lt;/volume&gt;&lt;number&gt;6&lt;/number&gt;&lt;keywords&gt;&lt;keyword&gt;Adult&lt;/keyword&gt;&lt;keyword&gt;Aged&lt;/keyword&gt;&lt;keyword&gt;Aged, 80 and over&lt;/keyword&gt;&lt;keyword&gt;Atrial Fibrillation/*complications&lt;/keyword&gt;&lt;keyword&gt;Coronary Disease/*complications&lt;/keyword&gt;&lt;keyword&gt;Echocardiography&lt;/keyword&gt;&lt;keyword&gt;Electrocardiography&lt;/keyword&gt;&lt;keyword&gt;Female&lt;/keyword&gt;&lt;keyword&gt;Heart Failure/diagnosis/*epidemiology/*etiology&lt;/keyword&gt;&lt;keyword&gt;Heart Valve Diseases/*complications&lt;/keyword&gt;&lt;keyword&gt;Humans&lt;/keyword&gt;&lt;keyword&gt;Hypertension/*complications&lt;/keyword&gt;&lt;keyword&gt;Incidence&lt;/keyword&gt;&lt;keyword&gt;London/epidemiology&lt;/keyword&gt;&lt;keyword&gt;Male&lt;/keyword&gt;&lt;keyword&gt;Middle Aged&lt;/keyword&gt;&lt;keyword&gt;*Population Surveillance&lt;/keyword&gt;&lt;keyword&gt;Reproducibility of Results&lt;/keyword&gt;&lt;keyword&gt;Retrospective Studies&lt;/keyword&gt;&lt;/keywords&gt;&lt;dates&gt;&lt;year&gt;1999&lt;/year&gt;&lt;pub-dates&gt;&lt;date&gt;Mar&lt;/date&gt;&lt;/pub-dates&gt;&lt;/dates&gt;&lt;isbn&gt;0195-668X (Print)&amp;#xD;0195-668X (Linking)&lt;/isbn&gt;&lt;accession-num&gt;10213345&lt;/accession-num&gt;&lt;urls&gt;&lt;related-urls&gt;&lt;url&gt;https://www.ncbi.nlm.nih.gov/pubmed/10213345&lt;/url&gt;&lt;/related-urls&gt;&lt;/urls&gt;&lt;/record&gt;&lt;/Cite&gt;&lt;/EndNote&gt;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[8]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B93BB3" w14:paraId="48D3018B" w14:textId="4A989132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ED6335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&lt;35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103CAC8" w14:textId="41F3EC46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875563" w14:textId="59DD5F84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E3A50A" w14:textId="2D684B36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33F1D97" w14:textId="27CA954D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75F0318" w14:textId="0657A474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306965F" w14:textId="745C435D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EC38E81" w14:textId="6A462AB0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F3EDC74" w14:textId="64E42ECF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99C3612" w14:textId="4E2C3432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8B7B7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A06FF75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5C20FEBD" w14:textId="5983129B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1EF0364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35-44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96201A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FE518FD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2FC6EC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932FCC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18E78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A778A46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0083E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9D14B6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D457186" w14:textId="10DB3629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8B7B7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46D9BC1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230CA587" w14:textId="4BFCED9D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D9896D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45-54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C7A0299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FC285EA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498562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32DB84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C02AE9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F1B9C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7164C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23423C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54E2C78" w14:textId="44B98E1F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8B7B7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348A35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7CC8C179" w14:textId="17A6FBDB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736ECC8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55-64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1268C19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0.21%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ED973F2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41F51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0.16%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864359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68D19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B3CC79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5C11DB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C9D714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0.06%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F0FD0C3" w14:textId="1D8E2331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8B7B7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C18C9E9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111A618B" w14:textId="5E06E92D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B329BB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65-74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054BEA1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0.48%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E21FC36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D54F4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0.37%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A5012D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CEFA21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02A19F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A3392E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79807F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0.19%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7607E9" w14:textId="70E8BFCD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8B7B7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A2C552A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6007719A" w14:textId="21CC02BA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9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1CDA8D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75-84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9F930E2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1.14%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7D529E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0.97%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7B4D6D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0.89%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FA3974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0.80%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1EE709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0.64%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361C10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0.55%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37B6A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0.50%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C6842C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0.45%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6D76341" w14:textId="2C1313BC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8B7B7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A916493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193853C3" w14:textId="26CC2E6D" w:rsidTr="007E76E1">
        <w:trPr>
          <w:trHeight w:val="244"/>
        </w:trPr>
        <w:tc>
          <w:tcPr>
            <w:tcW w:w="11202" w:type="dxa"/>
            <w:gridSpan w:val="10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  <w:vAlign w:val="bottom"/>
          </w:tcPr>
          <w:p w14:paraId="4CF3C511" w14:textId="52F5EE8F" w:rsidR="00B0637D" w:rsidRPr="00B0637D" w:rsidRDefault="00B0637D" w:rsidP="00AE457A">
            <w:pPr>
              <w:spacing w:after="40"/>
              <w:ind w:left="-57" w:right="-57"/>
              <w:rPr>
                <w:rFonts w:asciiTheme="minorHAnsi" w:hAnsiTheme="minorHAnsi"/>
                <w:b/>
                <w:i/>
              </w:rPr>
            </w:pPr>
            <w:r w:rsidRPr="00B0637D">
              <w:rPr>
                <w:rFonts w:asciiTheme="minorHAnsi" w:hAnsiTheme="minorHAnsi"/>
                <w:b/>
                <w:i/>
              </w:rPr>
              <w:lastRenderedPageBreak/>
              <w:t>Type 2 diabetes</w:t>
            </w:r>
            <w:r>
              <w:rPr>
                <w:rFonts w:asciiTheme="minorHAnsi" w:hAnsiTheme="minorHAnsi"/>
                <w:b/>
                <w:i/>
              </w:rPr>
              <w:t xml:space="preserve"> incidence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EDC01A8" w14:textId="4B98C090" w:rsidR="00B0637D" w:rsidRPr="00426C9C" w:rsidRDefault="00B0637D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21DC8F8" w14:textId="1DB7C143" w:rsidR="00B0637D" w:rsidRPr="00426C9C" w:rsidRDefault="00B0637D" w:rsidP="0076344E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>
                <w:fldData xml:space="preserve">PEVuZE5vdGU+PENpdGU+PEF1dGhvcj5TaGFybWE8L0F1dGhvcj48WWVhcj4yMDE2PC9ZZWFyPjxS
ZWNOdW0+MzU8L1JlY051bT48RGlzcGxheVRleHQ+WzldPC9EaXNwbGF5VGV4dD48cmVjb3JkPjxy
ZWMtbnVtYmVyPjM1PC9yZWMtbnVtYmVyPjxmb3JlaWduLWtleXM+PGtleSBhcHA9IkVOIiBkYi1p
ZD0icHJyYWF3ZXd6MnRwd2FlMGF3ZXAyZXQ4YXh6ZjA1ZnRmZTJkIiB0aW1lc3RhbXA9IjE0ODQy
Mzc0NzUiPjM1PC9rZXk+PC9mb3JlaWduLWtleXM+PHJlZi10eXBlIG5hbWU9IkpvdXJuYWwgQXJ0
aWNsZSI+MTc8L3JlZi10eXBlPjxjb250cmlidXRvcnM+PGF1dGhvcnM+PGF1dGhvcj5TaGFybWEs
IE0uPC9hdXRob3I+PGF1dGhvcj5OYXphcmV0aCwgSS48L2F1dGhvcj48YXV0aG9yPlBldGVyc2Vu
LCBJLjwvYXV0aG9yPjwvYXV0aG9ycz48L2NvbnRyaWJ1dG9ycz48YXV0aC1hZGRyZXNzPkRlcGFy
dG1lbnQgb2YgUHJpbWFyeSBDYXJlIGFuZCBQb3B1bGF0aW9uIEhlYWx0aCwgVW5pdmVyc2l0eSBD
b2xsZWdlIExvbmRvbiwgTG9uZG9uLCBVSy4mI3hEO0RlcGFydG1lbnQgb2YgUHJpbWFyeSBDYXJl
IGFuZCBQb3B1bGF0aW9uIEhlYWx0aCwgVW5pdmVyc2l0eSBDb2xsZWdlIExvbmRvbiwgTG9uZG9u
LCBVSyBEZXBhcnRtZW50IG9mIENsaW5pY2FsIEVwaWRlbWlvbG9neSwgQWFyaHVzIFVuaXZlcnNp
dHksIEFhcmh1cywgRGVubWFyay48L2F1dGgtYWRkcmVzcz48dGl0bGVzPjx0aXRsZT5UcmVuZHMg
aW4gaW5jaWRlbmNlLCBwcmV2YWxlbmNlIGFuZCBwcmVzY3JpYmluZyBpbiB0eXBlIDIgZGlhYmV0
ZXMgbWVsbGl0dXMgYmV0d2VlbiAyMDAwIGFuZCAyMDEzIGluIHByaW1hcnkgY2FyZTogYSByZXRy
b3NwZWN0aXZlIGNvaG9ydCBzdHVkeTwvdGl0bGU+PHNlY29uZGFyeS10aXRsZT5CTUogT3Blbjwv
c2Vjb25kYXJ5LXRpdGxlPjwvdGl0bGVzPjxwZXJpb2RpY2FsPjxmdWxsLXRpdGxlPkJNSiBPcGVu
PC9mdWxsLXRpdGxlPjwvcGVyaW9kaWNhbD48cGFnZXM+ZTAxMDIxMDwvcGFnZXM+PHZvbHVtZT42
PC92b2x1bWU+PG51bWJlcj4xPC9udW1iZXI+PGtleXdvcmRzPjxrZXl3b3JkPkFkb2xlc2NlbnQ8
L2tleXdvcmQ+PGtleXdvcmQ+QWR1bHQ8L2tleXdvcmQ+PGtleXdvcmQ+QWdlIERpc3RyaWJ1dGlv
bjwva2V5d29yZD48a2V5d29yZD5BZ2VkPC9rZXl3b3JkPjxrZXl3b3JkPkFnZWQsIDgwIGFuZCBv
dmVyPC9rZXl3b3JkPjxrZXl3b3JkPkNoaWxkPC9rZXl3b3JkPjxrZXl3b3JkPkNoaWxkLCBQcmVz
Y2hvb2w8L2tleXdvcmQ+PGtleXdvcmQ+RGlhYmV0ZXMgTWVsbGl0dXMsIFR5cGUgMi8qZHJ1ZyB0
aGVyYXB5L2VwaWRlbWlvbG9neTwva2V5d29yZD48a2V5d29yZD5EcnVnIFByZXNjcmlwdGlvbnMv
c3RhdGlzdGljcyAmYW1wOyBudW1lcmljYWwgZGF0YTwva2V5d29yZD48a2V5d29yZD5EcnVnIFRo
ZXJhcHksIENvbWJpbmF0aW9uL3N0YXRpc3RpY3MgJmFtcDsgbnVtZXJpY2FsIGRhdGE8L2tleXdv
cmQ+PGtleXdvcmQ+RXBpZGVtaW9sb2dpYyBNZXRob2RzPC9rZXl3b3JkPjxrZXl3b3JkPkZlbWFs
ZTwva2V5d29yZD48a2V5d29yZD5HZW5lcmFsIFByYWN0aWNlL3N0YXRpc3RpY3MgJmFtcDsgbnVt
ZXJpY2FsIGRhdGE8L2tleXdvcmQ+PGtleXdvcmQ+SHVtYW5zPC9rZXl3b3JkPjxrZXl3b3JkPkh5
cG9nbHljZW1pYyBBZ2VudHMvKnRoZXJhcGV1dGljIHVzZTwva2V5d29yZD48a2V5d29yZD5JbmZh
bnQ8L2tleXdvcmQ+PGtleXdvcmQ+SW5mYW50LCBOZXdib3JuPC9rZXl3b3JkPjxrZXl3b3JkPk1h
bGU8L2tleXdvcmQ+PGtleXdvcmQ+TWlkZGxlIEFnZWQ8L2tleXdvcmQ+PGtleXdvcmQ+UHJhY3Rp
Y2UgUGF0dGVybnMsIFBoeXNpY2lhbnMmYXBvczsvc3RhdGlzdGljcyAmYW1wOyBudW1lcmljYWwg
ZGF0YTwva2V5d29yZD48a2V5d29yZD5TZXggRGlzdHJpYnV0aW9uPC9rZXl3b3JkPjxrZXl3b3Jk
PlVuaXRlZCBLaW5nZG9tL2VwaWRlbWlvbG9neTwva2V5d29yZD48a2V5d29yZD5Zb3VuZyBBZHVs
dDwva2V5d29yZD48a2V5d29yZD5EaWFiZXRlcyAmYW1wOyBlbmRvY3Jpbm9sb2d5PC9rZXl3b3Jk
PjxrZXl3b3JkPkVwaWRlbWlvbG9neTwva2V5d29yZD48a2V5d29yZD5QdWJsaWMgaGVhbHRoPC9r
ZXl3b3JkPjxrZXl3b3JkPlRoZXJhcGV1dGljczwva2V5d29yZD48L2tleXdvcmRzPjxkYXRlcz48
eWVhcj4yMDE2PC95ZWFyPjxwdWItZGF0ZXM+PGRhdGU+SmFuIDEzPC9kYXRlPjwvcHViLWRhdGVz
PjwvZGF0ZXM+PGlzYm4+MjA0NC02MDU1IChFbGVjdHJvbmljKSYjeEQ7MjA0NC02MDU1IChMaW5r
aW5nKTwvaXNibj48YWNjZXNzaW9uLW51bT4yNjc2OTc5MTwvYWNjZXNzaW9uLW51bT48dXJscz48
cmVsYXRlZC11cmxzPjx1cmw+aHR0cHM6Ly93d3cubmNiaS5ubG0ubmloLmdvdi9wdWJtZWQvMjY3
Njk3OTE8L3VybD48L3JlbGF0ZWQtdXJscz48L3VybHM+PGN1c3RvbTI+UE1DNDczNTE3NjwvY3Vz
dG9tMj48ZWxlY3Ryb25pYy1yZXNvdXJjZS1udW0+MTAuMTEzNi9ibWpvcGVuLTIwMTUtMDEwMjEw
PC9lbGVjdHJvbmljLXJlc291cmNlLW51bT48L3JlY29yZD48L0NpdGU+PC9FbmROb3RlPn==
</w:fldData>
              </w:fldChar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</w:instrText>
            </w:r>
            <w:r w:rsidR="0076344E">
              <w:rPr>
                <w:rFonts w:asciiTheme="minorHAnsi" w:hAnsiTheme="minorHAnsi"/>
                <w:lang w:eastAsia="zh-TW"/>
              </w:rPr>
              <w:fldChar w:fldCharType="begin">
                <w:fldData xml:space="preserve">PEVuZE5vdGU+PENpdGU+PEF1dGhvcj5TaGFybWE8L0F1dGhvcj48WWVhcj4yMDE2PC9ZZWFyPjxS
ZWNOdW0+MzU8L1JlY051bT48RGlzcGxheVRleHQ+WzldPC9EaXNwbGF5VGV4dD48cmVjb3JkPjxy
ZWMtbnVtYmVyPjM1PC9yZWMtbnVtYmVyPjxmb3JlaWduLWtleXM+PGtleSBhcHA9IkVOIiBkYi1p
ZD0icHJyYWF3ZXd6MnRwd2FlMGF3ZXAyZXQ4YXh6ZjA1ZnRmZTJkIiB0aW1lc3RhbXA9IjE0ODQy
Mzc0NzUiPjM1PC9rZXk+PC9mb3JlaWduLWtleXM+PHJlZi10eXBlIG5hbWU9IkpvdXJuYWwgQXJ0
aWNsZSI+MTc8L3JlZi10eXBlPjxjb250cmlidXRvcnM+PGF1dGhvcnM+PGF1dGhvcj5TaGFybWEs
IE0uPC9hdXRob3I+PGF1dGhvcj5OYXphcmV0aCwgSS48L2F1dGhvcj48YXV0aG9yPlBldGVyc2Vu
LCBJLjwvYXV0aG9yPjwvYXV0aG9ycz48L2NvbnRyaWJ1dG9ycz48YXV0aC1hZGRyZXNzPkRlcGFy
dG1lbnQgb2YgUHJpbWFyeSBDYXJlIGFuZCBQb3B1bGF0aW9uIEhlYWx0aCwgVW5pdmVyc2l0eSBD
b2xsZWdlIExvbmRvbiwgTG9uZG9uLCBVSy4mI3hEO0RlcGFydG1lbnQgb2YgUHJpbWFyeSBDYXJl
IGFuZCBQb3B1bGF0aW9uIEhlYWx0aCwgVW5pdmVyc2l0eSBDb2xsZWdlIExvbmRvbiwgTG9uZG9u
LCBVSyBEZXBhcnRtZW50IG9mIENsaW5pY2FsIEVwaWRlbWlvbG9neSwgQWFyaHVzIFVuaXZlcnNp
dHksIEFhcmh1cywgRGVubWFyay48L2F1dGgtYWRkcmVzcz48dGl0bGVzPjx0aXRsZT5UcmVuZHMg
aW4gaW5jaWRlbmNlLCBwcmV2YWxlbmNlIGFuZCBwcmVzY3JpYmluZyBpbiB0eXBlIDIgZGlhYmV0
ZXMgbWVsbGl0dXMgYmV0d2VlbiAyMDAwIGFuZCAyMDEzIGluIHByaW1hcnkgY2FyZTogYSByZXRy
b3NwZWN0aXZlIGNvaG9ydCBzdHVkeTwvdGl0bGU+PHNlY29uZGFyeS10aXRsZT5CTUogT3Blbjwv
c2Vjb25kYXJ5LXRpdGxlPjwvdGl0bGVzPjxwZXJpb2RpY2FsPjxmdWxsLXRpdGxlPkJNSiBPcGVu
PC9mdWxsLXRpdGxlPjwvcGVyaW9kaWNhbD48cGFnZXM+ZTAxMDIxMDwvcGFnZXM+PHZvbHVtZT42
PC92b2x1bWU+PG51bWJlcj4xPC9udW1iZXI+PGtleXdvcmRzPjxrZXl3b3JkPkFkb2xlc2NlbnQ8
L2tleXdvcmQ+PGtleXdvcmQ+QWR1bHQ8L2tleXdvcmQ+PGtleXdvcmQ+QWdlIERpc3RyaWJ1dGlv
bjwva2V5d29yZD48a2V5d29yZD5BZ2VkPC9rZXl3b3JkPjxrZXl3b3JkPkFnZWQsIDgwIGFuZCBv
dmVyPC9rZXl3b3JkPjxrZXl3b3JkPkNoaWxkPC9rZXl3b3JkPjxrZXl3b3JkPkNoaWxkLCBQcmVz
Y2hvb2w8L2tleXdvcmQ+PGtleXdvcmQ+RGlhYmV0ZXMgTWVsbGl0dXMsIFR5cGUgMi8qZHJ1ZyB0
aGVyYXB5L2VwaWRlbWlvbG9neTwva2V5d29yZD48a2V5d29yZD5EcnVnIFByZXNjcmlwdGlvbnMv
c3RhdGlzdGljcyAmYW1wOyBudW1lcmljYWwgZGF0YTwva2V5d29yZD48a2V5d29yZD5EcnVnIFRo
ZXJhcHksIENvbWJpbmF0aW9uL3N0YXRpc3RpY3MgJmFtcDsgbnVtZXJpY2FsIGRhdGE8L2tleXdv
cmQ+PGtleXdvcmQ+RXBpZGVtaW9sb2dpYyBNZXRob2RzPC9rZXl3b3JkPjxrZXl3b3JkPkZlbWFs
ZTwva2V5d29yZD48a2V5d29yZD5HZW5lcmFsIFByYWN0aWNlL3N0YXRpc3RpY3MgJmFtcDsgbnVt
ZXJpY2FsIGRhdGE8L2tleXdvcmQ+PGtleXdvcmQ+SHVtYW5zPC9rZXl3b3JkPjxrZXl3b3JkPkh5
cG9nbHljZW1pYyBBZ2VudHMvKnRoZXJhcGV1dGljIHVzZTwva2V5d29yZD48a2V5d29yZD5JbmZh
bnQ8L2tleXdvcmQ+PGtleXdvcmQ+SW5mYW50LCBOZXdib3JuPC9rZXl3b3JkPjxrZXl3b3JkPk1h
bGU8L2tleXdvcmQ+PGtleXdvcmQ+TWlkZGxlIEFnZWQ8L2tleXdvcmQ+PGtleXdvcmQ+UHJhY3Rp
Y2UgUGF0dGVybnMsIFBoeXNpY2lhbnMmYXBvczsvc3RhdGlzdGljcyAmYW1wOyBudW1lcmljYWwg
ZGF0YTwva2V5d29yZD48a2V5d29yZD5TZXggRGlzdHJpYnV0aW9uPC9rZXl3b3JkPjxrZXl3b3Jk
PlVuaXRlZCBLaW5nZG9tL2VwaWRlbWlvbG9neTwva2V5d29yZD48a2V5d29yZD5Zb3VuZyBBZHVs
dDwva2V5d29yZD48a2V5d29yZD5EaWFiZXRlcyAmYW1wOyBlbmRvY3Jpbm9sb2d5PC9rZXl3b3Jk
PjxrZXl3b3JkPkVwaWRlbWlvbG9neTwva2V5d29yZD48a2V5d29yZD5QdWJsaWMgaGVhbHRoPC9r
ZXl3b3JkPjxrZXl3b3JkPlRoZXJhcGV1dGljczwva2V5d29yZD48L2tleXdvcmRzPjxkYXRlcz48
eWVhcj4yMDE2PC95ZWFyPjxwdWItZGF0ZXM+PGRhdGU+SmFuIDEzPC9kYXRlPjwvcHViLWRhdGVz
PjwvZGF0ZXM+PGlzYm4+MjA0NC02MDU1IChFbGVjdHJvbmljKSYjeEQ7MjA0NC02MDU1IChMaW5r
aW5nKTwvaXNibj48YWNjZXNzaW9uLW51bT4yNjc2OTc5MTwvYWNjZXNzaW9uLW51bT48dXJscz48
cmVsYXRlZC11cmxzPjx1cmw+aHR0cHM6Ly93d3cubmNiaS5ubG0ubmloLmdvdi9wdWJtZWQvMjY3
Njk3OTE8L3VybD48L3JlbGF0ZWQtdXJscz48L3VybHM+PGN1c3RvbTI+UE1DNDczNTE3NjwvY3Vz
dG9tMj48ZWxlY3Ryb25pYy1yZXNvdXJjZS1udW0+MTAuMTEzNi9ibWpvcGVuLTIwMTUtMDEwMjEw
PC9lbGVjdHJvbmljLXJlc291cmNlLW51bT48L3JlY29yZD48L0NpdGU+PC9FbmROb3RlPn==
</w:fldData>
              </w:fldChar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EN.CITE.DATA </w:instrText>
            </w:r>
            <w:r w:rsidR="0076344E">
              <w:rPr>
                <w:rFonts w:asciiTheme="minorHAnsi" w:hAnsiTheme="minorHAnsi"/>
                <w:lang w:eastAsia="zh-TW"/>
              </w:rPr>
            </w:r>
            <w:r w:rsidR="0076344E">
              <w:rPr>
                <w:rFonts w:asciiTheme="minorHAnsi" w:hAnsiTheme="minorHAnsi"/>
                <w:lang w:eastAsia="zh-TW"/>
              </w:rPr>
              <w:fldChar w:fldCharType="end"/>
            </w:r>
            <w:r w:rsidRPr="00426C9C">
              <w:rPr>
                <w:rFonts w:asciiTheme="minorHAnsi" w:hAnsiTheme="minorHAnsi"/>
                <w:lang w:eastAsia="zh-TW"/>
              </w:rPr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[9]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B93BB3" w14:paraId="1AC5D45F" w14:textId="4BB37C81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0F22F7E" w14:textId="0CB06828" w:rsidR="00B0637D" w:rsidRPr="00426C9C" w:rsidRDefault="00B1562A" w:rsidP="00B1562A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>
              <w:rPr>
                <w:rFonts w:asciiTheme="minorHAnsi" w:hAnsiTheme="minorHAnsi"/>
              </w:rPr>
              <w:t>&lt;20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614AB7A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2030B5C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9D7B06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297FD9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BE797D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EB7F53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247BD2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52FC65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4D92DFC" w14:textId="6EE2D0E2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0745C9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FBC335D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41E0E29F" w14:textId="320B40BE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271005A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20–29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4274D3F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2CB277A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6B6590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0.04%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811B2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FFAC1C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1E9457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19B87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EC6CB2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0.10%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6D79A7" w14:textId="0E74664A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0745C9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BF7736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66A0DBDD" w14:textId="704D49AD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62B744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30–39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51D8CCF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0.17%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AFCAA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FD256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0.13%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590D2F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FFADCF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5FC049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049D1E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B056C3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0.17%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A15851F" w14:textId="2284E5D9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0745C9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01063D0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466102A8" w14:textId="6FD2070A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1F92D0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40–49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A50142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0.51%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20CBF1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E3CBED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0.38%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72BD6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BD8530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F6529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8CC42C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F2A9BC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0.27%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A789DF" w14:textId="5F727BD0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0745C9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764FAB9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311C4F67" w14:textId="27F38139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AFCE49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50–59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898588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0.99%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FD4A965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0.85%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734C4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0.74%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E4114C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0.71%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1C80FB6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0.67%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30F69A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0.57%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55B9E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0.50%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0CAE67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0.48%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2F8E2A9" w14:textId="4604CD6D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0745C9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3B11E68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6775B29A" w14:textId="7CE8462F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61EEC60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60–69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5EDD12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1.43%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153A5DF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1.23%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10F4DE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1.07%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32C745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B788DF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AEA29F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0.88%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458092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0.76%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062CCC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0.74%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9575C1E" w14:textId="4149B9E5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0745C9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5D96112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2B5DBB4C" w14:textId="2F6DF43D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951B7A1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70–79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EFE74BA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1.53%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2D0EA39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1.31%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B660B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1.15%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6A8A49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1.11%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EC0295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1.23%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CFE2C8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1.06%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FEBC5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0.92%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8D11A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0.89%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EEB13A7" w14:textId="446D643A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0745C9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83F9603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FAE8BBE" w14:textId="2A6AC05E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5E70CFA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 w:cs="Arial"/>
                <w:color w:val="000000"/>
              </w:rPr>
            </w:pPr>
            <w:r w:rsidRPr="00426C9C">
              <w:rPr>
                <w:rFonts w:asciiTheme="minorHAnsi" w:hAnsiTheme="minorHAnsi"/>
              </w:rPr>
              <w:t>80–89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E9BFC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1.05%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16EA016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0.90%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C005CA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0.79%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4F0869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0.76%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A68CAD6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0.87%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13A6E7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0.74%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9AD062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0.65%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D2CD9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0.63%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B26844E" w14:textId="33AADD56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0745C9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C62905E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7818157" w14:textId="4C494528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1"/>
        </w:trPr>
        <w:tc>
          <w:tcPr>
            <w:tcW w:w="11202" w:type="dxa"/>
            <w:gridSpan w:val="10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EC2F551" w14:textId="4B523AE1" w:rsidR="00B0637D" w:rsidRPr="00B0637D" w:rsidRDefault="00B0637D" w:rsidP="00AE457A">
            <w:pPr>
              <w:spacing w:after="40"/>
              <w:ind w:left="-57" w:right="-57"/>
              <w:rPr>
                <w:rFonts w:asciiTheme="minorHAnsi" w:hAnsiTheme="minorHAnsi"/>
                <w:b/>
                <w:i/>
                <w:lang w:eastAsia="zh-TW"/>
              </w:rPr>
            </w:pPr>
            <w:r w:rsidRPr="00B0637D">
              <w:rPr>
                <w:rFonts w:asciiTheme="minorHAnsi" w:hAnsiTheme="minorHAnsi"/>
                <w:b/>
                <w:i/>
              </w:rPr>
              <w:t>Breast cancer incidence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849EFCE" w14:textId="37189A0D" w:rsidR="00B0637D" w:rsidRPr="00426C9C" w:rsidRDefault="00B0637D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1EEF5A9" w14:textId="02099FDD" w:rsidR="00B0637D" w:rsidRDefault="00B0637D" w:rsidP="0076344E">
            <w:pPr>
              <w:spacing w:after="40"/>
              <w:rPr>
                <w:rFonts w:asciiTheme="minorHAnsi" w:hAnsiTheme="minorHAnsi"/>
                <w:lang w:eastAsia="zh-TW"/>
              </w:rPr>
            </w:pPr>
            <w:r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&lt;EndNote&gt;&lt;Cite&gt;&lt;Author&gt;Cancer Research UK&lt;/Author&gt;&lt;Year&gt;2016&lt;/Year&gt;&lt;RecNum&gt;29&lt;/RecNum&gt;&lt;DisplayText&gt;[10]&lt;/DisplayText&gt;&lt;record&gt;&lt;rec-number&gt;29&lt;/rec-number&gt;&lt;foreign-keys&gt;&lt;key app="EN" db-id="prraawewz2tpwae0awep2et8axzf05ftfe2d" timestamp="1478621684"&gt;29&lt;/key&gt;&lt;/foreign-keys&gt;&lt;ref-type name="Web Page"&gt;12&lt;/ref-type&gt;&lt;contributors&gt;&lt;authors&gt;&lt;author&gt;Cancer Research UK,&lt;/author&gt;&lt;/authors&gt;&lt;/contributors&gt;&lt;titles&gt;&lt;title&gt;Breast cancer statistics&lt;/title&gt;&lt;/titles&gt;&lt;number&gt;26 October 2016&lt;/number&gt;&lt;dates&gt;&lt;year&gt;2016&lt;/year&gt;&lt;/dates&gt;&lt;urls&gt;&lt;related-urls&gt;&lt;url&gt;http://www.cancerresearchuk.org/sites/default/files/cstream-node/cases_crude_f_breast_2.xls&lt;/url&gt;&lt;/related-urls&gt;&lt;/urls&gt;&lt;/record&gt;&lt;/Cite&gt;&lt;/EndNote&gt;</w:instrText>
            </w:r>
            <w:r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[10]</w:t>
            </w:r>
            <w:r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B93BB3" w14:paraId="49528182" w14:textId="37531DFA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C3FE257" w14:textId="5B1D1E9E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&lt;25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DB18A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54D414B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CE9B6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2DCC36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C001A1F" w14:textId="213C70B6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AF6DD52" w14:textId="2EF6BB90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956643" w14:textId="2000EF39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80D926" w14:textId="3B114B0A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3178B94" w14:textId="14D2273B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AB1C189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225411FA" w14:textId="605A63B5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3F42C5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25 to 29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F18B01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36EA6EB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7063B1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515EA9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4D6CCF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F8245E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3C143E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57C91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ACA6A12" w14:textId="5D37C8DD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6B006C7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0C9499A" w14:textId="2A00A29D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E426AB5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30 to 34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5044ECA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14F553B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85749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9D70C5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A00472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7B5B6A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2DBDB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D448D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FBF3EA" w14:textId="4021BC99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56B1BDA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4BD4BB17" w14:textId="29186A97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5195A82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35 to 39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B20497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067189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E26CC3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174594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790EA5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7B737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08430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FFB43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0.05%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B07712" w14:textId="694D0C2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8BDE804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3D12AF57" w14:textId="187AAE08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B1A3B1F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40 to 44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5ADEF6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128873E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AD9236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72EE92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B3376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F60AFF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B4BC996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581491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0.10%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DD1F9E" w14:textId="4BD81473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57334CF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40904C79" w14:textId="1FBDC31E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0DD6643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45 to 49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8A8E106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1CD5E0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E9BF00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F54281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A91E0C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968180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96E2B7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2856DA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0.19%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CCBD8A" w14:textId="3B95694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DF3082D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75C0EFB" w14:textId="7F8D7B9D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AD282AA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50 to 54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EBA33F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2E2B2E2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DF5397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3AAF20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0151A2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98B81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1DBECA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11A9E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0.23%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AF5BA7" w14:textId="6DF4990A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1CC2AFF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6BD64630" w14:textId="409A674E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1B76994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55 to 59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5A4E06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7700E6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0E45CA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3C456F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E489D0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BC7C2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F35B2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9FDAEF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0.23%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42EA0A8" w14:textId="5BA00313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7A001C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8FEBF18" w14:textId="29633E24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64F94A1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60 to 64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6059B4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0222AB7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9CD6BF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8B4F45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10EC49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98888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BB962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37C965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0.29%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A11DBD" w14:textId="24A2E63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F53AA3E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587AA15A" w14:textId="27B6EB16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FF5B09F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65 to 69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F85806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F9AE10E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3B8AB6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E95708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60AD58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AE070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751D00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8A7311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0.34%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1139CFF" w14:textId="18669E8E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F656750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745E94ED" w14:textId="60392401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38CD4CE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70 to 74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CCCDE3D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A76D0A8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B2F98A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C00B79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8F925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8EDEAD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A56649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F5EAB3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0.29%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DAF7BB" w14:textId="33DD6782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272032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3E465EE" w14:textId="770ACBDE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8439B0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75 to 79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AA5FCDD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CE281BA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97956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A4CAD7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AA8C9D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85300E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355D38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EA03AA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0.32%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3F61DDD" w14:textId="4FD8A95D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3BFC35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24614E0F" w14:textId="3C476122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C27093D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80 to 84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09A68B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EAF07C6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C9F69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E06F45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D9CCB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8F20A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6E5A6B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3AF12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0.34%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7438564" w14:textId="45E62509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340D72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663423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7B2A8AEB" w14:textId="00EAF3F1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1202" w:type="dxa"/>
            <w:gridSpan w:val="10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6E536DA" w14:textId="62D6C0BC" w:rsidR="00B0637D" w:rsidRPr="00B0637D" w:rsidRDefault="00B0637D" w:rsidP="00AE457A">
            <w:pPr>
              <w:spacing w:after="40"/>
              <w:ind w:left="-57" w:right="-57"/>
              <w:rPr>
                <w:rFonts w:asciiTheme="minorHAnsi" w:hAnsiTheme="minorHAnsi"/>
                <w:b/>
                <w:i/>
                <w:lang w:eastAsia="zh-TW"/>
              </w:rPr>
            </w:pPr>
            <w:r w:rsidRPr="00B0637D">
              <w:rPr>
                <w:rFonts w:asciiTheme="minorHAnsi" w:hAnsiTheme="minorHAnsi"/>
                <w:b/>
                <w:i/>
              </w:rPr>
              <w:lastRenderedPageBreak/>
              <w:t>Colorectal cancer incidence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276305F" w14:textId="77777777" w:rsidR="00B0637D" w:rsidRPr="00426C9C" w:rsidRDefault="00B0637D" w:rsidP="002A7D48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9D1421" w14:textId="05C89DD7" w:rsidR="00B0637D" w:rsidRPr="00426C9C" w:rsidRDefault="00B1562A" w:rsidP="0076344E">
            <w:pPr>
              <w:spacing w:after="40"/>
              <w:rPr>
                <w:rFonts w:asciiTheme="minorHAnsi" w:hAnsiTheme="minorHAnsi"/>
                <w:lang w:eastAsia="zh-TW"/>
              </w:rPr>
            </w:pPr>
            <w:r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&lt;EndNote&gt;&lt;Cite&gt;&lt;Author&gt;Cancer Research UK&lt;/Author&gt;&lt;Year&gt;2016&lt;/Year&gt;&lt;RecNum&gt;30&lt;/RecNum&gt;&lt;DisplayText&gt;[11]&lt;/DisplayText&gt;&lt;record&gt;&lt;rec-number&gt;30&lt;/rec-number&gt;&lt;foreign-keys&gt;&lt;key app="EN" db-id="prraawewz2tpwae0awep2et8axzf05ftfe2d" timestamp="1478621689"&gt;30&lt;/key&gt;&lt;/foreign-keys&gt;&lt;ref-type name="Web Page"&gt;12&lt;/ref-type&gt;&lt;contributors&gt;&lt;authors&gt;&lt;author&gt;Cancer Research UK,&lt;/author&gt;&lt;/authors&gt;&lt;/contributors&gt;&lt;titles&gt;&lt;title&gt;Bowel cancer incidence&lt;/title&gt;&lt;/titles&gt;&lt;number&gt;26 October 2016&lt;/number&gt;&lt;dates&gt;&lt;year&gt;2016&lt;/year&gt;&lt;/dates&gt;&lt;urls&gt;&lt;related-urls&gt;&lt;url&gt;http://www.cancerresearchuk.org/sites/default/files/cstream-node/cases_crude_bowel_2.xls&lt;/url&gt;&lt;/related-urls&gt;&lt;/urls&gt;&lt;/record&gt;&lt;/Cite&gt;&lt;/EndNote&gt;</w:instrText>
            </w:r>
            <w:r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[11]</w:t>
            </w:r>
            <w:r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B93BB3" w14:paraId="19BD1B3E" w14:textId="351A1CF1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60E31B" w14:textId="047D7424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&lt;30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2F55E25" w14:textId="147A9CC5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A299B64" w14:textId="6AE75403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3B1F07" w14:textId="477D5D40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C21FEE7" w14:textId="384A1A9E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F3C8F9B" w14:textId="6EAC5B5D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15DDCD1" w14:textId="79538BA5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8ECF78C" w14:textId="793D36A9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5E1837D" w14:textId="0CB1DF95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&lt;0.01%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77E0CC7" w14:textId="028ABAD2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5D51E85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233D262C" w14:textId="1C00AD69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6CAD10D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30 to 34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DC283B1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A42D7F9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164278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A4E19A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139DAF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391959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324784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9262A8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8398F5A" w14:textId="1F2DB526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109477F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34D02C6B" w14:textId="3C08AF60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BEE1B7B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35 to 39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A1320B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B09D3A5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309405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4F592C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C0BF7D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22ED08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902054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91973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563E836" w14:textId="378B48C0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43CC05B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B9F1B35" w14:textId="19AC2BAB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144E5AE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40 to 44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B2C11C3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B23F9B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53EE80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957989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08619C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98766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026E5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74F9FD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B33FB0" w14:textId="7572C55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13F2F8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3C73DDBF" w14:textId="015D089D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1E372AE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45 to 49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B3606B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586AF3B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AFD336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EAA403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46DC47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215C35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7F3EBD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3AAC3D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0.02%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928C755" w14:textId="4F098168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200D87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1FF36501" w14:textId="0DB3F17A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0EC85F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50 to 54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629B22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8A3C973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E74075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0.05%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44B324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3D5CB0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BDAAC9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F1B65D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91F765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70B1A0F" w14:textId="3AB654B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4396CF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7E0971E7" w14:textId="7AFD5398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77689A4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55 to 59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98B2DD8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0.10%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6AAC6E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665E6A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0.08%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E4D934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177D6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31DEB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3AACB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F018B5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0.06%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94BDA7B" w14:textId="7FDCB376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7CEA99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18496283" w14:textId="4A40DD80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63A739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60 to 64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9131CBC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0.19%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4228C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E22EA8D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0.15%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C8D0D1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A3C44E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52B72E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E4223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100B1EE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0.09%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2B6C250" w14:textId="50DDC4E8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57E633F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68089F4B" w14:textId="4CB2495E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2550133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65 to 69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21BD18E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0.26%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042E7C4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C2000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A86E9E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4C7031A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1CED649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6FF8032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E5B131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0CB7307" w14:textId="66D7C8AD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EB5810C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0A37109D" w14:textId="4424AAC3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DD3F297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70 to 74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70E4560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0.37%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9884865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4E2056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0.31%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C3B4E53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A3879C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3A4A6E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EA3BD10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A99042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0.17%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B411106" w14:textId="7F3A913A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DB7C8FD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13C5761F" w14:textId="1EA67D0F" w:rsidTr="007E76E1">
        <w:tc>
          <w:tcPr>
            <w:tcW w:w="2410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850D34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75 to 79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58909A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0.44%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4B068F2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0.40%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B6CF4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0.37%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63A959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0.35%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89575C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0.26%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FE9434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2C6F958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0.22%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6589D27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0.21%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091C87F" w14:textId="04E24BFE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18788B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B93BB3" w14:paraId="161E4569" w14:textId="69D5735D" w:rsidTr="007E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410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19514FC4" w14:textId="77777777" w:rsidR="00B0637D" w:rsidRPr="00426C9C" w:rsidRDefault="00B0637D" w:rsidP="00B0637D">
            <w:pPr>
              <w:spacing w:after="40"/>
              <w:ind w:firstLine="321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80 to 84</w:t>
            </w:r>
          </w:p>
        </w:tc>
        <w:tc>
          <w:tcPr>
            <w:tcW w:w="851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5F6DD723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0.54%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13E337C1" w14:textId="77777777" w:rsidR="00B0637D" w:rsidRPr="00426C9C" w:rsidRDefault="00B0637D" w:rsidP="00AE457A">
            <w:pPr>
              <w:spacing w:after="40"/>
              <w:ind w:left="-57" w:right="-57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0.49%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0EDE9905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0.45%</w:t>
            </w:r>
          </w:p>
        </w:tc>
        <w:tc>
          <w:tcPr>
            <w:tcW w:w="1134" w:type="dxa"/>
            <w:gridSpan w:val="2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0CA1073F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0.43%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189FB8B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0.34%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427EA44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0.31%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0F719A3B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0.28%</w:t>
            </w:r>
          </w:p>
        </w:tc>
        <w:tc>
          <w:tcPr>
            <w:tcW w:w="1134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143679C4" w14:textId="77777777" w:rsidR="00B0637D" w:rsidRPr="00426C9C" w:rsidRDefault="00B0637D" w:rsidP="00AE457A">
            <w:pPr>
              <w:spacing w:after="40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0.27%</w:t>
            </w:r>
          </w:p>
        </w:tc>
        <w:tc>
          <w:tcPr>
            <w:tcW w:w="1275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08EA0DC0" w14:textId="788A14BB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  <w:r w:rsidRPr="002E35C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992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3CB7B531" w14:textId="77777777" w:rsidR="00B0637D" w:rsidRPr="00426C9C" w:rsidRDefault="00B0637D" w:rsidP="00B0637D">
            <w:pPr>
              <w:spacing w:after="40"/>
              <w:rPr>
                <w:rFonts w:asciiTheme="minorHAnsi" w:hAnsiTheme="minorHAnsi"/>
                <w:lang w:eastAsia="zh-TW"/>
              </w:rPr>
            </w:pPr>
          </w:p>
        </w:tc>
      </w:tr>
      <w:tr w:rsidR="00F312F7" w:rsidRPr="00B93BB3" w14:paraId="71949E74" w14:textId="77777777" w:rsidTr="007E76E1">
        <w:tc>
          <w:tcPr>
            <w:tcW w:w="13469" w:type="dxa"/>
            <w:gridSpan w:val="12"/>
            <w:tcBorders>
              <w:top w:val="single" w:sz="12" w:space="0" w:color="auto"/>
              <w:bottom w:val="nil"/>
            </w:tcBorders>
          </w:tcPr>
          <w:p w14:paraId="7E5A845B" w14:textId="46FD6DAE" w:rsidR="00F312F7" w:rsidRPr="00426C9C" w:rsidRDefault="00E8707D" w:rsidP="00E8707D">
            <w:pPr>
              <w:spacing w:after="40"/>
              <w:rPr>
                <w:rFonts w:asciiTheme="minorHAnsi" w:hAnsiTheme="minorHAnsi"/>
                <w:lang w:eastAsia="zh-TW"/>
              </w:rPr>
            </w:pPr>
            <w:r>
              <w:t>Inactive: &lt;30; Low: 30-149; Moderate: 150-420 and High: ≥421 MVPA min per week</w:t>
            </w:r>
          </w:p>
        </w:tc>
      </w:tr>
    </w:tbl>
    <w:p w14:paraId="36613CB1" w14:textId="56A584DD" w:rsidR="00F4093A" w:rsidRDefault="00F4093A" w:rsidP="00F4093A"/>
    <w:p w14:paraId="5B0E4890" w14:textId="77777777" w:rsidR="007E76E1" w:rsidRDefault="007E76E1">
      <w:pPr>
        <w:spacing w:after="160" w:line="259" w:lineRule="auto"/>
        <w:sectPr w:rsidR="007E76E1" w:rsidSect="007E76E1">
          <w:headerReference w:type="default" r:id="rId8"/>
          <w:footerReference w:type="default" r:id="rId9"/>
          <w:pgSz w:w="16838" w:h="11906" w:orient="landscape"/>
          <w:pgMar w:top="1440" w:right="1440" w:bottom="1276" w:left="1440" w:header="709" w:footer="709" w:gutter="0"/>
          <w:cols w:space="708"/>
          <w:docGrid w:linePitch="360"/>
        </w:sectPr>
      </w:pPr>
      <w:bookmarkStart w:id="3" w:name="_Ref474335320"/>
    </w:p>
    <w:p w14:paraId="7580F818" w14:textId="34F4773C" w:rsidR="007E6D73" w:rsidRDefault="007E6D73" w:rsidP="00921576">
      <w:pPr>
        <w:pStyle w:val="Caption"/>
      </w:pPr>
      <w:r>
        <w:lastRenderedPageBreak/>
        <w:t>Table</w:t>
      </w:r>
      <w:r w:rsidR="00D0379C">
        <w:t xml:space="preserve"> S2</w:t>
      </w:r>
      <w:bookmarkEnd w:id="3"/>
      <w:r>
        <w:t>: Estimates of mortality parameters</w:t>
      </w:r>
    </w:p>
    <w:tbl>
      <w:tblPr>
        <w:tblStyle w:val="TableSimple1"/>
        <w:tblW w:w="9083" w:type="dxa"/>
        <w:tblLook w:val="04A0" w:firstRow="1" w:lastRow="0" w:firstColumn="1" w:lastColumn="0" w:noHBand="0" w:noVBand="1"/>
      </w:tblPr>
      <w:tblGrid>
        <w:gridCol w:w="2837"/>
        <w:gridCol w:w="1129"/>
        <w:gridCol w:w="844"/>
        <w:gridCol w:w="1237"/>
        <w:gridCol w:w="972"/>
        <w:gridCol w:w="1209"/>
        <w:gridCol w:w="849"/>
        <w:gridCol w:w="6"/>
      </w:tblGrid>
      <w:tr w:rsidR="007E6D73" w14:paraId="74983B9E" w14:textId="77777777" w:rsidTr="00A52A09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6" w:type="dxa"/>
          <w:tblHeader/>
        </w:trPr>
        <w:tc>
          <w:tcPr>
            <w:tcW w:w="2837" w:type="dxa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14:paraId="6FBA9C3D" w14:textId="77777777" w:rsidR="007E6D73" w:rsidRPr="00426C9C" w:rsidRDefault="007E6D73" w:rsidP="00921576">
            <w:pPr>
              <w:spacing w:after="0" w:line="276" w:lineRule="auto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Parameter</w:t>
            </w:r>
          </w:p>
        </w:tc>
        <w:tc>
          <w:tcPr>
            <w:tcW w:w="4182" w:type="dxa"/>
            <w:gridSpan w:val="4"/>
            <w:tcBorders>
              <w:top w:val="single" w:sz="12" w:space="0" w:color="auto"/>
              <w:bottom w:val="single" w:sz="4" w:space="0" w:color="595959" w:themeColor="text1" w:themeTint="A6"/>
            </w:tcBorders>
            <w:vAlign w:val="center"/>
          </w:tcPr>
          <w:p w14:paraId="6508C32C" w14:textId="77777777" w:rsidR="007E6D73" w:rsidRPr="00426C9C" w:rsidRDefault="007E6D73" w:rsidP="00921576">
            <w:pPr>
              <w:spacing w:after="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Value</w:t>
            </w:r>
          </w:p>
        </w:tc>
        <w:tc>
          <w:tcPr>
            <w:tcW w:w="1209" w:type="dxa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14:paraId="1C34684C" w14:textId="77777777" w:rsidR="007E6D73" w:rsidRPr="00426C9C" w:rsidRDefault="007E6D73" w:rsidP="00921576">
            <w:pPr>
              <w:spacing w:after="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Distribution</w:t>
            </w:r>
          </w:p>
        </w:tc>
        <w:tc>
          <w:tcPr>
            <w:tcW w:w="849" w:type="dxa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14:paraId="2191E202" w14:textId="77777777" w:rsidR="007E6D73" w:rsidRPr="00426C9C" w:rsidRDefault="007E6D73" w:rsidP="00921576">
            <w:pPr>
              <w:spacing w:after="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Source</w:t>
            </w:r>
          </w:p>
        </w:tc>
      </w:tr>
      <w:tr w:rsidR="007E6D73" w14:paraId="71BB78F5" w14:textId="77777777" w:rsidTr="00A52A09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6" w:type="dxa"/>
          <w:tblHeader/>
        </w:trPr>
        <w:tc>
          <w:tcPr>
            <w:tcW w:w="2837" w:type="dxa"/>
            <w:vMerge/>
            <w:tcBorders>
              <w:top w:val="nil"/>
              <w:bottom w:val="single" w:sz="12" w:space="0" w:color="auto"/>
            </w:tcBorders>
            <w:vAlign w:val="center"/>
          </w:tcPr>
          <w:p w14:paraId="0F3414E3" w14:textId="77777777" w:rsidR="007E6D73" w:rsidRPr="00426C9C" w:rsidRDefault="007E6D73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5C11FEF0" w14:textId="77777777" w:rsidR="007E6D73" w:rsidRPr="00426C9C" w:rsidRDefault="007E6D73" w:rsidP="00921576">
            <w:pPr>
              <w:spacing w:before="40" w:after="40" w:line="276" w:lineRule="auto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Male Mean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396E190D" w14:textId="77777777" w:rsidR="007E6D73" w:rsidRPr="00426C9C" w:rsidRDefault="007E6D73" w:rsidP="00921576">
            <w:pPr>
              <w:spacing w:before="40" w:after="40" w:line="276" w:lineRule="auto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Male SE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4FC3D5B9" w14:textId="77777777" w:rsidR="007E6D73" w:rsidRPr="00426C9C" w:rsidRDefault="007E6D73" w:rsidP="00921576">
            <w:pPr>
              <w:spacing w:before="40" w:after="40" w:line="276" w:lineRule="auto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Female mean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12" w:space="0" w:color="auto"/>
            </w:tcBorders>
            <w:vAlign w:val="center"/>
          </w:tcPr>
          <w:p w14:paraId="26EAF76B" w14:textId="77777777" w:rsidR="007E6D73" w:rsidRPr="00426C9C" w:rsidRDefault="007E6D73" w:rsidP="00921576">
            <w:pPr>
              <w:spacing w:before="40" w:after="40" w:line="276" w:lineRule="auto"/>
              <w:ind w:left="-57" w:right="-57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Female SE</w:t>
            </w:r>
          </w:p>
        </w:tc>
        <w:tc>
          <w:tcPr>
            <w:tcW w:w="1209" w:type="dxa"/>
            <w:vMerge/>
            <w:tcBorders>
              <w:top w:val="nil"/>
              <w:bottom w:val="single" w:sz="12" w:space="0" w:color="auto"/>
            </w:tcBorders>
          </w:tcPr>
          <w:p w14:paraId="1F229C37" w14:textId="77777777" w:rsidR="007E6D73" w:rsidRPr="00426C9C" w:rsidRDefault="007E6D73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849" w:type="dxa"/>
            <w:vMerge/>
            <w:tcBorders>
              <w:top w:val="nil"/>
              <w:bottom w:val="single" w:sz="12" w:space="0" w:color="auto"/>
            </w:tcBorders>
          </w:tcPr>
          <w:p w14:paraId="0DCFA361" w14:textId="77777777" w:rsidR="007E6D73" w:rsidRPr="00426C9C" w:rsidRDefault="007E6D73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</w:tr>
      <w:tr w:rsidR="00D31D6B" w14:paraId="2B96C85D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401C3C1A" w14:textId="77777777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CHD case fatality rate</w:t>
            </w:r>
          </w:p>
        </w:tc>
        <w:tc>
          <w:tcPr>
            <w:tcW w:w="1129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163A76E8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844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5BF0645E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237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30474BEE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72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3A38C4E0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209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2EE58FEE" w14:textId="22487234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849" w:type="dxa"/>
            <w:tcBorders>
              <w:top w:val="single" w:sz="12" w:space="0" w:color="auto"/>
              <w:bottom w:val="single" w:sz="4" w:space="0" w:color="595959" w:themeColor="text1" w:themeTint="A6"/>
            </w:tcBorders>
          </w:tcPr>
          <w:p w14:paraId="37CF6D09" w14:textId="0242B1E6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&lt;EndNote&gt;&lt;Cite&gt;&lt;Author&gt;Smolina&lt;/Author&gt;&lt;Year&gt;2012&lt;/Year&gt;&lt;RecNum&gt;37&lt;/RecNum&gt;&lt;DisplayText&gt;[6]&lt;/DisplayText&gt;&lt;record&gt;&lt;rec-number&gt;37&lt;/rec-number&gt;&lt;foreign-keys&gt;&lt;key app="EN" db-id="prraawewz2tpwae0awep2et8axzf05ftfe2d" timestamp="1484239829"&gt;37&lt;/key&gt;&lt;/foreign-keys&gt;&lt;ref-type name="Journal Article"&gt;17&lt;/ref-type&gt;&lt;contributors&gt;&lt;authors&gt;&lt;author&gt;Smolina, K.&lt;/author&gt;&lt;author&gt;Wright, F. L.&lt;/author&gt;&lt;author&gt;Rayner, M.&lt;/author&gt;&lt;author&gt;Goldacre, M. J.&lt;/author&gt;&lt;/authors&gt;&lt;/contributors&gt;&lt;auth-address&gt;Unit of Health-Care Epidemiology, Department of Public Health, Headington, Oxford, UK. kate.smolina@spc.ox.ac.uk&lt;/auth-address&gt;&lt;titles&gt;&lt;title&gt;Determinants of the decline in mortality from acute myocardial infarction in England between 2002 and 2010: linked national database study&lt;/title&gt;&lt;secondary-title&gt;BMJ&lt;/secondary-title&gt;&lt;/titles&gt;&lt;periodical&gt;&lt;full-title&gt;BMJ&lt;/full-title&gt;&lt;/periodical&gt;&lt;pages&gt;d8059&lt;/pages&gt;&lt;volume&gt;344&lt;/volume&gt;&lt;keywords&gt;&lt;keyword&gt;Adult&lt;/keyword&gt;&lt;keyword&gt;Age Factors&lt;/keyword&gt;&lt;keyword&gt;Aged&lt;/keyword&gt;&lt;keyword&gt;Aged, 80 and over&lt;/keyword&gt;&lt;keyword&gt;England/epidemiology&lt;/keyword&gt;&lt;keyword&gt;Female&lt;/keyword&gt;&lt;keyword&gt;Hospitalization/trends&lt;/keyword&gt;&lt;keyword&gt;Humans&lt;/keyword&gt;&lt;keyword&gt;Male&lt;/keyword&gt;&lt;keyword&gt;Middle Aged&lt;/keyword&gt;&lt;keyword&gt;Myocardial Infarction/*mortality&lt;/keyword&gt;&lt;keyword&gt;Sex Factors&lt;/keyword&gt;&lt;keyword&gt;Survival Rate/trends&lt;/keyword&gt;&lt;keyword&gt;Time Factors&lt;/keyword&gt;&lt;/keywords&gt;&lt;dates&gt;&lt;year&gt;2012&lt;/year&gt;&lt;pub-dates&gt;&lt;date&gt;Jan 25&lt;/date&gt;&lt;/pub-dates&gt;&lt;/dates&gt;&lt;isbn&gt;1756-1833 (Electronic)&amp;#xD;0959-535X (Linking)&lt;/isbn&gt;&lt;accession-num&gt;22279113&lt;/accession-num&gt;&lt;urls&gt;&lt;related-urls&gt;&lt;url&gt;&lt;style face="underline" font="default" size="100%"&gt;https://www.ncbi.nlm.nih.gov/pubmed/22279113&lt;/style&gt;&lt;/url&gt;&lt;/related-urls&gt;&lt;/urls&gt;&lt;custom2&gt;PMC3266430&lt;/custom2&gt;&lt;electronic-resource-num&gt;10.1136/bmj.d8059&lt;/electronic-resource-num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[6]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2B4D09" w14:paraId="7F3C1587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536AE95" w14:textId="41769A9E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&lt;54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DD43403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0.129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0DC458A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0.013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6468B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0.1245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0122D6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0.0125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65274B" w14:textId="16A8324F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1F6CD1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7A13A07" w14:textId="77777777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5DE32212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F12C6F7" w14:textId="77777777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55-64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E67D35D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0.132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0246444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0.013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F273124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0.1597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D94DA8A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0.0160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290CBA4" w14:textId="4D9EC076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1F6CD1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E100AA" w14:textId="77777777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5C87FBE8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D9EF2BB" w14:textId="77777777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65-74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5D2D790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0.177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4A46AE2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0.018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2A52317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0.2235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43FEBAC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0.0224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340CF72" w14:textId="5E4A5ECF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1F6CD1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8631778" w14:textId="77777777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080B0BD9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7D7DEA7" w14:textId="77777777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75-84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F8591A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0.244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23247A2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0.024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DF2C4A6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0.3009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56F1A59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0.0301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252C6E2" w14:textId="66241346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1F6CD1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CA4C449" w14:textId="77777777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41EF9CD1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AD249E4" w14:textId="77777777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85+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069834C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0.315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ADEE1C9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0.032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388BA6D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0.3668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F64E2B5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0.0367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C59FDF1" w14:textId="110449BC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1F6CD1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36FC545" w14:textId="77777777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D31D6B" w:rsidRPr="002B4D09" w14:paraId="17772168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05FD2F9" w14:textId="77777777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Stroke case fatality rate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72D5428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0.1730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0230C3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0.0152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C158574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0.1730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0AD7A19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0.0152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A31EB73" w14:textId="75F2368D" w:rsidR="00D31D6B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8225080" w14:textId="3EA83D9D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>
                <w:fldData xml:space="preserve">PEVuZE5vdGU+PENpdGU+PEF1dGhvcj5CYW1mb3JkPC9BdXRob3I+PFllYXI+MTk5MDwvWWVhcj48
UmVjTnVtPjM4PC9SZWNOdW0+PERpc3BsYXlUZXh0PlsxMl08L0Rpc3BsYXlUZXh0PjxyZWNvcmQ+
PHJlYy1udW1iZXI+Mzg8L3JlYy1udW1iZXI+PGZvcmVpZ24ta2V5cz48a2V5IGFwcD0iRU4iIGRi
LWlkPSJwcnJhYXdld3oydHB3YWUwYXdlcDJldDhheHpmMDVmdGZlMmQiIHRpbWVzdGFtcD0iMTQ4
NDI0MDMyNSI+Mzg8L2tleT48L2ZvcmVpZ24ta2V5cz48cmVmLXR5cGUgbmFtZT0iSm91cm5hbCBB
cnRpY2xlIj4xNzwvcmVmLXR5cGU+PGNvbnRyaWJ1dG9ycz48YXV0aG9ycz48YXV0aG9yPkJhbWZv
cmQsIEouPC9hdXRob3I+PGF1dGhvcj5TYW5kZXJjb2NrLCBQLjwvYXV0aG9yPjxhdXRob3I+RGVu
bmlzLCBNLjwvYXV0aG9yPjxhdXRob3I+QnVybiwgSi48L2F1dGhvcj48YXV0aG9yPldhcmxvdywg
Qy48L2F1dGhvcj48L2F1dGhvcnM+PC9jb250cmlidXRvcnM+PGF1dGgtYWRkcmVzcz5Vbml2ZXJz
aXR5IERlcGFydG1lbnQgb2YgQ2xpbmljYWwgTmV1cm9sb2d5LCBSYWRjbGlmZmUgSW5maXJtYXJ5
LCBPeGZvcmQsIFVuaXRlZCBLaW5nZG9tLjwvYXV0aC1hZGRyZXNzPjx0aXRsZXM+PHRpdGxlPkEg
cHJvc3BlY3RpdmUgc3R1ZHkgb2YgYWN1dGUgY2VyZWJyb3Zhc2N1bGFyIGRpc2Vhc2UgaW4gdGhl
IGNvbW11bml0eTogdGhlIE94Zm9yZHNoaXJlIENvbW11bml0eSBTdHJva2UgUHJvamVjdC0tMTk4
MS04Ni4gMi4gSW5jaWRlbmNlLCBjYXNlIGZhdGFsaXR5IHJhdGVzIGFuZCBvdmVyYWxsIG91dGNv
bWUgYXQgb25lIHllYXIgb2YgY2VyZWJyYWwgaW5mYXJjdGlvbiwgcHJpbWFyeSBpbnRyYWNlcmVi
cmFsIGFuZCBzdWJhcmFjaG5vaWQgaGFlbW9ycmhhZ2U8L3RpdGxlPjxzZWNvbmRhcnktdGl0bGU+
SiBOZXVyb2wgTmV1cm9zdXJnIFBzeWNoaWF0cnk8L3NlY29uZGFyeS10aXRsZT48L3RpdGxlcz48
cGVyaW9kaWNhbD48ZnVsbC10aXRsZT5KIE5ldXJvbCBOZXVyb3N1cmcgUHN5Y2hpYXRyeTwvZnVs
bC10aXRsZT48L3BlcmlvZGljYWw+PHBhZ2VzPjE2LTIyPC9wYWdlcz48dm9sdW1lPjUzPC92b2x1
bWU+PG51bWJlcj4xPC9udW1iZXI+PGtleXdvcmRzPjxrZXl3b3JkPkFkb2xlc2NlbnQ8L2tleXdv
cmQ+PGtleXdvcmQ+QWR1bHQ8L2tleXdvcmQ+PGtleXdvcmQ+QWdlZDwva2V5d29yZD48a2V5d29y
ZD5BZ2VkLCA4MCBhbmQgb3Zlcjwva2V5d29yZD48a2V5d29yZD5DZXJlYnJhbCBIZW1vcnJoYWdl
L2RpYWdub3Npcy8qbW9ydGFsaXR5PC9rZXl3b3JkPjxrZXl3b3JkPkNlcmVicmFsIEluZmFyY3Rp
b24vZGlhZ25vc2lzLyptb3J0YWxpdHk8L2tleXdvcmQ+PGtleXdvcmQ+Q3Jvc3MtU2VjdGlvbmFs
IFN0dWRpZXM8L2tleXdvcmQ+PGtleXdvcmQ+RW5nbGFuZC9lcGlkZW1pb2xvZ3k8L2tleXdvcmQ+
PGtleXdvcmQ+RmVtYWxlPC9rZXl3b3JkPjxrZXl3b3JkPkZvbGxvdy1VcCBTdHVkaWVzPC9rZXl3
b3JkPjxrZXl3b3JkPkh1bWFuczwva2V5d29yZD48a2V5d29yZD5JbmNpZGVuY2U8L2tleXdvcmQ+
PGtleXdvcmQ+TWFsZTwva2V5d29yZD48a2V5d29yZD5NaWRkbGUgQWdlZDwva2V5d29yZD48a2V5
d29yZD5Qcm9zcGVjdGl2ZSBTdHVkaWVzPC9rZXl3b3JkPjxrZXl3b3JkPlN1YmFyYWNobm9pZCBI
ZW1vcnJoYWdlL2RpYWdub3Npcy8qbW9ydGFsaXR5PC9rZXl3b3JkPjxrZXl3b3JkPlRvbW9ncmFw
aHksIFgtUmF5IENvbXB1dGVkPC9rZXl3b3JkPjwva2V5d29yZHM+PGRhdGVzPjx5ZWFyPjE5OTA8
L3llYXI+PHB1Yi1kYXRlcz48ZGF0ZT5KYW48L2RhdGU+PC9wdWItZGF0ZXM+PC9kYXRlcz48aXNi
bj4wMDIyLTMwNTAgKFByaW50KSYjeEQ7MDAyMi0zMDUwIChMaW5raW5nKTwvaXNibj48YWNjZXNz
aW9uLW51bT4yMzAzODI2PC9hY2Nlc3Npb24tbnVtPjx1cmxzPjxyZWxhdGVkLXVybHM+PHVybD5o
dHRwczovL3d3dy5uY2JpLm5sbS5uaWguZ292L3B1Ym1lZC8yMzAzODI2PC91cmw+PC9yZWxhdGVk
LXVybHM+PC91cmxzPjxjdXN0b20yPlBNQzEwMTQwOTE8L2N1c3RvbTI+PC9yZWNvcmQ+PC9DaXRl
PjwvRW5kTm90ZT4A
</w:fldData>
              </w:fldChar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</w:instrText>
            </w:r>
            <w:r w:rsidR="0076344E">
              <w:rPr>
                <w:rFonts w:asciiTheme="minorHAnsi" w:hAnsiTheme="minorHAnsi"/>
                <w:lang w:eastAsia="zh-TW"/>
              </w:rPr>
              <w:fldChar w:fldCharType="begin">
                <w:fldData xml:space="preserve">PEVuZE5vdGU+PENpdGU+PEF1dGhvcj5CYW1mb3JkPC9BdXRob3I+PFllYXI+MTk5MDwvWWVhcj48
UmVjTnVtPjM4PC9SZWNOdW0+PERpc3BsYXlUZXh0PlsxMl08L0Rpc3BsYXlUZXh0PjxyZWNvcmQ+
PHJlYy1udW1iZXI+Mzg8L3JlYy1udW1iZXI+PGZvcmVpZ24ta2V5cz48a2V5IGFwcD0iRU4iIGRi
LWlkPSJwcnJhYXdld3oydHB3YWUwYXdlcDJldDhheHpmMDVmdGZlMmQiIHRpbWVzdGFtcD0iMTQ4
NDI0MDMyNSI+Mzg8L2tleT48L2ZvcmVpZ24ta2V5cz48cmVmLXR5cGUgbmFtZT0iSm91cm5hbCBB
cnRpY2xlIj4xNzwvcmVmLXR5cGU+PGNvbnRyaWJ1dG9ycz48YXV0aG9ycz48YXV0aG9yPkJhbWZv
cmQsIEouPC9hdXRob3I+PGF1dGhvcj5TYW5kZXJjb2NrLCBQLjwvYXV0aG9yPjxhdXRob3I+RGVu
bmlzLCBNLjwvYXV0aG9yPjxhdXRob3I+QnVybiwgSi48L2F1dGhvcj48YXV0aG9yPldhcmxvdywg
Qy48L2F1dGhvcj48L2F1dGhvcnM+PC9jb250cmlidXRvcnM+PGF1dGgtYWRkcmVzcz5Vbml2ZXJz
aXR5IERlcGFydG1lbnQgb2YgQ2xpbmljYWwgTmV1cm9sb2d5LCBSYWRjbGlmZmUgSW5maXJtYXJ5
LCBPeGZvcmQsIFVuaXRlZCBLaW5nZG9tLjwvYXV0aC1hZGRyZXNzPjx0aXRsZXM+PHRpdGxlPkEg
cHJvc3BlY3RpdmUgc3R1ZHkgb2YgYWN1dGUgY2VyZWJyb3Zhc2N1bGFyIGRpc2Vhc2UgaW4gdGhl
IGNvbW11bml0eTogdGhlIE94Zm9yZHNoaXJlIENvbW11bml0eSBTdHJva2UgUHJvamVjdC0tMTk4
MS04Ni4gMi4gSW5jaWRlbmNlLCBjYXNlIGZhdGFsaXR5IHJhdGVzIGFuZCBvdmVyYWxsIG91dGNv
bWUgYXQgb25lIHllYXIgb2YgY2VyZWJyYWwgaW5mYXJjdGlvbiwgcHJpbWFyeSBpbnRyYWNlcmVi
cmFsIGFuZCBzdWJhcmFjaG5vaWQgaGFlbW9ycmhhZ2U8L3RpdGxlPjxzZWNvbmRhcnktdGl0bGU+
SiBOZXVyb2wgTmV1cm9zdXJnIFBzeWNoaWF0cnk8L3NlY29uZGFyeS10aXRsZT48L3RpdGxlcz48
cGVyaW9kaWNhbD48ZnVsbC10aXRsZT5KIE5ldXJvbCBOZXVyb3N1cmcgUHN5Y2hpYXRyeTwvZnVs
bC10aXRsZT48L3BlcmlvZGljYWw+PHBhZ2VzPjE2LTIyPC9wYWdlcz48dm9sdW1lPjUzPC92b2x1
bWU+PG51bWJlcj4xPC9udW1iZXI+PGtleXdvcmRzPjxrZXl3b3JkPkFkb2xlc2NlbnQ8L2tleXdv
cmQ+PGtleXdvcmQ+QWR1bHQ8L2tleXdvcmQ+PGtleXdvcmQ+QWdlZDwva2V5d29yZD48a2V5d29y
ZD5BZ2VkLCA4MCBhbmQgb3Zlcjwva2V5d29yZD48a2V5d29yZD5DZXJlYnJhbCBIZW1vcnJoYWdl
L2RpYWdub3Npcy8qbW9ydGFsaXR5PC9rZXl3b3JkPjxrZXl3b3JkPkNlcmVicmFsIEluZmFyY3Rp
b24vZGlhZ25vc2lzLyptb3J0YWxpdHk8L2tleXdvcmQ+PGtleXdvcmQ+Q3Jvc3MtU2VjdGlvbmFs
IFN0dWRpZXM8L2tleXdvcmQ+PGtleXdvcmQ+RW5nbGFuZC9lcGlkZW1pb2xvZ3k8L2tleXdvcmQ+
PGtleXdvcmQ+RmVtYWxlPC9rZXl3b3JkPjxrZXl3b3JkPkZvbGxvdy1VcCBTdHVkaWVzPC9rZXl3
b3JkPjxrZXl3b3JkPkh1bWFuczwva2V5d29yZD48a2V5d29yZD5JbmNpZGVuY2U8L2tleXdvcmQ+
PGtleXdvcmQ+TWFsZTwva2V5d29yZD48a2V5d29yZD5NaWRkbGUgQWdlZDwva2V5d29yZD48a2V5
d29yZD5Qcm9zcGVjdGl2ZSBTdHVkaWVzPC9rZXl3b3JkPjxrZXl3b3JkPlN1YmFyYWNobm9pZCBI
ZW1vcnJoYWdlL2RpYWdub3Npcy8qbW9ydGFsaXR5PC9rZXl3b3JkPjxrZXl3b3JkPlRvbW9ncmFw
aHksIFgtUmF5IENvbXB1dGVkPC9rZXl3b3JkPjwva2V5d29yZHM+PGRhdGVzPjx5ZWFyPjE5OTA8
L3llYXI+PHB1Yi1kYXRlcz48ZGF0ZT5KYW48L2RhdGU+PC9wdWItZGF0ZXM+PC9kYXRlcz48aXNi
bj4wMDIyLTMwNTAgKFByaW50KSYjeEQ7MDAyMi0zMDUwIChMaW5raW5nKTwvaXNibj48YWNjZXNz
aW9uLW51bT4yMzAzODI2PC9hY2Nlc3Npb24tbnVtPjx1cmxzPjxyZWxhdGVkLXVybHM+PHVybD5o
dHRwczovL3d3dy5uY2JpLm5sbS5uaWguZ292L3B1Ym1lZC8yMzAzODI2PC91cmw+PC9yZWxhdGVk
LXVybHM+PC91cmxzPjxjdXN0b20yPlBNQzEwMTQwOTE8L2N1c3RvbTI+PC9yZWNvcmQ+PC9DaXRl
PjwvRW5kTm90ZT4A
</w:fldData>
              </w:fldChar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EN.CITE.DATA </w:instrText>
            </w:r>
            <w:r w:rsidR="0076344E">
              <w:rPr>
                <w:rFonts w:asciiTheme="minorHAnsi" w:hAnsiTheme="minorHAnsi"/>
                <w:lang w:eastAsia="zh-TW"/>
              </w:rPr>
            </w:r>
            <w:r w:rsidR="0076344E">
              <w:rPr>
                <w:rFonts w:asciiTheme="minorHAnsi" w:hAnsiTheme="minorHAnsi"/>
                <w:lang w:eastAsia="zh-TW"/>
              </w:rPr>
              <w:fldChar w:fldCharType="end"/>
            </w:r>
            <w:r w:rsidRPr="00426C9C">
              <w:rPr>
                <w:rFonts w:asciiTheme="minorHAnsi" w:hAnsiTheme="minorHAnsi"/>
                <w:lang w:eastAsia="zh-TW"/>
              </w:rPr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[12]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D31D6B" w:rsidRPr="002B4D09" w14:paraId="2FA218AD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04963A1" w14:textId="7D64E67D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Heart failure case fatality rate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A7FF0F4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94B95D6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3BFFA60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6F5013A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03CEB6E" w14:textId="208480C0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C20C13E" w14:textId="0048958E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&lt;EndNote&gt;&lt;Cite&gt;&lt;Author&gt;MacIntyre&lt;/Author&gt;&lt;Year&gt;2000&lt;/Year&gt;&lt;RecNum&gt;39&lt;/RecNum&gt;&lt;DisplayText&gt;[13]&lt;/DisplayText&gt;&lt;record&gt;&lt;rec-number&gt;39&lt;/rec-number&gt;&lt;foreign-keys&gt;&lt;key app="EN" db-id="prraawewz2tpwae0awep2et8axzf05ftfe2d" timestamp="1484240523"&gt;39&lt;/key&gt;&lt;/foreign-keys&gt;&lt;ref-type name="Journal Article"&gt;17&lt;/ref-type&gt;&lt;contributors&gt;&lt;authors&gt;&lt;author&gt;MacIntyre, K.&lt;/author&gt;&lt;author&gt;Capewell, S.&lt;/author&gt;&lt;author&gt;Stewart, S.&lt;/author&gt;&lt;author&gt;Chalmers, J. W.&lt;/author&gt;&lt;author&gt;Boyd, J.&lt;/author&gt;&lt;author&gt;Finlayson, A.&lt;/author&gt;&lt;author&gt;Redpath, A.&lt;/author&gt;&lt;author&gt;Pell, J. P.&lt;/author&gt;&lt;author&gt;McMurray, J. J.&lt;/author&gt;&lt;/authors&gt;&lt;/contributors&gt;&lt;auth-address&gt;Department of Public Health, University of Glasgow, Glasgow, UK.&lt;/auth-address&gt;&lt;titles&gt;&lt;title&gt;Evidence of improving prognosis in heart failure: trends in case fatality in 66 547 patients hospitalized between 1986 and 1995&lt;/title&gt;&lt;secondary-title&gt;Circulation&lt;/secondary-title&gt;&lt;/titles&gt;&lt;periodical&gt;&lt;full-title&gt;Circulation&lt;/full-title&gt;&lt;/periodical&gt;&lt;pages&gt;1126-31&lt;/pages&gt;&lt;volume&gt;102&lt;/volume&gt;&lt;number&gt;10&lt;/number&gt;&lt;keywords&gt;&lt;keyword&gt;Aged&lt;/keyword&gt;&lt;keyword&gt;Female&lt;/keyword&gt;&lt;keyword&gt;Heart Failure/*diagnosis/*epidemiology/mortality&lt;/keyword&gt;&lt;keyword&gt;Humans&lt;/keyword&gt;&lt;keyword&gt;Male&lt;/keyword&gt;&lt;keyword&gt;Mortality/trends&lt;/keyword&gt;&lt;keyword&gt;Multivariate Analysis&lt;/keyword&gt;&lt;keyword&gt;Patient Admission&lt;/keyword&gt;&lt;keyword&gt;Prognosis&lt;/keyword&gt;&lt;keyword&gt;Social Isolation&lt;/keyword&gt;&lt;/keywords&gt;&lt;dates&gt;&lt;year&gt;2000&lt;/year&gt;&lt;pub-dates&gt;&lt;date&gt;Sep 05&lt;/date&gt;&lt;/pub-dates&gt;&lt;/dates&gt;&lt;isbn&gt;1524-4539 (Electronic)&amp;#xD;0009-7322 (Linking)&lt;/isbn&gt;&lt;accession-num&gt;10973841&lt;/accession-num&gt;&lt;urls&gt;&lt;related-urls&gt;&lt;url&gt;https://www.ncbi.nlm.nih.gov/pubmed/10973841&lt;/url&gt;&lt;/related-urls&gt;&lt;/urls&gt;&lt;/record&gt;&lt;/Cite&gt;&lt;/EndNote&gt;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[13]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2B4D09" w14:paraId="2A527182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9984AE" w14:textId="072B2573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&lt;35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483ED44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320C77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0.0000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150500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6DADAF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EAD06DD" w14:textId="23F8C769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DF0548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EED2287" w14:textId="247DBF93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0D86067E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7D9413F" w14:textId="6220EF00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35-55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A8F07F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0.0989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01EED1E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0.0050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7B351F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0.0306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AB1B9F5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37D01C" w14:textId="1A06C4AA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DF0548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B378F6D" w14:textId="1056845F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28320171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B3C498" w14:textId="274EAD2E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55-64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089FD9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0.1253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8D28C2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0.0037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057AF81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0.1094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EF49A97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DB6B92" w14:textId="10B3661B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DF0548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BAAAAA" w14:textId="51D30409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559D63EC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16E230B" w14:textId="63265D37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65-74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43326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0.1666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F1E90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0.0028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886315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0.1197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2001D1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F28AB7" w14:textId="42FDABF7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AF7B0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8C05584" w14:textId="26108761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063E459B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0F2CB4" w14:textId="0C9E0AC9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75-84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32B24E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0.1989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2EF4E07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0.0027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191276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0.1262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8A1717C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8B7E70" w14:textId="18BAE92A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AF7B0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67E4C35" w14:textId="4429A4A4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25AF04C8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E00EF34" w14:textId="0D2449A3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85+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4E5519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0.2279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C77F470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0.0041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0E91359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0.1240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898330C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1EB149F" w14:textId="558FC035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AF7B00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282F99E" w14:textId="0AEBA4F7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162DD0" w:rsidRPr="002B4D09" w14:paraId="052C40D0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7019" w:type="dxa"/>
            <w:gridSpan w:val="5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438E854" w14:textId="7FF91F5C" w:rsidR="00162DD0" w:rsidRPr="00426C9C" w:rsidRDefault="00162DD0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  <w:lang w:eastAsia="zh-TW"/>
              </w:rPr>
              <w:t>Death rate after 1</w:t>
            </w:r>
            <w:r w:rsidRPr="00426C9C">
              <w:rPr>
                <w:rFonts w:asciiTheme="minorHAnsi" w:hAnsiTheme="minorHAnsi"/>
                <w:vertAlign w:val="superscript"/>
                <w:lang w:eastAsia="zh-TW"/>
              </w:rPr>
              <w:t>st</w:t>
            </w:r>
            <w:r w:rsidRPr="00426C9C">
              <w:rPr>
                <w:rFonts w:asciiTheme="minorHAnsi" w:hAnsiTheme="minorHAnsi"/>
                <w:lang w:eastAsia="zh-TW"/>
              </w:rPr>
              <w:t xml:space="preserve"> nonfatal CHD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635CE75" w14:textId="3AB310A7" w:rsidR="00162DD0" w:rsidRPr="00426C9C" w:rsidRDefault="00162DD0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3E46BB" w14:textId="5C0EAFFD" w:rsidR="00162DD0" w:rsidRPr="00426C9C" w:rsidRDefault="00162DD0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&lt;EndNote&gt;&lt;Cite&gt;&lt;Author&gt;Turner&lt;/Author&gt;&lt;Year&gt;2011&lt;/Year&gt;&lt;RecNum&gt;51&lt;/RecNum&gt;&lt;DisplayText&gt;[14]&lt;/DisplayText&gt;&lt;record&gt;&lt;rec-number&gt;51&lt;/rec-number&gt;&lt;foreign-keys&gt;&lt;key app="EN" db-id="prraawewz2tpwae0awep2et8axzf05ftfe2d" timestamp="1485784861"&gt;51&lt;/key&gt;&lt;/foreign-keys&gt;&lt;ref-type name="Journal Article"&gt;17&lt;/ref-type&gt;&lt;contributors&gt;&lt;authors&gt;&lt;author&gt;Turner, D.&lt;/author&gt;&lt;author&gt;Raftery, J.&lt;/author&gt;&lt;author&gt;Cooper, K.&lt;/author&gt;&lt;author&gt;Fairbank, E.&lt;/author&gt;&lt;author&gt;Palmer, S.&lt;/author&gt;&lt;author&gt;Ward, S.&lt;/author&gt;&lt;author&gt;Ara, R.&lt;/author&gt;&lt;/authors&gt;&lt;/contributors&gt;&lt;auth-address&gt;Wessex Institute University of Southampton, Southampton, UK. dturner@soton.ac.uk&lt;/auth-address&gt;&lt;titles&gt;&lt;title&gt;The CHD challenge: comparing four cost-effectiveness models&lt;/title&gt;&lt;secondary-title&gt;Value Health&lt;/secondary-title&gt;&lt;/titles&gt;&lt;periodical&gt;&lt;full-title&gt;Value Health&lt;/full-title&gt;&lt;/periodical&gt;&lt;pages&gt;53-60&lt;/pages&gt;&lt;volume&gt;14&lt;/volume&gt;&lt;number&gt;1&lt;/number&gt;&lt;keywords&gt;&lt;keyword&gt;Angioplasty, Balloon, Coronary/economics&lt;/keyword&gt;&lt;keyword&gt;Coronary Disease/*economics/*therapy&lt;/keyword&gt;&lt;keyword&gt;Cost-Benefit Analysis/*methods/statistics &amp;amp; numerical data&lt;/keyword&gt;&lt;keyword&gt;Humans&lt;/keyword&gt;&lt;keyword&gt;Hydroxymethylglutaryl-CoA Reductase Inhibitors/economics/therapeutic use&lt;/keyword&gt;&lt;keyword&gt;Male&lt;/keyword&gt;&lt;keyword&gt;Middle Aged&lt;/keyword&gt;&lt;keyword&gt;*Models, Econometric&lt;/keyword&gt;&lt;keyword&gt;Platelet Aggregation Inhibitors/economics/therapeutic use&lt;/keyword&gt;&lt;keyword&gt;Quality-Adjusted Life Years&lt;/keyword&gt;&lt;keyword&gt;Reproducibility of Results&lt;/keyword&gt;&lt;keyword&gt;Sensitivity and Specificity&lt;/keyword&gt;&lt;keyword&gt;Ticlopidine/analogs &amp;amp; derivatives/economics/therapeutic use&lt;/keyword&gt;&lt;keyword&gt;United Kingdom&lt;/keyword&gt;&lt;/keywords&gt;&lt;dates&gt;&lt;year&gt;2011&lt;/year&gt;&lt;pub-dates&gt;&lt;date&gt;Jan&lt;/date&gt;&lt;/pub-dates&gt;&lt;/dates&gt;&lt;isbn&gt;1524-4733 (Electronic)&amp;#xD;1098-3015 (Linking)&lt;/isbn&gt;&lt;accession-num&gt;21211486&lt;/accession-num&gt;&lt;urls&gt;&lt;related-urls&gt;&lt;url&gt;https://www.ncbi.nlm.nih.gov/pubmed/21211486&lt;/url&gt;&lt;/related-urls&gt;&lt;/urls&gt;&lt;electronic-resource-num&gt;10.1016/j.jval.2010.10.009&lt;/electronic-resource-num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[14]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2B4D09" w14:paraId="24364A4B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DBF2CFA" w14:textId="74BBFDD2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&lt;45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A2D3C3F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0.0130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46D3D64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0.0020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DD8EC95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0.0130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5F9065D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0.0050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760FC1" w14:textId="59D82DAA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C47A8C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5471D27" w14:textId="1E81CDAC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21A8AF71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1CCF304" w14:textId="325C6B01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45-54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E93BD24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0.0170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4CBDC01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0.0010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BC3E89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0.0260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5BF5EC6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0.0030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A38AF4" w14:textId="555CB7FC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C47A8C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2166EE2" w14:textId="07E68A83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7AF154D1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F5F45A2" w14:textId="2C9FC21D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55-64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4FF51E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0.0380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1F62D5D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0.0020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C371AD5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0.0350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90D333E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0.0020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A73D7E0" w14:textId="610B2798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C47A8C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92D53B7" w14:textId="5E70E8CC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400AED42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74FBEC1" w14:textId="62D347A8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65-74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955AA15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0.0830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66ADBC5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0.0020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C7DDCE0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0.0820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38F3BB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0.0030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8F2BA1D" w14:textId="03FAE563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C47A8C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2DAD430" w14:textId="4663196D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7ED4F1CA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3CE32D" w14:textId="542C6673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75-84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0E42C43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0.1430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C82C401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0.0040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A64703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0.1590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8FF0B91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0.0040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B6B8C79" w14:textId="4B3EC169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C47A8C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7F8CCC8" w14:textId="5B43D417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59BC7851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A4CCA1E" w14:textId="616ADA41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85+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EF2C4ED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0.2620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279A4BE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0.0110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FB1F58C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0.2660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925E49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0.0080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C00BF7" w14:textId="418EA6B2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C47A8C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B97CDBD" w14:textId="339B21C2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D31D6B" w:rsidRPr="002B4D09" w14:paraId="30075194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E609F28" w14:textId="17B91D06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SMR for patients after a 1</w:t>
            </w:r>
            <w:r w:rsidRPr="00426C9C">
              <w:rPr>
                <w:rFonts w:asciiTheme="minorHAnsi" w:hAnsiTheme="minorHAnsi"/>
                <w:vertAlign w:val="superscript"/>
                <w:lang w:eastAsia="zh-TW"/>
              </w:rPr>
              <w:t>st</w:t>
            </w:r>
            <w:r w:rsidRPr="00426C9C">
              <w:rPr>
                <w:rFonts w:asciiTheme="minorHAnsi" w:hAnsiTheme="minorHAnsi"/>
                <w:lang w:eastAsia="zh-TW"/>
              </w:rPr>
              <w:t xml:space="preserve"> nonfatal stroke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BC6924E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2.40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BE78CD6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0.08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D12A0B2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2.21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EAB93EB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0.10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756949C" w14:textId="77777777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Lognormal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F8FF06C" w14:textId="4B827D6C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&lt;EndNote&gt;&lt;Cite&gt;&lt;Author&gt;Bronnum-Hansen&lt;/Author&gt;&lt;Year&gt;2001&lt;/Year&gt;&lt;RecNum&gt;52&lt;/RecNum&gt;&lt;DisplayText&gt;[15]&lt;/DisplayText&gt;&lt;record&gt;&lt;rec-number&gt;52&lt;/rec-number&gt;&lt;foreign-keys&gt;&lt;key app="EN" db-id="prraawewz2tpwae0awep2et8axzf05ftfe2d" timestamp="1485785467"&gt;52&lt;/key&gt;&lt;/foreign-keys&gt;&lt;ref-type name="Journal Article"&gt;17&lt;/ref-type&gt;&lt;contributors&gt;&lt;authors&gt;&lt;author&gt;Bronnum-Hansen, H.&lt;/author&gt;&lt;author&gt;Davidsen, M.&lt;/author&gt;&lt;author&gt;Thorvaldsen, P.&lt;/author&gt;&lt;author&gt;Danish, Monica Study Group&lt;/author&gt;&lt;/authors&gt;&lt;/contributors&gt;&lt;auth-address&gt;National Institute of Public Health, Copenhagen, Denmark. hbh@dike.dk&lt;/auth-address&gt;&lt;titles&gt;&lt;title&gt;Long-term survival and causes of death after stroke&lt;/title&gt;&lt;secondary-title&gt;Stroke&lt;/secondary-title&gt;&lt;/titles&gt;&lt;periodical&gt;&lt;full-title&gt;Stroke&lt;/full-title&gt;&lt;/periodical&gt;&lt;pages&gt;2131-6&lt;/pages&gt;&lt;volume&gt;32&lt;/volume&gt;&lt;number&gt;9&lt;/number&gt;&lt;keywords&gt;&lt;keyword&gt;Adult&lt;/keyword&gt;&lt;keyword&gt;Age Distribution&lt;/keyword&gt;&lt;keyword&gt;Aged&lt;/keyword&gt;&lt;keyword&gt;Cause of Death/trends&lt;/keyword&gt;&lt;keyword&gt;Denmark/epidemiology&lt;/keyword&gt;&lt;keyword&gt;Female&lt;/keyword&gt;&lt;keyword&gt;Humans&lt;/keyword&gt;&lt;keyword&gt;Male&lt;/keyword&gt;&lt;keyword&gt;Middle Aged&lt;/keyword&gt;&lt;keyword&gt;Risk Assessment&lt;/keyword&gt;&lt;keyword&gt;Sex Distribution&lt;/keyword&gt;&lt;keyword&gt;Stroke/*mortality&lt;/keyword&gt;&lt;keyword&gt;Survival Rate/trends&lt;/keyword&gt;&lt;/keywords&gt;&lt;dates&gt;&lt;year&gt;2001&lt;/year&gt;&lt;pub-dates&gt;&lt;date&gt;Sep&lt;/date&gt;&lt;/pub-dates&gt;&lt;/dates&gt;&lt;isbn&gt;1524-4628 (Electronic)&amp;#xD;0039-2499 (Linking)&lt;/isbn&gt;&lt;accession-num&gt;11546907&lt;/accession-num&gt;&lt;urls&gt;&lt;related-urls&gt;&lt;url&gt;https://www.ncbi.nlm.nih.gov/pubmed/11546907&lt;/url&gt;&lt;/related-urls&gt;&lt;/urls&gt;&lt;/record&gt;&lt;/Cite&gt;&lt;/EndNote&gt;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[15]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D31D6B" w:rsidRPr="002B4D09" w14:paraId="7E023943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  <w:trHeight w:val="111"/>
        </w:trPr>
        <w:tc>
          <w:tcPr>
            <w:tcW w:w="6047" w:type="dxa"/>
            <w:gridSpan w:val="4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983A5DF" w14:textId="2F3A79E3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Death rate after 1</w:t>
            </w:r>
            <w:r w:rsidRPr="00426C9C">
              <w:rPr>
                <w:rFonts w:asciiTheme="minorHAnsi" w:hAnsiTheme="minorHAnsi"/>
                <w:vertAlign w:val="superscript"/>
                <w:lang w:eastAsia="zh-TW"/>
              </w:rPr>
              <w:t>st</w:t>
            </w:r>
            <w:r w:rsidRPr="00426C9C">
              <w:rPr>
                <w:rFonts w:asciiTheme="minorHAnsi" w:hAnsiTheme="minorHAnsi"/>
                <w:lang w:eastAsia="zh-TW"/>
              </w:rPr>
              <w:t xml:space="preserve"> nonfatal heart failure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A7F3600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D477D9C" w14:textId="58B76290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AAA9AD1" w14:textId="5FE3E4F5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&lt;EndNote&gt;&lt;Cite&gt;&lt;Author&gt;MacIntyre&lt;/Author&gt;&lt;Year&gt;2000&lt;/Year&gt;&lt;RecNum&gt;39&lt;/RecNum&gt;&lt;DisplayText&gt;[13]&lt;/DisplayText&gt;&lt;record&gt;&lt;rec-number&gt;39&lt;/rec-number&gt;&lt;foreign-keys&gt;&lt;key app="EN" db-id="prraawewz2tpwae0awep2et8axzf05ftfe2d" timestamp="1484240523"&gt;39&lt;/key&gt;&lt;/foreign-keys&gt;&lt;ref-type name="Journal Article"&gt;17&lt;/ref-type&gt;&lt;contributors&gt;&lt;authors&gt;&lt;author&gt;MacIntyre, K.&lt;/author&gt;&lt;author&gt;Capewell, S.&lt;/author&gt;&lt;author&gt;Stewart, S.&lt;/author&gt;&lt;author&gt;Chalmers, J. W.&lt;/author&gt;&lt;author&gt;Boyd, J.&lt;/author&gt;&lt;author&gt;Finlayson, A.&lt;/author&gt;&lt;author&gt;Redpath, A.&lt;/author&gt;&lt;author&gt;Pell, J. P.&lt;/author&gt;&lt;author&gt;McMurray, J. J.&lt;/author&gt;&lt;/authors&gt;&lt;/contributors&gt;&lt;auth-address&gt;Department of Public Health, University of Glasgow, Glasgow, UK.&lt;/auth-address&gt;&lt;titles&gt;&lt;title&gt;Evidence of improving prognosis in heart failure: trends in case fatality in 66 547 patients hospitalized between 1986 and 1995&lt;/title&gt;&lt;secondary-title&gt;Circulation&lt;/secondary-title&gt;&lt;/titles&gt;&lt;periodical&gt;&lt;full-title&gt;Circulation&lt;/full-title&gt;&lt;/periodical&gt;&lt;pages&gt;1126-31&lt;/pages&gt;&lt;volume&gt;102&lt;/volume&gt;&lt;number&gt;10&lt;/number&gt;&lt;keywords&gt;&lt;keyword&gt;Aged&lt;/keyword&gt;&lt;keyword&gt;Female&lt;/keyword&gt;&lt;keyword&gt;Heart Failure/*diagnosis/*epidemiology/mortality&lt;/keyword&gt;&lt;keyword&gt;Humans&lt;/keyword&gt;&lt;keyword&gt;Male&lt;/keyword&gt;&lt;keyword&gt;Mortality/trends&lt;/keyword&gt;&lt;keyword&gt;Multivariate Analysis&lt;/keyword&gt;&lt;keyword&gt;Patient Admission&lt;/keyword&gt;&lt;keyword&gt;Prognosis&lt;/keyword&gt;&lt;keyword&gt;Social Isolation&lt;/keyword&gt;&lt;/keywords&gt;&lt;dates&gt;&lt;year&gt;2000&lt;/year&gt;&lt;pub-dates&gt;&lt;date&gt;Sep 05&lt;/date&gt;&lt;/pub-dates&gt;&lt;/dates&gt;&lt;isbn&gt;1524-4539 (Electronic)&amp;#xD;0009-7322 (Linking)&lt;/isbn&gt;&lt;accession-num&gt;10973841&lt;/accession-num&gt;&lt;urls&gt;&lt;related-urls&gt;&lt;url&gt;https://www.ncbi.nlm.nih.gov/pubmed/10973841&lt;/url&gt;&lt;/related-urls&gt;&lt;/urls&gt;&lt;/record&gt;&lt;/Cite&gt;&lt;/EndNote&gt;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[13]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2B4D09" w14:paraId="408DBA66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835C814" w14:textId="00F0FDDB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&lt;55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24974BD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0.0306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7106FD2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C9E9A1E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0.0306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B8B27AC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47DC2DB" w14:textId="45C3F6F3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A642A3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7A92F70" w14:textId="51A698D0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3CD92F30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834A550" w14:textId="038CF52E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55-64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6B6A1C4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0.1094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7689C6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34581E6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0.1094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C9523E7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08F3C78" w14:textId="09E5B1EE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A642A3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20FA27B" w14:textId="4BD34864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4870C458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2F40A7E" w14:textId="59772BAC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65-74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7437D9C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0.1197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3368AA3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E715533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0.1197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CDE5207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7FDC1D8" w14:textId="4BE7AF48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A642A3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D023324" w14:textId="1748A88F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6809AB76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9293CC3" w14:textId="224DA1E6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75-84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E0CC1AF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0.1262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A6F1CEF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3B5C5CE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0.1262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F724686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E0888F3" w14:textId="123C435D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A642A3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87ABF4D" w14:textId="2B02B7B0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B0637D" w:rsidRPr="002B4D09" w14:paraId="34654970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603BA70" w14:textId="391D102F" w:rsidR="00B0637D" w:rsidRPr="00426C9C" w:rsidRDefault="00B0637D" w:rsidP="00921576">
            <w:pPr>
              <w:spacing w:before="40" w:after="40" w:line="276" w:lineRule="auto"/>
              <w:ind w:firstLine="321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t>85+ years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8143C1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0.1240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5243A7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DFA3CD4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0.1240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13FC5EDE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0.0001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3D039EC" w14:textId="2CF0F0F9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A642A3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64AF350" w14:textId="1DB16283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</w:p>
        </w:tc>
      </w:tr>
      <w:tr w:rsidR="00D31D6B" w:rsidRPr="002B4D09" w14:paraId="4A4B4D00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CBF0D74" w14:textId="5002FD04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HR for death among patients with type 2 diabetes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873E4B9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1.80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11A4EEB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0.0269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95272AC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1.80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B062080" w14:textId="77777777" w:rsidR="00D31D6B" w:rsidRPr="00426C9C" w:rsidRDefault="00D31D6B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0.0269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519BD9E" w14:textId="2D1EAF37" w:rsidR="00D31D6B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</w:t>
            </w:r>
            <w:r w:rsidR="00D31D6B" w:rsidRPr="00426C9C">
              <w:rPr>
                <w:rFonts w:asciiTheme="minorHAnsi" w:hAnsiTheme="minorHAnsi"/>
              </w:rPr>
              <w:t>ognormal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78C3EA0" w14:textId="3B5C43A7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>
                <w:fldData xml:space="preserve">PEVuZE5vdGU+PENpdGU+PEF1dGhvcj5TZXNoYXNhaTwvQXV0aG9yPjxZZWFyPjIwMTE8L1llYXI+
PFJlY051bT4zNjwvUmVjTnVtPjxEaXNwbGF5VGV4dD5bMTZdPC9EaXNwbGF5VGV4dD48cmVjb3Jk
PjxyZWMtbnVtYmVyPjM2PC9yZWMtbnVtYmVyPjxmb3JlaWduLWtleXM+PGtleSBhcHA9IkVOIiBk
Yi1pZD0icHJyYWF3ZXd6MnRwd2FlMGF3ZXAyZXQ4YXh6ZjA1ZnRmZTJkIiB0aW1lc3RhbXA9IjE0
ODQyMzg3NzkiPjM2PC9rZXk+PC9mb3JlaWduLWtleXM+PHJlZi10eXBlIG5hbWU9IkpvdXJuYWwg
QXJ0aWNsZSI+MTc8L3JlZi10eXBlPjxjb250cmlidXRvcnM+PGF1dGhvcnM+PGF1dGhvcj5TZXNo
YXNhaSwgUy4gUi48L2F1dGhvcj48YXV0aG9yPkthcHRvZ2UsIFMuPC9hdXRob3I+PGF1dGhvcj5U
aG9tcHNvbiwgQS48L2F1dGhvcj48YXV0aG9yPkRpIEFuZ2VsYW50b25pbywgRS48L2F1dGhvcj48
YXV0aG9yPkdhbywgUC48L2F1dGhvcj48YXV0aG9yPlNhcndhciwgTi48L2F1dGhvcj48YXV0aG9y
PldoaW5jdXAsIFAuIEguPC9hdXRob3I+PGF1dGhvcj5NdWthbWFsLCBLLiBKLjwvYXV0aG9yPjxh
dXRob3I+R2lsbHVtLCBSLiBGLjwvYXV0aG9yPjxhdXRob3I+SG9sbWUsIEkuPC9hdXRob3I+PGF1
dGhvcj5Oam9sc3RhZCwgSS48L2F1dGhvcj48YXV0aG9yPkZsZXRjaGVyLCBBLjwvYXV0aG9yPjxh
dXRob3I+Tmlsc3NvbiwgUC48L2F1dGhvcj48YXV0aG9yPkxld2luZ3RvbiwgUy48L2F1dGhvcj48
YXV0aG9yPkNvbGxpbnMsIFIuPC9hdXRob3I+PGF1dGhvcj5HdWRuYXNvbiwgVi48L2F1dGhvcj48
YXV0aG9yPlRob21wc29uLCBTLiBHLjwvYXV0aG9yPjxhdXRob3I+U2F0dGFyLCBOLjwvYXV0aG9y
PjxhdXRob3I+U2VsdmluLCBFLjwvYXV0aG9yPjxhdXRob3I+SHUsIEYuIEIuPC9hdXRob3I+PGF1
dGhvcj5EYW5lc2gsIEouPC9hdXRob3I+PC9hdXRob3JzPjwvY29udHJpYnV0b3JzPjx0aXRsZXM+
PHRpdGxlPkRpYWJldGVzIG1lbGxpdHVzLCBmYXN0aW5nIGdsdWNvc2UsIGFuZCByaXNrIG9mIGNh
dXNlLXNwZWNpZmljIGRlYXRoPC90aXRsZT48c2Vjb25kYXJ5LXRpdGxlPk4gRW5nbCBKIE1lZDwv
c2Vjb25kYXJ5LXRpdGxlPjwvdGl0bGVzPjxwZXJpb2RpY2FsPjxmdWxsLXRpdGxlPk4gRW5nbCBK
IE1lZDwvZnVsbC10aXRsZT48L3BlcmlvZGljYWw+PHBhZ2VzPjgyOS00MTwvcGFnZXM+PHZvbHVt
ZT4zNjQ8L3ZvbHVtZT48bnVtYmVyPjk8L251bWJlcj48a2V5d29yZHM+PGtleXdvcmQ+Qmxvb2Qg
R2x1Y29zZS8qYW5hbHlzaXM8L2tleXdvcmQ+PGtleXdvcmQ+Q2F1c2Ugb2YgRGVhdGg8L2tleXdv
cmQ+PGtleXdvcmQ+RGlhYmV0ZXMgTWVsbGl0dXMvYmxvb2QvKm1vcnRhbGl0eTwva2V5d29yZD48
a2V5d29yZD5GZW1hbGU8L2tleXdvcmQ+PGtleXdvcmQ+SHVtYW5zPC9rZXl3b3JkPjxrZXl3b3Jk
Pkh5cGVyZ2x5Y2VtaWEvbW9ydGFsaXR5PC9rZXl3b3JkPjxrZXl3b3JkPipMaWZlIEV4cGVjdGFu
Y3k8L2tleXdvcmQ+PGtleXdvcmQ+TWFsZTwva2V5d29yZD48a2V5d29yZD5NaWRkbGUgQWdlZDwv
a2V5d29yZD48a2V5d29yZD5SaXNrPC9rZXl3b3JkPjxrZXl3b3JkPlN1cnZpdmFsIEFuYWx5c2lz
PC9rZXl3b3JkPjwva2V5d29yZHM+PGRhdGVzPjx5ZWFyPjIwMTE8L3llYXI+PHB1Yi1kYXRlcz48
ZGF0ZT5NYXIgMDM8L2RhdGU+PC9wdWItZGF0ZXM+PC9kYXRlcz48aXNibj4xNTMzLTQ0MDYgKEVs
ZWN0cm9uaWMpJiN4RDswMDI4LTQ3OTMgKExpbmtpbmcpPC9pc2JuPjxhY2Nlc3Npb24tbnVtPjIx
MzY2NDc0PC9hY2Nlc3Npb24tbnVtPjx1cmxzPjxyZWxhdGVkLXVybHM+PHVybD48c3R5bGUgZmFj
ZT0idW5kZXJsaW5lIiBmb250PSJkZWZhdWx0IiBzaXplPSIxMDAlIj5odHRwczovL3d3dy5uY2Jp
Lm5sbS5uaWguZ292L3B1Ym1lZC8yMTM2NjQ3NDwvc3R5bGU+PC91cmw+PC9yZWxhdGVkLXVybHM+
PC91cmxzPjxjdXN0b20yPlBNQzQxMDk5ODA8L2N1c3RvbTI+PGVsZWN0cm9uaWMtcmVzb3VyY2Ut
bnVtPjEwLjEwNTYvTkVKTW9hMTAwODg2MjwvZWxlY3Ryb25pYy1yZXNvdXJjZS1udW0+PC9yZWNv
cmQ+PC9DaXRlPjwvRW5kTm90ZT5=
</w:fldData>
              </w:fldChar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</w:instrText>
            </w:r>
            <w:r w:rsidR="0076344E">
              <w:rPr>
                <w:rFonts w:asciiTheme="minorHAnsi" w:hAnsiTheme="minorHAnsi"/>
                <w:lang w:eastAsia="zh-TW"/>
              </w:rPr>
              <w:fldChar w:fldCharType="begin">
                <w:fldData xml:space="preserve">PEVuZE5vdGU+PENpdGU+PEF1dGhvcj5TZXNoYXNhaTwvQXV0aG9yPjxZZWFyPjIwMTE8L1llYXI+
PFJlY051bT4zNjwvUmVjTnVtPjxEaXNwbGF5VGV4dD5bMTZdPC9EaXNwbGF5VGV4dD48cmVjb3Jk
PjxyZWMtbnVtYmVyPjM2PC9yZWMtbnVtYmVyPjxmb3JlaWduLWtleXM+PGtleSBhcHA9IkVOIiBk
Yi1pZD0icHJyYWF3ZXd6MnRwd2FlMGF3ZXAyZXQ4YXh6ZjA1ZnRmZTJkIiB0aW1lc3RhbXA9IjE0
ODQyMzg3NzkiPjM2PC9rZXk+PC9mb3JlaWduLWtleXM+PHJlZi10eXBlIG5hbWU9IkpvdXJuYWwg
QXJ0aWNsZSI+MTc8L3JlZi10eXBlPjxjb250cmlidXRvcnM+PGF1dGhvcnM+PGF1dGhvcj5TZXNo
YXNhaSwgUy4gUi48L2F1dGhvcj48YXV0aG9yPkthcHRvZ2UsIFMuPC9hdXRob3I+PGF1dGhvcj5U
aG9tcHNvbiwgQS48L2F1dGhvcj48YXV0aG9yPkRpIEFuZ2VsYW50b25pbywgRS48L2F1dGhvcj48
YXV0aG9yPkdhbywgUC48L2F1dGhvcj48YXV0aG9yPlNhcndhciwgTi48L2F1dGhvcj48YXV0aG9y
PldoaW5jdXAsIFAuIEguPC9hdXRob3I+PGF1dGhvcj5NdWthbWFsLCBLLiBKLjwvYXV0aG9yPjxh
dXRob3I+R2lsbHVtLCBSLiBGLjwvYXV0aG9yPjxhdXRob3I+SG9sbWUsIEkuPC9hdXRob3I+PGF1
dGhvcj5Oam9sc3RhZCwgSS48L2F1dGhvcj48YXV0aG9yPkZsZXRjaGVyLCBBLjwvYXV0aG9yPjxh
dXRob3I+Tmlsc3NvbiwgUC48L2F1dGhvcj48YXV0aG9yPkxld2luZ3RvbiwgUy48L2F1dGhvcj48
YXV0aG9yPkNvbGxpbnMsIFIuPC9hdXRob3I+PGF1dGhvcj5HdWRuYXNvbiwgVi48L2F1dGhvcj48
YXV0aG9yPlRob21wc29uLCBTLiBHLjwvYXV0aG9yPjxhdXRob3I+U2F0dGFyLCBOLjwvYXV0aG9y
PjxhdXRob3I+U2VsdmluLCBFLjwvYXV0aG9yPjxhdXRob3I+SHUsIEYuIEIuPC9hdXRob3I+PGF1
dGhvcj5EYW5lc2gsIEouPC9hdXRob3I+PC9hdXRob3JzPjwvY29udHJpYnV0b3JzPjx0aXRsZXM+
PHRpdGxlPkRpYWJldGVzIG1lbGxpdHVzLCBmYXN0aW5nIGdsdWNvc2UsIGFuZCByaXNrIG9mIGNh
dXNlLXNwZWNpZmljIGRlYXRoPC90aXRsZT48c2Vjb25kYXJ5LXRpdGxlPk4gRW5nbCBKIE1lZDwv
c2Vjb25kYXJ5LXRpdGxlPjwvdGl0bGVzPjxwZXJpb2RpY2FsPjxmdWxsLXRpdGxlPk4gRW5nbCBK
IE1lZDwvZnVsbC10aXRsZT48L3BlcmlvZGljYWw+PHBhZ2VzPjgyOS00MTwvcGFnZXM+PHZvbHVt
ZT4zNjQ8L3ZvbHVtZT48bnVtYmVyPjk8L251bWJlcj48a2V5d29yZHM+PGtleXdvcmQ+Qmxvb2Qg
R2x1Y29zZS8qYW5hbHlzaXM8L2tleXdvcmQ+PGtleXdvcmQ+Q2F1c2Ugb2YgRGVhdGg8L2tleXdv
cmQ+PGtleXdvcmQ+RGlhYmV0ZXMgTWVsbGl0dXMvYmxvb2QvKm1vcnRhbGl0eTwva2V5d29yZD48
a2V5d29yZD5GZW1hbGU8L2tleXdvcmQ+PGtleXdvcmQ+SHVtYW5zPC9rZXl3b3JkPjxrZXl3b3Jk
Pkh5cGVyZ2x5Y2VtaWEvbW9ydGFsaXR5PC9rZXl3b3JkPjxrZXl3b3JkPipMaWZlIEV4cGVjdGFu
Y3k8L2tleXdvcmQ+PGtleXdvcmQ+TWFsZTwva2V5d29yZD48a2V5d29yZD5NaWRkbGUgQWdlZDwv
a2V5d29yZD48a2V5d29yZD5SaXNrPC9rZXl3b3JkPjxrZXl3b3JkPlN1cnZpdmFsIEFuYWx5c2lz
PC9rZXl3b3JkPjwva2V5d29yZHM+PGRhdGVzPjx5ZWFyPjIwMTE8L3llYXI+PHB1Yi1kYXRlcz48
ZGF0ZT5NYXIgMDM8L2RhdGU+PC9wdWItZGF0ZXM+PC9kYXRlcz48aXNibj4xNTMzLTQ0MDYgKEVs
ZWN0cm9uaWMpJiN4RDswMDI4LTQ3OTMgKExpbmtpbmcpPC9pc2JuPjxhY2Nlc3Npb24tbnVtPjIx
MzY2NDc0PC9hY2Nlc3Npb24tbnVtPjx1cmxzPjxyZWxhdGVkLXVybHM+PHVybD48c3R5bGUgZmFj
ZT0idW5kZXJsaW5lIiBmb250PSJkZWZhdWx0IiBzaXplPSIxMDAlIj5odHRwczovL3d3dy5uY2Jp
Lm5sbS5uaWguZ292L3B1Ym1lZC8yMTM2NjQ3NDwvc3R5bGU+PC91cmw+PC9yZWxhdGVkLXVybHM+
PC91cmxzPjxjdXN0b20yPlBNQzQxMDk5ODA8L2N1c3RvbTI+PGVsZWN0cm9uaWMtcmVzb3VyY2Ut
bnVtPjEwLjEwNTYvTkVKTW9hMTAwODg2MjwvZWxlY3Ryb25pYy1yZXNvdXJjZS1udW0+PC9yZWNv
cmQ+PC9DaXRlPjwvRW5kTm90ZT5=
</w:fldData>
              </w:fldChar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EN.CITE.DATA </w:instrText>
            </w:r>
            <w:r w:rsidR="0076344E">
              <w:rPr>
                <w:rFonts w:asciiTheme="minorHAnsi" w:hAnsiTheme="minorHAnsi"/>
                <w:lang w:eastAsia="zh-TW"/>
              </w:rPr>
            </w:r>
            <w:r w:rsidR="0076344E">
              <w:rPr>
                <w:rFonts w:asciiTheme="minorHAnsi" w:hAnsiTheme="minorHAnsi"/>
                <w:lang w:eastAsia="zh-TW"/>
              </w:rPr>
              <w:fldChar w:fldCharType="end"/>
            </w:r>
            <w:r w:rsidRPr="00426C9C">
              <w:rPr>
                <w:rFonts w:asciiTheme="minorHAnsi" w:hAnsiTheme="minorHAnsi"/>
                <w:lang w:eastAsia="zh-TW"/>
              </w:rPr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[16]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2B4D09" w14:paraId="762921D2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45D5E0C7" w14:textId="785FC400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Breast cancer mortality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91CFBB9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–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7F1C259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–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0B99785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0.0290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6AF66BD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0.0004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A94A6A6" w14:textId="13857D92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 w:rsidRPr="00D9236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03C9F783" w14:textId="7203F8F1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&lt;EndNote&gt;&lt;Cite&gt;&lt;Author&gt;Office for National Statistics&lt;/Author&gt;&lt;Year&gt;2016&lt;/Year&gt;&lt;RecNum&gt;40&lt;/RecNum&gt;&lt;DisplayText&gt;[17]&lt;/DisplayText&gt;&lt;record&gt;&lt;rec-number&gt;40&lt;/rec-number&gt;&lt;foreign-keys&gt;&lt;key app="EN" db-id="prraawewz2tpwae0awep2et8axzf05ftfe2d" timestamp="1484241144"&gt;40&lt;/key&gt;&lt;/foreign-keys&gt;&lt;ref-type name="Web Page"&gt;12&lt;/ref-type&gt;&lt;contributors&gt;&lt;authors&gt;&lt;author&gt;Office for National Statistics,&lt;/author&gt;&lt;/authors&gt;&lt;/contributors&gt;&lt;titles&gt;&lt;title&gt;Cancer survival in England - adults diagnosed&lt;/title&gt;&lt;/titles&gt;&lt;number&gt;26 October 2016&lt;/number&gt;&lt;dates&gt;&lt;year&gt;2016&lt;/year&gt;&lt;/dates&gt;&lt;urls&gt;&lt;related-urls&gt;&lt;url&gt;&lt;style face="underline" font="default" size="100%"&gt;http://www.ons.gov.uk/file?uri=/peoplepopulationandcommunity/healthandsocialcare/conditionsanddiseases/datasets/cancersurvivalratescancersurvivalinenglandadultsdiagnosed/20102014/finalreferencetablev2.xls&lt;/style&gt;&lt;/url&gt;&lt;/related-urls&gt;&lt;/urls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[17]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2B4D09" w14:paraId="116AB582" w14:textId="77777777" w:rsidTr="00A52A0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3036F33" w14:textId="7B6C2AC9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Colorectal cancer mortality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5CDBF62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0.1038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133F3DC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0.0006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511F0FE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0.1035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2FB291C6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0.0006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708F25E1" w14:textId="402D522F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 w:rsidRPr="00D9236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4" w:space="0" w:color="595959" w:themeColor="text1" w:themeTint="A6"/>
            </w:tcBorders>
          </w:tcPr>
          <w:p w14:paraId="3EAD177C" w14:textId="21F9324D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&lt;EndNote&gt;&lt;Cite&gt;&lt;Author&gt;Office for National Statistics&lt;/Author&gt;&lt;Year&gt;2016&lt;/Year&gt;&lt;RecNum&gt;40&lt;/RecNum&gt;&lt;DisplayText&gt;[17]&lt;/DisplayText&gt;&lt;record&gt;&lt;rec-number&gt;40&lt;/rec-number&gt;&lt;foreign-keys&gt;&lt;key app="EN" db-id="prraawewz2tpwae0awep2et8axzf05ftfe2d" timestamp="1484241144"&gt;40&lt;/key&gt;&lt;/foreign-keys&gt;&lt;ref-type name="Web Page"&gt;12&lt;/ref-type&gt;&lt;contributors&gt;&lt;authors&gt;&lt;author&gt;Office for National Statistics,&lt;/author&gt;&lt;/authors&gt;&lt;/contributors&gt;&lt;titles&gt;&lt;title&gt;Cancer survival in England - adults diagnosed&lt;/title&gt;&lt;/titles&gt;&lt;number&gt;26 October 2016&lt;/number&gt;&lt;dates&gt;&lt;year&gt;2016&lt;/year&gt;&lt;/dates&gt;&lt;urls&gt;&lt;related-urls&gt;&lt;url&gt;&lt;style face="underline" font="default" size="100%"&gt;http://www.ons.gov.uk/file?uri=/peoplepopulationandcommunity/healthandsocialcare/conditionsanddiseases/datasets/cancersurvivalratescancersurvivalinenglandadultsdiagnosed/20102014/finalreferencetablev2.xls&lt;/style&gt;&lt;/url&gt;&lt;/related-urls&gt;&lt;/urls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[17]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B0637D" w:rsidRPr="002B4D09" w14:paraId="46C21B2D" w14:textId="77777777" w:rsidTr="00A52A09">
        <w:trPr>
          <w:gridAfter w:val="1"/>
          <w:wAfter w:w="6" w:type="dxa"/>
        </w:trPr>
        <w:tc>
          <w:tcPr>
            <w:tcW w:w="2837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45C1FE50" w14:textId="06C83FC8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Lung cancer mortality</w:t>
            </w:r>
          </w:p>
        </w:tc>
        <w:tc>
          <w:tcPr>
            <w:tcW w:w="1129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3E4624D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0.3523</w:t>
            </w:r>
          </w:p>
        </w:tc>
        <w:tc>
          <w:tcPr>
            <w:tcW w:w="844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24004DE2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0.0004</w:t>
            </w:r>
          </w:p>
        </w:tc>
        <w:tc>
          <w:tcPr>
            <w:tcW w:w="1237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3AB8A1A8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0.3112</w:t>
            </w:r>
          </w:p>
        </w:tc>
        <w:tc>
          <w:tcPr>
            <w:tcW w:w="972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581E799B" w14:textId="77777777" w:rsidR="00B0637D" w:rsidRPr="00426C9C" w:rsidRDefault="00B0637D" w:rsidP="00921576">
            <w:pPr>
              <w:spacing w:before="40" w:after="40" w:line="276" w:lineRule="auto"/>
              <w:jc w:val="center"/>
              <w:rPr>
                <w:rFonts w:asciiTheme="minorHAnsi" w:hAnsiTheme="minorHAnsi"/>
              </w:rPr>
            </w:pPr>
            <w:r w:rsidRPr="00426C9C">
              <w:rPr>
                <w:rFonts w:asciiTheme="minorHAnsi" w:hAnsiTheme="minorHAnsi"/>
              </w:rPr>
              <w:t>0.0005</w:t>
            </w:r>
          </w:p>
        </w:tc>
        <w:tc>
          <w:tcPr>
            <w:tcW w:w="1209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242C0567" w14:textId="6C4FF075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</w:rPr>
            </w:pPr>
            <w:r w:rsidRPr="00D9236E">
              <w:rPr>
                <w:rFonts w:asciiTheme="minorHAnsi" w:hAnsiTheme="minorHAnsi"/>
                <w:lang w:eastAsia="zh-TW"/>
              </w:rPr>
              <w:t>beta</w:t>
            </w:r>
          </w:p>
        </w:tc>
        <w:tc>
          <w:tcPr>
            <w:tcW w:w="849" w:type="dxa"/>
            <w:tcBorders>
              <w:top w:val="single" w:sz="4" w:space="0" w:color="595959" w:themeColor="text1" w:themeTint="A6"/>
              <w:bottom w:val="single" w:sz="12" w:space="0" w:color="auto"/>
            </w:tcBorders>
          </w:tcPr>
          <w:p w14:paraId="47D80EF1" w14:textId="5EE3C469" w:rsidR="00B0637D" w:rsidRPr="00426C9C" w:rsidRDefault="00B0637D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  <w:lang w:eastAsia="zh-TW"/>
              </w:rPr>
              <w:fldChar w:fldCharType="begin"/>
            </w:r>
            <w:r w:rsidR="0076344E">
              <w:rPr>
                <w:rFonts w:asciiTheme="minorHAnsi" w:hAnsiTheme="minorHAnsi"/>
                <w:lang w:eastAsia="zh-TW"/>
              </w:rPr>
              <w:instrText xml:space="preserve"> ADDIN EN.CITE &lt;EndNote&gt;&lt;Cite&gt;&lt;Author&gt;Office for National Statistics&lt;/Author&gt;&lt;Year&gt;2016&lt;/Year&gt;&lt;RecNum&gt;40&lt;/RecNum&gt;&lt;DisplayText&gt;[17]&lt;/DisplayText&gt;&lt;record&gt;&lt;rec-number&gt;40&lt;/rec-number&gt;&lt;foreign-keys&gt;&lt;key app="EN" db-id="prraawewz2tpwae0awep2et8axzf05ftfe2d" timestamp="1484241144"&gt;40&lt;/key&gt;&lt;/foreign-keys&gt;&lt;ref-type name="Web Page"&gt;12&lt;/ref-type&gt;&lt;contributors&gt;&lt;authors&gt;&lt;author&gt;Office for National Statistics,&lt;/author&gt;&lt;/authors&gt;&lt;/contributors&gt;&lt;titles&gt;&lt;title&gt;Cancer survival in England - adults diagnosed&lt;/title&gt;&lt;/titles&gt;&lt;number&gt;26 October 2016&lt;/number&gt;&lt;dates&gt;&lt;year&gt;2016&lt;/year&gt;&lt;/dates&gt;&lt;urls&gt;&lt;related-urls&gt;&lt;url&gt;&lt;style face="underline" font="default" size="100%"&gt;http://www.ons.gov.uk/file?uri=/peoplepopulationandcommunity/healthandsocialcare/conditionsanddiseases/datasets/cancersurvivalratescancersurvivalinenglandadultsdiagnosed/20102014/finalreferencetablev2.xls&lt;/style&gt;&lt;/url&gt;&lt;/related-urls&gt;&lt;/urls&gt;&lt;/record&gt;&lt;/Cite&gt;&lt;/EndNote&gt;</w:instrText>
            </w:r>
            <w:r w:rsidRPr="00426C9C">
              <w:rPr>
                <w:rFonts w:asciiTheme="minorHAnsi" w:hAnsiTheme="minorHAnsi"/>
                <w:lang w:eastAsia="zh-TW"/>
              </w:rPr>
              <w:fldChar w:fldCharType="separate"/>
            </w:r>
            <w:r w:rsidR="0076344E">
              <w:rPr>
                <w:rFonts w:asciiTheme="minorHAnsi" w:hAnsiTheme="minorHAnsi"/>
                <w:noProof/>
                <w:lang w:eastAsia="zh-TW"/>
              </w:rPr>
              <w:t>[17]</w:t>
            </w:r>
            <w:r w:rsidRPr="00426C9C">
              <w:rPr>
                <w:rFonts w:asciiTheme="minorHAnsi" w:hAnsiTheme="minorHAnsi"/>
                <w:lang w:eastAsia="zh-TW"/>
              </w:rPr>
              <w:fldChar w:fldCharType="end"/>
            </w:r>
          </w:p>
        </w:tc>
      </w:tr>
      <w:tr w:rsidR="00D31D6B" w:rsidRPr="002B4D09" w14:paraId="5C4C0045" w14:textId="77777777" w:rsidTr="00162D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083" w:type="dxa"/>
            <w:gridSpan w:val="8"/>
            <w:tcBorders>
              <w:top w:val="single" w:sz="12" w:space="0" w:color="2E74B5" w:themeColor="accent1" w:themeShade="BF"/>
              <w:bottom w:val="nil"/>
            </w:tcBorders>
          </w:tcPr>
          <w:p w14:paraId="1F996F35" w14:textId="3BAE13E5" w:rsidR="00D31D6B" w:rsidRPr="00426C9C" w:rsidRDefault="00D31D6B" w:rsidP="00921576">
            <w:pPr>
              <w:spacing w:before="40" w:after="40" w:line="276" w:lineRule="auto"/>
              <w:rPr>
                <w:rFonts w:asciiTheme="minorHAnsi" w:hAnsiTheme="minorHAnsi"/>
                <w:lang w:eastAsia="zh-TW"/>
              </w:rPr>
            </w:pPr>
            <w:r w:rsidRPr="00426C9C">
              <w:rPr>
                <w:rFonts w:asciiTheme="minorHAnsi" w:hAnsiTheme="minorHAnsi"/>
              </w:rPr>
              <w:t>HR = Hazard ratio; SMR = Standardised mortality ratio</w:t>
            </w:r>
          </w:p>
        </w:tc>
      </w:tr>
    </w:tbl>
    <w:p w14:paraId="023C77C7" w14:textId="27D9559E" w:rsidR="00E63E79" w:rsidRDefault="00E63E79" w:rsidP="00DE3C54">
      <w:pPr>
        <w:pStyle w:val="Heading1"/>
        <w:numPr>
          <w:ilvl w:val="0"/>
          <w:numId w:val="11"/>
        </w:numPr>
        <w:ind w:left="360"/>
      </w:pPr>
      <w:r>
        <w:lastRenderedPageBreak/>
        <w:t>Model validation</w:t>
      </w:r>
      <w:r w:rsidR="005707B5">
        <w:t xml:space="preserve"> results</w:t>
      </w:r>
    </w:p>
    <w:p w14:paraId="79CC1365" w14:textId="77777777" w:rsidR="00BE0C60" w:rsidRDefault="00BE0C60" w:rsidP="00BE0C60">
      <w:pPr>
        <w:pStyle w:val="Heading2"/>
      </w:pPr>
      <w:r>
        <w:t>Cohort profile</w:t>
      </w:r>
    </w:p>
    <w:p w14:paraId="24227CB5" w14:textId="77777777" w:rsidR="00BE0C60" w:rsidRDefault="00BE0C60" w:rsidP="00BE0C60">
      <w:r w:rsidRPr="00757F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247B336D" wp14:editId="09AF5A6A">
            <wp:extent cx="5759450" cy="3240000"/>
            <wp:effectExtent l="0" t="0" r="12700" b="1778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BEAA603" w14:textId="1A20FF8A" w:rsidR="006862B0" w:rsidRDefault="006862B0" w:rsidP="00921576">
      <w:pPr>
        <w:pStyle w:val="Caption"/>
      </w:pPr>
      <w:r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1</w:t>
      </w:r>
      <w:r w:rsidR="00034ACF">
        <w:rPr>
          <w:noProof/>
        </w:rPr>
        <w:fldChar w:fldCharType="end"/>
      </w:r>
      <w:r>
        <w:t xml:space="preserve">: Cohort profile (male) </w:t>
      </w:r>
    </w:p>
    <w:p w14:paraId="0AA0A6F6" w14:textId="77777777" w:rsidR="00BE0C60" w:rsidRPr="00781E7D" w:rsidRDefault="00BE0C60" w:rsidP="00BE0C60">
      <w:r>
        <w:rPr>
          <w:noProof/>
          <w:lang w:eastAsia="en-GB"/>
        </w:rPr>
        <w:drawing>
          <wp:inline distT="0" distB="0" distL="0" distR="0" wp14:anchorId="6E89EA13" wp14:editId="272C55C6">
            <wp:extent cx="5760000" cy="3240000"/>
            <wp:effectExtent l="0" t="0" r="12700" b="17780"/>
            <wp:docPr id="14" name="Chart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8BE7DA8" w14:textId="36D809B1" w:rsidR="006862B0" w:rsidRDefault="006862B0" w:rsidP="00921576">
      <w:pPr>
        <w:pStyle w:val="Caption"/>
      </w:pPr>
      <w:r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2</w:t>
      </w:r>
      <w:r w:rsidR="00034ACF">
        <w:rPr>
          <w:noProof/>
        </w:rPr>
        <w:fldChar w:fldCharType="end"/>
      </w:r>
      <w:r>
        <w:t>: Cohort profile (female)</w:t>
      </w:r>
    </w:p>
    <w:p w14:paraId="5031E06A" w14:textId="7E21B9AB" w:rsidR="00BE0C60" w:rsidRDefault="00BE0C60" w:rsidP="00BE0C60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</w:p>
    <w:p w14:paraId="3109CBE0" w14:textId="2F273783" w:rsidR="00C7447B" w:rsidRDefault="00DD69F8" w:rsidP="005707B5">
      <w:pPr>
        <w:pStyle w:val="Heading2"/>
      </w:pPr>
      <w:r>
        <w:lastRenderedPageBreak/>
        <w:t xml:space="preserve">Prevalence of </w:t>
      </w:r>
      <w:r w:rsidR="00E908DE">
        <w:t xml:space="preserve">physical activity </w:t>
      </w:r>
      <w:r>
        <w:t xml:space="preserve">levels by </w:t>
      </w:r>
      <w:r w:rsidR="00C7447B">
        <w:t xml:space="preserve">age group and gender </w:t>
      </w:r>
    </w:p>
    <w:p w14:paraId="7D726630" w14:textId="4A990D1E" w:rsidR="00AD40E6" w:rsidRDefault="00AD40E6" w:rsidP="00921576">
      <w:pPr>
        <w:pStyle w:val="Caption"/>
      </w:pPr>
      <w:r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3</w:t>
      </w:r>
      <w:r w:rsidR="00034ACF">
        <w:rPr>
          <w:noProof/>
        </w:rPr>
        <w:fldChar w:fldCharType="end"/>
      </w:r>
      <w:r>
        <w:t>: Physical activity levels by age group in Male (HSE 2012 data vs no intervention ‘control’)</w:t>
      </w:r>
    </w:p>
    <w:p w14:paraId="2858A697" w14:textId="77777777" w:rsidR="00A83EF0" w:rsidRPr="00A83EF0" w:rsidRDefault="00A83EF0" w:rsidP="00A83EF0">
      <w:r>
        <w:rPr>
          <w:noProof/>
          <w:lang w:eastAsia="en-GB"/>
        </w:rPr>
        <w:drawing>
          <wp:inline distT="0" distB="0" distL="0" distR="0" wp14:anchorId="4D9A1676" wp14:editId="6AE3486C">
            <wp:extent cx="5759450" cy="3257550"/>
            <wp:effectExtent l="0" t="0" r="1270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6B5F7F66" w14:textId="6157187D" w:rsidR="00DD69F8" w:rsidRDefault="00DD69F8" w:rsidP="00F4093A"/>
    <w:p w14:paraId="0BC0EBC8" w14:textId="15851C7A" w:rsidR="00C7447B" w:rsidRDefault="00141D28" w:rsidP="00921576">
      <w:pPr>
        <w:pStyle w:val="Caption"/>
      </w:pPr>
      <w:r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4</w:t>
      </w:r>
      <w:r w:rsidR="00034ACF">
        <w:rPr>
          <w:noProof/>
        </w:rPr>
        <w:fldChar w:fldCharType="end"/>
      </w:r>
      <w:r>
        <w:t>:</w:t>
      </w:r>
      <w:r w:rsidR="00C7447B">
        <w:t xml:space="preserve"> </w:t>
      </w:r>
      <w:r w:rsidR="00E908DE">
        <w:t xml:space="preserve">Physical activity </w:t>
      </w:r>
      <w:r w:rsidR="00C7447B">
        <w:t>levels by age group in Female (HS</w:t>
      </w:r>
      <w:r w:rsidR="00FC18A3">
        <w:t>E 2012 data vs no intervention ‘</w:t>
      </w:r>
      <w:r w:rsidR="00C7447B">
        <w:t>control’)</w:t>
      </w:r>
    </w:p>
    <w:p w14:paraId="465DB1E6" w14:textId="6BBB8795" w:rsidR="00DD69F8" w:rsidRDefault="00A83EF0" w:rsidP="00F4093A">
      <w:r>
        <w:rPr>
          <w:noProof/>
          <w:lang w:eastAsia="en-GB"/>
        </w:rPr>
        <w:drawing>
          <wp:inline distT="0" distB="0" distL="0" distR="0" wp14:anchorId="144D4A21" wp14:editId="2C5E399E">
            <wp:extent cx="5549900" cy="3149600"/>
            <wp:effectExtent l="0" t="0" r="12700" b="1270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A5CB7F0" w14:textId="77777777" w:rsidR="004E7C10" w:rsidRDefault="004E7C10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  <w:r>
        <w:br w:type="page"/>
      </w:r>
    </w:p>
    <w:p w14:paraId="6C5A9E93" w14:textId="39F51613" w:rsidR="00B40728" w:rsidRDefault="000E480F" w:rsidP="005707B5">
      <w:pPr>
        <w:pStyle w:val="Heading2"/>
      </w:pPr>
      <w:r>
        <w:lastRenderedPageBreak/>
        <w:t xml:space="preserve">Risk of </w:t>
      </w:r>
      <w:r w:rsidR="005E5A1F">
        <w:t>disease events</w:t>
      </w:r>
    </w:p>
    <w:p w14:paraId="44A228D9" w14:textId="77777777" w:rsidR="00DC5054" w:rsidRPr="00DC5054" w:rsidRDefault="00DC5054" w:rsidP="00DC5054"/>
    <w:p w14:paraId="397B6948" w14:textId="23A92ED4" w:rsidR="00AD40E6" w:rsidRDefault="00AD40E6" w:rsidP="00921576">
      <w:pPr>
        <w:pStyle w:val="Caption"/>
      </w:pPr>
      <w:r>
        <w:t xml:space="preserve">Figure </w:t>
      </w:r>
      <w:r w:rsidR="00E91AB6">
        <w:t>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5</w:t>
      </w:r>
      <w:r w:rsidR="00034ACF">
        <w:rPr>
          <w:noProof/>
        </w:rPr>
        <w:fldChar w:fldCharType="end"/>
      </w:r>
      <w:r w:rsidR="00E91AB6">
        <w:t xml:space="preserve">: CHD incidence: model predicted versus </w:t>
      </w:r>
      <w:r w:rsidR="005301DE">
        <w:t>data</w:t>
      </w:r>
      <w:r w:rsidR="005F11BB">
        <w:t xml:space="preserve"> informing model parameter </w:t>
      </w:r>
      <w:r w:rsidR="005301DE">
        <w:t>by age-group and gender</w:t>
      </w:r>
    </w:p>
    <w:p w14:paraId="6D83DD64" w14:textId="77777777" w:rsidR="00AD40E6" w:rsidRDefault="00AD40E6" w:rsidP="00AD40E6">
      <w:pPr>
        <w:keepNext/>
      </w:pPr>
      <w:r>
        <w:rPr>
          <w:noProof/>
          <w:lang w:eastAsia="en-GB"/>
        </w:rPr>
        <w:drawing>
          <wp:inline distT="0" distB="0" distL="0" distR="0" wp14:anchorId="2A1DBE1C" wp14:editId="35D528E8">
            <wp:extent cx="5760000" cy="2570480"/>
            <wp:effectExtent l="0" t="0" r="12700" b="1270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559E7956" w14:textId="0AB3C6F5" w:rsidR="0076344E" w:rsidRDefault="0076344E" w:rsidP="00F4093A"/>
    <w:p w14:paraId="2DE45196" w14:textId="77777777" w:rsidR="009832E3" w:rsidRDefault="009832E3" w:rsidP="00F4093A"/>
    <w:p w14:paraId="5350CF4A" w14:textId="088B603B" w:rsidR="008A1C94" w:rsidRDefault="008A1C94" w:rsidP="00921576">
      <w:pPr>
        <w:pStyle w:val="Caption"/>
      </w:pPr>
      <w:r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6</w:t>
      </w:r>
      <w:r w:rsidR="00034ACF">
        <w:rPr>
          <w:noProof/>
        </w:rPr>
        <w:fldChar w:fldCharType="end"/>
      </w:r>
      <w:r>
        <w:t>: Stroke incidence: model predicted versus data informing model parameter by age-group and gender</w:t>
      </w:r>
    </w:p>
    <w:p w14:paraId="793C80B1" w14:textId="66C1CF78" w:rsidR="0076344E" w:rsidRDefault="00B360DF" w:rsidP="00F4093A">
      <w:r>
        <w:rPr>
          <w:noProof/>
          <w:lang w:eastAsia="en-GB"/>
        </w:rPr>
        <w:drawing>
          <wp:inline distT="0" distB="0" distL="0" distR="0" wp14:anchorId="35FB305B" wp14:editId="4D8F2333">
            <wp:extent cx="5759450" cy="2686050"/>
            <wp:effectExtent l="0" t="0" r="12700" b="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7BF28383" w14:textId="3B0202A3" w:rsidR="00AD43AC" w:rsidRDefault="00AD43AC">
      <w:pPr>
        <w:spacing w:after="160" w:line="259" w:lineRule="auto"/>
      </w:pPr>
    </w:p>
    <w:p w14:paraId="36DEB23E" w14:textId="7CA76720" w:rsidR="00E75F25" w:rsidRDefault="00E75F25" w:rsidP="00921576">
      <w:pPr>
        <w:pStyle w:val="Caption"/>
      </w:pPr>
      <w:r>
        <w:lastRenderedPageBreak/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7</w:t>
      </w:r>
      <w:r w:rsidR="00034ACF">
        <w:rPr>
          <w:noProof/>
        </w:rPr>
        <w:fldChar w:fldCharType="end"/>
      </w:r>
      <w:r>
        <w:t>: Heart failure incidence: model predicted versus data informing model parameter by age-group and gender</w:t>
      </w:r>
    </w:p>
    <w:p w14:paraId="6C267A03" w14:textId="24B72238" w:rsidR="00A271C8" w:rsidRDefault="00A271C8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  <w:r>
        <w:rPr>
          <w:noProof/>
          <w:lang w:eastAsia="en-GB"/>
        </w:rPr>
        <w:drawing>
          <wp:inline distT="0" distB="0" distL="0" distR="0" wp14:anchorId="478E7FDD" wp14:editId="074629FB">
            <wp:extent cx="5759450" cy="2933700"/>
            <wp:effectExtent l="0" t="0" r="12700" b="0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20A89078" w14:textId="087AE865" w:rsidR="00A271C8" w:rsidRDefault="00A271C8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</w:p>
    <w:p w14:paraId="6E32225C" w14:textId="77777777" w:rsidR="009832E3" w:rsidRDefault="009832E3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</w:p>
    <w:p w14:paraId="53CBBB94" w14:textId="08EB7E7E" w:rsidR="00E75F25" w:rsidRDefault="00E75F25" w:rsidP="00921576">
      <w:pPr>
        <w:pStyle w:val="Caption"/>
      </w:pPr>
      <w:r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8</w:t>
      </w:r>
      <w:r w:rsidR="00034ACF">
        <w:rPr>
          <w:noProof/>
        </w:rPr>
        <w:fldChar w:fldCharType="end"/>
      </w:r>
      <w:r>
        <w:t>: Incidence of type 2 diabetes: model predicted versus data informing model parameter by age-group and gender</w:t>
      </w:r>
    </w:p>
    <w:p w14:paraId="39DAB323" w14:textId="77777777" w:rsidR="00E75F25" w:rsidRDefault="00E75F25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</w:p>
    <w:p w14:paraId="0F8F7E8F" w14:textId="250FECB4" w:rsidR="00A271C8" w:rsidRDefault="00A271C8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  <w:r>
        <w:rPr>
          <w:noProof/>
          <w:lang w:eastAsia="en-GB"/>
        </w:rPr>
        <w:drawing>
          <wp:inline distT="0" distB="0" distL="0" distR="0" wp14:anchorId="772721C3" wp14:editId="29C53C7B">
            <wp:extent cx="5759450" cy="3213100"/>
            <wp:effectExtent l="0" t="0" r="12700" b="6350"/>
            <wp:docPr id="10" name="Chart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6EF869C3" w14:textId="2902FF90" w:rsidR="00A271C8" w:rsidRDefault="00A271C8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</w:p>
    <w:p w14:paraId="732E5BA0" w14:textId="00F9167E" w:rsidR="00EA1A08" w:rsidRDefault="00EA1A08" w:rsidP="00921576">
      <w:pPr>
        <w:pStyle w:val="Caption"/>
      </w:pPr>
      <w:r>
        <w:lastRenderedPageBreak/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9</w:t>
      </w:r>
      <w:r w:rsidR="00034ACF">
        <w:rPr>
          <w:noProof/>
        </w:rPr>
        <w:fldChar w:fldCharType="end"/>
      </w:r>
      <w:r>
        <w:t xml:space="preserve">: </w:t>
      </w:r>
      <w:r w:rsidR="00193532">
        <w:t xml:space="preserve">Breast cancer (female) </w:t>
      </w:r>
      <w:r>
        <w:t>incidence: model predicted versus data informing model parameter by age-group and gender</w:t>
      </w:r>
    </w:p>
    <w:p w14:paraId="035E0461" w14:textId="4855B6A0" w:rsidR="00E75F25" w:rsidRDefault="00E75F25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  <w:r>
        <w:rPr>
          <w:noProof/>
          <w:lang w:eastAsia="en-GB"/>
        </w:rPr>
        <w:drawing>
          <wp:inline distT="0" distB="0" distL="0" distR="0" wp14:anchorId="07473F33" wp14:editId="0EADFA4D">
            <wp:extent cx="5759450" cy="2914650"/>
            <wp:effectExtent l="0" t="0" r="12700" b="0"/>
            <wp:docPr id="11" name="Chart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1B4BE647" w14:textId="4EE645E3" w:rsidR="00E75F25" w:rsidRDefault="00E75F25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</w:p>
    <w:p w14:paraId="731401BC" w14:textId="77777777" w:rsidR="009832E3" w:rsidRDefault="009832E3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</w:p>
    <w:p w14:paraId="4D711CD2" w14:textId="2089BD9D" w:rsidR="00C24958" w:rsidRDefault="00C24958" w:rsidP="00921576">
      <w:pPr>
        <w:pStyle w:val="Caption"/>
      </w:pPr>
      <w:r>
        <w:t>Figure S</w:t>
      </w:r>
      <w:r w:rsidR="00034ACF">
        <w:rPr>
          <w:noProof/>
        </w:rPr>
        <w:fldChar w:fldCharType="begin"/>
      </w:r>
      <w:r w:rsidR="00034ACF">
        <w:rPr>
          <w:noProof/>
        </w:rPr>
        <w:instrText xml:space="preserve"> SEQ Figure \* ARABIC </w:instrText>
      </w:r>
      <w:r w:rsidR="00034ACF">
        <w:rPr>
          <w:noProof/>
        </w:rPr>
        <w:fldChar w:fldCharType="separate"/>
      </w:r>
      <w:r w:rsidR="001E29B2">
        <w:rPr>
          <w:noProof/>
        </w:rPr>
        <w:t>10</w:t>
      </w:r>
      <w:r w:rsidR="00034ACF">
        <w:rPr>
          <w:noProof/>
        </w:rPr>
        <w:fldChar w:fldCharType="end"/>
      </w:r>
      <w:r>
        <w:t xml:space="preserve">: </w:t>
      </w:r>
      <w:r w:rsidR="003F57EB">
        <w:t>Colorectal cancer</w:t>
      </w:r>
      <w:r>
        <w:t xml:space="preserve"> incidence: model predicted versus data informing model parameter by age-group and gender</w:t>
      </w:r>
    </w:p>
    <w:p w14:paraId="654C5A5D" w14:textId="129F714D" w:rsidR="00E75F25" w:rsidRDefault="00E75F25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  <w:r>
        <w:rPr>
          <w:noProof/>
          <w:lang w:eastAsia="en-GB"/>
        </w:rPr>
        <w:drawing>
          <wp:inline distT="0" distB="0" distL="0" distR="0" wp14:anchorId="09CA4548" wp14:editId="7035FFD0">
            <wp:extent cx="5759450" cy="2813050"/>
            <wp:effectExtent l="0" t="0" r="12700" b="6350"/>
            <wp:docPr id="12" name="Chart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4F0B26C7" w14:textId="7C40CABC" w:rsidR="00237747" w:rsidRDefault="00237747" w:rsidP="00237747"/>
    <w:p w14:paraId="054DF161" w14:textId="5C64E7F8" w:rsidR="009832E3" w:rsidRDefault="009832E3">
      <w:pPr>
        <w:spacing w:after="160" w:line="259" w:lineRule="auto"/>
        <w:rPr>
          <w:rFonts w:eastAsiaTheme="majorEastAsia" w:cstheme="majorBidi"/>
          <w:b/>
          <w:sz w:val="24"/>
          <w:szCs w:val="26"/>
        </w:rPr>
      </w:pPr>
      <w:r>
        <w:br w:type="page"/>
      </w:r>
    </w:p>
    <w:p w14:paraId="5E132B49" w14:textId="40FEAD5F" w:rsidR="00B40728" w:rsidRPr="00904E7E" w:rsidRDefault="00B40728" w:rsidP="007E64DF">
      <w:pPr>
        <w:pStyle w:val="Heading1"/>
      </w:pPr>
      <w:r w:rsidRPr="00904E7E">
        <w:lastRenderedPageBreak/>
        <w:t>References</w:t>
      </w:r>
    </w:p>
    <w:p w14:paraId="79F97EB4" w14:textId="77777777" w:rsidR="00C6552A" w:rsidRPr="00C6552A" w:rsidRDefault="00B40728" w:rsidP="00C6552A">
      <w:pPr>
        <w:pStyle w:val="EndNoteBibliography"/>
        <w:spacing w:after="0"/>
        <w:ind w:left="420" w:hanging="420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C6552A" w:rsidRPr="00C6552A">
        <w:t xml:space="preserve">1. Scholes S, Mindell J (2013) </w:t>
      </w:r>
      <w:r w:rsidR="00C6552A" w:rsidRPr="00C6552A">
        <w:rPr>
          <w:i/>
        </w:rPr>
        <w:t>Physical activity in children</w:t>
      </w:r>
      <w:r w:rsidR="00C6552A" w:rsidRPr="00C6552A">
        <w:t xml:space="preserve">. In: Craig R, Mindell J, editors. Health Survey for England 2012.(2013) London: The Health and Social Care Information Centre </w:t>
      </w:r>
    </w:p>
    <w:p w14:paraId="1B8F1967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2. Wahid A, Manek N, Nichols M</w:t>
      </w:r>
      <w:r w:rsidRPr="00C6552A">
        <w:rPr>
          <w:i/>
        </w:rPr>
        <w:t xml:space="preserve"> et al.</w:t>
      </w:r>
      <w:r w:rsidRPr="00C6552A">
        <w:t xml:space="preserve"> Quantifying the Association Between Physical Activity and Cardiovascular Disease and Diabetes: A Systematic Review and Meta-Analysis. </w:t>
      </w:r>
      <w:r w:rsidRPr="00C6552A">
        <w:rPr>
          <w:i/>
        </w:rPr>
        <w:t>J Am Heart Assoc</w:t>
      </w:r>
      <w:r w:rsidRPr="00C6552A">
        <w:t xml:space="preserve"> 2016; 5.</w:t>
      </w:r>
    </w:p>
    <w:p w14:paraId="31645349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3. Pandey A, Garg S, Khunger M</w:t>
      </w:r>
      <w:r w:rsidRPr="00C6552A">
        <w:rPr>
          <w:i/>
        </w:rPr>
        <w:t xml:space="preserve"> et al.</w:t>
      </w:r>
      <w:r w:rsidRPr="00C6552A">
        <w:t xml:space="preserve"> Dose-Response Relationship Between Physical Activity and Risk of Heart Failure: A Meta-Analysis. </w:t>
      </w:r>
      <w:r w:rsidRPr="00C6552A">
        <w:rPr>
          <w:i/>
        </w:rPr>
        <w:t>Circulation</w:t>
      </w:r>
      <w:r w:rsidRPr="00C6552A">
        <w:t xml:space="preserve"> 2015; 132: 1786-1794.</w:t>
      </w:r>
    </w:p>
    <w:p w14:paraId="40C72818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4. Smith AD, Crippa A, Woodcock J</w:t>
      </w:r>
      <w:r w:rsidRPr="00C6552A">
        <w:rPr>
          <w:i/>
        </w:rPr>
        <w:t xml:space="preserve"> et al.</w:t>
      </w:r>
      <w:r w:rsidRPr="00C6552A">
        <w:t xml:space="preserve"> Physical activity and incident type 2 diabetes mellitus: a systematic review and dose-response meta-analysis of prospective cohort studies. </w:t>
      </w:r>
      <w:r w:rsidRPr="00C6552A">
        <w:rPr>
          <w:i/>
        </w:rPr>
        <w:t>Diabetologia</w:t>
      </w:r>
      <w:r w:rsidRPr="00C6552A">
        <w:t xml:space="preserve"> 2016.</w:t>
      </w:r>
    </w:p>
    <w:p w14:paraId="4D5A9795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5. Kyu HH, Bachman VF, Alexander LT</w:t>
      </w:r>
      <w:r w:rsidRPr="00C6552A">
        <w:rPr>
          <w:i/>
        </w:rPr>
        <w:t xml:space="preserve"> et al.</w:t>
      </w:r>
      <w:r w:rsidRPr="00C6552A">
        <w:t xml:space="preserve"> Physical activity and risk of breast cancer, colon cancer, diabetes, ischemic heart disease, and ischemic stroke events: systematic review and dose-response meta-analysis for the Global Burden of Disease Study 2013. </w:t>
      </w:r>
      <w:r w:rsidRPr="00C6552A">
        <w:rPr>
          <w:i/>
        </w:rPr>
        <w:t>BMJ</w:t>
      </w:r>
      <w:r w:rsidRPr="00C6552A">
        <w:t xml:space="preserve"> 2016; 354: i3857.</w:t>
      </w:r>
    </w:p>
    <w:p w14:paraId="7642E3C3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6. Smolina K, Wright FL, Rayner M</w:t>
      </w:r>
      <w:r w:rsidRPr="00C6552A">
        <w:rPr>
          <w:i/>
        </w:rPr>
        <w:t xml:space="preserve"> et al.</w:t>
      </w:r>
      <w:r w:rsidRPr="00C6552A">
        <w:t xml:space="preserve"> Determinants of the decline in mortality from acute myocardial infarction in England between 2002 and 2010: linked national database study. </w:t>
      </w:r>
      <w:r w:rsidRPr="00C6552A">
        <w:rPr>
          <w:i/>
        </w:rPr>
        <w:t>BMJ</w:t>
      </w:r>
      <w:r w:rsidRPr="00C6552A">
        <w:t xml:space="preserve"> 2012; 344: d8059.</w:t>
      </w:r>
    </w:p>
    <w:p w14:paraId="3050491D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7. Bamford J, Sandercock P, Dennis M</w:t>
      </w:r>
      <w:r w:rsidRPr="00C6552A">
        <w:rPr>
          <w:i/>
        </w:rPr>
        <w:t xml:space="preserve"> et al.</w:t>
      </w:r>
      <w:r w:rsidRPr="00C6552A">
        <w:t xml:space="preserve"> A prospective study of acute cerebrovascular disease in the community: the Oxfordshire Community Stroke Project 1981-86. 1. Methodology, demography and incident cases of first-ever stroke. </w:t>
      </w:r>
      <w:r w:rsidRPr="00C6552A">
        <w:rPr>
          <w:i/>
        </w:rPr>
        <w:t>J Neurol Neurosurg Psychiatry</w:t>
      </w:r>
      <w:r w:rsidRPr="00C6552A">
        <w:t xml:space="preserve"> 1988; 51: 1373-1380.</w:t>
      </w:r>
    </w:p>
    <w:p w14:paraId="41509952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8. Cowie MR, Wood DA, Coats AJ</w:t>
      </w:r>
      <w:r w:rsidRPr="00C6552A">
        <w:rPr>
          <w:i/>
        </w:rPr>
        <w:t xml:space="preserve"> et al.</w:t>
      </w:r>
      <w:r w:rsidRPr="00C6552A">
        <w:t xml:space="preserve"> Incidence and aetiology of heart failure; a population-based study. </w:t>
      </w:r>
      <w:r w:rsidRPr="00C6552A">
        <w:rPr>
          <w:i/>
        </w:rPr>
        <w:t>Eur Heart J</w:t>
      </w:r>
      <w:r w:rsidRPr="00C6552A">
        <w:t xml:space="preserve"> 1999; 20: 421-428.</w:t>
      </w:r>
    </w:p>
    <w:p w14:paraId="77F4CDA1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 xml:space="preserve">9. Sharma M, Nazareth I, Petersen I Trends in incidence, prevalence and prescribing in type 2 diabetes mellitus between 2000 and 2013 in primary care: a retrospective cohort study. </w:t>
      </w:r>
      <w:r w:rsidRPr="00C6552A">
        <w:rPr>
          <w:i/>
        </w:rPr>
        <w:t>BMJ Open</w:t>
      </w:r>
      <w:r w:rsidRPr="00C6552A">
        <w:t xml:space="preserve"> 2016; 6: e010210.</w:t>
      </w:r>
    </w:p>
    <w:p w14:paraId="41F5E343" w14:textId="562F9DFD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 xml:space="preserve">10. Cancer Research UK. Breast cancer statistics. 2016. [accessed 26 October 2016.] Available from: </w:t>
      </w:r>
      <w:hyperlink r:id="rId20" w:history="1">
        <w:r w:rsidRPr="00C6552A">
          <w:rPr>
            <w:rStyle w:val="Hyperlink"/>
          </w:rPr>
          <w:t>http://www.cancerresearchuk.org/sites/default/files/cstream-node/cases_crude_f_breast_2.xls</w:t>
        </w:r>
      </w:hyperlink>
      <w:r w:rsidRPr="00C6552A">
        <w:t>.</w:t>
      </w:r>
    </w:p>
    <w:p w14:paraId="051425B8" w14:textId="148E4DAE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 xml:space="preserve">11. Cancer Research UK. Bowel cancer incidence. 2016. [accessed 26 October 2016.] Available from: </w:t>
      </w:r>
      <w:hyperlink r:id="rId21" w:history="1">
        <w:r w:rsidRPr="00C6552A">
          <w:rPr>
            <w:rStyle w:val="Hyperlink"/>
          </w:rPr>
          <w:t>http://www.cancerresearchuk.org/sites/default/files/cstream-node/cases_crude_bowel_2.xls</w:t>
        </w:r>
      </w:hyperlink>
      <w:r w:rsidRPr="00C6552A">
        <w:t>.</w:t>
      </w:r>
    </w:p>
    <w:p w14:paraId="7AFE8FB8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12. Bamford J, Sandercock P, Dennis M</w:t>
      </w:r>
      <w:r w:rsidRPr="00C6552A">
        <w:rPr>
          <w:i/>
        </w:rPr>
        <w:t xml:space="preserve"> et al.</w:t>
      </w:r>
      <w:r w:rsidRPr="00C6552A">
        <w:t xml:space="preserve"> A prospective study of acute cerebrovascular disease in the community: the Oxfordshire Community Stroke Project--1981-86. 2. Incidence, case fatality rates and overall outcome at one year of cerebral infarction, primary intracerebral and subarachnoid haemorrhage. </w:t>
      </w:r>
      <w:r w:rsidRPr="00C6552A">
        <w:rPr>
          <w:i/>
        </w:rPr>
        <w:t>J Neurol Neurosurg Psychiatry</w:t>
      </w:r>
      <w:r w:rsidRPr="00C6552A">
        <w:t xml:space="preserve"> 1990; 53: 16-22.</w:t>
      </w:r>
    </w:p>
    <w:p w14:paraId="25591182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lastRenderedPageBreak/>
        <w:t>13. MacIntyre K, Capewell S, Stewart S</w:t>
      </w:r>
      <w:r w:rsidRPr="00C6552A">
        <w:rPr>
          <w:i/>
        </w:rPr>
        <w:t xml:space="preserve"> et al.</w:t>
      </w:r>
      <w:r w:rsidRPr="00C6552A">
        <w:t xml:space="preserve"> Evidence of improving prognosis in heart failure: trends in case fatality in 66 547 patients hospitalized between 1986 and 1995. </w:t>
      </w:r>
      <w:r w:rsidRPr="00C6552A">
        <w:rPr>
          <w:i/>
        </w:rPr>
        <w:t>Circulation</w:t>
      </w:r>
      <w:r w:rsidRPr="00C6552A">
        <w:t xml:space="preserve"> 2000; 102: 1126-1131.</w:t>
      </w:r>
    </w:p>
    <w:p w14:paraId="02723FAF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14. Turner D, Raftery J, Cooper K</w:t>
      </w:r>
      <w:r w:rsidRPr="00C6552A">
        <w:rPr>
          <w:i/>
        </w:rPr>
        <w:t xml:space="preserve"> et al.</w:t>
      </w:r>
      <w:r w:rsidRPr="00C6552A">
        <w:t xml:space="preserve"> The CHD challenge: comparing four cost-effectiveness models. </w:t>
      </w:r>
      <w:r w:rsidRPr="00C6552A">
        <w:rPr>
          <w:i/>
        </w:rPr>
        <w:t>Value Health</w:t>
      </w:r>
      <w:r w:rsidRPr="00C6552A">
        <w:t xml:space="preserve"> 2011; 14: 53-60.</w:t>
      </w:r>
    </w:p>
    <w:p w14:paraId="1B014F02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15. Bronnum-Hansen H, Davidsen M, Thorvaldsen P</w:t>
      </w:r>
      <w:r w:rsidRPr="00C6552A">
        <w:rPr>
          <w:i/>
        </w:rPr>
        <w:t xml:space="preserve"> et al.</w:t>
      </w:r>
      <w:r w:rsidRPr="00C6552A">
        <w:t xml:space="preserve"> Long-term survival and causes of death after stroke. </w:t>
      </w:r>
      <w:r w:rsidRPr="00C6552A">
        <w:rPr>
          <w:i/>
        </w:rPr>
        <w:t>Stroke</w:t>
      </w:r>
      <w:r w:rsidRPr="00C6552A">
        <w:t xml:space="preserve"> 2001; 32: 2131-2136.</w:t>
      </w:r>
    </w:p>
    <w:p w14:paraId="793BC2A7" w14:textId="77777777" w:rsidR="00C6552A" w:rsidRPr="00C6552A" w:rsidRDefault="00C6552A" w:rsidP="00C6552A">
      <w:pPr>
        <w:pStyle w:val="EndNoteBibliography"/>
        <w:spacing w:after="0"/>
        <w:ind w:left="420" w:hanging="420"/>
      </w:pPr>
      <w:r w:rsidRPr="00C6552A">
        <w:t>16. Seshasai SR, Kaptoge S, Thompson A</w:t>
      </w:r>
      <w:r w:rsidRPr="00C6552A">
        <w:rPr>
          <w:i/>
        </w:rPr>
        <w:t xml:space="preserve"> et al.</w:t>
      </w:r>
      <w:r w:rsidRPr="00C6552A">
        <w:t xml:space="preserve"> Diabetes mellitus, fasting glucose, and risk of cause-specific death. </w:t>
      </w:r>
      <w:r w:rsidRPr="00C6552A">
        <w:rPr>
          <w:i/>
        </w:rPr>
        <w:t>N Engl J Med</w:t>
      </w:r>
      <w:r w:rsidRPr="00C6552A">
        <w:t xml:space="preserve"> 2011; 364: 829-841.</w:t>
      </w:r>
    </w:p>
    <w:p w14:paraId="0E222FEA" w14:textId="12D7CA07" w:rsidR="00B40728" w:rsidRDefault="00C6552A" w:rsidP="00293149">
      <w:pPr>
        <w:pStyle w:val="EndNoteBibliography"/>
        <w:ind w:left="420" w:hanging="420"/>
      </w:pPr>
      <w:r w:rsidRPr="00C6552A">
        <w:t xml:space="preserve">17. Office for National Statistics. Cancer survival in England - adults diagnosed. 2016. [accessed 26 October 2016.] Available from: </w:t>
      </w:r>
      <w:hyperlink r:id="rId22" w:history="1">
        <w:r w:rsidRPr="00C6552A">
          <w:rPr>
            <w:rStyle w:val="Hyperlink"/>
          </w:rPr>
          <w:t>http://www.ons.gov.uk/file?uri=/peoplepopulationandcommunity/healthandsocialcare/conditionsanddiseases/datasets/cancersurvivalratescancersurvivalinenglandadultsdiagnosed/20102014/finalreferencetablev2.xls</w:t>
        </w:r>
      </w:hyperlink>
      <w:r w:rsidRPr="00C6552A">
        <w:t>.</w:t>
      </w:r>
      <w:r w:rsidR="00B40728">
        <w:fldChar w:fldCharType="end"/>
      </w:r>
    </w:p>
    <w:sectPr w:rsidR="00B40728" w:rsidSect="00916A8C">
      <w:pgSz w:w="11906" w:h="16838"/>
      <w:pgMar w:top="1440" w:right="1133" w:bottom="1440" w:left="1440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D695953" w16cid:durableId="1F614B84"/>
  <w16cid:commentId w16cid:paraId="56EFB5F7" w16cid:durableId="1F614B8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8CE01D" w14:textId="77777777" w:rsidR="00BC52AE" w:rsidRDefault="00BC52AE">
      <w:pPr>
        <w:spacing w:after="0" w:line="240" w:lineRule="auto"/>
      </w:pPr>
      <w:r>
        <w:separator/>
      </w:r>
    </w:p>
  </w:endnote>
  <w:endnote w:type="continuationSeparator" w:id="0">
    <w:p w14:paraId="6074F90F" w14:textId="77777777" w:rsidR="00BC52AE" w:rsidRDefault="00BC5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683070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34E2D26" w14:textId="5CE90DF6" w:rsidR="00AA2E5D" w:rsidRDefault="00AA2E5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E29B2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0A3E1F" w14:textId="77777777" w:rsidR="00BC52AE" w:rsidRDefault="00BC52AE">
      <w:pPr>
        <w:spacing w:after="0" w:line="240" w:lineRule="auto"/>
      </w:pPr>
      <w:r>
        <w:separator/>
      </w:r>
    </w:p>
  </w:footnote>
  <w:footnote w:type="continuationSeparator" w:id="0">
    <w:p w14:paraId="7E9BF2BC" w14:textId="77777777" w:rsidR="00BC52AE" w:rsidRDefault="00BC52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8E7F6" w14:textId="2E5694AB" w:rsidR="00AA2E5D" w:rsidRPr="009C25D2" w:rsidRDefault="00AA2E5D" w:rsidP="00404AB8">
    <w:pPr>
      <w:jc w:val="right"/>
      <w:rPr>
        <w:color w:val="A6A6A6" w:themeColor="background1" w:themeShade="A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54B8"/>
    <w:multiLevelType w:val="hybridMultilevel"/>
    <w:tmpl w:val="E14809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94A7C"/>
    <w:multiLevelType w:val="hybridMultilevel"/>
    <w:tmpl w:val="DAA6CF50"/>
    <w:lvl w:ilvl="0" w:tplc="CD8AE75A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42659C"/>
    <w:multiLevelType w:val="hybridMultilevel"/>
    <w:tmpl w:val="D9506152"/>
    <w:lvl w:ilvl="0" w:tplc="9574257E">
      <w:numFmt w:val="bullet"/>
      <w:lvlText w:val="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6F56AA"/>
    <w:multiLevelType w:val="multilevel"/>
    <w:tmpl w:val="35869D8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40E2587F"/>
    <w:multiLevelType w:val="hybridMultilevel"/>
    <w:tmpl w:val="6E0672AE"/>
    <w:lvl w:ilvl="0" w:tplc="1436AE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805947"/>
    <w:multiLevelType w:val="hybridMultilevel"/>
    <w:tmpl w:val="138A12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D45E49"/>
    <w:multiLevelType w:val="hybridMultilevel"/>
    <w:tmpl w:val="A322F6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D23263"/>
    <w:multiLevelType w:val="hybridMultilevel"/>
    <w:tmpl w:val="775C75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284756"/>
    <w:multiLevelType w:val="hybridMultilevel"/>
    <w:tmpl w:val="ACB413A4"/>
    <w:lvl w:ilvl="0" w:tplc="C55C0F6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6D5733"/>
    <w:multiLevelType w:val="hybridMultilevel"/>
    <w:tmpl w:val="06B22270"/>
    <w:lvl w:ilvl="0" w:tplc="D69A4DD2">
      <w:numFmt w:val="bullet"/>
      <w:lvlText w:val="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B71A99"/>
    <w:multiLevelType w:val="hybridMultilevel"/>
    <w:tmpl w:val="2FD8BC06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0"/>
  </w:num>
  <w:num w:numId="5">
    <w:abstractNumId w:val="7"/>
  </w:num>
  <w:num w:numId="6">
    <w:abstractNumId w:val="9"/>
  </w:num>
  <w:num w:numId="7">
    <w:abstractNumId w:val="2"/>
  </w:num>
  <w:num w:numId="8">
    <w:abstractNumId w:val="4"/>
  </w:num>
  <w:num w:numId="9">
    <w:abstractNumId w:val="8"/>
  </w:num>
  <w:num w:numId="10">
    <w:abstractNumId w:val="8"/>
  </w:num>
  <w:num w:numId="11">
    <w:abstractNumId w:val="10"/>
  </w:num>
  <w:num w:numId="12">
    <w:abstractNumId w:val="1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en-GB" w:vendorID="64" w:dllVersion="6" w:nlCheck="1" w:checkStyle="0"/>
  <w:activeWritingStyle w:appName="MSWord" w:lang="en-US" w:vendorID="64" w:dllVersion="6" w:nlCheck="1" w:checkStyle="0"/>
  <w:activeWritingStyle w:appName="MSWord" w:lang="fr-BE" w:vendorID="64" w:dllVersion="6" w:nlCheck="1" w:checkStyle="0"/>
  <w:activeWritingStyle w:appName="MSWord" w:lang="en-GB" w:vendorID="64" w:dllVersion="0" w:nlCheck="1" w:checkStyle="0"/>
  <w:activeWritingStyle w:appName="MSWord" w:lang="en-GB" w:vendorID="64" w:dllVersion="131078" w:nlCheck="1" w:checkStyle="1"/>
  <w:activeWritingStyle w:appName="MSWord" w:lang="fr-BE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DI1MjQwNbQ0MrQ0MDJV0lEKTi0uzszPAykwNKgFANEbcEotAAAA"/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PLoS_v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425&lt;/HangingIndent&gt;&lt;LineSpacing&gt;1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rraawewz2tpwae0awep2et8axzf05ftfe2d&quot;&gt;CASE-model&lt;record-ids&gt;&lt;item&gt;1&lt;/item&gt;&lt;item&gt;2&lt;/item&gt;&lt;item&gt;7&lt;/item&gt;&lt;item&gt;9&lt;/item&gt;&lt;item&gt;16&lt;/item&gt;&lt;item&gt;25&lt;/item&gt;&lt;item&gt;26&lt;/item&gt;&lt;item&gt;29&lt;/item&gt;&lt;item&gt;30&lt;/item&gt;&lt;item&gt;35&lt;/item&gt;&lt;item&gt;36&lt;/item&gt;&lt;item&gt;37&lt;/item&gt;&lt;item&gt;38&lt;/item&gt;&lt;item&gt;39&lt;/item&gt;&lt;item&gt;40&lt;/item&gt;&lt;item&gt;51&lt;/item&gt;&lt;item&gt;52&lt;/item&gt;&lt;/record-ids&gt;&lt;/item&gt;&lt;/Libraries&gt;"/>
  </w:docVars>
  <w:rsids>
    <w:rsidRoot w:val="00FE5240"/>
    <w:rsid w:val="00000DEE"/>
    <w:rsid w:val="000022FF"/>
    <w:rsid w:val="0000250E"/>
    <w:rsid w:val="000038CF"/>
    <w:rsid w:val="00003C08"/>
    <w:rsid w:val="0000535C"/>
    <w:rsid w:val="000058C1"/>
    <w:rsid w:val="00011D33"/>
    <w:rsid w:val="0001359C"/>
    <w:rsid w:val="00014866"/>
    <w:rsid w:val="00014D24"/>
    <w:rsid w:val="00016DFD"/>
    <w:rsid w:val="00017737"/>
    <w:rsid w:val="00021400"/>
    <w:rsid w:val="00023836"/>
    <w:rsid w:val="00025301"/>
    <w:rsid w:val="00026450"/>
    <w:rsid w:val="00027591"/>
    <w:rsid w:val="00027BB9"/>
    <w:rsid w:val="00034ACF"/>
    <w:rsid w:val="00034F08"/>
    <w:rsid w:val="00035702"/>
    <w:rsid w:val="00035FC1"/>
    <w:rsid w:val="00036608"/>
    <w:rsid w:val="0003696E"/>
    <w:rsid w:val="00037C43"/>
    <w:rsid w:val="0004779D"/>
    <w:rsid w:val="00047B20"/>
    <w:rsid w:val="00050A70"/>
    <w:rsid w:val="00051534"/>
    <w:rsid w:val="000515CC"/>
    <w:rsid w:val="000515F6"/>
    <w:rsid w:val="00051C4B"/>
    <w:rsid w:val="00052C2A"/>
    <w:rsid w:val="0005378F"/>
    <w:rsid w:val="00055124"/>
    <w:rsid w:val="00055599"/>
    <w:rsid w:val="00056072"/>
    <w:rsid w:val="000563EC"/>
    <w:rsid w:val="00064A0F"/>
    <w:rsid w:val="00066A6D"/>
    <w:rsid w:val="00066DA9"/>
    <w:rsid w:val="00071004"/>
    <w:rsid w:val="000749C4"/>
    <w:rsid w:val="00075C4A"/>
    <w:rsid w:val="00077262"/>
    <w:rsid w:val="00081B9B"/>
    <w:rsid w:val="00081EBA"/>
    <w:rsid w:val="00082206"/>
    <w:rsid w:val="00085502"/>
    <w:rsid w:val="00087EE3"/>
    <w:rsid w:val="0009105D"/>
    <w:rsid w:val="000912AE"/>
    <w:rsid w:val="00091E64"/>
    <w:rsid w:val="00091EE6"/>
    <w:rsid w:val="000930F7"/>
    <w:rsid w:val="000939E4"/>
    <w:rsid w:val="00094017"/>
    <w:rsid w:val="00096C59"/>
    <w:rsid w:val="00097B0B"/>
    <w:rsid w:val="000A1426"/>
    <w:rsid w:val="000A355E"/>
    <w:rsid w:val="000A3D5C"/>
    <w:rsid w:val="000A4B4E"/>
    <w:rsid w:val="000A5366"/>
    <w:rsid w:val="000A708C"/>
    <w:rsid w:val="000B00F8"/>
    <w:rsid w:val="000B0734"/>
    <w:rsid w:val="000B0BFA"/>
    <w:rsid w:val="000B3C7B"/>
    <w:rsid w:val="000B49F5"/>
    <w:rsid w:val="000B74C1"/>
    <w:rsid w:val="000C10B5"/>
    <w:rsid w:val="000C2B4C"/>
    <w:rsid w:val="000C3962"/>
    <w:rsid w:val="000C5E6F"/>
    <w:rsid w:val="000C722F"/>
    <w:rsid w:val="000D12AF"/>
    <w:rsid w:val="000D31E9"/>
    <w:rsid w:val="000D3A63"/>
    <w:rsid w:val="000E1702"/>
    <w:rsid w:val="000E2D5A"/>
    <w:rsid w:val="000E480F"/>
    <w:rsid w:val="000E612B"/>
    <w:rsid w:val="000E72A2"/>
    <w:rsid w:val="000E78B9"/>
    <w:rsid w:val="000E7BAF"/>
    <w:rsid w:val="000F082F"/>
    <w:rsid w:val="000F2745"/>
    <w:rsid w:val="000F3F1B"/>
    <w:rsid w:val="000F66E4"/>
    <w:rsid w:val="001004F7"/>
    <w:rsid w:val="001027D3"/>
    <w:rsid w:val="00102E2D"/>
    <w:rsid w:val="0010664C"/>
    <w:rsid w:val="00106665"/>
    <w:rsid w:val="00107261"/>
    <w:rsid w:val="00107DF6"/>
    <w:rsid w:val="00110003"/>
    <w:rsid w:val="001110EA"/>
    <w:rsid w:val="00111373"/>
    <w:rsid w:val="00111401"/>
    <w:rsid w:val="00113FDD"/>
    <w:rsid w:val="00114663"/>
    <w:rsid w:val="00116081"/>
    <w:rsid w:val="00116BD7"/>
    <w:rsid w:val="001179C4"/>
    <w:rsid w:val="00117FC5"/>
    <w:rsid w:val="00120EC8"/>
    <w:rsid w:val="00122240"/>
    <w:rsid w:val="00122DB0"/>
    <w:rsid w:val="001244D6"/>
    <w:rsid w:val="00125293"/>
    <w:rsid w:val="0012786C"/>
    <w:rsid w:val="00127CF4"/>
    <w:rsid w:val="00130E98"/>
    <w:rsid w:val="001312DA"/>
    <w:rsid w:val="001333F7"/>
    <w:rsid w:val="00136D04"/>
    <w:rsid w:val="00141D28"/>
    <w:rsid w:val="00142263"/>
    <w:rsid w:val="0014235B"/>
    <w:rsid w:val="00142FEB"/>
    <w:rsid w:val="00143929"/>
    <w:rsid w:val="00144750"/>
    <w:rsid w:val="001448BC"/>
    <w:rsid w:val="0014523A"/>
    <w:rsid w:val="0014567C"/>
    <w:rsid w:val="001470BC"/>
    <w:rsid w:val="00151F3B"/>
    <w:rsid w:val="0015279F"/>
    <w:rsid w:val="00153217"/>
    <w:rsid w:val="0015399C"/>
    <w:rsid w:val="00153C56"/>
    <w:rsid w:val="00154887"/>
    <w:rsid w:val="001566FE"/>
    <w:rsid w:val="001573E1"/>
    <w:rsid w:val="00161567"/>
    <w:rsid w:val="001628D4"/>
    <w:rsid w:val="00162DD0"/>
    <w:rsid w:val="00164C93"/>
    <w:rsid w:val="00166238"/>
    <w:rsid w:val="00166B18"/>
    <w:rsid w:val="001705AB"/>
    <w:rsid w:val="00171304"/>
    <w:rsid w:val="001713C2"/>
    <w:rsid w:val="00172402"/>
    <w:rsid w:val="001749B8"/>
    <w:rsid w:val="00175839"/>
    <w:rsid w:val="001760E0"/>
    <w:rsid w:val="001779F4"/>
    <w:rsid w:val="0018209B"/>
    <w:rsid w:val="00187FC3"/>
    <w:rsid w:val="00191F46"/>
    <w:rsid w:val="00193532"/>
    <w:rsid w:val="001938FF"/>
    <w:rsid w:val="00193C2B"/>
    <w:rsid w:val="0019690B"/>
    <w:rsid w:val="00197BD8"/>
    <w:rsid w:val="001A3217"/>
    <w:rsid w:val="001A3C63"/>
    <w:rsid w:val="001A7DEF"/>
    <w:rsid w:val="001A7EE6"/>
    <w:rsid w:val="001B0DA2"/>
    <w:rsid w:val="001B12C6"/>
    <w:rsid w:val="001B3918"/>
    <w:rsid w:val="001B4C52"/>
    <w:rsid w:val="001B6A57"/>
    <w:rsid w:val="001C1C36"/>
    <w:rsid w:val="001C2AAD"/>
    <w:rsid w:val="001C2E03"/>
    <w:rsid w:val="001D43C2"/>
    <w:rsid w:val="001D6A9E"/>
    <w:rsid w:val="001D73AA"/>
    <w:rsid w:val="001D75CE"/>
    <w:rsid w:val="001D79AB"/>
    <w:rsid w:val="001E00F9"/>
    <w:rsid w:val="001E0E9D"/>
    <w:rsid w:val="001E1105"/>
    <w:rsid w:val="001E29B2"/>
    <w:rsid w:val="001E3F85"/>
    <w:rsid w:val="001E4A63"/>
    <w:rsid w:val="001E5A60"/>
    <w:rsid w:val="001E6684"/>
    <w:rsid w:val="001E7031"/>
    <w:rsid w:val="001E746F"/>
    <w:rsid w:val="001F011F"/>
    <w:rsid w:val="001F08AC"/>
    <w:rsid w:val="001F0BFE"/>
    <w:rsid w:val="001F2EDA"/>
    <w:rsid w:val="001F4052"/>
    <w:rsid w:val="001F56CF"/>
    <w:rsid w:val="001F72C0"/>
    <w:rsid w:val="00200972"/>
    <w:rsid w:val="00201357"/>
    <w:rsid w:val="0020148A"/>
    <w:rsid w:val="00201DBD"/>
    <w:rsid w:val="00205867"/>
    <w:rsid w:val="0020640D"/>
    <w:rsid w:val="00206659"/>
    <w:rsid w:val="00207772"/>
    <w:rsid w:val="00207BF1"/>
    <w:rsid w:val="00212A2A"/>
    <w:rsid w:val="0021339F"/>
    <w:rsid w:val="00216A62"/>
    <w:rsid w:val="00216B83"/>
    <w:rsid w:val="002172C1"/>
    <w:rsid w:val="00220573"/>
    <w:rsid w:val="00220AB2"/>
    <w:rsid w:val="00221544"/>
    <w:rsid w:val="002216F2"/>
    <w:rsid w:val="002219E9"/>
    <w:rsid w:val="00222118"/>
    <w:rsid w:val="00222901"/>
    <w:rsid w:val="00222A0E"/>
    <w:rsid w:val="00222A40"/>
    <w:rsid w:val="00224A54"/>
    <w:rsid w:val="002255F8"/>
    <w:rsid w:val="002274A6"/>
    <w:rsid w:val="00227787"/>
    <w:rsid w:val="002279A6"/>
    <w:rsid w:val="00227C2E"/>
    <w:rsid w:val="00227F71"/>
    <w:rsid w:val="00230228"/>
    <w:rsid w:val="00231970"/>
    <w:rsid w:val="0023261D"/>
    <w:rsid w:val="00233021"/>
    <w:rsid w:val="00233987"/>
    <w:rsid w:val="00233FBC"/>
    <w:rsid w:val="00236DD4"/>
    <w:rsid w:val="00237747"/>
    <w:rsid w:val="0023794A"/>
    <w:rsid w:val="002408FC"/>
    <w:rsid w:val="00241420"/>
    <w:rsid w:val="00241A13"/>
    <w:rsid w:val="00244831"/>
    <w:rsid w:val="0025213E"/>
    <w:rsid w:val="00252EAA"/>
    <w:rsid w:val="00253F53"/>
    <w:rsid w:val="002542D5"/>
    <w:rsid w:val="00255C70"/>
    <w:rsid w:val="00257F11"/>
    <w:rsid w:val="002622ED"/>
    <w:rsid w:val="00263AC5"/>
    <w:rsid w:val="00263AFE"/>
    <w:rsid w:val="0026569C"/>
    <w:rsid w:val="00265D28"/>
    <w:rsid w:val="00267597"/>
    <w:rsid w:val="0026776E"/>
    <w:rsid w:val="00270B7E"/>
    <w:rsid w:val="002762B8"/>
    <w:rsid w:val="00277F6A"/>
    <w:rsid w:val="00281563"/>
    <w:rsid w:val="00282C2D"/>
    <w:rsid w:val="00284540"/>
    <w:rsid w:val="002849A1"/>
    <w:rsid w:val="00290133"/>
    <w:rsid w:val="00291D28"/>
    <w:rsid w:val="002924E1"/>
    <w:rsid w:val="00293149"/>
    <w:rsid w:val="0029398C"/>
    <w:rsid w:val="00295890"/>
    <w:rsid w:val="00295DD8"/>
    <w:rsid w:val="00295E5F"/>
    <w:rsid w:val="002961A2"/>
    <w:rsid w:val="00296300"/>
    <w:rsid w:val="00296633"/>
    <w:rsid w:val="0029670D"/>
    <w:rsid w:val="00296821"/>
    <w:rsid w:val="002968DA"/>
    <w:rsid w:val="00296EF3"/>
    <w:rsid w:val="00297226"/>
    <w:rsid w:val="0029755F"/>
    <w:rsid w:val="0029786C"/>
    <w:rsid w:val="002A29F2"/>
    <w:rsid w:val="002A4273"/>
    <w:rsid w:val="002A5128"/>
    <w:rsid w:val="002A7173"/>
    <w:rsid w:val="002A7D48"/>
    <w:rsid w:val="002B1863"/>
    <w:rsid w:val="002B1A05"/>
    <w:rsid w:val="002B4ABC"/>
    <w:rsid w:val="002B4D09"/>
    <w:rsid w:val="002B5A47"/>
    <w:rsid w:val="002B5AD9"/>
    <w:rsid w:val="002B7304"/>
    <w:rsid w:val="002B73AD"/>
    <w:rsid w:val="002C05C4"/>
    <w:rsid w:val="002C3EC0"/>
    <w:rsid w:val="002C43C2"/>
    <w:rsid w:val="002C4B99"/>
    <w:rsid w:val="002C63DB"/>
    <w:rsid w:val="002C67B0"/>
    <w:rsid w:val="002C7E93"/>
    <w:rsid w:val="002C7EAF"/>
    <w:rsid w:val="002D3312"/>
    <w:rsid w:val="002D389F"/>
    <w:rsid w:val="002D4A60"/>
    <w:rsid w:val="002D7305"/>
    <w:rsid w:val="002E1076"/>
    <w:rsid w:val="002E260C"/>
    <w:rsid w:val="002E3F4A"/>
    <w:rsid w:val="002E47D3"/>
    <w:rsid w:val="002E5F07"/>
    <w:rsid w:val="002E7DA0"/>
    <w:rsid w:val="002F1FEA"/>
    <w:rsid w:val="002F237D"/>
    <w:rsid w:val="002F3748"/>
    <w:rsid w:val="002F47AE"/>
    <w:rsid w:val="002F5247"/>
    <w:rsid w:val="002F607F"/>
    <w:rsid w:val="002F6CC3"/>
    <w:rsid w:val="002F7976"/>
    <w:rsid w:val="00300CB2"/>
    <w:rsid w:val="00303F3A"/>
    <w:rsid w:val="00304D42"/>
    <w:rsid w:val="00304DEC"/>
    <w:rsid w:val="00306E36"/>
    <w:rsid w:val="00311C7F"/>
    <w:rsid w:val="00312D2B"/>
    <w:rsid w:val="00314B6D"/>
    <w:rsid w:val="0031574D"/>
    <w:rsid w:val="0031598C"/>
    <w:rsid w:val="0031727F"/>
    <w:rsid w:val="00321B33"/>
    <w:rsid w:val="00323255"/>
    <w:rsid w:val="003232AA"/>
    <w:rsid w:val="003238AA"/>
    <w:rsid w:val="00324982"/>
    <w:rsid w:val="00324FED"/>
    <w:rsid w:val="003258B8"/>
    <w:rsid w:val="00326817"/>
    <w:rsid w:val="00327B5A"/>
    <w:rsid w:val="00334925"/>
    <w:rsid w:val="00336B40"/>
    <w:rsid w:val="00336CAE"/>
    <w:rsid w:val="003370E7"/>
    <w:rsid w:val="00337389"/>
    <w:rsid w:val="003403E1"/>
    <w:rsid w:val="00341C32"/>
    <w:rsid w:val="00341EDF"/>
    <w:rsid w:val="003422D8"/>
    <w:rsid w:val="00342FFF"/>
    <w:rsid w:val="00344E88"/>
    <w:rsid w:val="00345236"/>
    <w:rsid w:val="00346B12"/>
    <w:rsid w:val="0034750B"/>
    <w:rsid w:val="003522EC"/>
    <w:rsid w:val="00355196"/>
    <w:rsid w:val="003551DA"/>
    <w:rsid w:val="003617EE"/>
    <w:rsid w:val="003618A0"/>
    <w:rsid w:val="003624E3"/>
    <w:rsid w:val="0036322D"/>
    <w:rsid w:val="0036397D"/>
    <w:rsid w:val="00366579"/>
    <w:rsid w:val="003671DD"/>
    <w:rsid w:val="0037314C"/>
    <w:rsid w:val="00373B3D"/>
    <w:rsid w:val="00375364"/>
    <w:rsid w:val="00376606"/>
    <w:rsid w:val="00376BFA"/>
    <w:rsid w:val="00381224"/>
    <w:rsid w:val="00382BF0"/>
    <w:rsid w:val="00382E11"/>
    <w:rsid w:val="00384AD4"/>
    <w:rsid w:val="00384B8E"/>
    <w:rsid w:val="00392EB4"/>
    <w:rsid w:val="003933A2"/>
    <w:rsid w:val="00393E58"/>
    <w:rsid w:val="00396078"/>
    <w:rsid w:val="003A19A7"/>
    <w:rsid w:val="003A19C6"/>
    <w:rsid w:val="003A2868"/>
    <w:rsid w:val="003A2DEA"/>
    <w:rsid w:val="003A397E"/>
    <w:rsid w:val="003A3D43"/>
    <w:rsid w:val="003A50FB"/>
    <w:rsid w:val="003A68F8"/>
    <w:rsid w:val="003A6F01"/>
    <w:rsid w:val="003B05A6"/>
    <w:rsid w:val="003B0C66"/>
    <w:rsid w:val="003B0F6A"/>
    <w:rsid w:val="003B26D1"/>
    <w:rsid w:val="003B40AF"/>
    <w:rsid w:val="003B4C9E"/>
    <w:rsid w:val="003B581C"/>
    <w:rsid w:val="003B6F9F"/>
    <w:rsid w:val="003B7070"/>
    <w:rsid w:val="003C1801"/>
    <w:rsid w:val="003C185D"/>
    <w:rsid w:val="003C2F65"/>
    <w:rsid w:val="003C3171"/>
    <w:rsid w:val="003C334F"/>
    <w:rsid w:val="003C47C6"/>
    <w:rsid w:val="003C6569"/>
    <w:rsid w:val="003C69BC"/>
    <w:rsid w:val="003C743D"/>
    <w:rsid w:val="003C7C98"/>
    <w:rsid w:val="003D14B1"/>
    <w:rsid w:val="003D56BD"/>
    <w:rsid w:val="003D60F2"/>
    <w:rsid w:val="003D73D8"/>
    <w:rsid w:val="003D74E4"/>
    <w:rsid w:val="003D7983"/>
    <w:rsid w:val="003D7EA2"/>
    <w:rsid w:val="003E0207"/>
    <w:rsid w:val="003E0DC9"/>
    <w:rsid w:val="003E1168"/>
    <w:rsid w:val="003E386A"/>
    <w:rsid w:val="003E45A3"/>
    <w:rsid w:val="003E4F7B"/>
    <w:rsid w:val="003E5C1A"/>
    <w:rsid w:val="003E75EB"/>
    <w:rsid w:val="003F00F8"/>
    <w:rsid w:val="003F0AFB"/>
    <w:rsid w:val="003F0F2A"/>
    <w:rsid w:val="003F157E"/>
    <w:rsid w:val="003F1979"/>
    <w:rsid w:val="003F338B"/>
    <w:rsid w:val="003F3903"/>
    <w:rsid w:val="003F411E"/>
    <w:rsid w:val="003F4205"/>
    <w:rsid w:val="003F43B3"/>
    <w:rsid w:val="003F4716"/>
    <w:rsid w:val="003F4C8E"/>
    <w:rsid w:val="003F57EB"/>
    <w:rsid w:val="003F77A2"/>
    <w:rsid w:val="003F7DD7"/>
    <w:rsid w:val="004002B2"/>
    <w:rsid w:val="0040065D"/>
    <w:rsid w:val="00400EDE"/>
    <w:rsid w:val="00401086"/>
    <w:rsid w:val="00401F1C"/>
    <w:rsid w:val="00402A13"/>
    <w:rsid w:val="00404AB8"/>
    <w:rsid w:val="00404F4E"/>
    <w:rsid w:val="0040548A"/>
    <w:rsid w:val="00405D1C"/>
    <w:rsid w:val="00405D7C"/>
    <w:rsid w:val="004070A7"/>
    <w:rsid w:val="00410528"/>
    <w:rsid w:val="00410B5D"/>
    <w:rsid w:val="00411FA3"/>
    <w:rsid w:val="0041226B"/>
    <w:rsid w:val="00413A21"/>
    <w:rsid w:val="0041408F"/>
    <w:rsid w:val="0041427D"/>
    <w:rsid w:val="00415C0C"/>
    <w:rsid w:val="004164A9"/>
    <w:rsid w:val="00416B01"/>
    <w:rsid w:val="0042074D"/>
    <w:rsid w:val="0042251A"/>
    <w:rsid w:val="00424F0A"/>
    <w:rsid w:val="00425B5B"/>
    <w:rsid w:val="00425D2D"/>
    <w:rsid w:val="0042608D"/>
    <w:rsid w:val="0042665D"/>
    <w:rsid w:val="00426C9C"/>
    <w:rsid w:val="00430B37"/>
    <w:rsid w:val="00433D08"/>
    <w:rsid w:val="00434CA9"/>
    <w:rsid w:val="0043609E"/>
    <w:rsid w:val="004405E1"/>
    <w:rsid w:val="00441DD5"/>
    <w:rsid w:val="0044333C"/>
    <w:rsid w:val="00444231"/>
    <w:rsid w:val="00444338"/>
    <w:rsid w:val="004456C7"/>
    <w:rsid w:val="00446BA3"/>
    <w:rsid w:val="004477D0"/>
    <w:rsid w:val="00447DC0"/>
    <w:rsid w:val="00451BC8"/>
    <w:rsid w:val="004536D9"/>
    <w:rsid w:val="00455A67"/>
    <w:rsid w:val="00455ED9"/>
    <w:rsid w:val="00456ED8"/>
    <w:rsid w:val="00457A85"/>
    <w:rsid w:val="00460701"/>
    <w:rsid w:val="00462DAC"/>
    <w:rsid w:val="004633DB"/>
    <w:rsid w:val="00464828"/>
    <w:rsid w:val="0046592D"/>
    <w:rsid w:val="00465CFA"/>
    <w:rsid w:val="00467F54"/>
    <w:rsid w:val="004706AC"/>
    <w:rsid w:val="004718B7"/>
    <w:rsid w:val="00475466"/>
    <w:rsid w:val="0047728A"/>
    <w:rsid w:val="00477CF9"/>
    <w:rsid w:val="0048011D"/>
    <w:rsid w:val="00480312"/>
    <w:rsid w:val="00480BAF"/>
    <w:rsid w:val="00482731"/>
    <w:rsid w:val="00482A4D"/>
    <w:rsid w:val="0048366B"/>
    <w:rsid w:val="00485E96"/>
    <w:rsid w:val="004864A8"/>
    <w:rsid w:val="004869CA"/>
    <w:rsid w:val="00490F3A"/>
    <w:rsid w:val="00492AE8"/>
    <w:rsid w:val="00492FC5"/>
    <w:rsid w:val="00493DC9"/>
    <w:rsid w:val="00494128"/>
    <w:rsid w:val="00496A19"/>
    <w:rsid w:val="00497169"/>
    <w:rsid w:val="004974D8"/>
    <w:rsid w:val="00497F27"/>
    <w:rsid w:val="004A37B5"/>
    <w:rsid w:val="004A3CC5"/>
    <w:rsid w:val="004A6086"/>
    <w:rsid w:val="004A6C35"/>
    <w:rsid w:val="004A7496"/>
    <w:rsid w:val="004A7E99"/>
    <w:rsid w:val="004B14BF"/>
    <w:rsid w:val="004B1591"/>
    <w:rsid w:val="004B1650"/>
    <w:rsid w:val="004B33D3"/>
    <w:rsid w:val="004B374B"/>
    <w:rsid w:val="004B4A7E"/>
    <w:rsid w:val="004B689C"/>
    <w:rsid w:val="004B7192"/>
    <w:rsid w:val="004C0888"/>
    <w:rsid w:val="004C1986"/>
    <w:rsid w:val="004C1E9C"/>
    <w:rsid w:val="004C2630"/>
    <w:rsid w:val="004C27BF"/>
    <w:rsid w:val="004C4359"/>
    <w:rsid w:val="004C4EFA"/>
    <w:rsid w:val="004C5FC8"/>
    <w:rsid w:val="004D2A49"/>
    <w:rsid w:val="004D2EDA"/>
    <w:rsid w:val="004D36B8"/>
    <w:rsid w:val="004E05EC"/>
    <w:rsid w:val="004E31D8"/>
    <w:rsid w:val="004E4DA2"/>
    <w:rsid w:val="004E6721"/>
    <w:rsid w:val="004E6E0F"/>
    <w:rsid w:val="004E70C5"/>
    <w:rsid w:val="004E7C10"/>
    <w:rsid w:val="004E7C5B"/>
    <w:rsid w:val="004E7F96"/>
    <w:rsid w:val="004F05A8"/>
    <w:rsid w:val="004F3B4B"/>
    <w:rsid w:val="004F3B74"/>
    <w:rsid w:val="004F5B22"/>
    <w:rsid w:val="004F77DE"/>
    <w:rsid w:val="0050242D"/>
    <w:rsid w:val="005038B1"/>
    <w:rsid w:val="00503C28"/>
    <w:rsid w:val="005043D5"/>
    <w:rsid w:val="00504E1A"/>
    <w:rsid w:val="00506868"/>
    <w:rsid w:val="00507051"/>
    <w:rsid w:val="005105DB"/>
    <w:rsid w:val="0051152D"/>
    <w:rsid w:val="00512F52"/>
    <w:rsid w:val="00515BA2"/>
    <w:rsid w:val="00516981"/>
    <w:rsid w:val="005177C5"/>
    <w:rsid w:val="00517B43"/>
    <w:rsid w:val="00520659"/>
    <w:rsid w:val="00521C24"/>
    <w:rsid w:val="0052301B"/>
    <w:rsid w:val="00523220"/>
    <w:rsid w:val="0052435F"/>
    <w:rsid w:val="0052489F"/>
    <w:rsid w:val="005301DE"/>
    <w:rsid w:val="00530C61"/>
    <w:rsid w:val="005316D7"/>
    <w:rsid w:val="00534A1F"/>
    <w:rsid w:val="00536C57"/>
    <w:rsid w:val="0053741A"/>
    <w:rsid w:val="00537D7B"/>
    <w:rsid w:val="005413D7"/>
    <w:rsid w:val="005419FC"/>
    <w:rsid w:val="00542446"/>
    <w:rsid w:val="00543188"/>
    <w:rsid w:val="00543269"/>
    <w:rsid w:val="005437E0"/>
    <w:rsid w:val="00543890"/>
    <w:rsid w:val="00545531"/>
    <w:rsid w:val="00547C87"/>
    <w:rsid w:val="0055011A"/>
    <w:rsid w:val="00551B01"/>
    <w:rsid w:val="0055515E"/>
    <w:rsid w:val="00555C7D"/>
    <w:rsid w:val="00556810"/>
    <w:rsid w:val="0055747D"/>
    <w:rsid w:val="00560333"/>
    <w:rsid w:val="00560730"/>
    <w:rsid w:val="00561743"/>
    <w:rsid w:val="00563727"/>
    <w:rsid w:val="00566326"/>
    <w:rsid w:val="00566A46"/>
    <w:rsid w:val="00570794"/>
    <w:rsid w:val="005707B5"/>
    <w:rsid w:val="0057145C"/>
    <w:rsid w:val="00572230"/>
    <w:rsid w:val="00572C96"/>
    <w:rsid w:val="005732D0"/>
    <w:rsid w:val="00574E9C"/>
    <w:rsid w:val="00580B53"/>
    <w:rsid w:val="005827E4"/>
    <w:rsid w:val="0058565B"/>
    <w:rsid w:val="00585A21"/>
    <w:rsid w:val="005875FF"/>
    <w:rsid w:val="00587B1C"/>
    <w:rsid w:val="005914A6"/>
    <w:rsid w:val="00591A00"/>
    <w:rsid w:val="00594BC7"/>
    <w:rsid w:val="0059502A"/>
    <w:rsid w:val="005965D6"/>
    <w:rsid w:val="00597AC2"/>
    <w:rsid w:val="005A0B0D"/>
    <w:rsid w:val="005A0CA1"/>
    <w:rsid w:val="005A137B"/>
    <w:rsid w:val="005A17DC"/>
    <w:rsid w:val="005A2183"/>
    <w:rsid w:val="005A2642"/>
    <w:rsid w:val="005A32F0"/>
    <w:rsid w:val="005A3EBA"/>
    <w:rsid w:val="005A42AF"/>
    <w:rsid w:val="005A592F"/>
    <w:rsid w:val="005A5C92"/>
    <w:rsid w:val="005A6078"/>
    <w:rsid w:val="005A6CBE"/>
    <w:rsid w:val="005A7153"/>
    <w:rsid w:val="005A7ABC"/>
    <w:rsid w:val="005A7FD7"/>
    <w:rsid w:val="005B01BA"/>
    <w:rsid w:val="005B0502"/>
    <w:rsid w:val="005B47DF"/>
    <w:rsid w:val="005B631D"/>
    <w:rsid w:val="005B69F2"/>
    <w:rsid w:val="005C00CB"/>
    <w:rsid w:val="005C0934"/>
    <w:rsid w:val="005C0D27"/>
    <w:rsid w:val="005C255C"/>
    <w:rsid w:val="005C3759"/>
    <w:rsid w:val="005C3BEE"/>
    <w:rsid w:val="005C7C97"/>
    <w:rsid w:val="005D167F"/>
    <w:rsid w:val="005D16D4"/>
    <w:rsid w:val="005D257A"/>
    <w:rsid w:val="005D51F6"/>
    <w:rsid w:val="005D5EE2"/>
    <w:rsid w:val="005E29C9"/>
    <w:rsid w:val="005E339C"/>
    <w:rsid w:val="005E3602"/>
    <w:rsid w:val="005E5A1F"/>
    <w:rsid w:val="005E5AB3"/>
    <w:rsid w:val="005E68E2"/>
    <w:rsid w:val="005E6B5D"/>
    <w:rsid w:val="005E7116"/>
    <w:rsid w:val="005F11BB"/>
    <w:rsid w:val="005F174C"/>
    <w:rsid w:val="005F1A81"/>
    <w:rsid w:val="005F2ED9"/>
    <w:rsid w:val="005F4589"/>
    <w:rsid w:val="005F4BC2"/>
    <w:rsid w:val="005F5AAF"/>
    <w:rsid w:val="005F71D3"/>
    <w:rsid w:val="0060014B"/>
    <w:rsid w:val="0060322A"/>
    <w:rsid w:val="00603AB7"/>
    <w:rsid w:val="00605047"/>
    <w:rsid w:val="00605533"/>
    <w:rsid w:val="006063A6"/>
    <w:rsid w:val="00606EB3"/>
    <w:rsid w:val="00606F95"/>
    <w:rsid w:val="006075E4"/>
    <w:rsid w:val="006102B2"/>
    <w:rsid w:val="006120CB"/>
    <w:rsid w:val="00614034"/>
    <w:rsid w:val="00614651"/>
    <w:rsid w:val="00615EA6"/>
    <w:rsid w:val="0061643D"/>
    <w:rsid w:val="00617065"/>
    <w:rsid w:val="0062056D"/>
    <w:rsid w:val="00621047"/>
    <w:rsid w:val="00621E4E"/>
    <w:rsid w:val="00622E64"/>
    <w:rsid w:val="006247CA"/>
    <w:rsid w:val="00624DB3"/>
    <w:rsid w:val="00624EE6"/>
    <w:rsid w:val="0062513C"/>
    <w:rsid w:val="00627CF0"/>
    <w:rsid w:val="00630D7D"/>
    <w:rsid w:val="00634555"/>
    <w:rsid w:val="00634789"/>
    <w:rsid w:val="00634A6E"/>
    <w:rsid w:val="00635D31"/>
    <w:rsid w:val="00636201"/>
    <w:rsid w:val="0063780D"/>
    <w:rsid w:val="00637A12"/>
    <w:rsid w:val="00641516"/>
    <w:rsid w:val="006434FC"/>
    <w:rsid w:val="0064385A"/>
    <w:rsid w:val="00643FC6"/>
    <w:rsid w:val="00645CEB"/>
    <w:rsid w:val="00646ED2"/>
    <w:rsid w:val="00650ACF"/>
    <w:rsid w:val="00650FB1"/>
    <w:rsid w:val="00650FD7"/>
    <w:rsid w:val="00651F8A"/>
    <w:rsid w:val="00652705"/>
    <w:rsid w:val="006530C4"/>
    <w:rsid w:val="00653547"/>
    <w:rsid w:val="006542FD"/>
    <w:rsid w:val="00655E1C"/>
    <w:rsid w:val="00656BD8"/>
    <w:rsid w:val="00656D3F"/>
    <w:rsid w:val="00660331"/>
    <w:rsid w:val="00660742"/>
    <w:rsid w:val="00661422"/>
    <w:rsid w:val="00661E21"/>
    <w:rsid w:val="006633E0"/>
    <w:rsid w:val="00663BEA"/>
    <w:rsid w:val="00667207"/>
    <w:rsid w:val="00670852"/>
    <w:rsid w:val="00670BAC"/>
    <w:rsid w:val="0067125B"/>
    <w:rsid w:val="006714BB"/>
    <w:rsid w:val="00672D14"/>
    <w:rsid w:val="0067399C"/>
    <w:rsid w:val="00674E32"/>
    <w:rsid w:val="006751B2"/>
    <w:rsid w:val="0067632C"/>
    <w:rsid w:val="00676B6E"/>
    <w:rsid w:val="0068263C"/>
    <w:rsid w:val="00684895"/>
    <w:rsid w:val="006862B0"/>
    <w:rsid w:val="006906F1"/>
    <w:rsid w:val="00690AC2"/>
    <w:rsid w:val="00693619"/>
    <w:rsid w:val="00695FF3"/>
    <w:rsid w:val="006A042F"/>
    <w:rsid w:val="006A0F64"/>
    <w:rsid w:val="006A160E"/>
    <w:rsid w:val="006A3BD6"/>
    <w:rsid w:val="006A3D2B"/>
    <w:rsid w:val="006A5863"/>
    <w:rsid w:val="006B0B66"/>
    <w:rsid w:val="006B3B16"/>
    <w:rsid w:val="006B3FE0"/>
    <w:rsid w:val="006B54DC"/>
    <w:rsid w:val="006B65C5"/>
    <w:rsid w:val="006C13AC"/>
    <w:rsid w:val="006C5059"/>
    <w:rsid w:val="006C6E10"/>
    <w:rsid w:val="006C6F17"/>
    <w:rsid w:val="006C7413"/>
    <w:rsid w:val="006C7C87"/>
    <w:rsid w:val="006D0511"/>
    <w:rsid w:val="006D35EE"/>
    <w:rsid w:val="006D615E"/>
    <w:rsid w:val="006E01D8"/>
    <w:rsid w:val="006E0F90"/>
    <w:rsid w:val="006E462E"/>
    <w:rsid w:val="006E5DD9"/>
    <w:rsid w:val="006E6301"/>
    <w:rsid w:val="006E794E"/>
    <w:rsid w:val="006F02FA"/>
    <w:rsid w:val="006F0DB1"/>
    <w:rsid w:val="006F21E6"/>
    <w:rsid w:val="006F49FD"/>
    <w:rsid w:val="006F516E"/>
    <w:rsid w:val="006F6971"/>
    <w:rsid w:val="006F6EC7"/>
    <w:rsid w:val="006F7B37"/>
    <w:rsid w:val="0070043B"/>
    <w:rsid w:val="007009A4"/>
    <w:rsid w:val="00700B91"/>
    <w:rsid w:val="00703E58"/>
    <w:rsid w:val="00704CA3"/>
    <w:rsid w:val="00707035"/>
    <w:rsid w:val="00707489"/>
    <w:rsid w:val="007118F1"/>
    <w:rsid w:val="00711A40"/>
    <w:rsid w:val="007124DD"/>
    <w:rsid w:val="007128EE"/>
    <w:rsid w:val="007134DB"/>
    <w:rsid w:val="00713557"/>
    <w:rsid w:val="007201D3"/>
    <w:rsid w:val="007206BD"/>
    <w:rsid w:val="00720A07"/>
    <w:rsid w:val="00720B9B"/>
    <w:rsid w:val="00721599"/>
    <w:rsid w:val="00721809"/>
    <w:rsid w:val="00721FEF"/>
    <w:rsid w:val="00722139"/>
    <w:rsid w:val="00722D2B"/>
    <w:rsid w:val="0073034C"/>
    <w:rsid w:val="007310EF"/>
    <w:rsid w:val="007339B7"/>
    <w:rsid w:val="0073495F"/>
    <w:rsid w:val="00734CD7"/>
    <w:rsid w:val="007358B0"/>
    <w:rsid w:val="00735FEC"/>
    <w:rsid w:val="00736A16"/>
    <w:rsid w:val="0073716D"/>
    <w:rsid w:val="00740C62"/>
    <w:rsid w:val="0074307C"/>
    <w:rsid w:val="00746BE5"/>
    <w:rsid w:val="00750928"/>
    <w:rsid w:val="0075268C"/>
    <w:rsid w:val="0075276F"/>
    <w:rsid w:val="00753964"/>
    <w:rsid w:val="00753C13"/>
    <w:rsid w:val="0075435E"/>
    <w:rsid w:val="0075495E"/>
    <w:rsid w:val="00755238"/>
    <w:rsid w:val="007553E8"/>
    <w:rsid w:val="00755AB5"/>
    <w:rsid w:val="00755B42"/>
    <w:rsid w:val="00757F00"/>
    <w:rsid w:val="00757FCA"/>
    <w:rsid w:val="00760B41"/>
    <w:rsid w:val="0076344E"/>
    <w:rsid w:val="0076478C"/>
    <w:rsid w:val="007662C1"/>
    <w:rsid w:val="00766A68"/>
    <w:rsid w:val="00767F1D"/>
    <w:rsid w:val="00771F08"/>
    <w:rsid w:val="00773018"/>
    <w:rsid w:val="00773F73"/>
    <w:rsid w:val="00776DC5"/>
    <w:rsid w:val="00777A13"/>
    <w:rsid w:val="00777C61"/>
    <w:rsid w:val="00777FD5"/>
    <w:rsid w:val="00780F51"/>
    <w:rsid w:val="00781E7D"/>
    <w:rsid w:val="00781ECC"/>
    <w:rsid w:val="0078220D"/>
    <w:rsid w:val="00784D3C"/>
    <w:rsid w:val="007851F4"/>
    <w:rsid w:val="0079015F"/>
    <w:rsid w:val="00791410"/>
    <w:rsid w:val="00791658"/>
    <w:rsid w:val="00791A10"/>
    <w:rsid w:val="00792B19"/>
    <w:rsid w:val="0079369D"/>
    <w:rsid w:val="0079401A"/>
    <w:rsid w:val="00795543"/>
    <w:rsid w:val="007956C0"/>
    <w:rsid w:val="00795822"/>
    <w:rsid w:val="007961EE"/>
    <w:rsid w:val="007970C0"/>
    <w:rsid w:val="007972AB"/>
    <w:rsid w:val="00797EF3"/>
    <w:rsid w:val="007A3689"/>
    <w:rsid w:val="007A3F9B"/>
    <w:rsid w:val="007A4652"/>
    <w:rsid w:val="007A4803"/>
    <w:rsid w:val="007A59F3"/>
    <w:rsid w:val="007A60DD"/>
    <w:rsid w:val="007A665D"/>
    <w:rsid w:val="007A7D8B"/>
    <w:rsid w:val="007B2F19"/>
    <w:rsid w:val="007B5935"/>
    <w:rsid w:val="007B786C"/>
    <w:rsid w:val="007B7F91"/>
    <w:rsid w:val="007C0696"/>
    <w:rsid w:val="007C1B41"/>
    <w:rsid w:val="007C2677"/>
    <w:rsid w:val="007C3573"/>
    <w:rsid w:val="007C363C"/>
    <w:rsid w:val="007C566B"/>
    <w:rsid w:val="007C63B6"/>
    <w:rsid w:val="007C6C63"/>
    <w:rsid w:val="007D00C1"/>
    <w:rsid w:val="007D0FAA"/>
    <w:rsid w:val="007D2798"/>
    <w:rsid w:val="007D49F4"/>
    <w:rsid w:val="007D5ACE"/>
    <w:rsid w:val="007D76BD"/>
    <w:rsid w:val="007D784E"/>
    <w:rsid w:val="007E12AC"/>
    <w:rsid w:val="007E2BF2"/>
    <w:rsid w:val="007E30EB"/>
    <w:rsid w:val="007E3FB6"/>
    <w:rsid w:val="007E482B"/>
    <w:rsid w:val="007E5536"/>
    <w:rsid w:val="007E5BAE"/>
    <w:rsid w:val="007E64DF"/>
    <w:rsid w:val="007E68E2"/>
    <w:rsid w:val="007E6D73"/>
    <w:rsid w:val="007E76E1"/>
    <w:rsid w:val="007F0278"/>
    <w:rsid w:val="007F1322"/>
    <w:rsid w:val="007F1E68"/>
    <w:rsid w:val="007F424F"/>
    <w:rsid w:val="007F5168"/>
    <w:rsid w:val="007F51BE"/>
    <w:rsid w:val="007F525D"/>
    <w:rsid w:val="007F6117"/>
    <w:rsid w:val="00800B1D"/>
    <w:rsid w:val="00802288"/>
    <w:rsid w:val="00805D9A"/>
    <w:rsid w:val="00805E60"/>
    <w:rsid w:val="00806D01"/>
    <w:rsid w:val="008071DE"/>
    <w:rsid w:val="008107F2"/>
    <w:rsid w:val="00812B73"/>
    <w:rsid w:val="00812DC4"/>
    <w:rsid w:val="00813352"/>
    <w:rsid w:val="00813BA2"/>
    <w:rsid w:val="0081434C"/>
    <w:rsid w:val="00814DDD"/>
    <w:rsid w:val="00815B87"/>
    <w:rsid w:val="00815FFA"/>
    <w:rsid w:val="00816B4F"/>
    <w:rsid w:val="0082079B"/>
    <w:rsid w:val="0082178F"/>
    <w:rsid w:val="00821910"/>
    <w:rsid w:val="00821BE1"/>
    <w:rsid w:val="00824ABC"/>
    <w:rsid w:val="00825336"/>
    <w:rsid w:val="008300FB"/>
    <w:rsid w:val="00830B28"/>
    <w:rsid w:val="00831E5A"/>
    <w:rsid w:val="00832742"/>
    <w:rsid w:val="00834460"/>
    <w:rsid w:val="00835DE2"/>
    <w:rsid w:val="00841A37"/>
    <w:rsid w:val="008420FD"/>
    <w:rsid w:val="008425CD"/>
    <w:rsid w:val="008426BA"/>
    <w:rsid w:val="0084298F"/>
    <w:rsid w:val="00842C17"/>
    <w:rsid w:val="00842E2A"/>
    <w:rsid w:val="00844C2E"/>
    <w:rsid w:val="00845928"/>
    <w:rsid w:val="008464DE"/>
    <w:rsid w:val="008474C1"/>
    <w:rsid w:val="008478BF"/>
    <w:rsid w:val="00850222"/>
    <w:rsid w:val="00851F47"/>
    <w:rsid w:val="0085201F"/>
    <w:rsid w:val="008544C5"/>
    <w:rsid w:val="00854855"/>
    <w:rsid w:val="00855B5E"/>
    <w:rsid w:val="00855CAD"/>
    <w:rsid w:val="00855EDF"/>
    <w:rsid w:val="00857541"/>
    <w:rsid w:val="008601D2"/>
    <w:rsid w:val="00860C46"/>
    <w:rsid w:val="0086342A"/>
    <w:rsid w:val="00865FCB"/>
    <w:rsid w:val="00866ED0"/>
    <w:rsid w:val="00866FF5"/>
    <w:rsid w:val="00867002"/>
    <w:rsid w:val="008710B0"/>
    <w:rsid w:val="00871169"/>
    <w:rsid w:val="008723F6"/>
    <w:rsid w:val="00872EF8"/>
    <w:rsid w:val="00873875"/>
    <w:rsid w:val="00874084"/>
    <w:rsid w:val="00874504"/>
    <w:rsid w:val="008758AB"/>
    <w:rsid w:val="008767BC"/>
    <w:rsid w:val="008769BA"/>
    <w:rsid w:val="00876CC3"/>
    <w:rsid w:val="0087724E"/>
    <w:rsid w:val="00880C3C"/>
    <w:rsid w:val="008841C4"/>
    <w:rsid w:val="00884364"/>
    <w:rsid w:val="00884D4D"/>
    <w:rsid w:val="00886F75"/>
    <w:rsid w:val="0088783F"/>
    <w:rsid w:val="00887883"/>
    <w:rsid w:val="00895E6D"/>
    <w:rsid w:val="00896009"/>
    <w:rsid w:val="008969A7"/>
    <w:rsid w:val="00896F0C"/>
    <w:rsid w:val="008A1800"/>
    <w:rsid w:val="008A1C94"/>
    <w:rsid w:val="008A22EC"/>
    <w:rsid w:val="008A40FF"/>
    <w:rsid w:val="008A450F"/>
    <w:rsid w:val="008A47D1"/>
    <w:rsid w:val="008A49B1"/>
    <w:rsid w:val="008A4AEE"/>
    <w:rsid w:val="008A541B"/>
    <w:rsid w:val="008A576C"/>
    <w:rsid w:val="008A7700"/>
    <w:rsid w:val="008A7981"/>
    <w:rsid w:val="008B116D"/>
    <w:rsid w:val="008B3C3F"/>
    <w:rsid w:val="008B4700"/>
    <w:rsid w:val="008B474F"/>
    <w:rsid w:val="008B481E"/>
    <w:rsid w:val="008B4A1F"/>
    <w:rsid w:val="008B56A1"/>
    <w:rsid w:val="008C0203"/>
    <w:rsid w:val="008C0E8A"/>
    <w:rsid w:val="008C0FA9"/>
    <w:rsid w:val="008C1391"/>
    <w:rsid w:val="008C2199"/>
    <w:rsid w:val="008C2693"/>
    <w:rsid w:val="008C2D6F"/>
    <w:rsid w:val="008C3EEE"/>
    <w:rsid w:val="008C58B5"/>
    <w:rsid w:val="008C66AA"/>
    <w:rsid w:val="008C6AA4"/>
    <w:rsid w:val="008D1DD6"/>
    <w:rsid w:val="008D350C"/>
    <w:rsid w:val="008D3522"/>
    <w:rsid w:val="008D449D"/>
    <w:rsid w:val="008D6211"/>
    <w:rsid w:val="008D6FAC"/>
    <w:rsid w:val="008D78C9"/>
    <w:rsid w:val="008E1059"/>
    <w:rsid w:val="008E1635"/>
    <w:rsid w:val="008E2048"/>
    <w:rsid w:val="008E3F88"/>
    <w:rsid w:val="008E4497"/>
    <w:rsid w:val="008E44EA"/>
    <w:rsid w:val="008E4784"/>
    <w:rsid w:val="008E55F9"/>
    <w:rsid w:val="008E5E38"/>
    <w:rsid w:val="008F0BE7"/>
    <w:rsid w:val="008F1911"/>
    <w:rsid w:val="008F5938"/>
    <w:rsid w:val="008F5CE0"/>
    <w:rsid w:val="00900663"/>
    <w:rsid w:val="00901E2A"/>
    <w:rsid w:val="00903FA7"/>
    <w:rsid w:val="0090459C"/>
    <w:rsid w:val="00904E7E"/>
    <w:rsid w:val="009053D7"/>
    <w:rsid w:val="00906280"/>
    <w:rsid w:val="0090630E"/>
    <w:rsid w:val="00906FD4"/>
    <w:rsid w:val="009073B6"/>
    <w:rsid w:val="00910068"/>
    <w:rsid w:val="0091038C"/>
    <w:rsid w:val="00911ABB"/>
    <w:rsid w:val="00912803"/>
    <w:rsid w:val="0091327F"/>
    <w:rsid w:val="009135B5"/>
    <w:rsid w:val="00913861"/>
    <w:rsid w:val="00914100"/>
    <w:rsid w:val="00916A8C"/>
    <w:rsid w:val="00917ACF"/>
    <w:rsid w:val="00917BBD"/>
    <w:rsid w:val="009202DF"/>
    <w:rsid w:val="00921576"/>
    <w:rsid w:val="00921B0C"/>
    <w:rsid w:val="00924B09"/>
    <w:rsid w:val="00925348"/>
    <w:rsid w:val="00926A69"/>
    <w:rsid w:val="00927DF3"/>
    <w:rsid w:val="00930D6E"/>
    <w:rsid w:val="0093199C"/>
    <w:rsid w:val="00931DE2"/>
    <w:rsid w:val="0093370F"/>
    <w:rsid w:val="00933E1D"/>
    <w:rsid w:val="009343E1"/>
    <w:rsid w:val="00934941"/>
    <w:rsid w:val="00935E2C"/>
    <w:rsid w:val="00935EBF"/>
    <w:rsid w:val="009360DA"/>
    <w:rsid w:val="009377D4"/>
    <w:rsid w:val="00937CE2"/>
    <w:rsid w:val="00943281"/>
    <w:rsid w:val="0094372E"/>
    <w:rsid w:val="009447F6"/>
    <w:rsid w:val="009453FD"/>
    <w:rsid w:val="00945AC6"/>
    <w:rsid w:val="00946486"/>
    <w:rsid w:val="00946ABE"/>
    <w:rsid w:val="00947487"/>
    <w:rsid w:val="00947986"/>
    <w:rsid w:val="00947DFF"/>
    <w:rsid w:val="00950735"/>
    <w:rsid w:val="0095089B"/>
    <w:rsid w:val="00954241"/>
    <w:rsid w:val="0095557F"/>
    <w:rsid w:val="009569F2"/>
    <w:rsid w:val="00956ACD"/>
    <w:rsid w:val="00956C85"/>
    <w:rsid w:val="009576E8"/>
    <w:rsid w:val="00957851"/>
    <w:rsid w:val="00957EE6"/>
    <w:rsid w:val="0096233C"/>
    <w:rsid w:val="00963E4C"/>
    <w:rsid w:val="00965353"/>
    <w:rsid w:val="00965A18"/>
    <w:rsid w:val="0096626D"/>
    <w:rsid w:val="009662E5"/>
    <w:rsid w:val="00966B05"/>
    <w:rsid w:val="00967347"/>
    <w:rsid w:val="009708E0"/>
    <w:rsid w:val="00971394"/>
    <w:rsid w:val="00971481"/>
    <w:rsid w:val="00971AF1"/>
    <w:rsid w:val="00972BE5"/>
    <w:rsid w:val="00972DC2"/>
    <w:rsid w:val="009747E2"/>
    <w:rsid w:val="0097562A"/>
    <w:rsid w:val="009760FD"/>
    <w:rsid w:val="009761FC"/>
    <w:rsid w:val="00977430"/>
    <w:rsid w:val="0098324A"/>
    <w:rsid w:val="009832E3"/>
    <w:rsid w:val="00983300"/>
    <w:rsid w:val="00985507"/>
    <w:rsid w:val="009906EF"/>
    <w:rsid w:val="00991367"/>
    <w:rsid w:val="00992BA8"/>
    <w:rsid w:val="00993A5A"/>
    <w:rsid w:val="00993E8B"/>
    <w:rsid w:val="00997A5D"/>
    <w:rsid w:val="009A566C"/>
    <w:rsid w:val="009A5A8C"/>
    <w:rsid w:val="009A7516"/>
    <w:rsid w:val="009A79B1"/>
    <w:rsid w:val="009B0EAB"/>
    <w:rsid w:val="009B2536"/>
    <w:rsid w:val="009B2925"/>
    <w:rsid w:val="009B5AE2"/>
    <w:rsid w:val="009C16CD"/>
    <w:rsid w:val="009C1744"/>
    <w:rsid w:val="009C25D2"/>
    <w:rsid w:val="009C45B8"/>
    <w:rsid w:val="009C4960"/>
    <w:rsid w:val="009C561D"/>
    <w:rsid w:val="009C5FEF"/>
    <w:rsid w:val="009C7149"/>
    <w:rsid w:val="009C7439"/>
    <w:rsid w:val="009D1288"/>
    <w:rsid w:val="009D24B2"/>
    <w:rsid w:val="009D2F2D"/>
    <w:rsid w:val="009D6AC2"/>
    <w:rsid w:val="009D7023"/>
    <w:rsid w:val="009D78C8"/>
    <w:rsid w:val="009E013B"/>
    <w:rsid w:val="009E15C0"/>
    <w:rsid w:val="009E20CC"/>
    <w:rsid w:val="009E3F48"/>
    <w:rsid w:val="009E67E2"/>
    <w:rsid w:val="009E7470"/>
    <w:rsid w:val="009F0D82"/>
    <w:rsid w:val="009F0F36"/>
    <w:rsid w:val="009F167D"/>
    <w:rsid w:val="009F2E37"/>
    <w:rsid w:val="009F31F1"/>
    <w:rsid w:val="009F3C3A"/>
    <w:rsid w:val="009F453C"/>
    <w:rsid w:val="009F4BE9"/>
    <w:rsid w:val="009F6D00"/>
    <w:rsid w:val="00A00404"/>
    <w:rsid w:val="00A0106C"/>
    <w:rsid w:val="00A0336D"/>
    <w:rsid w:val="00A04207"/>
    <w:rsid w:val="00A04B37"/>
    <w:rsid w:val="00A051EB"/>
    <w:rsid w:val="00A05894"/>
    <w:rsid w:val="00A0773B"/>
    <w:rsid w:val="00A124C5"/>
    <w:rsid w:val="00A125BA"/>
    <w:rsid w:val="00A133C9"/>
    <w:rsid w:val="00A13AB6"/>
    <w:rsid w:val="00A1558D"/>
    <w:rsid w:val="00A15E3C"/>
    <w:rsid w:val="00A164B3"/>
    <w:rsid w:val="00A20669"/>
    <w:rsid w:val="00A20B71"/>
    <w:rsid w:val="00A23330"/>
    <w:rsid w:val="00A24F5C"/>
    <w:rsid w:val="00A2665F"/>
    <w:rsid w:val="00A271C8"/>
    <w:rsid w:val="00A31B43"/>
    <w:rsid w:val="00A31C3E"/>
    <w:rsid w:val="00A31E69"/>
    <w:rsid w:val="00A32086"/>
    <w:rsid w:val="00A3286D"/>
    <w:rsid w:val="00A35B10"/>
    <w:rsid w:val="00A35F1E"/>
    <w:rsid w:val="00A4042C"/>
    <w:rsid w:val="00A445E0"/>
    <w:rsid w:val="00A44C9D"/>
    <w:rsid w:val="00A46D22"/>
    <w:rsid w:val="00A47EBF"/>
    <w:rsid w:val="00A5031E"/>
    <w:rsid w:val="00A5198F"/>
    <w:rsid w:val="00A52017"/>
    <w:rsid w:val="00A52A09"/>
    <w:rsid w:val="00A54358"/>
    <w:rsid w:val="00A562BE"/>
    <w:rsid w:val="00A60467"/>
    <w:rsid w:val="00A60E07"/>
    <w:rsid w:val="00A647D7"/>
    <w:rsid w:val="00A66BBE"/>
    <w:rsid w:val="00A66E9B"/>
    <w:rsid w:val="00A67736"/>
    <w:rsid w:val="00A70D74"/>
    <w:rsid w:val="00A71E2D"/>
    <w:rsid w:val="00A73A3B"/>
    <w:rsid w:val="00A74A44"/>
    <w:rsid w:val="00A750DD"/>
    <w:rsid w:val="00A7534F"/>
    <w:rsid w:val="00A77C11"/>
    <w:rsid w:val="00A83EF0"/>
    <w:rsid w:val="00A85396"/>
    <w:rsid w:val="00A861F8"/>
    <w:rsid w:val="00A87446"/>
    <w:rsid w:val="00A87D94"/>
    <w:rsid w:val="00A91DD2"/>
    <w:rsid w:val="00A92868"/>
    <w:rsid w:val="00A92FA0"/>
    <w:rsid w:val="00A93DFF"/>
    <w:rsid w:val="00A95938"/>
    <w:rsid w:val="00A95A24"/>
    <w:rsid w:val="00A96B84"/>
    <w:rsid w:val="00A97151"/>
    <w:rsid w:val="00A97F0A"/>
    <w:rsid w:val="00AA2E5D"/>
    <w:rsid w:val="00AA403A"/>
    <w:rsid w:val="00AA4082"/>
    <w:rsid w:val="00AA4416"/>
    <w:rsid w:val="00AA5348"/>
    <w:rsid w:val="00AA5913"/>
    <w:rsid w:val="00AB028F"/>
    <w:rsid w:val="00AB1E32"/>
    <w:rsid w:val="00AB3ADE"/>
    <w:rsid w:val="00AB4517"/>
    <w:rsid w:val="00AB4737"/>
    <w:rsid w:val="00AB6027"/>
    <w:rsid w:val="00AC0C8B"/>
    <w:rsid w:val="00AC226D"/>
    <w:rsid w:val="00AC235D"/>
    <w:rsid w:val="00AC275A"/>
    <w:rsid w:val="00AC602D"/>
    <w:rsid w:val="00AD1668"/>
    <w:rsid w:val="00AD2B04"/>
    <w:rsid w:val="00AD326C"/>
    <w:rsid w:val="00AD40E6"/>
    <w:rsid w:val="00AD43AC"/>
    <w:rsid w:val="00AD59FF"/>
    <w:rsid w:val="00AD658E"/>
    <w:rsid w:val="00AD6830"/>
    <w:rsid w:val="00AD6DD4"/>
    <w:rsid w:val="00AE13B8"/>
    <w:rsid w:val="00AE279B"/>
    <w:rsid w:val="00AE381C"/>
    <w:rsid w:val="00AE44DB"/>
    <w:rsid w:val="00AE457A"/>
    <w:rsid w:val="00AE4BA1"/>
    <w:rsid w:val="00AE6008"/>
    <w:rsid w:val="00AE6352"/>
    <w:rsid w:val="00AE65D3"/>
    <w:rsid w:val="00AF2B36"/>
    <w:rsid w:val="00AF2B67"/>
    <w:rsid w:val="00AF2F90"/>
    <w:rsid w:val="00AF5BE4"/>
    <w:rsid w:val="00B00363"/>
    <w:rsid w:val="00B01D10"/>
    <w:rsid w:val="00B01E70"/>
    <w:rsid w:val="00B021F3"/>
    <w:rsid w:val="00B024FC"/>
    <w:rsid w:val="00B03886"/>
    <w:rsid w:val="00B039BE"/>
    <w:rsid w:val="00B05020"/>
    <w:rsid w:val="00B053BA"/>
    <w:rsid w:val="00B0543F"/>
    <w:rsid w:val="00B05D74"/>
    <w:rsid w:val="00B0637D"/>
    <w:rsid w:val="00B076A2"/>
    <w:rsid w:val="00B079F4"/>
    <w:rsid w:val="00B07D09"/>
    <w:rsid w:val="00B10527"/>
    <w:rsid w:val="00B10C18"/>
    <w:rsid w:val="00B11C2C"/>
    <w:rsid w:val="00B1476C"/>
    <w:rsid w:val="00B1562A"/>
    <w:rsid w:val="00B158AB"/>
    <w:rsid w:val="00B15F5B"/>
    <w:rsid w:val="00B16A9F"/>
    <w:rsid w:val="00B17BF0"/>
    <w:rsid w:val="00B21478"/>
    <w:rsid w:val="00B21A19"/>
    <w:rsid w:val="00B22A1D"/>
    <w:rsid w:val="00B242A4"/>
    <w:rsid w:val="00B24FC6"/>
    <w:rsid w:val="00B25A52"/>
    <w:rsid w:val="00B2719F"/>
    <w:rsid w:val="00B2739E"/>
    <w:rsid w:val="00B277BB"/>
    <w:rsid w:val="00B27B34"/>
    <w:rsid w:val="00B304A1"/>
    <w:rsid w:val="00B30B21"/>
    <w:rsid w:val="00B3249B"/>
    <w:rsid w:val="00B32910"/>
    <w:rsid w:val="00B32BBA"/>
    <w:rsid w:val="00B360DF"/>
    <w:rsid w:val="00B36992"/>
    <w:rsid w:val="00B36D9A"/>
    <w:rsid w:val="00B405E7"/>
    <w:rsid w:val="00B40728"/>
    <w:rsid w:val="00B40B54"/>
    <w:rsid w:val="00B42731"/>
    <w:rsid w:val="00B4486A"/>
    <w:rsid w:val="00B44A50"/>
    <w:rsid w:val="00B468AF"/>
    <w:rsid w:val="00B50974"/>
    <w:rsid w:val="00B517B0"/>
    <w:rsid w:val="00B5439C"/>
    <w:rsid w:val="00B557A4"/>
    <w:rsid w:val="00B60122"/>
    <w:rsid w:val="00B61A97"/>
    <w:rsid w:val="00B62791"/>
    <w:rsid w:val="00B632FE"/>
    <w:rsid w:val="00B64971"/>
    <w:rsid w:val="00B64FE2"/>
    <w:rsid w:val="00B656D4"/>
    <w:rsid w:val="00B66D89"/>
    <w:rsid w:val="00B671E8"/>
    <w:rsid w:val="00B6721C"/>
    <w:rsid w:val="00B6755C"/>
    <w:rsid w:val="00B67756"/>
    <w:rsid w:val="00B678FC"/>
    <w:rsid w:val="00B703ED"/>
    <w:rsid w:val="00B7200E"/>
    <w:rsid w:val="00B7315B"/>
    <w:rsid w:val="00B734F2"/>
    <w:rsid w:val="00B7397A"/>
    <w:rsid w:val="00B75608"/>
    <w:rsid w:val="00B76585"/>
    <w:rsid w:val="00B833DD"/>
    <w:rsid w:val="00B86B0F"/>
    <w:rsid w:val="00B8713E"/>
    <w:rsid w:val="00B87284"/>
    <w:rsid w:val="00B87E0B"/>
    <w:rsid w:val="00B87F7E"/>
    <w:rsid w:val="00B901F9"/>
    <w:rsid w:val="00B90377"/>
    <w:rsid w:val="00B90392"/>
    <w:rsid w:val="00B907AD"/>
    <w:rsid w:val="00B90AAC"/>
    <w:rsid w:val="00B90AEC"/>
    <w:rsid w:val="00B916E0"/>
    <w:rsid w:val="00B9176F"/>
    <w:rsid w:val="00B92211"/>
    <w:rsid w:val="00B93127"/>
    <w:rsid w:val="00B931FF"/>
    <w:rsid w:val="00B93BB3"/>
    <w:rsid w:val="00B9545E"/>
    <w:rsid w:val="00B95593"/>
    <w:rsid w:val="00B95665"/>
    <w:rsid w:val="00B96A68"/>
    <w:rsid w:val="00BA1B76"/>
    <w:rsid w:val="00BA20FB"/>
    <w:rsid w:val="00BA274E"/>
    <w:rsid w:val="00BA276B"/>
    <w:rsid w:val="00BA2AC0"/>
    <w:rsid w:val="00BA3FD4"/>
    <w:rsid w:val="00BA4351"/>
    <w:rsid w:val="00BA5328"/>
    <w:rsid w:val="00BA5545"/>
    <w:rsid w:val="00BA5712"/>
    <w:rsid w:val="00BA62A5"/>
    <w:rsid w:val="00BA64AE"/>
    <w:rsid w:val="00BA7205"/>
    <w:rsid w:val="00BB0606"/>
    <w:rsid w:val="00BB161B"/>
    <w:rsid w:val="00BB18E7"/>
    <w:rsid w:val="00BB2DCA"/>
    <w:rsid w:val="00BB6B5E"/>
    <w:rsid w:val="00BB7006"/>
    <w:rsid w:val="00BC2903"/>
    <w:rsid w:val="00BC3EF8"/>
    <w:rsid w:val="00BC4103"/>
    <w:rsid w:val="00BC4A7E"/>
    <w:rsid w:val="00BC5227"/>
    <w:rsid w:val="00BC52AE"/>
    <w:rsid w:val="00BC6A09"/>
    <w:rsid w:val="00BD210C"/>
    <w:rsid w:val="00BD3B02"/>
    <w:rsid w:val="00BD7191"/>
    <w:rsid w:val="00BD7338"/>
    <w:rsid w:val="00BE0C60"/>
    <w:rsid w:val="00BE131F"/>
    <w:rsid w:val="00BE3D71"/>
    <w:rsid w:val="00BE6B8E"/>
    <w:rsid w:val="00BF08D6"/>
    <w:rsid w:val="00BF0DF5"/>
    <w:rsid w:val="00BF2454"/>
    <w:rsid w:val="00BF454F"/>
    <w:rsid w:val="00C00315"/>
    <w:rsid w:val="00C0138B"/>
    <w:rsid w:val="00C018F7"/>
    <w:rsid w:val="00C018FA"/>
    <w:rsid w:val="00C02428"/>
    <w:rsid w:val="00C0375B"/>
    <w:rsid w:val="00C05AA9"/>
    <w:rsid w:val="00C06319"/>
    <w:rsid w:val="00C06EDC"/>
    <w:rsid w:val="00C0758E"/>
    <w:rsid w:val="00C07AF8"/>
    <w:rsid w:val="00C10671"/>
    <w:rsid w:val="00C10ADA"/>
    <w:rsid w:val="00C12AC2"/>
    <w:rsid w:val="00C12CD0"/>
    <w:rsid w:val="00C13129"/>
    <w:rsid w:val="00C1449F"/>
    <w:rsid w:val="00C14FA3"/>
    <w:rsid w:val="00C16933"/>
    <w:rsid w:val="00C169B3"/>
    <w:rsid w:val="00C17C13"/>
    <w:rsid w:val="00C20DE2"/>
    <w:rsid w:val="00C21ED3"/>
    <w:rsid w:val="00C22199"/>
    <w:rsid w:val="00C23362"/>
    <w:rsid w:val="00C23F86"/>
    <w:rsid w:val="00C24958"/>
    <w:rsid w:val="00C2566B"/>
    <w:rsid w:val="00C265AD"/>
    <w:rsid w:val="00C2727B"/>
    <w:rsid w:val="00C27853"/>
    <w:rsid w:val="00C30A8D"/>
    <w:rsid w:val="00C30C95"/>
    <w:rsid w:val="00C31BA9"/>
    <w:rsid w:val="00C328F0"/>
    <w:rsid w:val="00C348FC"/>
    <w:rsid w:val="00C349D4"/>
    <w:rsid w:val="00C34EE9"/>
    <w:rsid w:val="00C36705"/>
    <w:rsid w:val="00C407A4"/>
    <w:rsid w:val="00C40F59"/>
    <w:rsid w:val="00C45744"/>
    <w:rsid w:val="00C520DA"/>
    <w:rsid w:val="00C525B6"/>
    <w:rsid w:val="00C52CA8"/>
    <w:rsid w:val="00C5311A"/>
    <w:rsid w:val="00C55CF2"/>
    <w:rsid w:val="00C5760E"/>
    <w:rsid w:val="00C57AF2"/>
    <w:rsid w:val="00C57B6E"/>
    <w:rsid w:val="00C61646"/>
    <w:rsid w:val="00C63393"/>
    <w:rsid w:val="00C6552A"/>
    <w:rsid w:val="00C67441"/>
    <w:rsid w:val="00C70519"/>
    <w:rsid w:val="00C715E6"/>
    <w:rsid w:val="00C716D6"/>
    <w:rsid w:val="00C71F6B"/>
    <w:rsid w:val="00C73D0B"/>
    <w:rsid w:val="00C7447B"/>
    <w:rsid w:val="00C74B79"/>
    <w:rsid w:val="00C74C11"/>
    <w:rsid w:val="00C75E67"/>
    <w:rsid w:val="00C81F75"/>
    <w:rsid w:val="00C82BA7"/>
    <w:rsid w:val="00C8307C"/>
    <w:rsid w:val="00C83EB0"/>
    <w:rsid w:val="00C874FB"/>
    <w:rsid w:val="00C875EF"/>
    <w:rsid w:val="00C87812"/>
    <w:rsid w:val="00C87F1C"/>
    <w:rsid w:val="00C90946"/>
    <w:rsid w:val="00C91F24"/>
    <w:rsid w:val="00C923C5"/>
    <w:rsid w:val="00C92724"/>
    <w:rsid w:val="00C937B9"/>
    <w:rsid w:val="00C94D12"/>
    <w:rsid w:val="00C94D34"/>
    <w:rsid w:val="00C97F84"/>
    <w:rsid w:val="00CA03BC"/>
    <w:rsid w:val="00CA122B"/>
    <w:rsid w:val="00CA20F5"/>
    <w:rsid w:val="00CA270D"/>
    <w:rsid w:val="00CA2762"/>
    <w:rsid w:val="00CA3496"/>
    <w:rsid w:val="00CA36F2"/>
    <w:rsid w:val="00CA620D"/>
    <w:rsid w:val="00CA7E56"/>
    <w:rsid w:val="00CA7FBE"/>
    <w:rsid w:val="00CB105D"/>
    <w:rsid w:val="00CB24A7"/>
    <w:rsid w:val="00CB26F0"/>
    <w:rsid w:val="00CB2EA9"/>
    <w:rsid w:val="00CB3A60"/>
    <w:rsid w:val="00CB46B4"/>
    <w:rsid w:val="00CB57AC"/>
    <w:rsid w:val="00CB594A"/>
    <w:rsid w:val="00CC1FD1"/>
    <w:rsid w:val="00CC371A"/>
    <w:rsid w:val="00CC39AE"/>
    <w:rsid w:val="00CC3E21"/>
    <w:rsid w:val="00CC4395"/>
    <w:rsid w:val="00CC50E0"/>
    <w:rsid w:val="00CC67EE"/>
    <w:rsid w:val="00CC6C1E"/>
    <w:rsid w:val="00CD1031"/>
    <w:rsid w:val="00CD1125"/>
    <w:rsid w:val="00CD2450"/>
    <w:rsid w:val="00CD30BB"/>
    <w:rsid w:val="00CD5A01"/>
    <w:rsid w:val="00CD75F8"/>
    <w:rsid w:val="00CE01A4"/>
    <w:rsid w:val="00CE0A81"/>
    <w:rsid w:val="00CE13E8"/>
    <w:rsid w:val="00CE25E2"/>
    <w:rsid w:val="00CE27F1"/>
    <w:rsid w:val="00CE5D6C"/>
    <w:rsid w:val="00CF02FE"/>
    <w:rsid w:val="00CF1B7B"/>
    <w:rsid w:val="00CF356C"/>
    <w:rsid w:val="00D02C67"/>
    <w:rsid w:val="00D034DB"/>
    <w:rsid w:val="00D0379C"/>
    <w:rsid w:val="00D05D8A"/>
    <w:rsid w:val="00D05FA9"/>
    <w:rsid w:val="00D06BB1"/>
    <w:rsid w:val="00D11C8A"/>
    <w:rsid w:val="00D12823"/>
    <w:rsid w:val="00D136EE"/>
    <w:rsid w:val="00D14827"/>
    <w:rsid w:val="00D15FC0"/>
    <w:rsid w:val="00D1783B"/>
    <w:rsid w:val="00D20992"/>
    <w:rsid w:val="00D213A3"/>
    <w:rsid w:val="00D220CB"/>
    <w:rsid w:val="00D230FC"/>
    <w:rsid w:val="00D24207"/>
    <w:rsid w:val="00D272C0"/>
    <w:rsid w:val="00D30602"/>
    <w:rsid w:val="00D31D6B"/>
    <w:rsid w:val="00D32D0C"/>
    <w:rsid w:val="00D33A04"/>
    <w:rsid w:val="00D34466"/>
    <w:rsid w:val="00D3466E"/>
    <w:rsid w:val="00D3578A"/>
    <w:rsid w:val="00D35E4D"/>
    <w:rsid w:val="00D401AB"/>
    <w:rsid w:val="00D40A4E"/>
    <w:rsid w:val="00D41D9D"/>
    <w:rsid w:val="00D41F1D"/>
    <w:rsid w:val="00D436CD"/>
    <w:rsid w:val="00D44889"/>
    <w:rsid w:val="00D460D6"/>
    <w:rsid w:val="00D4661A"/>
    <w:rsid w:val="00D4745E"/>
    <w:rsid w:val="00D51B67"/>
    <w:rsid w:val="00D54420"/>
    <w:rsid w:val="00D54844"/>
    <w:rsid w:val="00D54982"/>
    <w:rsid w:val="00D5538B"/>
    <w:rsid w:val="00D56D76"/>
    <w:rsid w:val="00D57772"/>
    <w:rsid w:val="00D57BA5"/>
    <w:rsid w:val="00D57EE5"/>
    <w:rsid w:val="00D615EB"/>
    <w:rsid w:val="00D62D90"/>
    <w:rsid w:val="00D64AE6"/>
    <w:rsid w:val="00D658F3"/>
    <w:rsid w:val="00D70328"/>
    <w:rsid w:val="00D710C4"/>
    <w:rsid w:val="00D72B81"/>
    <w:rsid w:val="00D73217"/>
    <w:rsid w:val="00D75CE7"/>
    <w:rsid w:val="00D7686F"/>
    <w:rsid w:val="00D76E43"/>
    <w:rsid w:val="00D770DE"/>
    <w:rsid w:val="00D77CC6"/>
    <w:rsid w:val="00D80796"/>
    <w:rsid w:val="00D842C3"/>
    <w:rsid w:val="00D85128"/>
    <w:rsid w:val="00D859A4"/>
    <w:rsid w:val="00D86272"/>
    <w:rsid w:val="00D8778F"/>
    <w:rsid w:val="00D93250"/>
    <w:rsid w:val="00D94A7A"/>
    <w:rsid w:val="00D96283"/>
    <w:rsid w:val="00D96428"/>
    <w:rsid w:val="00DA1931"/>
    <w:rsid w:val="00DA443D"/>
    <w:rsid w:val="00DA4F01"/>
    <w:rsid w:val="00DA5374"/>
    <w:rsid w:val="00DB0022"/>
    <w:rsid w:val="00DB0A87"/>
    <w:rsid w:val="00DB0CD5"/>
    <w:rsid w:val="00DB1611"/>
    <w:rsid w:val="00DB47C0"/>
    <w:rsid w:val="00DB5645"/>
    <w:rsid w:val="00DB64C3"/>
    <w:rsid w:val="00DB6936"/>
    <w:rsid w:val="00DB696B"/>
    <w:rsid w:val="00DC1FAE"/>
    <w:rsid w:val="00DC5054"/>
    <w:rsid w:val="00DD0C78"/>
    <w:rsid w:val="00DD24C3"/>
    <w:rsid w:val="00DD38F1"/>
    <w:rsid w:val="00DD4782"/>
    <w:rsid w:val="00DD49BC"/>
    <w:rsid w:val="00DD4FD6"/>
    <w:rsid w:val="00DD69F8"/>
    <w:rsid w:val="00DE054F"/>
    <w:rsid w:val="00DE0C37"/>
    <w:rsid w:val="00DE0EC8"/>
    <w:rsid w:val="00DE182A"/>
    <w:rsid w:val="00DE320B"/>
    <w:rsid w:val="00DE3C54"/>
    <w:rsid w:val="00DE5424"/>
    <w:rsid w:val="00DE71D9"/>
    <w:rsid w:val="00DE7B00"/>
    <w:rsid w:val="00DF1B1E"/>
    <w:rsid w:val="00DF2833"/>
    <w:rsid w:val="00DF2B86"/>
    <w:rsid w:val="00DF78F6"/>
    <w:rsid w:val="00E01251"/>
    <w:rsid w:val="00E03243"/>
    <w:rsid w:val="00E039A5"/>
    <w:rsid w:val="00E03E8C"/>
    <w:rsid w:val="00E07460"/>
    <w:rsid w:val="00E11997"/>
    <w:rsid w:val="00E13C5E"/>
    <w:rsid w:val="00E152BE"/>
    <w:rsid w:val="00E169E2"/>
    <w:rsid w:val="00E216A4"/>
    <w:rsid w:val="00E22827"/>
    <w:rsid w:val="00E22E86"/>
    <w:rsid w:val="00E2305E"/>
    <w:rsid w:val="00E235E2"/>
    <w:rsid w:val="00E25011"/>
    <w:rsid w:val="00E25CA3"/>
    <w:rsid w:val="00E26C77"/>
    <w:rsid w:val="00E272A0"/>
    <w:rsid w:val="00E27393"/>
    <w:rsid w:val="00E27E6D"/>
    <w:rsid w:val="00E300C9"/>
    <w:rsid w:val="00E3101C"/>
    <w:rsid w:val="00E34028"/>
    <w:rsid w:val="00E34271"/>
    <w:rsid w:val="00E37457"/>
    <w:rsid w:val="00E40C28"/>
    <w:rsid w:val="00E416B2"/>
    <w:rsid w:val="00E43D84"/>
    <w:rsid w:val="00E444A2"/>
    <w:rsid w:val="00E44E06"/>
    <w:rsid w:val="00E45582"/>
    <w:rsid w:val="00E45E3C"/>
    <w:rsid w:val="00E47A00"/>
    <w:rsid w:val="00E51195"/>
    <w:rsid w:val="00E524B1"/>
    <w:rsid w:val="00E545E4"/>
    <w:rsid w:val="00E551CA"/>
    <w:rsid w:val="00E6023E"/>
    <w:rsid w:val="00E63E79"/>
    <w:rsid w:val="00E64BDD"/>
    <w:rsid w:val="00E65018"/>
    <w:rsid w:val="00E676AC"/>
    <w:rsid w:val="00E679C9"/>
    <w:rsid w:val="00E67CD9"/>
    <w:rsid w:val="00E700CB"/>
    <w:rsid w:val="00E70497"/>
    <w:rsid w:val="00E70D9C"/>
    <w:rsid w:val="00E71ABC"/>
    <w:rsid w:val="00E72ABD"/>
    <w:rsid w:val="00E73FE4"/>
    <w:rsid w:val="00E75F25"/>
    <w:rsid w:val="00E814B9"/>
    <w:rsid w:val="00E8167E"/>
    <w:rsid w:val="00E84C72"/>
    <w:rsid w:val="00E854F2"/>
    <w:rsid w:val="00E860E6"/>
    <w:rsid w:val="00E8707D"/>
    <w:rsid w:val="00E908DE"/>
    <w:rsid w:val="00E91AB6"/>
    <w:rsid w:val="00E92A7A"/>
    <w:rsid w:val="00E93A06"/>
    <w:rsid w:val="00E97212"/>
    <w:rsid w:val="00EA1331"/>
    <w:rsid w:val="00EA189E"/>
    <w:rsid w:val="00EA194F"/>
    <w:rsid w:val="00EA1A08"/>
    <w:rsid w:val="00EA1CFF"/>
    <w:rsid w:val="00EA28C8"/>
    <w:rsid w:val="00EA3891"/>
    <w:rsid w:val="00EA6638"/>
    <w:rsid w:val="00EA694D"/>
    <w:rsid w:val="00EB16CB"/>
    <w:rsid w:val="00EB195A"/>
    <w:rsid w:val="00EB1EC3"/>
    <w:rsid w:val="00EB3ED3"/>
    <w:rsid w:val="00EB4826"/>
    <w:rsid w:val="00EB673E"/>
    <w:rsid w:val="00EB6D50"/>
    <w:rsid w:val="00EC0953"/>
    <w:rsid w:val="00EC0995"/>
    <w:rsid w:val="00EC289D"/>
    <w:rsid w:val="00EC2FD4"/>
    <w:rsid w:val="00EC34A6"/>
    <w:rsid w:val="00EC5D40"/>
    <w:rsid w:val="00EC7B12"/>
    <w:rsid w:val="00ED0B21"/>
    <w:rsid w:val="00ED2975"/>
    <w:rsid w:val="00ED2FF7"/>
    <w:rsid w:val="00ED379C"/>
    <w:rsid w:val="00ED43BB"/>
    <w:rsid w:val="00ED5FB4"/>
    <w:rsid w:val="00ED641E"/>
    <w:rsid w:val="00EE2D2E"/>
    <w:rsid w:val="00EE36B8"/>
    <w:rsid w:val="00EE3B4F"/>
    <w:rsid w:val="00EE4589"/>
    <w:rsid w:val="00EE60D8"/>
    <w:rsid w:val="00EE7065"/>
    <w:rsid w:val="00EE7C6E"/>
    <w:rsid w:val="00EF13B2"/>
    <w:rsid w:val="00EF2A69"/>
    <w:rsid w:val="00EF2DA0"/>
    <w:rsid w:val="00EF64BB"/>
    <w:rsid w:val="00EF6DF6"/>
    <w:rsid w:val="00F0071F"/>
    <w:rsid w:val="00F02056"/>
    <w:rsid w:val="00F03C3A"/>
    <w:rsid w:val="00F03E11"/>
    <w:rsid w:val="00F05D67"/>
    <w:rsid w:val="00F07859"/>
    <w:rsid w:val="00F11DED"/>
    <w:rsid w:val="00F156F9"/>
    <w:rsid w:val="00F16373"/>
    <w:rsid w:val="00F1637D"/>
    <w:rsid w:val="00F16981"/>
    <w:rsid w:val="00F1782C"/>
    <w:rsid w:val="00F17FFB"/>
    <w:rsid w:val="00F20545"/>
    <w:rsid w:val="00F20866"/>
    <w:rsid w:val="00F228A1"/>
    <w:rsid w:val="00F22E62"/>
    <w:rsid w:val="00F25FD5"/>
    <w:rsid w:val="00F27E9D"/>
    <w:rsid w:val="00F30E1E"/>
    <w:rsid w:val="00F312F7"/>
    <w:rsid w:val="00F3145D"/>
    <w:rsid w:val="00F3183C"/>
    <w:rsid w:val="00F339A9"/>
    <w:rsid w:val="00F344C9"/>
    <w:rsid w:val="00F351E9"/>
    <w:rsid w:val="00F36176"/>
    <w:rsid w:val="00F36BFF"/>
    <w:rsid w:val="00F36E5B"/>
    <w:rsid w:val="00F4093A"/>
    <w:rsid w:val="00F40DA4"/>
    <w:rsid w:val="00F411CA"/>
    <w:rsid w:val="00F421D3"/>
    <w:rsid w:val="00F428F0"/>
    <w:rsid w:val="00F4311B"/>
    <w:rsid w:val="00F45036"/>
    <w:rsid w:val="00F477C6"/>
    <w:rsid w:val="00F477E0"/>
    <w:rsid w:val="00F47E64"/>
    <w:rsid w:val="00F500DA"/>
    <w:rsid w:val="00F50269"/>
    <w:rsid w:val="00F51E42"/>
    <w:rsid w:val="00F55EBF"/>
    <w:rsid w:val="00F55EE1"/>
    <w:rsid w:val="00F56B53"/>
    <w:rsid w:val="00F5728F"/>
    <w:rsid w:val="00F609E7"/>
    <w:rsid w:val="00F618C3"/>
    <w:rsid w:val="00F64DA1"/>
    <w:rsid w:val="00F70DD3"/>
    <w:rsid w:val="00F72A0A"/>
    <w:rsid w:val="00F72C07"/>
    <w:rsid w:val="00F73BB6"/>
    <w:rsid w:val="00F75CF6"/>
    <w:rsid w:val="00F75ED3"/>
    <w:rsid w:val="00F76C64"/>
    <w:rsid w:val="00F77161"/>
    <w:rsid w:val="00F7742C"/>
    <w:rsid w:val="00F869E7"/>
    <w:rsid w:val="00F909BC"/>
    <w:rsid w:val="00F91679"/>
    <w:rsid w:val="00F917FC"/>
    <w:rsid w:val="00F960A0"/>
    <w:rsid w:val="00F97855"/>
    <w:rsid w:val="00F97DCB"/>
    <w:rsid w:val="00FA0A67"/>
    <w:rsid w:val="00FA14DB"/>
    <w:rsid w:val="00FA2B09"/>
    <w:rsid w:val="00FA2F9B"/>
    <w:rsid w:val="00FA42A3"/>
    <w:rsid w:val="00FA63BB"/>
    <w:rsid w:val="00FA686A"/>
    <w:rsid w:val="00FB0613"/>
    <w:rsid w:val="00FB18D0"/>
    <w:rsid w:val="00FB25BC"/>
    <w:rsid w:val="00FB350D"/>
    <w:rsid w:val="00FB372B"/>
    <w:rsid w:val="00FB3A7E"/>
    <w:rsid w:val="00FB3FDC"/>
    <w:rsid w:val="00FB45AA"/>
    <w:rsid w:val="00FB7291"/>
    <w:rsid w:val="00FC1031"/>
    <w:rsid w:val="00FC15DE"/>
    <w:rsid w:val="00FC1890"/>
    <w:rsid w:val="00FC18A3"/>
    <w:rsid w:val="00FC252F"/>
    <w:rsid w:val="00FC3565"/>
    <w:rsid w:val="00FC71AF"/>
    <w:rsid w:val="00FC7EBF"/>
    <w:rsid w:val="00FD073D"/>
    <w:rsid w:val="00FD1923"/>
    <w:rsid w:val="00FD19FF"/>
    <w:rsid w:val="00FD22BC"/>
    <w:rsid w:val="00FD3722"/>
    <w:rsid w:val="00FD3C27"/>
    <w:rsid w:val="00FD5B17"/>
    <w:rsid w:val="00FD6671"/>
    <w:rsid w:val="00FD7C02"/>
    <w:rsid w:val="00FE039D"/>
    <w:rsid w:val="00FE3775"/>
    <w:rsid w:val="00FE5240"/>
    <w:rsid w:val="00FE54C8"/>
    <w:rsid w:val="00FF07E1"/>
    <w:rsid w:val="00FF1BBC"/>
    <w:rsid w:val="00FF5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125215"/>
  <w15:docId w15:val="{DFC6C251-8C35-4FC5-8A26-A8A314C5D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iPriority="0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5240"/>
    <w:pPr>
      <w:spacing w:after="200" w:line="300" w:lineRule="auto"/>
    </w:pPr>
    <w:rPr>
      <w:rFonts w:ascii="Calibri" w:eastAsia="Calibri" w:hAnsi="Calibri" w:cs="Times New Roman"/>
      <w:szCs w:val="20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47D3"/>
    <w:pPr>
      <w:keepNext/>
      <w:keepLines/>
      <w:spacing w:before="480" w:after="120"/>
      <w:outlineLvl w:val="0"/>
    </w:pPr>
    <w:rPr>
      <w:rFonts w:asciiTheme="minorHAnsi" w:eastAsiaTheme="majorEastAsia" w:hAnsiTheme="min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5707B5"/>
    <w:pPr>
      <w:keepNext/>
      <w:keepLines/>
      <w:numPr>
        <w:numId w:val="12"/>
      </w:numPr>
      <w:spacing w:before="200" w:after="120" w:line="276" w:lineRule="auto"/>
      <w:ind w:left="360"/>
      <w:outlineLvl w:val="1"/>
    </w:pPr>
    <w:rPr>
      <w:rFonts w:eastAsiaTheme="majorEastAsia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D350C"/>
    <w:pPr>
      <w:keepNext/>
      <w:keepLines/>
      <w:spacing w:before="240" w:after="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1391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42FE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47D3"/>
    <w:rPr>
      <w:rFonts w:eastAsiaTheme="majorEastAsia" w:cstheme="majorBidi"/>
      <w:b/>
      <w:bCs/>
      <w:sz w:val="28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rsid w:val="005707B5"/>
    <w:rPr>
      <w:rFonts w:ascii="Calibri" w:eastAsiaTheme="majorEastAsia" w:hAnsi="Calibri" w:cstheme="majorBidi"/>
      <w:b/>
      <w:sz w:val="24"/>
      <w:szCs w:val="26"/>
      <w:lang w:eastAsia="zh-CN"/>
    </w:rPr>
  </w:style>
  <w:style w:type="paragraph" w:styleId="Caption">
    <w:name w:val="caption"/>
    <w:basedOn w:val="Normal"/>
    <w:next w:val="Normal"/>
    <w:link w:val="CaptionChar"/>
    <w:autoRedefine/>
    <w:uiPriority w:val="35"/>
    <w:unhideWhenUsed/>
    <w:qFormat/>
    <w:rsid w:val="00921576"/>
    <w:pPr>
      <w:keepNext/>
      <w:spacing w:after="0" w:line="360" w:lineRule="auto"/>
      <w:ind w:right="-23"/>
    </w:pPr>
    <w:rPr>
      <w:b/>
      <w:bCs/>
      <w:sz w:val="18"/>
      <w:szCs w:val="18"/>
    </w:rPr>
  </w:style>
  <w:style w:type="paragraph" w:customStyle="1" w:styleId="EndNoteBibliography">
    <w:name w:val="EndNote Bibliography"/>
    <w:basedOn w:val="Normal"/>
    <w:link w:val="EndNoteBibliographyChar"/>
    <w:rsid w:val="00FE5240"/>
    <w:pPr>
      <w:spacing w:line="360" w:lineRule="auto"/>
    </w:pPr>
    <w:rPr>
      <w:rFonts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FE5240"/>
    <w:rPr>
      <w:rFonts w:ascii="Calibri" w:eastAsia="Calibri" w:hAnsi="Calibri" w:cs="Calibri"/>
      <w:noProof/>
      <w:szCs w:val="20"/>
      <w:lang w:eastAsia="zh-CN"/>
    </w:rPr>
  </w:style>
  <w:style w:type="character" w:customStyle="1" w:styleId="CaptionChar">
    <w:name w:val="Caption Char"/>
    <w:basedOn w:val="DefaultParagraphFont"/>
    <w:link w:val="Caption"/>
    <w:uiPriority w:val="35"/>
    <w:rsid w:val="00921576"/>
    <w:rPr>
      <w:rFonts w:ascii="Calibri" w:eastAsia="Calibri" w:hAnsi="Calibri" w:cs="Times New Roman"/>
      <w:b/>
      <w:bCs/>
      <w:sz w:val="18"/>
      <w:szCs w:val="18"/>
      <w:lang w:eastAsia="zh-CN"/>
    </w:rPr>
  </w:style>
  <w:style w:type="character" w:styleId="Hyperlink">
    <w:name w:val="Hyperlink"/>
    <w:basedOn w:val="DefaultParagraphFont"/>
    <w:uiPriority w:val="99"/>
    <w:unhideWhenUsed/>
    <w:rsid w:val="00FE5240"/>
    <w:rPr>
      <w:color w:val="0563C1" w:themeColor="hyperlink"/>
      <w:u w:val="single"/>
    </w:rPr>
  </w:style>
  <w:style w:type="table" w:styleId="TableSimple1">
    <w:name w:val="Table Simple 1"/>
    <w:aliases w:val="ce paper"/>
    <w:basedOn w:val="TableNormal"/>
    <w:rsid w:val="00FE5240"/>
    <w:pPr>
      <w:spacing w:after="0" w:line="240" w:lineRule="auto"/>
    </w:pPr>
    <w:rPr>
      <w:rFonts w:eastAsia="Times New Roman" w:cs="Times New Roman"/>
      <w:sz w:val="20"/>
      <w:szCs w:val="20"/>
      <w:lang w:eastAsia="zh-CN"/>
    </w:rPr>
    <w:tblPr>
      <w:tblStyleRowBandSize w:val="1"/>
      <w:tblBorders>
        <w:top w:val="single" w:sz="12" w:space="0" w:color="4472C4" w:themeColor="accent5"/>
        <w:bottom w:val="single" w:sz="12" w:space="0" w:color="4472C4" w:themeColor="accent5"/>
      </w:tblBorders>
    </w:tblPr>
    <w:tcPr>
      <w:shd w:val="clear" w:color="auto" w:fill="auto"/>
    </w:tcPr>
    <w:tblStylePr w:type="firstRow">
      <w:rPr>
        <w:b/>
        <w:i w:val="0"/>
      </w:rPr>
      <w:tblPr/>
      <w:tcPr>
        <w:tcBorders>
          <w:bottom w:val="single" w:sz="6" w:space="0" w:color="4472C4" w:themeColor="accent5"/>
        </w:tcBorders>
      </w:tcPr>
    </w:tblStylePr>
    <w:tblStylePr w:type="lastRow">
      <w:tblPr/>
      <w:tcPr>
        <w:tcBorders>
          <w:top w:val="single" w:sz="6" w:space="0" w:color="4472C4" w:themeColor="accent5"/>
        </w:tcBorders>
        <w:shd w:val="clear" w:color="auto" w:fill="auto"/>
      </w:tcPr>
    </w:tblStylePr>
    <w:tblStylePr w:type="band1Horz">
      <w:tblPr/>
      <w:tcPr>
        <w:tcBorders>
          <w:top w:val="single" w:sz="4" w:space="0" w:color="5B9BD5" w:themeColor="accent1"/>
          <w:left w:val="nil"/>
          <w:bottom w:val="single" w:sz="4" w:space="0" w:color="5B9BD5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Footer">
    <w:name w:val="footer"/>
    <w:basedOn w:val="Normal"/>
    <w:link w:val="FooterChar"/>
    <w:uiPriority w:val="99"/>
    <w:unhideWhenUsed/>
    <w:rsid w:val="00FE52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5240"/>
    <w:rPr>
      <w:rFonts w:ascii="Calibri" w:eastAsia="Calibri" w:hAnsi="Calibri" w:cs="Times New Roman"/>
      <w:szCs w:val="20"/>
      <w:lang w:eastAsia="zh-CN"/>
    </w:rPr>
  </w:style>
  <w:style w:type="paragraph" w:customStyle="1" w:styleId="EndNoteBibliographyTitle">
    <w:name w:val="EndNote Bibliography Title"/>
    <w:basedOn w:val="Normal"/>
    <w:link w:val="EndNoteBibliographyTitleChar"/>
    <w:rsid w:val="00F07859"/>
    <w:pPr>
      <w:spacing w:after="0"/>
      <w:jc w:val="center"/>
    </w:pPr>
    <w:rPr>
      <w:rFonts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07859"/>
    <w:rPr>
      <w:rFonts w:ascii="Calibri" w:eastAsia="Calibri" w:hAnsi="Calibri" w:cs="Calibri"/>
      <w:noProof/>
      <w:szCs w:val="20"/>
      <w:lang w:eastAsia="zh-CN"/>
    </w:rPr>
  </w:style>
  <w:style w:type="paragraph" w:styleId="ListParagraph">
    <w:name w:val="List Paragraph"/>
    <w:basedOn w:val="Normal"/>
    <w:uiPriority w:val="34"/>
    <w:qFormat/>
    <w:rsid w:val="0042251A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75276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2F60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41">
    <w:name w:val="Grid Table 41"/>
    <w:basedOn w:val="TableNormal"/>
    <w:uiPriority w:val="49"/>
    <w:rsid w:val="001779F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cPr>
      <w:shd w:val="clear" w:color="auto" w:fill="auto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customStyle="1" w:styleId="GridTable1Light1">
    <w:name w:val="Grid Table 1 Light1"/>
    <w:basedOn w:val="TableNormal"/>
    <w:uiPriority w:val="46"/>
    <w:rsid w:val="00BE6B8E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iPriority w:val="99"/>
    <w:unhideWhenUsed/>
    <w:rsid w:val="00404A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4AB8"/>
    <w:rPr>
      <w:rFonts w:ascii="Calibri" w:eastAsia="Calibri" w:hAnsi="Calibri" w:cs="Times New Roman"/>
      <w:szCs w:val="20"/>
      <w:lang w:eastAsia="zh-CN"/>
    </w:rPr>
  </w:style>
  <w:style w:type="character" w:styleId="CommentReference">
    <w:name w:val="annotation reference"/>
    <w:basedOn w:val="DefaultParagraphFont"/>
    <w:uiPriority w:val="99"/>
    <w:semiHidden/>
    <w:unhideWhenUsed/>
    <w:rsid w:val="004405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05E1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05E1"/>
    <w:rPr>
      <w:rFonts w:ascii="Calibri" w:eastAsia="Calibri" w:hAnsi="Calibri" w:cs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05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05E1"/>
    <w:rPr>
      <w:rFonts w:ascii="Calibri" w:eastAsia="Calibri" w:hAnsi="Calibri" w:cs="Times New Roman"/>
      <w:b/>
      <w:bCs/>
      <w:sz w:val="20"/>
      <w:szCs w:val="20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05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05E1"/>
    <w:rPr>
      <w:rFonts w:ascii="Segoe UI" w:eastAsia="Calibri" w:hAnsi="Segoe UI" w:cs="Segoe UI"/>
      <w:sz w:val="18"/>
      <w:szCs w:val="18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rsid w:val="008D350C"/>
    <w:rPr>
      <w:rFonts w:ascii="Calibri" w:eastAsiaTheme="majorEastAsia" w:hAnsi="Calibri" w:cstheme="majorBidi"/>
      <w:color w:val="1F4D78" w:themeColor="accent1" w:themeShade="7F"/>
      <w:sz w:val="24"/>
      <w:szCs w:val="24"/>
      <w:lang w:eastAsia="zh-CN"/>
    </w:rPr>
  </w:style>
  <w:style w:type="character" w:customStyle="1" w:styleId="Heading4Char">
    <w:name w:val="Heading 4 Char"/>
    <w:basedOn w:val="DefaultParagraphFont"/>
    <w:link w:val="Heading4"/>
    <w:uiPriority w:val="9"/>
    <w:rsid w:val="008C1391"/>
    <w:rPr>
      <w:rFonts w:ascii="Calibri" w:eastAsiaTheme="majorEastAsia" w:hAnsi="Calibri" w:cstheme="majorBidi"/>
      <w:i/>
      <w:iCs/>
      <w:color w:val="2E74B5" w:themeColor="accent1" w:themeShade="BF"/>
      <w:szCs w:val="20"/>
      <w:lang w:eastAsia="zh-CN"/>
    </w:rPr>
  </w:style>
  <w:style w:type="paragraph" w:styleId="NoSpacing">
    <w:name w:val="No Spacing"/>
    <w:uiPriority w:val="1"/>
    <w:qFormat/>
    <w:rsid w:val="00507051"/>
    <w:pPr>
      <w:spacing w:after="0" w:line="240" w:lineRule="auto"/>
    </w:pPr>
    <w:rPr>
      <w:rFonts w:ascii="Calibri" w:eastAsia="Calibri" w:hAnsi="Calibri" w:cs="Times New Roman"/>
      <w:szCs w:val="20"/>
      <w:lang w:eastAsia="zh-CN"/>
    </w:rPr>
  </w:style>
  <w:style w:type="character" w:customStyle="1" w:styleId="Heading5Char">
    <w:name w:val="Heading 5 Char"/>
    <w:basedOn w:val="DefaultParagraphFont"/>
    <w:link w:val="Heading5"/>
    <w:uiPriority w:val="9"/>
    <w:rsid w:val="00142FEB"/>
    <w:rPr>
      <w:rFonts w:asciiTheme="majorHAnsi" w:eastAsiaTheme="majorEastAsia" w:hAnsiTheme="majorHAnsi" w:cstheme="majorBidi"/>
      <w:color w:val="2E74B5" w:themeColor="accent1" w:themeShade="BF"/>
      <w:szCs w:val="20"/>
      <w:lang w:eastAsia="zh-CN"/>
    </w:rPr>
  </w:style>
  <w:style w:type="paragraph" w:styleId="Revision">
    <w:name w:val="Revision"/>
    <w:hidden/>
    <w:uiPriority w:val="99"/>
    <w:semiHidden/>
    <w:rsid w:val="004E6E0F"/>
    <w:pPr>
      <w:spacing w:after="0" w:line="240" w:lineRule="auto"/>
    </w:pPr>
    <w:rPr>
      <w:rFonts w:ascii="Calibri" w:eastAsia="Calibri" w:hAnsi="Calibri" w:cs="Times New Roman"/>
      <w:szCs w:val="20"/>
      <w:lang w:eastAsia="zh-CN"/>
    </w:rPr>
  </w:style>
  <w:style w:type="character" w:styleId="FollowedHyperlink">
    <w:name w:val="FollowedHyperlink"/>
    <w:basedOn w:val="DefaultParagraphFont"/>
    <w:uiPriority w:val="99"/>
    <w:semiHidden/>
    <w:unhideWhenUsed/>
    <w:rsid w:val="00F609E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31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7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9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hart" Target="charts/chart4.xml"/><Relationship Id="rId18" Type="http://schemas.openxmlformats.org/officeDocument/2006/relationships/chart" Target="charts/chart9.xml"/><Relationship Id="rId3" Type="http://schemas.openxmlformats.org/officeDocument/2006/relationships/styles" Target="styles.xml"/><Relationship Id="rId21" Type="http://schemas.openxmlformats.org/officeDocument/2006/relationships/hyperlink" Target="http://www.cancerresearchuk.org/sites/default/files/cstream-node/cases_crude_bowel_2.xls" TargetMode="Externa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chart" Target="charts/chart8.xml"/><Relationship Id="rId2" Type="http://schemas.openxmlformats.org/officeDocument/2006/relationships/numbering" Target="numbering.xml"/><Relationship Id="rId16" Type="http://schemas.openxmlformats.org/officeDocument/2006/relationships/chart" Target="charts/chart7.xml"/><Relationship Id="rId20" Type="http://schemas.openxmlformats.org/officeDocument/2006/relationships/hyperlink" Target="http://www.cancerresearchuk.org/sites/default/files/cstream-node/cases_crude_f_breast_2.xl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hart" Target="charts/chart6.xml"/><Relationship Id="rId23" Type="http://schemas.openxmlformats.org/officeDocument/2006/relationships/fontTable" Target="fontTable.xml"/><Relationship Id="rId28" Type="http://schemas.microsoft.com/office/2016/09/relationships/commentsIds" Target="commentsIds.xml"/><Relationship Id="rId10" Type="http://schemas.openxmlformats.org/officeDocument/2006/relationships/chart" Target="charts/chart1.xml"/><Relationship Id="rId19" Type="http://schemas.openxmlformats.org/officeDocument/2006/relationships/chart" Target="charts/chart10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hart" Target="charts/chart5.xml"/><Relationship Id="rId22" Type="http://schemas.openxmlformats.org/officeDocument/2006/relationships/hyperlink" Target="http://www.ons.gov.uk/file?uri=/peoplepopulationandcommunity/healthandsocialcare/conditionsanddiseases/datasets/cancersurvivalratescancersurvivalinenglandadultsdiagnosed/20102014/finalreferencetablev2.xls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chartUserShapes" Target="../drawings/drawing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NULL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5620805894174669"/>
          <c:y val="1.9698311917204E-2"/>
          <c:w val="0.81952495463976593"/>
          <c:h val="0.7968735434922849"/>
        </c:manualLayout>
      </c:layout>
      <c:areaChart>
        <c:grouping val="percentStacked"/>
        <c:varyColors val="0"/>
        <c:ser>
          <c:idx val="2"/>
          <c:order val="0"/>
          <c:tx>
            <c:strRef>
              <c:f>[CASE_Model_v1_010917.xlsm]UsualCare!$AB$3</c:f>
              <c:strCache>
                <c:ptCount val="1"/>
                <c:pt idx="0">
                  <c:v>Dead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cat>
            <c:numRef>
              <c:f>[1]UsualCare!$A$4:$A$69</c:f>
              <c:numCache>
                <c:formatCode>General</c:formatCode>
                <c:ptCount val="6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</c:numCache>
            </c:numRef>
          </c:cat>
          <c:val>
            <c:numRef>
              <c:f>[1]UsualCare!$AB$4:$AB$69</c:f>
              <c:numCache>
                <c:formatCode>0</c:formatCode>
                <c:ptCount val="66"/>
                <c:pt idx="0">
                  <c:v>0</c:v>
                </c:pt>
                <c:pt idx="1">
                  <c:v>1.375717927397401</c:v>
                </c:pt>
                <c:pt idx="2">
                  <c:v>3.4822808359247213</c:v>
                </c:pt>
                <c:pt idx="3">
                  <c:v>5.7462517958907728</c:v>
                </c:pt>
                <c:pt idx="4">
                  <c:v>7.9421561362310538</c:v>
                </c:pt>
                <c:pt idx="5">
                  <c:v>10.348602773876106</c:v>
                </c:pt>
                <c:pt idx="6">
                  <c:v>12.71000362242331</c:v>
                </c:pt>
                <c:pt idx="7">
                  <c:v>15.484129745523045</c:v>
                </c:pt>
                <c:pt idx="8">
                  <c:v>18.109882697511697</c:v>
                </c:pt>
                <c:pt idx="9">
                  <c:v>20.380341432952818</c:v>
                </c:pt>
                <c:pt idx="10">
                  <c:v>23.733963472691823</c:v>
                </c:pt>
                <c:pt idx="11">
                  <c:v>26.89609272159138</c:v>
                </c:pt>
                <c:pt idx="12">
                  <c:v>29.967573905588551</c:v>
                </c:pt>
                <c:pt idx="13">
                  <c:v>33.354394110279074</c:v>
                </c:pt>
                <c:pt idx="14">
                  <c:v>37.115465337458936</c:v>
                </c:pt>
                <c:pt idx="15">
                  <c:v>40.545723339886408</c:v>
                </c:pt>
                <c:pt idx="16">
                  <c:v>44.049834306348245</c:v>
                </c:pt>
                <c:pt idx="17">
                  <c:v>47.98203828347188</c:v>
                </c:pt>
                <c:pt idx="18">
                  <c:v>52.493186378643564</c:v>
                </c:pt>
                <c:pt idx="19">
                  <c:v>57.951875665275558</c:v>
                </c:pt>
                <c:pt idx="20">
                  <c:v>63.399391832969044</c:v>
                </c:pt>
                <c:pt idx="21">
                  <c:v>69.290483381744195</c:v>
                </c:pt>
                <c:pt idx="22">
                  <c:v>76.793597769817211</c:v>
                </c:pt>
                <c:pt idx="23">
                  <c:v>84.322928132681781</c:v>
                </c:pt>
                <c:pt idx="24">
                  <c:v>92.07903866644341</c:v>
                </c:pt>
                <c:pt idx="25">
                  <c:v>100.55393894808374</c:v>
                </c:pt>
                <c:pt idx="26">
                  <c:v>108.5152637229627</c:v>
                </c:pt>
                <c:pt idx="27">
                  <c:v>117.74886567807948</c:v>
                </c:pt>
                <c:pt idx="28">
                  <c:v>127.99439984755172</c:v>
                </c:pt>
                <c:pt idx="29">
                  <c:v>140.75281818441479</c:v>
                </c:pt>
                <c:pt idx="30">
                  <c:v>154.23070404416399</c:v>
                </c:pt>
                <c:pt idx="31">
                  <c:v>168.56492412463976</c:v>
                </c:pt>
                <c:pt idx="32">
                  <c:v>183.73860161027147</c:v>
                </c:pt>
                <c:pt idx="33">
                  <c:v>200.86855092140854</c:v>
                </c:pt>
                <c:pt idx="34">
                  <c:v>216.71357589526534</c:v>
                </c:pt>
                <c:pt idx="35">
                  <c:v>235.1444400860405</c:v>
                </c:pt>
                <c:pt idx="36">
                  <c:v>254.73691417309436</c:v>
                </c:pt>
                <c:pt idx="37">
                  <c:v>276.55277260545478</c:v>
                </c:pt>
                <c:pt idx="38">
                  <c:v>300.6675447911573</c:v>
                </c:pt>
                <c:pt idx="39">
                  <c:v>333.95934344179324</c:v>
                </c:pt>
                <c:pt idx="40">
                  <c:v>370.07400001431239</c:v>
                </c:pt>
                <c:pt idx="41">
                  <c:v>410.54688542950231</c:v>
                </c:pt>
                <c:pt idx="42">
                  <c:v>456.80285393446496</c:v>
                </c:pt>
                <c:pt idx="43">
                  <c:v>507.69747178844341</c:v>
                </c:pt>
                <c:pt idx="44">
                  <c:v>556.74527834665969</c:v>
                </c:pt>
                <c:pt idx="45">
                  <c:v>610.3734528160029</c:v>
                </c:pt>
                <c:pt idx="46">
                  <c:v>670.41699555187074</c:v>
                </c:pt>
                <c:pt idx="47">
                  <c:v>734.24414136065877</c:v>
                </c:pt>
                <c:pt idx="48">
                  <c:v>803.97243998965553</c:v>
                </c:pt>
                <c:pt idx="49">
                  <c:v>893.52531541240251</c:v>
                </c:pt>
                <c:pt idx="50">
                  <c:v>987.12148021141934</c:v>
                </c:pt>
                <c:pt idx="51">
                  <c:v>1085.3429406835276</c:v>
                </c:pt>
                <c:pt idx="52">
                  <c:v>1193.5264443399974</c:v>
                </c:pt>
                <c:pt idx="53">
                  <c:v>1308.6496063036725</c:v>
                </c:pt>
                <c:pt idx="54">
                  <c:v>1416.3747644269822</c:v>
                </c:pt>
                <c:pt idx="55">
                  <c:v>1533.3865445234755</c:v>
                </c:pt>
                <c:pt idx="56">
                  <c:v>1661.8735829303987</c:v>
                </c:pt>
                <c:pt idx="57">
                  <c:v>1797.8985002471429</c:v>
                </c:pt>
                <c:pt idx="58">
                  <c:v>1942.3904673811173</c:v>
                </c:pt>
                <c:pt idx="59">
                  <c:v>2100.8704884350614</c:v>
                </c:pt>
                <c:pt idx="60">
                  <c:v>2265.7225535562175</c:v>
                </c:pt>
                <c:pt idx="61">
                  <c:v>2436.0446875689927</c:v>
                </c:pt>
                <c:pt idx="62">
                  <c:v>2616.3990239447508</c:v>
                </c:pt>
                <c:pt idx="63">
                  <c:v>2801.7028838977467</c:v>
                </c:pt>
                <c:pt idx="64">
                  <c:v>2970.7851257868351</c:v>
                </c:pt>
                <c:pt idx="65">
                  <c:v>3145.8951403992955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43E-49C7-846C-823D38D6FBAD}"/>
            </c:ext>
          </c:extLst>
        </c:ser>
        <c:ser>
          <c:idx val="1"/>
          <c:order val="1"/>
          <c:tx>
            <c:strRef>
              <c:f>[CASE_Model_v1_010917.xlsm]UsualCare!$AA$3</c:f>
              <c:strCache>
                <c:ptCount val="1"/>
                <c:pt idx="0">
                  <c:v>Disease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cat>
            <c:numRef>
              <c:f>[1]UsualCare!$A$4:$A$69</c:f>
              <c:numCache>
                <c:formatCode>General</c:formatCode>
                <c:ptCount val="6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</c:numCache>
            </c:numRef>
          </c:cat>
          <c:val>
            <c:numRef>
              <c:f>[1]UsualCare!$AA$4:$AA$69</c:f>
              <c:numCache>
                <c:formatCode>0</c:formatCode>
                <c:ptCount val="66"/>
                <c:pt idx="0">
                  <c:v>0</c:v>
                </c:pt>
                <c:pt idx="1">
                  <c:v>0</c:v>
                </c:pt>
                <c:pt idx="2">
                  <c:v>0.62823010692781267</c:v>
                </c:pt>
                <c:pt idx="3">
                  <c:v>1.2504619626069104</c:v>
                </c:pt>
                <c:pt idx="4">
                  <c:v>3.2822600746869548</c:v>
                </c:pt>
                <c:pt idx="5">
                  <c:v>5.3087475365648276</c:v>
                </c:pt>
                <c:pt idx="6">
                  <c:v>7.3255757435666897</c:v>
                </c:pt>
                <c:pt idx="7">
                  <c:v>9.3365290399271732</c:v>
                </c:pt>
                <c:pt idx="8">
                  <c:v>11.339092815072181</c:v>
                </c:pt>
                <c:pt idx="9">
                  <c:v>13.740507701129472</c:v>
                </c:pt>
                <c:pt idx="10">
                  <c:v>16.122042206009063</c:v>
                </c:pt>
                <c:pt idx="11">
                  <c:v>18.489908142406126</c:v>
                </c:pt>
                <c:pt idx="12">
                  <c:v>20.845007273822429</c:v>
                </c:pt>
                <c:pt idx="13">
                  <c:v>23.185597379712192</c:v>
                </c:pt>
                <c:pt idx="14">
                  <c:v>30.525826347448284</c:v>
                </c:pt>
                <c:pt idx="15">
                  <c:v>37.832110291562898</c:v>
                </c:pt>
                <c:pt idx="16">
                  <c:v>45.10372694126356</c:v>
                </c:pt>
                <c:pt idx="17">
                  <c:v>52.336805490382353</c:v>
                </c:pt>
                <c:pt idx="18">
                  <c:v>59.527771172214528</c:v>
                </c:pt>
                <c:pt idx="19">
                  <c:v>71.76853334713752</c:v>
                </c:pt>
                <c:pt idx="20">
                  <c:v>83.874108247214949</c:v>
                </c:pt>
                <c:pt idx="21">
                  <c:v>95.836550388930846</c:v>
                </c:pt>
                <c:pt idx="22">
                  <c:v>107.61870881480985</c:v>
                </c:pt>
                <c:pt idx="23">
                  <c:v>119.2656572863591</c:v>
                </c:pt>
                <c:pt idx="24">
                  <c:v>143.70407463868486</c:v>
                </c:pt>
                <c:pt idx="25">
                  <c:v>167.82875543175061</c:v>
                </c:pt>
                <c:pt idx="26">
                  <c:v>191.70144096252471</c:v>
                </c:pt>
                <c:pt idx="27">
                  <c:v>215.22842960187543</c:v>
                </c:pt>
                <c:pt idx="28">
                  <c:v>238.40999737680394</c:v>
                </c:pt>
                <c:pt idx="29">
                  <c:v>273.72582496427202</c:v>
                </c:pt>
                <c:pt idx="30">
                  <c:v>308.28292483026308</c:v>
                </c:pt>
                <c:pt idx="31">
                  <c:v>342.07451638743015</c:v>
                </c:pt>
                <c:pt idx="32">
                  <c:v>375.10420554735219</c:v>
                </c:pt>
                <c:pt idx="33">
                  <c:v>407.24106907130869</c:v>
                </c:pt>
                <c:pt idx="34">
                  <c:v>457.12305398340999</c:v>
                </c:pt>
                <c:pt idx="35">
                  <c:v>505.46399826669438</c:v>
                </c:pt>
                <c:pt idx="36">
                  <c:v>552.43474575953996</c:v>
                </c:pt>
                <c:pt idx="37">
                  <c:v>597.85322732143015</c:v>
                </c:pt>
                <c:pt idx="38">
                  <c:v>641.66480211060491</c:v>
                </c:pt>
                <c:pt idx="39">
                  <c:v>714.9710705337252</c:v>
                </c:pt>
                <c:pt idx="40">
                  <c:v>783.89810699447685</c:v>
                </c:pt>
                <c:pt idx="41">
                  <c:v>848.19109228544926</c:v>
                </c:pt>
                <c:pt idx="42">
                  <c:v>907.49265858208207</c:v>
                </c:pt>
                <c:pt idx="43">
                  <c:v>962.05697451655283</c:v>
                </c:pt>
                <c:pt idx="44">
                  <c:v>1028.4702483553733</c:v>
                </c:pt>
                <c:pt idx="45">
                  <c:v>1089.2440393003492</c:v>
                </c:pt>
                <c:pt idx="46">
                  <c:v>1143.7664226653164</c:v>
                </c:pt>
                <c:pt idx="47">
                  <c:v>1192.8897976083492</c:v>
                </c:pt>
                <c:pt idx="48">
                  <c:v>1235.8556194692535</c:v>
                </c:pt>
                <c:pt idx="49">
                  <c:v>1290.446872918392</c:v>
                </c:pt>
                <c:pt idx="50">
                  <c:v>1337.0837777543968</c:v>
                </c:pt>
                <c:pt idx="51">
                  <c:v>1375.6956661546301</c:v>
                </c:pt>
                <c:pt idx="52">
                  <c:v>1403.9393991573531</c:v>
                </c:pt>
                <c:pt idx="53">
                  <c:v>1423.0693605537062</c:v>
                </c:pt>
                <c:pt idx="54">
                  <c:v>1444.9749636639706</c:v>
                </c:pt>
                <c:pt idx="55">
                  <c:v>1456.2819893715882</c:v>
                </c:pt>
                <c:pt idx="56">
                  <c:v>1455.6805887177431</c:v>
                </c:pt>
                <c:pt idx="57">
                  <c:v>1445.1175295306864</c:v>
                </c:pt>
                <c:pt idx="58">
                  <c:v>1424.0392361542072</c:v>
                </c:pt>
                <c:pt idx="59">
                  <c:v>1412.6357118441501</c:v>
                </c:pt>
                <c:pt idx="60">
                  <c:v>1388.0810954254289</c:v>
                </c:pt>
                <c:pt idx="61">
                  <c:v>1351.1556704063535</c:v>
                </c:pt>
                <c:pt idx="62">
                  <c:v>1299.2220377208293</c:v>
                </c:pt>
                <c:pt idx="63">
                  <c:v>1235.6839122189613</c:v>
                </c:pt>
                <c:pt idx="64">
                  <c:v>1170.9993692069006</c:v>
                </c:pt>
                <c:pt idx="65">
                  <c:v>1095.939860365552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43E-49C7-846C-823D38D6FBAD}"/>
            </c:ext>
          </c:extLst>
        </c:ser>
        <c:ser>
          <c:idx val="0"/>
          <c:order val="2"/>
          <c:tx>
            <c:strRef>
              <c:f>[CASE_Model_v1_010917.xlsm]UsualCare!$Z$3</c:f>
              <c:strCache>
                <c:ptCount val="1"/>
                <c:pt idx="0">
                  <c:v>Healthy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noFill/>
            </a:ln>
            <a:effectLst/>
          </c:spPr>
          <c:cat>
            <c:numRef>
              <c:f>[1]UsualCare!$A$4:$A$69</c:f>
              <c:numCache>
                <c:formatCode>General</c:formatCode>
                <c:ptCount val="6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</c:numCache>
            </c:numRef>
          </c:cat>
          <c:val>
            <c:numRef>
              <c:f>[1]UsualCare!$Z$4:$Z$69</c:f>
              <c:numCache>
                <c:formatCode>0</c:formatCode>
                <c:ptCount val="66"/>
                <c:pt idx="0">
                  <c:v>5100</c:v>
                </c:pt>
                <c:pt idx="1">
                  <c:v>5098.624282072602</c:v>
                </c:pt>
                <c:pt idx="2">
                  <c:v>5095.8894890571464</c:v>
                </c:pt>
                <c:pt idx="3">
                  <c:v>5093.003286241501</c:v>
                </c:pt>
                <c:pt idx="4">
                  <c:v>5088.77558378908</c:v>
                </c:pt>
                <c:pt idx="5">
                  <c:v>5084.3426496895572</c:v>
                </c:pt>
                <c:pt idx="6">
                  <c:v>5079.964420634009</c:v>
                </c:pt>
                <c:pt idx="7">
                  <c:v>5075.1793412145489</c:v>
                </c:pt>
                <c:pt idx="8">
                  <c:v>5070.5510244874158</c:v>
                </c:pt>
                <c:pt idx="9">
                  <c:v>5065.8791508659178</c:v>
                </c:pt>
                <c:pt idx="10">
                  <c:v>5060.143994321299</c:v>
                </c:pt>
                <c:pt idx="11">
                  <c:v>5054.6139991360033</c:v>
                </c:pt>
                <c:pt idx="12">
                  <c:v>5049.1874188205893</c:v>
                </c:pt>
                <c:pt idx="13">
                  <c:v>5043.4600085100092</c:v>
                </c:pt>
                <c:pt idx="14">
                  <c:v>5032.3587083150924</c:v>
                </c:pt>
                <c:pt idx="15">
                  <c:v>5021.6221663685501</c:v>
                </c:pt>
                <c:pt idx="16">
                  <c:v>5010.8464387523882</c:v>
                </c:pt>
                <c:pt idx="17">
                  <c:v>4999.6811562261455</c:v>
                </c:pt>
                <c:pt idx="18">
                  <c:v>4987.9790424491421</c:v>
                </c:pt>
                <c:pt idx="19">
                  <c:v>4970.2795909875877</c:v>
                </c:pt>
                <c:pt idx="20">
                  <c:v>4952.726499919816</c:v>
                </c:pt>
                <c:pt idx="21">
                  <c:v>4934.8729662293244</c:v>
                </c:pt>
                <c:pt idx="22">
                  <c:v>4915.587693415373</c:v>
                </c:pt>
                <c:pt idx="23">
                  <c:v>4896.4114145809581</c:v>
                </c:pt>
                <c:pt idx="24">
                  <c:v>4864.2168866948714</c:v>
                </c:pt>
                <c:pt idx="25">
                  <c:v>4831.617305620166</c:v>
                </c:pt>
                <c:pt idx="26">
                  <c:v>4799.7832953145125</c:v>
                </c:pt>
                <c:pt idx="27">
                  <c:v>4767.0227047200442</c:v>
                </c:pt>
                <c:pt idx="28">
                  <c:v>4733.5956027756438</c:v>
                </c:pt>
                <c:pt idx="29">
                  <c:v>4685.5213568513136</c:v>
                </c:pt>
                <c:pt idx="30">
                  <c:v>4637.486371125573</c:v>
                </c:pt>
                <c:pt idx="31">
                  <c:v>4589.36055948793</c:v>
                </c:pt>
                <c:pt idx="32">
                  <c:v>4541.1571928423764</c:v>
                </c:pt>
                <c:pt idx="33">
                  <c:v>4491.8903800072831</c:v>
                </c:pt>
                <c:pt idx="34">
                  <c:v>4426.163370121325</c:v>
                </c:pt>
                <c:pt idx="35">
                  <c:v>4359.391561647265</c:v>
                </c:pt>
                <c:pt idx="36">
                  <c:v>4292.8283400673654</c:v>
                </c:pt>
                <c:pt idx="37">
                  <c:v>4225.5940000731152</c:v>
                </c:pt>
                <c:pt idx="38">
                  <c:v>4157.6676530982377</c:v>
                </c:pt>
                <c:pt idx="39">
                  <c:v>4051.0695860244814</c:v>
                </c:pt>
                <c:pt idx="40">
                  <c:v>3946.0278929912106</c:v>
                </c:pt>
                <c:pt idx="41">
                  <c:v>3841.2620222850492</c:v>
                </c:pt>
                <c:pt idx="42">
                  <c:v>3735.7044874834528</c:v>
                </c:pt>
                <c:pt idx="43">
                  <c:v>3630.2455536950038</c:v>
                </c:pt>
                <c:pt idx="44">
                  <c:v>3514.7844732979675</c:v>
                </c:pt>
                <c:pt idx="45">
                  <c:v>3400.382507883648</c:v>
                </c:pt>
                <c:pt idx="46">
                  <c:v>3285.816581782813</c:v>
                </c:pt>
                <c:pt idx="47">
                  <c:v>3172.8660610309917</c:v>
                </c:pt>
                <c:pt idx="48">
                  <c:v>3060.1719405410909</c:v>
                </c:pt>
                <c:pt idx="49">
                  <c:v>2916.0278116692057</c:v>
                </c:pt>
                <c:pt idx="50">
                  <c:v>2775.7947420341834</c:v>
                </c:pt>
                <c:pt idx="51">
                  <c:v>2638.9613931618428</c:v>
                </c:pt>
                <c:pt idx="52">
                  <c:v>2502.5341565026497</c:v>
                </c:pt>
                <c:pt idx="53">
                  <c:v>2368.2810331426217</c:v>
                </c:pt>
                <c:pt idx="54">
                  <c:v>2238.6502719090477</c:v>
                </c:pt>
                <c:pt idx="55">
                  <c:v>2110.3314661049362</c:v>
                </c:pt>
                <c:pt idx="56">
                  <c:v>1982.4458283518586</c:v>
                </c:pt>
                <c:pt idx="57">
                  <c:v>1856.9839702221711</c:v>
                </c:pt>
                <c:pt idx="58">
                  <c:v>1733.5702964646762</c:v>
                </c:pt>
                <c:pt idx="59">
                  <c:v>1586.493799720789</c:v>
                </c:pt>
                <c:pt idx="60">
                  <c:v>1446.1963510183539</c:v>
                </c:pt>
                <c:pt idx="61">
                  <c:v>1312.7996420246543</c:v>
                </c:pt>
                <c:pt idx="62">
                  <c:v>1184.3789383344204</c:v>
                </c:pt>
                <c:pt idx="63">
                  <c:v>1062.6132038832923</c:v>
                </c:pt>
                <c:pt idx="64">
                  <c:v>958.21550500626449</c:v>
                </c:pt>
                <c:pt idx="65">
                  <c:v>858.16499923515289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43E-49C7-846C-823D38D6FB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87356592"/>
        <c:axId val="487356984"/>
      </c:areaChart>
      <c:catAx>
        <c:axId val="48735659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>
                    <a:solidFill>
                      <a:sysClr val="windowText" lastClr="000000"/>
                    </a:solidFill>
                  </a:rPr>
                  <a:t>Model cycle</a:t>
                </a:r>
              </a:p>
            </c:rich>
          </c:tx>
          <c:layout>
            <c:manualLayout>
              <c:xMode val="edge"/>
              <c:yMode val="edge"/>
              <c:x val="0.46918039048867521"/>
              <c:y val="0.90665417606805421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87356984"/>
        <c:crosses val="autoZero"/>
        <c:auto val="1"/>
        <c:lblAlgn val="ctr"/>
        <c:lblOffset val="100"/>
        <c:tickLblSkip val="5"/>
        <c:tickMarkSkip val="3"/>
        <c:noMultiLvlLbl val="0"/>
      </c:catAx>
      <c:valAx>
        <c:axId val="4873569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Percentage of Male cohort</a:t>
                </a:r>
              </a:p>
            </c:rich>
          </c:tx>
          <c:layout>
            <c:manualLayout>
              <c:xMode val="edge"/>
              <c:yMode val="edge"/>
              <c:x val="2.2580454730920487E-2"/>
              <c:y val="0.1927804814952545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%" sourceLinked="1"/>
        <c:majorTickMark val="out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87356592"/>
        <c:crossesAt val="1"/>
        <c:crossBetween val="midCat"/>
      </c:valAx>
      <c:spPr>
        <a:noFill/>
        <a:ln>
          <a:noFill/>
        </a:ln>
        <a:effectLst/>
      </c:spPr>
    </c:plotArea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9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  <c:userShapes r:id="rId4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4101259668892009E-2"/>
          <c:y val="3.7609238771665915E-2"/>
          <c:w val="0.90757850141940632"/>
          <c:h val="0.82162421570892807"/>
        </c:manualLayout>
      </c:layout>
      <c:lineChart>
        <c:grouping val="standard"/>
        <c:varyColors val="0"/>
        <c:ser>
          <c:idx val="0"/>
          <c:order val="0"/>
          <c:tx>
            <c:strRef>
              <c:f>Inci!$C$87</c:f>
              <c:strCache>
                <c:ptCount val="1"/>
                <c:pt idx="0">
                  <c:v>Male obs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strRef>
              <c:f>Inci!$B$89:$B$102</c:f>
              <c:strCache>
                <c:ptCount val="14"/>
                <c:pt idx="0">
                  <c:v>15-19</c:v>
                </c:pt>
                <c:pt idx="1">
                  <c:v>20-24</c:v>
                </c:pt>
                <c:pt idx="2">
                  <c:v>25-29</c:v>
                </c:pt>
                <c:pt idx="3">
                  <c:v>30-34</c:v>
                </c:pt>
                <c:pt idx="4">
                  <c:v>35-39</c:v>
                </c:pt>
                <c:pt idx="5">
                  <c:v>40-44</c:v>
                </c:pt>
                <c:pt idx="6">
                  <c:v>45-49</c:v>
                </c:pt>
                <c:pt idx="7">
                  <c:v>50-54</c:v>
                </c:pt>
                <c:pt idx="8">
                  <c:v>55-59</c:v>
                </c:pt>
                <c:pt idx="9">
                  <c:v>60-64</c:v>
                </c:pt>
                <c:pt idx="10">
                  <c:v>65-69</c:v>
                </c:pt>
                <c:pt idx="11">
                  <c:v>70-74</c:v>
                </c:pt>
                <c:pt idx="12">
                  <c:v>75-79</c:v>
                </c:pt>
                <c:pt idx="13">
                  <c:v>80-84</c:v>
                </c:pt>
              </c:strCache>
            </c:strRef>
          </c:cat>
          <c:val>
            <c:numRef>
              <c:f>Inci!$C$89:$C$102</c:f>
              <c:numCache>
                <c:formatCode>General</c:formatCode>
                <c:ptCount val="14"/>
                <c:pt idx="0">
                  <c:v>0.01</c:v>
                </c:pt>
                <c:pt idx="1">
                  <c:v>1.4999999999999999E-2</c:v>
                </c:pt>
                <c:pt idx="2">
                  <c:v>0.03</c:v>
                </c:pt>
                <c:pt idx="3">
                  <c:v>5.9000000000000004E-2</c:v>
                </c:pt>
                <c:pt idx="4">
                  <c:v>7.4999999999999997E-2</c:v>
                </c:pt>
                <c:pt idx="5">
                  <c:v>0.125</c:v>
                </c:pt>
                <c:pt idx="6">
                  <c:v>0.24</c:v>
                </c:pt>
                <c:pt idx="7">
                  <c:v>0.495</c:v>
                </c:pt>
                <c:pt idx="8">
                  <c:v>0.88400000000000001</c:v>
                </c:pt>
                <c:pt idx="9">
                  <c:v>1.6219999999999999</c:v>
                </c:pt>
                <c:pt idx="10">
                  <c:v>2.2269999999999999</c:v>
                </c:pt>
                <c:pt idx="11">
                  <c:v>3.2589999999999999</c:v>
                </c:pt>
                <c:pt idx="12">
                  <c:v>3.988</c:v>
                </c:pt>
                <c:pt idx="13">
                  <c:v>4.8949999999999996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FF1C-4CD1-8941-6BE1CFAC9755}"/>
            </c:ext>
          </c:extLst>
        </c:ser>
        <c:ser>
          <c:idx val="2"/>
          <c:order val="1"/>
          <c:tx>
            <c:strRef>
              <c:f>Inci!$D$87</c:f>
              <c:strCache>
                <c:ptCount val="1"/>
                <c:pt idx="0">
                  <c:v>Male pred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strRef>
              <c:f>Inci!$B$89:$B$102</c:f>
              <c:strCache>
                <c:ptCount val="14"/>
                <c:pt idx="0">
                  <c:v>15-19</c:v>
                </c:pt>
                <c:pt idx="1">
                  <c:v>20-24</c:v>
                </c:pt>
                <c:pt idx="2">
                  <c:v>25-29</c:v>
                </c:pt>
                <c:pt idx="3">
                  <c:v>30-34</c:v>
                </c:pt>
                <c:pt idx="4">
                  <c:v>35-39</c:v>
                </c:pt>
                <c:pt idx="5">
                  <c:v>40-44</c:v>
                </c:pt>
                <c:pt idx="6">
                  <c:v>45-49</c:v>
                </c:pt>
                <c:pt idx="7">
                  <c:v>50-54</c:v>
                </c:pt>
                <c:pt idx="8">
                  <c:v>55-59</c:v>
                </c:pt>
                <c:pt idx="9">
                  <c:v>60-64</c:v>
                </c:pt>
                <c:pt idx="10">
                  <c:v>65-69</c:v>
                </c:pt>
                <c:pt idx="11">
                  <c:v>70-74</c:v>
                </c:pt>
                <c:pt idx="12">
                  <c:v>75-79</c:v>
                </c:pt>
                <c:pt idx="13">
                  <c:v>80-84</c:v>
                </c:pt>
              </c:strCache>
            </c:strRef>
          </c:cat>
          <c:val>
            <c:numRef>
              <c:f>Inci!$D$89:$D$102</c:f>
              <c:numCache>
                <c:formatCode>0.000</c:formatCode>
                <c:ptCount val="14"/>
                <c:pt idx="0">
                  <c:v>9.7395536708344485E-3</c:v>
                </c:pt>
                <c:pt idx="1">
                  <c:v>1.518546173851631E-2</c:v>
                </c:pt>
                <c:pt idx="2">
                  <c:v>2.9914609535168685E-2</c:v>
                </c:pt>
                <c:pt idx="3">
                  <c:v>5.898088957998586E-2</c:v>
                </c:pt>
                <c:pt idx="4">
                  <c:v>7.4511166626012787E-2</c:v>
                </c:pt>
                <c:pt idx="5">
                  <c:v>0.12447121680739541</c:v>
                </c:pt>
                <c:pt idx="6">
                  <c:v>0.23866420245001257</c:v>
                </c:pt>
                <c:pt idx="7">
                  <c:v>0.4944465539948501</c:v>
                </c:pt>
                <c:pt idx="8">
                  <c:v>0.8628012009879249</c:v>
                </c:pt>
                <c:pt idx="9">
                  <c:v>1.5884753041156638</c:v>
                </c:pt>
                <c:pt idx="10">
                  <c:v>2.2098420730363286</c:v>
                </c:pt>
                <c:pt idx="11">
                  <c:v>3.294801623349175</c:v>
                </c:pt>
                <c:pt idx="12">
                  <c:v>3.9651277403214862</c:v>
                </c:pt>
                <c:pt idx="13">
                  <c:v>4.9198266248646556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F1C-4CD1-8941-6BE1CFAC9755}"/>
            </c:ext>
          </c:extLst>
        </c:ser>
        <c:ser>
          <c:idx val="1"/>
          <c:order val="2"/>
          <c:tx>
            <c:strRef>
              <c:f>Inci!$E$87</c:f>
              <c:strCache>
                <c:ptCount val="1"/>
                <c:pt idx="0">
                  <c:v>Female obs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strRef>
              <c:f>Inci!$B$89:$B$102</c:f>
              <c:strCache>
                <c:ptCount val="14"/>
                <c:pt idx="0">
                  <c:v>15-19</c:v>
                </c:pt>
                <c:pt idx="1">
                  <c:v>20-24</c:v>
                </c:pt>
                <c:pt idx="2">
                  <c:v>25-29</c:v>
                </c:pt>
                <c:pt idx="3">
                  <c:v>30-34</c:v>
                </c:pt>
                <c:pt idx="4">
                  <c:v>35-39</c:v>
                </c:pt>
                <c:pt idx="5">
                  <c:v>40-44</c:v>
                </c:pt>
                <c:pt idx="6">
                  <c:v>45-49</c:v>
                </c:pt>
                <c:pt idx="7">
                  <c:v>50-54</c:v>
                </c:pt>
                <c:pt idx="8">
                  <c:v>55-59</c:v>
                </c:pt>
                <c:pt idx="9">
                  <c:v>60-64</c:v>
                </c:pt>
                <c:pt idx="10">
                  <c:v>65-69</c:v>
                </c:pt>
                <c:pt idx="11">
                  <c:v>70-74</c:v>
                </c:pt>
                <c:pt idx="12">
                  <c:v>75-79</c:v>
                </c:pt>
                <c:pt idx="13">
                  <c:v>80-84</c:v>
                </c:pt>
              </c:strCache>
            </c:strRef>
          </c:cat>
          <c:val>
            <c:numRef>
              <c:f>Inci!$E$89:$E$102</c:f>
              <c:numCache>
                <c:formatCode>0.000</c:formatCode>
                <c:ptCount val="14"/>
                <c:pt idx="0">
                  <c:v>1.8000000000000002E-2</c:v>
                </c:pt>
                <c:pt idx="1">
                  <c:v>1.9E-2</c:v>
                </c:pt>
                <c:pt idx="2">
                  <c:v>3.5000000000000003E-2</c:v>
                </c:pt>
                <c:pt idx="3">
                  <c:v>5.5999999999999994E-2</c:v>
                </c:pt>
                <c:pt idx="4">
                  <c:v>6.5000000000000002E-2</c:v>
                </c:pt>
                <c:pt idx="5">
                  <c:v>0.12</c:v>
                </c:pt>
                <c:pt idx="6">
                  <c:v>0.20699999999999999</c:v>
                </c:pt>
                <c:pt idx="7">
                  <c:v>0.37</c:v>
                </c:pt>
                <c:pt idx="8">
                  <c:v>0.621</c:v>
                </c:pt>
                <c:pt idx="9">
                  <c:v>0.96</c:v>
                </c:pt>
                <c:pt idx="10">
                  <c:v>1.3140000000000001</c:v>
                </c:pt>
                <c:pt idx="11">
                  <c:v>1.9350000000000001</c:v>
                </c:pt>
                <c:pt idx="12">
                  <c:v>2.4969999999999999</c:v>
                </c:pt>
                <c:pt idx="13">
                  <c:v>3.1989999999999998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FF1C-4CD1-8941-6BE1CFAC9755}"/>
            </c:ext>
          </c:extLst>
        </c:ser>
        <c:ser>
          <c:idx val="3"/>
          <c:order val="3"/>
          <c:tx>
            <c:strRef>
              <c:f>Inci!$F$87</c:f>
              <c:strCache>
                <c:ptCount val="1"/>
                <c:pt idx="0">
                  <c:v>Female pred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4"/>
              </a:solidFill>
              <a:ln w="9525">
                <a:solidFill>
                  <a:schemeClr val="accent4"/>
                </a:solidFill>
              </a:ln>
              <a:effectLst/>
            </c:spPr>
          </c:marker>
          <c:cat>
            <c:strRef>
              <c:f>Inci!$B$89:$B$102</c:f>
              <c:strCache>
                <c:ptCount val="14"/>
                <c:pt idx="0">
                  <c:v>15-19</c:v>
                </c:pt>
                <c:pt idx="1">
                  <c:v>20-24</c:v>
                </c:pt>
                <c:pt idx="2">
                  <c:v>25-29</c:v>
                </c:pt>
                <c:pt idx="3">
                  <c:v>30-34</c:v>
                </c:pt>
                <c:pt idx="4">
                  <c:v>35-39</c:v>
                </c:pt>
                <c:pt idx="5">
                  <c:v>40-44</c:v>
                </c:pt>
                <c:pt idx="6">
                  <c:v>45-49</c:v>
                </c:pt>
                <c:pt idx="7">
                  <c:v>50-54</c:v>
                </c:pt>
                <c:pt idx="8">
                  <c:v>55-59</c:v>
                </c:pt>
                <c:pt idx="9">
                  <c:v>60-64</c:v>
                </c:pt>
                <c:pt idx="10">
                  <c:v>65-69</c:v>
                </c:pt>
                <c:pt idx="11">
                  <c:v>70-74</c:v>
                </c:pt>
                <c:pt idx="12">
                  <c:v>75-79</c:v>
                </c:pt>
                <c:pt idx="13">
                  <c:v>80-84</c:v>
                </c:pt>
              </c:strCache>
            </c:strRef>
          </c:cat>
          <c:val>
            <c:numRef>
              <c:f>Inci!$F$89:$F$102</c:f>
              <c:numCache>
                <c:formatCode>0.000</c:formatCode>
                <c:ptCount val="14"/>
                <c:pt idx="0">
                  <c:v>1.841679014245268E-2</c:v>
                </c:pt>
                <c:pt idx="1">
                  <c:v>1.9398800657358651E-2</c:v>
                </c:pt>
                <c:pt idx="2">
                  <c:v>3.6051344968461747E-2</c:v>
                </c:pt>
                <c:pt idx="3">
                  <c:v>5.779482976966889E-2</c:v>
                </c:pt>
                <c:pt idx="4">
                  <c:v>6.789918938269543E-2</c:v>
                </c:pt>
                <c:pt idx="5">
                  <c:v>0.12557291101569465</c:v>
                </c:pt>
                <c:pt idx="6">
                  <c:v>0.2150164012627982</c:v>
                </c:pt>
                <c:pt idx="7">
                  <c:v>0.38636248047587918</c:v>
                </c:pt>
                <c:pt idx="8">
                  <c:v>0.64249907775542225</c:v>
                </c:pt>
                <c:pt idx="9">
                  <c:v>0.99691465830303316</c:v>
                </c:pt>
                <c:pt idx="10">
                  <c:v>1.3662902923681122</c:v>
                </c:pt>
                <c:pt idx="11">
                  <c:v>2.0295824176709614</c:v>
                </c:pt>
                <c:pt idx="12">
                  <c:v>2.4581660229995803</c:v>
                </c:pt>
                <c:pt idx="13">
                  <c:v>3.1607897649653163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FF1C-4CD1-8941-6BE1CFAC975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90035152"/>
        <c:axId val="490035544"/>
      </c:lineChart>
      <c:catAx>
        <c:axId val="49003515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Age group</a:t>
                </a:r>
              </a:p>
            </c:rich>
          </c:tx>
          <c:layout>
            <c:manualLayout>
              <c:xMode val="edge"/>
              <c:yMode val="edge"/>
              <c:x val="0.48718488744584987"/>
              <c:y val="0.9145909244414425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800" b="0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90035544"/>
        <c:crosses val="autoZero"/>
        <c:auto val="1"/>
        <c:lblAlgn val="ctr"/>
        <c:lblOffset val="100"/>
        <c:noMultiLvlLbl val="0"/>
      </c:catAx>
      <c:valAx>
        <c:axId val="490035544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Rates per 1000</a:t>
                </a:r>
              </a:p>
            </c:rich>
          </c:tx>
          <c:layout>
            <c:manualLayout>
              <c:xMode val="edge"/>
              <c:yMode val="edge"/>
              <c:x val="9.4859561649756428E-3"/>
              <c:y val="0.2259205519070353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8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900351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1450954518226569"/>
          <c:y val="6.2470334102563037E-2"/>
          <c:w val="0.51955672850706236"/>
          <c:h val="0.1965357795622082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890883678128989"/>
          <c:y val="1.9698311917204E-2"/>
          <c:w val="0.84682426273342071"/>
          <c:h val="0.85031344817687693"/>
        </c:manualLayout>
      </c:layout>
      <c:areaChart>
        <c:grouping val="percentStacked"/>
        <c:varyColors val="0"/>
        <c:ser>
          <c:idx val="3"/>
          <c:order val="0"/>
          <c:tx>
            <c:strRef>
              <c:f>[CASE_Model_v1_010917.xlsm]UsualCare!$BL$3</c:f>
              <c:strCache>
                <c:ptCount val="1"/>
                <c:pt idx="0">
                  <c:v>Dead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 w="25400">
              <a:noFill/>
            </a:ln>
            <a:effectLst/>
          </c:spPr>
          <c:cat>
            <c:numRef>
              <c:f>[1]UsualCare!$A$4:$A$69</c:f>
              <c:numCache>
                <c:formatCode>General</c:formatCode>
                <c:ptCount val="6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</c:numCache>
            </c:numRef>
          </c:cat>
          <c:val>
            <c:numRef>
              <c:f>[1]UsualCare!$BL$4:$BL$69</c:f>
              <c:numCache>
                <c:formatCode>0</c:formatCode>
                <c:ptCount val="66"/>
                <c:pt idx="0">
                  <c:v>0</c:v>
                </c:pt>
                <c:pt idx="1">
                  <c:v>0.7291089519284466</c:v>
                </c:pt>
                <c:pt idx="2">
                  <c:v>1.8400114980147868</c:v>
                </c:pt>
                <c:pt idx="3">
                  <c:v>2.9116534149395967</c:v>
                </c:pt>
                <c:pt idx="4">
                  <c:v>3.9044439702422911</c:v>
                </c:pt>
                <c:pt idx="5">
                  <c:v>5.0552390533016514</c:v>
                </c:pt>
                <c:pt idx="6">
                  <c:v>6.3142522270964232</c:v>
                </c:pt>
                <c:pt idx="7">
                  <c:v>7.5825382089463265</c:v>
                </c:pt>
                <c:pt idx="8">
                  <c:v>8.7610798320422116</c:v>
                </c:pt>
                <c:pt idx="9">
                  <c:v>10.017275856602719</c:v>
                </c:pt>
                <c:pt idx="10">
                  <c:v>11.351404897660263</c:v>
                </c:pt>
                <c:pt idx="11">
                  <c:v>12.564580119561279</c:v>
                </c:pt>
                <c:pt idx="12">
                  <c:v>14.345559052280526</c:v>
                </c:pt>
                <c:pt idx="13">
                  <c:v>16.199827081624775</c:v>
                </c:pt>
                <c:pt idx="14">
                  <c:v>17.774388557312882</c:v>
                </c:pt>
                <c:pt idx="15">
                  <c:v>19.802165115378614</c:v>
                </c:pt>
                <c:pt idx="16">
                  <c:v>21.884635532842172</c:v>
                </c:pt>
                <c:pt idx="17">
                  <c:v>24.465236519936422</c:v>
                </c:pt>
                <c:pt idx="18">
                  <c:v>27.343484330577855</c:v>
                </c:pt>
                <c:pt idx="19">
                  <c:v>30.197025272271325</c:v>
                </c:pt>
                <c:pt idx="20">
                  <c:v>33.5798181737376</c:v>
                </c:pt>
                <c:pt idx="21">
                  <c:v>37.188064256915865</c:v>
                </c:pt>
                <c:pt idx="22">
                  <c:v>41.615170043422758</c:v>
                </c:pt>
                <c:pt idx="23">
                  <c:v>45.908408376714291</c:v>
                </c:pt>
                <c:pt idx="24">
                  <c:v>50.633642943278275</c:v>
                </c:pt>
                <c:pt idx="25">
                  <c:v>55.72532495553709</c:v>
                </c:pt>
                <c:pt idx="26">
                  <c:v>61.473953551145875</c:v>
                </c:pt>
                <c:pt idx="27">
                  <c:v>68.071156693414991</c:v>
                </c:pt>
                <c:pt idx="28">
                  <c:v>75.005701124785844</c:v>
                </c:pt>
                <c:pt idx="29">
                  <c:v>82.903540505640962</c:v>
                </c:pt>
                <c:pt idx="30">
                  <c:v>91.411293927529726</c:v>
                </c:pt>
                <c:pt idx="31">
                  <c:v>100.76047585855939</c:v>
                </c:pt>
                <c:pt idx="32">
                  <c:v>111.23424096263312</c:v>
                </c:pt>
                <c:pt idx="33">
                  <c:v>122.40926987624341</c:v>
                </c:pt>
                <c:pt idx="34">
                  <c:v>134.3434680605429</c:v>
                </c:pt>
                <c:pt idx="35">
                  <c:v>147.45690507111399</c:v>
                </c:pt>
                <c:pt idx="36">
                  <c:v>162.17634168128808</c:v>
                </c:pt>
                <c:pt idx="37">
                  <c:v>177.96527772505613</c:v>
                </c:pt>
                <c:pt idx="38">
                  <c:v>195.50746957259526</c:v>
                </c:pt>
                <c:pt idx="39">
                  <c:v>218.42208283735297</c:v>
                </c:pt>
                <c:pt idx="40">
                  <c:v>243.33411952105689</c:v>
                </c:pt>
                <c:pt idx="41">
                  <c:v>271.12293657496593</c:v>
                </c:pt>
                <c:pt idx="42">
                  <c:v>300.476694036053</c:v>
                </c:pt>
                <c:pt idx="43">
                  <c:v>332.84234678784799</c:v>
                </c:pt>
                <c:pt idx="44">
                  <c:v>366.35429751126821</c:v>
                </c:pt>
                <c:pt idx="45">
                  <c:v>403.05368420282292</c:v>
                </c:pt>
                <c:pt idx="46">
                  <c:v>442.4742555123612</c:v>
                </c:pt>
                <c:pt idx="47">
                  <c:v>485.01509491291438</c:v>
                </c:pt>
                <c:pt idx="48">
                  <c:v>531.72274992023085</c:v>
                </c:pt>
                <c:pt idx="49">
                  <c:v>588.87436937275868</c:v>
                </c:pt>
                <c:pt idx="50">
                  <c:v>648.27313925446788</c:v>
                </c:pt>
                <c:pt idx="51">
                  <c:v>711.25913727445925</c:v>
                </c:pt>
                <c:pt idx="52">
                  <c:v>784.78386208258053</c:v>
                </c:pt>
                <c:pt idx="53">
                  <c:v>860.68239624820285</c:v>
                </c:pt>
                <c:pt idx="54">
                  <c:v>935.27007955092381</c:v>
                </c:pt>
                <c:pt idx="55">
                  <c:v>1016.0313128655835</c:v>
                </c:pt>
                <c:pt idx="56">
                  <c:v>1105.1047677878385</c:v>
                </c:pt>
                <c:pt idx="57">
                  <c:v>1201.9091218989545</c:v>
                </c:pt>
                <c:pt idx="58">
                  <c:v>1305.2626047195727</c:v>
                </c:pt>
                <c:pt idx="59">
                  <c:v>1420.377513185271</c:v>
                </c:pt>
                <c:pt idx="60">
                  <c:v>1541.9128420228442</c:v>
                </c:pt>
                <c:pt idx="61">
                  <c:v>1673.0357987946491</c:v>
                </c:pt>
                <c:pt idx="62">
                  <c:v>1809.4814384725387</c:v>
                </c:pt>
                <c:pt idx="63">
                  <c:v>1960.637803114907</c:v>
                </c:pt>
                <c:pt idx="64">
                  <c:v>2098.5146041896814</c:v>
                </c:pt>
                <c:pt idx="65">
                  <c:v>2250.0291341614957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FAA-4A28-91D2-8B6AC54C7EED}"/>
            </c:ext>
          </c:extLst>
        </c:ser>
        <c:ser>
          <c:idx val="2"/>
          <c:order val="1"/>
          <c:tx>
            <c:strRef>
              <c:f>[CASE_Model_v1_010917.xlsm]UsualCare!$BK$3</c:f>
              <c:strCache>
                <c:ptCount val="1"/>
                <c:pt idx="0">
                  <c:v>Disease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 w="25400">
              <a:noFill/>
            </a:ln>
            <a:effectLst/>
          </c:spPr>
          <c:cat>
            <c:numRef>
              <c:f>[1]UsualCare!$A$4:$A$69</c:f>
              <c:numCache>
                <c:formatCode>General</c:formatCode>
                <c:ptCount val="6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</c:numCache>
            </c:numRef>
          </c:cat>
          <c:val>
            <c:numRef>
              <c:f>[1]UsualCare!$BK$4:$BK$69</c:f>
              <c:numCache>
                <c:formatCode>0</c:formatCode>
                <c:ptCount val="66"/>
                <c:pt idx="0">
                  <c:v>0</c:v>
                </c:pt>
                <c:pt idx="1">
                  <c:v>0</c:v>
                </c:pt>
                <c:pt idx="2">
                  <c:v>1.8991363341724166</c:v>
                </c:pt>
                <c:pt idx="3">
                  <c:v>3.7902461983834628</c:v>
                </c:pt>
                <c:pt idx="4">
                  <c:v>10.323524244413994</c:v>
                </c:pt>
                <c:pt idx="5">
                  <c:v>16.83379555924915</c:v>
                </c:pt>
                <c:pt idx="6">
                  <c:v>23.321398174802393</c:v>
                </c:pt>
                <c:pt idx="7">
                  <c:v>29.787426077605513</c:v>
                </c:pt>
                <c:pt idx="8">
                  <c:v>36.24742215614954</c:v>
                </c:pt>
                <c:pt idx="9">
                  <c:v>43.384177072326636</c:v>
                </c:pt>
                <c:pt idx="10">
                  <c:v>50.481785556584882</c:v>
                </c:pt>
                <c:pt idx="11">
                  <c:v>57.545332105053248</c:v>
                </c:pt>
                <c:pt idx="12">
                  <c:v>64.562970488969597</c:v>
                </c:pt>
                <c:pt idx="13">
                  <c:v>71.544237968937523</c:v>
                </c:pt>
                <c:pt idx="14">
                  <c:v>83.493161159760888</c:v>
                </c:pt>
                <c:pt idx="15">
                  <c:v>95.342225600598695</c:v>
                </c:pt>
                <c:pt idx="16">
                  <c:v>107.10387104394486</c:v>
                </c:pt>
                <c:pt idx="17">
                  <c:v>118.76406679753768</c:v>
                </c:pt>
                <c:pt idx="18">
                  <c:v>130.32923506671921</c:v>
                </c:pt>
                <c:pt idx="19">
                  <c:v>145.24473597430588</c:v>
                </c:pt>
                <c:pt idx="20">
                  <c:v>159.95079549605103</c:v>
                </c:pt>
                <c:pt idx="21">
                  <c:v>174.46462831423759</c:v>
                </c:pt>
                <c:pt idx="22">
                  <c:v>188.75447413808277</c:v>
                </c:pt>
                <c:pt idx="23">
                  <c:v>202.87819531132052</c:v>
                </c:pt>
                <c:pt idx="24">
                  <c:v>225.67626888961001</c:v>
                </c:pt>
                <c:pt idx="25">
                  <c:v>248.09526201785872</c:v>
                </c:pt>
                <c:pt idx="26">
                  <c:v>270.11867549657347</c:v>
                </c:pt>
                <c:pt idx="27">
                  <c:v>291.73086944483788</c:v>
                </c:pt>
                <c:pt idx="28">
                  <c:v>312.97888576655714</c:v>
                </c:pt>
                <c:pt idx="29">
                  <c:v>342.37065397413352</c:v>
                </c:pt>
                <c:pt idx="30">
                  <c:v>371.06055151574134</c:v>
                </c:pt>
                <c:pt idx="31">
                  <c:v>399.03545102311506</c:v>
                </c:pt>
                <c:pt idx="32">
                  <c:v>426.26719787523223</c:v>
                </c:pt>
                <c:pt idx="33">
                  <c:v>452.81437475449889</c:v>
                </c:pt>
                <c:pt idx="34">
                  <c:v>493.20999432144168</c:v>
                </c:pt>
                <c:pt idx="35">
                  <c:v>532.43600649607652</c:v>
                </c:pt>
                <c:pt idx="36">
                  <c:v>570.42877134602213</c:v>
                </c:pt>
                <c:pt idx="37">
                  <c:v>607.27736340353249</c:v>
                </c:pt>
                <c:pt idx="38">
                  <c:v>642.85951181682071</c:v>
                </c:pt>
                <c:pt idx="39">
                  <c:v>695.37211651228642</c:v>
                </c:pt>
                <c:pt idx="40">
                  <c:v>745.42531732601685</c:v>
                </c:pt>
                <c:pt idx="41">
                  <c:v>792.85487783578822</c:v>
                </c:pt>
                <c:pt idx="42">
                  <c:v>837.98205038003482</c:v>
                </c:pt>
                <c:pt idx="43">
                  <c:v>880.47380615228451</c:v>
                </c:pt>
                <c:pt idx="44">
                  <c:v>936.51530012432943</c:v>
                </c:pt>
                <c:pt idx="45">
                  <c:v>989.0113821106396</c:v>
                </c:pt>
                <c:pt idx="46">
                  <c:v>1038.1000417692173</c:v>
                </c:pt>
                <c:pt idx="47">
                  <c:v>1083.6629585052185</c:v>
                </c:pt>
                <c:pt idx="48">
                  <c:v>1125.3346816199321</c:v>
                </c:pt>
                <c:pt idx="49">
                  <c:v>1180.3904754802481</c:v>
                </c:pt>
                <c:pt idx="50">
                  <c:v>1230.4311077405432</c:v>
                </c:pt>
                <c:pt idx="51">
                  <c:v>1275.0922848451919</c:v>
                </c:pt>
                <c:pt idx="52">
                  <c:v>1311.5861438506452</c:v>
                </c:pt>
                <c:pt idx="53">
                  <c:v>1343.143669428654</c:v>
                </c:pt>
                <c:pt idx="54">
                  <c:v>1376.4907307669071</c:v>
                </c:pt>
                <c:pt idx="55">
                  <c:v>1402.9832144466679</c:v>
                </c:pt>
                <c:pt idx="56">
                  <c:v>1421.5419728381316</c:v>
                </c:pt>
                <c:pt idx="57">
                  <c:v>1432.308984329308</c:v>
                </c:pt>
                <c:pt idx="58">
                  <c:v>1435.7742924155009</c:v>
                </c:pt>
                <c:pt idx="59">
                  <c:v>1449.7606056587449</c:v>
                </c:pt>
                <c:pt idx="60">
                  <c:v>1454.0981837438894</c:v>
                </c:pt>
                <c:pt idx="61">
                  <c:v>1447.0024585758224</c:v>
                </c:pt>
                <c:pt idx="62">
                  <c:v>1430.7726729582339</c:v>
                </c:pt>
                <c:pt idx="63">
                  <c:v>1399.9541924256771</c:v>
                </c:pt>
                <c:pt idx="64">
                  <c:v>1367.1273619671997</c:v>
                </c:pt>
                <c:pt idx="65">
                  <c:v>1321.080960410364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FAA-4A28-91D2-8B6AC54C7EED}"/>
            </c:ext>
          </c:extLst>
        </c:ser>
        <c:ser>
          <c:idx val="1"/>
          <c:order val="2"/>
          <c:tx>
            <c:strRef>
              <c:f>[CASE_Model_v1_010917.xlsm]UsualCare!$BJ$3</c:f>
              <c:strCache>
                <c:ptCount val="1"/>
                <c:pt idx="0">
                  <c:v>Healthy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 w="25400">
              <a:noFill/>
            </a:ln>
            <a:effectLst/>
          </c:spPr>
          <c:cat>
            <c:numRef>
              <c:f>[1]UsualCare!$A$4:$A$69</c:f>
              <c:numCache>
                <c:formatCode>General</c:formatCode>
                <c:ptCount val="6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</c:numCache>
            </c:numRef>
          </c:cat>
          <c:val>
            <c:numRef>
              <c:f>[1]UsualCare!$BJ$4:$BJ$69</c:f>
              <c:numCache>
                <c:formatCode>0</c:formatCode>
                <c:ptCount val="66"/>
                <c:pt idx="0">
                  <c:v>4900</c:v>
                </c:pt>
                <c:pt idx="1">
                  <c:v>4899.2708910480715</c:v>
                </c:pt>
                <c:pt idx="2">
                  <c:v>4896.260852167813</c:v>
                </c:pt>
                <c:pt idx="3">
                  <c:v>4893.298100386678</c:v>
                </c:pt>
                <c:pt idx="4">
                  <c:v>4885.7720317853446</c:v>
                </c:pt>
                <c:pt idx="5">
                  <c:v>4878.1109653874501</c:v>
                </c:pt>
                <c:pt idx="6">
                  <c:v>4870.3643495981023</c:v>
                </c:pt>
                <c:pt idx="7">
                  <c:v>4862.6300357134487</c:v>
                </c:pt>
                <c:pt idx="8">
                  <c:v>4854.9914980118083</c:v>
                </c:pt>
                <c:pt idx="9">
                  <c:v>4846.5985470710712</c:v>
                </c:pt>
                <c:pt idx="10">
                  <c:v>4838.1668095457553</c:v>
                </c:pt>
                <c:pt idx="11">
                  <c:v>4829.8900877753867</c:v>
                </c:pt>
                <c:pt idx="12">
                  <c:v>4821.0914704587512</c:v>
                </c:pt>
                <c:pt idx="13">
                  <c:v>4812.2559349494386</c:v>
                </c:pt>
                <c:pt idx="14">
                  <c:v>4798.7324502829279</c:v>
                </c:pt>
                <c:pt idx="15">
                  <c:v>4784.8556092840245</c:v>
                </c:pt>
                <c:pt idx="16">
                  <c:v>4771.0114934232151</c:v>
                </c:pt>
                <c:pt idx="17">
                  <c:v>4756.7706966825281</c:v>
                </c:pt>
                <c:pt idx="18">
                  <c:v>4742.3272806027053</c:v>
                </c:pt>
                <c:pt idx="19">
                  <c:v>4724.558238753425</c:v>
                </c:pt>
                <c:pt idx="20">
                  <c:v>4706.4693863302136</c:v>
                </c:pt>
                <c:pt idx="21">
                  <c:v>4688.3473074288495</c:v>
                </c:pt>
                <c:pt idx="22">
                  <c:v>4669.6303558184964</c:v>
                </c:pt>
                <c:pt idx="23">
                  <c:v>4651.2133963119668</c:v>
                </c:pt>
                <c:pt idx="24">
                  <c:v>4623.6900881671136</c:v>
                </c:pt>
                <c:pt idx="25">
                  <c:v>4596.1794130266053</c:v>
                </c:pt>
                <c:pt idx="26">
                  <c:v>4568.4073709522827</c:v>
                </c:pt>
                <c:pt idx="27">
                  <c:v>4540.1979738617483</c:v>
                </c:pt>
                <c:pt idx="28">
                  <c:v>4512.0154131086592</c:v>
                </c:pt>
                <c:pt idx="29">
                  <c:v>4474.7258055202274</c:v>
                </c:pt>
                <c:pt idx="30">
                  <c:v>4437.5281545567304</c:v>
                </c:pt>
                <c:pt idx="31">
                  <c:v>4400.2040731183279</c:v>
                </c:pt>
                <c:pt idx="32">
                  <c:v>4362.498561162136</c:v>
                </c:pt>
                <c:pt idx="33">
                  <c:v>4324.7763553692594</c:v>
                </c:pt>
                <c:pt idx="34">
                  <c:v>4272.4465376180178</c:v>
                </c:pt>
                <c:pt idx="35">
                  <c:v>4220.1070884328119</c:v>
                </c:pt>
                <c:pt idx="36">
                  <c:v>4167.394886972691</c:v>
                </c:pt>
                <c:pt idx="37">
                  <c:v>4114.7573588714131</c:v>
                </c:pt>
                <c:pt idx="38">
                  <c:v>4061.6330186105861</c:v>
                </c:pt>
                <c:pt idx="39">
                  <c:v>3986.2058006503626</c:v>
                </c:pt>
                <c:pt idx="40">
                  <c:v>3911.2405631529282</c:v>
                </c:pt>
                <c:pt idx="41">
                  <c:v>3836.0221855892482</c:v>
                </c:pt>
                <c:pt idx="42">
                  <c:v>3761.5412555839143</c:v>
                </c:pt>
                <c:pt idx="43">
                  <c:v>3686.6838470598695</c:v>
                </c:pt>
                <c:pt idx="44">
                  <c:v>3597.1304023644047</c:v>
                </c:pt>
                <c:pt idx="45">
                  <c:v>3507.9349336865407</c:v>
                </c:pt>
                <c:pt idx="46">
                  <c:v>3419.425702718424</c:v>
                </c:pt>
                <c:pt idx="47">
                  <c:v>3331.3219465818697</c:v>
                </c:pt>
                <c:pt idx="48">
                  <c:v>3242.9425684598391</c:v>
                </c:pt>
                <c:pt idx="49">
                  <c:v>3130.735155146996</c:v>
                </c:pt>
                <c:pt idx="50">
                  <c:v>3021.2957530049916</c:v>
                </c:pt>
                <c:pt idx="51">
                  <c:v>2913.6485778803517</c:v>
                </c:pt>
                <c:pt idx="52">
                  <c:v>2803.6299940667768</c:v>
                </c:pt>
                <c:pt idx="53">
                  <c:v>2696.1739343231457</c:v>
                </c:pt>
                <c:pt idx="54">
                  <c:v>2588.2391896821719</c:v>
                </c:pt>
                <c:pt idx="55">
                  <c:v>2480.9854726877511</c:v>
                </c:pt>
                <c:pt idx="56">
                  <c:v>2373.3532593740329</c:v>
                </c:pt>
                <c:pt idx="57">
                  <c:v>2265.7818937717402</c:v>
                </c:pt>
                <c:pt idx="58">
                  <c:v>2158.9631028649292</c:v>
                </c:pt>
                <c:pt idx="59">
                  <c:v>2029.8618811559868</c:v>
                </c:pt>
                <c:pt idx="60">
                  <c:v>1903.9889742332693</c:v>
                </c:pt>
                <c:pt idx="61">
                  <c:v>1779.961742629532</c:v>
                </c:pt>
                <c:pt idx="62">
                  <c:v>1659.7458885692304</c:v>
                </c:pt>
                <c:pt idx="63">
                  <c:v>1539.4080044594193</c:v>
                </c:pt>
                <c:pt idx="64">
                  <c:v>1434.358033843122</c:v>
                </c:pt>
                <c:pt idx="65">
                  <c:v>1328.8899054281433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FAA-4A28-91D2-8B6AC54C7EE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87357768"/>
        <c:axId val="475426872"/>
      </c:areaChart>
      <c:catAx>
        <c:axId val="48735776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 b="1"/>
                  <a:t>Model cycle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75426872"/>
        <c:crosses val="autoZero"/>
        <c:auto val="1"/>
        <c:lblAlgn val="ctr"/>
        <c:lblOffset val="100"/>
        <c:tickLblSkip val="5"/>
        <c:tickMarkSkip val="5"/>
        <c:noMultiLvlLbl val="0"/>
      </c:catAx>
      <c:valAx>
        <c:axId val="4754268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 b="1"/>
                  <a:t>Percentage of Female cohort</a:t>
                </a:r>
              </a:p>
            </c:rich>
          </c:tx>
          <c:layout>
            <c:manualLayout>
              <c:xMode val="edge"/>
              <c:yMode val="edge"/>
              <c:x val="1.9444444444444445E-2"/>
              <c:y val="0.1403740157480315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%" sourceLinked="1"/>
        <c:majorTickMark val="out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87357768"/>
        <c:crossesAt val="1"/>
        <c:crossBetween val="midCat"/>
      </c:valAx>
      <c:spPr>
        <a:noFill/>
        <a:ln>
          <a:noFill/>
        </a:ln>
        <a:effectLst/>
      </c:spPr>
    </c:plotArea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000">
          <a:solidFill>
            <a:sysClr val="windowText" lastClr="000000"/>
          </a:solidFill>
          <a:latin typeface="+mn-lt"/>
        </a:defRPr>
      </a:pPr>
      <a:endParaRPr lang="en-US"/>
    </a:p>
  </c:txPr>
  <c:externalData r:id="rId3">
    <c:autoUpdate val="0"/>
  </c:externalData>
  <c:userShapes r:id="rId4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Afterschl!$D$74</c:f>
              <c:strCache>
                <c:ptCount val="1"/>
                <c:pt idx="0">
                  <c:v>Inactive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cat>
            <c:multiLvlStrRef>
              <c:f>Afterschl!$B$75:$C$95</c:f>
              <c:multiLvlStrCache>
                <c:ptCount val="14"/>
                <c:lvl>
                  <c:pt idx="0">
                    <c:v>HSE 2012</c:v>
                  </c:pt>
                  <c:pt idx="1">
                    <c:v>Model predicted</c:v>
                  </c:pt>
                  <c:pt idx="2">
                    <c:v>HSE 2012</c:v>
                  </c:pt>
                  <c:pt idx="3">
                    <c:v>Model predicted</c:v>
                  </c:pt>
                  <c:pt idx="4">
                    <c:v>HSE 2012</c:v>
                  </c:pt>
                  <c:pt idx="5">
                    <c:v>Model predicted</c:v>
                  </c:pt>
                  <c:pt idx="6">
                    <c:v>HSE 2012</c:v>
                  </c:pt>
                  <c:pt idx="7">
                    <c:v>Model predicted</c:v>
                  </c:pt>
                  <c:pt idx="8">
                    <c:v>HSE 2012</c:v>
                  </c:pt>
                  <c:pt idx="9">
                    <c:v>Model predicted</c:v>
                  </c:pt>
                  <c:pt idx="10">
                    <c:v>HSE 2012</c:v>
                  </c:pt>
                  <c:pt idx="11">
                    <c:v>Model predicted</c:v>
                  </c:pt>
                  <c:pt idx="12">
                    <c:v>HSE 2012</c:v>
                  </c:pt>
                  <c:pt idx="13">
                    <c:v>Model predicted</c:v>
                  </c:pt>
                </c:lvl>
                <c:lvl>
                  <c:pt idx="0">
                    <c:v>16-24</c:v>
                  </c:pt>
                  <c:pt idx="2">
                    <c:v>25-34</c:v>
                  </c:pt>
                  <c:pt idx="4">
                    <c:v>35-44</c:v>
                  </c:pt>
                  <c:pt idx="6">
                    <c:v>45-54</c:v>
                  </c:pt>
                  <c:pt idx="8">
                    <c:v>55-64</c:v>
                  </c:pt>
                  <c:pt idx="10">
                    <c:v>65-74</c:v>
                  </c:pt>
                  <c:pt idx="12">
                    <c:v>75-81</c:v>
                  </c:pt>
                </c:lvl>
              </c:multiLvlStrCache>
              <c:extLst/>
            </c:multiLvlStrRef>
          </c:cat>
          <c:val>
            <c:numRef>
              <c:f>Afterschl!$D$75:$D$95</c:f>
              <c:numCache>
                <c:formatCode>0.00</c:formatCode>
                <c:ptCount val="14"/>
                <c:pt idx="0">
                  <c:v>8.2699999999999996E-2</c:v>
                </c:pt>
                <c:pt idx="1">
                  <c:v>0.12564785485007732</c:v>
                </c:pt>
                <c:pt idx="2">
                  <c:v>0.11119999999999999</c:v>
                </c:pt>
                <c:pt idx="3">
                  <c:v>0.12844736492397468</c:v>
                </c:pt>
                <c:pt idx="4">
                  <c:v>0.14029999999999998</c:v>
                </c:pt>
                <c:pt idx="5">
                  <c:v>0.13149329201971169</c:v>
                </c:pt>
                <c:pt idx="6">
                  <c:v>0.17510000000000001</c:v>
                </c:pt>
                <c:pt idx="7">
                  <c:v>0.14350508655492733</c:v>
                </c:pt>
                <c:pt idx="8">
                  <c:v>0.26079999999999998</c:v>
                </c:pt>
                <c:pt idx="9">
                  <c:v>0.16441079786369819</c:v>
                </c:pt>
                <c:pt idx="10">
                  <c:v>0.2702</c:v>
                </c:pt>
                <c:pt idx="11">
                  <c:v>0.24069597473262636</c:v>
                </c:pt>
                <c:pt idx="12">
                  <c:v>0.38319999999999999</c:v>
                </c:pt>
                <c:pt idx="13">
                  <c:v>0.3640016890578176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0-0EBD-445B-8100-91603B70962A}"/>
            </c:ext>
          </c:extLst>
        </c:ser>
        <c:ser>
          <c:idx val="1"/>
          <c:order val="1"/>
          <c:tx>
            <c:strRef>
              <c:f>Afterschl!$E$74</c:f>
              <c:strCache>
                <c:ptCount val="1"/>
                <c:pt idx="0">
                  <c:v>Low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cat>
            <c:multiLvlStrRef>
              <c:f>Afterschl!$B$75:$C$95</c:f>
              <c:multiLvlStrCache>
                <c:ptCount val="14"/>
                <c:lvl>
                  <c:pt idx="0">
                    <c:v>HSE 2012</c:v>
                  </c:pt>
                  <c:pt idx="1">
                    <c:v>Model predicted</c:v>
                  </c:pt>
                  <c:pt idx="2">
                    <c:v>HSE 2012</c:v>
                  </c:pt>
                  <c:pt idx="3">
                    <c:v>Model predicted</c:v>
                  </c:pt>
                  <c:pt idx="4">
                    <c:v>HSE 2012</c:v>
                  </c:pt>
                  <c:pt idx="5">
                    <c:v>Model predicted</c:v>
                  </c:pt>
                  <c:pt idx="6">
                    <c:v>HSE 2012</c:v>
                  </c:pt>
                  <c:pt idx="7">
                    <c:v>Model predicted</c:v>
                  </c:pt>
                  <c:pt idx="8">
                    <c:v>HSE 2012</c:v>
                  </c:pt>
                  <c:pt idx="9">
                    <c:v>Model predicted</c:v>
                  </c:pt>
                  <c:pt idx="10">
                    <c:v>HSE 2012</c:v>
                  </c:pt>
                  <c:pt idx="11">
                    <c:v>Model predicted</c:v>
                  </c:pt>
                  <c:pt idx="12">
                    <c:v>HSE 2012</c:v>
                  </c:pt>
                  <c:pt idx="13">
                    <c:v>Model predicted</c:v>
                  </c:pt>
                </c:lvl>
                <c:lvl>
                  <c:pt idx="0">
                    <c:v>16-24</c:v>
                  </c:pt>
                  <c:pt idx="2">
                    <c:v>25-34</c:v>
                  </c:pt>
                  <c:pt idx="4">
                    <c:v>35-44</c:v>
                  </c:pt>
                  <c:pt idx="6">
                    <c:v>45-54</c:v>
                  </c:pt>
                  <c:pt idx="8">
                    <c:v>55-64</c:v>
                  </c:pt>
                  <c:pt idx="10">
                    <c:v>65-74</c:v>
                  </c:pt>
                  <c:pt idx="12">
                    <c:v>75-81</c:v>
                  </c:pt>
                </c:lvl>
              </c:multiLvlStrCache>
              <c:extLst/>
            </c:multiLvlStrRef>
          </c:cat>
          <c:val>
            <c:numRef>
              <c:f>Afterschl!$E$75:$E$95</c:f>
              <c:numCache>
                <c:formatCode>0.00</c:formatCode>
                <c:ptCount val="14"/>
                <c:pt idx="0">
                  <c:v>8.2799999999999999E-2</c:v>
                </c:pt>
                <c:pt idx="1">
                  <c:v>7.9275152388403991E-2</c:v>
                </c:pt>
                <c:pt idx="2">
                  <c:v>0.12640000000000001</c:v>
                </c:pt>
                <c:pt idx="3">
                  <c:v>9.4230362673448864E-2</c:v>
                </c:pt>
                <c:pt idx="4">
                  <c:v>0.14480000000000001</c:v>
                </c:pt>
                <c:pt idx="5">
                  <c:v>0.11093808245551942</c:v>
                </c:pt>
                <c:pt idx="6">
                  <c:v>0.1245</c:v>
                </c:pt>
                <c:pt idx="7">
                  <c:v>0.14122526871369298</c:v>
                </c:pt>
                <c:pt idx="8">
                  <c:v>0.18909999999999999</c:v>
                </c:pt>
                <c:pt idx="9">
                  <c:v>0.17237873826143815</c:v>
                </c:pt>
                <c:pt idx="10">
                  <c:v>0.1472</c:v>
                </c:pt>
                <c:pt idx="11">
                  <c:v>0.21078851845684865</c:v>
                </c:pt>
                <c:pt idx="12">
                  <c:v>0.18359999999999999</c:v>
                </c:pt>
                <c:pt idx="13">
                  <c:v>0.23347527893521902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1-0EBD-445B-8100-91603B70962A}"/>
            </c:ext>
          </c:extLst>
        </c:ser>
        <c:ser>
          <c:idx val="2"/>
          <c:order val="2"/>
          <c:tx>
            <c:strRef>
              <c:f>Afterschl!$F$74</c:f>
              <c:strCache>
                <c:ptCount val="1"/>
                <c:pt idx="0">
                  <c:v>Moderate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cat>
            <c:multiLvlStrRef>
              <c:f>Afterschl!$B$75:$C$95</c:f>
              <c:multiLvlStrCache>
                <c:ptCount val="14"/>
                <c:lvl>
                  <c:pt idx="0">
                    <c:v>HSE 2012</c:v>
                  </c:pt>
                  <c:pt idx="1">
                    <c:v>Model predicted</c:v>
                  </c:pt>
                  <c:pt idx="2">
                    <c:v>HSE 2012</c:v>
                  </c:pt>
                  <c:pt idx="3">
                    <c:v>Model predicted</c:v>
                  </c:pt>
                  <c:pt idx="4">
                    <c:v>HSE 2012</c:v>
                  </c:pt>
                  <c:pt idx="5">
                    <c:v>Model predicted</c:v>
                  </c:pt>
                  <c:pt idx="6">
                    <c:v>HSE 2012</c:v>
                  </c:pt>
                  <c:pt idx="7">
                    <c:v>Model predicted</c:v>
                  </c:pt>
                  <c:pt idx="8">
                    <c:v>HSE 2012</c:v>
                  </c:pt>
                  <c:pt idx="9">
                    <c:v>Model predicted</c:v>
                  </c:pt>
                  <c:pt idx="10">
                    <c:v>HSE 2012</c:v>
                  </c:pt>
                  <c:pt idx="11">
                    <c:v>Model predicted</c:v>
                  </c:pt>
                  <c:pt idx="12">
                    <c:v>HSE 2012</c:v>
                  </c:pt>
                  <c:pt idx="13">
                    <c:v>Model predicted</c:v>
                  </c:pt>
                </c:lvl>
                <c:lvl>
                  <c:pt idx="0">
                    <c:v>16-24</c:v>
                  </c:pt>
                  <c:pt idx="2">
                    <c:v>25-34</c:v>
                  </c:pt>
                  <c:pt idx="4">
                    <c:v>35-44</c:v>
                  </c:pt>
                  <c:pt idx="6">
                    <c:v>45-54</c:v>
                  </c:pt>
                  <c:pt idx="8">
                    <c:v>55-64</c:v>
                  </c:pt>
                  <c:pt idx="10">
                    <c:v>65-74</c:v>
                  </c:pt>
                  <c:pt idx="12">
                    <c:v>75-81</c:v>
                  </c:pt>
                </c:lvl>
              </c:multiLvlStrCache>
              <c:extLst/>
            </c:multiLvlStrRef>
          </c:cat>
          <c:val>
            <c:numRef>
              <c:f>Afterschl!$F$75:$F$95</c:f>
              <c:numCache>
                <c:formatCode>0.00</c:formatCode>
                <c:ptCount val="14"/>
                <c:pt idx="0">
                  <c:v>0.2072</c:v>
                </c:pt>
                <c:pt idx="1">
                  <c:v>0.24114581544682667</c:v>
                </c:pt>
                <c:pt idx="2">
                  <c:v>0.28389999999999999</c:v>
                </c:pt>
                <c:pt idx="3">
                  <c:v>0.2691284759708204</c:v>
                </c:pt>
                <c:pt idx="4">
                  <c:v>0.25730000000000003</c:v>
                </c:pt>
                <c:pt idx="5">
                  <c:v>0.30351363437727152</c:v>
                </c:pt>
                <c:pt idx="6">
                  <c:v>0.22829999999999998</c:v>
                </c:pt>
                <c:pt idx="7">
                  <c:v>0.30256597506946309</c:v>
                </c:pt>
                <c:pt idx="8">
                  <c:v>0.19089999999999999</c:v>
                </c:pt>
                <c:pt idx="9">
                  <c:v>0.27881996556830768</c:v>
                </c:pt>
                <c:pt idx="10">
                  <c:v>0.18090000000000001</c:v>
                </c:pt>
                <c:pt idx="11">
                  <c:v>0.26556525818686499</c:v>
                </c:pt>
                <c:pt idx="12">
                  <c:v>0.22949999999999998</c:v>
                </c:pt>
                <c:pt idx="13">
                  <c:v>0.22830154933437524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2-0EBD-445B-8100-91603B70962A}"/>
            </c:ext>
          </c:extLst>
        </c:ser>
        <c:ser>
          <c:idx val="3"/>
          <c:order val="3"/>
          <c:tx>
            <c:strRef>
              <c:f>Afterschl!$G$74</c:f>
              <c:strCache>
                <c:ptCount val="1"/>
                <c:pt idx="0">
                  <c:v>High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cat>
            <c:multiLvlStrRef>
              <c:f>Afterschl!$B$75:$C$95</c:f>
              <c:multiLvlStrCache>
                <c:ptCount val="14"/>
                <c:lvl>
                  <c:pt idx="0">
                    <c:v>HSE 2012</c:v>
                  </c:pt>
                  <c:pt idx="1">
                    <c:v>Model predicted</c:v>
                  </c:pt>
                  <c:pt idx="2">
                    <c:v>HSE 2012</c:v>
                  </c:pt>
                  <c:pt idx="3">
                    <c:v>Model predicted</c:v>
                  </c:pt>
                  <c:pt idx="4">
                    <c:v>HSE 2012</c:v>
                  </c:pt>
                  <c:pt idx="5">
                    <c:v>Model predicted</c:v>
                  </c:pt>
                  <c:pt idx="6">
                    <c:v>HSE 2012</c:v>
                  </c:pt>
                  <c:pt idx="7">
                    <c:v>Model predicted</c:v>
                  </c:pt>
                  <c:pt idx="8">
                    <c:v>HSE 2012</c:v>
                  </c:pt>
                  <c:pt idx="9">
                    <c:v>Model predicted</c:v>
                  </c:pt>
                  <c:pt idx="10">
                    <c:v>HSE 2012</c:v>
                  </c:pt>
                  <c:pt idx="11">
                    <c:v>Model predicted</c:v>
                  </c:pt>
                  <c:pt idx="12">
                    <c:v>HSE 2012</c:v>
                  </c:pt>
                  <c:pt idx="13">
                    <c:v>Model predicted</c:v>
                  </c:pt>
                </c:lvl>
                <c:lvl>
                  <c:pt idx="0">
                    <c:v>16-24</c:v>
                  </c:pt>
                  <c:pt idx="2">
                    <c:v>25-34</c:v>
                  </c:pt>
                  <c:pt idx="4">
                    <c:v>35-44</c:v>
                  </c:pt>
                  <c:pt idx="6">
                    <c:v>45-54</c:v>
                  </c:pt>
                  <c:pt idx="8">
                    <c:v>55-64</c:v>
                  </c:pt>
                  <c:pt idx="10">
                    <c:v>65-74</c:v>
                  </c:pt>
                  <c:pt idx="12">
                    <c:v>75-81</c:v>
                  </c:pt>
                </c:lvl>
              </c:multiLvlStrCache>
              <c:extLst/>
            </c:multiLvlStrRef>
          </c:cat>
          <c:val>
            <c:numRef>
              <c:f>Afterschl!$G$75:$G$95</c:f>
              <c:numCache>
                <c:formatCode>0.00</c:formatCode>
                <c:ptCount val="14"/>
                <c:pt idx="0">
                  <c:v>0.62719999999999998</c:v>
                </c:pt>
                <c:pt idx="1">
                  <c:v>0.55393117731469199</c:v>
                </c:pt>
                <c:pt idx="2">
                  <c:v>0.47850000000000004</c:v>
                </c:pt>
                <c:pt idx="3">
                  <c:v>0.508193796431756</c:v>
                </c:pt>
                <c:pt idx="4">
                  <c:v>0.45760000000000001</c:v>
                </c:pt>
                <c:pt idx="5">
                  <c:v>0.45405499114749742</c:v>
                </c:pt>
                <c:pt idx="6">
                  <c:v>0.47200000000000003</c:v>
                </c:pt>
                <c:pt idx="7">
                  <c:v>0.41270366966191663</c:v>
                </c:pt>
                <c:pt idx="8">
                  <c:v>0.35909999999999997</c:v>
                </c:pt>
                <c:pt idx="9">
                  <c:v>0.38439049830655592</c:v>
                </c:pt>
                <c:pt idx="10">
                  <c:v>0.40159999999999996</c:v>
                </c:pt>
                <c:pt idx="11">
                  <c:v>0.28295024862365986</c:v>
                </c:pt>
                <c:pt idx="12">
                  <c:v>0.20370000000000002</c:v>
                </c:pt>
                <c:pt idx="13">
                  <c:v>0.17422148267258808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3-0EBD-445B-8100-91603B7096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742362360"/>
        <c:axId val="742378760"/>
      </c:barChart>
      <c:catAx>
        <c:axId val="7423623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42378760"/>
        <c:crosses val="autoZero"/>
        <c:auto val="1"/>
        <c:lblAlgn val="ctr"/>
        <c:lblOffset val="100"/>
        <c:noMultiLvlLbl val="0"/>
      </c:catAx>
      <c:valAx>
        <c:axId val="7423787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 b="1">
                    <a:solidFill>
                      <a:sysClr val="windowText" lastClr="000000"/>
                    </a:solidFill>
                  </a:rPr>
                  <a:t>Prevalence of PA Level</a:t>
                </a:r>
                <a:r>
                  <a:rPr lang="en-GB" b="1" baseline="0">
                    <a:solidFill>
                      <a:sysClr val="windowText" lastClr="000000"/>
                    </a:solidFill>
                  </a:rPr>
                  <a:t> (Male)</a:t>
                </a:r>
                <a:endParaRPr lang="en-GB" b="1">
                  <a:solidFill>
                    <a:sysClr val="windowText" lastClr="000000"/>
                  </a:solidFill>
                </a:endParaRPr>
              </a:p>
            </c:rich>
          </c:tx>
          <c:layout>
            <c:manualLayout>
              <c:xMode val="edge"/>
              <c:yMode val="edge"/>
              <c:x val="1.7612904418789564E-2"/>
              <c:y val="0.20991349361359171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423623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Afterschl!$I$74</c:f>
              <c:strCache>
                <c:ptCount val="1"/>
                <c:pt idx="0">
                  <c:v>Inactive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cat>
            <c:multiLvlStrRef>
              <c:f>Afterschl!$B$75:$C$95</c:f>
              <c:multiLvlStrCache>
                <c:ptCount val="14"/>
                <c:lvl>
                  <c:pt idx="0">
                    <c:v>HSE 2012</c:v>
                  </c:pt>
                  <c:pt idx="1">
                    <c:v>Model predicted</c:v>
                  </c:pt>
                  <c:pt idx="2">
                    <c:v>HSE 2012</c:v>
                  </c:pt>
                  <c:pt idx="3">
                    <c:v>Model predicted</c:v>
                  </c:pt>
                  <c:pt idx="4">
                    <c:v>HSE 2012</c:v>
                  </c:pt>
                  <c:pt idx="5">
                    <c:v>Model predicted</c:v>
                  </c:pt>
                  <c:pt idx="6">
                    <c:v>HSE 2012</c:v>
                  </c:pt>
                  <c:pt idx="7">
                    <c:v>Model predicted</c:v>
                  </c:pt>
                  <c:pt idx="8">
                    <c:v>HSE 2012</c:v>
                  </c:pt>
                  <c:pt idx="9">
                    <c:v>Model predicted</c:v>
                  </c:pt>
                  <c:pt idx="10">
                    <c:v>HSE 2012</c:v>
                  </c:pt>
                  <c:pt idx="11">
                    <c:v>Model predicted</c:v>
                  </c:pt>
                  <c:pt idx="12">
                    <c:v>HSE 2012</c:v>
                  </c:pt>
                  <c:pt idx="13">
                    <c:v>Model predicted</c:v>
                  </c:pt>
                </c:lvl>
                <c:lvl>
                  <c:pt idx="0">
                    <c:v>16-24</c:v>
                  </c:pt>
                  <c:pt idx="2">
                    <c:v>25-34</c:v>
                  </c:pt>
                  <c:pt idx="4">
                    <c:v>35-44</c:v>
                  </c:pt>
                  <c:pt idx="6">
                    <c:v>45-54</c:v>
                  </c:pt>
                  <c:pt idx="8">
                    <c:v>55-64</c:v>
                  </c:pt>
                  <c:pt idx="10">
                    <c:v>65-74</c:v>
                  </c:pt>
                  <c:pt idx="12">
                    <c:v>75-81</c:v>
                  </c:pt>
                </c:lvl>
              </c:multiLvlStrCache>
              <c:extLst/>
            </c:multiLvlStrRef>
          </c:cat>
          <c:val>
            <c:numRef>
              <c:f>Afterschl!$I$75:$I$95</c:f>
              <c:numCache>
                <c:formatCode>0.00</c:formatCode>
                <c:ptCount val="14"/>
                <c:pt idx="0">
                  <c:v>0.21940000000000001</c:v>
                </c:pt>
                <c:pt idx="1">
                  <c:v>0.23954220365671047</c:v>
                </c:pt>
                <c:pt idx="2">
                  <c:v>0.19350000000000001</c:v>
                </c:pt>
                <c:pt idx="3">
                  <c:v>0.25262128494378971</c:v>
                </c:pt>
                <c:pt idx="4">
                  <c:v>0.1565</c:v>
                </c:pt>
                <c:pt idx="5">
                  <c:v>0.27081177945915363</c:v>
                </c:pt>
                <c:pt idx="6">
                  <c:v>0.2082</c:v>
                </c:pt>
                <c:pt idx="7">
                  <c:v>0.3245600277713212</c:v>
                </c:pt>
                <c:pt idx="8">
                  <c:v>0.26869999999999999</c:v>
                </c:pt>
                <c:pt idx="9">
                  <c:v>0.39475380442581248</c:v>
                </c:pt>
                <c:pt idx="10">
                  <c:v>0.27310000000000001</c:v>
                </c:pt>
                <c:pt idx="11">
                  <c:v>0.49107728862512512</c:v>
                </c:pt>
                <c:pt idx="12">
                  <c:v>0.61470000000000002</c:v>
                </c:pt>
                <c:pt idx="13">
                  <c:v>0.57762393087487385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0-0AD2-40CE-8559-DA0726C07399}"/>
            </c:ext>
          </c:extLst>
        </c:ser>
        <c:ser>
          <c:idx val="1"/>
          <c:order val="1"/>
          <c:tx>
            <c:strRef>
              <c:f>Afterschl!$J$74</c:f>
              <c:strCache>
                <c:ptCount val="1"/>
                <c:pt idx="0">
                  <c:v>Low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cat>
            <c:multiLvlStrRef>
              <c:f>Afterschl!$B$75:$C$95</c:f>
              <c:multiLvlStrCache>
                <c:ptCount val="14"/>
                <c:lvl>
                  <c:pt idx="0">
                    <c:v>HSE 2012</c:v>
                  </c:pt>
                  <c:pt idx="1">
                    <c:v>Model predicted</c:v>
                  </c:pt>
                  <c:pt idx="2">
                    <c:v>HSE 2012</c:v>
                  </c:pt>
                  <c:pt idx="3">
                    <c:v>Model predicted</c:v>
                  </c:pt>
                  <c:pt idx="4">
                    <c:v>HSE 2012</c:v>
                  </c:pt>
                  <c:pt idx="5">
                    <c:v>Model predicted</c:v>
                  </c:pt>
                  <c:pt idx="6">
                    <c:v>HSE 2012</c:v>
                  </c:pt>
                  <c:pt idx="7">
                    <c:v>Model predicted</c:v>
                  </c:pt>
                  <c:pt idx="8">
                    <c:v>HSE 2012</c:v>
                  </c:pt>
                  <c:pt idx="9">
                    <c:v>Model predicted</c:v>
                  </c:pt>
                  <c:pt idx="10">
                    <c:v>HSE 2012</c:v>
                  </c:pt>
                  <c:pt idx="11">
                    <c:v>Model predicted</c:v>
                  </c:pt>
                  <c:pt idx="12">
                    <c:v>HSE 2012</c:v>
                  </c:pt>
                  <c:pt idx="13">
                    <c:v>Model predicted</c:v>
                  </c:pt>
                </c:lvl>
                <c:lvl>
                  <c:pt idx="0">
                    <c:v>16-24</c:v>
                  </c:pt>
                  <c:pt idx="2">
                    <c:v>25-34</c:v>
                  </c:pt>
                  <c:pt idx="4">
                    <c:v>35-44</c:v>
                  </c:pt>
                  <c:pt idx="6">
                    <c:v>45-54</c:v>
                  </c:pt>
                  <c:pt idx="8">
                    <c:v>55-64</c:v>
                  </c:pt>
                  <c:pt idx="10">
                    <c:v>65-74</c:v>
                  </c:pt>
                  <c:pt idx="12">
                    <c:v>75-81</c:v>
                  </c:pt>
                </c:lvl>
              </c:multiLvlStrCache>
              <c:extLst/>
            </c:multiLvlStrRef>
          </c:cat>
          <c:val>
            <c:numRef>
              <c:f>Afterschl!$J$75:$J$95</c:f>
              <c:numCache>
                <c:formatCode>0.00</c:formatCode>
                <c:ptCount val="14"/>
                <c:pt idx="0">
                  <c:v>0.21239999999999998</c:v>
                </c:pt>
                <c:pt idx="1">
                  <c:v>0.34272427854357473</c:v>
                </c:pt>
                <c:pt idx="2">
                  <c:v>0.19190000000000002</c:v>
                </c:pt>
                <c:pt idx="3">
                  <c:v>0.34337038903177136</c:v>
                </c:pt>
                <c:pt idx="4">
                  <c:v>0.18359999999999999</c:v>
                </c:pt>
                <c:pt idx="5">
                  <c:v>0.3443310140222644</c:v>
                </c:pt>
                <c:pt idx="6">
                  <c:v>0.17489999999999997</c:v>
                </c:pt>
                <c:pt idx="7">
                  <c:v>0.3105867847236678</c:v>
                </c:pt>
                <c:pt idx="8">
                  <c:v>0.18160000000000001</c:v>
                </c:pt>
                <c:pt idx="9">
                  <c:v>0.25755030202915802</c:v>
                </c:pt>
                <c:pt idx="10">
                  <c:v>0.20579999999999998</c:v>
                </c:pt>
                <c:pt idx="11">
                  <c:v>0.19399545525560793</c:v>
                </c:pt>
                <c:pt idx="12">
                  <c:v>0.17780000000000001</c:v>
                </c:pt>
                <c:pt idx="13">
                  <c:v>0.14297049908445864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1-0AD2-40CE-8559-DA0726C07399}"/>
            </c:ext>
          </c:extLst>
        </c:ser>
        <c:ser>
          <c:idx val="2"/>
          <c:order val="2"/>
          <c:tx>
            <c:strRef>
              <c:f>Afterschl!$K$74</c:f>
              <c:strCache>
                <c:ptCount val="1"/>
                <c:pt idx="0">
                  <c:v>Moderate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cat>
            <c:multiLvlStrRef>
              <c:f>Afterschl!$B$75:$C$95</c:f>
              <c:multiLvlStrCache>
                <c:ptCount val="14"/>
                <c:lvl>
                  <c:pt idx="0">
                    <c:v>HSE 2012</c:v>
                  </c:pt>
                  <c:pt idx="1">
                    <c:v>Model predicted</c:v>
                  </c:pt>
                  <c:pt idx="2">
                    <c:v>HSE 2012</c:v>
                  </c:pt>
                  <c:pt idx="3">
                    <c:v>Model predicted</c:v>
                  </c:pt>
                  <c:pt idx="4">
                    <c:v>HSE 2012</c:v>
                  </c:pt>
                  <c:pt idx="5">
                    <c:v>Model predicted</c:v>
                  </c:pt>
                  <c:pt idx="6">
                    <c:v>HSE 2012</c:v>
                  </c:pt>
                  <c:pt idx="7">
                    <c:v>Model predicted</c:v>
                  </c:pt>
                  <c:pt idx="8">
                    <c:v>HSE 2012</c:v>
                  </c:pt>
                  <c:pt idx="9">
                    <c:v>Model predicted</c:v>
                  </c:pt>
                  <c:pt idx="10">
                    <c:v>HSE 2012</c:v>
                  </c:pt>
                  <c:pt idx="11">
                    <c:v>Model predicted</c:v>
                  </c:pt>
                  <c:pt idx="12">
                    <c:v>HSE 2012</c:v>
                  </c:pt>
                  <c:pt idx="13">
                    <c:v>Model predicted</c:v>
                  </c:pt>
                </c:lvl>
                <c:lvl>
                  <c:pt idx="0">
                    <c:v>16-24</c:v>
                  </c:pt>
                  <c:pt idx="2">
                    <c:v>25-34</c:v>
                  </c:pt>
                  <c:pt idx="4">
                    <c:v>35-44</c:v>
                  </c:pt>
                  <c:pt idx="6">
                    <c:v>45-54</c:v>
                  </c:pt>
                  <c:pt idx="8">
                    <c:v>55-64</c:v>
                  </c:pt>
                  <c:pt idx="10">
                    <c:v>65-74</c:v>
                  </c:pt>
                  <c:pt idx="12">
                    <c:v>75-81</c:v>
                  </c:pt>
                </c:lvl>
              </c:multiLvlStrCache>
              <c:extLst/>
            </c:multiLvlStrRef>
          </c:cat>
          <c:val>
            <c:numRef>
              <c:f>Afterschl!$K$75:$K$95</c:f>
              <c:numCache>
                <c:formatCode>0.00</c:formatCode>
                <c:ptCount val="14"/>
                <c:pt idx="0">
                  <c:v>0.21899999999999997</c:v>
                </c:pt>
                <c:pt idx="1">
                  <c:v>0.21470406375544024</c:v>
                </c:pt>
                <c:pt idx="2">
                  <c:v>0.26280000000000003</c:v>
                </c:pt>
                <c:pt idx="3">
                  <c:v>0.21764046451468019</c:v>
                </c:pt>
                <c:pt idx="4">
                  <c:v>0.26190000000000002</c:v>
                </c:pt>
                <c:pt idx="5">
                  <c:v>0.2031700893536226</c:v>
                </c:pt>
                <c:pt idx="6">
                  <c:v>0.24440000000000001</c:v>
                </c:pt>
                <c:pt idx="7">
                  <c:v>0.18650915661343537</c:v>
                </c:pt>
                <c:pt idx="8">
                  <c:v>0.21640000000000001</c:v>
                </c:pt>
                <c:pt idx="9">
                  <c:v>0.1698581800127334</c:v>
                </c:pt>
                <c:pt idx="10">
                  <c:v>0.21879999999999999</c:v>
                </c:pt>
                <c:pt idx="11">
                  <c:v>0.14608946182395913</c:v>
                </c:pt>
                <c:pt idx="12">
                  <c:v>0.1134</c:v>
                </c:pt>
                <c:pt idx="13">
                  <c:v>0.12363979202139934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2-0AD2-40CE-8559-DA0726C07399}"/>
            </c:ext>
          </c:extLst>
        </c:ser>
        <c:ser>
          <c:idx val="3"/>
          <c:order val="3"/>
          <c:tx>
            <c:strRef>
              <c:f>Afterschl!$L$74</c:f>
              <c:strCache>
                <c:ptCount val="1"/>
                <c:pt idx="0">
                  <c:v>High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cat>
            <c:multiLvlStrRef>
              <c:f>Afterschl!$B$75:$C$95</c:f>
              <c:multiLvlStrCache>
                <c:ptCount val="14"/>
                <c:lvl>
                  <c:pt idx="0">
                    <c:v>HSE 2012</c:v>
                  </c:pt>
                  <c:pt idx="1">
                    <c:v>Model predicted</c:v>
                  </c:pt>
                  <c:pt idx="2">
                    <c:v>HSE 2012</c:v>
                  </c:pt>
                  <c:pt idx="3">
                    <c:v>Model predicted</c:v>
                  </c:pt>
                  <c:pt idx="4">
                    <c:v>HSE 2012</c:v>
                  </c:pt>
                  <c:pt idx="5">
                    <c:v>Model predicted</c:v>
                  </c:pt>
                  <c:pt idx="6">
                    <c:v>HSE 2012</c:v>
                  </c:pt>
                  <c:pt idx="7">
                    <c:v>Model predicted</c:v>
                  </c:pt>
                  <c:pt idx="8">
                    <c:v>HSE 2012</c:v>
                  </c:pt>
                  <c:pt idx="9">
                    <c:v>Model predicted</c:v>
                  </c:pt>
                  <c:pt idx="10">
                    <c:v>HSE 2012</c:v>
                  </c:pt>
                  <c:pt idx="11">
                    <c:v>Model predicted</c:v>
                  </c:pt>
                  <c:pt idx="12">
                    <c:v>HSE 2012</c:v>
                  </c:pt>
                  <c:pt idx="13">
                    <c:v>Model predicted</c:v>
                  </c:pt>
                </c:lvl>
                <c:lvl>
                  <c:pt idx="0">
                    <c:v>16-24</c:v>
                  </c:pt>
                  <c:pt idx="2">
                    <c:v>25-34</c:v>
                  </c:pt>
                  <c:pt idx="4">
                    <c:v>35-44</c:v>
                  </c:pt>
                  <c:pt idx="6">
                    <c:v>45-54</c:v>
                  </c:pt>
                  <c:pt idx="8">
                    <c:v>55-64</c:v>
                  </c:pt>
                  <c:pt idx="10">
                    <c:v>65-74</c:v>
                  </c:pt>
                  <c:pt idx="12">
                    <c:v>75-81</c:v>
                  </c:pt>
                </c:lvl>
              </c:multiLvlStrCache>
              <c:extLst/>
            </c:multiLvlStrRef>
          </c:cat>
          <c:val>
            <c:numRef>
              <c:f>Afterschl!$L$75:$L$95</c:f>
              <c:numCache>
                <c:formatCode>0.00</c:formatCode>
                <c:ptCount val="14"/>
                <c:pt idx="0">
                  <c:v>0.34920000000000001</c:v>
                </c:pt>
                <c:pt idx="1">
                  <c:v>0.20302945404427455</c:v>
                </c:pt>
                <c:pt idx="2">
                  <c:v>0.3518</c:v>
                </c:pt>
                <c:pt idx="3">
                  <c:v>0.18636786150975862</c:v>
                </c:pt>
                <c:pt idx="4">
                  <c:v>0.39789999999999998</c:v>
                </c:pt>
                <c:pt idx="5">
                  <c:v>0.18168711716495931</c:v>
                </c:pt>
                <c:pt idx="6">
                  <c:v>0.3725</c:v>
                </c:pt>
                <c:pt idx="7">
                  <c:v>0.17834403089157569</c:v>
                </c:pt>
                <c:pt idx="8">
                  <c:v>0.33329999999999999</c:v>
                </c:pt>
                <c:pt idx="9">
                  <c:v>0.17783771353229605</c:v>
                </c:pt>
                <c:pt idx="10">
                  <c:v>0.30230000000000001</c:v>
                </c:pt>
                <c:pt idx="11">
                  <c:v>0.16883779429530776</c:v>
                </c:pt>
                <c:pt idx="12">
                  <c:v>9.4100000000000003E-2</c:v>
                </c:pt>
                <c:pt idx="13">
                  <c:v>0.15576577801926811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3-0AD2-40CE-8559-DA0726C073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742362360"/>
        <c:axId val="742378760"/>
      </c:barChart>
      <c:catAx>
        <c:axId val="7423623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42378760"/>
        <c:crosses val="autoZero"/>
        <c:auto val="1"/>
        <c:lblAlgn val="ctr"/>
        <c:lblOffset val="100"/>
        <c:noMultiLvlLbl val="0"/>
      </c:catAx>
      <c:valAx>
        <c:axId val="7423787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 b="1"/>
                  <a:t>Prevalence of PA Level (Female)</a:t>
                </a:r>
              </a:p>
            </c:rich>
          </c:tx>
          <c:layout>
            <c:manualLayout>
              <c:xMode val="edge"/>
              <c:yMode val="edge"/>
              <c:x val="1.7612904418789564E-2"/>
              <c:y val="0.20991349361359171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42362360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42722829436835E-2"/>
          <c:y val="3.7609238771665915E-2"/>
          <c:w val="0.90243721188655179"/>
          <c:h val="0.79761134107248466"/>
        </c:manualLayout>
      </c:layout>
      <c:lineChart>
        <c:grouping val="standard"/>
        <c:varyColors val="0"/>
        <c:ser>
          <c:idx val="0"/>
          <c:order val="0"/>
          <c:tx>
            <c:strRef>
              <c:f>Inci!$C$3</c:f>
              <c:strCache>
                <c:ptCount val="1"/>
                <c:pt idx="0">
                  <c:v>Male obs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strRef>
              <c:f>Inci!$B$4:$B$10</c:f>
              <c:strCache>
                <c:ptCount val="7"/>
                <c:pt idx="0">
                  <c:v>&lt;25</c:v>
                </c:pt>
                <c:pt idx="1">
                  <c:v>25-34</c:v>
                </c:pt>
                <c:pt idx="2">
                  <c:v>35-44</c:v>
                </c:pt>
                <c:pt idx="3">
                  <c:v>45-54</c:v>
                </c:pt>
                <c:pt idx="4">
                  <c:v>55-64</c:v>
                </c:pt>
                <c:pt idx="5">
                  <c:v>65-74</c:v>
                </c:pt>
                <c:pt idx="6">
                  <c:v>≥75</c:v>
                </c:pt>
              </c:strCache>
            </c:strRef>
          </c:cat>
          <c:val>
            <c:numRef>
              <c:f>Inci!$C$4:$C$10</c:f>
              <c:numCache>
                <c:formatCode>0.00</c:formatCode>
                <c:ptCount val="7"/>
                <c:pt idx="0">
                  <c:v>0</c:v>
                </c:pt>
                <c:pt idx="1">
                  <c:v>0.04</c:v>
                </c:pt>
                <c:pt idx="2">
                  <c:v>0.8</c:v>
                </c:pt>
                <c:pt idx="3">
                  <c:v>3.27</c:v>
                </c:pt>
                <c:pt idx="4">
                  <c:v>8.9700000000000006</c:v>
                </c:pt>
                <c:pt idx="5">
                  <c:v>13.76</c:v>
                </c:pt>
                <c:pt idx="6">
                  <c:v>21.11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C0C-49E9-892A-97FE3759AAE7}"/>
            </c:ext>
          </c:extLst>
        </c:ser>
        <c:ser>
          <c:idx val="2"/>
          <c:order val="1"/>
          <c:tx>
            <c:strRef>
              <c:f>Inci!$D$3</c:f>
              <c:strCache>
                <c:ptCount val="1"/>
                <c:pt idx="0">
                  <c:v>Male pred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strRef>
              <c:f>Inci!$B$4:$B$10</c:f>
              <c:strCache>
                <c:ptCount val="7"/>
                <c:pt idx="0">
                  <c:v>&lt;25</c:v>
                </c:pt>
                <c:pt idx="1">
                  <c:v>25-34</c:v>
                </c:pt>
                <c:pt idx="2">
                  <c:v>35-44</c:v>
                </c:pt>
                <c:pt idx="3">
                  <c:v>45-54</c:v>
                </c:pt>
                <c:pt idx="4">
                  <c:v>55-64</c:v>
                </c:pt>
                <c:pt idx="5">
                  <c:v>65-74</c:v>
                </c:pt>
                <c:pt idx="6">
                  <c:v>≥75</c:v>
                </c:pt>
              </c:strCache>
            </c:strRef>
          </c:cat>
          <c:val>
            <c:numRef>
              <c:f>Inci!$D$4:$D$10</c:f>
              <c:numCache>
                <c:formatCode>0.00</c:formatCode>
                <c:ptCount val="7"/>
                <c:pt idx="0">
                  <c:v>0</c:v>
                </c:pt>
                <c:pt idx="1">
                  <c:v>3.9868410202087021E-2</c:v>
                </c:pt>
                <c:pt idx="2">
                  <c:v>0.79347372265189886</c:v>
                </c:pt>
                <c:pt idx="3">
                  <c:v>3.2540325148114979</c:v>
                </c:pt>
                <c:pt idx="4">
                  <c:v>8.6521143503912974</c:v>
                </c:pt>
                <c:pt idx="5">
                  <c:v>13.757269764957403</c:v>
                </c:pt>
                <c:pt idx="6">
                  <c:v>20.879739594641013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C0C-49E9-892A-97FE3759AAE7}"/>
            </c:ext>
          </c:extLst>
        </c:ser>
        <c:ser>
          <c:idx val="1"/>
          <c:order val="2"/>
          <c:tx>
            <c:strRef>
              <c:f>Inci!$E$3</c:f>
              <c:strCache>
                <c:ptCount val="1"/>
                <c:pt idx="0">
                  <c:v>Female obs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strRef>
              <c:f>Inci!$B$4:$B$10</c:f>
              <c:strCache>
                <c:ptCount val="7"/>
                <c:pt idx="0">
                  <c:v>&lt;25</c:v>
                </c:pt>
                <c:pt idx="1">
                  <c:v>25-34</c:v>
                </c:pt>
                <c:pt idx="2">
                  <c:v>35-44</c:v>
                </c:pt>
                <c:pt idx="3">
                  <c:v>45-54</c:v>
                </c:pt>
                <c:pt idx="4">
                  <c:v>55-64</c:v>
                </c:pt>
                <c:pt idx="5">
                  <c:v>65-74</c:v>
                </c:pt>
                <c:pt idx="6">
                  <c:v>≥75</c:v>
                </c:pt>
              </c:strCache>
            </c:strRef>
          </c:cat>
          <c:val>
            <c:numRef>
              <c:f>Inci!$E$4:$E$10</c:f>
              <c:numCache>
                <c:formatCode>0.00</c:formatCode>
                <c:ptCount val="7"/>
                <c:pt idx="0">
                  <c:v>0</c:v>
                </c:pt>
                <c:pt idx="1">
                  <c:v>0.03</c:v>
                </c:pt>
                <c:pt idx="2">
                  <c:v>0.13</c:v>
                </c:pt>
                <c:pt idx="3">
                  <c:v>0.91</c:v>
                </c:pt>
                <c:pt idx="4">
                  <c:v>3.63</c:v>
                </c:pt>
                <c:pt idx="5">
                  <c:v>5.64</c:v>
                </c:pt>
                <c:pt idx="6">
                  <c:v>8.76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AC0C-49E9-892A-97FE3759AAE7}"/>
            </c:ext>
          </c:extLst>
        </c:ser>
        <c:ser>
          <c:idx val="3"/>
          <c:order val="3"/>
          <c:tx>
            <c:strRef>
              <c:f>Inci!$F$3</c:f>
              <c:strCache>
                <c:ptCount val="1"/>
                <c:pt idx="0">
                  <c:v>Female pred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4"/>
              </a:solidFill>
              <a:ln w="9525">
                <a:solidFill>
                  <a:schemeClr val="accent4"/>
                </a:solidFill>
              </a:ln>
              <a:effectLst/>
            </c:spPr>
          </c:marker>
          <c:cat>
            <c:strRef>
              <c:f>Inci!$B$4:$B$10</c:f>
              <c:strCache>
                <c:ptCount val="7"/>
                <c:pt idx="0">
                  <c:v>&lt;25</c:v>
                </c:pt>
                <c:pt idx="1">
                  <c:v>25-34</c:v>
                </c:pt>
                <c:pt idx="2">
                  <c:v>35-44</c:v>
                </c:pt>
                <c:pt idx="3">
                  <c:v>45-54</c:v>
                </c:pt>
                <c:pt idx="4">
                  <c:v>55-64</c:v>
                </c:pt>
                <c:pt idx="5">
                  <c:v>65-74</c:v>
                </c:pt>
                <c:pt idx="6">
                  <c:v>≥75</c:v>
                </c:pt>
              </c:strCache>
            </c:strRef>
          </c:cat>
          <c:val>
            <c:numRef>
              <c:f>Inci!$F$4:$F$10</c:f>
              <c:numCache>
                <c:formatCode>0.00</c:formatCode>
                <c:ptCount val="7"/>
                <c:pt idx="0">
                  <c:v>0</c:v>
                </c:pt>
                <c:pt idx="1">
                  <c:v>3.1415678430743124E-2</c:v>
                </c:pt>
                <c:pt idx="2">
                  <c:v>0.13898481704840168</c:v>
                </c:pt>
                <c:pt idx="3">
                  <c:v>0.96669430422680269</c:v>
                </c:pt>
                <c:pt idx="4">
                  <c:v>3.8233602931311963</c:v>
                </c:pt>
                <c:pt idx="5">
                  <c:v>5.99464644981148</c:v>
                </c:pt>
                <c:pt idx="6">
                  <c:v>8.5529721190904269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AC0C-49E9-892A-97FE3759AAE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75425304"/>
        <c:axId val="391665288"/>
      </c:lineChart>
      <c:catAx>
        <c:axId val="47542530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Age group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800" b="0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391665288"/>
        <c:crosses val="autoZero"/>
        <c:auto val="1"/>
        <c:lblAlgn val="ctr"/>
        <c:lblOffset val="100"/>
        <c:noMultiLvlLbl val="0"/>
      </c:catAx>
      <c:valAx>
        <c:axId val="391665288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Rates per 1000</a:t>
                </a:r>
              </a:p>
            </c:rich>
          </c:tx>
          <c:layout>
            <c:manualLayout>
              <c:xMode val="edge"/>
              <c:yMode val="edge"/>
              <c:x val="9.4859561649756428E-3"/>
              <c:y val="0.2259205519070353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8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75425304"/>
        <c:crosses val="autoZero"/>
        <c:crossBetween val="between"/>
        <c:majorUnit val="2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445591158878018"/>
          <c:y val="4.7535090722355358E-2"/>
          <c:w val="0.4828803700998095"/>
          <c:h val="0.2325029957097413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6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GB" b="1"/>
              <a:t>Stroke incidence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60" b="0" i="0" u="none" strike="noStrike" kern="1200" spc="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10267737404310814"/>
          <c:y val="4.3664133346618922E-2"/>
          <c:w val="0.87597629289517431"/>
          <c:h val="0.86184048506583522"/>
        </c:manualLayout>
      </c:layout>
      <c:lineChart>
        <c:grouping val="standard"/>
        <c:varyColors val="0"/>
        <c:ser>
          <c:idx val="0"/>
          <c:order val="0"/>
          <c:tx>
            <c:strRef>
              <c:f>Inci!$C$3</c:f>
              <c:strCache>
                <c:ptCount val="1"/>
                <c:pt idx="0">
                  <c:v>Male obs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strRef>
              <c:f>Inci!$B$19:$B$26</c:f>
              <c:strCache>
                <c:ptCount val="8"/>
                <c:pt idx="0">
                  <c:v>0-14</c:v>
                </c:pt>
                <c:pt idx="1">
                  <c:v>15-24</c:v>
                </c:pt>
                <c:pt idx="2">
                  <c:v>25-34</c:v>
                </c:pt>
                <c:pt idx="3">
                  <c:v>35-44</c:v>
                </c:pt>
                <c:pt idx="4">
                  <c:v>45-54</c:v>
                </c:pt>
                <c:pt idx="5">
                  <c:v>55-64</c:v>
                </c:pt>
                <c:pt idx="6">
                  <c:v>65-74</c:v>
                </c:pt>
                <c:pt idx="7">
                  <c:v>75-84</c:v>
                </c:pt>
              </c:strCache>
            </c:strRef>
          </c:cat>
          <c:val>
            <c:numRef>
              <c:f>Inci!$C$19:$C$26</c:f>
              <c:numCache>
                <c:formatCode>General</c:formatCode>
                <c:ptCount val="8"/>
                <c:pt idx="0">
                  <c:v>0.03</c:v>
                </c:pt>
                <c:pt idx="1">
                  <c:v>0.02</c:v>
                </c:pt>
                <c:pt idx="2">
                  <c:v>0.05</c:v>
                </c:pt>
                <c:pt idx="3">
                  <c:v>0.26</c:v>
                </c:pt>
                <c:pt idx="4">
                  <c:v>0.67</c:v>
                </c:pt>
                <c:pt idx="5">
                  <c:v>3.47</c:v>
                </c:pt>
                <c:pt idx="6">
                  <c:v>8.11</c:v>
                </c:pt>
                <c:pt idx="7">
                  <c:v>15.87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176-437B-BEA4-DBB2C5704734}"/>
            </c:ext>
          </c:extLst>
        </c:ser>
        <c:ser>
          <c:idx val="2"/>
          <c:order val="1"/>
          <c:tx>
            <c:strRef>
              <c:f>Inci!$D$3</c:f>
              <c:strCache>
                <c:ptCount val="1"/>
                <c:pt idx="0">
                  <c:v>Male pred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strRef>
              <c:f>Inci!$B$19:$B$26</c:f>
              <c:strCache>
                <c:ptCount val="8"/>
                <c:pt idx="0">
                  <c:v>0-14</c:v>
                </c:pt>
                <c:pt idx="1">
                  <c:v>15-24</c:v>
                </c:pt>
                <c:pt idx="2">
                  <c:v>25-34</c:v>
                </c:pt>
                <c:pt idx="3">
                  <c:v>35-44</c:v>
                </c:pt>
                <c:pt idx="4">
                  <c:v>45-54</c:v>
                </c:pt>
                <c:pt idx="5">
                  <c:v>55-64</c:v>
                </c:pt>
                <c:pt idx="6">
                  <c:v>65-74</c:v>
                </c:pt>
                <c:pt idx="7">
                  <c:v>75-84</c:v>
                </c:pt>
              </c:strCache>
            </c:strRef>
          </c:cat>
          <c:val>
            <c:numRef>
              <c:f>Inci!$D$19:$D$26</c:f>
              <c:numCache>
                <c:formatCode>0.00</c:formatCode>
                <c:ptCount val="8"/>
                <c:pt idx="1">
                  <c:v>1.9735598640073241E-2</c:v>
                </c:pt>
                <c:pt idx="2">
                  <c:v>4.9989324828350314E-2</c:v>
                </c:pt>
                <c:pt idx="3">
                  <c:v>0.25878640532265179</c:v>
                </c:pt>
                <c:pt idx="4">
                  <c:v>0.66686675750835822</c:v>
                </c:pt>
                <c:pt idx="5">
                  <c:v>3.3788849282123414</c:v>
                </c:pt>
                <c:pt idx="6">
                  <c:v>8.0824517032481999</c:v>
                </c:pt>
                <c:pt idx="7">
                  <c:v>15.69996673405633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9176-437B-BEA4-DBB2C5704734}"/>
            </c:ext>
          </c:extLst>
        </c:ser>
        <c:ser>
          <c:idx val="1"/>
          <c:order val="2"/>
          <c:tx>
            <c:strRef>
              <c:f>Inci!$E$3</c:f>
              <c:strCache>
                <c:ptCount val="1"/>
                <c:pt idx="0">
                  <c:v>Female obs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strRef>
              <c:f>Inci!$B$19:$B$26</c:f>
              <c:strCache>
                <c:ptCount val="8"/>
                <c:pt idx="0">
                  <c:v>0-14</c:v>
                </c:pt>
                <c:pt idx="1">
                  <c:v>15-24</c:v>
                </c:pt>
                <c:pt idx="2">
                  <c:v>25-34</c:v>
                </c:pt>
                <c:pt idx="3">
                  <c:v>35-44</c:v>
                </c:pt>
                <c:pt idx="4">
                  <c:v>45-54</c:v>
                </c:pt>
                <c:pt idx="5">
                  <c:v>55-64</c:v>
                </c:pt>
                <c:pt idx="6">
                  <c:v>65-74</c:v>
                </c:pt>
                <c:pt idx="7">
                  <c:v>75-84</c:v>
                </c:pt>
              </c:strCache>
            </c:strRef>
          </c:cat>
          <c:val>
            <c:numRef>
              <c:f>Inci!$E$19:$E$26</c:f>
              <c:numCache>
                <c:formatCode>0.00</c:formatCode>
                <c:ptCount val="8"/>
                <c:pt idx="0">
                  <c:v>0.03</c:v>
                </c:pt>
                <c:pt idx="1">
                  <c:v>0.1</c:v>
                </c:pt>
                <c:pt idx="2">
                  <c:v>0.12</c:v>
                </c:pt>
                <c:pt idx="3">
                  <c:v>0.2</c:v>
                </c:pt>
                <c:pt idx="4">
                  <c:v>0.46</c:v>
                </c:pt>
                <c:pt idx="5">
                  <c:v>2.35</c:v>
                </c:pt>
                <c:pt idx="6">
                  <c:v>5.84</c:v>
                </c:pt>
                <c:pt idx="7">
                  <c:v>13.39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9176-437B-BEA4-DBB2C5704734}"/>
            </c:ext>
          </c:extLst>
        </c:ser>
        <c:ser>
          <c:idx val="3"/>
          <c:order val="3"/>
          <c:tx>
            <c:strRef>
              <c:f>Inci!$F$3</c:f>
              <c:strCache>
                <c:ptCount val="1"/>
                <c:pt idx="0">
                  <c:v>Female pred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4"/>
              </a:solidFill>
              <a:ln w="9525">
                <a:solidFill>
                  <a:schemeClr val="accent4"/>
                </a:solidFill>
              </a:ln>
              <a:effectLst/>
            </c:spPr>
          </c:marker>
          <c:cat>
            <c:strRef>
              <c:f>Inci!$B$19:$B$26</c:f>
              <c:strCache>
                <c:ptCount val="8"/>
                <c:pt idx="0">
                  <c:v>0-14</c:v>
                </c:pt>
                <c:pt idx="1">
                  <c:v>15-24</c:v>
                </c:pt>
                <c:pt idx="2">
                  <c:v>25-34</c:v>
                </c:pt>
                <c:pt idx="3">
                  <c:v>35-44</c:v>
                </c:pt>
                <c:pt idx="4">
                  <c:v>45-54</c:v>
                </c:pt>
                <c:pt idx="5">
                  <c:v>55-64</c:v>
                </c:pt>
                <c:pt idx="6">
                  <c:v>65-74</c:v>
                </c:pt>
                <c:pt idx="7">
                  <c:v>75-84</c:v>
                </c:pt>
              </c:strCache>
            </c:strRef>
          </c:cat>
          <c:val>
            <c:numRef>
              <c:f>Inci!$F$19:$F$26</c:f>
              <c:numCache>
                <c:formatCode>0.00</c:formatCode>
                <c:ptCount val="8"/>
                <c:pt idx="1">
                  <c:v>0.10377544366430211</c:v>
                </c:pt>
                <c:pt idx="2">
                  <c:v>0.12350709685258818</c:v>
                </c:pt>
                <c:pt idx="3">
                  <c:v>0.20914368656118693</c:v>
                </c:pt>
                <c:pt idx="4">
                  <c:v>0.47926409641534518</c:v>
                </c:pt>
                <c:pt idx="5">
                  <c:v>2.4399644373932734</c:v>
                </c:pt>
                <c:pt idx="6">
                  <c:v>6.1327375799020452</c:v>
                </c:pt>
                <c:pt idx="7">
                  <c:v>13.115863245806393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9176-437B-BEA4-DBB2C570473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91665680"/>
        <c:axId val="478986944"/>
      </c:lineChart>
      <c:catAx>
        <c:axId val="3916656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78986944"/>
        <c:crosses val="autoZero"/>
        <c:auto val="1"/>
        <c:lblAlgn val="ctr"/>
        <c:lblOffset val="100"/>
        <c:noMultiLvlLbl val="0"/>
      </c:catAx>
      <c:valAx>
        <c:axId val="478986944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/>
                  <a:t>Rates per 1000</a:t>
                </a:r>
              </a:p>
            </c:rich>
          </c:tx>
          <c:layout>
            <c:manualLayout>
              <c:xMode val="edge"/>
              <c:yMode val="edge"/>
              <c:x val="9.4859561649756428E-3"/>
              <c:y val="0.2259205519070353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800" b="0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391665680"/>
        <c:crosses val="autoZero"/>
        <c:crossBetween val="between"/>
        <c:majorUnit val="2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1688445516390339"/>
          <c:y val="0.26892016299318577"/>
          <c:w val="0.48951476794330889"/>
          <c:h val="0.183401660348861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1570350892528254"/>
          <c:y val="3.7609238771665915E-2"/>
          <c:w val="0.87597629289517431"/>
          <c:h val="0.86184048506583522"/>
        </c:manualLayout>
      </c:layout>
      <c:lineChart>
        <c:grouping val="standard"/>
        <c:varyColors val="0"/>
        <c:ser>
          <c:idx val="0"/>
          <c:order val="0"/>
          <c:tx>
            <c:strRef>
              <c:f>Inci!$C$3</c:f>
              <c:strCache>
                <c:ptCount val="1"/>
                <c:pt idx="0">
                  <c:v>Male obs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strRef>
              <c:f>Inci!$B$35:$B$40</c:f>
              <c:strCache>
                <c:ptCount val="6"/>
                <c:pt idx="0">
                  <c:v>25-34</c:v>
                </c:pt>
                <c:pt idx="1">
                  <c:v>35-44</c:v>
                </c:pt>
                <c:pt idx="2">
                  <c:v>45-54</c:v>
                </c:pt>
                <c:pt idx="3">
                  <c:v>55-64</c:v>
                </c:pt>
                <c:pt idx="4">
                  <c:v>65-74</c:v>
                </c:pt>
                <c:pt idx="5">
                  <c:v>75-84</c:v>
                </c:pt>
              </c:strCache>
            </c:strRef>
          </c:cat>
          <c:val>
            <c:numRef>
              <c:f>Inci!$C$35:$C$40</c:f>
              <c:numCache>
                <c:formatCode>General</c:formatCode>
                <c:ptCount val="6"/>
                <c:pt idx="0">
                  <c:v>0</c:v>
                </c:pt>
                <c:pt idx="1">
                  <c:v>0.16</c:v>
                </c:pt>
                <c:pt idx="2">
                  <c:v>0.26</c:v>
                </c:pt>
                <c:pt idx="3">
                  <c:v>1.7</c:v>
                </c:pt>
                <c:pt idx="4">
                  <c:v>3.88</c:v>
                </c:pt>
                <c:pt idx="5">
                  <c:v>9.82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769-47F5-838F-70A6C187D141}"/>
            </c:ext>
          </c:extLst>
        </c:ser>
        <c:ser>
          <c:idx val="2"/>
          <c:order val="1"/>
          <c:tx>
            <c:strRef>
              <c:f>Inci!$D$3</c:f>
              <c:strCache>
                <c:ptCount val="1"/>
                <c:pt idx="0">
                  <c:v>Male pred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strRef>
              <c:f>Inci!$B$35:$B$40</c:f>
              <c:strCache>
                <c:ptCount val="6"/>
                <c:pt idx="0">
                  <c:v>25-34</c:v>
                </c:pt>
                <c:pt idx="1">
                  <c:v>35-44</c:v>
                </c:pt>
                <c:pt idx="2">
                  <c:v>45-54</c:v>
                </c:pt>
                <c:pt idx="3">
                  <c:v>55-64</c:v>
                </c:pt>
                <c:pt idx="4">
                  <c:v>65-74</c:v>
                </c:pt>
                <c:pt idx="5">
                  <c:v>75-84</c:v>
                </c:pt>
              </c:strCache>
            </c:strRef>
          </c:cat>
          <c:val>
            <c:numRef>
              <c:f>Inci!$D$35:$D$40</c:f>
              <c:numCache>
                <c:formatCode>0.00</c:formatCode>
                <c:ptCount val="6"/>
                <c:pt idx="0">
                  <c:v>0</c:v>
                </c:pt>
                <c:pt idx="1">
                  <c:v>0.19862295044285111</c:v>
                </c:pt>
                <c:pt idx="2">
                  <c:v>0.29892001494781822</c:v>
                </c:pt>
                <c:pt idx="3">
                  <c:v>1.6476466478838667</c:v>
                </c:pt>
                <c:pt idx="4">
                  <c:v>3.9203898028232445</c:v>
                </c:pt>
                <c:pt idx="5">
                  <c:v>9.7844980593012245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769-47F5-838F-70A6C187D141}"/>
            </c:ext>
          </c:extLst>
        </c:ser>
        <c:ser>
          <c:idx val="1"/>
          <c:order val="2"/>
          <c:tx>
            <c:strRef>
              <c:f>Inci!$E$3</c:f>
              <c:strCache>
                <c:ptCount val="1"/>
                <c:pt idx="0">
                  <c:v>Female obs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strRef>
              <c:f>Inci!$B$35:$B$40</c:f>
              <c:strCache>
                <c:ptCount val="6"/>
                <c:pt idx="0">
                  <c:v>25-34</c:v>
                </c:pt>
                <c:pt idx="1">
                  <c:v>35-44</c:v>
                </c:pt>
                <c:pt idx="2">
                  <c:v>45-54</c:v>
                </c:pt>
                <c:pt idx="3">
                  <c:v>55-64</c:v>
                </c:pt>
                <c:pt idx="4">
                  <c:v>65-74</c:v>
                </c:pt>
                <c:pt idx="5">
                  <c:v>75-84</c:v>
                </c:pt>
              </c:strCache>
            </c:strRef>
          </c:cat>
          <c:val>
            <c:numRef>
              <c:f>Inci!$E$35:$E$40</c:f>
              <c:numCache>
                <c:formatCode>General</c:formatCode>
                <c:ptCount val="6"/>
                <c:pt idx="0">
                  <c:v>0.04</c:v>
                </c:pt>
                <c:pt idx="1">
                  <c:v>0.18</c:v>
                </c:pt>
                <c:pt idx="2">
                  <c:v>7.0000000000000007E-2</c:v>
                </c:pt>
                <c:pt idx="3">
                  <c:v>0.67</c:v>
                </c:pt>
                <c:pt idx="4">
                  <c:v>2.31</c:v>
                </c:pt>
                <c:pt idx="5">
                  <c:v>5.92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A769-47F5-838F-70A6C187D141}"/>
            </c:ext>
          </c:extLst>
        </c:ser>
        <c:ser>
          <c:idx val="3"/>
          <c:order val="3"/>
          <c:tx>
            <c:strRef>
              <c:f>Inci!$F$3</c:f>
              <c:strCache>
                <c:ptCount val="1"/>
                <c:pt idx="0">
                  <c:v>Female pred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4"/>
              </a:solidFill>
              <a:ln w="9525">
                <a:solidFill>
                  <a:schemeClr val="accent4"/>
                </a:solidFill>
              </a:ln>
              <a:effectLst/>
            </c:spPr>
          </c:marker>
          <c:cat>
            <c:strRef>
              <c:f>Inci!$B$35:$B$40</c:f>
              <c:strCache>
                <c:ptCount val="6"/>
                <c:pt idx="0">
                  <c:v>25-34</c:v>
                </c:pt>
                <c:pt idx="1">
                  <c:v>35-44</c:v>
                </c:pt>
                <c:pt idx="2">
                  <c:v>45-54</c:v>
                </c:pt>
                <c:pt idx="3">
                  <c:v>55-64</c:v>
                </c:pt>
                <c:pt idx="4">
                  <c:v>65-74</c:v>
                </c:pt>
                <c:pt idx="5">
                  <c:v>75-84</c:v>
                </c:pt>
              </c:strCache>
            </c:strRef>
          </c:cat>
          <c:val>
            <c:numRef>
              <c:f>Inci!$F$35:$F$40</c:f>
              <c:numCache>
                <c:formatCode>0.00</c:formatCode>
                <c:ptCount val="6"/>
                <c:pt idx="0">
                  <c:v>0</c:v>
                </c:pt>
                <c:pt idx="1">
                  <c:v>0.21309342468824449</c:v>
                </c:pt>
                <c:pt idx="2">
                  <c:v>0.10595677724692143</c:v>
                </c:pt>
                <c:pt idx="3">
                  <c:v>0.73744160342872112</c:v>
                </c:pt>
                <c:pt idx="4">
                  <c:v>2.4526515075835782</c:v>
                </c:pt>
                <c:pt idx="5">
                  <c:v>5.7894192462330469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A769-47F5-838F-70A6C187D1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77176272"/>
        <c:axId val="477176664"/>
      </c:lineChart>
      <c:catAx>
        <c:axId val="47717627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Age group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800" b="0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77176664"/>
        <c:crosses val="autoZero"/>
        <c:auto val="1"/>
        <c:lblAlgn val="ctr"/>
        <c:lblOffset val="100"/>
        <c:noMultiLvlLbl val="0"/>
      </c:catAx>
      <c:valAx>
        <c:axId val="477176664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>
                    <a:solidFill>
                      <a:sysClr val="windowText" lastClr="000000"/>
                    </a:solidFill>
                  </a:rPr>
                  <a:t>Rates per 1000</a:t>
                </a:r>
              </a:p>
            </c:rich>
          </c:tx>
          <c:layout>
            <c:manualLayout>
              <c:xMode val="edge"/>
              <c:yMode val="edge"/>
              <c:x val="9.4859561649756428E-3"/>
              <c:y val="0.2259205519070353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8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771762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6573236106061079"/>
          <c:y val="0.19626261793144353"/>
          <c:w val="0.52859303370936339"/>
          <c:h val="0.1531276832398018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9.3475284958143709E-2"/>
          <c:y val="3.7609238771665915E-2"/>
          <c:w val="0.89820465266271965"/>
          <c:h val="0.79188166294028062"/>
        </c:manualLayout>
      </c:layout>
      <c:lineChart>
        <c:grouping val="standard"/>
        <c:varyColors val="0"/>
        <c:ser>
          <c:idx val="0"/>
          <c:order val="0"/>
          <c:tx>
            <c:strRef>
              <c:f>Inci!$C$49</c:f>
              <c:strCache>
                <c:ptCount val="1"/>
                <c:pt idx="0">
                  <c:v>Male obs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strRef>
              <c:f>Inci!$B$50:$B$57</c:f>
              <c:strCache>
                <c:ptCount val="8"/>
                <c:pt idx="0">
                  <c:v>10–19</c:v>
                </c:pt>
                <c:pt idx="1">
                  <c:v>20–29</c:v>
                </c:pt>
                <c:pt idx="2">
                  <c:v>30–39</c:v>
                </c:pt>
                <c:pt idx="3">
                  <c:v>40–49</c:v>
                </c:pt>
                <c:pt idx="4">
                  <c:v>50–59</c:v>
                </c:pt>
                <c:pt idx="5">
                  <c:v>60–69</c:v>
                </c:pt>
                <c:pt idx="6">
                  <c:v>70–79</c:v>
                </c:pt>
                <c:pt idx="7">
                  <c:v>80–89</c:v>
                </c:pt>
              </c:strCache>
            </c:strRef>
          </c:cat>
          <c:val>
            <c:numRef>
              <c:f>Inci!$C$50:$C$57</c:f>
              <c:numCache>
                <c:formatCode>0.00</c:formatCode>
                <c:ptCount val="8"/>
                <c:pt idx="0">
                  <c:v>0.11</c:v>
                </c:pt>
                <c:pt idx="1">
                  <c:v>0.36</c:v>
                </c:pt>
                <c:pt idx="2">
                  <c:v>1.36</c:v>
                </c:pt>
                <c:pt idx="3">
                  <c:v>4.0199999999999996</c:v>
                </c:pt>
                <c:pt idx="4">
                  <c:v>7.86</c:v>
                </c:pt>
                <c:pt idx="5">
                  <c:v>11.87</c:v>
                </c:pt>
                <c:pt idx="6">
                  <c:v>12.68</c:v>
                </c:pt>
                <c:pt idx="7">
                  <c:v>9.08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4D7-4390-B59A-2CA9986FA35D}"/>
            </c:ext>
          </c:extLst>
        </c:ser>
        <c:ser>
          <c:idx val="2"/>
          <c:order val="1"/>
          <c:tx>
            <c:strRef>
              <c:f>Inci!$D$49</c:f>
              <c:strCache>
                <c:ptCount val="1"/>
                <c:pt idx="0">
                  <c:v>Male pred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strRef>
              <c:f>Inci!$B$50:$B$57</c:f>
              <c:strCache>
                <c:ptCount val="8"/>
                <c:pt idx="0">
                  <c:v>10–19</c:v>
                </c:pt>
                <c:pt idx="1">
                  <c:v>20–29</c:v>
                </c:pt>
                <c:pt idx="2">
                  <c:v>30–39</c:v>
                </c:pt>
                <c:pt idx="3">
                  <c:v>40–49</c:v>
                </c:pt>
                <c:pt idx="4">
                  <c:v>50–59</c:v>
                </c:pt>
                <c:pt idx="5">
                  <c:v>60–69</c:v>
                </c:pt>
                <c:pt idx="6">
                  <c:v>70–79</c:v>
                </c:pt>
                <c:pt idx="7">
                  <c:v>80–89</c:v>
                </c:pt>
              </c:strCache>
            </c:strRef>
          </c:cat>
          <c:val>
            <c:numRef>
              <c:f>Inci!$D$50:$D$57</c:f>
              <c:numCache>
                <c:formatCode>0.00</c:formatCode>
                <c:ptCount val="8"/>
                <c:pt idx="0">
                  <c:v>9.7036013470434779E-2</c:v>
                </c:pt>
                <c:pt idx="1">
                  <c:v>0.37201739557194596</c:v>
                </c:pt>
                <c:pt idx="2">
                  <c:v>1.3558401931474919</c:v>
                </c:pt>
                <c:pt idx="3">
                  <c:v>3.9895388599028365</c:v>
                </c:pt>
                <c:pt idx="4">
                  <c:v>7.92299767282835</c:v>
                </c:pt>
                <c:pt idx="5">
                  <c:v>11.500656445951709</c:v>
                </c:pt>
                <c:pt idx="6">
                  <c:v>13.379022036251438</c:v>
                </c:pt>
                <c:pt idx="7">
                  <c:v>9.2239362781554703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4D7-4390-B59A-2CA9986FA35D}"/>
            </c:ext>
          </c:extLst>
        </c:ser>
        <c:ser>
          <c:idx val="1"/>
          <c:order val="2"/>
          <c:tx>
            <c:strRef>
              <c:f>Inci!$E$49</c:f>
              <c:strCache>
                <c:ptCount val="1"/>
                <c:pt idx="0">
                  <c:v>Female obs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strRef>
              <c:f>Inci!$B$50:$B$57</c:f>
              <c:strCache>
                <c:ptCount val="8"/>
                <c:pt idx="0">
                  <c:v>10–19</c:v>
                </c:pt>
                <c:pt idx="1">
                  <c:v>20–29</c:v>
                </c:pt>
                <c:pt idx="2">
                  <c:v>30–39</c:v>
                </c:pt>
                <c:pt idx="3">
                  <c:v>40–49</c:v>
                </c:pt>
                <c:pt idx="4">
                  <c:v>50–59</c:v>
                </c:pt>
                <c:pt idx="5">
                  <c:v>60–69</c:v>
                </c:pt>
                <c:pt idx="6">
                  <c:v>70–79</c:v>
                </c:pt>
                <c:pt idx="7">
                  <c:v>80–89</c:v>
                </c:pt>
              </c:strCache>
            </c:strRef>
          </c:cat>
          <c:val>
            <c:numRef>
              <c:f>Inci!$E$50:$E$57</c:f>
              <c:numCache>
                <c:formatCode>0.00</c:formatCode>
                <c:ptCount val="8"/>
                <c:pt idx="0">
                  <c:v>0.28000000000000003</c:v>
                </c:pt>
                <c:pt idx="1">
                  <c:v>1.1499999999999999</c:v>
                </c:pt>
                <c:pt idx="2">
                  <c:v>1.91</c:v>
                </c:pt>
                <c:pt idx="3">
                  <c:v>3</c:v>
                </c:pt>
                <c:pt idx="4">
                  <c:v>5.43</c:v>
                </c:pt>
                <c:pt idx="5">
                  <c:v>8.48</c:v>
                </c:pt>
                <c:pt idx="6">
                  <c:v>10.32</c:v>
                </c:pt>
                <c:pt idx="7">
                  <c:v>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54D7-4390-B59A-2CA9986FA35D}"/>
            </c:ext>
          </c:extLst>
        </c:ser>
        <c:ser>
          <c:idx val="3"/>
          <c:order val="3"/>
          <c:tx>
            <c:strRef>
              <c:f>Inci!$F$49</c:f>
              <c:strCache>
                <c:ptCount val="1"/>
                <c:pt idx="0">
                  <c:v>Female pred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4"/>
              </a:solidFill>
              <a:ln w="9525">
                <a:solidFill>
                  <a:schemeClr val="accent4"/>
                </a:solidFill>
              </a:ln>
              <a:effectLst/>
            </c:spPr>
          </c:marker>
          <c:cat>
            <c:strRef>
              <c:f>Inci!$B$50:$B$57</c:f>
              <c:strCache>
                <c:ptCount val="8"/>
                <c:pt idx="0">
                  <c:v>10–19</c:v>
                </c:pt>
                <c:pt idx="1">
                  <c:v>20–29</c:v>
                </c:pt>
                <c:pt idx="2">
                  <c:v>30–39</c:v>
                </c:pt>
                <c:pt idx="3">
                  <c:v>40–49</c:v>
                </c:pt>
                <c:pt idx="4">
                  <c:v>50–59</c:v>
                </c:pt>
                <c:pt idx="5">
                  <c:v>60–69</c:v>
                </c:pt>
                <c:pt idx="6">
                  <c:v>70–79</c:v>
                </c:pt>
                <c:pt idx="7">
                  <c:v>80–89</c:v>
                </c:pt>
              </c:strCache>
            </c:strRef>
          </c:cat>
          <c:val>
            <c:numRef>
              <c:f>Inci!$F$50:$F$57</c:f>
              <c:numCache>
                <c:formatCode>0.00</c:formatCode>
                <c:ptCount val="8"/>
                <c:pt idx="0">
                  <c:v>0.2814806169537647</c:v>
                </c:pt>
                <c:pt idx="1">
                  <c:v>1.2209807131104302</c:v>
                </c:pt>
                <c:pt idx="2">
                  <c:v>2.0724697164621326</c:v>
                </c:pt>
                <c:pt idx="3">
                  <c:v>3.3503216152062683</c:v>
                </c:pt>
                <c:pt idx="4">
                  <c:v>6.0016711389377519</c:v>
                </c:pt>
                <c:pt idx="5">
                  <c:v>9.2037805543915425</c:v>
                </c:pt>
                <c:pt idx="6">
                  <c:v>11.260902878060271</c:v>
                </c:pt>
                <c:pt idx="7">
                  <c:v>7.7647774199138571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54D7-4390-B59A-2CA9986FA35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80817736"/>
        <c:axId val="490033192"/>
      </c:lineChart>
      <c:catAx>
        <c:axId val="38081773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Age group</a:t>
                </a:r>
              </a:p>
            </c:rich>
          </c:tx>
          <c:layout>
            <c:manualLayout>
              <c:xMode val="edge"/>
              <c:yMode val="edge"/>
              <c:x val="0.49187196694128782"/>
              <c:y val="0.90665152033861385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800" b="0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90033192"/>
        <c:crosses val="autoZero"/>
        <c:auto val="1"/>
        <c:lblAlgn val="ctr"/>
        <c:lblOffset val="100"/>
        <c:noMultiLvlLbl val="0"/>
      </c:catAx>
      <c:valAx>
        <c:axId val="490033192"/>
        <c:scaling>
          <c:orientation val="minMax"/>
          <c:max val="2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Rates per 1000</a:t>
                </a:r>
              </a:p>
            </c:rich>
          </c:tx>
          <c:layout>
            <c:manualLayout>
              <c:xMode val="edge"/>
              <c:yMode val="edge"/>
              <c:x val="9.4859561649756428E-3"/>
              <c:y val="0.2259205519070353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8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380817736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layout>
        <c:manualLayout>
          <c:xMode val="edge"/>
          <c:yMode val="edge"/>
          <c:x val="0.13819166760714996"/>
          <c:y val="9.1928647807912905E-2"/>
          <c:w val="0.3924581354141537"/>
          <c:h val="0.2025817990348170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2946188374811936E-2"/>
          <c:y val="2.6299419946932735E-2"/>
          <c:w val="0.91594876646657797"/>
          <c:h val="0.80411283541013689"/>
        </c:manualLayout>
      </c:layout>
      <c:lineChart>
        <c:grouping val="standard"/>
        <c:varyColors val="0"/>
        <c:ser>
          <c:idx val="1"/>
          <c:order val="0"/>
          <c:tx>
            <c:strRef>
              <c:f>Inci!$E$65</c:f>
              <c:strCache>
                <c:ptCount val="1"/>
                <c:pt idx="0">
                  <c:v>Female obs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strRef>
              <c:f>Inci!$B$67:$B$80</c:f>
              <c:strCache>
                <c:ptCount val="14"/>
                <c:pt idx="0">
                  <c:v>15-19</c:v>
                </c:pt>
                <c:pt idx="1">
                  <c:v>20-24</c:v>
                </c:pt>
                <c:pt idx="2">
                  <c:v>25-29</c:v>
                </c:pt>
                <c:pt idx="3">
                  <c:v>30-34</c:v>
                </c:pt>
                <c:pt idx="4">
                  <c:v>35-39</c:v>
                </c:pt>
                <c:pt idx="5">
                  <c:v>40-44</c:v>
                </c:pt>
                <c:pt idx="6">
                  <c:v>45-49</c:v>
                </c:pt>
                <c:pt idx="7">
                  <c:v>50-54</c:v>
                </c:pt>
                <c:pt idx="8">
                  <c:v>55-59</c:v>
                </c:pt>
                <c:pt idx="9">
                  <c:v>60-64</c:v>
                </c:pt>
                <c:pt idx="10">
                  <c:v>65-69</c:v>
                </c:pt>
                <c:pt idx="11">
                  <c:v>70-74</c:v>
                </c:pt>
                <c:pt idx="12">
                  <c:v>75-79</c:v>
                </c:pt>
                <c:pt idx="13">
                  <c:v>80-84</c:v>
                </c:pt>
              </c:strCache>
            </c:strRef>
          </c:cat>
          <c:val>
            <c:numRef>
              <c:f>Inci!$E$67:$E$80</c:f>
              <c:numCache>
                <c:formatCode>0.000</c:formatCode>
                <c:ptCount val="14"/>
                <c:pt idx="0">
                  <c:v>2E-3</c:v>
                </c:pt>
                <c:pt idx="1">
                  <c:v>1.6E-2</c:v>
                </c:pt>
                <c:pt idx="2">
                  <c:v>9.5000000000000001E-2</c:v>
                </c:pt>
                <c:pt idx="3">
                  <c:v>0.27500000000000002</c:v>
                </c:pt>
                <c:pt idx="4">
                  <c:v>0.627</c:v>
                </c:pt>
                <c:pt idx="5">
                  <c:v>1.214</c:v>
                </c:pt>
                <c:pt idx="6">
                  <c:v>2.1909999999999998</c:v>
                </c:pt>
                <c:pt idx="7">
                  <c:v>2.7760000000000002</c:v>
                </c:pt>
                <c:pt idx="8">
                  <c:v>2.7330000000000001</c:v>
                </c:pt>
                <c:pt idx="9">
                  <c:v>3.512</c:v>
                </c:pt>
                <c:pt idx="10">
                  <c:v>4.093</c:v>
                </c:pt>
                <c:pt idx="11">
                  <c:v>3.4380000000000002</c:v>
                </c:pt>
                <c:pt idx="12">
                  <c:v>3.93</c:v>
                </c:pt>
                <c:pt idx="13">
                  <c:v>4.2510000000000003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BE31-4B85-A11A-E5BCCE19020D}"/>
            </c:ext>
          </c:extLst>
        </c:ser>
        <c:ser>
          <c:idx val="3"/>
          <c:order val="1"/>
          <c:tx>
            <c:strRef>
              <c:f>Inci!$F$65</c:f>
              <c:strCache>
                <c:ptCount val="1"/>
                <c:pt idx="0">
                  <c:v>Female pred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4"/>
              </a:solidFill>
              <a:ln w="9525">
                <a:solidFill>
                  <a:schemeClr val="accent4"/>
                </a:solidFill>
              </a:ln>
              <a:effectLst/>
            </c:spPr>
          </c:marker>
          <c:cat>
            <c:strRef>
              <c:f>Inci!$B$67:$B$80</c:f>
              <c:strCache>
                <c:ptCount val="14"/>
                <c:pt idx="0">
                  <c:v>15-19</c:v>
                </c:pt>
                <c:pt idx="1">
                  <c:v>20-24</c:v>
                </c:pt>
                <c:pt idx="2">
                  <c:v>25-29</c:v>
                </c:pt>
                <c:pt idx="3">
                  <c:v>30-34</c:v>
                </c:pt>
                <c:pt idx="4">
                  <c:v>35-39</c:v>
                </c:pt>
                <c:pt idx="5">
                  <c:v>40-44</c:v>
                </c:pt>
                <c:pt idx="6">
                  <c:v>45-49</c:v>
                </c:pt>
                <c:pt idx="7">
                  <c:v>50-54</c:v>
                </c:pt>
                <c:pt idx="8">
                  <c:v>55-59</c:v>
                </c:pt>
                <c:pt idx="9">
                  <c:v>60-64</c:v>
                </c:pt>
                <c:pt idx="10">
                  <c:v>65-69</c:v>
                </c:pt>
                <c:pt idx="11">
                  <c:v>70-74</c:v>
                </c:pt>
                <c:pt idx="12">
                  <c:v>75-79</c:v>
                </c:pt>
                <c:pt idx="13">
                  <c:v>80-84</c:v>
                </c:pt>
              </c:strCache>
            </c:strRef>
          </c:cat>
          <c:val>
            <c:numRef>
              <c:f>Inci!$F$67:$F$80</c:f>
              <c:numCache>
                <c:formatCode>0.000</c:formatCode>
                <c:ptCount val="14"/>
                <c:pt idx="0">
                  <c:v>1.9484341361146176E-3</c:v>
                </c:pt>
                <c:pt idx="1">
                  <c:v>1.5868564217976101E-2</c:v>
                </c:pt>
                <c:pt idx="2">
                  <c:v>9.4710994443002947E-2</c:v>
                </c:pt>
                <c:pt idx="3">
                  <c:v>0.2745019469672042</c:v>
                </c:pt>
                <c:pt idx="4">
                  <c:v>0.63054671167675058</c:v>
                </c:pt>
                <c:pt idx="5">
                  <c:v>1.2219224958888304</c:v>
                </c:pt>
                <c:pt idx="6">
                  <c:v>2.1963907030494392</c:v>
                </c:pt>
                <c:pt idx="7">
                  <c:v>2.7884244708049417</c:v>
                </c:pt>
                <c:pt idx="8">
                  <c:v>2.7323510533351132</c:v>
                </c:pt>
                <c:pt idx="9">
                  <c:v>3.5149268981394064</c:v>
                </c:pt>
                <c:pt idx="10">
                  <c:v>4.0903995729144098</c:v>
                </c:pt>
                <c:pt idx="11">
                  <c:v>3.4540285425899677</c:v>
                </c:pt>
                <c:pt idx="12">
                  <c:v>3.8197503428276876</c:v>
                </c:pt>
                <c:pt idx="13">
                  <c:v>4.1403348779717692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BE31-4B85-A11A-E5BCCE19020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90033976"/>
        <c:axId val="490034368"/>
      </c:lineChart>
      <c:catAx>
        <c:axId val="49003397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Age group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800" b="0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90034368"/>
        <c:crosses val="autoZero"/>
        <c:auto val="1"/>
        <c:lblAlgn val="ctr"/>
        <c:lblOffset val="100"/>
        <c:noMultiLvlLbl val="0"/>
      </c:catAx>
      <c:valAx>
        <c:axId val="490034368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 b="1"/>
                  <a:t>Rates per 1000</a:t>
                </a:r>
              </a:p>
            </c:rich>
          </c:tx>
          <c:layout>
            <c:manualLayout>
              <c:xMode val="edge"/>
              <c:yMode val="edge"/>
              <c:x val="9.4859561649756428E-3"/>
              <c:y val="0.2259205519070353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8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.0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900339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1688445516390339"/>
          <c:y val="5.7002283631732521E-2"/>
          <c:w val="0.21631734779645936"/>
          <c:h val="0.1924377791959157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7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7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34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34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0.71037</cdr:x>
      <cdr:y>0.19635</cdr:y>
    </cdr:from>
    <cdr:to>
      <cdr:x>0.84304</cdr:x>
      <cdr:y>0.29056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3291192" y="556459"/>
          <a:ext cx="614670" cy="26698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GB" sz="900">
              <a:latin typeface="Arial" panose="020B0604020202020204" pitchFamily="34" charset="0"/>
              <a:cs typeface="Arial" panose="020B0604020202020204" pitchFamily="34" charset="0"/>
            </a:rPr>
            <a:t>Healthy</a:t>
          </a:r>
        </a:p>
      </cdr:txBody>
    </cdr:sp>
  </cdr:relSizeAnchor>
  <cdr:relSizeAnchor xmlns:cdr="http://schemas.openxmlformats.org/drawingml/2006/chartDrawing">
    <cdr:from>
      <cdr:x>0.74137</cdr:x>
      <cdr:y>0.48569</cdr:y>
    </cdr:from>
    <cdr:to>
      <cdr:x>0.87404</cdr:x>
      <cdr:y>0.57991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3434806" y="1376424"/>
          <a:ext cx="614670" cy="26701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GB" sz="900">
              <a:latin typeface="Arial" panose="020B0604020202020204" pitchFamily="34" charset="0"/>
              <a:cs typeface="Arial" panose="020B0604020202020204" pitchFamily="34" charset="0"/>
            </a:rPr>
            <a:t>Disease</a:t>
          </a:r>
          <a:endParaRPr lang="en-GB" sz="1100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  <cdr:relSizeAnchor xmlns:cdr="http://schemas.openxmlformats.org/drawingml/2006/chartDrawing">
    <cdr:from>
      <cdr:x>0.8244</cdr:x>
      <cdr:y>0.65601</cdr:y>
    </cdr:from>
    <cdr:to>
      <cdr:x>0.95707</cdr:x>
      <cdr:y>0.75023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3819496" y="1859120"/>
          <a:ext cx="614670" cy="26701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GB" sz="900">
              <a:latin typeface="Arial" panose="020B0604020202020204" pitchFamily="34" charset="0"/>
              <a:cs typeface="Arial" panose="020B0604020202020204" pitchFamily="34" charset="0"/>
            </a:rPr>
            <a:t>Dead</a:t>
          </a:r>
          <a:endParaRPr lang="en-GB" sz="1100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0.6837</cdr:x>
      <cdr:y>0.151</cdr:y>
    </cdr:from>
    <cdr:to>
      <cdr:x>0.81637</cdr:x>
      <cdr:y>0.24521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3225022" y="430673"/>
          <a:ext cx="625805" cy="26869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GB" sz="1000">
              <a:latin typeface="Arial" panose="020B0604020202020204" pitchFamily="34" charset="0"/>
              <a:cs typeface="Arial" panose="020B0604020202020204" pitchFamily="34" charset="0"/>
            </a:rPr>
            <a:t>Healthy</a:t>
          </a:r>
          <a:endParaRPr lang="en-GB" sz="1100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  <cdr:relSizeAnchor xmlns:cdr="http://schemas.openxmlformats.org/drawingml/2006/chartDrawing">
    <cdr:from>
      <cdr:x>0.77741</cdr:x>
      <cdr:y>0.51577</cdr:y>
    </cdr:from>
    <cdr:to>
      <cdr:x>0.91008</cdr:x>
      <cdr:y>0.60999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4477435" y="1670970"/>
          <a:ext cx="764106" cy="30525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GB" sz="1000">
              <a:latin typeface="Arial" panose="020B0604020202020204" pitchFamily="34" charset="0"/>
              <a:cs typeface="Arial" panose="020B0604020202020204" pitchFamily="34" charset="0"/>
            </a:rPr>
            <a:t>Disease</a:t>
          </a:r>
          <a:endParaRPr lang="en-GB" sz="1100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  <cdr:relSizeAnchor xmlns:cdr="http://schemas.openxmlformats.org/drawingml/2006/chartDrawing">
    <cdr:from>
      <cdr:x>0.81981</cdr:x>
      <cdr:y>0.69244</cdr:y>
    </cdr:from>
    <cdr:to>
      <cdr:x>0.95248</cdr:x>
      <cdr:y>0.78666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3867049" y="1974890"/>
          <a:ext cx="625805" cy="26872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GB" sz="1000">
              <a:latin typeface="Arial" panose="020B0604020202020204" pitchFamily="34" charset="0"/>
              <a:cs typeface="Arial" panose="020B0604020202020204" pitchFamily="34" charset="0"/>
            </a:rPr>
            <a:t>Dead</a:t>
          </a:r>
          <a:endParaRPr lang="en-GB" sz="1100">
            <a:latin typeface="Arial" panose="020B0604020202020204" pitchFamily="34" charset="0"/>
            <a:cs typeface="Arial" panose="020B0604020202020204" pitchFamily="34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CD07A-1546-4B52-9038-4C005CC00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12</Pages>
  <Words>4718</Words>
  <Characters>26896</Characters>
  <Application>Microsoft Office Word</Application>
  <DocSecurity>0</DocSecurity>
  <Lines>224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East Anglia</Company>
  <LinksUpToDate>false</LinksUpToDate>
  <CharactersWithSpaces>31551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Vijay Gc (MED)</dc:creator>
  <cp:lastModifiedBy>Vijay Gc</cp:lastModifiedBy>
  <cp:revision>6</cp:revision>
  <cp:lastPrinted>2019-04-24T11:22:00Z</cp:lastPrinted>
  <dcterms:created xsi:type="dcterms:W3CDTF">2019-04-24T11:19:00Z</dcterms:created>
  <dcterms:modified xsi:type="dcterms:W3CDTF">2019-04-24T11:25:00Z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