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AE5B3D" w14:textId="0BFB1D31" w:rsidR="00A41E86" w:rsidRPr="009468BB" w:rsidRDefault="004D3F66" w:rsidP="00CE225A">
      <w:pPr>
        <w:pStyle w:val="TitleofPaper"/>
        <w:rPr>
          <w:rFonts w:ascii="Times New Roman" w:hAnsi="Times New Roman"/>
          <w:sz w:val="22"/>
          <w:szCs w:val="22"/>
        </w:rPr>
      </w:pPr>
      <w:bookmarkStart w:id="0" w:name="_GoBack"/>
      <w:bookmarkEnd w:id="0"/>
      <w:r>
        <w:rPr>
          <w:rFonts w:ascii="Times New Roman" w:hAnsi="Times New Roman"/>
          <w:sz w:val="22"/>
          <w:szCs w:val="22"/>
        </w:rPr>
        <w:t xml:space="preserve">combined effects of physical and biological processes on coastal dynamics and recovery: the bluecoast project approach </w:t>
      </w:r>
    </w:p>
    <w:p w14:paraId="2BEF0535" w14:textId="77777777" w:rsidR="00A41E86" w:rsidRDefault="00A41E86">
      <w:pPr>
        <w:widowControl/>
        <w:tabs>
          <w:tab w:val="left" w:pos="-1440"/>
          <w:tab w:val="left" w:pos="-720"/>
          <w:tab w:val="left" w:pos="0"/>
          <w:tab w:val="left" w:pos="504"/>
          <w:tab w:val="left" w:pos="1440"/>
          <w:tab w:val="left" w:pos="2160"/>
          <w:tab w:val="left" w:pos="2880"/>
          <w:tab w:val="left" w:pos="3600"/>
          <w:tab w:val="left" w:pos="4320"/>
          <w:tab w:val="left" w:pos="5040"/>
          <w:tab w:val="left" w:pos="5760"/>
          <w:tab w:val="left" w:pos="6480"/>
          <w:tab w:val="left" w:pos="7200"/>
          <w:tab w:val="left" w:pos="7920"/>
        </w:tabs>
        <w:jc w:val="both"/>
      </w:pPr>
    </w:p>
    <w:p w14:paraId="0BA79820" w14:textId="149E2025" w:rsidR="00A41E86" w:rsidRPr="009468BB" w:rsidRDefault="004D3F66">
      <w:pPr>
        <w:widowControl/>
        <w:tabs>
          <w:tab w:val="left" w:pos="-1440"/>
          <w:tab w:val="left" w:pos="-720"/>
          <w:tab w:val="left" w:pos="0"/>
          <w:tab w:val="left" w:pos="450"/>
          <w:tab w:val="left" w:pos="1440"/>
          <w:tab w:val="left" w:pos="2160"/>
          <w:tab w:val="left" w:pos="2880"/>
          <w:tab w:val="left" w:pos="3600"/>
          <w:tab w:val="left" w:pos="4320"/>
          <w:tab w:val="left" w:pos="5040"/>
          <w:tab w:val="left" w:pos="5760"/>
          <w:tab w:val="left" w:pos="6480"/>
          <w:tab w:val="left" w:pos="7200"/>
          <w:tab w:val="left" w:pos="7920"/>
        </w:tabs>
        <w:jc w:val="center"/>
        <w:rPr>
          <w:sz w:val="18"/>
          <w:szCs w:val="18"/>
          <w:vertAlign w:val="superscript"/>
        </w:rPr>
      </w:pPr>
      <w:r>
        <w:rPr>
          <w:sz w:val="18"/>
          <w:szCs w:val="18"/>
        </w:rPr>
        <w:t>LAURENT AMOUDRY</w:t>
      </w:r>
      <w:r>
        <w:rPr>
          <w:sz w:val="18"/>
          <w:szCs w:val="18"/>
          <w:vertAlign w:val="superscript"/>
        </w:rPr>
        <w:t>1</w:t>
      </w:r>
      <w:r>
        <w:rPr>
          <w:sz w:val="18"/>
          <w:szCs w:val="18"/>
        </w:rPr>
        <w:t>, GERD MASSELINK</w:t>
      </w:r>
      <w:r>
        <w:rPr>
          <w:sz w:val="18"/>
          <w:szCs w:val="18"/>
          <w:vertAlign w:val="superscript"/>
        </w:rPr>
        <w:t>2</w:t>
      </w:r>
      <w:r>
        <w:rPr>
          <w:sz w:val="18"/>
          <w:szCs w:val="18"/>
        </w:rPr>
        <w:t>, ANDRES PAYO</w:t>
      </w:r>
      <w:r>
        <w:rPr>
          <w:sz w:val="18"/>
          <w:szCs w:val="18"/>
          <w:vertAlign w:val="superscript"/>
        </w:rPr>
        <w:t>3</w:t>
      </w:r>
      <w:r>
        <w:rPr>
          <w:sz w:val="18"/>
          <w:szCs w:val="18"/>
        </w:rPr>
        <w:t>, ANDREW PLATER</w:t>
      </w:r>
      <w:r>
        <w:rPr>
          <w:sz w:val="18"/>
          <w:szCs w:val="18"/>
          <w:vertAlign w:val="superscript"/>
        </w:rPr>
        <w:t>4</w:t>
      </w:r>
      <w:r>
        <w:rPr>
          <w:sz w:val="18"/>
          <w:szCs w:val="18"/>
        </w:rPr>
        <w:t>, MARTIN SOLAN</w:t>
      </w:r>
      <w:r>
        <w:rPr>
          <w:sz w:val="18"/>
          <w:szCs w:val="18"/>
          <w:vertAlign w:val="superscript"/>
        </w:rPr>
        <w:t>5</w:t>
      </w:r>
      <w:r>
        <w:rPr>
          <w:sz w:val="18"/>
          <w:szCs w:val="18"/>
        </w:rPr>
        <w:t xml:space="preserve">, </w:t>
      </w:r>
      <w:r w:rsidR="00BB4D6C">
        <w:rPr>
          <w:sz w:val="18"/>
          <w:szCs w:val="18"/>
        </w:rPr>
        <w:t>THOMAS SPENCER</w:t>
      </w:r>
      <w:r w:rsidR="00E57016">
        <w:rPr>
          <w:sz w:val="18"/>
          <w:szCs w:val="18"/>
          <w:vertAlign w:val="superscript"/>
        </w:rPr>
        <w:t>6</w:t>
      </w:r>
      <w:r w:rsidR="00BB4D6C">
        <w:rPr>
          <w:sz w:val="18"/>
          <w:szCs w:val="18"/>
        </w:rPr>
        <w:t xml:space="preserve">, </w:t>
      </w:r>
      <w:r w:rsidR="00501E13">
        <w:rPr>
          <w:sz w:val="18"/>
          <w:szCs w:val="18"/>
        </w:rPr>
        <w:t xml:space="preserve">CHARLOTTE </w:t>
      </w:r>
      <w:r w:rsidR="00501E13" w:rsidRPr="00501E13">
        <w:rPr>
          <w:sz w:val="18"/>
          <w:szCs w:val="18"/>
        </w:rPr>
        <w:t>THOMPSON</w:t>
      </w:r>
      <w:r w:rsidR="00501E13" w:rsidRPr="00501E13">
        <w:rPr>
          <w:sz w:val="18"/>
          <w:szCs w:val="18"/>
          <w:vertAlign w:val="superscript"/>
        </w:rPr>
        <w:t>5</w:t>
      </w:r>
      <w:r w:rsidR="00501E13">
        <w:rPr>
          <w:sz w:val="18"/>
          <w:szCs w:val="18"/>
        </w:rPr>
        <w:t xml:space="preserve">, </w:t>
      </w:r>
      <w:r w:rsidR="00BB4D6C" w:rsidRPr="00501E13">
        <w:rPr>
          <w:sz w:val="18"/>
          <w:szCs w:val="18"/>
        </w:rPr>
        <w:t>JENNIFER</w:t>
      </w:r>
      <w:r w:rsidR="00BB4D6C">
        <w:rPr>
          <w:sz w:val="18"/>
          <w:szCs w:val="18"/>
        </w:rPr>
        <w:t xml:space="preserve"> BROWN</w:t>
      </w:r>
      <w:r w:rsidR="00E57016">
        <w:rPr>
          <w:sz w:val="18"/>
          <w:szCs w:val="18"/>
          <w:vertAlign w:val="superscript"/>
        </w:rPr>
        <w:t>1</w:t>
      </w:r>
      <w:r w:rsidR="00BB4D6C">
        <w:rPr>
          <w:sz w:val="18"/>
          <w:szCs w:val="18"/>
        </w:rPr>
        <w:t>, SUE BROOKS</w:t>
      </w:r>
      <w:r w:rsidR="00E57016">
        <w:rPr>
          <w:sz w:val="18"/>
          <w:szCs w:val="18"/>
          <w:vertAlign w:val="superscript"/>
        </w:rPr>
        <w:t>7</w:t>
      </w:r>
      <w:r w:rsidR="00BB4D6C">
        <w:rPr>
          <w:sz w:val="18"/>
          <w:szCs w:val="18"/>
        </w:rPr>
        <w:t>, JAK MCCARROLL</w:t>
      </w:r>
      <w:r w:rsidR="00E57016">
        <w:rPr>
          <w:sz w:val="18"/>
          <w:szCs w:val="18"/>
          <w:vertAlign w:val="superscript"/>
        </w:rPr>
        <w:t>2</w:t>
      </w:r>
      <w:r w:rsidR="00BB4D6C">
        <w:rPr>
          <w:sz w:val="18"/>
          <w:szCs w:val="18"/>
        </w:rPr>
        <w:t>, ANDREW BARKWITH</w:t>
      </w:r>
      <w:r w:rsidR="00E57016">
        <w:rPr>
          <w:sz w:val="18"/>
          <w:szCs w:val="18"/>
          <w:vertAlign w:val="superscript"/>
        </w:rPr>
        <w:t>3</w:t>
      </w:r>
      <w:r w:rsidR="00BB4D6C">
        <w:rPr>
          <w:sz w:val="18"/>
          <w:szCs w:val="18"/>
        </w:rPr>
        <w:t>, , IRIS MOLLER</w:t>
      </w:r>
      <w:r w:rsidR="00E57016">
        <w:rPr>
          <w:sz w:val="18"/>
          <w:szCs w:val="18"/>
          <w:vertAlign w:val="superscript"/>
        </w:rPr>
        <w:t>6</w:t>
      </w:r>
      <w:r w:rsidR="00BB4D6C">
        <w:rPr>
          <w:sz w:val="18"/>
          <w:szCs w:val="18"/>
        </w:rPr>
        <w:t>, GIOVANNI COCO</w:t>
      </w:r>
      <w:r w:rsidR="00626030">
        <w:rPr>
          <w:sz w:val="18"/>
          <w:szCs w:val="18"/>
          <w:vertAlign w:val="superscript"/>
        </w:rPr>
        <w:t>8</w:t>
      </w:r>
      <w:r w:rsidR="00BB4D6C">
        <w:rPr>
          <w:sz w:val="18"/>
          <w:szCs w:val="18"/>
        </w:rPr>
        <w:t>, NICOLETTA LEONARDI</w:t>
      </w:r>
      <w:r w:rsidR="00E57016">
        <w:rPr>
          <w:sz w:val="18"/>
          <w:szCs w:val="18"/>
          <w:vertAlign w:val="superscript"/>
        </w:rPr>
        <w:t>4</w:t>
      </w:r>
      <w:r w:rsidR="00BB4D6C">
        <w:rPr>
          <w:sz w:val="18"/>
          <w:szCs w:val="18"/>
        </w:rPr>
        <w:t>, MICHAEL ELLIS</w:t>
      </w:r>
      <w:r w:rsidR="00E57016">
        <w:rPr>
          <w:sz w:val="18"/>
          <w:szCs w:val="18"/>
          <w:vertAlign w:val="superscript"/>
        </w:rPr>
        <w:t>3</w:t>
      </w:r>
      <w:r w:rsidR="00BB4D6C">
        <w:rPr>
          <w:sz w:val="18"/>
          <w:szCs w:val="18"/>
        </w:rPr>
        <w:t>, MICK VAN DER WEGEN</w:t>
      </w:r>
      <w:r w:rsidR="00626030">
        <w:rPr>
          <w:sz w:val="18"/>
          <w:szCs w:val="18"/>
          <w:vertAlign w:val="superscript"/>
        </w:rPr>
        <w:t>9,10</w:t>
      </w:r>
      <w:r w:rsidR="00BB4D6C">
        <w:rPr>
          <w:sz w:val="18"/>
          <w:szCs w:val="18"/>
        </w:rPr>
        <w:t>, JASMIN GODBOLD</w:t>
      </w:r>
      <w:r w:rsidR="00E57016">
        <w:rPr>
          <w:sz w:val="18"/>
          <w:szCs w:val="18"/>
          <w:vertAlign w:val="superscript"/>
        </w:rPr>
        <w:t>5</w:t>
      </w:r>
      <w:r w:rsidR="00BB4D6C">
        <w:rPr>
          <w:sz w:val="18"/>
          <w:szCs w:val="18"/>
        </w:rPr>
        <w:t>, DAVID PATERSON</w:t>
      </w:r>
      <w:r w:rsidR="00E57016">
        <w:rPr>
          <w:sz w:val="18"/>
          <w:szCs w:val="18"/>
          <w:vertAlign w:val="superscript"/>
        </w:rPr>
        <w:t>1</w:t>
      </w:r>
      <w:r w:rsidR="00626030">
        <w:rPr>
          <w:sz w:val="18"/>
          <w:szCs w:val="18"/>
          <w:vertAlign w:val="superscript"/>
        </w:rPr>
        <w:t>1</w:t>
      </w:r>
      <w:r w:rsidR="00BB4D6C">
        <w:rPr>
          <w:sz w:val="18"/>
          <w:szCs w:val="18"/>
        </w:rPr>
        <w:t>, ELI LAZARUS</w:t>
      </w:r>
      <w:r w:rsidR="00E57016">
        <w:rPr>
          <w:sz w:val="18"/>
          <w:szCs w:val="18"/>
          <w:vertAlign w:val="superscript"/>
        </w:rPr>
        <w:t>1</w:t>
      </w:r>
      <w:r w:rsidR="00626030">
        <w:rPr>
          <w:sz w:val="18"/>
          <w:szCs w:val="18"/>
          <w:vertAlign w:val="superscript"/>
        </w:rPr>
        <w:t>2</w:t>
      </w:r>
      <w:r w:rsidR="00BB4D6C">
        <w:rPr>
          <w:sz w:val="18"/>
          <w:szCs w:val="18"/>
        </w:rPr>
        <w:t>, RICHARD WHITEHOUSE</w:t>
      </w:r>
      <w:r w:rsidR="00E57016">
        <w:rPr>
          <w:sz w:val="18"/>
          <w:szCs w:val="18"/>
          <w:vertAlign w:val="superscript"/>
        </w:rPr>
        <w:t>1</w:t>
      </w:r>
      <w:r w:rsidR="00626030">
        <w:rPr>
          <w:sz w:val="18"/>
          <w:szCs w:val="18"/>
          <w:vertAlign w:val="superscript"/>
        </w:rPr>
        <w:t>3</w:t>
      </w:r>
      <w:r w:rsidR="00BB4D6C">
        <w:rPr>
          <w:sz w:val="18"/>
          <w:szCs w:val="18"/>
        </w:rPr>
        <w:t xml:space="preserve">, </w:t>
      </w:r>
      <w:r>
        <w:rPr>
          <w:sz w:val="18"/>
          <w:szCs w:val="18"/>
        </w:rPr>
        <w:t>ALEJANDRO SOUZA</w:t>
      </w:r>
      <w:r w:rsidR="00E57016">
        <w:rPr>
          <w:sz w:val="18"/>
          <w:szCs w:val="18"/>
          <w:vertAlign w:val="superscript"/>
        </w:rPr>
        <w:t>1</w:t>
      </w:r>
      <w:r w:rsidR="00626030">
        <w:rPr>
          <w:sz w:val="18"/>
          <w:szCs w:val="18"/>
          <w:vertAlign w:val="superscript"/>
        </w:rPr>
        <w:t>4</w:t>
      </w:r>
      <w:r>
        <w:rPr>
          <w:sz w:val="18"/>
          <w:szCs w:val="18"/>
        </w:rPr>
        <w:t>, and the BLUEcoast team</w:t>
      </w:r>
    </w:p>
    <w:p w14:paraId="3783BD3F" w14:textId="77777777" w:rsidR="00A41E86" w:rsidRDefault="00A41E86">
      <w:pPr>
        <w:widowControl/>
        <w:tabs>
          <w:tab w:val="left" w:pos="-2520"/>
        </w:tabs>
        <w:ind w:left="360" w:hanging="360"/>
        <w:jc w:val="both"/>
      </w:pPr>
    </w:p>
    <w:p w14:paraId="1F4BDBBB" w14:textId="4F56F9A2" w:rsidR="004D3F66" w:rsidRPr="004D3F66" w:rsidRDefault="004D3F66" w:rsidP="004D3F66">
      <w:pPr>
        <w:pStyle w:val="ListParagraph"/>
        <w:widowControl/>
        <w:numPr>
          <w:ilvl w:val="0"/>
          <w:numId w:val="8"/>
        </w:numPr>
        <w:tabs>
          <w:tab w:val="clear" w:pos="360"/>
          <w:tab w:val="left" w:pos="-3240"/>
          <w:tab w:val="left" w:pos="-3150"/>
          <w:tab w:val="left" w:pos="-2520"/>
        </w:tabs>
        <w:jc w:val="both"/>
        <w:rPr>
          <w:i/>
          <w:sz w:val="18"/>
          <w:szCs w:val="18"/>
        </w:rPr>
      </w:pPr>
      <w:r w:rsidRPr="004D3F66">
        <w:rPr>
          <w:i/>
          <w:sz w:val="18"/>
          <w:szCs w:val="18"/>
        </w:rPr>
        <w:t xml:space="preserve">National Oceanography Centre, 6 Brownlow Street, Liverpool, L3 5DA, UK, </w:t>
      </w:r>
      <w:hyperlink r:id="rId9" w:history="1">
        <w:r w:rsidRPr="00BB0CC3">
          <w:rPr>
            <w:rStyle w:val="Hyperlink"/>
            <w:i/>
            <w:sz w:val="18"/>
            <w:szCs w:val="18"/>
          </w:rPr>
          <w:t>laurent.amoudry@noc.ac.uk</w:t>
        </w:r>
      </w:hyperlink>
    </w:p>
    <w:p w14:paraId="1277E669" w14:textId="6E8CF0EE" w:rsidR="004D3F66" w:rsidRDefault="004D3F66" w:rsidP="004D3F66">
      <w:pPr>
        <w:pStyle w:val="ListParagraph"/>
        <w:widowControl/>
        <w:numPr>
          <w:ilvl w:val="0"/>
          <w:numId w:val="8"/>
        </w:numPr>
        <w:tabs>
          <w:tab w:val="clear" w:pos="360"/>
          <w:tab w:val="left" w:pos="-3240"/>
          <w:tab w:val="left" w:pos="-3150"/>
          <w:tab w:val="left" w:pos="-2520"/>
        </w:tabs>
        <w:jc w:val="both"/>
        <w:rPr>
          <w:i/>
          <w:sz w:val="18"/>
          <w:szCs w:val="18"/>
        </w:rPr>
      </w:pPr>
      <w:r>
        <w:rPr>
          <w:i/>
          <w:sz w:val="18"/>
          <w:szCs w:val="18"/>
        </w:rPr>
        <w:t>School of Biological and Marine Science, University of Plymouth, Plymouth, PL4 8AA, UK</w:t>
      </w:r>
    </w:p>
    <w:p w14:paraId="70F8743A" w14:textId="6093AA40" w:rsidR="004D3F66" w:rsidRDefault="004D3F66" w:rsidP="004D3F66">
      <w:pPr>
        <w:pStyle w:val="ListParagraph"/>
        <w:widowControl/>
        <w:numPr>
          <w:ilvl w:val="0"/>
          <w:numId w:val="8"/>
        </w:numPr>
        <w:tabs>
          <w:tab w:val="clear" w:pos="360"/>
          <w:tab w:val="left" w:pos="-3240"/>
          <w:tab w:val="left" w:pos="-3150"/>
          <w:tab w:val="left" w:pos="-2520"/>
        </w:tabs>
        <w:jc w:val="both"/>
        <w:rPr>
          <w:i/>
          <w:sz w:val="18"/>
          <w:szCs w:val="18"/>
        </w:rPr>
      </w:pPr>
      <w:r>
        <w:rPr>
          <w:i/>
          <w:sz w:val="18"/>
          <w:szCs w:val="18"/>
        </w:rPr>
        <w:t>British Geological Survey, Nottingham, NG12 5GG, UK</w:t>
      </w:r>
      <w:r w:rsidR="00F706ED">
        <w:rPr>
          <w:i/>
          <w:sz w:val="18"/>
          <w:szCs w:val="18"/>
        </w:rPr>
        <w:t>.</w:t>
      </w:r>
    </w:p>
    <w:p w14:paraId="4368997C" w14:textId="602CC11E" w:rsidR="004D3F66" w:rsidRDefault="004D3F66" w:rsidP="004D3F66">
      <w:pPr>
        <w:pStyle w:val="ListParagraph"/>
        <w:widowControl/>
        <w:numPr>
          <w:ilvl w:val="0"/>
          <w:numId w:val="8"/>
        </w:numPr>
        <w:tabs>
          <w:tab w:val="clear" w:pos="360"/>
          <w:tab w:val="left" w:pos="-3240"/>
          <w:tab w:val="left" w:pos="-3150"/>
          <w:tab w:val="left" w:pos="-2520"/>
        </w:tabs>
        <w:jc w:val="both"/>
        <w:rPr>
          <w:i/>
          <w:sz w:val="18"/>
          <w:szCs w:val="18"/>
        </w:rPr>
      </w:pPr>
      <w:r>
        <w:rPr>
          <w:i/>
          <w:sz w:val="18"/>
          <w:szCs w:val="18"/>
        </w:rPr>
        <w:t>Department of Geography and Planning, University of Liverpool, L69 7ZT, UK</w:t>
      </w:r>
      <w:r w:rsidR="00F706ED">
        <w:rPr>
          <w:i/>
          <w:sz w:val="18"/>
          <w:szCs w:val="18"/>
        </w:rPr>
        <w:t>.</w:t>
      </w:r>
    </w:p>
    <w:p w14:paraId="4C0C91F7" w14:textId="2655A6C2" w:rsidR="00D61F48" w:rsidRPr="00912FA2" w:rsidRDefault="00D61F48" w:rsidP="004D3F66">
      <w:pPr>
        <w:pStyle w:val="ListParagraph"/>
        <w:widowControl/>
        <w:numPr>
          <w:ilvl w:val="0"/>
          <w:numId w:val="8"/>
        </w:numPr>
        <w:tabs>
          <w:tab w:val="clear" w:pos="360"/>
          <w:tab w:val="left" w:pos="-3240"/>
          <w:tab w:val="left" w:pos="-3150"/>
          <w:tab w:val="left" w:pos="-2520"/>
        </w:tabs>
        <w:jc w:val="both"/>
        <w:rPr>
          <w:rStyle w:val="Hyperlink"/>
          <w:i/>
          <w:color w:val="auto"/>
          <w:sz w:val="18"/>
          <w:szCs w:val="18"/>
          <w:u w:val="none"/>
        </w:rPr>
      </w:pPr>
      <w:r>
        <w:rPr>
          <w:i/>
          <w:sz w:val="18"/>
          <w:szCs w:val="18"/>
        </w:rPr>
        <w:t>Ocean and Earth Science, University of Southampton, National Oceanography Centre, Southampton, SO14 3ZH, U</w:t>
      </w:r>
      <w:r w:rsidR="00F706ED">
        <w:rPr>
          <w:i/>
          <w:sz w:val="18"/>
          <w:szCs w:val="18"/>
        </w:rPr>
        <w:t>K.</w:t>
      </w:r>
    </w:p>
    <w:p w14:paraId="43407E35" w14:textId="106DDD22" w:rsidR="00F706ED" w:rsidRPr="00F706ED" w:rsidRDefault="00912FA2" w:rsidP="00EC6A1D">
      <w:pPr>
        <w:pStyle w:val="ListParagraph"/>
        <w:widowControl/>
        <w:numPr>
          <w:ilvl w:val="0"/>
          <w:numId w:val="8"/>
        </w:numPr>
        <w:tabs>
          <w:tab w:val="clear" w:pos="360"/>
          <w:tab w:val="left" w:pos="-3240"/>
          <w:tab w:val="left" w:pos="-3150"/>
          <w:tab w:val="left" w:pos="-2520"/>
        </w:tabs>
        <w:jc w:val="both"/>
        <w:rPr>
          <w:i/>
          <w:sz w:val="18"/>
          <w:szCs w:val="18"/>
        </w:rPr>
      </w:pPr>
      <w:r w:rsidRPr="00F706ED">
        <w:rPr>
          <w:i/>
          <w:sz w:val="18"/>
          <w:szCs w:val="18"/>
          <w:lang w:val="en-GB"/>
        </w:rPr>
        <w:t>Cambridge Coastal Research Unit, Department of Geography, University of Cambridge, Cambridge, CB2 3EN, U</w:t>
      </w:r>
      <w:r w:rsidR="00F706ED">
        <w:rPr>
          <w:i/>
          <w:sz w:val="18"/>
          <w:szCs w:val="18"/>
          <w:lang w:val="en-GB"/>
        </w:rPr>
        <w:t>K</w:t>
      </w:r>
      <w:r w:rsidR="00F706ED" w:rsidRPr="00F706ED">
        <w:rPr>
          <w:i/>
          <w:sz w:val="18"/>
          <w:szCs w:val="18"/>
          <w:lang w:val="en-GB"/>
        </w:rPr>
        <w:t xml:space="preserve"> </w:t>
      </w:r>
    </w:p>
    <w:p w14:paraId="578DC18C" w14:textId="590727C5" w:rsidR="00AB07D3" w:rsidRPr="00F706ED" w:rsidRDefault="00AB07D3" w:rsidP="00EC6A1D">
      <w:pPr>
        <w:pStyle w:val="ListParagraph"/>
        <w:widowControl/>
        <w:numPr>
          <w:ilvl w:val="0"/>
          <w:numId w:val="8"/>
        </w:numPr>
        <w:tabs>
          <w:tab w:val="clear" w:pos="360"/>
          <w:tab w:val="left" w:pos="-3240"/>
          <w:tab w:val="left" w:pos="-3150"/>
          <w:tab w:val="left" w:pos="-2520"/>
        </w:tabs>
        <w:jc w:val="both"/>
        <w:rPr>
          <w:i/>
          <w:sz w:val="18"/>
          <w:szCs w:val="18"/>
        </w:rPr>
      </w:pPr>
      <w:r w:rsidRPr="00F706ED">
        <w:rPr>
          <w:i/>
          <w:sz w:val="18"/>
          <w:szCs w:val="18"/>
          <w:lang w:val="en-GB"/>
        </w:rPr>
        <w:t xml:space="preserve">Department of Geography, Birkbeck, University of London, </w:t>
      </w:r>
      <w:r w:rsidRPr="00F706ED">
        <w:rPr>
          <w:rStyle w:val="Hyperlink"/>
          <w:i/>
          <w:color w:val="auto"/>
          <w:sz w:val="18"/>
          <w:szCs w:val="18"/>
          <w:u w:val="none"/>
        </w:rPr>
        <w:t>32 Tavistock Square</w:t>
      </w:r>
      <w:r w:rsidRPr="00F706ED">
        <w:rPr>
          <w:i/>
          <w:sz w:val="18"/>
          <w:szCs w:val="18"/>
        </w:rPr>
        <w:t xml:space="preserve">, London, WC1H 9EZ, </w:t>
      </w:r>
      <w:r w:rsidR="00F706ED">
        <w:rPr>
          <w:i/>
          <w:sz w:val="18"/>
          <w:szCs w:val="18"/>
          <w:lang w:val="en-GB"/>
        </w:rPr>
        <w:t>UK</w:t>
      </w:r>
    </w:p>
    <w:p w14:paraId="30E92D26" w14:textId="2315D03F" w:rsidR="00516B09" w:rsidRPr="00516B09" w:rsidRDefault="00516B09" w:rsidP="004D3F66">
      <w:pPr>
        <w:pStyle w:val="ListParagraph"/>
        <w:widowControl/>
        <w:numPr>
          <w:ilvl w:val="0"/>
          <w:numId w:val="8"/>
        </w:numPr>
        <w:tabs>
          <w:tab w:val="clear" w:pos="360"/>
          <w:tab w:val="left" w:pos="-3240"/>
          <w:tab w:val="left" w:pos="-3150"/>
          <w:tab w:val="left" w:pos="-2520"/>
        </w:tabs>
        <w:jc w:val="both"/>
        <w:rPr>
          <w:i/>
          <w:sz w:val="18"/>
          <w:szCs w:val="18"/>
        </w:rPr>
      </w:pPr>
      <w:r w:rsidRPr="00516B09">
        <w:rPr>
          <w:i/>
          <w:sz w:val="18"/>
          <w:szCs w:val="18"/>
          <w:lang w:val="en-GB"/>
        </w:rPr>
        <w:t>School of Environment, University of Auckland, New Zealand</w:t>
      </w:r>
    </w:p>
    <w:p w14:paraId="16E2D509" w14:textId="25FC41EB" w:rsidR="00516B09" w:rsidRPr="00516B09" w:rsidRDefault="00516B09" w:rsidP="004D3F66">
      <w:pPr>
        <w:pStyle w:val="ListParagraph"/>
        <w:widowControl/>
        <w:numPr>
          <w:ilvl w:val="0"/>
          <w:numId w:val="8"/>
        </w:numPr>
        <w:tabs>
          <w:tab w:val="clear" w:pos="360"/>
          <w:tab w:val="left" w:pos="-3240"/>
          <w:tab w:val="left" w:pos="-3150"/>
          <w:tab w:val="left" w:pos="-2520"/>
        </w:tabs>
        <w:jc w:val="both"/>
        <w:rPr>
          <w:i/>
          <w:sz w:val="18"/>
          <w:szCs w:val="18"/>
        </w:rPr>
      </w:pPr>
      <w:r w:rsidRPr="00516B09">
        <w:rPr>
          <w:i/>
          <w:sz w:val="18"/>
          <w:szCs w:val="18"/>
          <w:lang w:val="en-GB"/>
        </w:rPr>
        <w:t>IHE, Delft, Netherlands</w:t>
      </w:r>
    </w:p>
    <w:p w14:paraId="59799495" w14:textId="37EB8A47" w:rsidR="00516B09" w:rsidRPr="00516B09" w:rsidRDefault="00516B09" w:rsidP="004D3F66">
      <w:pPr>
        <w:pStyle w:val="ListParagraph"/>
        <w:widowControl/>
        <w:numPr>
          <w:ilvl w:val="0"/>
          <w:numId w:val="8"/>
        </w:numPr>
        <w:tabs>
          <w:tab w:val="clear" w:pos="360"/>
          <w:tab w:val="left" w:pos="-3240"/>
          <w:tab w:val="left" w:pos="-3150"/>
          <w:tab w:val="left" w:pos="-2520"/>
        </w:tabs>
        <w:jc w:val="both"/>
        <w:rPr>
          <w:i/>
          <w:sz w:val="18"/>
          <w:szCs w:val="18"/>
        </w:rPr>
      </w:pPr>
      <w:r w:rsidRPr="00516B09">
        <w:rPr>
          <w:i/>
          <w:sz w:val="18"/>
          <w:szCs w:val="18"/>
          <w:lang w:val="en-GB"/>
        </w:rPr>
        <w:t>Deltares, Delft, Netherlands</w:t>
      </w:r>
    </w:p>
    <w:p w14:paraId="62249524" w14:textId="02AEE5A2" w:rsidR="00516B09" w:rsidRPr="001E6FB4" w:rsidRDefault="00626030" w:rsidP="004D3F66">
      <w:pPr>
        <w:pStyle w:val="ListParagraph"/>
        <w:widowControl/>
        <w:numPr>
          <w:ilvl w:val="0"/>
          <w:numId w:val="8"/>
        </w:numPr>
        <w:tabs>
          <w:tab w:val="clear" w:pos="360"/>
          <w:tab w:val="left" w:pos="-3240"/>
          <w:tab w:val="left" w:pos="-3150"/>
          <w:tab w:val="left" w:pos="-2520"/>
        </w:tabs>
        <w:jc w:val="both"/>
        <w:rPr>
          <w:i/>
          <w:sz w:val="18"/>
          <w:szCs w:val="18"/>
        </w:rPr>
      </w:pPr>
      <w:r w:rsidRPr="00626030">
        <w:rPr>
          <w:i/>
          <w:sz w:val="18"/>
          <w:szCs w:val="18"/>
          <w:lang w:val="en-GB"/>
        </w:rPr>
        <w:t xml:space="preserve">Scottish Oceans Institute, School of Biology, University of St. Andrews, St. Andrews, </w:t>
      </w:r>
      <w:r w:rsidR="00F706ED">
        <w:rPr>
          <w:i/>
          <w:sz w:val="18"/>
          <w:szCs w:val="18"/>
          <w:lang w:val="en-GB"/>
        </w:rPr>
        <w:t>UK</w:t>
      </w:r>
    </w:p>
    <w:p w14:paraId="1331FBE8" w14:textId="4EA0AC5E" w:rsidR="001E6FB4" w:rsidRPr="001E6FB4" w:rsidRDefault="001E6FB4" w:rsidP="004D3F66">
      <w:pPr>
        <w:pStyle w:val="ListParagraph"/>
        <w:widowControl/>
        <w:numPr>
          <w:ilvl w:val="0"/>
          <w:numId w:val="8"/>
        </w:numPr>
        <w:tabs>
          <w:tab w:val="clear" w:pos="360"/>
          <w:tab w:val="left" w:pos="-3240"/>
          <w:tab w:val="left" w:pos="-3150"/>
          <w:tab w:val="left" w:pos="-2520"/>
        </w:tabs>
        <w:jc w:val="both"/>
        <w:rPr>
          <w:i/>
          <w:sz w:val="18"/>
          <w:szCs w:val="18"/>
        </w:rPr>
      </w:pPr>
      <w:r w:rsidRPr="001E6FB4">
        <w:rPr>
          <w:i/>
          <w:sz w:val="18"/>
          <w:szCs w:val="18"/>
          <w:lang w:val="en-GB"/>
        </w:rPr>
        <w:t xml:space="preserve">Environmental Dynamics Lab, Geography and Environment Unit, University of Southampton, Highfield, Southampton, </w:t>
      </w:r>
      <w:r w:rsidR="00F706ED">
        <w:rPr>
          <w:i/>
          <w:sz w:val="18"/>
          <w:szCs w:val="18"/>
          <w:lang w:val="en-GB"/>
        </w:rPr>
        <w:t>UK</w:t>
      </w:r>
    </w:p>
    <w:p w14:paraId="525E2A07" w14:textId="29228F0D" w:rsidR="001E6FB4" w:rsidRDefault="001E6FB4" w:rsidP="004D3F66">
      <w:pPr>
        <w:pStyle w:val="ListParagraph"/>
        <w:widowControl/>
        <w:numPr>
          <w:ilvl w:val="0"/>
          <w:numId w:val="8"/>
        </w:numPr>
        <w:tabs>
          <w:tab w:val="clear" w:pos="360"/>
          <w:tab w:val="left" w:pos="-3240"/>
          <w:tab w:val="left" w:pos="-3150"/>
          <w:tab w:val="left" w:pos="-2520"/>
        </w:tabs>
        <w:jc w:val="both"/>
        <w:rPr>
          <w:i/>
          <w:sz w:val="18"/>
          <w:szCs w:val="18"/>
        </w:rPr>
      </w:pPr>
      <w:r w:rsidRPr="001E6FB4">
        <w:rPr>
          <w:i/>
          <w:sz w:val="18"/>
          <w:szCs w:val="18"/>
          <w:lang w:val="en-GB"/>
        </w:rPr>
        <w:t>HR Wallingford, Howbery Park,</w:t>
      </w:r>
      <w:r w:rsidR="000F66B0">
        <w:rPr>
          <w:i/>
          <w:sz w:val="18"/>
          <w:szCs w:val="18"/>
          <w:lang w:val="en-GB"/>
        </w:rPr>
        <w:t xml:space="preserve"> </w:t>
      </w:r>
      <w:r w:rsidRPr="001E6FB4">
        <w:rPr>
          <w:i/>
          <w:sz w:val="18"/>
          <w:szCs w:val="18"/>
          <w:lang w:val="en-GB"/>
        </w:rPr>
        <w:t xml:space="preserve">Wallingford, OX10 8BA, </w:t>
      </w:r>
      <w:r w:rsidR="000F66B0">
        <w:rPr>
          <w:i/>
          <w:sz w:val="18"/>
          <w:szCs w:val="18"/>
          <w:lang w:val="en-GB"/>
        </w:rPr>
        <w:t>UK</w:t>
      </w:r>
    </w:p>
    <w:p w14:paraId="32BB7926" w14:textId="77777777" w:rsidR="00D61F48" w:rsidRDefault="00D61F48" w:rsidP="004D3F66">
      <w:pPr>
        <w:pStyle w:val="ListParagraph"/>
        <w:widowControl/>
        <w:numPr>
          <w:ilvl w:val="0"/>
          <w:numId w:val="8"/>
        </w:numPr>
        <w:tabs>
          <w:tab w:val="clear" w:pos="360"/>
          <w:tab w:val="left" w:pos="-3240"/>
          <w:tab w:val="left" w:pos="-3150"/>
          <w:tab w:val="left" w:pos="-2520"/>
        </w:tabs>
        <w:jc w:val="both"/>
        <w:rPr>
          <w:i/>
          <w:sz w:val="18"/>
          <w:szCs w:val="18"/>
        </w:rPr>
      </w:pPr>
      <w:r>
        <w:rPr>
          <w:i/>
          <w:sz w:val="18"/>
          <w:szCs w:val="18"/>
        </w:rPr>
        <w:t xml:space="preserve">CINVESTAV, Merida, Mexico, </w:t>
      </w:r>
      <w:hyperlink r:id="rId10" w:history="1">
        <w:r w:rsidRPr="00BB0CC3">
          <w:rPr>
            <w:rStyle w:val="Hyperlink"/>
            <w:i/>
            <w:sz w:val="18"/>
            <w:szCs w:val="18"/>
          </w:rPr>
          <w:t>Alejandro.souza@cinvestav.mx</w:t>
        </w:r>
      </w:hyperlink>
    </w:p>
    <w:p w14:paraId="03ABCFBD" w14:textId="42BFDA98" w:rsidR="00A41E86" w:rsidRDefault="002E1546" w:rsidP="00852285">
      <w:pPr>
        <w:widowControl/>
        <w:tabs>
          <w:tab w:val="left" w:pos="-1440"/>
          <w:tab w:val="left" w:pos="-720"/>
          <w:tab w:val="left" w:pos="0"/>
          <w:tab w:val="left" w:pos="567"/>
          <w:tab w:val="left" w:pos="1440"/>
          <w:tab w:val="left" w:pos="2160"/>
          <w:tab w:val="left" w:pos="2880"/>
          <w:tab w:val="left" w:pos="3600"/>
          <w:tab w:val="left" w:pos="4320"/>
          <w:tab w:val="left" w:pos="5040"/>
          <w:tab w:val="left" w:pos="5760"/>
          <w:tab w:val="left" w:pos="6480"/>
          <w:tab w:val="left" w:pos="7200"/>
        </w:tabs>
        <w:spacing w:before="200" w:after="200"/>
        <w:ind w:left="576" w:right="576"/>
        <w:jc w:val="both"/>
        <w:rPr>
          <w:sz w:val="16"/>
          <w:szCs w:val="16"/>
        </w:rPr>
      </w:pPr>
      <w:r w:rsidRPr="002E1546">
        <w:rPr>
          <w:b/>
          <w:sz w:val="20"/>
        </w:rPr>
        <w:t>Abstract</w:t>
      </w:r>
      <w:r w:rsidRPr="002E1546">
        <w:rPr>
          <w:sz w:val="20"/>
        </w:rPr>
        <w:t>:</w:t>
      </w:r>
      <w:r w:rsidR="00A4353F">
        <w:t xml:space="preserve"> </w:t>
      </w:r>
      <w:r w:rsidR="00A4353F">
        <w:rPr>
          <w:sz w:val="16"/>
          <w:szCs w:val="16"/>
        </w:rPr>
        <w:t>Poorly constrained uncertainties limit the prediction of medium-term to long-term regional sediment budgets and morphological change, and thus hinder coastal management decision-making. We present a multi-disciplinary approach that aim</w:t>
      </w:r>
      <w:r w:rsidR="0097197E">
        <w:rPr>
          <w:sz w:val="16"/>
          <w:szCs w:val="16"/>
        </w:rPr>
        <w:t xml:space="preserve">s to address this challenge and is implemented in the BLUEcoast project. </w:t>
      </w:r>
      <w:r w:rsidR="00253D52">
        <w:rPr>
          <w:sz w:val="16"/>
          <w:szCs w:val="16"/>
        </w:rPr>
        <w:t xml:space="preserve">The approach </w:t>
      </w:r>
      <w:r w:rsidR="007A7A5E">
        <w:rPr>
          <w:sz w:val="16"/>
          <w:szCs w:val="16"/>
        </w:rPr>
        <w:t xml:space="preserve">brings </w:t>
      </w:r>
      <w:r w:rsidR="00253D52">
        <w:rPr>
          <w:sz w:val="16"/>
          <w:szCs w:val="16"/>
        </w:rPr>
        <w:t xml:space="preserve">together scientists and coastal stakeholders across </w:t>
      </w:r>
      <w:r w:rsidR="007A7A5E">
        <w:rPr>
          <w:sz w:val="16"/>
          <w:szCs w:val="16"/>
        </w:rPr>
        <w:t xml:space="preserve">a range of </w:t>
      </w:r>
      <w:r w:rsidR="00253D52">
        <w:rPr>
          <w:sz w:val="16"/>
          <w:szCs w:val="16"/>
        </w:rPr>
        <w:t xml:space="preserve">scientific disciplines. </w:t>
      </w:r>
      <w:r w:rsidR="002346BD">
        <w:rPr>
          <w:sz w:val="16"/>
          <w:szCs w:val="16"/>
        </w:rPr>
        <w:t>Quantifying all processes at all scales is not feasible and our approach uses targeted representative case studies, which are carefully selected to allow subsequent upscaling and ensure transferability.</w:t>
      </w:r>
      <w:r w:rsidR="004B20BD">
        <w:rPr>
          <w:sz w:val="16"/>
          <w:szCs w:val="16"/>
        </w:rPr>
        <w:t xml:space="preserve"> </w:t>
      </w:r>
      <w:r w:rsidR="007C727F">
        <w:rPr>
          <w:sz w:val="16"/>
          <w:szCs w:val="16"/>
        </w:rPr>
        <w:t xml:space="preserve">We illustrate this approach with </w:t>
      </w:r>
      <w:r w:rsidR="007A7A5E">
        <w:rPr>
          <w:sz w:val="16"/>
          <w:szCs w:val="16"/>
        </w:rPr>
        <w:t xml:space="preserve">specific </w:t>
      </w:r>
      <w:r w:rsidR="007C727F">
        <w:rPr>
          <w:sz w:val="16"/>
          <w:szCs w:val="16"/>
        </w:rPr>
        <w:t xml:space="preserve">examples </w:t>
      </w:r>
      <w:r w:rsidR="007A7A5E">
        <w:rPr>
          <w:sz w:val="16"/>
          <w:szCs w:val="16"/>
        </w:rPr>
        <w:t xml:space="preserve">from </w:t>
      </w:r>
      <w:r w:rsidR="007C727F">
        <w:rPr>
          <w:sz w:val="16"/>
          <w:szCs w:val="16"/>
        </w:rPr>
        <w:t xml:space="preserve">the BLUEcoast consortium. </w:t>
      </w:r>
    </w:p>
    <w:p w14:paraId="3B30FE67" w14:textId="77777777" w:rsidR="00A41E86" w:rsidRPr="00367C3F" w:rsidRDefault="00367C3F" w:rsidP="00367C3F">
      <w:pPr>
        <w:pStyle w:val="Heading1"/>
        <w:spacing w:after="260"/>
        <w:rPr>
          <w:rFonts w:ascii="Times New Roman" w:hAnsi="Times New Roman"/>
          <w:sz w:val="20"/>
        </w:rPr>
      </w:pPr>
      <w:r w:rsidRPr="00367C3F">
        <w:rPr>
          <w:rFonts w:ascii="Times New Roman" w:hAnsi="Times New Roman"/>
          <w:caps w:val="0"/>
          <w:sz w:val="20"/>
        </w:rPr>
        <w:lastRenderedPageBreak/>
        <w:t>Introduction</w:t>
      </w:r>
    </w:p>
    <w:p w14:paraId="78DD6947" w14:textId="796851CF" w:rsidR="00FA7C6C" w:rsidRDefault="00605DED" w:rsidP="00367C3F">
      <w:pPr>
        <w:pStyle w:val="BodyText"/>
        <w:spacing w:after="260"/>
        <w:rPr>
          <w:sz w:val="20"/>
        </w:rPr>
      </w:pPr>
      <w:r>
        <w:rPr>
          <w:sz w:val="20"/>
        </w:rPr>
        <w:t xml:space="preserve">Recent extreme weather events have highlighted the vulnerability of coastal systems to physical (coastal erosion, sediment redistribution, flooding), ecological (altered biodiversity and ecosystem services), and socio-economic (displacement of population, damage to infrastructure) impacts. </w:t>
      </w:r>
      <w:r w:rsidR="00FA7C6C">
        <w:rPr>
          <w:sz w:val="20"/>
        </w:rPr>
        <w:t>Potential changes in the regularity, intensity, and impact of these extreme events increases the requirement for scientifically-informed adaptive coastal management strategie</w:t>
      </w:r>
      <w:r w:rsidR="003B1FD8">
        <w:rPr>
          <w:sz w:val="20"/>
        </w:rPr>
        <w:t>s</w:t>
      </w:r>
      <w:r w:rsidR="005708E3">
        <w:rPr>
          <w:sz w:val="20"/>
        </w:rPr>
        <w:t xml:space="preserve"> (Woodruff et al., 2013)</w:t>
      </w:r>
      <w:r w:rsidR="00FA7C6C">
        <w:rPr>
          <w:sz w:val="20"/>
        </w:rPr>
        <w:t xml:space="preserve">. </w:t>
      </w:r>
      <w:r w:rsidR="00947559">
        <w:rPr>
          <w:sz w:val="20"/>
        </w:rPr>
        <w:t xml:space="preserve">Coastal geomorphic systems have a strong influence on coastal hazards by impacting the transfer </w:t>
      </w:r>
      <w:r w:rsidR="002A2A8B">
        <w:rPr>
          <w:sz w:val="20"/>
        </w:rPr>
        <w:t xml:space="preserve">of energy </w:t>
      </w:r>
      <w:r w:rsidR="00947559">
        <w:rPr>
          <w:sz w:val="20"/>
        </w:rPr>
        <w:t xml:space="preserve">to the coast. Accurate prediction of their evolution is therefore an important component of coastal risk management. </w:t>
      </w:r>
    </w:p>
    <w:p w14:paraId="2E1C8FB6" w14:textId="6A903B4D" w:rsidR="00947559" w:rsidRDefault="0051441D" w:rsidP="00413436">
      <w:pPr>
        <w:pStyle w:val="BodyText"/>
        <w:spacing w:after="260"/>
        <w:rPr>
          <w:sz w:val="20"/>
        </w:rPr>
      </w:pPr>
      <w:r>
        <w:rPr>
          <w:sz w:val="20"/>
        </w:rPr>
        <w:t>Effective coastal erosion and flood management requires</w:t>
      </w:r>
      <w:r w:rsidR="00413436">
        <w:rPr>
          <w:sz w:val="20"/>
        </w:rPr>
        <w:t xml:space="preserve"> an ever increasing use of risk-based approaches (e.g. Wainwright et al., 2015) and of probabilistic assessments to capture uncertainties associated with climate change (e.g., Callaghan et al., 2013)</w:t>
      </w:r>
      <w:r>
        <w:rPr>
          <w:sz w:val="20"/>
        </w:rPr>
        <w:t xml:space="preserve"> and sea level rise</w:t>
      </w:r>
      <w:r w:rsidR="00413436">
        <w:rPr>
          <w:sz w:val="20"/>
        </w:rPr>
        <w:t>.</w:t>
      </w:r>
      <w:r w:rsidR="00413436" w:rsidRPr="00413436">
        <w:rPr>
          <w:sz w:val="20"/>
        </w:rPr>
        <w:t xml:space="preserve"> </w:t>
      </w:r>
      <w:r w:rsidR="00413436">
        <w:rPr>
          <w:sz w:val="20"/>
        </w:rPr>
        <w:t>These assessments in turn rely on numerical approaches that enable the exploration of coastline response to changing (natural or anthropogenic) forcing over different spatio-temporal scales.</w:t>
      </w:r>
      <w:r w:rsidR="00B53F94">
        <w:rPr>
          <w:sz w:val="20"/>
        </w:rPr>
        <w:t xml:space="preserve"> Various modelling frameworks are becoming more widely adopted to expand the range of scales considered (e.g., van Maanen et al., 2016) and to standardize climate change impact assessments (e.g. Ranasinghe, 2016). Still, the application of different types of models in a downscaling cascade of models raises the issue of the character of associated uncertainty (Murray et al., 2016).</w:t>
      </w:r>
      <w:r w:rsidR="00F1609E">
        <w:rPr>
          <w:sz w:val="20"/>
        </w:rPr>
        <w:t xml:space="preserve"> With this increased uptake of modelling frameworks representing non-linear dynamical </w:t>
      </w:r>
      <w:r w:rsidR="00B74B2C">
        <w:rPr>
          <w:sz w:val="20"/>
        </w:rPr>
        <w:t xml:space="preserve">sediment </w:t>
      </w:r>
      <w:r w:rsidR="00F1609E">
        <w:rPr>
          <w:sz w:val="20"/>
        </w:rPr>
        <w:t xml:space="preserve">systems, it must be understood that uncertainties at any stage of the system are propagated through the framework. Epistemic uncertainty and natural variability still limit the prediction of mesoscale (years to decades here) regional sediment budgets and coastal morphological change (e.g., </w:t>
      </w:r>
      <w:r w:rsidR="009A6A3C">
        <w:rPr>
          <w:sz w:val="20"/>
        </w:rPr>
        <w:t xml:space="preserve">Amoudry and Souza, 2011; </w:t>
      </w:r>
      <w:r w:rsidR="00F1609E">
        <w:rPr>
          <w:sz w:val="20"/>
        </w:rPr>
        <w:t>Cowell et al., 2006; Kinsela et al., 2017).</w:t>
      </w:r>
    </w:p>
    <w:p w14:paraId="61D44CAD" w14:textId="6A93D291" w:rsidR="002E3D15" w:rsidRDefault="00EE18F9" w:rsidP="00367C3F">
      <w:pPr>
        <w:pStyle w:val="BodyText"/>
        <w:spacing w:after="260"/>
        <w:rPr>
          <w:sz w:val="20"/>
        </w:rPr>
      </w:pPr>
      <w:r>
        <w:rPr>
          <w:sz w:val="20"/>
        </w:rPr>
        <w:t xml:space="preserve">It is essential to understand that uncertainty in model predictions cannot be entirely removed. New knowledge can reduce epistemic uncertainty, but not aleatory variability, which arises from the chaotic nature of the system. Instead, new </w:t>
      </w:r>
      <w:r w:rsidR="00B60ECE">
        <w:rPr>
          <w:sz w:val="20"/>
        </w:rPr>
        <w:t xml:space="preserve">data from observations or numerical system sensitivity </w:t>
      </w:r>
      <w:r>
        <w:rPr>
          <w:sz w:val="20"/>
        </w:rPr>
        <w:t xml:space="preserve">can help understand sources of aleatory variability and help improve its estimations and constraints. </w:t>
      </w:r>
      <w:r w:rsidR="004D3271">
        <w:rPr>
          <w:sz w:val="20"/>
        </w:rPr>
        <w:t xml:space="preserve">In order to achieve accurate and useful impact assessments, coastal </w:t>
      </w:r>
      <w:r w:rsidR="00B74B2C">
        <w:rPr>
          <w:sz w:val="20"/>
        </w:rPr>
        <w:t xml:space="preserve">sediment </w:t>
      </w:r>
      <w:r w:rsidR="004D3271">
        <w:rPr>
          <w:sz w:val="20"/>
        </w:rPr>
        <w:t xml:space="preserve">scientists are required to reduce epistemic uncertainty and define, then constrain, the levels of </w:t>
      </w:r>
      <w:r w:rsidR="005E19A1">
        <w:rPr>
          <w:sz w:val="20"/>
        </w:rPr>
        <w:t xml:space="preserve">aleatory </w:t>
      </w:r>
      <w:r w:rsidR="004D3271">
        <w:rPr>
          <w:sz w:val="20"/>
        </w:rPr>
        <w:t>uncertainty at varying spatial and temporal scales</w:t>
      </w:r>
      <w:r w:rsidR="000A75A9">
        <w:rPr>
          <w:sz w:val="20"/>
        </w:rPr>
        <w:t xml:space="preserve">. </w:t>
      </w:r>
      <w:r w:rsidR="00D47596">
        <w:rPr>
          <w:sz w:val="20"/>
        </w:rPr>
        <w:t xml:space="preserve">Both </w:t>
      </w:r>
      <w:r w:rsidR="002E3D15">
        <w:rPr>
          <w:sz w:val="20"/>
        </w:rPr>
        <w:t>activities fundamentally rely on addressing knowledge gaps with new data combin</w:t>
      </w:r>
      <w:r w:rsidR="00B75AEB">
        <w:rPr>
          <w:sz w:val="20"/>
        </w:rPr>
        <w:t xml:space="preserve">ing observations and modelling. </w:t>
      </w:r>
      <w:r w:rsidR="00EB3503">
        <w:rPr>
          <w:sz w:val="20"/>
        </w:rPr>
        <w:t xml:space="preserve">Key to this endeavour is the recognition that the complexity of dynamic sediment processes is still not well understood, in particular when considering coupled physical-biological processes. </w:t>
      </w:r>
    </w:p>
    <w:p w14:paraId="4BCA6082" w14:textId="6AE635C1" w:rsidR="00B75AEB" w:rsidRDefault="003656BB" w:rsidP="00367C3F">
      <w:pPr>
        <w:pStyle w:val="BodyText"/>
        <w:spacing w:after="260"/>
        <w:rPr>
          <w:sz w:val="20"/>
        </w:rPr>
      </w:pPr>
      <w:r>
        <w:rPr>
          <w:sz w:val="20"/>
        </w:rPr>
        <w:lastRenderedPageBreak/>
        <w:t>We present here the approach developed in the BLUEcoast consortium</w:t>
      </w:r>
      <w:r w:rsidR="00EB3503">
        <w:rPr>
          <w:sz w:val="20"/>
        </w:rPr>
        <w:t xml:space="preserve"> to address this challenge. </w:t>
      </w:r>
      <w:r w:rsidR="002F215C">
        <w:rPr>
          <w:sz w:val="20"/>
        </w:rPr>
        <w:t xml:space="preserve">We first describe the essential elements of the overall framework, then provide examples of targeted studies. </w:t>
      </w:r>
    </w:p>
    <w:p w14:paraId="14C9B94E" w14:textId="4D9EFAC5" w:rsidR="00C367FE" w:rsidRDefault="007C62F5" w:rsidP="000A0493">
      <w:pPr>
        <w:pStyle w:val="Heading1"/>
        <w:spacing w:after="260"/>
        <w:rPr>
          <w:rFonts w:ascii="Times New Roman" w:hAnsi="Times New Roman"/>
          <w:caps w:val="0"/>
          <w:sz w:val="20"/>
        </w:rPr>
      </w:pPr>
      <w:r>
        <w:rPr>
          <w:rFonts w:ascii="Times New Roman" w:hAnsi="Times New Roman"/>
          <w:caps w:val="0"/>
          <w:sz w:val="20"/>
        </w:rPr>
        <w:t>T</w:t>
      </w:r>
      <w:r w:rsidR="00C367FE">
        <w:rPr>
          <w:rFonts w:ascii="Times New Roman" w:hAnsi="Times New Roman"/>
          <w:caps w:val="0"/>
          <w:sz w:val="20"/>
        </w:rPr>
        <w:t>he BLUEcoast Approach</w:t>
      </w:r>
    </w:p>
    <w:p w14:paraId="46210C33" w14:textId="2A84A587" w:rsidR="00F93FA3" w:rsidRPr="00F93FA3" w:rsidRDefault="00F93FA3" w:rsidP="004C0EAD">
      <w:pPr>
        <w:pStyle w:val="BodyText"/>
        <w:spacing w:after="260"/>
        <w:rPr>
          <w:sz w:val="20"/>
        </w:rPr>
      </w:pPr>
      <w:r>
        <w:rPr>
          <w:sz w:val="20"/>
        </w:rPr>
        <w:t xml:space="preserve">The BLUEcoast project </w:t>
      </w:r>
      <w:r w:rsidRPr="00F93FA3">
        <w:rPr>
          <w:sz w:val="20"/>
        </w:rPr>
        <w:t>aims to inform coastal management by reducing uncertainties in the prediction of medium-term (years) and long-term (decadal and longer) regional sediment budgets, morphological change and how the coast recovers after sequences of storms.</w:t>
      </w:r>
      <w:r>
        <w:rPr>
          <w:sz w:val="20"/>
        </w:rPr>
        <w:t xml:space="preserve"> </w:t>
      </w:r>
      <w:r w:rsidR="004C0EAD">
        <w:rPr>
          <w:sz w:val="20"/>
        </w:rPr>
        <w:t xml:space="preserve">This will be achieved by providing </w:t>
      </w:r>
      <w:r w:rsidR="004C0EAD" w:rsidRPr="004C0EAD">
        <w:rPr>
          <w:sz w:val="20"/>
          <w:lang w:val="en-GB"/>
        </w:rPr>
        <w:t>(i) better</w:t>
      </w:r>
      <w:r w:rsidR="004C0EAD">
        <w:rPr>
          <w:sz w:val="20"/>
          <w:lang w:val="en-GB"/>
        </w:rPr>
        <w:t xml:space="preserve"> </w:t>
      </w:r>
      <w:r w:rsidR="004C0EAD" w:rsidRPr="004C0EAD">
        <w:rPr>
          <w:sz w:val="20"/>
          <w:lang w:val="en-GB"/>
        </w:rPr>
        <w:t>understanding and representation of both transportable and source material within the coastal</w:t>
      </w:r>
      <w:r w:rsidR="004C0EAD">
        <w:rPr>
          <w:sz w:val="20"/>
          <w:lang w:val="en-GB"/>
        </w:rPr>
        <w:t xml:space="preserve"> </w:t>
      </w:r>
      <w:r w:rsidR="004C0EAD" w:rsidRPr="004C0EAD">
        <w:rPr>
          <w:sz w:val="20"/>
          <w:lang w:val="en-GB"/>
        </w:rPr>
        <w:t>zone (sediment, biological or ecological characteristics); (ii) quantitative assessment of the flux of</w:t>
      </w:r>
      <w:r w:rsidR="004C0EAD">
        <w:rPr>
          <w:sz w:val="20"/>
          <w:lang w:val="en-GB"/>
        </w:rPr>
        <w:t xml:space="preserve"> </w:t>
      </w:r>
      <w:r w:rsidR="004C0EAD" w:rsidRPr="004C0EAD">
        <w:rPr>
          <w:sz w:val="20"/>
          <w:lang w:val="en-GB"/>
        </w:rPr>
        <w:t>transported material, including how this flux is mediated by the ecological system that exists along</w:t>
      </w:r>
      <w:r w:rsidR="004C0EAD">
        <w:rPr>
          <w:sz w:val="20"/>
          <w:lang w:val="en-GB"/>
        </w:rPr>
        <w:t xml:space="preserve"> </w:t>
      </w:r>
      <w:r w:rsidR="004C0EAD" w:rsidRPr="004C0EAD">
        <w:rPr>
          <w:sz w:val="20"/>
          <w:lang w:val="en-GB"/>
        </w:rPr>
        <w:t>and within the coastal zone; and (iii) the assessment of sensitivities of this mixed-sediment</w:t>
      </w:r>
      <w:r w:rsidR="004C0EAD">
        <w:rPr>
          <w:sz w:val="20"/>
          <w:lang w:val="en-GB"/>
        </w:rPr>
        <w:t xml:space="preserve"> </w:t>
      </w:r>
      <w:r w:rsidR="004C0EAD" w:rsidRPr="004C0EAD">
        <w:rPr>
          <w:sz w:val="20"/>
          <w:lang w:val="en-GB"/>
        </w:rPr>
        <w:t>physical and biological system to possible changes in external forcing in parallel with assessments</w:t>
      </w:r>
      <w:r w:rsidR="004C0EAD">
        <w:rPr>
          <w:sz w:val="20"/>
          <w:lang w:val="en-GB"/>
        </w:rPr>
        <w:t xml:space="preserve"> </w:t>
      </w:r>
      <w:r w:rsidR="004C0EAD" w:rsidRPr="004C0EAD">
        <w:rPr>
          <w:sz w:val="20"/>
          <w:lang w:val="en-GB"/>
        </w:rPr>
        <w:t>of behavioural uncertainties.</w:t>
      </w:r>
      <w:r w:rsidR="004C0EAD">
        <w:rPr>
          <w:sz w:val="20"/>
          <w:lang w:val="en-GB"/>
        </w:rPr>
        <w:t xml:space="preserve"> </w:t>
      </w:r>
    </w:p>
    <w:p w14:paraId="276D77DC" w14:textId="47536D82" w:rsidR="00C367FE" w:rsidRPr="00167225" w:rsidRDefault="00C367FE" w:rsidP="00C367FE">
      <w:pPr>
        <w:pStyle w:val="BodyText"/>
        <w:spacing w:after="260"/>
        <w:rPr>
          <w:b/>
          <w:i/>
          <w:sz w:val="20"/>
        </w:rPr>
      </w:pPr>
      <w:r>
        <w:rPr>
          <w:b/>
          <w:i/>
          <w:sz w:val="20"/>
        </w:rPr>
        <w:t xml:space="preserve">Bridging Scales and Disciplines </w:t>
      </w:r>
    </w:p>
    <w:p w14:paraId="37C70FD5" w14:textId="564B593C" w:rsidR="00CE2AB0" w:rsidRDefault="003D67C2" w:rsidP="003D67C2">
      <w:pPr>
        <w:pStyle w:val="BodyText"/>
        <w:spacing w:after="260"/>
        <w:rPr>
          <w:sz w:val="20"/>
          <w:lang w:val="en-GB"/>
        </w:rPr>
      </w:pPr>
      <w:r w:rsidRPr="003D67C2">
        <w:rPr>
          <w:sz w:val="20"/>
        </w:rPr>
        <w:t xml:space="preserve">It is apparent that neither observations nor models alone are sufficient in themselves to make regional assessments of coastal processes. Instead, interdisciplinary approaches, which integrate both local- and macro-scale data, are likely to be the most successful in achieving this aim (e.g., Queiros et al, 2015; Painting et al., 2013). It follows that only by disciplines working together can process understanding, including the necessary development of scaling techniques (e.g., Steiner et al, 2016; Queiros et al, 2015) be significantly improved. New research is required on, for example, combining understandings of historical and geological scales of shoreline change, </w:t>
      </w:r>
      <w:r w:rsidRPr="003D67C2">
        <w:rPr>
          <w:i/>
          <w:sz w:val="20"/>
        </w:rPr>
        <w:t xml:space="preserve">in-situ </w:t>
      </w:r>
      <w:r w:rsidRPr="003D67C2">
        <w:rPr>
          <w:sz w:val="20"/>
        </w:rPr>
        <w:t>field monitoring of key processes, manipulative laboratory and field experiments aimed at unambiguously characterising causal relationships. In particular, new modelling frameworks are needed to better understand both the controls on,</w:t>
      </w:r>
      <w:r>
        <w:rPr>
          <w:sz w:val="20"/>
        </w:rPr>
        <w:t xml:space="preserve"> </w:t>
      </w:r>
      <w:r w:rsidRPr="003D67C2">
        <w:rPr>
          <w:sz w:val="20"/>
          <w:lang w:val="en-GB"/>
        </w:rPr>
        <w:t>and effects of, coastal ecomorphodynamics at regional scales and under varied environmental forcing.</w:t>
      </w:r>
    </w:p>
    <w:p w14:paraId="23AB36FA" w14:textId="620B2A49" w:rsidR="003D67C2" w:rsidRDefault="004F3499" w:rsidP="003D67C2">
      <w:pPr>
        <w:pStyle w:val="BodyText"/>
        <w:spacing w:after="260"/>
        <w:rPr>
          <w:sz w:val="20"/>
          <w:lang w:val="en-GB"/>
        </w:rPr>
      </w:pPr>
      <w:r w:rsidRPr="004F3499">
        <w:rPr>
          <w:sz w:val="20"/>
          <w:lang w:val="en-GB"/>
        </w:rPr>
        <w:t xml:space="preserve">Targeted or site-specific observational and experimental coastal research requires careful design to allow for subsequent up-scaling (if possible), transferability and successful regional and application, in particular considering the full range of temporal and spatial scales (Capet et al., 2016). Care must be taken to identify the appropriate temporal and spatial scales required, given that different scales may be important for different variables (Werner, 2003; Werner and McNamara, 2007). This is particularly important as no single approach can address all scales. </w:t>
      </w:r>
      <w:r w:rsidR="00255E47">
        <w:rPr>
          <w:sz w:val="20"/>
          <w:lang w:val="en-GB"/>
        </w:rPr>
        <w:t xml:space="preserve">Field observations commonly only provide a partial </w:t>
      </w:r>
      <w:r w:rsidR="00255E47">
        <w:rPr>
          <w:sz w:val="20"/>
          <w:lang w:val="en-GB"/>
        </w:rPr>
        <w:lastRenderedPageBreak/>
        <w:t>description of the problem, as the specific techniques use</w:t>
      </w:r>
      <w:r w:rsidR="00F55EB4">
        <w:rPr>
          <w:sz w:val="20"/>
          <w:lang w:val="en-GB"/>
        </w:rPr>
        <w:t>d</w:t>
      </w:r>
      <w:r w:rsidR="00255E47">
        <w:rPr>
          <w:sz w:val="20"/>
          <w:lang w:val="en-GB"/>
        </w:rPr>
        <w:t xml:space="preserve"> and costs limit the spatio-temporal scales that can be considered (e.g., Amoudry and Souza, 2011). Models can </w:t>
      </w:r>
      <w:r w:rsidR="006A2C04">
        <w:rPr>
          <w:sz w:val="20"/>
          <w:lang w:val="en-GB"/>
        </w:rPr>
        <w:t>help</w:t>
      </w:r>
      <w:r w:rsidR="00255E47">
        <w:rPr>
          <w:sz w:val="20"/>
          <w:lang w:val="en-GB"/>
        </w:rPr>
        <w:t xml:space="preserve"> to bridge the observational gaps but </w:t>
      </w:r>
      <w:r w:rsidRPr="004F3499">
        <w:rPr>
          <w:sz w:val="20"/>
          <w:lang w:val="en-GB"/>
        </w:rPr>
        <w:t xml:space="preserve">a range of modelling platforms, operating at different levels of complexity, are </w:t>
      </w:r>
      <w:r w:rsidR="006A2C04">
        <w:rPr>
          <w:sz w:val="20"/>
          <w:lang w:val="en-GB"/>
        </w:rPr>
        <w:t xml:space="preserve">then </w:t>
      </w:r>
      <w:r w:rsidRPr="004F3499">
        <w:rPr>
          <w:sz w:val="20"/>
          <w:lang w:val="en-GB"/>
        </w:rPr>
        <w:t>required to appropriately deal with the wide range of time scales, dynamic processes and coastal environments</w:t>
      </w:r>
    </w:p>
    <w:p w14:paraId="22A9397B" w14:textId="7FEB8661" w:rsidR="003C3E04" w:rsidRPr="003D67C2" w:rsidRDefault="003C3E04" w:rsidP="003D67C2">
      <w:pPr>
        <w:pStyle w:val="BodyText"/>
        <w:spacing w:after="260"/>
        <w:rPr>
          <w:sz w:val="20"/>
        </w:rPr>
      </w:pPr>
      <w:r w:rsidRPr="003C3E04">
        <w:rPr>
          <w:sz w:val="20"/>
          <w:lang w:val="en-GB"/>
        </w:rPr>
        <w:t xml:space="preserve">Given the wide array of variables and processes at play along the range of global coastlines, detailed studies of representative environments that span an appropriate range of coastal conditions often offer the best way to gain the mechanistic insights required for the validation of modelling efforts (Savchuk, 2002). Logistical limitations to </w:t>
      </w:r>
      <w:r w:rsidRPr="003C3E04">
        <w:rPr>
          <w:i/>
          <w:sz w:val="20"/>
          <w:lang w:val="en-GB"/>
        </w:rPr>
        <w:t>in situ</w:t>
      </w:r>
      <w:r w:rsidRPr="003C3E04">
        <w:rPr>
          <w:sz w:val="20"/>
          <w:lang w:val="en-GB"/>
        </w:rPr>
        <w:t xml:space="preserve"> observations, sampling and experimentation are unavoidable, and decisions should be made early in project planning stages regarding site selection: the key to addressing such issues is to consider these scaling necessities from the outset (e.g., Painting et al., 2013; Savchuck, 2002; Thompson et al., 2017). Some important points to consider during the site selection process are: the representativeness of any data collected to the desired model outputs (Steiner et al, 2016); the number of observations needed to address uncertainties that affect existing parameterisations; the identification of processes not currently considered within the models (Steiner et al., 2016); and the benefits of interdisciplinary/holistic approaches to parameterisation (Queiros et al., 2015) and potential seasonal variability. One successful method for allowing efficient scaling, is to first assess regional variability in order to step-down in scale to the local and then site scales consistent with the scientific requirements and technical restrictions of the project. This allows a clear pathway forward for the subsequent upscaling required for regional applications, in contrast to site selection based on isolated sediment or local variables alone (Thompson et al., 2017).</w:t>
      </w:r>
    </w:p>
    <w:p w14:paraId="66DC3B87" w14:textId="500E5817" w:rsidR="00C367FE" w:rsidRPr="00167225" w:rsidRDefault="00C367FE" w:rsidP="00C367FE">
      <w:pPr>
        <w:pStyle w:val="BodyText"/>
        <w:spacing w:after="260"/>
        <w:rPr>
          <w:b/>
          <w:i/>
          <w:sz w:val="20"/>
        </w:rPr>
      </w:pPr>
      <w:r>
        <w:rPr>
          <w:b/>
          <w:i/>
          <w:sz w:val="20"/>
        </w:rPr>
        <w:t xml:space="preserve">Holistic Framework for Coastal Scientists and Stakeholders </w:t>
      </w:r>
    </w:p>
    <w:p w14:paraId="09539A01" w14:textId="78546A08" w:rsidR="00FF3F13" w:rsidRDefault="00FF3F13" w:rsidP="00FF3F13">
      <w:pPr>
        <w:pStyle w:val="BodyText"/>
        <w:spacing w:after="260"/>
        <w:rPr>
          <w:sz w:val="20"/>
        </w:rPr>
      </w:pPr>
      <w:r>
        <w:rPr>
          <w:sz w:val="20"/>
        </w:rPr>
        <w:t xml:space="preserve">Historically, coastal management has led to the implementation of hard (grey) engineered defence schemes. However, </w:t>
      </w:r>
      <w:r w:rsidRPr="002C04CB">
        <w:rPr>
          <w:sz w:val="20"/>
          <w:lang w:val="en-GB"/>
        </w:rPr>
        <w:t>over time these ‘hold the line’ management policies can cause adverse impacts, such as coastal squeeze and habitat loss (e.g., Cooper et al., 2016). They are also expensive and their long-term sustainability with ongoing global environmental change can often be questioned. In response, soft (green) engineered approaches have been introduced to break-up continuous sections of hard defences or to work with, or in place of, hard defence. Examples in</w:t>
      </w:r>
      <w:r w:rsidR="00F55EB4">
        <w:rPr>
          <w:sz w:val="20"/>
          <w:lang w:val="en-GB"/>
        </w:rPr>
        <w:t xml:space="preserve">clude beach (mega) nourishment </w:t>
      </w:r>
      <w:r w:rsidRPr="002C04CB">
        <w:rPr>
          <w:sz w:val="20"/>
          <w:lang w:val="en-GB"/>
        </w:rPr>
        <w:t>such as in th</w:t>
      </w:r>
      <w:r w:rsidR="00F55EB4">
        <w:rPr>
          <w:sz w:val="20"/>
          <w:lang w:val="en-GB"/>
        </w:rPr>
        <w:t>e Dutch ‘sand engine’</w:t>
      </w:r>
      <w:r w:rsidRPr="002C04CB">
        <w:rPr>
          <w:sz w:val="20"/>
          <w:lang w:val="en-GB"/>
        </w:rPr>
        <w:t xml:space="preserve"> </w:t>
      </w:r>
      <w:r w:rsidR="00F55EB4">
        <w:rPr>
          <w:sz w:val="20"/>
          <w:lang w:val="en-GB"/>
        </w:rPr>
        <w:t>(</w:t>
      </w:r>
      <w:r w:rsidRPr="002C04CB">
        <w:rPr>
          <w:sz w:val="20"/>
          <w:lang w:val="en-GB"/>
        </w:rPr>
        <w:t>Stive et al., 2013), flood storage schemes, intertidal wetland creation, and vegetation establishment (Maynard et al., 2011). These approaches mark a shift towards more proactive and adaptive solutions, which work with nature to ensure healthy and resilient coastal zones are maintained.</w:t>
      </w:r>
      <w:r>
        <w:rPr>
          <w:sz w:val="20"/>
          <w:lang w:val="en-GB"/>
        </w:rPr>
        <w:t xml:space="preserve"> </w:t>
      </w:r>
      <w:r>
        <w:rPr>
          <w:sz w:val="20"/>
          <w:lang w:val="en-GB"/>
        </w:rPr>
        <w:lastRenderedPageBreak/>
        <w:t xml:space="preserve">As a result, a wider </w:t>
      </w:r>
      <w:r>
        <w:rPr>
          <w:sz w:val="20"/>
        </w:rPr>
        <w:t>range of specific management options is now available, including managed realignment (“retreat the line”</w:t>
      </w:r>
      <w:r w:rsidR="007352DF">
        <w:rPr>
          <w:sz w:val="20"/>
        </w:rPr>
        <w:t>or</w:t>
      </w:r>
      <w:r>
        <w:rPr>
          <w:sz w:val="20"/>
        </w:rPr>
        <w:t xml:space="preserve"> “advance the line”</w:t>
      </w:r>
      <w:r w:rsidR="007352DF">
        <w:rPr>
          <w:sz w:val="20"/>
        </w:rPr>
        <w:t>)</w:t>
      </w:r>
      <w:r>
        <w:rPr>
          <w:sz w:val="20"/>
        </w:rPr>
        <w:t>, possibly in combination with nature-based solutions, as well as “no active intervention”. This range of possibilities and competing community, economic and environmental drivers increase the complexity of decision making for coastal management (e.g., Paterson et al., 2011; Lazarus et al., 2016). The consequence is that risk management frameworks underpinning policies and decision making need not only consider risk and uncertainties but also a range o</w:t>
      </w:r>
      <w:r w:rsidR="00F55EB4">
        <w:rPr>
          <w:sz w:val="20"/>
        </w:rPr>
        <w:t xml:space="preserve">f plausible “what if” scenarios in collaboration with coastal managers and stakeholders. </w:t>
      </w:r>
    </w:p>
    <w:p w14:paraId="7B536C48" w14:textId="730A7427" w:rsidR="005C1250" w:rsidRDefault="005C1250" w:rsidP="005C1250">
      <w:pPr>
        <w:pStyle w:val="BodyText"/>
        <w:spacing w:after="260"/>
        <w:rPr>
          <w:sz w:val="20"/>
          <w:lang w:val="en-GB"/>
        </w:rPr>
      </w:pPr>
      <w:r w:rsidRPr="005C1250">
        <w:rPr>
          <w:sz w:val="20"/>
          <w:lang w:val="en-GB"/>
        </w:rPr>
        <w:t xml:space="preserve">A plausible holistic approach (Figure </w:t>
      </w:r>
      <w:r w:rsidR="00FF3F13">
        <w:rPr>
          <w:sz w:val="20"/>
          <w:lang w:val="en-GB"/>
        </w:rPr>
        <w:t>1</w:t>
      </w:r>
      <w:r w:rsidRPr="005C1250">
        <w:rPr>
          <w:sz w:val="20"/>
          <w:lang w:val="en-GB"/>
        </w:rPr>
        <w:t xml:space="preserve">) that brings together scientists and stakeholders from a range of disciplines is required (e.g., Voinov &amp; Bousquet, 2010; Hall et al., 2014). </w:t>
      </w:r>
    </w:p>
    <w:p w14:paraId="0784A461" w14:textId="76A1D05F" w:rsidR="007C6AFF" w:rsidRDefault="007C6AFF" w:rsidP="007C6AFF">
      <w:pPr>
        <w:widowControl/>
        <w:tabs>
          <w:tab w:val="left" w:pos="-1440"/>
          <w:tab w:val="left" w:pos="-720"/>
          <w:tab w:val="left" w:pos="0"/>
          <w:tab w:val="left" w:pos="234"/>
          <w:tab w:val="left" w:pos="1440"/>
          <w:tab w:val="left" w:pos="2160"/>
          <w:tab w:val="left" w:pos="2880"/>
          <w:tab w:val="left" w:pos="3600"/>
          <w:tab w:val="left" w:pos="4320"/>
          <w:tab w:val="left" w:pos="5040"/>
          <w:tab w:val="left" w:pos="5760"/>
          <w:tab w:val="left" w:pos="6480"/>
          <w:tab w:val="left" w:pos="7200"/>
          <w:tab w:val="left" w:pos="7920"/>
        </w:tabs>
        <w:spacing w:after="200"/>
        <w:jc w:val="center"/>
        <w:rPr>
          <w:sz w:val="16"/>
          <w:szCs w:val="16"/>
        </w:rPr>
      </w:pPr>
      <w:r>
        <w:rPr>
          <w:noProof/>
          <w:snapToGrid/>
          <w:sz w:val="16"/>
          <w:szCs w:val="16"/>
          <w:lang w:val="en-GB" w:eastAsia="en-GB"/>
        </w:rPr>
        <w:drawing>
          <wp:inline distT="0" distB="0" distL="0" distR="0" wp14:anchorId="38C3C24D" wp14:editId="7017311D">
            <wp:extent cx="4105275" cy="254254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listic_Approach_v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05275" cy="2542540"/>
                    </a:xfrm>
                    <a:prstGeom prst="rect">
                      <a:avLst/>
                    </a:prstGeom>
                  </pic:spPr>
                </pic:pic>
              </a:graphicData>
            </a:graphic>
          </wp:inline>
        </w:drawing>
      </w:r>
    </w:p>
    <w:p w14:paraId="731703EF" w14:textId="6BD60C85" w:rsidR="007C6AFF" w:rsidRPr="007C6AFF" w:rsidRDefault="007C6AFF" w:rsidP="0088452B">
      <w:pPr>
        <w:widowControl/>
        <w:tabs>
          <w:tab w:val="left" w:pos="-1440"/>
          <w:tab w:val="left" w:pos="-720"/>
          <w:tab w:val="left" w:pos="0"/>
          <w:tab w:val="left" w:pos="234"/>
          <w:tab w:val="left" w:pos="1440"/>
          <w:tab w:val="left" w:pos="2160"/>
          <w:tab w:val="left" w:pos="2880"/>
          <w:tab w:val="left" w:pos="3600"/>
          <w:tab w:val="left" w:pos="4320"/>
          <w:tab w:val="left" w:pos="5040"/>
          <w:tab w:val="left" w:pos="5760"/>
          <w:tab w:val="left" w:pos="6480"/>
          <w:tab w:val="left" w:pos="7200"/>
          <w:tab w:val="left" w:pos="7920"/>
        </w:tabs>
        <w:spacing w:after="200"/>
        <w:jc w:val="center"/>
        <w:rPr>
          <w:sz w:val="20"/>
        </w:rPr>
      </w:pPr>
      <w:r w:rsidRPr="00FE309B">
        <w:rPr>
          <w:sz w:val="16"/>
          <w:szCs w:val="16"/>
        </w:rPr>
        <w:t>Fig.</w:t>
      </w:r>
      <w:r>
        <w:rPr>
          <w:sz w:val="16"/>
          <w:szCs w:val="16"/>
        </w:rPr>
        <w:t xml:space="preserve"> 1.  Holistic approach for coastal sediment science driven by policy and stakeholders’ needs</w:t>
      </w:r>
    </w:p>
    <w:p w14:paraId="71B44FA6" w14:textId="40057E9A" w:rsidR="0034269A" w:rsidRPr="001B2282" w:rsidRDefault="005C1250" w:rsidP="00367C3F">
      <w:pPr>
        <w:pStyle w:val="BodyText"/>
        <w:spacing w:after="260"/>
        <w:rPr>
          <w:sz w:val="20"/>
          <w:lang w:val="en-GB"/>
        </w:rPr>
      </w:pPr>
      <w:r w:rsidRPr="005C1250">
        <w:rPr>
          <w:sz w:val="20"/>
          <w:lang w:val="en-GB"/>
        </w:rPr>
        <w:t xml:space="preserve">This holistic multidisciplinary scientific process is driven via collaboration with coastal stakeholders, who contribute to defining a range of management scenarios and provide experience- and observation-based rather than, necessarily, reductionist understandings of coastal behaviour. Management scenarios then impose needs on scientific knowledge and help define the research questions aiming to generate process knowledge. State-of-the-art modelling frameworks then contribute to decision-making discourse via probabilistic predictions under different scenarios, then decision-support tools. </w:t>
      </w:r>
      <w:r w:rsidRPr="005C1250">
        <w:rPr>
          <w:sz w:val="20"/>
          <w:lang w:val="en-GB"/>
        </w:rPr>
        <w:lastRenderedPageBreak/>
        <w:t>Communication between scientists and stakeholders is a key aspect of this approach. Often, this occurs in terms of relevant indicators. The definition of these indicators and the translation of scientific terms and results, including their uncertainties, in terms of these indicators is crucial for efficient communication (e.g., Cloern et al., 2011).</w:t>
      </w:r>
    </w:p>
    <w:p w14:paraId="0668E7C4" w14:textId="6689ACCF" w:rsidR="005758E9" w:rsidRPr="00974106" w:rsidRDefault="005758E9" w:rsidP="005758E9">
      <w:pPr>
        <w:pStyle w:val="Heading1"/>
        <w:spacing w:after="260"/>
        <w:rPr>
          <w:rFonts w:ascii="Times New Roman" w:hAnsi="Times New Roman"/>
          <w:sz w:val="20"/>
        </w:rPr>
      </w:pPr>
      <w:r>
        <w:rPr>
          <w:rFonts w:ascii="Times New Roman" w:hAnsi="Times New Roman"/>
          <w:caps w:val="0"/>
          <w:sz w:val="20"/>
        </w:rPr>
        <w:t xml:space="preserve">An exemplar study for coastal systems in the UK </w:t>
      </w:r>
    </w:p>
    <w:p w14:paraId="3281E7A1" w14:textId="07AE507C" w:rsidR="005758E9" w:rsidRDefault="005758E9" w:rsidP="00367C3F">
      <w:pPr>
        <w:pStyle w:val="BodyText"/>
        <w:spacing w:after="260"/>
        <w:rPr>
          <w:sz w:val="20"/>
          <w:lang w:val="en-GB"/>
        </w:rPr>
      </w:pPr>
      <w:r w:rsidRPr="005758E9">
        <w:rPr>
          <w:sz w:val="20"/>
        </w:rPr>
        <w:t>It is not feasible to quantify all the relevant morphodynamic processes at high spatio-temporal resolution around the entire UK coastline</w:t>
      </w:r>
      <w:r w:rsidR="00353030">
        <w:rPr>
          <w:sz w:val="20"/>
        </w:rPr>
        <w:t>.</w:t>
      </w:r>
      <w:r w:rsidR="001B2282" w:rsidRPr="001B2282">
        <w:rPr>
          <w:color w:val="000000" w:themeColor="text1"/>
        </w:rPr>
        <w:t xml:space="preserve"> </w:t>
      </w:r>
      <w:r w:rsidR="001B2282" w:rsidRPr="001B2282">
        <w:rPr>
          <w:sz w:val="20"/>
        </w:rPr>
        <w:t>Instead, following the scaling approach outlined above, one way forward is to select a number of study sites that span the range of coastal energy, sedimentological, ecological and management conditions found around the UK</w:t>
      </w:r>
      <w:r w:rsidRPr="001B2282">
        <w:rPr>
          <w:sz w:val="20"/>
        </w:rPr>
        <w:t xml:space="preserve"> </w:t>
      </w:r>
      <w:r w:rsidR="00FF3F13">
        <w:rPr>
          <w:sz w:val="20"/>
        </w:rPr>
        <w:t>(Figure 2</w:t>
      </w:r>
      <w:r w:rsidRPr="005758E9">
        <w:rPr>
          <w:sz w:val="20"/>
        </w:rPr>
        <w:t>).</w:t>
      </w:r>
      <w:r w:rsidR="00EF57FB">
        <w:rPr>
          <w:sz w:val="20"/>
        </w:rPr>
        <w:t xml:space="preserve"> </w:t>
      </w:r>
      <w:r w:rsidR="00EF57FB" w:rsidRPr="00EF57FB">
        <w:rPr>
          <w:sz w:val="20"/>
          <w:lang w:val="en-GB"/>
        </w:rPr>
        <w:t xml:space="preserve">These sites represent either examples of their coastal type, unique locations to examine specific research questions, or both, and, given the temporal requirements of coastal prediction, take advantage of long-term observation records </w:t>
      </w:r>
      <w:r w:rsidR="00502C9B">
        <w:rPr>
          <w:sz w:val="20"/>
          <w:lang w:val="en-GB"/>
        </w:rPr>
        <w:t xml:space="preserve">and existing monitoring programmes </w:t>
      </w:r>
      <w:r w:rsidR="00EF57FB" w:rsidRPr="00EF57FB">
        <w:rPr>
          <w:sz w:val="20"/>
          <w:lang w:val="en-GB"/>
        </w:rPr>
        <w:t>where possible.</w:t>
      </w:r>
    </w:p>
    <w:p w14:paraId="7856A25C" w14:textId="4FC55AEB" w:rsidR="00231426" w:rsidRDefault="00231426" w:rsidP="00231426">
      <w:pPr>
        <w:widowControl/>
        <w:tabs>
          <w:tab w:val="left" w:pos="-1440"/>
          <w:tab w:val="left" w:pos="-720"/>
          <w:tab w:val="left" w:pos="0"/>
          <w:tab w:val="left" w:pos="234"/>
          <w:tab w:val="left" w:pos="1440"/>
          <w:tab w:val="left" w:pos="2160"/>
          <w:tab w:val="left" w:pos="2880"/>
          <w:tab w:val="left" w:pos="3600"/>
          <w:tab w:val="left" w:pos="4320"/>
          <w:tab w:val="left" w:pos="5040"/>
          <w:tab w:val="left" w:pos="5760"/>
          <w:tab w:val="left" w:pos="6480"/>
          <w:tab w:val="left" w:pos="7200"/>
          <w:tab w:val="left" w:pos="7920"/>
        </w:tabs>
        <w:spacing w:after="200"/>
        <w:jc w:val="center"/>
        <w:rPr>
          <w:sz w:val="16"/>
          <w:szCs w:val="16"/>
        </w:rPr>
      </w:pPr>
      <w:r>
        <w:rPr>
          <w:noProof/>
          <w:snapToGrid/>
          <w:sz w:val="16"/>
          <w:szCs w:val="16"/>
          <w:lang w:val="en-GB" w:eastAsia="en-GB"/>
        </w:rPr>
        <w:drawing>
          <wp:inline distT="0" distB="0" distL="0" distR="0" wp14:anchorId="613DD1BF" wp14:editId="10C449AB">
            <wp:extent cx="4105275" cy="3006725"/>
            <wp:effectExtent l="0" t="0" r="952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p_paper_tiff.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05275" cy="3006725"/>
                    </a:xfrm>
                    <a:prstGeom prst="rect">
                      <a:avLst/>
                    </a:prstGeom>
                  </pic:spPr>
                </pic:pic>
              </a:graphicData>
            </a:graphic>
          </wp:inline>
        </w:drawing>
      </w:r>
    </w:p>
    <w:p w14:paraId="3A2D1DFE" w14:textId="0D31D001" w:rsidR="00231426" w:rsidRPr="00FE309B" w:rsidRDefault="00231426" w:rsidP="00231426">
      <w:pPr>
        <w:widowControl/>
        <w:tabs>
          <w:tab w:val="left" w:pos="-1440"/>
          <w:tab w:val="left" w:pos="-720"/>
          <w:tab w:val="left" w:pos="0"/>
          <w:tab w:val="left" w:pos="234"/>
          <w:tab w:val="left" w:pos="1440"/>
          <w:tab w:val="left" w:pos="2160"/>
          <w:tab w:val="left" w:pos="2880"/>
          <w:tab w:val="left" w:pos="3600"/>
          <w:tab w:val="left" w:pos="4320"/>
          <w:tab w:val="left" w:pos="5040"/>
          <w:tab w:val="left" w:pos="5760"/>
          <w:tab w:val="left" w:pos="6480"/>
          <w:tab w:val="left" w:pos="7200"/>
          <w:tab w:val="left" w:pos="7920"/>
        </w:tabs>
        <w:spacing w:after="200"/>
        <w:jc w:val="center"/>
        <w:rPr>
          <w:sz w:val="16"/>
          <w:szCs w:val="16"/>
        </w:rPr>
      </w:pPr>
      <w:r w:rsidRPr="00FE309B">
        <w:rPr>
          <w:sz w:val="16"/>
          <w:szCs w:val="16"/>
        </w:rPr>
        <w:t>Fig.</w:t>
      </w:r>
      <w:r>
        <w:rPr>
          <w:sz w:val="16"/>
          <w:szCs w:val="16"/>
        </w:rPr>
        <w:t xml:space="preserve"> 1.  Regional selection of coastal sites covering a range of energy, sedimentological, ecological and management settings for the UK coastline</w:t>
      </w:r>
    </w:p>
    <w:p w14:paraId="5EAD493F" w14:textId="77777777" w:rsidR="00BC6E49" w:rsidRDefault="00BC6E49" w:rsidP="0009752D">
      <w:pPr>
        <w:pStyle w:val="BodyText"/>
        <w:spacing w:after="260"/>
        <w:rPr>
          <w:b/>
          <w:i/>
          <w:sz w:val="20"/>
        </w:rPr>
      </w:pPr>
      <w:r>
        <w:rPr>
          <w:b/>
          <w:i/>
          <w:sz w:val="20"/>
        </w:rPr>
        <w:t>Exposed Sandy Coast with Rocky Headlands</w:t>
      </w:r>
    </w:p>
    <w:p w14:paraId="7D50EED5" w14:textId="5C0810A7" w:rsidR="00C175FC" w:rsidRDefault="00720B9C" w:rsidP="0009752D">
      <w:pPr>
        <w:pStyle w:val="BodyText"/>
        <w:spacing w:after="260"/>
        <w:rPr>
          <w:sz w:val="20"/>
          <w:lang w:val="en-GB"/>
        </w:rPr>
      </w:pPr>
      <w:r w:rsidRPr="00720B9C">
        <w:rPr>
          <w:sz w:val="20"/>
        </w:rPr>
        <w:lastRenderedPageBreak/>
        <w:t>Perranporth and Slapton Sands are macro-tidal, high wave energy sites with sandy and gravelly coasts and rocky headlands.</w:t>
      </w:r>
      <w:r>
        <w:rPr>
          <w:sz w:val="20"/>
        </w:rPr>
        <w:t xml:space="preserve"> </w:t>
      </w:r>
    </w:p>
    <w:p w14:paraId="7550BBB0" w14:textId="53945A16" w:rsidR="00F473F6" w:rsidRDefault="00F473F6" w:rsidP="0009752D">
      <w:pPr>
        <w:pStyle w:val="BodyText"/>
        <w:spacing w:after="260"/>
        <w:rPr>
          <w:b/>
          <w:i/>
          <w:sz w:val="20"/>
        </w:rPr>
      </w:pPr>
      <w:r>
        <w:rPr>
          <w:b/>
          <w:i/>
          <w:sz w:val="20"/>
        </w:rPr>
        <w:t>Parti</w:t>
      </w:r>
      <w:r w:rsidR="00FD34F2">
        <w:rPr>
          <w:b/>
          <w:i/>
          <w:sz w:val="20"/>
        </w:rPr>
        <w:t>ally-exposed sand-shingle coast</w:t>
      </w:r>
      <w:r w:rsidR="00ED4DE7">
        <w:rPr>
          <w:b/>
          <w:i/>
          <w:sz w:val="20"/>
        </w:rPr>
        <w:t xml:space="preserve"> with soft rock cliffs and subtidal sediments</w:t>
      </w:r>
    </w:p>
    <w:p w14:paraId="587833DE" w14:textId="04BD3125" w:rsidR="00F473F6" w:rsidRPr="00F473F6" w:rsidRDefault="002E081F" w:rsidP="0009752D">
      <w:pPr>
        <w:pStyle w:val="BodyText"/>
        <w:spacing w:after="260"/>
        <w:rPr>
          <w:sz w:val="20"/>
        </w:rPr>
      </w:pPr>
      <w:r w:rsidRPr="002E081F">
        <w:rPr>
          <w:sz w:val="20"/>
        </w:rPr>
        <w:t>The macro- to meso-tidal Norfolk and Suffolk open coast from Hunstanton to Orford Ness is subjected to moderate wave energy conditions, with mixed sand-shingle shorelines, soft rock cliffs, and subtidal sediment sinks and sources.</w:t>
      </w:r>
      <w:r w:rsidR="0043166F">
        <w:rPr>
          <w:sz w:val="20"/>
        </w:rPr>
        <w:t xml:space="preserve"> </w:t>
      </w:r>
    </w:p>
    <w:p w14:paraId="476471FD" w14:textId="20B87EC9" w:rsidR="00F473F6" w:rsidRDefault="00CE6159" w:rsidP="0009752D">
      <w:pPr>
        <w:pStyle w:val="BodyText"/>
        <w:spacing w:after="260"/>
        <w:rPr>
          <w:b/>
          <w:i/>
          <w:sz w:val="20"/>
        </w:rPr>
      </w:pPr>
      <w:r>
        <w:rPr>
          <w:b/>
          <w:i/>
          <w:sz w:val="20"/>
        </w:rPr>
        <w:t>Mixed Sand-mud Coasts and E</w:t>
      </w:r>
      <w:r w:rsidR="00F473F6">
        <w:rPr>
          <w:b/>
          <w:i/>
          <w:sz w:val="20"/>
        </w:rPr>
        <w:t>stuaries</w:t>
      </w:r>
    </w:p>
    <w:p w14:paraId="4CA58663" w14:textId="3BF91871" w:rsidR="00F473F6" w:rsidRPr="0043166F" w:rsidRDefault="0043166F" w:rsidP="0043166F">
      <w:pPr>
        <w:pStyle w:val="BodyText"/>
        <w:spacing w:after="260"/>
        <w:rPr>
          <w:sz w:val="20"/>
        </w:rPr>
      </w:pPr>
      <w:r w:rsidRPr="0043166F">
        <w:rPr>
          <w:sz w:val="20"/>
        </w:rPr>
        <w:t>The macro-tidal Essex estuaries form the northern margin of the Greater Thames estuary and are fronted by extensive subtidal linear sandbanks and intertidal mudflats. The macro-tidal, moderate wave energy embayment of Morecambe Bay supports the largest continuous intertidal area in the UK; sediment types are predominantly fine sands and silts, with saltmarsh in more sheltered areas and in the four estuaries that converge on the bay.</w:t>
      </w:r>
      <w:r w:rsidR="00EA7465">
        <w:rPr>
          <w:sz w:val="20"/>
        </w:rPr>
        <w:t xml:space="preserve"> </w:t>
      </w:r>
      <w:r w:rsidR="00EA7465" w:rsidRPr="00EA7465">
        <w:rPr>
          <w:sz w:val="20"/>
        </w:rPr>
        <w:t>These sites are used to assess the role of biotic and abiotic factors under two contrasting sedimentological environments.</w:t>
      </w:r>
      <w:r w:rsidR="001A50E2">
        <w:rPr>
          <w:sz w:val="20"/>
        </w:rPr>
        <w:t xml:space="preserve"> </w:t>
      </w:r>
    </w:p>
    <w:p w14:paraId="552782B9" w14:textId="509AE855" w:rsidR="0009752D" w:rsidRPr="00167225" w:rsidRDefault="00CE6159" w:rsidP="0009752D">
      <w:pPr>
        <w:pStyle w:val="BodyText"/>
        <w:spacing w:after="260"/>
        <w:rPr>
          <w:b/>
          <w:i/>
          <w:sz w:val="20"/>
        </w:rPr>
      </w:pPr>
      <w:r>
        <w:rPr>
          <w:b/>
          <w:i/>
          <w:sz w:val="20"/>
        </w:rPr>
        <w:t xml:space="preserve">Managed Coastlines with Critical Energy </w:t>
      </w:r>
    </w:p>
    <w:p w14:paraId="1ECD94F6" w14:textId="2B0AB28A" w:rsidR="0034269A" w:rsidRDefault="001A50E2" w:rsidP="00367C3F">
      <w:pPr>
        <w:pStyle w:val="BodyText"/>
        <w:spacing w:after="260"/>
        <w:rPr>
          <w:sz w:val="20"/>
        </w:rPr>
      </w:pPr>
      <w:r w:rsidRPr="001A50E2">
        <w:rPr>
          <w:sz w:val="20"/>
        </w:rPr>
        <w:t>Minsmere and Camber Sands are coastal settings associated with infrastructure of national importance (adjacent to nuclear power stations) and habitats of international significance; they provide two specific examples where present and future management options have significant, long-term socio-economic implications for the UK.</w:t>
      </w:r>
    </w:p>
    <w:p w14:paraId="302DA9CE" w14:textId="6EDA84E6" w:rsidR="00522EB6" w:rsidRPr="00F15B95" w:rsidRDefault="001F71B6" w:rsidP="00522EB6">
      <w:pPr>
        <w:pStyle w:val="Heading1"/>
        <w:spacing w:after="260"/>
        <w:rPr>
          <w:rFonts w:ascii="Times New Roman" w:hAnsi="Times New Roman"/>
          <w:sz w:val="20"/>
        </w:rPr>
      </w:pPr>
      <w:r>
        <w:rPr>
          <w:rFonts w:ascii="Times New Roman" w:hAnsi="Times New Roman"/>
          <w:caps w:val="0"/>
          <w:sz w:val="20"/>
        </w:rPr>
        <w:t>Concluding remarks</w:t>
      </w:r>
    </w:p>
    <w:p w14:paraId="39A3B929" w14:textId="77777777" w:rsidR="0034269A" w:rsidRDefault="0034269A" w:rsidP="00367C3F">
      <w:pPr>
        <w:pStyle w:val="BodyText"/>
        <w:spacing w:after="260"/>
        <w:rPr>
          <w:sz w:val="20"/>
        </w:rPr>
      </w:pPr>
    </w:p>
    <w:p w14:paraId="59380BDF" w14:textId="77777777" w:rsidR="00756A50" w:rsidRPr="00F15B95" w:rsidRDefault="00756A50" w:rsidP="00756A50">
      <w:pPr>
        <w:pStyle w:val="Heading1"/>
        <w:spacing w:after="260"/>
        <w:rPr>
          <w:rFonts w:ascii="Times New Roman" w:hAnsi="Times New Roman"/>
          <w:b w:val="0"/>
          <w:sz w:val="20"/>
        </w:rPr>
      </w:pPr>
      <w:r w:rsidRPr="00F15B95">
        <w:rPr>
          <w:rFonts w:ascii="Times New Roman" w:hAnsi="Times New Roman"/>
          <w:caps w:val="0"/>
          <w:sz w:val="20"/>
        </w:rPr>
        <w:t>Acknowledgements</w:t>
      </w:r>
    </w:p>
    <w:p w14:paraId="10A70F2D" w14:textId="4A8FA63A" w:rsidR="00A41E86" w:rsidRPr="00974106" w:rsidRDefault="00F45783" w:rsidP="00974106">
      <w:pPr>
        <w:pStyle w:val="BodyText"/>
        <w:spacing w:after="260"/>
        <w:rPr>
          <w:sz w:val="20"/>
        </w:rPr>
      </w:pPr>
      <w:r w:rsidRPr="00F45783">
        <w:rPr>
          <w:sz w:val="20"/>
        </w:rPr>
        <w:t xml:space="preserve">This work is supported by the Natural Environment Research Council via the BLUEcoast </w:t>
      </w:r>
      <w:r w:rsidR="007D187C">
        <w:rPr>
          <w:sz w:val="20"/>
        </w:rPr>
        <w:t xml:space="preserve">(Physical and biological dynamic coastal processes and their role in coastal recovery) </w:t>
      </w:r>
      <w:r w:rsidRPr="00F45783">
        <w:rPr>
          <w:sz w:val="20"/>
        </w:rPr>
        <w:t>project (grant numbers: NE/N015894/1; NE/N015924/1; NE/N015703/1; NE/N015665/2; NE/N015649/1; NE/N016009/1; NE/N015525/1; NE/N015878/1; NE/N015614/1; NE/N015568/1).</w:t>
      </w:r>
    </w:p>
    <w:p w14:paraId="4B046258" w14:textId="77777777" w:rsidR="00A41E86" w:rsidRPr="00A20B88" w:rsidRDefault="00A41E86" w:rsidP="00A20B88">
      <w:pPr>
        <w:pStyle w:val="Heading2"/>
        <w:tabs>
          <w:tab w:val="clear" w:pos="504"/>
          <w:tab w:val="left" w:pos="234"/>
        </w:tabs>
        <w:spacing w:after="260"/>
        <w:rPr>
          <w:rFonts w:ascii="Times New Roman" w:hAnsi="Times New Roman"/>
          <w:sz w:val="20"/>
        </w:rPr>
      </w:pPr>
      <w:r w:rsidRPr="00A20B88">
        <w:rPr>
          <w:rFonts w:ascii="Times New Roman" w:hAnsi="Times New Roman"/>
          <w:sz w:val="20"/>
        </w:rPr>
        <w:lastRenderedPageBreak/>
        <w:t>References</w:t>
      </w:r>
    </w:p>
    <w:p w14:paraId="1AF617DD" w14:textId="77777777" w:rsidR="004A0D0F" w:rsidRPr="005F2270" w:rsidRDefault="004A0D0F" w:rsidP="004A0D0F">
      <w:pPr>
        <w:pStyle w:val="References"/>
        <w:spacing w:after="260"/>
        <w:jc w:val="both"/>
        <w:rPr>
          <w:rFonts w:eastAsia="Arial"/>
          <w:snapToGrid/>
          <w:color w:val="000000"/>
          <w:sz w:val="22"/>
          <w:szCs w:val="22"/>
          <w:lang w:val="en-GB" w:eastAsia="en-GB"/>
        </w:rPr>
      </w:pPr>
      <w:r w:rsidRPr="005F2270">
        <w:rPr>
          <w:sz w:val="20"/>
          <w:szCs w:val="20"/>
          <w:lang w:val="en-GB"/>
        </w:rPr>
        <w:t>Amoudry, L.O., Souza, A.J., 2011. Deterministic coastal morphological and sediment transport modeling: a review and discussion, Rev. Geophys., 49, RG2002, doi: 10.1029/2010RG000341</w:t>
      </w:r>
      <w:r w:rsidRPr="005F2270">
        <w:rPr>
          <w:rFonts w:eastAsia="Arial"/>
          <w:snapToGrid/>
          <w:color w:val="000000"/>
          <w:sz w:val="22"/>
          <w:szCs w:val="22"/>
          <w:lang w:val="en-GB" w:eastAsia="en-GB"/>
        </w:rPr>
        <w:t xml:space="preserve"> </w:t>
      </w:r>
    </w:p>
    <w:p w14:paraId="6EAF0154" w14:textId="2EA59903" w:rsidR="00C80608" w:rsidRPr="005F2270" w:rsidRDefault="00C80608" w:rsidP="005F2270">
      <w:pPr>
        <w:pStyle w:val="References"/>
        <w:spacing w:after="260"/>
        <w:jc w:val="both"/>
        <w:rPr>
          <w:sz w:val="20"/>
          <w:lang w:val="en-GB"/>
        </w:rPr>
      </w:pPr>
      <w:r w:rsidRPr="005F2270">
        <w:rPr>
          <w:sz w:val="20"/>
          <w:lang w:val="en-GB"/>
        </w:rPr>
        <w:t>Callaghan, D.P., Ranasinghe, R., Roelvink, D., 2013. Probabilistic estimation of storm erosion using analytical, semi-empirical, and process based storm erosion models. Coastal Engineering, 82: 64-75.</w:t>
      </w:r>
    </w:p>
    <w:p w14:paraId="4AD2EB8D" w14:textId="77777777" w:rsidR="00C80608" w:rsidRPr="005F2270" w:rsidRDefault="00C80608" w:rsidP="005F2270">
      <w:pPr>
        <w:pStyle w:val="References"/>
        <w:spacing w:after="260"/>
        <w:jc w:val="both"/>
        <w:rPr>
          <w:sz w:val="20"/>
          <w:lang w:val="en-GB"/>
        </w:rPr>
      </w:pPr>
      <w:r w:rsidRPr="005F2270">
        <w:rPr>
          <w:sz w:val="20"/>
          <w:lang w:val="en-GB"/>
        </w:rPr>
        <w:t>Capet, A., Meysman, F.J.R., Akoumianaki, I., Soetaert, K. and Grégoire, M., 2016. Integrating sediment biogeochemistry into 3D oceanic models: A study of benthic-pelagic coupling in the Black Sea. Ocean Modelling, 101, 83-100.</w:t>
      </w:r>
    </w:p>
    <w:p w14:paraId="106A6BE0" w14:textId="77777777" w:rsidR="00C80608" w:rsidRPr="005F2270" w:rsidRDefault="00C80608" w:rsidP="005F2270">
      <w:pPr>
        <w:pStyle w:val="References"/>
        <w:spacing w:after="260"/>
        <w:jc w:val="both"/>
        <w:rPr>
          <w:sz w:val="20"/>
          <w:lang w:val="en-GB"/>
        </w:rPr>
      </w:pPr>
      <w:r w:rsidRPr="005F2270">
        <w:rPr>
          <w:sz w:val="20"/>
          <w:lang w:val="en-GB"/>
        </w:rPr>
        <w:t>Cloern, J.E., Knowles, N., Brown, L.R., Cayan, D., Dettinger, M.D., Morgan, T.L., Jassby, A.D., 2011. Projected evolution of California's San Francisco Bay-Delta-River system in a century of climate change. </w:t>
      </w:r>
      <w:r w:rsidRPr="005F2270">
        <w:rPr>
          <w:iCs/>
          <w:sz w:val="20"/>
          <w:lang w:val="en-GB"/>
        </w:rPr>
        <w:t>PloS one</w:t>
      </w:r>
      <w:r w:rsidRPr="005F2270">
        <w:rPr>
          <w:sz w:val="20"/>
          <w:lang w:val="en-GB"/>
        </w:rPr>
        <w:t>, </w:t>
      </w:r>
      <w:r w:rsidRPr="005F2270">
        <w:rPr>
          <w:iCs/>
          <w:sz w:val="20"/>
          <w:lang w:val="en-GB"/>
        </w:rPr>
        <w:t>6</w:t>
      </w:r>
      <w:r w:rsidRPr="005F2270">
        <w:rPr>
          <w:sz w:val="20"/>
          <w:lang w:val="en-GB"/>
        </w:rPr>
        <w:t>(9), e24465.</w:t>
      </w:r>
    </w:p>
    <w:p w14:paraId="28831DB9" w14:textId="77777777" w:rsidR="00406885" w:rsidRPr="005F2270" w:rsidRDefault="00C80608" w:rsidP="005F2270">
      <w:pPr>
        <w:pStyle w:val="References"/>
        <w:spacing w:after="260"/>
        <w:jc w:val="both"/>
        <w:rPr>
          <w:sz w:val="20"/>
          <w:szCs w:val="20"/>
          <w:lang w:val="en-GB"/>
        </w:rPr>
      </w:pPr>
      <w:r w:rsidRPr="005F2270">
        <w:rPr>
          <w:sz w:val="20"/>
          <w:szCs w:val="20"/>
          <w:lang w:val="en-GB"/>
        </w:rPr>
        <w:t xml:space="preserve">Cooper, J.A.G., O'Connor, M.C., McIvor, S., 2016. Coastal defences versus coastal ecosystems: a regional appraisal. Mar. Policy. doi: 10.2016/j.marpol.2016.02.021. </w:t>
      </w:r>
    </w:p>
    <w:p w14:paraId="7B488BEA" w14:textId="77777777" w:rsidR="008D69CC" w:rsidRPr="005F2270" w:rsidRDefault="00406885" w:rsidP="005F2270">
      <w:pPr>
        <w:pStyle w:val="References"/>
        <w:spacing w:after="260"/>
        <w:jc w:val="both"/>
        <w:rPr>
          <w:rFonts w:eastAsia="Arial"/>
          <w:snapToGrid/>
          <w:color w:val="000000" w:themeColor="text1"/>
          <w:sz w:val="22"/>
          <w:szCs w:val="22"/>
          <w:lang w:val="en-GB" w:eastAsia="en-GB"/>
        </w:rPr>
      </w:pPr>
      <w:r w:rsidRPr="005F2270">
        <w:rPr>
          <w:sz w:val="20"/>
          <w:szCs w:val="20"/>
          <w:lang w:val="en-GB"/>
        </w:rPr>
        <w:t>Cowell, P. J., Thom, B. G., Jones, R. A., Everts, C. H., Simanovic, D., 2006. Management of uncertainty in predicting climate-change impacts on beaches. Journal of Coastal Research, 232-245.</w:t>
      </w:r>
      <w:r w:rsidR="008D69CC" w:rsidRPr="005F2270">
        <w:rPr>
          <w:rFonts w:eastAsia="Arial"/>
          <w:snapToGrid/>
          <w:color w:val="000000" w:themeColor="text1"/>
          <w:sz w:val="22"/>
          <w:szCs w:val="22"/>
          <w:lang w:val="en-GB" w:eastAsia="en-GB"/>
        </w:rPr>
        <w:t xml:space="preserve"> </w:t>
      </w:r>
    </w:p>
    <w:p w14:paraId="41969257" w14:textId="77777777" w:rsidR="00124C32" w:rsidRPr="005F2270" w:rsidRDefault="00317432" w:rsidP="005F2270">
      <w:pPr>
        <w:pStyle w:val="References"/>
        <w:spacing w:after="260"/>
        <w:jc w:val="both"/>
        <w:rPr>
          <w:sz w:val="20"/>
          <w:szCs w:val="20"/>
          <w:lang w:val="en-GB"/>
        </w:rPr>
      </w:pPr>
      <w:r w:rsidRPr="005F2270">
        <w:rPr>
          <w:sz w:val="20"/>
          <w:szCs w:val="20"/>
          <w:lang w:val="en-GB"/>
        </w:rPr>
        <w:t>Hall, D.M., Lazarus, E.D., Swannack, T.M., 2014. Strategies for communicating systems models. Environmental Modelling &amp; Software, 55, 70-76.</w:t>
      </w:r>
      <w:r w:rsidR="00124C32" w:rsidRPr="005F2270">
        <w:rPr>
          <w:sz w:val="20"/>
          <w:szCs w:val="20"/>
          <w:lang w:val="en-GB"/>
        </w:rPr>
        <w:t xml:space="preserve"> </w:t>
      </w:r>
    </w:p>
    <w:p w14:paraId="3DE9F5E7" w14:textId="77777777" w:rsidR="00124C32" w:rsidRPr="005F2270" w:rsidRDefault="00124C32" w:rsidP="005F2270">
      <w:pPr>
        <w:pStyle w:val="References"/>
        <w:spacing w:after="260"/>
        <w:jc w:val="both"/>
        <w:rPr>
          <w:sz w:val="20"/>
          <w:szCs w:val="20"/>
          <w:lang w:val="en-GB"/>
        </w:rPr>
      </w:pPr>
      <w:r w:rsidRPr="005F2270">
        <w:rPr>
          <w:sz w:val="20"/>
          <w:szCs w:val="20"/>
          <w:lang w:val="en-GB"/>
        </w:rPr>
        <w:t xml:space="preserve">Kinsela, M.A., Morris, B.D., Linklater, M., Hanslow, D.J., 2017. Second-Pass Assessment of Potential Exposure to Shoreline Change in New South Wales, Australia, Using a Sediment Compartments Framework. </w:t>
      </w:r>
      <w:r w:rsidRPr="005F2270">
        <w:rPr>
          <w:iCs/>
          <w:sz w:val="20"/>
          <w:szCs w:val="20"/>
          <w:lang w:val="en-GB"/>
        </w:rPr>
        <w:t>Journal of Marine Science and Engineering</w:t>
      </w:r>
      <w:r w:rsidRPr="005F2270">
        <w:rPr>
          <w:sz w:val="20"/>
          <w:szCs w:val="20"/>
          <w:lang w:val="en-GB"/>
        </w:rPr>
        <w:t xml:space="preserve">, </w:t>
      </w:r>
      <w:r w:rsidRPr="005F2270">
        <w:rPr>
          <w:iCs/>
          <w:sz w:val="20"/>
          <w:szCs w:val="20"/>
          <w:lang w:val="en-GB"/>
        </w:rPr>
        <w:t>5</w:t>
      </w:r>
      <w:r w:rsidRPr="005F2270">
        <w:rPr>
          <w:sz w:val="20"/>
          <w:szCs w:val="20"/>
          <w:lang w:val="en-GB"/>
        </w:rPr>
        <w:t>(4), 61.</w:t>
      </w:r>
    </w:p>
    <w:p w14:paraId="6061FED8" w14:textId="77777777" w:rsidR="00124C32" w:rsidRPr="005F2270" w:rsidRDefault="00124C32" w:rsidP="005F2270">
      <w:pPr>
        <w:pStyle w:val="References"/>
        <w:spacing w:after="260"/>
        <w:jc w:val="both"/>
        <w:rPr>
          <w:sz w:val="20"/>
          <w:lang w:val="en-GB"/>
        </w:rPr>
      </w:pPr>
      <w:r w:rsidRPr="005F2270">
        <w:rPr>
          <w:sz w:val="20"/>
          <w:lang w:val="en-GB"/>
        </w:rPr>
        <w:t>Lazarus, E.D., Ellis, M.A., Murray, A.B., Hall, D.M., 2016. An evolving research agenda for human–coastal systems. Geomorphology, 256, 81-90.</w:t>
      </w:r>
    </w:p>
    <w:p w14:paraId="33F64CD7" w14:textId="77777777" w:rsidR="00367B2A" w:rsidRPr="005F2270" w:rsidRDefault="00367B2A" w:rsidP="005F2270">
      <w:pPr>
        <w:pStyle w:val="References"/>
        <w:spacing w:after="260"/>
        <w:ind w:left="357" w:hanging="357"/>
        <w:jc w:val="both"/>
        <w:rPr>
          <w:sz w:val="20"/>
        </w:rPr>
      </w:pPr>
      <w:r w:rsidRPr="005F2270">
        <w:rPr>
          <w:sz w:val="20"/>
        </w:rPr>
        <w:t xml:space="preserve">Maynard, C., McManus, J., Crawford, R., Paterson, D.M., 2011. A comparison of short-term sediment deposition between natural and transplanted saltmarsh after saltmarsh restoration in the Eden Estuary (Scotland). Plant </w:t>
      </w:r>
      <w:r w:rsidRPr="005F2270">
        <w:rPr>
          <w:sz w:val="20"/>
        </w:rPr>
        <w:lastRenderedPageBreak/>
        <w:t>ecology and diversity, 4(1), 103-113.</w:t>
      </w:r>
    </w:p>
    <w:p w14:paraId="7EB6EF8F" w14:textId="77777777" w:rsidR="00367B2A" w:rsidRPr="005F2270" w:rsidRDefault="00367B2A" w:rsidP="005F2270">
      <w:pPr>
        <w:pStyle w:val="References"/>
        <w:spacing w:after="260"/>
        <w:ind w:left="357" w:hanging="357"/>
        <w:jc w:val="both"/>
        <w:rPr>
          <w:sz w:val="20"/>
          <w:lang w:val="en-GB"/>
        </w:rPr>
      </w:pPr>
      <w:r w:rsidRPr="005F2270">
        <w:rPr>
          <w:sz w:val="20"/>
          <w:lang w:val="nl-NL"/>
        </w:rPr>
        <w:t xml:space="preserve">Murray, A.B., Gasparini, N.M., Goldstein, E.B., van der Wegen, M., 2016. </w:t>
      </w:r>
      <w:r w:rsidRPr="005F2270">
        <w:rPr>
          <w:sz w:val="20"/>
          <w:lang w:val="en-GB"/>
        </w:rPr>
        <w:t>Uncertainty quantification in modeling earth surface processes: more applicable for some types of models than for others. </w:t>
      </w:r>
      <w:r w:rsidRPr="005F2270">
        <w:rPr>
          <w:iCs/>
          <w:sz w:val="20"/>
          <w:lang w:val="en-GB"/>
        </w:rPr>
        <w:t>Computers &amp; Geosciences</w:t>
      </w:r>
      <w:r w:rsidRPr="005F2270">
        <w:rPr>
          <w:sz w:val="20"/>
          <w:lang w:val="en-GB"/>
        </w:rPr>
        <w:t>, </w:t>
      </w:r>
      <w:r w:rsidRPr="005F2270">
        <w:rPr>
          <w:iCs/>
          <w:sz w:val="20"/>
          <w:lang w:val="en-GB"/>
        </w:rPr>
        <w:t>90</w:t>
      </w:r>
      <w:r w:rsidRPr="005F2270">
        <w:rPr>
          <w:sz w:val="20"/>
          <w:lang w:val="en-GB"/>
        </w:rPr>
        <w:t>, 6-16</w:t>
      </w:r>
    </w:p>
    <w:p w14:paraId="53C1A333" w14:textId="77777777" w:rsidR="004F0527" w:rsidRPr="005F2270" w:rsidRDefault="004F0527" w:rsidP="005F2270">
      <w:pPr>
        <w:pStyle w:val="References"/>
        <w:spacing w:after="260"/>
        <w:ind w:left="357" w:hanging="357"/>
        <w:jc w:val="both"/>
        <w:rPr>
          <w:sz w:val="20"/>
          <w:lang w:val="en-GB"/>
        </w:rPr>
      </w:pPr>
      <w:r w:rsidRPr="005F2270">
        <w:rPr>
          <w:sz w:val="20"/>
          <w:lang w:val="en-GB"/>
        </w:rPr>
        <w:t>Painting, S.J., van der Molen, J., Parker, E.R., Coughlan, C., Birchenough, S., Bolam, S., Aldridge, J.N., Forster, R.M., Greenwood, N., 2013. Development of indicators of ecosystem functioning in a temperate shelf sea: a combined fieldwork and modelling approach. Biogeochemistry 113(1):237-257.</w:t>
      </w:r>
    </w:p>
    <w:p w14:paraId="68F1C83E" w14:textId="0446C8C6" w:rsidR="00F06E71" w:rsidRPr="005F2270" w:rsidRDefault="004F0527" w:rsidP="005F2270">
      <w:pPr>
        <w:pStyle w:val="References"/>
        <w:spacing w:after="260"/>
        <w:ind w:left="357" w:hanging="357"/>
        <w:jc w:val="both"/>
        <w:rPr>
          <w:sz w:val="20"/>
          <w:szCs w:val="20"/>
        </w:rPr>
      </w:pPr>
      <w:r w:rsidRPr="005F2270">
        <w:rPr>
          <w:sz w:val="20"/>
          <w:szCs w:val="20"/>
        </w:rPr>
        <w:t>Paterson, D.M., Hanley, N., Black, K., Defew, E.C., Solan., M. 2011. Science and policy mismatch in coastal zone ecosystem management. Marine Ecology Progress Series. 434, 201-202.</w:t>
      </w:r>
    </w:p>
    <w:p w14:paraId="4E228094" w14:textId="77777777" w:rsidR="00F06E71" w:rsidRPr="005F2270" w:rsidRDefault="00F06E71"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Queirós, A.M., Birchenough, S., Bremner, J., Godbold, J.A., Parker, E.R., Romero-Ramirez, A., Reiss, H., Solan, M., Somerfield, P.J., Van Colen, C., Van Hoey, G., Widdicombe, S., 2013. A bioturbation classification of European marine infaunal invertebrates. Ecology &amp; Evolution 3:3958 - 3985.</w:t>
      </w:r>
    </w:p>
    <w:p w14:paraId="1CAB824A" w14:textId="77777777" w:rsidR="00F06E71" w:rsidRPr="005F2270" w:rsidRDefault="00F06E71"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Ranasinghe, R., 2016. Assessing climate change impacts on open sandy coasts: A review. Earth-Science Reviews, 160: 320-332.</w:t>
      </w:r>
    </w:p>
    <w:p w14:paraId="19BD1657" w14:textId="77777777" w:rsidR="00F06E71" w:rsidRPr="005F2270" w:rsidRDefault="00F06E71"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Savchuk, O.P., 2002. Nutrient biogeochemical cycles in the Gulf of Riga: scaling up field studies with a mathematical model. Journal of Marine Systems 32(4):253-280.</w:t>
      </w:r>
    </w:p>
    <w:p w14:paraId="39AB7A30" w14:textId="77777777" w:rsidR="0052768E" w:rsidRPr="005F2270" w:rsidRDefault="0052768E" w:rsidP="005F2270">
      <w:pPr>
        <w:pStyle w:val="Default"/>
        <w:spacing w:after="260"/>
        <w:ind w:left="357" w:hanging="357"/>
        <w:jc w:val="both"/>
        <w:rPr>
          <w:rFonts w:ascii="Times New Roman" w:hAnsi="Times New Roman"/>
          <w:u w:val="single"/>
          <w:lang w:val="en-GB"/>
        </w:rPr>
      </w:pPr>
      <w:r w:rsidRPr="005F2270">
        <w:rPr>
          <w:rFonts w:ascii="Times New Roman" w:hAnsi="Times New Roman"/>
          <w:lang w:val="fr-FR"/>
        </w:rPr>
        <w:t xml:space="preserve">Steiner, N., Deal, C., Lannuzel, D., Lavoie, D., Massonnet, F., Miller, L.A., Moreau, S., Popova, E., Stefels, J., Tedesco, L. 2016. </w:t>
      </w:r>
      <w:r w:rsidRPr="005F2270">
        <w:rPr>
          <w:rFonts w:ascii="Times New Roman" w:hAnsi="Times New Roman"/>
          <w:lang w:val="en-GB"/>
        </w:rPr>
        <w:t xml:space="preserve">What sea-ice biogeochemical modellers need from observers. Elem Sci Anth. 4(84). doi: </w:t>
      </w:r>
      <w:hyperlink r:id="rId13">
        <w:r w:rsidRPr="005F2270">
          <w:rPr>
            <w:rStyle w:val="Hyperlink"/>
            <w:rFonts w:ascii="Times New Roman" w:hAnsi="Times New Roman"/>
            <w:lang w:val="en-GB"/>
          </w:rPr>
          <w:t>http://doi.org/10.12952/journal.elementa.000084</w:t>
        </w:r>
      </w:hyperlink>
    </w:p>
    <w:p w14:paraId="09BD1391" w14:textId="4D84283B" w:rsidR="005211BF" w:rsidRPr="00334755" w:rsidRDefault="0052768E"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 xml:space="preserve">Stive, M.J.F.; de Schipper, M.A.; Luijendijk, A.P.; Aarninkhof, S.G.J.; van Gelder-Maas, C.; van Thiel de Vries, J.S.M.; de Vries, S.; Henriquez, M.; Marx, S., and Ranasinghe, R., 2013. A new alternative to saving our beaches from local sea-level rise: the sand engine. </w:t>
      </w:r>
      <w:r w:rsidRPr="00334755">
        <w:rPr>
          <w:rFonts w:ascii="Times New Roman" w:hAnsi="Times New Roman"/>
          <w:lang w:val="en-GB"/>
        </w:rPr>
        <w:t>J. Coastal Res. 29 (5), 1001-1008</w:t>
      </w:r>
    </w:p>
    <w:p w14:paraId="69100FD3" w14:textId="77777777" w:rsidR="00E94FF0" w:rsidRPr="005F2270" w:rsidRDefault="00E94FF0" w:rsidP="005F2270">
      <w:pPr>
        <w:pStyle w:val="Default"/>
        <w:spacing w:after="260"/>
        <w:ind w:left="357" w:hanging="357"/>
        <w:jc w:val="both"/>
        <w:rPr>
          <w:rFonts w:ascii="Times New Roman" w:hAnsi="Times New Roman"/>
          <w:lang w:val="en-GB"/>
        </w:rPr>
      </w:pPr>
      <w:r w:rsidRPr="00334755">
        <w:rPr>
          <w:rFonts w:ascii="Times New Roman" w:hAnsi="Times New Roman"/>
          <w:lang w:val="en-GB"/>
        </w:rPr>
        <w:lastRenderedPageBreak/>
        <w:t xml:space="preserve">Thompson, C.E.L., Silburn, B., Williams, M.E., Hull, T., Sivyer, D., Amoudry, L.O., Widdicombe, S., Ingels, J., Carnovale, G., McNeill, C.L., Hale, R., Laguionie Marchais, C., Hicks, N., Smith, H.E.K., Klar, J.K., Hiddink, J.G., Kowalik, J., Kitidis, V., Reynolds, S., Woodward, E.M.S., Tait, K., Homoky, W.B., Kroger, S., Bolam, S., Godbold, J.A., Aldridge, J., Mayor, D.J., Benoist, N.M.A., Bett, B.J., Morris, K.J., Parker, E.R., Ruhl, H.A., Statham, P.J., Solan, M., 2017. </w:t>
      </w:r>
      <w:r w:rsidRPr="005F2270">
        <w:rPr>
          <w:rFonts w:ascii="Times New Roman" w:hAnsi="Times New Roman"/>
          <w:lang w:val="en-GB"/>
        </w:rPr>
        <w:t>An approach for the identification of exemplar sites for scaling up targeted field observations of benthic biogeochemistry in heterogeneous environments. Biogeochemistry, 135 (1-2), 1-34.</w:t>
      </w:r>
    </w:p>
    <w:p w14:paraId="48AEE5CF" w14:textId="77777777" w:rsidR="00E94FF0" w:rsidRPr="005F2270" w:rsidRDefault="00E94FF0"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van Maanen, B., Nicholls, R.J., French, J.R., Barkwith, A., Bonaldo, D., Burningham, H., Murray, A.B., Payo, A., Sutherland, J., Thornhill, G., Townend, I.H., van der Wegen, M., Walkden, M.J.A., 2016. Simulating mesoscale coastal evolution for decadal coastal management: A new framework integrating multiple, complementary modelling approaches. Geomorphology, 256: 68-80.</w:t>
      </w:r>
    </w:p>
    <w:p w14:paraId="78B30B17" w14:textId="77777777" w:rsidR="00E94FF0" w:rsidRPr="005F2270" w:rsidRDefault="00E94FF0"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Voinov, A., Bousquet, F., 2010. Modelling with stakeholders. Environmental Modelling &amp; Software, 25(11), 1268-1281.</w:t>
      </w:r>
    </w:p>
    <w:p w14:paraId="07BD69D8" w14:textId="77777777" w:rsidR="00E94FF0" w:rsidRPr="005F2270" w:rsidRDefault="00E94FF0"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Wainwright, D.J., Ranasinghe, R., Callaghan, D.P., Woodroffe, C.D., Jongejan, R., Dougherty, A.J., Rogers, K., Cowell, P.J., 2015. Moving from deterministic towards probabilistic coastal hazard and risk assessment: Development of a modelling framework and application to Narrabeen Beach, New South Wales, Australia. Coastal Engineering, 96: 92-99.</w:t>
      </w:r>
    </w:p>
    <w:p w14:paraId="2C5F2DCF" w14:textId="77777777" w:rsidR="00D27691" w:rsidRPr="005F2270" w:rsidRDefault="00D27691"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Werner, B.T., 2003. Modeling landforms as self‐organized, hierarchical dynamical systems. Prediction in geomorphology, 133-150.</w:t>
      </w:r>
    </w:p>
    <w:p w14:paraId="5A6D2185" w14:textId="77777777" w:rsidR="00D27691" w:rsidRPr="005F2270" w:rsidRDefault="00D27691"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Werner, B.T., McNamara, D.E., 2007. Dynamics of coupled human-landscape systems. Geomorphology, 91(3), 393-407.</w:t>
      </w:r>
    </w:p>
    <w:p w14:paraId="5253ABC1" w14:textId="77777777" w:rsidR="003E501E" w:rsidRPr="005F2270" w:rsidRDefault="003E501E" w:rsidP="005F2270">
      <w:pPr>
        <w:pStyle w:val="Default"/>
        <w:spacing w:after="260"/>
        <w:ind w:left="357" w:hanging="357"/>
        <w:jc w:val="both"/>
        <w:rPr>
          <w:rFonts w:ascii="Times New Roman" w:hAnsi="Times New Roman"/>
          <w:lang w:val="en-GB"/>
        </w:rPr>
      </w:pPr>
      <w:r w:rsidRPr="005F2270">
        <w:rPr>
          <w:rFonts w:ascii="Times New Roman" w:hAnsi="Times New Roman"/>
          <w:lang w:val="en-GB"/>
        </w:rPr>
        <w:t>Woodruff, J.D., Irish, J.L.,Camargo, S.J., 2013. Coastal flooding by tropical cyclones and sea-level rise, Nature, 504, 44-52</w:t>
      </w:r>
    </w:p>
    <w:p w14:paraId="62082FE8" w14:textId="77777777" w:rsidR="0052768E" w:rsidRPr="005211BF" w:rsidRDefault="0052768E" w:rsidP="0052768E">
      <w:pPr>
        <w:pStyle w:val="Default"/>
        <w:spacing w:after="260"/>
        <w:ind w:left="357" w:hanging="357"/>
        <w:jc w:val="both"/>
        <w:rPr>
          <w:lang w:val="en-GB"/>
        </w:rPr>
      </w:pPr>
    </w:p>
    <w:sectPr w:rsidR="0052768E" w:rsidRPr="005211BF" w:rsidSect="009A4AFD">
      <w:footerReference w:type="even" r:id="rId14"/>
      <w:footerReference w:type="default" r:id="rId15"/>
      <w:footerReference w:type="first" r:id="rId16"/>
      <w:endnotePr>
        <w:numFmt w:val="decimal"/>
      </w:endnotePr>
      <w:type w:val="continuous"/>
      <w:pgSz w:w="11909" w:h="16834" w:code="9"/>
      <w:pgMar w:top="3384" w:right="2722" w:bottom="3384" w:left="2722" w:header="1440" w:footer="864"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1C6B5" w14:textId="77777777" w:rsidR="00E936B4" w:rsidRDefault="00E936B4">
      <w:r>
        <w:separator/>
      </w:r>
    </w:p>
  </w:endnote>
  <w:endnote w:type="continuationSeparator" w:id="0">
    <w:p w14:paraId="5F77EB85" w14:textId="77777777" w:rsidR="00E936B4" w:rsidRDefault="00E936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0AF6C" w14:textId="77777777" w:rsidR="0019502A" w:rsidRDefault="007D580B">
    <w:pPr>
      <w:pStyle w:val="Footer"/>
      <w:framePr w:wrap="around" w:vAnchor="text" w:hAnchor="margin" w:xAlign="center" w:y="1"/>
      <w:rPr>
        <w:rStyle w:val="PageNumber"/>
      </w:rPr>
    </w:pPr>
    <w:r>
      <w:rPr>
        <w:rStyle w:val="PageNumber"/>
      </w:rPr>
      <w:fldChar w:fldCharType="begin"/>
    </w:r>
    <w:r w:rsidR="0019502A">
      <w:rPr>
        <w:rStyle w:val="PageNumber"/>
      </w:rPr>
      <w:instrText xml:space="preserve">PAGE  </w:instrText>
    </w:r>
    <w:r>
      <w:rPr>
        <w:rStyle w:val="PageNumber"/>
      </w:rPr>
      <w:fldChar w:fldCharType="end"/>
    </w:r>
  </w:p>
  <w:p w14:paraId="02D686CC" w14:textId="77777777" w:rsidR="0019502A" w:rsidRDefault="0019502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9EA5D8" w14:textId="2EAC06FF" w:rsidR="0019502A" w:rsidRDefault="007D580B">
    <w:pPr>
      <w:pStyle w:val="Footer"/>
      <w:framePr w:wrap="around" w:vAnchor="text" w:hAnchor="margin" w:xAlign="center" w:y="1"/>
      <w:rPr>
        <w:rStyle w:val="PageNumber"/>
        <w:sz w:val="22"/>
      </w:rPr>
    </w:pPr>
    <w:r>
      <w:rPr>
        <w:rStyle w:val="PageNumber"/>
        <w:sz w:val="22"/>
      </w:rPr>
      <w:fldChar w:fldCharType="begin"/>
    </w:r>
    <w:r w:rsidR="0019502A">
      <w:rPr>
        <w:rStyle w:val="PageNumber"/>
        <w:sz w:val="22"/>
      </w:rPr>
      <w:instrText xml:space="preserve">PAGE  </w:instrText>
    </w:r>
    <w:r>
      <w:rPr>
        <w:rStyle w:val="PageNumber"/>
        <w:sz w:val="22"/>
      </w:rPr>
      <w:fldChar w:fldCharType="separate"/>
    </w:r>
    <w:r w:rsidR="00380DC4">
      <w:rPr>
        <w:rStyle w:val="PageNumber"/>
        <w:noProof/>
        <w:sz w:val="22"/>
      </w:rPr>
      <w:t>10</w:t>
    </w:r>
    <w:r>
      <w:rPr>
        <w:rStyle w:val="PageNumber"/>
        <w:sz w:val="22"/>
      </w:rPr>
      <w:fldChar w:fldCharType="end"/>
    </w:r>
  </w:p>
  <w:p w14:paraId="6D4D3D63" w14:textId="77777777" w:rsidR="0019502A" w:rsidRDefault="0019502A">
    <w:pPr>
      <w:tabs>
        <w:tab w:val="right" w:pos="9360"/>
      </w:tabs>
    </w:pPr>
    <w:r>
      <w:tab/>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4098B" w14:textId="77777777" w:rsidR="0019502A" w:rsidRDefault="0019502A">
    <w:pPr>
      <w:pStyle w:val="Footer"/>
      <w:tabs>
        <w:tab w:val="right" w:pos="810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E26B5C" w14:textId="77777777" w:rsidR="00E936B4" w:rsidRDefault="00E936B4">
      <w:r>
        <w:separator/>
      </w:r>
    </w:p>
  </w:footnote>
  <w:footnote w:type="continuationSeparator" w:id="0">
    <w:p w14:paraId="3397BE04" w14:textId="77777777" w:rsidR="00E936B4" w:rsidRDefault="00E936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2DB10B99"/>
    <w:multiLevelType w:val="singleLevel"/>
    <w:tmpl w:val="04090011"/>
    <w:lvl w:ilvl="0">
      <w:start w:val="2"/>
      <w:numFmt w:val="decimal"/>
      <w:lvlText w:val="%1)"/>
      <w:lvlJc w:val="left"/>
      <w:pPr>
        <w:tabs>
          <w:tab w:val="num" w:pos="360"/>
        </w:tabs>
        <w:ind w:left="360" w:hanging="360"/>
      </w:pPr>
      <w:rPr>
        <w:rFonts w:hint="default"/>
      </w:rPr>
    </w:lvl>
  </w:abstractNum>
  <w:abstractNum w:abstractNumId="2">
    <w:nsid w:val="2E25765F"/>
    <w:multiLevelType w:val="hybridMultilevel"/>
    <w:tmpl w:val="270A03F2"/>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332E3476"/>
    <w:multiLevelType w:val="hybridMultilevel"/>
    <w:tmpl w:val="67DA9BE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35F51B7"/>
    <w:multiLevelType w:val="singleLevel"/>
    <w:tmpl w:val="56D47F0E"/>
    <w:lvl w:ilvl="0">
      <w:start w:val="1"/>
      <w:numFmt w:val="decimal"/>
      <w:lvlText w:val="%1."/>
      <w:lvlJc w:val="left"/>
      <w:pPr>
        <w:tabs>
          <w:tab w:val="num" w:pos="2520"/>
        </w:tabs>
        <w:ind w:left="2520" w:hanging="360"/>
      </w:pPr>
      <w:rPr>
        <w:rFonts w:hint="default"/>
      </w:rPr>
    </w:lvl>
  </w:abstractNum>
  <w:abstractNum w:abstractNumId="5">
    <w:nsid w:val="6CC33B3D"/>
    <w:multiLevelType w:val="singleLevel"/>
    <w:tmpl w:val="04090011"/>
    <w:lvl w:ilvl="0">
      <w:start w:val="1"/>
      <w:numFmt w:val="decimal"/>
      <w:lvlText w:val="%1)"/>
      <w:lvlJc w:val="left"/>
      <w:pPr>
        <w:tabs>
          <w:tab w:val="num" w:pos="360"/>
        </w:tabs>
        <w:ind w:left="360" w:hanging="360"/>
      </w:pPr>
      <w:rPr>
        <w:rFonts w:hint="default"/>
      </w:rPr>
    </w:lvl>
  </w:abstractNum>
  <w:abstractNum w:abstractNumId="6">
    <w:nsid w:val="6F6C5185"/>
    <w:multiLevelType w:val="hybridMultilevel"/>
    <w:tmpl w:val="741838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6FF44324"/>
    <w:multiLevelType w:val="singleLevel"/>
    <w:tmpl w:val="FD44D3BC"/>
    <w:lvl w:ilvl="0">
      <w:start w:val="1"/>
      <w:numFmt w:val="decimal"/>
      <w:lvlText w:val=""/>
      <w:lvlJc w:val="left"/>
      <w:pPr>
        <w:tabs>
          <w:tab w:val="num" w:pos="360"/>
        </w:tabs>
        <w:ind w:left="360" w:hanging="360"/>
      </w:pPr>
      <w:rPr>
        <w:rFonts w:hint="default"/>
      </w:rPr>
    </w:lvl>
  </w:abstractNum>
  <w:num w:numId="1">
    <w:abstractNumId w:val="5"/>
  </w:num>
  <w:num w:numId="2">
    <w:abstractNumId w:val="1"/>
  </w:num>
  <w:num w:numId="3">
    <w:abstractNumId w:val="4"/>
  </w:num>
  <w:num w:numId="4">
    <w:abstractNumId w:val="7"/>
  </w:num>
  <w:num w:numId="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6">
    <w:abstractNumId w:val="2"/>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bordersDoNotSurroundHeader/>
  <w:bordersDoNotSurroundFooter/>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1E86"/>
    <w:rsid w:val="000136B8"/>
    <w:rsid w:val="00025E38"/>
    <w:rsid w:val="00033E3B"/>
    <w:rsid w:val="00054C50"/>
    <w:rsid w:val="000848DA"/>
    <w:rsid w:val="000959E5"/>
    <w:rsid w:val="0009752D"/>
    <w:rsid w:val="000A0493"/>
    <w:rsid w:val="000A75A9"/>
    <w:rsid w:val="000B3FFA"/>
    <w:rsid w:val="000E1405"/>
    <w:rsid w:val="000F66B0"/>
    <w:rsid w:val="001239E5"/>
    <w:rsid w:val="00124021"/>
    <w:rsid w:val="00124B46"/>
    <w:rsid w:val="00124C32"/>
    <w:rsid w:val="00125363"/>
    <w:rsid w:val="001256B3"/>
    <w:rsid w:val="001324F7"/>
    <w:rsid w:val="00133FD2"/>
    <w:rsid w:val="00142C1D"/>
    <w:rsid w:val="00143208"/>
    <w:rsid w:val="00151250"/>
    <w:rsid w:val="00156823"/>
    <w:rsid w:val="00167225"/>
    <w:rsid w:val="001833ED"/>
    <w:rsid w:val="0019399E"/>
    <w:rsid w:val="0019502A"/>
    <w:rsid w:val="001978DB"/>
    <w:rsid w:val="001A1FA0"/>
    <w:rsid w:val="001A50E2"/>
    <w:rsid w:val="001B2282"/>
    <w:rsid w:val="001B4799"/>
    <w:rsid w:val="001C0CFC"/>
    <w:rsid w:val="001C27D0"/>
    <w:rsid w:val="001C4FA0"/>
    <w:rsid w:val="001C6279"/>
    <w:rsid w:val="001E27EF"/>
    <w:rsid w:val="001E547D"/>
    <w:rsid w:val="001E6FB4"/>
    <w:rsid w:val="001F71B6"/>
    <w:rsid w:val="002009E9"/>
    <w:rsid w:val="002046FC"/>
    <w:rsid w:val="00205294"/>
    <w:rsid w:val="0021476B"/>
    <w:rsid w:val="00231426"/>
    <w:rsid w:val="002346BD"/>
    <w:rsid w:val="00240397"/>
    <w:rsid w:val="00240A9B"/>
    <w:rsid w:val="002425B9"/>
    <w:rsid w:val="00250811"/>
    <w:rsid w:val="00251794"/>
    <w:rsid w:val="002519CB"/>
    <w:rsid w:val="00253D52"/>
    <w:rsid w:val="00255E47"/>
    <w:rsid w:val="00256C2B"/>
    <w:rsid w:val="0027323E"/>
    <w:rsid w:val="002A2A8B"/>
    <w:rsid w:val="002A573E"/>
    <w:rsid w:val="002C04CB"/>
    <w:rsid w:val="002C3354"/>
    <w:rsid w:val="002E081F"/>
    <w:rsid w:val="002E1546"/>
    <w:rsid w:val="002E3D15"/>
    <w:rsid w:val="002E7B60"/>
    <w:rsid w:val="002F215C"/>
    <w:rsid w:val="002F465D"/>
    <w:rsid w:val="00300846"/>
    <w:rsid w:val="00306E80"/>
    <w:rsid w:val="00317432"/>
    <w:rsid w:val="00321B45"/>
    <w:rsid w:val="00321FE3"/>
    <w:rsid w:val="00323DCF"/>
    <w:rsid w:val="00334755"/>
    <w:rsid w:val="00337E03"/>
    <w:rsid w:val="0034269A"/>
    <w:rsid w:val="00345039"/>
    <w:rsid w:val="00353030"/>
    <w:rsid w:val="00353361"/>
    <w:rsid w:val="003656BB"/>
    <w:rsid w:val="00367B2A"/>
    <w:rsid w:val="00367C3F"/>
    <w:rsid w:val="00380A77"/>
    <w:rsid w:val="00380DC4"/>
    <w:rsid w:val="003869F7"/>
    <w:rsid w:val="003917A1"/>
    <w:rsid w:val="003A0659"/>
    <w:rsid w:val="003A5559"/>
    <w:rsid w:val="003A7C62"/>
    <w:rsid w:val="003A7DF4"/>
    <w:rsid w:val="003B1FD8"/>
    <w:rsid w:val="003B2B19"/>
    <w:rsid w:val="003B79B0"/>
    <w:rsid w:val="003C3E04"/>
    <w:rsid w:val="003D67C2"/>
    <w:rsid w:val="003E501E"/>
    <w:rsid w:val="003E6535"/>
    <w:rsid w:val="003E7CA2"/>
    <w:rsid w:val="003F693A"/>
    <w:rsid w:val="00405695"/>
    <w:rsid w:val="0040671A"/>
    <w:rsid w:val="00406885"/>
    <w:rsid w:val="00413436"/>
    <w:rsid w:val="00425F19"/>
    <w:rsid w:val="0043045E"/>
    <w:rsid w:val="0043166F"/>
    <w:rsid w:val="004407AE"/>
    <w:rsid w:val="00445ED0"/>
    <w:rsid w:val="00450750"/>
    <w:rsid w:val="004511C6"/>
    <w:rsid w:val="00453AAC"/>
    <w:rsid w:val="00457C5E"/>
    <w:rsid w:val="00463399"/>
    <w:rsid w:val="00485BAC"/>
    <w:rsid w:val="004A0D0F"/>
    <w:rsid w:val="004B20BD"/>
    <w:rsid w:val="004B31EF"/>
    <w:rsid w:val="004B57C6"/>
    <w:rsid w:val="004B7059"/>
    <w:rsid w:val="004C0EAD"/>
    <w:rsid w:val="004D3271"/>
    <w:rsid w:val="004D3F66"/>
    <w:rsid w:val="004F0527"/>
    <w:rsid w:val="004F3499"/>
    <w:rsid w:val="00500594"/>
    <w:rsid w:val="00501E13"/>
    <w:rsid w:val="005025AC"/>
    <w:rsid w:val="00502C9B"/>
    <w:rsid w:val="0051441D"/>
    <w:rsid w:val="00516B09"/>
    <w:rsid w:val="005211BF"/>
    <w:rsid w:val="00521B37"/>
    <w:rsid w:val="00522EB6"/>
    <w:rsid w:val="0052768E"/>
    <w:rsid w:val="00547B59"/>
    <w:rsid w:val="00565025"/>
    <w:rsid w:val="005708E3"/>
    <w:rsid w:val="005758E9"/>
    <w:rsid w:val="00592743"/>
    <w:rsid w:val="005964CF"/>
    <w:rsid w:val="005B2DB7"/>
    <w:rsid w:val="005B5B32"/>
    <w:rsid w:val="005B5C70"/>
    <w:rsid w:val="005B6367"/>
    <w:rsid w:val="005C1250"/>
    <w:rsid w:val="005D4C38"/>
    <w:rsid w:val="005E10D1"/>
    <w:rsid w:val="005E19A1"/>
    <w:rsid w:val="005E43C2"/>
    <w:rsid w:val="005E666E"/>
    <w:rsid w:val="005E6F53"/>
    <w:rsid w:val="005E7BC9"/>
    <w:rsid w:val="005F2270"/>
    <w:rsid w:val="005F2843"/>
    <w:rsid w:val="005F77CE"/>
    <w:rsid w:val="00605DED"/>
    <w:rsid w:val="00614AAB"/>
    <w:rsid w:val="0061583D"/>
    <w:rsid w:val="00626030"/>
    <w:rsid w:val="0062618A"/>
    <w:rsid w:val="006321DC"/>
    <w:rsid w:val="00634A38"/>
    <w:rsid w:val="00642E8B"/>
    <w:rsid w:val="006435A6"/>
    <w:rsid w:val="006534DC"/>
    <w:rsid w:val="00684CDA"/>
    <w:rsid w:val="0069638A"/>
    <w:rsid w:val="006A2C04"/>
    <w:rsid w:val="006A5681"/>
    <w:rsid w:val="006B2F36"/>
    <w:rsid w:val="006B7B6B"/>
    <w:rsid w:val="006C51AE"/>
    <w:rsid w:val="00701499"/>
    <w:rsid w:val="00701E0F"/>
    <w:rsid w:val="00720B9C"/>
    <w:rsid w:val="00724D44"/>
    <w:rsid w:val="007251EE"/>
    <w:rsid w:val="007352DF"/>
    <w:rsid w:val="007358F9"/>
    <w:rsid w:val="00745668"/>
    <w:rsid w:val="00751B2B"/>
    <w:rsid w:val="00756A50"/>
    <w:rsid w:val="007805B3"/>
    <w:rsid w:val="007939F8"/>
    <w:rsid w:val="00795FE5"/>
    <w:rsid w:val="007A4CA7"/>
    <w:rsid w:val="007A4E31"/>
    <w:rsid w:val="007A7A5E"/>
    <w:rsid w:val="007B0629"/>
    <w:rsid w:val="007B466C"/>
    <w:rsid w:val="007B4E90"/>
    <w:rsid w:val="007C62F5"/>
    <w:rsid w:val="007C6AFF"/>
    <w:rsid w:val="007C727F"/>
    <w:rsid w:val="007D187C"/>
    <w:rsid w:val="007D580B"/>
    <w:rsid w:val="007D705A"/>
    <w:rsid w:val="007D74D1"/>
    <w:rsid w:val="007F673D"/>
    <w:rsid w:val="00822BED"/>
    <w:rsid w:val="00831169"/>
    <w:rsid w:val="0083493F"/>
    <w:rsid w:val="00852285"/>
    <w:rsid w:val="00854C09"/>
    <w:rsid w:val="00856EC2"/>
    <w:rsid w:val="00860EA0"/>
    <w:rsid w:val="00870894"/>
    <w:rsid w:val="00874C26"/>
    <w:rsid w:val="0088452B"/>
    <w:rsid w:val="00884C2A"/>
    <w:rsid w:val="00886605"/>
    <w:rsid w:val="00894F4F"/>
    <w:rsid w:val="008A4955"/>
    <w:rsid w:val="008B304E"/>
    <w:rsid w:val="008B6730"/>
    <w:rsid w:val="008C470D"/>
    <w:rsid w:val="008C7F62"/>
    <w:rsid w:val="008D69CC"/>
    <w:rsid w:val="008E7AF7"/>
    <w:rsid w:val="008F659D"/>
    <w:rsid w:val="009004D7"/>
    <w:rsid w:val="009030A2"/>
    <w:rsid w:val="00912FA2"/>
    <w:rsid w:val="00915790"/>
    <w:rsid w:val="0091736F"/>
    <w:rsid w:val="0092421E"/>
    <w:rsid w:val="009359A4"/>
    <w:rsid w:val="00936DED"/>
    <w:rsid w:val="009468BB"/>
    <w:rsid w:val="009468D7"/>
    <w:rsid w:val="00947559"/>
    <w:rsid w:val="009542C8"/>
    <w:rsid w:val="00954986"/>
    <w:rsid w:val="009552E0"/>
    <w:rsid w:val="00961E06"/>
    <w:rsid w:val="009629AB"/>
    <w:rsid w:val="009640F4"/>
    <w:rsid w:val="00971393"/>
    <w:rsid w:val="0097197E"/>
    <w:rsid w:val="00973B2A"/>
    <w:rsid w:val="00974106"/>
    <w:rsid w:val="00984BA0"/>
    <w:rsid w:val="0098711C"/>
    <w:rsid w:val="009A4AFD"/>
    <w:rsid w:val="009A6A3C"/>
    <w:rsid w:val="009B6FAD"/>
    <w:rsid w:val="009C1928"/>
    <w:rsid w:val="009E6027"/>
    <w:rsid w:val="009E6AC7"/>
    <w:rsid w:val="009F074B"/>
    <w:rsid w:val="00A14520"/>
    <w:rsid w:val="00A14629"/>
    <w:rsid w:val="00A20B88"/>
    <w:rsid w:val="00A25112"/>
    <w:rsid w:val="00A32863"/>
    <w:rsid w:val="00A41E86"/>
    <w:rsid w:val="00A4353F"/>
    <w:rsid w:val="00A46496"/>
    <w:rsid w:val="00A55566"/>
    <w:rsid w:val="00A571F3"/>
    <w:rsid w:val="00A57FE2"/>
    <w:rsid w:val="00A64DA6"/>
    <w:rsid w:val="00A724BA"/>
    <w:rsid w:val="00AA0FF8"/>
    <w:rsid w:val="00AB07D3"/>
    <w:rsid w:val="00AC0F86"/>
    <w:rsid w:val="00AC77BA"/>
    <w:rsid w:val="00AD6326"/>
    <w:rsid w:val="00AD765E"/>
    <w:rsid w:val="00AF1A0E"/>
    <w:rsid w:val="00B02B7F"/>
    <w:rsid w:val="00B168F9"/>
    <w:rsid w:val="00B3362C"/>
    <w:rsid w:val="00B479AB"/>
    <w:rsid w:val="00B52C55"/>
    <w:rsid w:val="00B53F94"/>
    <w:rsid w:val="00B60ECE"/>
    <w:rsid w:val="00B661BC"/>
    <w:rsid w:val="00B70239"/>
    <w:rsid w:val="00B74B2C"/>
    <w:rsid w:val="00B75AEB"/>
    <w:rsid w:val="00B9045A"/>
    <w:rsid w:val="00B97C54"/>
    <w:rsid w:val="00BA4898"/>
    <w:rsid w:val="00BA7FB3"/>
    <w:rsid w:val="00BB496D"/>
    <w:rsid w:val="00BB4D6C"/>
    <w:rsid w:val="00BC6E49"/>
    <w:rsid w:val="00BD583E"/>
    <w:rsid w:val="00BF02D3"/>
    <w:rsid w:val="00BF1A8D"/>
    <w:rsid w:val="00C10EF5"/>
    <w:rsid w:val="00C13C16"/>
    <w:rsid w:val="00C175FC"/>
    <w:rsid w:val="00C330C1"/>
    <w:rsid w:val="00C367FE"/>
    <w:rsid w:val="00C459C6"/>
    <w:rsid w:val="00C47CD6"/>
    <w:rsid w:val="00C56E31"/>
    <w:rsid w:val="00C6728F"/>
    <w:rsid w:val="00C7094D"/>
    <w:rsid w:val="00C72CA3"/>
    <w:rsid w:val="00C7620A"/>
    <w:rsid w:val="00C80608"/>
    <w:rsid w:val="00C91B43"/>
    <w:rsid w:val="00CA1214"/>
    <w:rsid w:val="00CA2B3A"/>
    <w:rsid w:val="00CA41AB"/>
    <w:rsid w:val="00CB7E59"/>
    <w:rsid w:val="00CC1871"/>
    <w:rsid w:val="00CC5CBE"/>
    <w:rsid w:val="00CD3D18"/>
    <w:rsid w:val="00CE225A"/>
    <w:rsid w:val="00CE2AB0"/>
    <w:rsid w:val="00CE6159"/>
    <w:rsid w:val="00CF08B3"/>
    <w:rsid w:val="00CF63BF"/>
    <w:rsid w:val="00D01387"/>
    <w:rsid w:val="00D13815"/>
    <w:rsid w:val="00D25549"/>
    <w:rsid w:val="00D27691"/>
    <w:rsid w:val="00D27D7B"/>
    <w:rsid w:val="00D47596"/>
    <w:rsid w:val="00D61F48"/>
    <w:rsid w:val="00D809F7"/>
    <w:rsid w:val="00D86620"/>
    <w:rsid w:val="00DB39D2"/>
    <w:rsid w:val="00DB7BFA"/>
    <w:rsid w:val="00DC0632"/>
    <w:rsid w:val="00DC0827"/>
    <w:rsid w:val="00DC2BCF"/>
    <w:rsid w:val="00DC4DEE"/>
    <w:rsid w:val="00DD6BE7"/>
    <w:rsid w:val="00DE4B49"/>
    <w:rsid w:val="00DE6170"/>
    <w:rsid w:val="00DF1F74"/>
    <w:rsid w:val="00DF2837"/>
    <w:rsid w:val="00E000F7"/>
    <w:rsid w:val="00E14BEC"/>
    <w:rsid w:val="00E1505B"/>
    <w:rsid w:val="00E44567"/>
    <w:rsid w:val="00E4554E"/>
    <w:rsid w:val="00E536FC"/>
    <w:rsid w:val="00E57016"/>
    <w:rsid w:val="00E7320D"/>
    <w:rsid w:val="00E75FFC"/>
    <w:rsid w:val="00E823B5"/>
    <w:rsid w:val="00E82653"/>
    <w:rsid w:val="00E860B1"/>
    <w:rsid w:val="00E936B4"/>
    <w:rsid w:val="00E94FF0"/>
    <w:rsid w:val="00EA1161"/>
    <w:rsid w:val="00EA7465"/>
    <w:rsid w:val="00EB1CDE"/>
    <w:rsid w:val="00EB21DF"/>
    <w:rsid w:val="00EB3503"/>
    <w:rsid w:val="00EC2EEF"/>
    <w:rsid w:val="00ED4DE7"/>
    <w:rsid w:val="00ED7152"/>
    <w:rsid w:val="00EE18F9"/>
    <w:rsid w:val="00EE4F01"/>
    <w:rsid w:val="00EE67AD"/>
    <w:rsid w:val="00EF4432"/>
    <w:rsid w:val="00EF57FB"/>
    <w:rsid w:val="00EF5AF3"/>
    <w:rsid w:val="00EF73E6"/>
    <w:rsid w:val="00F06E71"/>
    <w:rsid w:val="00F15B95"/>
    <w:rsid w:val="00F1609E"/>
    <w:rsid w:val="00F33501"/>
    <w:rsid w:val="00F45783"/>
    <w:rsid w:val="00F45973"/>
    <w:rsid w:val="00F473F6"/>
    <w:rsid w:val="00F52C22"/>
    <w:rsid w:val="00F553B6"/>
    <w:rsid w:val="00F55EB4"/>
    <w:rsid w:val="00F65EAC"/>
    <w:rsid w:val="00F706ED"/>
    <w:rsid w:val="00F75915"/>
    <w:rsid w:val="00F80677"/>
    <w:rsid w:val="00F826B1"/>
    <w:rsid w:val="00F8652F"/>
    <w:rsid w:val="00F93FA3"/>
    <w:rsid w:val="00F97434"/>
    <w:rsid w:val="00FA7C6C"/>
    <w:rsid w:val="00FB0727"/>
    <w:rsid w:val="00FC3E56"/>
    <w:rsid w:val="00FD061F"/>
    <w:rsid w:val="00FD34F2"/>
    <w:rsid w:val="00FD55DF"/>
    <w:rsid w:val="00FE1C11"/>
    <w:rsid w:val="00FE2828"/>
    <w:rsid w:val="00FE309B"/>
    <w:rsid w:val="00FE4620"/>
    <w:rsid w:val="00FE4804"/>
    <w:rsid w:val="00FF3168"/>
    <w:rsid w:val="00FF3F13"/>
    <w:rsid w:val="00FF570B"/>
    <w:rsid w:val="00FF57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445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80B"/>
    <w:pPr>
      <w:widowControl w:val="0"/>
      <w:tabs>
        <w:tab w:val="left" w:pos="360"/>
      </w:tabs>
    </w:pPr>
    <w:rPr>
      <w:snapToGrid w:val="0"/>
      <w:sz w:val="24"/>
    </w:rPr>
  </w:style>
  <w:style w:type="paragraph" w:styleId="Heading1">
    <w:name w:val="heading 1"/>
    <w:basedOn w:val="Normal"/>
    <w:next w:val="Normal"/>
    <w:qFormat/>
    <w:rsid w:val="007D580B"/>
    <w:pPr>
      <w:keepNext/>
      <w:widowControl/>
      <w:tabs>
        <w:tab w:val="center" w:pos="4104"/>
        <w:tab w:val="left" w:pos="4320"/>
        <w:tab w:val="left" w:pos="5040"/>
        <w:tab w:val="left" w:pos="5760"/>
        <w:tab w:val="left" w:pos="6480"/>
        <w:tab w:val="left" w:pos="7200"/>
        <w:tab w:val="left" w:pos="7920"/>
      </w:tabs>
      <w:spacing w:after="60"/>
      <w:outlineLvl w:val="0"/>
    </w:pPr>
    <w:rPr>
      <w:rFonts w:ascii="Arial" w:hAnsi="Arial"/>
      <w:b/>
      <w:caps/>
      <w:sz w:val="22"/>
    </w:rPr>
  </w:style>
  <w:style w:type="paragraph" w:styleId="Heading2">
    <w:name w:val="heading 2"/>
    <w:basedOn w:val="Normal"/>
    <w:next w:val="Normal"/>
    <w:qFormat/>
    <w:rsid w:val="007D580B"/>
    <w:pPr>
      <w:keepNext/>
      <w:widowControl/>
      <w:tabs>
        <w:tab w:val="left" w:pos="-1440"/>
        <w:tab w:val="left" w:pos="-720"/>
        <w:tab w:val="left" w:pos="0"/>
        <w:tab w:val="left" w:pos="504"/>
        <w:tab w:val="left" w:pos="1440"/>
        <w:tab w:val="left" w:pos="2160"/>
        <w:tab w:val="left" w:pos="2880"/>
        <w:tab w:val="left" w:pos="3600"/>
        <w:tab w:val="left" w:pos="4320"/>
        <w:tab w:val="left" w:pos="5040"/>
        <w:tab w:val="left" w:pos="5760"/>
        <w:tab w:val="left" w:pos="6480"/>
        <w:tab w:val="left" w:pos="7200"/>
        <w:tab w:val="left" w:pos="7920"/>
      </w:tabs>
      <w:outlineLvl w:val="1"/>
    </w:pPr>
    <w:rPr>
      <w:rFonts w:ascii="Arial" w:hAnsi="Arial"/>
      <w:b/>
      <w:sz w:val="22"/>
    </w:rPr>
  </w:style>
  <w:style w:type="paragraph" w:styleId="Heading3">
    <w:name w:val="heading 3"/>
    <w:basedOn w:val="Normal"/>
    <w:next w:val="Normal"/>
    <w:qFormat/>
    <w:rsid w:val="007D580B"/>
    <w:pPr>
      <w:keepNext/>
      <w:keepLines/>
      <w:widowControl/>
      <w:tabs>
        <w:tab w:val="left" w:pos="-1440"/>
        <w:tab w:val="left" w:pos="-720"/>
        <w:tab w:val="left" w:pos="0"/>
        <w:tab w:val="left" w:pos="234"/>
        <w:tab w:val="left" w:pos="1440"/>
        <w:tab w:val="left" w:pos="2160"/>
        <w:tab w:val="left" w:pos="2880"/>
        <w:tab w:val="left" w:pos="3600"/>
        <w:tab w:val="left" w:pos="4320"/>
        <w:tab w:val="left" w:pos="5040"/>
        <w:tab w:val="left" w:pos="5760"/>
        <w:tab w:val="left" w:pos="6480"/>
        <w:tab w:val="left" w:pos="7200"/>
        <w:tab w:val="left" w:pos="7920"/>
      </w:tabs>
      <w:jc w:val="both"/>
      <w:outlineLvl w:val="2"/>
    </w:pPr>
    <w:rPr>
      <w:b/>
    </w:rPr>
  </w:style>
  <w:style w:type="paragraph" w:styleId="Heading4">
    <w:name w:val="heading 4"/>
    <w:basedOn w:val="Normal"/>
    <w:next w:val="Normal"/>
    <w:qFormat/>
    <w:rsid w:val="007D580B"/>
    <w:pPr>
      <w:keepNext/>
      <w:widowControl/>
      <w:tabs>
        <w:tab w:val="left" w:pos="-1440"/>
        <w:tab w:val="left" w:pos="-720"/>
        <w:tab w:val="left" w:pos="0"/>
        <w:tab w:val="left" w:pos="234"/>
        <w:tab w:val="left" w:pos="720"/>
        <w:tab w:val="left" w:pos="1440"/>
        <w:tab w:val="left" w:pos="2160"/>
        <w:tab w:val="left" w:pos="2880"/>
        <w:tab w:val="left" w:pos="3600"/>
        <w:tab w:val="left" w:pos="4320"/>
        <w:tab w:val="left" w:pos="5040"/>
        <w:tab w:val="left" w:pos="5760"/>
        <w:tab w:val="left" w:pos="6480"/>
        <w:tab w:val="left" w:pos="7200"/>
        <w:tab w:val="left" w:pos="7920"/>
      </w:tabs>
      <w:ind w:right="-288"/>
      <w:jc w:val="both"/>
      <w:outlineLvl w:val="3"/>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7D580B"/>
  </w:style>
  <w:style w:type="paragraph" w:styleId="Header">
    <w:name w:val="header"/>
    <w:basedOn w:val="Normal"/>
    <w:rsid w:val="007D580B"/>
    <w:pPr>
      <w:tabs>
        <w:tab w:val="center" w:pos="4320"/>
        <w:tab w:val="right" w:pos="8640"/>
      </w:tabs>
    </w:pPr>
  </w:style>
  <w:style w:type="paragraph" w:styleId="Footer">
    <w:name w:val="footer"/>
    <w:basedOn w:val="Normal"/>
    <w:rsid w:val="007D580B"/>
    <w:pPr>
      <w:tabs>
        <w:tab w:val="center" w:pos="4320"/>
        <w:tab w:val="right" w:pos="8640"/>
      </w:tabs>
    </w:pPr>
  </w:style>
  <w:style w:type="character" w:styleId="PageNumber">
    <w:name w:val="page number"/>
    <w:basedOn w:val="DefaultParagraphFont"/>
    <w:rsid w:val="007D580B"/>
  </w:style>
  <w:style w:type="paragraph" w:styleId="FootnoteText">
    <w:name w:val="footnote text"/>
    <w:basedOn w:val="Normal"/>
    <w:autoRedefine/>
    <w:semiHidden/>
    <w:rsid w:val="007D580B"/>
    <w:pPr>
      <w:ind w:left="360" w:hanging="360"/>
    </w:pPr>
    <w:rPr>
      <w:rFonts w:ascii="Arial" w:hAnsi="Arial"/>
      <w:sz w:val="20"/>
    </w:rPr>
  </w:style>
  <w:style w:type="character" w:styleId="Hyperlink">
    <w:name w:val="Hyperlink"/>
    <w:basedOn w:val="DefaultParagraphFont"/>
    <w:rsid w:val="007D580B"/>
    <w:rPr>
      <w:color w:val="0000FF"/>
      <w:u w:val="single"/>
    </w:rPr>
  </w:style>
  <w:style w:type="paragraph" w:styleId="BodyText">
    <w:name w:val="Body Text"/>
    <w:basedOn w:val="Normal"/>
    <w:rsid w:val="007D580B"/>
    <w:pPr>
      <w:widowControl/>
      <w:tabs>
        <w:tab w:val="left" w:pos="720"/>
      </w:tabs>
      <w:jc w:val="both"/>
    </w:pPr>
  </w:style>
  <w:style w:type="character" w:styleId="FollowedHyperlink">
    <w:name w:val="FollowedHyperlink"/>
    <w:basedOn w:val="DefaultParagraphFont"/>
    <w:rsid w:val="007D580B"/>
    <w:rPr>
      <w:color w:val="800080"/>
      <w:u w:val="single"/>
    </w:rPr>
  </w:style>
  <w:style w:type="paragraph" w:styleId="BodyText2">
    <w:name w:val="Body Text 2"/>
    <w:basedOn w:val="Normal"/>
    <w:rsid w:val="007D580B"/>
    <w:pPr>
      <w:widowControl/>
      <w:tabs>
        <w:tab w:val="left" w:pos="5760"/>
      </w:tabs>
      <w:spacing w:after="240"/>
      <w:jc w:val="both"/>
    </w:pPr>
    <w:rPr>
      <w:snapToGrid/>
      <w:spacing w:val="-2"/>
      <w:sz w:val="22"/>
    </w:rPr>
  </w:style>
  <w:style w:type="paragraph" w:customStyle="1" w:styleId="BodyText1">
    <w:name w:val="Body Text 1"/>
    <w:basedOn w:val="Normal"/>
    <w:rsid w:val="007D580B"/>
    <w:pPr>
      <w:widowControl/>
      <w:autoSpaceDE w:val="0"/>
      <w:autoSpaceDN w:val="0"/>
      <w:spacing w:after="120"/>
      <w:ind w:left="360" w:hanging="360"/>
      <w:jc w:val="both"/>
    </w:pPr>
    <w:rPr>
      <w:rFonts w:ascii="Arial" w:hAnsi="Arial" w:cs="Arial"/>
      <w:snapToGrid/>
      <w:sz w:val="20"/>
    </w:rPr>
  </w:style>
  <w:style w:type="character" w:styleId="CommentReference">
    <w:name w:val="annotation reference"/>
    <w:basedOn w:val="DefaultParagraphFont"/>
    <w:semiHidden/>
    <w:rsid w:val="007D580B"/>
    <w:rPr>
      <w:sz w:val="16"/>
      <w:szCs w:val="16"/>
    </w:rPr>
  </w:style>
  <w:style w:type="paragraph" w:styleId="CommentText">
    <w:name w:val="annotation text"/>
    <w:basedOn w:val="Normal"/>
    <w:semiHidden/>
    <w:rsid w:val="007D580B"/>
    <w:rPr>
      <w:sz w:val="20"/>
    </w:rPr>
  </w:style>
  <w:style w:type="paragraph" w:styleId="DocumentMap">
    <w:name w:val="Document Map"/>
    <w:basedOn w:val="Normal"/>
    <w:semiHidden/>
    <w:rsid w:val="007D580B"/>
    <w:pPr>
      <w:shd w:val="clear" w:color="auto" w:fill="000080"/>
    </w:pPr>
    <w:rPr>
      <w:rFonts w:ascii="Tahoma" w:hAnsi="Tahoma" w:cs="Tahoma"/>
    </w:rPr>
  </w:style>
  <w:style w:type="paragraph" w:customStyle="1" w:styleId="Default">
    <w:name w:val="Default"/>
    <w:rsid w:val="007D580B"/>
    <w:pPr>
      <w:autoSpaceDE w:val="0"/>
      <w:autoSpaceDN w:val="0"/>
      <w:adjustRightInd w:val="0"/>
    </w:pPr>
    <w:rPr>
      <w:rFonts w:ascii="TimesNewRoman" w:hAnsi="TimesNewRoman"/>
    </w:rPr>
  </w:style>
  <w:style w:type="paragraph" w:customStyle="1" w:styleId="TitleofPaper">
    <w:name w:val="Title of Paper"/>
    <w:basedOn w:val="Normal"/>
    <w:rsid w:val="007D580B"/>
    <w:pPr>
      <w:widowControl/>
      <w:tabs>
        <w:tab w:val="center" w:pos="4104"/>
        <w:tab w:val="left" w:pos="4320"/>
        <w:tab w:val="left" w:pos="5040"/>
        <w:tab w:val="left" w:pos="5760"/>
        <w:tab w:val="left" w:pos="6480"/>
        <w:tab w:val="left" w:pos="7200"/>
        <w:tab w:val="left" w:pos="7920"/>
      </w:tabs>
      <w:jc w:val="center"/>
    </w:pPr>
    <w:rPr>
      <w:rFonts w:ascii="Arial" w:hAnsi="Arial"/>
      <w:b/>
      <w:caps/>
    </w:rPr>
  </w:style>
  <w:style w:type="paragraph" w:customStyle="1" w:styleId="Equation">
    <w:name w:val="Equation"/>
    <w:basedOn w:val="BodyText"/>
    <w:rsid w:val="007D580B"/>
    <w:pPr>
      <w:tabs>
        <w:tab w:val="clear" w:pos="360"/>
        <w:tab w:val="center" w:pos="4680"/>
        <w:tab w:val="right" w:pos="9360"/>
      </w:tabs>
      <w:spacing w:before="240" w:after="240"/>
    </w:pPr>
  </w:style>
  <w:style w:type="paragraph" w:customStyle="1" w:styleId="References">
    <w:name w:val="References"/>
    <w:basedOn w:val="Normal"/>
    <w:next w:val="Default"/>
    <w:rsid w:val="007D580B"/>
    <w:pPr>
      <w:ind w:left="360" w:hanging="360"/>
    </w:pPr>
    <w:rPr>
      <w:szCs w:val="24"/>
    </w:rPr>
  </w:style>
  <w:style w:type="paragraph" w:styleId="BalloonText">
    <w:name w:val="Balloon Text"/>
    <w:basedOn w:val="Normal"/>
    <w:semiHidden/>
    <w:rsid w:val="007D580B"/>
    <w:rPr>
      <w:rFonts w:ascii="Tahoma" w:hAnsi="Tahoma" w:cs="Tahoma"/>
      <w:sz w:val="16"/>
      <w:szCs w:val="16"/>
    </w:rPr>
  </w:style>
  <w:style w:type="paragraph" w:styleId="CommentSubject">
    <w:name w:val="annotation subject"/>
    <w:basedOn w:val="CommentText"/>
    <w:next w:val="CommentText"/>
    <w:semiHidden/>
    <w:rsid w:val="00FD55DF"/>
    <w:rPr>
      <w:b/>
      <w:bCs/>
    </w:rPr>
  </w:style>
  <w:style w:type="paragraph" w:styleId="Revision">
    <w:name w:val="Revision"/>
    <w:hidden/>
    <w:uiPriority w:val="99"/>
    <w:semiHidden/>
    <w:rsid w:val="004B57C6"/>
    <w:rPr>
      <w:snapToGrid w:val="0"/>
      <w:sz w:val="24"/>
    </w:rPr>
  </w:style>
  <w:style w:type="paragraph" w:styleId="ListParagraph">
    <w:name w:val="List Paragraph"/>
    <w:basedOn w:val="Normal"/>
    <w:uiPriority w:val="34"/>
    <w:qFormat/>
    <w:rsid w:val="004D3F6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80B"/>
    <w:pPr>
      <w:widowControl w:val="0"/>
      <w:tabs>
        <w:tab w:val="left" w:pos="360"/>
      </w:tabs>
    </w:pPr>
    <w:rPr>
      <w:snapToGrid w:val="0"/>
      <w:sz w:val="24"/>
    </w:rPr>
  </w:style>
  <w:style w:type="paragraph" w:styleId="Heading1">
    <w:name w:val="heading 1"/>
    <w:basedOn w:val="Normal"/>
    <w:next w:val="Normal"/>
    <w:qFormat/>
    <w:rsid w:val="007D580B"/>
    <w:pPr>
      <w:keepNext/>
      <w:widowControl/>
      <w:tabs>
        <w:tab w:val="center" w:pos="4104"/>
        <w:tab w:val="left" w:pos="4320"/>
        <w:tab w:val="left" w:pos="5040"/>
        <w:tab w:val="left" w:pos="5760"/>
        <w:tab w:val="left" w:pos="6480"/>
        <w:tab w:val="left" w:pos="7200"/>
        <w:tab w:val="left" w:pos="7920"/>
      </w:tabs>
      <w:spacing w:after="60"/>
      <w:outlineLvl w:val="0"/>
    </w:pPr>
    <w:rPr>
      <w:rFonts w:ascii="Arial" w:hAnsi="Arial"/>
      <w:b/>
      <w:caps/>
      <w:sz w:val="22"/>
    </w:rPr>
  </w:style>
  <w:style w:type="paragraph" w:styleId="Heading2">
    <w:name w:val="heading 2"/>
    <w:basedOn w:val="Normal"/>
    <w:next w:val="Normal"/>
    <w:qFormat/>
    <w:rsid w:val="007D580B"/>
    <w:pPr>
      <w:keepNext/>
      <w:widowControl/>
      <w:tabs>
        <w:tab w:val="left" w:pos="-1440"/>
        <w:tab w:val="left" w:pos="-720"/>
        <w:tab w:val="left" w:pos="0"/>
        <w:tab w:val="left" w:pos="504"/>
        <w:tab w:val="left" w:pos="1440"/>
        <w:tab w:val="left" w:pos="2160"/>
        <w:tab w:val="left" w:pos="2880"/>
        <w:tab w:val="left" w:pos="3600"/>
        <w:tab w:val="left" w:pos="4320"/>
        <w:tab w:val="left" w:pos="5040"/>
        <w:tab w:val="left" w:pos="5760"/>
        <w:tab w:val="left" w:pos="6480"/>
        <w:tab w:val="left" w:pos="7200"/>
        <w:tab w:val="left" w:pos="7920"/>
      </w:tabs>
      <w:outlineLvl w:val="1"/>
    </w:pPr>
    <w:rPr>
      <w:rFonts w:ascii="Arial" w:hAnsi="Arial"/>
      <w:b/>
      <w:sz w:val="22"/>
    </w:rPr>
  </w:style>
  <w:style w:type="paragraph" w:styleId="Heading3">
    <w:name w:val="heading 3"/>
    <w:basedOn w:val="Normal"/>
    <w:next w:val="Normal"/>
    <w:qFormat/>
    <w:rsid w:val="007D580B"/>
    <w:pPr>
      <w:keepNext/>
      <w:keepLines/>
      <w:widowControl/>
      <w:tabs>
        <w:tab w:val="left" w:pos="-1440"/>
        <w:tab w:val="left" w:pos="-720"/>
        <w:tab w:val="left" w:pos="0"/>
        <w:tab w:val="left" w:pos="234"/>
        <w:tab w:val="left" w:pos="1440"/>
        <w:tab w:val="left" w:pos="2160"/>
        <w:tab w:val="left" w:pos="2880"/>
        <w:tab w:val="left" w:pos="3600"/>
        <w:tab w:val="left" w:pos="4320"/>
        <w:tab w:val="left" w:pos="5040"/>
        <w:tab w:val="left" w:pos="5760"/>
        <w:tab w:val="left" w:pos="6480"/>
        <w:tab w:val="left" w:pos="7200"/>
        <w:tab w:val="left" w:pos="7920"/>
      </w:tabs>
      <w:jc w:val="both"/>
      <w:outlineLvl w:val="2"/>
    </w:pPr>
    <w:rPr>
      <w:b/>
    </w:rPr>
  </w:style>
  <w:style w:type="paragraph" w:styleId="Heading4">
    <w:name w:val="heading 4"/>
    <w:basedOn w:val="Normal"/>
    <w:next w:val="Normal"/>
    <w:qFormat/>
    <w:rsid w:val="007D580B"/>
    <w:pPr>
      <w:keepNext/>
      <w:widowControl/>
      <w:tabs>
        <w:tab w:val="left" w:pos="-1440"/>
        <w:tab w:val="left" w:pos="-720"/>
        <w:tab w:val="left" w:pos="0"/>
        <w:tab w:val="left" w:pos="234"/>
        <w:tab w:val="left" w:pos="720"/>
        <w:tab w:val="left" w:pos="1440"/>
        <w:tab w:val="left" w:pos="2160"/>
        <w:tab w:val="left" w:pos="2880"/>
        <w:tab w:val="left" w:pos="3600"/>
        <w:tab w:val="left" w:pos="4320"/>
        <w:tab w:val="left" w:pos="5040"/>
        <w:tab w:val="left" w:pos="5760"/>
        <w:tab w:val="left" w:pos="6480"/>
        <w:tab w:val="left" w:pos="7200"/>
        <w:tab w:val="left" w:pos="7920"/>
      </w:tabs>
      <w:ind w:right="-288"/>
      <w:jc w:val="both"/>
      <w:outlineLvl w:val="3"/>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7D580B"/>
  </w:style>
  <w:style w:type="paragraph" w:styleId="Header">
    <w:name w:val="header"/>
    <w:basedOn w:val="Normal"/>
    <w:rsid w:val="007D580B"/>
    <w:pPr>
      <w:tabs>
        <w:tab w:val="center" w:pos="4320"/>
        <w:tab w:val="right" w:pos="8640"/>
      </w:tabs>
    </w:pPr>
  </w:style>
  <w:style w:type="paragraph" w:styleId="Footer">
    <w:name w:val="footer"/>
    <w:basedOn w:val="Normal"/>
    <w:rsid w:val="007D580B"/>
    <w:pPr>
      <w:tabs>
        <w:tab w:val="center" w:pos="4320"/>
        <w:tab w:val="right" w:pos="8640"/>
      </w:tabs>
    </w:pPr>
  </w:style>
  <w:style w:type="character" w:styleId="PageNumber">
    <w:name w:val="page number"/>
    <w:basedOn w:val="DefaultParagraphFont"/>
    <w:rsid w:val="007D580B"/>
  </w:style>
  <w:style w:type="paragraph" w:styleId="FootnoteText">
    <w:name w:val="footnote text"/>
    <w:basedOn w:val="Normal"/>
    <w:autoRedefine/>
    <w:semiHidden/>
    <w:rsid w:val="007D580B"/>
    <w:pPr>
      <w:ind w:left="360" w:hanging="360"/>
    </w:pPr>
    <w:rPr>
      <w:rFonts w:ascii="Arial" w:hAnsi="Arial"/>
      <w:sz w:val="20"/>
    </w:rPr>
  </w:style>
  <w:style w:type="character" w:styleId="Hyperlink">
    <w:name w:val="Hyperlink"/>
    <w:basedOn w:val="DefaultParagraphFont"/>
    <w:rsid w:val="007D580B"/>
    <w:rPr>
      <w:color w:val="0000FF"/>
      <w:u w:val="single"/>
    </w:rPr>
  </w:style>
  <w:style w:type="paragraph" w:styleId="BodyText">
    <w:name w:val="Body Text"/>
    <w:basedOn w:val="Normal"/>
    <w:rsid w:val="007D580B"/>
    <w:pPr>
      <w:widowControl/>
      <w:tabs>
        <w:tab w:val="left" w:pos="720"/>
      </w:tabs>
      <w:jc w:val="both"/>
    </w:pPr>
  </w:style>
  <w:style w:type="character" w:styleId="FollowedHyperlink">
    <w:name w:val="FollowedHyperlink"/>
    <w:basedOn w:val="DefaultParagraphFont"/>
    <w:rsid w:val="007D580B"/>
    <w:rPr>
      <w:color w:val="800080"/>
      <w:u w:val="single"/>
    </w:rPr>
  </w:style>
  <w:style w:type="paragraph" w:styleId="BodyText2">
    <w:name w:val="Body Text 2"/>
    <w:basedOn w:val="Normal"/>
    <w:rsid w:val="007D580B"/>
    <w:pPr>
      <w:widowControl/>
      <w:tabs>
        <w:tab w:val="left" w:pos="5760"/>
      </w:tabs>
      <w:spacing w:after="240"/>
      <w:jc w:val="both"/>
    </w:pPr>
    <w:rPr>
      <w:snapToGrid/>
      <w:spacing w:val="-2"/>
      <w:sz w:val="22"/>
    </w:rPr>
  </w:style>
  <w:style w:type="paragraph" w:customStyle="1" w:styleId="BodyText1">
    <w:name w:val="Body Text 1"/>
    <w:basedOn w:val="Normal"/>
    <w:rsid w:val="007D580B"/>
    <w:pPr>
      <w:widowControl/>
      <w:autoSpaceDE w:val="0"/>
      <w:autoSpaceDN w:val="0"/>
      <w:spacing w:after="120"/>
      <w:ind w:left="360" w:hanging="360"/>
      <w:jc w:val="both"/>
    </w:pPr>
    <w:rPr>
      <w:rFonts w:ascii="Arial" w:hAnsi="Arial" w:cs="Arial"/>
      <w:snapToGrid/>
      <w:sz w:val="20"/>
    </w:rPr>
  </w:style>
  <w:style w:type="character" w:styleId="CommentReference">
    <w:name w:val="annotation reference"/>
    <w:basedOn w:val="DefaultParagraphFont"/>
    <w:semiHidden/>
    <w:rsid w:val="007D580B"/>
    <w:rPr>
      <w:sz w:val="16"/>
      <w:szCs w:val="16"/>
    </w:rPr>
  </w:style>
  <w:style w:type="paragraph" w:styleId="CommentText">
    <w:name w:val="annotation text"/>
    <w:basedOn w:val="Normal"/>
    <w:semiHidden/>
    <w:rsid w:val="007D580B"/>
    <w:rPr>
      <w:sz w:val="20"/>
    </w:rPr>
  </w:style>
  <w:style w:type="paragraph" w:styleId="DocumentMap">
    <w:name w:val="Document Map"/>
    <w:basedOn w:val="Normal"/>
    <w:semiHidden/>
    <w:rsid w:val="007D580B"/>
    <w:pPr>
      <w:shd w:val="clear" w:color="auto" w:fill="000080"/>
    </w:pPr>
    <w:rPr>
      <w:rFonts w:ascii="Tahoma" w:hAnsi="Tahoma" w:cs="Tahoma"/>
    </w:rPr>
  </w:style>
  <w:style w:type="paragraph" w:customStyle="1" w:styleId="Default">
    <w:name w:val="Default"/>
    <w:rsid w:val="007D580B"/>
    <w:pPr>
      <w:autoSpaceDE w:val="0"/>
      <w:autoSpaceDN w:val="0"/>
      <w:adjustRightInd w:val="0"/>
    </w:pPr>
    <w:rPr>
      <w:rFonts w:ascii="TimesNewRoman" w:hAnsi="TimesNewRoman"/>
    </w:rPr>
  </w:style>
  <w:style w:type="paragraph" w:customStyle="1" w:styleId="TitleofPaper">
    <w:name w:val="Title of Paper"/>
    <w:basedOn w:val="Normal"/>
    <w:rsid w:val="007D580B"/>
    <w:pPr>
      <w:widowControl/>
      <w:tabs>
        <w:tab w:val="center" w:pos="4104"/>
        <w:tab w:val="left" w:pos="4320"/>
        <w:tab w:val="left" w:pos="5040"/>
        <w:tab w:val="left" w:pos="5760"/>
        <w:tab w:val="left" w:pos="6480"/>
        <w:tab w:val="left" w:pos="7200"/>
        <w:tab w:val="left" w:pos="7920"/>
      </w:tabs>
      <w:jc w:val="center"/>
    </w:pPr>
    <w:rPr>
      <w:rFonts w:ascii="Arial" w:hAnsi="Arial"/>
      <w:b/>
      <w:caps/>
    </w:rPr>
  </w:style>
  <w:style w:type="paragraph" w:customStyle="1" w:styleId="Equation">
    <w:name w:val="Equation"/>
    <w:basedOn w:val="BodyText"/>
    <w:rsid w:val="007D580B"/>
    <w:pPr>
      <w:tabs>
        <w:tab w:val="clear" w:pos="360"/>
        <w:tab w:val="center" w:pos="4680"/>
        <w:tab w:val="right" w:pos="9360"/>
      </w:tabs>
      <w:spacing w:before="240" w:after="240"/>
    </w:pPr>
  </w:style>
  <w:style w:type="paragraph" w:customStyle="1" w:styleId="References">
    <w:name w:val="References"/>
    <w:basedOn w:val="Normal"/>
    <w:next w:val="Default"/>
    <w:rsid w:val="007D580B"/>
    <w:pPr>
      <w:ind w:left="360" w:hanging="360"/>
    </w:pPr>
    <w:rPr>
      <w:szCs w:val="24"/>
    </w:rPr>
  </w:style>
  <w:style w:type="paragraph" w:styleId="BalloonText">
    <w:name w:val="Balloon Text"/>
    <w:basedOn w:val="Normal"/>
    <w:semiHidden/>
    <w:rsid w:val="007D580B"/>
    <w:rPr>
      <w:rFonts w:ascii="Tahoma" w:hAnsi="Tahoma" w:cs="Tahoma"/>
      <w:sz w:val="16"/>
      <w:szCs w:val="16"/>
    </w:rPr>
  </w:style>
  <w:style w:type="paragraph" w:styleId="CommentSubject">
    <w:name w:val="annotation subject"/>
    <w:basedOn w:val="CommentText"/>
    <w:next w:val="CommentText"/>
    <w:semiHidden/>
    <w:rsid w:val="00FD55DF"/>
    <w:rPr>
      <w:b/>
      <w:bCs/>
    </w:rPr>
  </w:style>
  <w:style w:type="paragraph" w:styleId="Revision">
    <w:name w:val="Revision"/>
    <w:hidden/>
    <w:uiPriority w:val="99"/>
    <w:semiHidden/>
    <w:rsid w:val="004B57C6"/>
    <w:rPr>
      <w:snapToGrid w:val="0"/>
      <w:sz w:val="24"/>
    </w:rPr>
  </w:style>
  <w:style w:type="paragraph" w:styleId="ListParagraph">
    <w:name w:val="List Paragraph"/>
    <w:basedOn w:val="Normal"/>
    <w:uiPriority w:val="34"/>
    <w:qFormat/>
    <w:rsid w:val="004D3F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oi.org/10.12952/journal.elementa.000084"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tif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Alejandro.souza@cinvestav.mx" TargetMode="External"/><Relationship Id="rId4" Type="http://schemas.microsoft.com/office/2007/relationships/stylesWithEffects" Target="stylesWithEffects.xml"/><Relationship Id="rId9" Type="http://schemas.openxmlformats.org/officeDocument/2006/relationships/hyperlink" Target="mailto:laurent.amoudry@noc.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38643-C3D1-4FC1-A3E2-D334A9E28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3208</Words>
  <Characters>18287</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Coastal Sediments 07 Author Instructions</vt:lpstr>
    </vt:vector>
  </TitlesOfParts>
  <Company>ERDC, Coastal &amp; Hydraulics Laboratory</Company>
  <LinksUpToDate>false</LinksUpToDate>
  <CharactersWithSpaces>21453</CharactersWithSpaces>
  <SharedDoc>false</SharedDoc>
  <HLinks>
    <vt:vector size="18" baseType="variant">
      <vt:variant>
        <vt:i4>1507370</vt:i4>
      </vt:variant>
      <vt:variant>
        <vt:i4>9</vt:i4>
      </vt:variant>
      <vt:variant>
        <vt:i4>0</vt:i4>
      </vt:variant>
      <vt:variant>
        <vt:i4>5</vt:i4>
      </vt:variant>
      <vt:variant>
        <vt:lpwstr>mailto:pwang@usf.edu</vt:lpwstr>
      </vt:variant>
      <vt:variant>
        <vt:lpwstr/>
      </vt:variant>
      <vt:variant>
        <vt:i4>6553611</vt:i4>
      </vt:variant>
      <vt:variant>
        <vt:i4>3</vt:i4>
      </vt:variant>
      <vt:variant>
        <vt:i4>0</vt:i4>
      </vt:variant>
      <vt:variant>
        <vt:i4>5</vt:i4>
      </vt:variant>
      <vt:variant>
        <vt:lpwstr>mailto:Julie.D.Rosati@usace.army.mil</vt:lpwstr>
      </vt:variant>
      <vt:variant>
        <vt:lpwstr/>
      </vt:variant>
      <vt:variant>
        <vt:i4>1507370</vt:i4>
      </vt:variant>
      <vt:variant>
        <vt:i4>0</vt:i4>
      </vt:variant>
      <vt:variant>
        <vt:i4>0</vt:i4>
      </vt:variant>
      <vt:variant>
        <vt:i4>5</vt:i4>
      </vt:variant>
      <vt:variant>
        <vt:lpwstr>mailto:pwang@usf.edu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Coastal Sediments 07 Author Instructions</dc:title>
  <dc:creator>Nicholas C Kraus, William G. McDougal, Julie Dean Rosati, Ping Wang</dc:creator>
  <cp:lastModifiedBy>reviewer 1</cp:lastModifiedBy>
  <cp:revision>2</cp:revision>
  <cp:lastPrinted>2019-01-25T09:36:00Z</cp:lastPrinted>
  <dcterms:created xsi:type="dcterms:W3CDTF">2020-07-19T08:47:00Z</dcterms:created>
  <dcterms:modified xsi:type="dcterms:W3CDTF">2020-07-19T08:47:00Z</dcterms:modified>
</cp:coreProperties>
</file>