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85C762" w14:textId="77777777" w:rsidR="00CE4E1B" w:rsidRPr="008570C4" w:rsidRDefault="00CE4E1B" w:rsidP="00CE4E1B">
      <w:pPr>
        <w:pStyle w:val="Body"/>
        <w:spacing w:line="288" w:lineRule="auto"/>
        <w:jc w:val="both"/>
        <w:rPr>
          <w:color w:val="0433FF"/>
          <w:sz w:val="32"/>
          <w:szCs w:val="32"/>
        </w:rPr>
      </w:pPr>
      <w:r w:rsidRPr="008570C4">
        <w:rPr>
          <w:color w:val="0433FF"/>
          <w:sz w:val="32"/>
          <w:szCs w:val="32"/>
        </w:rPr>
        <w:t>Productivity in UK healthcare during and after the Covid19 pandemic</w:t>
      </w:r>
    </w:p>
    <w:p w14:paraId="4C3EDD35" w14:textId="77777777" w:rsidR="00CE4E1B" w:rsidRDefault="00CE4E1B" w:rsidP="00CE4E1B">
      <w:pPr>
        <w:pStyle w:val="Body"/>
        <w:spacing w:line="288" w:lineRule="auto"/>
        <w:jc w:val="both"/>
      </w:pPr>
      <w:r>
        <w:t>Diane Coyle, Kaya Dreesbeimdieck, Annabel Manley</w:t>
      </w:r>
      <w:r>
        <w:rPr>
          <w:rStyle w:val="FootnoteReference"/>
        </w:rPr>
        <w:footnoteReference w:id="2"/>
      </w:r>
    </w:p>
    <w:p w14:paraId="22B91598" w14:textId="77777777" w:rsidR="00CE4E1B" w:rsidRDefault="00CE4E1B" w:rsidP="00CE4E1B"/>
    <w:p w14:paraId="760387F9" w14:textId="30859305" w:rsidR="0005421D" w:rsidRDefault="0005421D" w:rsidP="0005421D">
      <w:pPr>
        <w:pStyle w:val="Body"/>
        <w:spacing w:line="288" w:lineRule="auto"/>
        <w:jc w:val="both"/>
        <w:rPr>
          <w:i/>
          <w:iCs/>
        </w:rPr>
      </w:pPr>
      <w:r>
        <w:rPr>
          <w:i/>
          <w:iCs/>
        </w:rPr>
        <w:t>Abstract: Measured health output in the UK declined sharply during the Covid19 pandemic, despite the evident</w:t>
      </w:r>
      <w:r w:rsidR="00350158">
        <w:rPr>
          <w:i/>
          <w:iCs/>
        </w:rPr>
        <w:t xml:space="preserve"> large</w:t>
      </w:r>
      <w:r>
        <w:rPr>
          <w:i/>
          <w:iCs/>
        </w:rPr>
        <w:t xml:space="preserve"> increase in some national health service (NHS) activities such as critical care, and the new test and trace and vaccination programmes. We </w:t>
      </w:r>
      <w:r w:rsidR="00C07558">
        <w:rPr>
          <w:i/>
          <w:iCs/>
        </w:rPr>
        <w:t>explain</w:t>
      </w:r>
      <w:r>
        <w:rPr>
          <w:i/>
          <w:iCs/>
        </w:rPr>
        <w:t xml:space="preserve"> the measurement methods applied to public services that </w:t>
      </w:r>
      <w:r w:rsidR="00C07558">
        <w:rPr>
          <w:i/>
          <w:iCs/>
        </w:rPr>
        <w:t>produced</w:t>
      </w:r>
      <w:r>
        <w:rPr>
          <w:i/>
          <w:iCs/>
        </w:rPr>
        <w:t xml:space="preserve"> the </w:t>
      </w:r>
      <w:r w:rsidR="00C07558">
        <w:rPr>
          <w:i/>
          <w:iCs/>
        </w:rPr>
        <w:t>published</w:t>
      </w:r>
      <w:r>
        <w:rPr>
          <w:i/>
          <w:iCs/>
        </w:rPr>
        <w:t xml:space="preserve"> decline, </w:t>
      </w:r>
      <w:r w:rsidR="00C07558">
        <w:rPr>
          <w:i/>
          <w:iCs/>
        </w:rPr>
        <w:t xml:space="preserve">in the context of the </w:t>
      </w:r>
      <w:r w:rsidR="00350158">
        <w:rPr>
          <w:i/>
          <w:iCs/>
        </w:rPr>
        <w:t xml:space="preserve">inherent </w:t>
      </w:r>
      <w:r w:rsidR="00C07558">
        <w:rPr>
          <w:i/>
          <w:iCs/>
        </w:rPr>
        <w:t>difficulties of defining and measuring health output and productivity; and describe the changes in practice that had to take place in NHS hospitals. We</w:t>
      </w:r>
      <w:r>
        <w:rPr>
          <w:i/>
          <w:iCs/>
        </w:rPr>
        <w:t xml:space="preserve"> also </w:t>
      </w:r>
      <w:r w:rsidR="00C07558">
        <w:rPr>
          <w:i/>
          <w:iCs/>
        </w:rPr>
        <w:t xml:space="preserve">discuss, </w:t>
      </w:r>
      <w:proofErr w:type="gramStart"/>
      <w:r w:rsidR="00C07558">
        <w:rPr>
          <w:i/>
          <w:iCs/>
        </w:rPr>
        <w:t>on the basis of</w:t>
      </w:r>
      <w:proofErr w:type="gramEnd"/>
      <w:r w:rsidR="00C07558">
        <w:rPr>
          <w:i/>
          <w:iCs/>
        </w:rPr>
        <w:t xml:space="preserve"> these changes including increased use of technology,</w:t>
      </w:r>
      <w:r>
        <w:rPr>
          <w:i/>
          <w:iCs/>
        </w:rPr>
        <w:t xml:space="preserve"> the likely </w:t>
      </w:r>
      <w:r w:rsidR="00C07558">
        <w:rPr>
          <w:i/>
          <w:iCs/>
        </w:rPr>
        <w:t>outlook for</w:t>
      </w:r>
      <w:r>
        <w:rPr>
          <w:i/>
          <w:iCs/>
        </w:rPr>
        <w:t xml:space="preserve"> healthcare productivity. We </w:t>
      </w:r>
      <w:r w:rsidR="00C07558">
        <w:rPr>
          <w:i/>
          <w:iCs/>
        </w:rPr>
        <w:t>conclude</w:t>
      </w:r>
      <w:r>
        <w:rPr>
          <w:i/>
          <w:iCs/>
        </w:rPr>
        <w:t xml:space="preserve"> that within NHS England capacity constraints have contributed to substantial falls in non-Covid19 health care </w:t>
      </w:r>
      <w:r w:rsidR="00C07558">
        <w:rPr>
          <w:i/>
          <w:iCs/>
        </w:rPr>
        <w:t>output</w:t>
      </w:r>
      <w:r>
        <w:rPr>
          <w:i/>
          <w:iCs/>
        </w:rPr>
        <w:t xml:space="preserve"> and argue that increased capacity in the social infrastructure of the health service is essential to enable higher productivity in an uncertain environment.</w:t>
      </w:r>
    </w:p>
    <w:p w14:paraId="00844A21" w14:textId="77777777" w:rsidR="0005421D" w:rsidRDefault="0005421D" w:rsidP="0005421D">
      <w:pPr>
        <w:pStyle w:val="Body"/>
        <w:spacing w:line="288" w:lineRule="auto"/>
        <w:jc w:val="both"/>
        <w:rPr>
          <w:i/>
          <w:iCs/>
        </w:rPr>
      </w:pPr>
    </w:p>
    <w:p w14:paraId="6E1C9267" w14:textId="77777777" w:rsidR="0005421D" w:rsidRPr="00F4232D" w:rsidRDefault="0005421D" w:rsidP="0005421D">
      <w:pPr>
        <w:pStyle w:val="Body"/>
        <w:spacing w:line="288" w:lineRule="auto"/>
        <w:jc w:val="both"/>
      </w:pPr>
      <w:r w:rsidRPr="00F4232D">
        <w:t>JEL Codes: H51, I10, E01</w:t>
      </w:r>
    </w:p>
    <w:p w14:paraId="01B08F78" w14:textId="77777777" w:rsidR="00B22741" w:rsidRDefault="00B22741">
      <w:pPr>
        <w:pStyle w:val="Body"/>
        <w:spacing w:line="288" w:lineRule="auto"/>
        <w:jc w:val="both"/>
      </w:pPr>
    </w:p>
    <w:p w14:paraId="6D7CB181" w14:textId="7F0D33C4" w:rsidR="00B22741" w:rsidRPr="008570C4" w:rsidRDefault="002E0D06" w:rsidP="008570C4">
      <w:pPr>
        <w:pStyle w:val="Body"/>
        <w:numPr>
          <w:ilvl w:val="0"/>
          <w:numId w:val="6"/>
        </w:numPr>
        <w:spacing w:line="288" w:lineRule="auto"/>
        <w:jc w:val="both"/>
        <w:rPr>
          <w:b/>
          <w:bCs/>
          <w:sz w:val="28"/>
          <w:szCs w:val="28"/>
        </w:rPr>
      </w:pPr>
      <w:r w:rsidRPr="008570C4">
        <w:rPr>
          <w:b/>
          <w:bCs/>
          <w:sz w:val="28"/>
          <w:szCs w:val="28"/>
        </w:rPr>
        <w:t>Introduction</w:t>
      </w:r>
    </w:p>
    <w:p w14:paraId="63B28392" w14:textId="77777777" w:rsidR="00B22741" w:rsidRDefault="00B22741">
      <w:pPr>
        <w:pStyle w:val="Body"/>
        <w:spacing w:line="288" w:lineRule="auto"/>
        <w:jc w:val="both"/>
      </w:pPr>
    </w:p>
    <w:p w14:paraId="526E638F" w14:textId="677118AB" w:rsidR="00B22741" w:rsidRDefault="002E0D06">
      <w:pPr>
        <w:pStyle w:val="Body"/>
        <w:spacing w:line="288" w:lineRule="auto"/>
        <w:jc w:val="both"/>
      </w:pPr>
      <w:r>
        <w:t xml:space="preserve">Tracking economic activity during the pandemic has been challenging, and nowhere more so than in the measurement of the output and productivity of the health sector as it came under intense pressure. A sharp fall in volume-terms public sector output, </w:t>
      </w:r>
      <w:r w:rsidR="009A4884">
        <w:t>with</w:t>
      </w:r>
      <w:r>
        <w:t xml:space="preserve"> health services mak</w:t>
      </w:r>
      <w:r w:rsidR="009A4884">
        <w:t>ing</w:t>
      </w:r>
      <w:r>
        <w:t xml:space="preserve"> up</w:t>
      </w:r>
      <w:r w:rsidR="00E44E27">
        <w:t xml:space="preserve"> 37.5% of total </w:t>
      </w:r>
      <w:r w:rsidR="00D77EF9">
        <w:t xml:space="preserve">public </w:t>
      </w:r>
      <w:r w:rsidR="00E44E27">
        <w:t>expenditure</w:t>
      </w:r>
      <w:r w:rsidR="00D77EF9">
        <w:t xml:space="preserve"> (and 10% of GDP in 2018)</w:t>
      </w:r>
      <w:r>
        <w:t>, contributed to the UK’s plunge in GDP in the second quarter</w:t>
      </w:r>
      <w:r w:rsidR="00D77EF9">
        <w:t xml:space="preserve"> of 2020</w:t>
      </w:r>
      <w:r>
        <w:t xml:space="preserve">. This </w:t>
      </w:r>
      <w:r w:rsidR="009A4884">
        <w:t>contrasted with</w:t>
      </w:r>
      <w:r>
        <w:t xml:space="preserve"> the profile of the public sector contribution </w:t>
      </w:r>
      <w:r w:rsidR="009A4884">
        <w:t xml:space="preserve">to growth </w:t>
      </w:r>
      <w:r>
        <w:t xml:space="preserve">in some other European economies. This paper </w:t>
      </w:r>
      <w:r w:rsidR="00C07558">
        <w:t>explains</w:t>
      </w:r>
      <w:r>
        <w:t xml:space="preserve"> the reasons for th</w:t>
      </w:r>
      <w:r w:rsidR="00C07558">
        <w:t>is</w:t>
      </w:r>
      <w:r>
        <w:t xml:space="preserve"> sharp decline in measured UK health service output and productivity,</w:t>
      </w:r>
      <w:r w:rsidR="00D77EF9">
        <w:t xml:space="preserve"> </w:t>
      </w:r>
      <w:r w:rsidR="00C07558">
        <w:t xml:space="preserve">in the context of the </w:t>
      </w:r>
      <w:r w:rsidR="003C1DA8">
        <w:t xml:space="preserve">inherent </w:t>
      </w:r>
      <w:r w:rsidR="00C07558">
        <w:t xml:space="preserve">challenges of public service productivity </w:t>
      </w:r>
      <w:proofErr w:type="gramStart"/>
      <w:r w:rsidR="00C07558">
        <w:t xml:space="preserve">measurement, </w:t>
      </w:r>
      <w:r>
        <w:t>and</w:t>
      </w:r>
      <w:proofErr w:type="gramEnd"/>
      <w:r>
        <w:t xml:space="preserve"> considers the longer-term prospects for </w:t>
      </w:r>
      <w:r w:rsidR="003C1DA8">
        <w:t xml:space="preserve">health </w:t>
      </w:r>
      <w:r>
        <w:t>productivity improvements.</w:t>
      </w:r>
    </w:p>
    <w:p w14:paraId="6FEE57E3" w14:textId="77777777" w:rsidR="00B22741" w:rsidRDefault="00B22741">
      <w:pPr>
        <w:pStyle w:val="Body"/>
        <w:spacing w:line="288" w:lineRule="auto"/>
        <w:jc w:val="both"/>
      </w:pPr>
    </w:p>
    <w:p w14:paraId="25AE91BC" w14:textId="738CBB1B" w:rsidR="00B22741" w:rsidRDefault="002E0D06">
      <w:pPr>
        <w:pStyle w:val="Body"/>
        <w:spacing w:line="288" w:lineRule="auto"/>
        <w:jc w:val="both"/>
      </w:pPr>
      <w:r>
        <w:t>First</w:t>
      </w:r>
      <w:r w:rsidR="00083227">
        <w:t>,</w:t>
      </w:r>
      <w:r>
        <w:t xml:space="preserve"> we discuss the measurement method used in the UK, explaining why the health output measure in the national accounts declined so sharply when, after all, some health services were extremely busy. We also discuss the implications for the separate UK health service productivity measures, </w:t>
      </w:r>
      <w:r w:rsidR="00C07558">
        <w:t xml:space="preserve">which are </w:t>
      </w:r>
      <w:r>
        <w:t xml:space="preserve">not incorporated in the </w:t>
      </w:r>
      <w:r w:rsidR="00D77EF9">
        <w:t xml:space="preserve">output and </w:t>
      </w:r>
      <w:r>
        <w:t xml:space="preserve">GDP statistics. </w:t>
      </w:r>
    </w:p>
    <w:p w14:paraId="35198CEC" w14:textId="77777777" w:rsidR="00B22741" w:rsidRDefault="00B22741">
      <w:pPr>
        <w:pStyle w:val="Body"/>
        <w:spacing w:line="288" w:lineRule="auto"/>
        <w:jc w:val="both"/>
      </w:pPr>
    </w:p>
    <w:p w14:paraId="2DD8CDA5" w14:textId="218C7451" w:rsidR="00B079F2" w:rsidRDefault="002E0D06">
      <w:pPr>
        <w:pStyle w:val="Body"/>
        <w:spacing w:line="288" w:lineRule="auto"/>
        <w:jc w:val="both"/>
      </w:pPr>
      <w:r>
        <w:t xml:space="preserve">However, the decline in health service output cannot </w:t>
      </w:r>
      <w:proofErr w:type="gramStart"/>
      <w:r>
        <w:t>be considered to be</w:t>
      </w:r>
      <w:proofErr w:type="gramEnd"/>
      <w:r>
        <w:t xml:space="preserve"> a </w:t>
      </w:r>
      <w:r w:rsidR="00C07558">
        <w:t xml:space="preserve">mere </w:t>
      </w:r>
      <w:r>
        <w:t>statistical quirk</w:t>
      </w:r>
      <w:r w:rsidR="00B079F2">
        <w:t>, although measurement has been challenging</w:t>
      </w:r>
      <w:r>
        <w:t xml:space="preserve">. The pressure the crisis placed on the NHS led to significant changes in service provision during the year and will have some lasting </w:t>
      </w:r>
      <w:r w:rsidR="003C1DA8">
        <w:t xml:space="preserve">positive and negative </w:t>
      </w:r>
      <w:r>
        <w:t>effects</w:t>
      </w:r>
      <w:r w:rsidR="003C1DA8">
        <w:t xml:space="preserve"> on output and productivity</w:t>
      </w:r>
      <w:r>
        <w:t xml:space="preserve">. </w:t>
      </w:r>
      <w:r w:rsidR="003C1DA8">
        <w:t>The crisis has led to changes in organization and the use of technology. At the same time t</w:t>
      </w:r>
      <w:r>
        <w:t>here was a large decline in non-Covid19 service provision of all kinds</w:t>
      </w:r>
      <w:r w:rsidR="003C1DA8">
        <w:t>, leading to a major backlog of treatments</w:t>
      </w:r>
      <w:r>
        <w:t xml:space="preserve">. </w:t>
      </w:r>
      <w:r w:rsidR="00D77EF9">
        <w:t xml:space="preserve">This consequence of limited NHS capacity – </w:t>
      </w:r>
      <w:r w:rsidR="00D77EF9">
        <w:lastRenderedPageBreak/>
        <w:t xml:space="preserve">due to continuing pressures over many years to seek efficiencies and meet centrally-determined targets – raises the question of the option value of ‘spare’ capacity and the need for insurance against future pandemics or crises. </w:t>
      </w:r>
    </w:p>
    <w:p w14:paraId="0A720625" w14:textId="77777777" w:rsidR="00B079F2" w:rsidRDefault="00B079F2">
      <w:pPr>
        <w:pStyle w:val="Body"/>
        <w:spacing w:line="288" w:lineRule="auto"/>
        <w:jc w:val="both"/>
      </w:pPr>
    </w:p>
    <w:p w14:paraId="67D91AAA" w14:textId="1DAC8F95" w:rsidR="00D77EF9" w:rsidRDefault="00D77EF9">
      <w:pPr>
        <w:pStyle w:val="Body"/>
        <w:spacing w:line="288" w:lineRule="auto"/>
        <w:jc w:val="both"/>
      </w:pPr>
      <w:r>
        <w:t xml:space="preserve">It is also important to note that output and productivity measurement is distinct from </w:t>
      </w:r>
      <w:r w:rsidR="00C07558">
        <w:t xml:space="preserve">an evaluation of </w:t>
      </w:r>
      <w:r w:rsidR="00B079F2">
        <w:t xml:space="preserve">health </w:t>
      </w:r>
      <w:r>
        <w:t>outcomes and economic welfare</w:t>
      </w:r>
      <w:r w:rsidR="00B079F2">
        <w:t>. Health outcomes during the pandemic have been better than they would have been had the NHS not dramatically changed its mix of activities</w:t>
      </w:r>
      <w:r>
        <w:t>, wh</w:t>
      </w:r>
      <w:r w:rsidR="00B079F2">
        <w:t>ile the final</w:t>
      </w:r>
      <w:r>
        <w:t xml:space="preserve"> assessment </w:t>
      </w:r>
      <w:r w:rsidR="00B079F2">
        <w:t xml:space="preserve">of outcomes will </w:t>
      </w:r>
      <w:r>
        <w:t>bring in wider and complex considerations such as life years lost from delayed or cancelled procedures as well as Covid 19 lives saved.</w:t>
      </w:r>
      <w:r w:rsidR="00B079F2">
        <w:t xml:space="preserve"> </w:t>
      </w:r>
    </w:p>
    <w:p w14:paraId="6598303C" w14:textId="77777777" w:rsidR="00D77EF9" w:rsidRDefault="00D77EF9">
      <w:pPr>
        <w:pStyle w:val="Body"/>
        <w:spacing w:line="288" w:lineRule="auto"/>
        <w:jc w:val="both"/>
      </w:pPr>
    </w:p>
    <w:p w14:paraId="4C8778DF" w14:textId="77777777" w:rsidR="00C07558" w:rsidRDefault="00D77EF9" w:rsidP="0005421D">
      <w:pPr>
        <w:pStyle w:val="Body"/>
        <w:spacing w:line="288" w:lineRule="auto"/>
        <w:jc w:val="both"/>
      </w:pPr>
      <w:r>
        <w:t>We</w:t>
      </w:r>
      <w:r w:rsidR="002E0D06">
        <w:t xml:space="preserve"> explore the short- and long-term implications </w:t>
      </w:r>
      <w:r>
        <w:t xml:space="preserve">of the pandemic </w:t>
      </w:r>
      <w:r w:rsidR="002E0D06">
        <w:t xml:space="preserve">for health service </w:t>
      </w:r>
      <w:r>
        <w:t xml:space="preserve">output and </w:t>
      </w:r>
      <w:r w:rsidR="002E0D06">
        <w:t xml:space="preserve">productivity, </w:t>
      </w:r>
      <w:r>
        <w:t xml:space="preserve">first </w:t>
      </w:r>
      <w:r w:rsidR="002E0D06">
        <w:t>reporting insights from qualitative interviews</w:t>
      </w:r>
      <w:r w:rsidR="00C07558">
        <w:t xml:space="preserve"> with senior clinical leaders</w:t>
      </w:r>
      <w:r w:rsidR="002E0D06">
        <w:t xml:space="preserve"> (conducted in November and December 2020) in two English hospital trusts. We </w:t>
      </w:r>
      <w:r w:rsidR="009A4884">
        <w:t>describe</w:t>
      </w:r>
      <w:r w:rsidR="002E0D06">
        <w:t xml:space="preserve"> what happened </w:t>
      </w:r>
      <w:r>
        <w:t xml:space="preserve">in these hospitals </w:t>
      </w:r>
      <w:r w:rsidR="002E0D06">
        <w:t>during the pandemic and discuss which changes</w:t>
      </w:r>
      <w:r w:rsidR="00B079F2">
        <w:t xml:space="preserve"> they made</w:t>
      </w:r>
      <w:r w:rsidR="002E0D06">
        <w:t xml:space="preserve"> (such as use of technology or organisational changes) might continue. </w:t>
      </w:r>
      <w:r>
        <w:t xml:space="preserve">These experiences underline </w:t>
      </w:r>
      <w:r w:rsidR="00B079F2">
        <w:t xml:space="preserve">other </w:t>
      </w:r>
      <w:r>
        <w:t>evidence of underlying</w:t>
      </w:r>
      <w:r w:rsidR="002E0D06">
        <w:t xml:space="preserve"> issues </w:t>
      </w:r>
      <w:r w:rsidR="00B079F2">
        <w:t xml:space="preserve">not only </w:t>
      </w:r>
      <w:r w:rsidR="002E0D06">
        <w:t xml:space="preserve">regarding health </w:t>
      </w:r>
      <w:r w:rsidR="00B079F2">
        <w:t xml:space="preserve">service </w:t>
      </w:r>
      <w:r w:rsidR="002E0D06">
        <w:t>productivity</w:t>
      </w:r>
      <w:r>
        <w:t>, but also health outcomes relating to NHS provision.</w:t>
      </w:r>
      <w:r w:rsidR="002E0D06">
        <w:t xml:space="preserve"> </w:t>
      </w:r>
    </w:p>
    <w:p w14:paraId="7DC10991" w14:textId="77777777" w:rsidR="00C07558" w:rsidRDefault="00C07558" w:rsidP="0005421D">
      <w:pPr>
        <w:pStyle w:val="Body"/>
        <w:spacing w:line="288" w:lineRule="auto"/>
        <w:jc w:val="both"/>
      </w:pPr>
    </w:p>
    <w:p w14:paraId="1502EAD8" w14:textId="6161C82C" w:rsidR="0005421D" w:rsidRDefault="00D77EF9" w:rsidP="0005421D">
      <w:pPr>
        <w:pStyle w:val="Body"/>
        <w:spacing w:line="288" w:lineRule="auto"/>
        <w:jc w:val="both"/>
      </w:pPr>
      <w:r>
        <w:t xml:space="preserve">We conclude by considering the lessons of the pandemic experience for </w:t>
      </w:r>
      <w:r w:rsidR="002E0D06">
        <w:t xml:space="preserve">service resilience, and the </w:t>
      </w:r>
      <w:r>
        <w:t>consequences</w:t>
      </w:r>
      <w:r w:rsidR="002E0D06">
        <w:t xml:space="preserve"> for resourcing and managing the health service</w:t>
      </w:r>
      <w:r>
        <w:t xml:space="preserve">. We </w:t>
      </w:r>
      <w:r w:rsidR="003C1DA8">
        <w:t>conclude by arguing</w:t>
      </w:r>
      <w:r>
        <w:t xml:space="preserve"> for considering health services</w:t>
      </w:r>
      <w:r w:rsidR="002E0D06">
        <w:t xml:space="preserve"> as a key component of the UK’s social infrastructure</w:t>
      </w:r>
      <w:r>
        <w:t>, implying a need for sufficient additional capacity for peak loads</w:t>
      </w:r>
      <w:r w:rsidR="002E0D06">
        <w:t>.</w:t>
      </w:r>
      <w:r>
        <w:t xml:space="preserve"> The emphasis on short-term cost efficiency has militated against having a capacity margin</w:t>
      </w:r>
      <w:r w:rsidR="00DF582B">
        <w:t xml:space="preserve"> with option value</w:t>
      </w:r>
      <w:r>
        <w:t xml:space="preserve"> that would have limited the output fall during the pandemic, but more importantly would also have led to improved health outcomes compared to those the UK will experience, and thus improved productivity potential over the longer term.</w:t>
      </w:r>
      <w:r w:rsidR="0005421D">
        <w:t xml:space="preserve"> For productivity to be a useful concept in the face of uncertain future shocks, it should not ignore the expected value of output in a wide range of circumstance.</w:t>
      </w:r>
    </w:p>
    <w:p w14:paraId="4EC5361F" w14:textId="77777777" w:rsidR="00B22741" w:rsidRPr="008570C4" w:rsidRDefault="00B22741">
      <w:pPr>
        <w:pStyle w:val="Body"/>
        <w:spacing w:line="288" w:lineRule="auto"/>
        <w:jc w:val="both"/>
        <w:rPr>
          <w:sz w:val="28"/>
          <w:szCs w:val="28"/>
        </w:rPr>
      </w:pPr>
    </w:p>
    <w:p w14:paraId="7EBA27E3" w14:textId="4201A4D7" w:rsidR="00B22741" w:rsidRPr="008570C4" w:rsidRDefault="002E0D06" w:rsidP="008570C4">
      <w:pPr>
        <w:pStyle w:val="Body"/>
        <w:numPr>
          <w:ilvl w:val="0"/>
          <w:numId w:val="6"/>
        </w:numPr>
        <w:spacing w:line="288" w:lineRule="auto"/>
        <w:jc w:val="both"/>
        <w:rPr>
          <w:b/>
          <w:bCs/>
          <w:sz w:val="28"/>
          <w:szCs w:val="28"/>
        </w:rPr>
      </w:pPr>
      <w:r w:rsidRPr="008570C4">
        <w:rPr>
          <w:b/>
          <w:bCs/>
          <w:sz w:val="28"/>
          <w:szCs w:val="28"/>
        </w:rPr>
        <w:t>Measurement of health service output and productivity</w:t>
      </w:r>
    </w:p>
    <w:p w14:paraId="46992D7F" w14:textId="77777777" w:rsidR="00B22741" w:rsidRDefault="00B22741">
      <w:pPr>
        <w:pStyle w:val="Body"/>
        <w:spacing w:line="288" w:lineRule="auto"/>
        <w:jc w:val="both"/>
        <w:rPr>
          <w:b/>
          <w:bCs/>
        </w:rPr>
      </w:pPr>
    </w:p>
    <w:p w14:paraId="5F6A8DDD" w14:textId="77777777" w:rsidR="003C1DA8" w:rsidRDefault="009A4884">
      <w:pPr>
        <w:pStyle w:val="Body"/>
        <w:spacing w:line="288" w:lineRule="auto"/>
        <w:jc w:val="both"/>
      </w:pPr>
      <w:r>
        <w:t xml:space="preserve">Total </w:t>
      </w:r>
      <w:r w:rsidR="003C1DA8">
        <w:t xml:space="preserve">UK government </w:t>
      </w:r>
      <w:r>
        <w:t>expenditure on health has increased significantly during the pandemic, amounting to an additional £</w:t>
      </w:r>
      <w:r w:rsidR="003D1EB8">
        <w:t>50</w:t>
      </w:r>
      <w:r>
        <w:t xml:space="preserve">bn for the National Health Service (NHS) </w:t>
      </w:r>
      <w:r w:rsidR="003D1EB8">
        <w:t xml:space="preserve">for Covid19 response </w:t>
      </w:r>
      <w:r>
        <w:t>in 2020</w:t>
      </w:r>
      <w:r w:rsidR="003D1EB8">
        <w:t xml:space="preserve">. </w:t>
      </w:r>
      <w:r>
        <w:t>However, t</w:t>
      </w:r>
      <w:r w:rsidR="002E0D06">
        <w:t>he measurement of public sector output</w:t>
      </w:r>
      <w:r>
        <w:t xml:space="preserve"> including health </w:t>
      </w:r>
      <w:r w:rsidR="002E0D06">
        <w:t xml:space="preserve">in volume terms, and consequently the productivity of public services, has always been challenging because there are no market prices </w:t>
      </w:r>
      <w:r>
        <w:t xml:space="preserve">with which </w:t>
      </w:r>
      <w:r w:rsidR="002E0D06">
        <w:t xml:space="preserve">to deflate expenditure. </w:t>
      </w:r>
    </w:p>
    <w:p w14:paraId="16929C13" w14:textId="77777777" w:rsidR="003C1DA8" w:rsidRDefault="003C1DA8">
      <w:pPr>
        <w:pStyle w:val="Body"/>
        <w:spacing w:line="288" w:lineRule="auto"/>
        <w:jc w:val="both"/>
      </w:pPr>
    </w:p>
    <w:p w14:paraId="7D7328B1" w14:textId="3BBB067E" w:rsidR="00B22741" w:rsidRDefault="002E0D06">
      <w:pPr>
        <w:pStyle w:val="Body"/>
        <w:spacing w:line="288" w:lineRule="auto"/>
        <w:jc w:val="both"/>
      </w:pPr>
      <w:r>
        <w:t xml:space="preserve">For many years the convention everywhere was to assume the value of outputs was the same as the value of inputs. </w:t>
      </w:r>
      <w:r w:rsidR="003C1DA8">
        <w:t>Yet e</w:t>
      </w:r>
      <w:r>
        <w:t xml:space="preserve">ven when all statistical offices were using this same </w:t>
      </w:r>
      <w:r w:rsidR="003C1DA8">
        <w:t xml:space="preserve">straightforward </w:t>
      </w:r>
      <w:r>
        <w:t>methodology, comparisons across countries have never been straightforward because the mix of public and private provision differs</w:t>
      </w:r>
      <w:r w:rsidR="00D20E33">
        <w:t xml:space="preserve">. </w:t>
      </w:r>
      <w:r w:rsidR="003C1DA8">
        <w:t>T</w:t>
      </w:r>
      <w:r w:rsidR="00D20E33">
        <w:t xml:space="preserve">hese </w:t>
      </w:r>
      <w:r>
        <w:t>rang</w:t>
      </w:r>
      <w:r w:rsidR="00D20E33">
        <w:t>e</w:t>
      </w:r>
      <w:r>
        <w:t xml:space="preserve"> from largely public in the UK through the NHS to largely private in the US. Over time, the methodological practices have diverged too (Schreyer &amp; Mas 2018), with the ONS having gone further than </w:t>
      </w:r>
      <w:r w:rsidR="009A4884">
        <w:t xml:space="preserve">most </w:t>
      </w:r>
      <w:r>
        <w:t>others in adopting direct measures of outputs for use in the national accounts</w:t>
      </w:r>
      <w:r w:rsidR="009A4884">
        <w:t>,</w:t>
      </w:r>
      <w:r w:rsidR="00D20E33">
        <w:rPr>
          <w:rStyle w:val="FootnoteReference"/>
        </w:rPr>
        <w:footnoteReference w:id="3"/>
      </w:r>
      <w:r>
        <w:t xml:space="preserve"> and in developing quality-adjusted output for the separate </w:t>
      </w:r>
      <w:r>
        <w:lastRenderedPageBreak/>
        <w:t xml:space="preserve">measurement of public sector productivity.  Further complications arise in comparing outcomes to outputs - for instance, public health and environmental factors as well as hospital or GP treatments affect health outcomes. Here, we focus </w:t>
      </w:r>
      <w:r w:rsidR="00B079F2">
        <w:t>first</w:t>
      </w:r>
      <w:r>
        <w:t xml:space="preserve"> on outputs, but outcomes are what matter in contributing to the productivity of the whole economy, and we return to this in the final section. </w:t>
      </w:r>
    </w:p>
    <w:p w14:paraId="45ECFA0C" w14:textId="77777777" w:rsidR="00B22741" w:rsidRDefault="00B22741">
      <w:pPr>
        <w:pStyle w:val="Body"/>
        <w:spacing w:line="288" w:lineRule="auto"/>
        <w:jc w:val="both"/>
      </w:pPr>
    </w:p>
    <w:p w14:paraId="27CF09D2" w14:textId="15F349A2" w:rsidR="00507E8B" w:rsidRDefault="002E0D06" w:rsidP="00507E8B">
      <w:pPr>
        <w:pStyle w:val="Body"/>
        <w:spacing w:line="288" w:lineRule="auto"/>
        <w:jc w:val="both"/>
      </w:pPr>
      <w:r>
        <w:t>According to the published statistics</w:t>
      </w:r>
      <w:r w:rsidR="009A4884">
        <w:t xml:space="preserve"> to date</w:t>
      </w:r>
      <w:r>
        <w:t>, public services’ contribution to GDP plunged in the UK</w:t>
      </w:r>
      <w:r w:rsidR="00DF582B">
        <w:t xml:space="preserve"> in mid-2020</w:t>
      </w:r>
      <w:r>
        <w:t xml:space="preserve">, in contrast to some other European countries: Figure 1 shows the quarterly percentage changes in volume terms </w:t>
      </w:r>
      <w:r w:rsidR="003C1DA8">
        <w:t xml:space="preserve">general </w:t>
      </w:r>
      <w:r>
        <w:t xml:space="preserve">government </w:t>
      </w:r>
      <w:r w:rsidR="003C1DA8">
        <w:t xml:space="preserve">final </w:t>
      </w:r>
      <w:r>
        <w:t xml:space="preserve">consumption expenditure </w:t>
      </w:r>
      <w:r w:rsidR="003C1DA8">
        <w:t xml:space="preserve">(GGFCE) </w:t>
      </w:r>
      <w:r>
        <w:t xml:space="preserve">for the UK and four EU countries. </w:t>
      </w:r>
      <w:r w:rsidR="00B079F2">
        <w:t xml:space="preserve">The public service outputs included in these figures are </w:t>
      </w:r>
      <w:r w:rsidR="00B079F2" w:rsidRPr="00B079F2">
        <w:rPr>
          <w:u w:val="single"/>
        </w:rPr>
        <w:t>not</w:t>
      </w:r>
      <w:r w:rsidR="00B079F2">
        <w:t xml:space="preserve"> quality adjusted</w:t>
      </w:r>
      <w:r w:rsidR="003C1DA8">
        <w:t>. T</w:t>
      </w:r>
      <w:r w:rsidR="00B079F2">
        <w:t>he measurement methods differ in the scope of the use of the “outputs=inputs” approach compared to direct measurement of activities</w:t>
      </w:r>
      <w:r w:rsidR="003C1DA8">
        <w:t>, and in the construction of index numbers of output across different activities</w:t>
      </w:r>
      <w:r w:rsidR="00B079F2">
        <w:t xml:space="preserve">. </w:t>
      </w:r>
      <w:r w:rsidR="00DF582B">
        <w:t>It is not clear t</w:t>
      </w:r>
      <w:r>
        <w:t xml:space="preserve">o what extent </w:t>
      </w:r>
      <w:r w:rsidR="00B079F2">
        <w:t>the contrasts</w:t>
      </w:r>
      <w:r>
        <w:t xml:space="preserve"> </w:t>
      </w:r>
      <w:r w:rsidR="00DF582B">
        <w:t xml:space="preserve">are </w:t>
      </w:r>
      <w:r>
        <w:t>due to difference</w:t>
      </w:r>
      <w:r w:rsidR="003C1DA8">
        <w:t>s</w:t>
      </w:r>
      <w:r>
        <w:t xml:space="preserve"> in measurement methods</w:t>
      </w:r>
      <w:r w:rsidR="00DF582B">
        <w:t>, and an OECD/ONS project is under way to compare measures across different countries.</w:t>
      </w:r>
      <w:r w:rsidR="00507E8B">
        <w:t xml:space="preserve"> </w:t>
      </w:r>
      <w:r w:rsidR="003C1DA8">
        <w:t>Meanwhile</w:t>
      </w:r>
      <w:r w:rsidR="00507E8B">
        <w:t xml:space="preserve"> ONS </w:t>
      </w:r>
      <w:r w:rsidR="003C1DA8">
        <w:t xml:space="preserve">has </w:t>
      </w:r>
      <w:r w:rsidR="00507E8B">
        <w:t>report</w:t>
      </w:r>
      <w:r w:rsidR="003C1DA8">
        <w:t>ed</w:t>
      </w:r>
      <w:r w:rsidR="00507E8B">
        <w:t xml:space="preserve"> that </w:t>
      </w:r>
      <w:r w:rsidR="003C1DA8">
        <w:t xml:space="preserve">their </w:t>
      </w:r>
      <w:r w:rsidR="00507E8B">
        <w:t xml:space="preserve">discussions suggest </w:t>
      </w:r>
      <w:r w:rsidR="003C1DA8">
        <w:t>direct measurement is generally used</w:t>
      </w:r>
      <w:r w:rsidR="00507E8B">
        <w:t xml:space="preserve"> to a lesser extent than in the UK.</w:t>
      </w:r>
      <w:r w:rsidR="00507E8B">
        <w:rPr>
          <w:rStyle w:val="FootnoteReference"/>
        </w:rPr>
        <w:footnoteReference w:id="4"/>
      </w:r>
    </w:p>
    <w:p w14:paraId="7ED800BF" w14:textId="77777777" w:rsidR="00B22741" w:rsidRDefault="00B22741">
      <w:pPr>
        <w:pStyle w:val="Body"/>
        <w:spacing w:line="288" w:lineRule="auto"/>
        <w:jc w:val="both"/>
      </w:pPr>
    </w:p>
    <w:p w14:paraId="6571E561" w14:textId="0B6263DC" w:rsidR="009A4884" w:rsidRDefault="009A4884" w:rsidP="009A4884">
      <w:pPr>
        <w:pStyle w:val="Body"/>
        <w:spacing w:line="288" w:lineRule="auto"/>
        <w:jc w:val="both"/>
        <w:rPr>
          <w:i/>
          <w:iCs/>
        </w:rPr>
      </w:pPr>
      <w:r>
        <w:rPr>
          <w:i/>
          <w:iCs/>
        </w:rPr>
        <w:t>Figure 1: Quarterly % change in GGFCE, volume terms, SA</w:t>
      </w:r>
    </w:p>
    <w:p w14:paraId="5D79A589" w14:textId="4CD69E1E" w:rsidR="009A4884" w:rsidRDefault="00350158" w:rsidP="009A4884">
      <w:pPr>
        <w:pStyle w:val="Body"/>
        <w:spacing w:line="288" w:lineRule="auto"/>
        <w:jc w:val="both"/>
      </w:pPr>
      <w:r>
        <w:rPr>
          <w:noProof/>
          <w14:textOutline w14:w="0" w14:cap="rnd" w14:cmpd="sng" w14:algn="ctr">
            <w14:noFill/>
            <w14:prstDash w14:val="solid"/>
            <w14:bevel/>
          </w14:textOutline>
        </w:rPr>
        <w:drawing>
          <wp:inline distT="0" distB="0" distL="0" distR="0" wp14:anchorId="607CC614" wp14:editId="7EA0896B">
            <wp:extent cx="5814430" cy="4387065"/>
            <wp:effectExtent l="0" t="0" r="2540" b="0"/>
            <wp:docPr id="4" name="Picture 4"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waterfall chart&#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817939" cy="4389712"/>
                    </a:xfrm>
                    <a:prstGeom prst="rect">
                      <a:avLst/>
                    </a:prstGeom>
                  </pic:spPr>
                </pic:pic>
              </a:graphicData>
            </a:graphic>
          </wp:inline>
        </w:drawing>
      </w:r>
    </w:p>
    <w:p w14:paraId="1ED056CF" w14:textId="55D591A2" w:rsidR="009A4884" w:rsidRPr="00921810" w:rsidRDefault="009A4884" w:rsidP="009A4884">
      <w:pPr>
        <w:pStyle w:val="Body"/>
        <w:spacing w:line="288" w:lineRule="auto"/>
        <w:rPr>
          <w:rStyle w:val="Hyperlink0"/>
          <w:sz w:val="18"/>
          <w:szCs w:val="18"/>
        </w:rPr>
      </w:pPr>
      <w:r w:rsidRPr="00921810">
        <w:rPr>
          <w:sz w:val="18"/>
          <w:szCs w:val="18"/>
        </w:rPr>
        <w:t xml:space="preserve">Source: </w:t>
      </w:r>
      <w:hyperlink r:id="rId15" w:history="1">
        <w:r w:rsidRPr="00921810">
          <w:rPr>
            <w:rStyle w:val="Hyperlink0"/>
            <w:sz w:val="18"/>
            <w:szCs w:val="18"/>
          </w:rPr>
          <w:t>https://ec.europa.eu/eurostat/databrowser/view/teina031/default/table?lang=en</w:t>
        </w:r>
      </w:hyperlink>
      <w:r w:rsidRPr="00921810">
        <w:rPr>
          <w:sz w:val="18"/>
          <w:szCs w:val="18"/>
        </w:rPr>
        <w:t>; ONS 22/12/20 Economic Accounts release for UK figures (KH2J)</w:t>
      </w:r>
      <w:r w:rsidR="00921810">
        <w:rPr>
          <w:sz w:val="18"/>
          <w:szCs w:val="18"/>
        </w:rPr>
        <w:t xml:space="preserve">; </w:t>
      </w:r>
      <w:hyperlink r:id="rId16" w:history="1">
        <w:r w:rsidR="00921810" w:rsidRPr="007D146A">
          <w:rPr>
            <w:rStyle w:val="Hyperlink"/>
            <w:sz w:val="18"/>
            <w:szCs w:val="18"/>
          </w:rPr>
          <w:t>https://www.ons.gov.uk/economy/nationalaccounts/uksectoraccounts/datasets/unitedkingdomeconomicaccountsmainaggregates</w:t>
        </w:r>
      </w:hyperlink>
    </w:p>
    <w:p w14:paraId="636DC461" w14:textId="77777777" w:rsidR="009A4884" w:rsidRDefault="009A4884" w:rsidP="009A4884">
      <w:pPr>
        <w:pStyle w:val="Body"/>
        <w:spacing w:line="288" w:lineRule="auto"/>
        <w:rPr>
          <w:sz w:val="20"/>
          <w:szCs w:val="20"/>
        </w:rPr>
      </w:pPr>
    </w:p>
    <w:p w14:paraId="3FA1988C" w14:textId="23B83BD5" w:rsidR="00B22741" w:rsidRDefault="002E0D06">
      <w:pPr>
        <w:pStyle w:val="Body"/>
        <w:spacing w:line="288" w:lineRule="auto"/>
        <w:jc w:val="both"/>
      </w:pPr>
      <w:r>
        <w:t>The evolution of health service measurement</w:t>
      </w:r>
      <w:r w:rsidR="00B079F2">
        <w:t xml:space="preserve"> in the UK</w:t>
      </w:r>
      <w:r w:rsidR="009A4884">
        <w:t xml:space="preserve"> – both the volume-terms output figures feeding into GDP and the separate productivity figures –</w:t>
      </w:r>
      <w:r w:rsidR="00DF582B">
        <w:t xml:space="preserve"> </w:t>
      </w:r>
      <w:r>
        <w:t xml:space="preserve">is described in Foxton et al (2019). The 1993 System of National Accounts (SNA) first recommended moving away from the </w:t>
      </w:r>
      <w:r w:rsidR="00D20E33">
        <w:t>‘</w:t>
      </w:r>
      <w:r>
        <w:t>output</w:t>
      </w:r>
      <w:r w:rsidR="00D20E33">
        <w:t>s</w:t>
      </w:r>
      <w:r>
        <w:t>=inputs</w:t>
      </w:r>
      <w:r w:rsidR="00D20E33">
        <w:t>’</w:t>
      </w:r>
      <w:r>
        <w:t xml:space="preserve"> convention in favour of direct output measures for public services, as discussed below. ONS implemented this in the UK, but other statistical offices </w:t>
      </w:r>
      <w:r w:rsidR="00D20E33">
        <w:t xml:space="preserve">either </w:t>
      </w:r>
      <w:r>
        <w:t>did not</w:t>
      </w:r>
      <w:r w:rsidR="00D20E33">
        <w:t xml:space="preserve">, or did so to </w:t>
      </w:r>
      <w:r w:rsidR="009A4884">
        <w:t xml:space="preserve">a </w:t>
      </w:r>
      <w:r w:rsidR="00D20E33">
        <w:t xml:space="preserve">lesser degree, or used alternative measures </w:t>
      </w:r>
      <w:r w:rsidR="009A4884">
        <w:t>altogether</w:t>
      </w:r>
      <w:r>
        <w:t xml:space="preserve">. </w:t>
      </w:r>
      <w:r w:rsidR="009A4884">
        <w:t>The</w:t>
      </w:r>
      <w:r w:rsidR="00D20E33">
        <w:t xml:space="preserve"> UK’s </w:t>
      </w:r>
      <w:r>
        <w:t xml:space="preserve">early experience of making this switch in the late 1990s was paradoxically to make measured public service productivity </w:t>
      </w:r>
      <w:r>
        <w:rPr>
          <w:i/>
          <w:iCs/>
        </w:rPr>
        <w:t>decline</w:t>
      </w:r>
      <w:r>
        <w:t>, the explanation being that statisticians initially used</w:t>
      </w:r>
      <w:r w:rsidR="009A4884">
        <w:t xml:space="preserve"> certain</w:t>
      </w:r>
      <w:r>
        <w:t xml:space="preserve"> </w:t>
      </w:r>
      <w:r w:rsidR="009A4884">
        <w:t>activity</w:t>
      </w:r>
      <w:r w:rsidR="0083550C">
        <w:t xml:space="preserve"> </w:t>
      </w:r>
      <w:r w:rsidR="00B079F2">
        <w:t xml:space="preserve">input </w:t>
      </w:r>
      <w:r>
        <w:t xml:space="preserve">measures (such as number of operations) rather than </w:t>
      </w:r>
      <w:r w:rsidR="009A4884">
        <w:t xml:space="preserve">health service </w:t>
      </w:r>
      <w:r w:rsidR="0083550C">
        <w:t>out</w:t>
      </w:r>
      <w:r w:rsidR="00B079F2">
        <w:t>put</w:t>
      </w:r>
      <w:r w:rsidR="0083550C">
        <w:t xml:space="preserve"> </w:t>
      </w:r>
      <w:r>
        <w:t xml:space="preserve">measures (the health improvements resulting from the operations). The Atkinson Review (2005), commissioned </w:t>
      </w:r>
      <w:r w:rsidR="003C1DA8">
        <w:t>as a result</w:t>
      </w:r>
      <w:r>
        <w:t xml:space="preserve">, therefore firmly recommended </w:t>
      </w:r>
      <w:r w:rsidR="009A4884">
        <w:t xml:space="preserve">what it described somewhat loosely as </w:t>
      </w:r>
      <w:r>
        <w:t xml:space="preserve">a ‘value added’ approach, </w:t>
      </w:r>
      <w:r w:rsidR="009A4884">
        <w:t xml:space="preserve">in line </w:t>
      </w:r>
      <w:r>
        <w:t>with the principles of national accounting.</w:t>
      </w:r>
      <w:r>
        <w:rPr>
          <w:vertAlign w:val="superscript"/>
        </w:rPr>
        <w:footnoteReference w:id="5"/>
      </w:r>
      <w:r>
        <w:t xml:space="preserve"> In other words, what was the difference the public service activity made to </w:t>
      </w:r>
      <w:r w:rsidR="00B079F2">
        <w:t>health</w:t>
      </w:r>
      <w:r>
        <w:t xml:space="preserve">? </w:t>
      </w:r>
      <w:r w:rsidR="009A4884">
        <w:t xml:space="preserve">The Atkinson Review led to refinements in the measurement of direct outputs and also the quality adjustment of outputs. </w:t>
      </w:r>
      <w:r w:rsidR="00B079F2">
        <w:t>Its</w:t>
      </w:r>
      <w:r>
        <w:t xml:space="preserve"> perspective was adopted in the 2008 SNA but not in the EU</w:t>
      </w:r>
      <w:r w:rsidR="0083550C">
        <w:t>’s 2010 ESA guidance</w:t>
      </w:r>
      <w:r>
        <w:t xml:space="preserve">. </w:t>
      </w:r>
      <w:r w:rsidR="009A4884">
        <w:t>Hence the UK public service output and GDP have been to date constructed differently from the separate UK public service productivity figures, as explained further below.</w:t>
      </w:r>
      <w:r w:rsidR="00B079F2">
        <w:t xml:space="preserve"> ONS has gone further than other statistical offices in developing these latter, quality-adjusted, productivity figures, but these are not used in constructing the output figures in GDP.</w:t>
      </w:r>
    </w:p>
    <w:p w14:paraId="356601C3" w14:textId="77777777" w:rsidR="00B22741" w:rsidRDefault="00B22741">
      <w:pPr>
        <w:pStyle w:val="Body"/>
        <w:spacing w:line="288" w:lineRule="auto"/>
        <w:jc w:val="both"/>
      </w:pPr>
    </w:p>
    <w:p w14:paraId="2EB94862" w14:textId="346039E6" w:rsidR="00B22741" w:rsidRDefault="009A4884">
      <w:pPr>
        <w:pStyle w:val="Body"/>
        <w:spacing w:line="288" w:lineRule="auto"/>
        <w:jc w:val="both"/>
      </w:pPr>
      <w:r>
        <w:t>However, even within the ESA 2010 framework, countries differ in the extent to which they use the outputs=inputs versus direct output measures</w:t>
      </w:r>
      <w:r w:rsidR="00576089">
        <w:t xml:space="preserve"> (Schreyer and Mas, 2018, Table 1.1)</w:t>
      </w:r>
      <w:r>
        <w:t xml:space="preserve">. </w:t>
      </w:r>
      <w:r w:rsidR="002E0D06">
        <w:t xml:space="preserve">As Figure 1 shows, the profile of change in volume-terms government expenditures thus differs greatly across countries. </w:t>
      </w:r>
    </w:p>
    <w:p w14:paraId="6A99F4C9" w14:textId="77777777" w:rsidR="003C1DA8" w:rsidRDefault="003C1DA8">
      <w:pPr>
        <w:pStyle w:val="Body"/>
        <w:spacing w:line="288" w:lineRule="auto"/>
        <w:jc w:val="both"/>
      </w:pPr>
    </w:p>
    <w:p w14:paraId="151A957F" w14:textId="2F7F8FC0" w:rsidR="00B22741" w:rsidRDefault="003C1DA8">
      <w:pPr>
        <w:pStyle w:val="Body"/>
        <w:spacing w:line="288" w:lineRule="auto"/>
        <w:jc w:val="both"/>
      </w:pPr>
      <w:r>
        <w:t>To explain the UK decline, p</w:t>
      </w:r>
      <w:r w:rsidR="002E0D06">
        <w:t>ublic service output in</w:t>
      </w:r>
      <w:r w:rsidR="00921810">
        <w:t xml:space="preserve"> </w:t>
      </w:r>
      <w:r w:rsidR="002E0D06">
        <w:t xml:space="preserve">UK </w:t>
      </w:r>
      <w:r w:rsidR="00A619A1">
        <w:t xml:space="preserve">GDP, comprising </w:t>
      </w:r>
      <w:r w:rsidR="002E0D06">
        <w:t xml:space="preserve">one-fifth of </w:t>
      </w:r>
      <w:r w:rsidR="00A619A1">
        <w:t>the total,</w:t>
      </w:r>
      <w:r w:rsidR="002E0D06">
        <w:t xml:space="preserve"> is currently measured as follow</w:t>
      </w:r>
      <w:r w:rsidR="00372E47">
        <w:t>s</w:t>
      </w:r>
      <w:r w:rsidR="002E0D06">
        <w:t>:</w:t>
      </w:r>
      <w:r w:rsidR="00372E47">
        <w:rPr>
          <w:vertAlign w:val="superscript"/>
        </w:rPr>
        <w:footnoteReference w:id="6"/>
      </w:r>
    </w:p>
    <w:p w14:paraId="37E5DDF6" w14:textId="77777777" w:rsidR="00B22741" w:rsidRDefault="00B22741">
      <w:pPr>
        <w:pStyle w:val="Body"/>
        <w:spacing w:line="288" w:lineRule="auto"/>
        <w:jc w:val="both"/>
      </w:pPr>
    </w:p>
    <w:p w14:paraId="08810262" w14:textId="469741D3" w:rsidR="00B22741" w:rsidRDefault="002E0D06">
      <w:pPr>
        <w:pStyle w:val="Body"/>
        <w:numPr>
          <w:ilvl w:val="0"/>
          <w:numId w:val="2"/>
        </w:numPr>
        <w:spacing w:line="288" w:lineRule="auto"/>
        <w:jc w:val="both"/>
      </w:pPr>
      <w:r>
        <w:t>just under two-fifths</w:t>
      </w:r>
      <w:r w:rsidR="00B079F2">
        <w:t xml:space="preserve"> of the total</w:t>
      </w:r>
      <w:r>
        <w:t xml:space="preserve"> (37.8% in 2015</w:t>
      </w:r>
      <w:r w:rsidR="00B079F2">
        <w:t>)</w:t>
      </w:r>
      <w:r>
        <w:t xml:space="preserve"> </w:t>
      </w:r>
      <w:r w:rsidR="00B079F2">
        <w:t>and</w:t>
      </w:r>
      <w:r>
        <w:t xml:space="preserve"> 10.1% of healthcare is still measured using the </w:t>
      </w:r>
      <w:r w:rsidR="0083550C">
        <w:t>‘</w:t>
      </w:r>
      <w:r>
        <w:t>output</w:t>
      </w:r>
      <w:r w:rsidR="0083550C">
        <w:t>s</w:t>
      </w:r>
      <w:r>
        <w:t>=input</w:t>
      </w:r>
      <w:r w:rsidR="0083550C">
        <w:t>s’</w:t>
      </w:r>
      <w:r>
        <w:t xml:space="preserve"> convention, </w:t>
      </w:r>
      <w:r w:rsidR="00B079F2">
        <w:t>with inputs consisting</w:t>
      </w:r>
      <w:r>
        <w:t xml:space="preserve"> of labour, capital consumption such as the depreciation of buildings or equipment, and intermediate purchases such as supplies. This </w:t>
      </w:r>
      <w:r w:rsidR="00A619A1">
        <w:t xml:space="preserve">category </w:t>
      </w:r>
      <w:r>
        <w:t>covers ‘collective services’ such as defence.</w:t>
      </w:r>
    </w:p>
    <w:p w14:paraId="57AEAFC1" w14:textId="1481D940" w:rsidR="00B079F2" w:rsidRDefault="00A619A1" w:rsidP="00B079F2">
      <w:pPr>
        <w:pStyle w:val="Body"/>
        <w:numPr>
          <w:ilvl w:val="0"/>
          <w:numId w:val="2"/>
        </w:numPr>
        <w:spacing w:line="288" w:lineRule="auto"/>
        <w:jc w:val="both"/>
      </w:pPr>
      <w:r>
        <w:t>The remaining 62.2%</w:t>
      </w:r>
      <w:r w:rsidR="00B079F2">
        <w:t xml:space="preserve"> of total public service output (and 89.9% of health)</w:t>
      </w:r>
      <w:r>
        <w:t xml:space="preserve"> </w:t>
      </w:r>
      <w:r w:rsidR="002E0D06">
        <w:t>is measured as ‘quantity output’</w:t>
      </w:r>
      <w:r w:rsidR="00B079F2">
        <w:t>. T</w:t>
      </w:r>
      <w:r w:rsidR="002E0D06">
        <w:t xml:space="preserve">he volume of output is a </w:t>
      </w:r>
      <w:r>
        <w:t>cost-weighted activity index: the</w:t>
      </w:r>
      <w:r w:rsidR="002E0D06">
        <w:t xml:space="preserve"> sum of the change </w:t>
      </w:r>
      <w:r w:rsidR="002E0D06">
        <w:lastRenderedPageBreak/>
        <w:t>in the level of different activities, which in the case of hospitals are grouped in terms of the diseases treated</w:t>
      </w:r>
      <w:r>
        <w:t>, weighted by their unit costs</w:t>
      </w:r>
      <w:r w:rsidR="00B079F2">
        <w:t>:</w:t>
      </w:r>
      <w:r w:rsidR="00B079F2">
        <w:rPr>
          <w:rStyle w:val="FootnoteReference"/>
        </w:rPr>
        <w:footnoteReference w:id="7"/>
      </w:r>
      <w:r w:rsidR="002E0D06">
        <w:t xml:space="preserve"> </w:t>
      </w:r>
    </w:p>
    <w:p w14:paraId="69D84F54" w14:textId="2A683471" w:rsidR="00B079F2" w:rsidRDefault="00B079F2" w:rsidP="00B079F2">
      <w:pPr>
        <w:pStyle w:val="Body"/>
        <w:spacing w:line="288" w:lineRule="auto"/>
        <w:jc w:val="both"/>
      </w:pPr>
    </w:p>
    <w:p w14:paraId="7AB08E3E" w14:textId="1038411F" w:rsidR="00B079F2" w:rsidRPr="00B079F2" w:rsidRDefault="00B079F2" w:rsidP="00B079F2">
      <w:pPr>
        <w:pStyle w:val="Body"/>
        <w:spacing w:line="288" w:lineRule="auto"/>
        <w:jc w:val="center"/>
        <w:rPr>
          <w:sz w:val="32"/>
          <w:szCs w:val="32"/>
        </w:rPr>
      </w:pPr>
      <m:oMath>
        <m:r>
          <m:rPr>
            <m:sty m:val="p"/>
          </m:rPr>
          <w:rPr>
            <w:rFonts w:ascii="Cambria Math" w:hAnsi="Cambria Math"/>
            <w:sz w:val="32"/>
            <w:szCs w:val="32"/>
          </w:rPr>
          <m:t>Δ</m:t>
        </m:r>
        <m:r>
          <w:rPr>
            <w:rFonts w:ascii="Cambria Math" w:hAnsi="Cambria Math"/>
            <w:sz w:val="32"/>
            <w:szCs w:val="32"/>
          </w:rPr>
          <m:t xml:space="preserve"> </m:t>
        </m:r>
        <m:sSub>
          <m:sSubPr>
            <m:ctrlPr>
              <w:rPr>
                <w:rFonts w:ascii="Cambria Math" w:hAnsi="Cambria Math"/>
                <w:i/>
                <w:sz w:val="32"/>
                <w:szCs w:val="32"/>
              </w:rPr>
            </m:ctrlPr>
          </m:sSubPr>
          <m:e>
            <m:r>
              <w:rPr>
                <w:rFonts w:ascii="Cambria Math" w:hAnsi="Cambria Math"/>
                <w:sz w:val="32"/>
                <w:szCs w:val="32"/>
              </w:rPr>
              <m:t>O</m:t>
            </m:r>
          </m:e>
          <m:sub>
            <m:r>
              <w:rPr>
                <w:rFonts w:ascii="Cambria Math" w:hAnsi="Cambria Math"/>
                <w:sz w:val="32"/>
                <w:szCs w:val="32"/>
              </w:rPr>
              <m:t>t</m:t>
            </m:r>
          </m:sub>
        </m:sSub>
        <m:r>
          <w:rPr>
            <w:rFonts w:ascii="Cambria Math" w:hAnsi="Cambria Math"/>
            <w:sz w:val="32"/>
            <w:szCs w:val="32"/>
          </w:rPr>
          <m:t xml:space="preserve">= </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j,t-1</m:t>
                    </m:r>
                  </m:sub>
                </m:sSub>
                <m:r>
                  <w:rPr>
                    <w:rFonts w:ascii="Cambria Math" w:hAnsi="Cambria Math"/>
                    <w:sz w:val="32"/>
                    <w:szCs w:val="32"/>
                  </w:rPr>
                  <m:t>a</m:t>
                </m:r>
              </m:e>
              <m:sub>
                <m:r>
                  <w:rPr>
                    <w:rFonts w:ascii="Cambria Math" w:hAnsi="Cambria Math"/>
                    <w:sz w:val="32"/>
                    <w:szCs w:val="32"/>
                  </w:rPr>
                  <m:t xml:space="preserve">j,t </m:t>
                </m:r>
              </m:sub>
            </m:sSub>
          </m:e>
        </m:nary>
        <m:r>
          <m:rPr>
            <m:lit/>
          </m:rP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j,t-1</m:t>
                    </m:r>
                  </m:sub>
                </m:sSub>
                <m:r>
                  <w:rPr>
                    <w:rFonts w:ascii="Cambria Math" w:hAnsi="Cambria Math"/>
                    <w:sz w:val="32"/>
                    <w:szCs w:val="32"/>
                  </w:rPr>
                  <m:t>a</m:t>
                </m:r>
              </m:e>
              <m:sub>
                <m:r>
                  <w:rPr>
                    <w:rFonts w:ascii="Cambria Math" w:hAnsi="Cambria Math"/>
                    <w:sz w:val="32"/>
                    <w:szCs w:val="32"/>
                  </w:rPr>
                  <m:t xml:space="preserve">j,t-1 </m:t>
                </m:r>
              </m:sub>
            </m:sSub>
          </m:e>
        </m:nary>
      </m:oMath>
      <w:r w:rsidR="00940770">
        <w:rPr>
          <w:sz w:val="32"/>
          <w:szCs w:val="32"/>
        </w:rPr>
        <w:tab/>
      </w:r>
      <w:r w:rsidR="00940770">
        <w:rPr>
          <w:sz w:val="32"/>
          <w:szCs w:val="32"/>
        </w:rPr>
        <w:tab/>
      </w:r>
      <w:r w:rsidR="00940770">
        <w:rPr>
          <w:sz w:val="32"/>
          <w:szCs w:val="32"/>
        </w:rPr>
        <w:tab/>
      </w:r>
      <w:r w:rsidR="00940770" w:rsidRPr="00940770">
        <w:t>(1)</w:t>
      </w:r>
    </w:p>
    <w:p w14:paraId="1624C1A8" w14:textId="77777777" w:rsidR="00372E47" w:rsidRDefault="00372E47" w:rsidP="00B079F2">
      <w:pPr>
        <w:pStyle w:val="Body"/>
        <w:spacing w:line="288" w:lineRule="auto"/>
        <w:jc w:val="both"/>
      </w:pPr>
    </w:p>
    <w:p w14:paraId="08A45ACD" w14:textId="005344CF" w:rsidR="00372E47" w:rsidRDefault="00B079F2">
      <w:pPr>
        <w:pStyle w:val="Body"/>
        <w:spacing w:line="288" w:lineRule="auto"/>
        <w:jc w:val="both"/>
      </w:pPr>
      <w:r w:rsidRPr="00B079F2">
        <w:t>w</w:t>
      </w:r>
      <w:r>
        <w:t xml:space="preserve">here </w:t>
      </w:r>
      <m:oMath>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O</m:t>
            </m:r>
          </m:e>
          <m:sub>
            <m:r>
              <w:rPr>
                <w:rFonts w:ascii="Cambria Math" w:hAnsi="Cambria Math"/>
                <w:sz w:val="28"/>
                <w:szCs w:val="28"/>
              </w:rPr>
              <m:t>t</m:t>
            </m:r>
          </m:sub>
        </m:sSub>
      </m:oMath>
      <w:r>
        <w:t xml:space="preserve"> is the current period </w:t>
      </w:r>
      <w:r w:rsidR="00372E47">
        <w:t xml:space="preserve">output change, </w:t>
      </w:r>
      <w:r>
        <w:rPr>
          <w:rFonts w:ascii="Cambria Math" w:hAnsi="Cambria Math"/>
        </w:rPr>
        <w:t>𝑗</w:t>
      </w:r>
      <w:r>
        <w:t xml:space="preserve"> indexes activities </w:t>
      </w:r>
      <m:oMath>
        <m:r>
          <w:rPr>
            <w:rFonts w:ascii="Cambria Math" w:hAnsi="Cambria Math"/>
            <w:sz w:val="28"/>
            <w:szCs w:val="28"/>
          </w:rPr>
          <m:t>a</m:t>
        </m:r>
      </m:oMath>
      <w:r w:rsidRPr="00B079F2">
        <w:rPr>
          <w:sz w:val="28"/>
          <w:szCs w:val="28"/>
        </w:rPr>
        <w:t xml:space="preserve"> </w:t>
      </w:r>
      <w:r>
        <w:t xml:space="preserve">and associated unit costs </w:t>
      </w:r>
      <m:oMath>
        <m:r>
          <w:rPr>
            <w:rFonts w:ascii="Cambria Math" w:hAnsi="Cambria Math"/>
            <w:sz w:val="28"/>
            <w:szCs w:val="28"/>
          </w:rPr>
          <m:t>u</m:t>
        </m:r>
      </m:oMath>
      <w:r>
        <w:t>.</w:t>
      </w:r>
      <w:r w:rsidR="00372E47">
        <w:t xml:space="preserve"> Examples of activities are specific hospital treatments, GP </w:t>
      </w:r>
      <w:r w:rsidR="009757B7">
        <w:t>appointments</w:t>
      </w:r>
      <w:r w:rsidR="00372E47">
        <w:t xml:space="preserve">, drugs dispensed and so on. </w:t>
      </w:r>
      <w:r w:rsidR="002E0D06">
        <w:t xml:space="preserve">If the mix of activity shifts </w:t>
      </w:r>
      <w:r w:rsidR="00372E47">
        <w:t xml:space="preserve">in the current period shifts such that activities accounting for a smaller proportion of the total the previous year become more frequent, or those which were more common and have a higher weight become less frequent, activity </w:t>
      </w:r>
      <w:r w:rsidR="002E0D06">
        <w:t xml:space="preserve">this output index will decrease. While better than the older convention, this method will be misleading if </w:t>
      </w:r>
      <w:r w:rsidR="00372E47">
        <w:t>a</w:t>
      </w:r>
      <w:r w:rsidR="002E0D06">
        <w:t xml:space="preserve"> cost reduction is due to, say, a new technique that delivers the same or better outcomes at lower cost, as has happened with many medical procedures over the years such as cataract or varicose vein treatments. </w:t>
      </w:r>
    </w:p>
    <w:p w14:paraId="15835F91" w14:textId="77777777" w:rsidR="009757B7" w:rsidRPr="00372E47" w:rsidRDefault="009757B7">
      <w:pPr>
        <w:pStyle w:val="Body"/>
        <w:spacing w:line="288" w:lineRule="auto"/>
        <w:jc w:val="both"/>
      </w:pPr>
    </w:p>
    <w:p w14:paraId="18FF3D4F" w14:textId="6FC4BC76" w:rsidR="00507E8B" w:rsidRDefault="00372E47">
      <w:pPr>
        <w:pStyle w:val="Body"/>
        <w:spacing w:line="288" w:lineRule="auto"/>
        <w:jc w:val="both"/>
      </w:pPr>
      <w:r>
        <w:t>The output mix changed significantly</w:t>
      </w:r>
      <w:r w:rsidR="008D5D72">
        <w:t xml:space="preserve"> </w:t>
      </w:r>
      <w:proofErr w:type="gramStart"/>
      <w:r w:rsidR="008D5D72">
        <w:t>d</w:t>
      </w:r>
      <w:r w:rsidR="002E0D06">
        <w:t>uring the course of</w:t>
      </w:r>
      <w:proofErr w:type="gramEnd"/>
      <w:r w:rsidR="002E0D06">
        <w:t xml:space="preserve"> 2020, </w:t>
      </w:r>
      <w:r w:rsidR="00DF582B">
        <w:t>while the</w:t>
      </w:r>
      <w:r w:rsidR="002E0D06">
        <w:t xml:space="preserve"> </w:t>
      </w:r>
      <w:r>
        <w:rPr>
          <w:color w:val="000000" w:themeColor="text1"/>
        </w:rPr>
        <w:t>existing</w:t>
      </w:r>
      <w:r w:rsidR="002E0D06" w:rsidRPr="00921810">
        <w:rPr>
          <w:color w:val="000000" w:themeColor="text1"/>
        </w:rPr>
        <w:t xml:space="preserve"> weights </w:t>
      </w:r>
      <w:r w:rsidR="00DF582B">
        <w:rPr>
          <w:color w:val="000000" w:themeColor="text1"/>
        </w:rPr>
        <w:t xml:space="preserve">were </w:t>
      </w:r>
      <w:r w:rsidR="002E0D06" w:rsidRPr="00921810">
        <w:rPr>
          <w:color w:val="000000" w:themeColor="text1"/>
        </w:rPr>
        <w:t xml:space="preserve">applied in </w:t>
      </w:r>
      <w:r w:rsidR="002E0D06">
        <w:t>constructing the statistics</w:t>
      </w:r>
      <w:r>
        <w:t xml:space="preserve"> (Table 1)</w:t>
      </w:r>
      <w:r w:rsidR="002E0D06">
        <w:t xml:space="preserve">. </w:t>
      </w:r>
      <w:r>
        <w:t xml:space="preserve">Nominal health expenditure has increased (most of the increase occurring in the second quarter of 2020). But the volume of health output </w:t>
      </w:r>
      <w:r w:rsidR="00DF582B">
        <w:t xml:space="preserve">in this Laspeyres-type index consequently </w:t>
      </w:r>
      <w:r>
        <w:t>declined in the second quarter (recovering partially in the third) due to the composition change: a cessation (and then Q3 recovery) in elective activities despite an increase (substantial in Q2) in Covid19-related care, mostly critical care. Activities that declined or halted in Q2 such as GP visits, outpatient appointments and elective procedures, along with A&amp;E visits,</w:t>
      </w:r>
      <w:r>
        <w:rPr>
          <w:vertAlign w:val="superscript"/>
        </w:rPr>
        <w:footnoteReference w:id="8"/>
      </w:r>
      <w:r>
        <w:t xml:space="preserve"> account for about three-quarters of current quarterly health service output by weight (Athow 2020).</w:t>
      </w:r>
      <w:r>
        <w:rPr>
          <w:rStyle w:val="FootnoteReference"/>
        </w:rPr>
        <w:footnoteReference w:id="9"/>
      </w:r>
      <w:r>
        <w:t xml:space="preserve"> Critical care - the main area of increased activity for Covid19 patients - accounts for just 3.2% of weighted health output on the basis of existing weights. In addition, new health service activities have been introduced – test and trace in 2020, and vaccinations in 2021 – which need to be added to the output index using weights that need to be defined as there are no past data. ONS </w:t>
      </w:r>
      <w:r w:rsidR="009757B7">
        <w:t xml:space="preserve">has been </w:t>
      </w:r>
      <w:r>
        <w:t xml:space="preserve">making </w:t>
      </w:r>
      <w:r w:rsidR="00BD184A">
        <w:t xml:space="preserve">approximate </w:t>
      </w:r>
      <w:r>
        <w:t>upward adjustment</w:t>
      </w:r>
      <w:r w:rsidR="00BD184A">
        <w:t>s</w:t>
      </w:r>
      <w:r>
        <w:t xml:space="preserve"> for the new activity of test and trace, </w:t>
      </w:r>
      <w:r w:rsidR="00BD184A">
        <w:t>and later for the vaccination programme</w:t>
      </w:r>
      <w:r w:rsidR="009757B7">
        <w:t>.</w:t>
      </w:r>
      <w:r w:rsidR="00BD184A">
        <w:rPr>
          <w:rStyle w:val="FootnoteReference"/>
        </w:rPr>
        <w:footnoteReference w:id="10"/>
      </w:r>
      <w:r w:rsidR="00BD184A">
        <w:t xml:space="preserve"> </w:t>
      </w:r>
      <w:r w:rsidR="009757B7">
        <w:t>Overall,</w:t>
      </w:r>
      <w:r>
        <w:t xml:space="preserve"> the changing mix led to a large increase, mainly in Q2, in the implied deflator and </w:t>
      </w:r>
      <w:r w:rsidR="009757B7">
        <w:t xml:space="preserve">a </w:t>
      </w:r>
      <w:r>
        <w:t xml:space="preserve">decline in </w:t>
      </w:r>
      <w:r w:rsidR="009757B7">
        <w:t>quantity</w:t>
      </w:r>
      <w:r>
        <w:t xml:space="preserve"> output. </w:t>
      </w:r>
    </w:p>
    <w:p w14:paraId="3DDDADC5" w14:textId="77777777" w:rsidR="00507E8B" w:rsidRDefault="00507E8B" w:rsidP="00507E8B">
      <w:pPr>
        <w:pStyle w:val="Body"/>
        <w:spacing w:line="288" w:lineRule="auto"/>
      </w:pPr>
    </w:p>
    <w:p w14:paraId="7C60406B" w14:textId="77777777" w:rsidR="00507E8B" w:rsidRPr="00372E47" w:rsidRDefault="00507E8B" w:rsidP="00507E8B">
      <w:pPr>
        <w:pStyle w:val="Body"/>
        <w:spacing w:line="288" w:lineRule="auto"/>
        <w:jc w:val="center"/>
        <w:rPr>
          <w:i/>
          <w:iCs/>
        </w:rPr>
      </w:pPr>
      <w:r w:rsidRPr="00372E47">
        <w:rPr>
          <w:i/>
          <w:iCs/>
        </w:rPr>
        <w:t>Table 1: Weights in health output</w:t>
      </w:r>
    </w:p>
    <w:tbl>
      <w:tblPr>
        <w:tblStyle w:val="TableGridLight"/>
        <w:tblW w:w="0" w:type="auto"/>
        <w:tblInd w:w="2125" w:type="dxa"/>
        <w:tblLook w:val="04A0" w:firstRow="1" w:lastRow="0" w:firstColumn="1" w:lastColumn="0" w:noHBand="0" w:noVBand="1"/>
      </w:tblPr>
      <w:tblGrid>
        <w:gridCol w:w="3539"/>
        <w:gridCol w:w="2393"/>
      </w:tblGrid>
      <w:tr w:rsidR="00507E8B" w14:paraId="2EBFFB33" w14:textId="77777777" w:rsidTr="00CC6382">
        <w:trPr>
          <w:trHeight w:val="329"/>
        </w:trPr>
        <w:tc>
          <w:tcPr>
            <w:tcW w:w="3539" w:type="dxa"/>
          </w:tcPr>
          <w:p w14:paraId="1394519E" w14:textId="77777777" w:rsidR="00507E8B" w:rsidRPr="00372E47"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rPr>
                <w:b/>
                <w:bCs/>
              </w:rPr>
            </w:pPr>
            <w:r w:rsidRPr="00372E47">
              <w:rPr>
                <w:b/>
                <w:bCs/>
              </w:rPr>
              <w:t>High level activity</w:t>
            </w:r>
          </w:p>
        </w:tc>
        <w:tc>
          <w:tcPr>
            <w:tcW w:w="2393" w:type="dxa"/>
          </w:tcPr>
          <w:p w14:paraId="3C0BE0E8" w14:textId="77777777" w:rsidR="00507E8B" w:rsidRPr="00372E47"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rPr>
                <w:b/>
                <w:bCs/>
              </w:rPr>
            </w:pPr>
            <w:r w:rsidRPr="00372E47">
              <w:rPr>
                <w:b/>
                <w:bCs/>
              </w:rPr>
              <w:t>Weight (%)</w:t>
            </w:r>
          </w:p>
        </w:tc>
      </w:tr>
      <w:tr w:rsidR="00507E8B" w14:paraId="2562324D" w14:textId="77777777" w:rsidTr="00CC6382">
        <w:trPr>
          <w:trHeight w:val="346"/>
        </w:trPr>
        <w:tc>
          <w:tcPr>
            <w:tcW w:w="3539" w:type="dxa"/>
          </w:tcPr>
          <w:p w14:paraId="1614A1FB"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GP visits</w:t>
            </w:r>
          </w:p>
        </w:tc>
        <w:tc>
          <w:tcPr>
            <w:tcW w:w="2393" w:type="dxa"/>
          </w:tcPr>
          <w:p w14:paraId="3096D47B"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21</w:t>
            </w:r>
          </w:p>
        </w:tc>
      </w:tr>
      <w:tr w:rsidR="00507E8B" w14:paraId="34FDC340" w14:textId="77777777" w:rsidTr="00CC6382">
        <w:trPr>
          <w:trHeight w:val="329"/>
        </w:trPr>
        <w:tc>
          <w:tcPr>
            <w:tcW w:w="3539" w:type="dxa"/>
          </w:tcPr>
          <w:p w14:paraId="43306F9E"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Elective inpatient care</w:t>
            </w:r>
          </w:p>
        </w:tc>
        <w:tc>
          <w:tcPr>
            <w:tcW w:w="2393" w:type="dxa"/>
          </w:tcPr>
          <w:p w14:paraId="3436CA5B"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19</w:t>
            </w:r>
          </w:p>
        </w:tc>
      </w:tr>
      <w:tr w:rsidR="00507E8B" w14:paraId="73D8AB45" w14:textId="77777777" w:rsidTr="00CC6382">
        <w:trPr>
          <w:trHeight w:val="329"/>
        </w:trPr>
        <w:tc>
          <w:tcPr>
            <w:tcW w:w="3539" w:type="dxa"/>
          </w:tcPr>
          <w:p w14:paraId="06383EF4"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Non-elective inpatient care</w:t>
            </w:r>
          </w:p>
        </w:tc>
        <w:tc>
          <w:tcPr>
            <w:tcW w:w="2393" w:type="dxa"/>
          </w:tcPr>
          <w:p w14:paraId="36D3BBCE"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18</w:t>
            </w:r>
          </w:p>
        </w:tc>
      </w:tr>
      <w:tr w:rsidR="00507E8B" w14:paraId="4A537374" w14:textId="77777777" w:rsidTr="00CC6382">
        <w:trPr>
          <w:trHeight w:val="346"/>
        </w:trPr>
        <w:tc>
          <w:tcPr>
            <w:tcW w:w="3539" w:type="dxa"/>
          </w:tcPr>
          <w:p w14:paraId="5A2F6350"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proofErr w:type="gramStart"/>
            <w:r>
              <w:lastRenderedPageBreak/>
              <w:t>Outpatients</w:t>
            </w:r>
            <w:proofErr w:type="gramEnd"/>
            <w:r>
              <w:t xml:space="preserve"> 1</w:t>
            </w:r>
            <w:r w:rsidRPr="00372E47">
              <w:rPr>
                <w:vertAlign w:val="superscript"/>
              </w:rPr>
              <w:t>st</w:t>
            </w:r>
            <w:r>
              <w:t xml:space="preserve"> attendance</w:t>
            </w:r>
          </w:p>
        </w:tc>
        <w:tc>
          <w:tcPr>
            <w:tcW w:w="2393" w:type="dxa"/>
          </w:tcPr>
          <w:p w14:paraId="6701C79B"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5</w:t>
            </w:r>
          </w:p>
        </w:tc>
      </w:tr>
      <w:tr w:rsidR="00507E8B" w14:paraId="1E3EAE4B" w14:textId="77777777" w:rsidTr="00CC6382">
        <w:trPr>
          <w:trHeight w:val="329"/>
        </w:trPr>
        <w:tc>
          <w:tcPr>
            <w:tcW w:w="3539" w:type="dxa"/>
          </w:tcPr>
          <w:p w14:paraId="7E81036D"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proofErr w:type="gramStart"/>
            <w:r>
              <w:t>Outpatients</w:t>
            </w:r>
            <w:proofErr w:type="gramEnd"/>
            <w:r>
              <w:t xml:space="preserve"> follow-up attendance</w:t>
            </w:r>
          </w:p>
        </w:tc>
        <w:tc>
          <w:tcPr>
            <w:tcW w:w="2393" w:type="dxa"/>
          </w:tcPr>
          <w:p w14:paraId="366D6815"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8</w:t>
            </w:r>
          </w:p>
        </w:tc>
      </w:tr>
      <w:tr w:rsidR="00507E8B" w14:paraId="2CFB9CD1" w14:textId="77777777" w:rsidTr="00CC6382">
        <w:trPr>
          <w:trHeight w:val="329"/>
        </w:trPr>
        <w:tc>
          <w:tcPr>
            <w:tcW w:w="3539" w:type="dxa"/>
          </w:tcPr>
          <w:p w14:paraId="65B143B8"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Drugs</w:t>
            </w:r>
          </w:p>
        </w:tc>
        <w:tc>
          <w:tcPr>
            <w:tcW w:w="2393" w:type="dxa"/>
          </w:tcPr>
          <w:p w14:paraId="5C7FC6D4"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15</w:t>
            </w:r>
          </w:p>
        </w:tc>
      </w:tr>
      <w:tr w:rsidR="00507E8B" w14:paraId="5821CF11" w14:textId="77777777" w:rsidTr="00CC6382">
        <w:trPr>
          <w:trHeight w:val="329"/>
        </w:trPr>
        <w:tc>
          <w:tcPr>
            <w:tcW w:w="3539" w:type="dxa"/>
          </w:tcPr>
          <w:p w14:paraId="4BBBC3AF"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A&amp;E</w:t>
            </w:r>
          </w:p>
        </w:tc>
        <w:tc>
          <w:tcPr>
            <w:tcW w:w="2393" w:type="dxa"/>
          </w:tcPr>
          <w:p w14:paraId="7D4EEE88"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6</w:t>
            </w:r>
          </w:p>
        </w:tc>
      </w:tr>
      <w:tr w:rsidR="00507E8B" w14:paraId="7B27046B" w14:textId="77777777" w:rsidTr="00CC6382">
        <w:trPr>
          <w:trHeight w:val="346"/>
        </w:trPr>
        <w:tc>
          <w:tcPr>
            <w:tcW w:w="3539" w:type="dxa"/>
          </w:tcPr>
          <w:p w14:paraId="24119C2A"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Critical care</w:t>
            </w:r>
          </w:p>
        </w:tc>
        <w:tc>
          <w:tcPr>
            <w:tcW w:w="2393" w:type="dxa"/>
          </w:tcPr>
          <w:p w14:paraId="52A0BAB1"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3</w:t>
            </w:r>
          </w:p>
        </w:tc>
      </w:tr>
      <w:tr w:rsidR="00507E8B" w14:paraId="138A4786" w14:textId="77777777" w:rsidTr="00CC6382">
        <w:trPr>
          <w:trHeight w:val="329"/>
        </w:trPr>
        <w:tc>
          <w:tcPr>
            <w:tcW w:w="3539" w:type="dxa"/>
          </w:tcPr>
          <w:p w14:paraId="22E18132"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Dental</w:t>
            </w:r>
          </w:p>
        </w:tc>
        <w:tc>
          <w:tcPr>
            <w:tcW w:w="2393" w:type="dxa"/>
          </w:tcPr>
          <w:p w14:paraId="40262C9D"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5</w:t>
            </w:r>
          </w:p>
        </w:tc>
      </w:tr>
      <w:tr w:rsidR="00507E8B" w14:paraId="311AC230" w14:textId="77777777" w:rsidTr="00CC6382">
        <w:trPr>
          <w:trHeight w:val="329"/>
        </w:trPr>
        <w:tc>
          <w:tcPr>
            <w:tcW w:w="3539" w:type="dxa"/>
          </w:tcPr>
          <w:p w14:paraId="3AE693E8"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Optical</w:t>
            </w:r>
          </w:p>
        </w:tc>
        <w:tc>
          <w:tcPr>
            <w:tcW w:w="2393" w:type="dxa"/>
          </w:tcPr>
          <w:p w14:paraId="3AC4F5E9"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1</w:t>
            </w:r>
          </w:p>
        </w:tc>
      </w:tr>
      <w:tr w:rsidR="00507E8B" w14:paraId="3A122E1A" w14:textId="77777777" w:rsidTr="00CC6382">
        <w:trPr>
          <w:trHeight w:val="346"/>
        </w:trPr>
        <w:tc>
          <w:tcPr>
            <w:tcW w:w="3539" w:type="dxa"/>
          </w:tcPr>
          <w:p w14:paraId="6A987D68"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NHS Direct</w:t>
            </w:r>
          </w:p>
        </w:tc>
        <w:tc>
          <w:tcPr>
            <w:tcW w:w="2393" w:type="dxa"/>
          </w:tcPr>
          <w:p w14:paraId="770FF40A"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0.3</w:t>
            </w:r>
          </w:p>
        </w:tc>
      </w:tr>
      <w:tr w:rsidR="00507E8B" w14:paraId="79C00A8E" w14:textId="77777777" w:rsidTr="00CC6382">
        <w:trPr>
          <w:trHeight w:val="329"/>
        </w:trPr>
        <w:tc>
          <w:tcPr>
            <w:tcW w:w="3539" w:type="dxa"/>
          </w:tcPr>
          <w:p w14:paraId="667F68B2"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pPr>
            <w:r>
              <w:t>NHS Online</w:t>
            </w:r>
          </w:p>
        </w:tc>
        <w:tc>
          <w:tcPr>
            <w:tcW w:w="2393" w:type="dxa"/>
          </w:tcPr>
          <w:p w14:paraId="40E058EB" w14:textId="77777777" w:rsidR="00507E8B" w:rsidRDefault="00507E8B" w:rsidP="00CC6382">
            <w:pPr>
              <w:pStyle w:val="Body"/>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right"/>
            </w:pPr>
            <w:r>
              <w:t>0.01</w:t>
            </w:r>
          </w:p>
        </w:tc>
      </w:tr>
    </w:tbl>
    <w:p w14:paraId="5761EBF6" w14:textId="77777777" w:rsidR="00507E8B" w:rsidRPr="00372E47" w:rsidRDefault="00507E8B" w:rsidP="00507E8B">
      <w:pPr>
        <w:pStyle w:val="Body"/>
        <w:spacing w:line="288" w:lineRule="auto"/>
        <w:jc w:val="center"/>
        <w:rPr>
          <w:sz w:val="20"/>
          <w:szCs w:val="20"/>
        </w:rPr>
      </w:pPr>
      <w:r w:rsidRPr="00372E47">
        <w:rPr>
          <w:sz w:val="20"/>
          <w:szCs w:val="20"/>
        </w:rPr>
        <w:t>Source: ONS</w:t>
      </w:r>
    </w:p>
    <w:p w14:paraId="047B5F42" w14:textId="66C86F3E" w:rsidR="00DF582B" w:rsidRDefault="00DF582B">
      <w:pPr>
        <w:pStyle w:val="Body"/>
        <w:spacing w:line="288" w:lineRule="auto"/>
        <w:jc w:val="both"/>
      </w:pPr>
    </w:p>
    <w:p w14:paraId="3260926A" w14:textId="77777777" w:rsidR="00507E8B" w:rsidRDefault="00507E8B">
      <w:pPr>
        <w:pStyle w:val="Body"/>
        <w:spacing w:line="288" w:lineRule="auto"/>
        <w:jc w:val="both"/>
      </w:pPr>
    </w:p>
    <w:p w14:paraId="36EDD8DA" w14:textId="4C8E9575" w:rsidR="00DF582B" w:rsidRDefault="009757B7">
      <w:pPr>
        <w:pStyle w:val="Body"/>
        <w:spacing w:line="288" w:lineRule="auto"/>
        <w:jc w:val="both"/>
      </w:pPr>
      <w:r>
        <w:t>Some o</w:t>
      </w:r>
      <w:r w:rsidR="00C52BB1">
        <w:t>ther countries, such as Germany, use a Paasche-type index</w:t>
      </w:r>
      <w:r w:rsidR="008C08A4">
        <w:t xml:space="preserve"> to deflate the change in the nominal value of output</w:t>
      </w:r>
      <w:r w:rsidR="00C52BB1">
        <w:t>:</w:t>
      </w:r>
    </w:p>
    <w:p w14:paraId="2352AC3A" w14:textId="35A5EAAA" w:rsidR="00C52BB1" w:rsidRDefault="00C52BB1">
      <w:pPr>
        <w:pStyle w:val="Body"/>
        <w:spacing w:line="288" w:lineRule="auto"/>
        <w:jc w:val="both"/>
      </w:pPr>
    </w:p>
    <w:p w14:paraId="31E8EEFC" w14:textId="6AA96B1F" w:rsidR="00C52BB1" w:rsidRPr="00B079F2" w:rsidRDefault="00C52BB1" w:rsidP="00C52BB1">
      <w:pPr>
        <w:pStyle w:val="Body"/>
        <w:spacing w:line="288" w:lineRule="auto"/>
        <w:jc w:val="center"/>
        <w:rPr>
          <w:sz w:val="32"/>
          <w:szCs w:val="32"/>
        </w:rPr>
      </w:pPr>
      <w:r>
        <w:tab/>
      </w:r>
      <m:oMath>
        <m:r>
          <m:rPr>
            <m:sty m:val="p"/>
          </m:rPr>
          <w:rPr>
            <w:rFonts w:ascii="Cambria Math" w:hAnsi="Cambria Math"/>
            <w:sz w:val="32"/>
            <w:szCs w:val="32"/>
          </w:rPr>
          <m:t>Δ</m:t>
        </m:r>
        <m:r>
          <w:rPr>
            <w:rFonts w:ascii="Cambria Math" w:hAnsi="Cambria Math"/>
            <w:sz w:val="32"/>
            <w:szCs w:val="32"/>
          </w:rPr>
          <m:t xml:space="preserve"> </m:t>
        </m:r>
        <m:sSub>
          <m:sSubPr>
            <m:ctrlPr>
              <w:rPr>
                <w:rFonts w:ascii="Cambria Math" w:hAnsi="Cambria Math"/>
                <w:i/>
                <w:sz w:val="32"/>
                <w:szCs w:val="32"/>
              </w:rPr>
            </m:ctrlPr>
          </m:sSubPr>
          <m:e>
            <m:r>
              <w:rPr>
                <w:rFonts w:ascii="Cambria Math" w:hAnsi="Cambria Math"/>
                <w:sz w:val="32"/>
                <w:szCs w:val="32"/>
              </w:rPr>
              <m:t>O</m:t>
            </m:r>
          </m:e>
          <m:sub>
            <m:r>
              <w:rPr>
                <w:rFonts w:ascii="Cambria Math" w:hAnsi="Cambria Math"/>
                <w:sz w:val="32"/>
                <w:szCs w:val="32"/>
              </w:rPr>
              <m:t>t</m:t>
            </m:r>
          </m:sub>
        </m:sSub>
        <m:r>
          <w:rPr>
            <w:rFonts w:ascii="Cambria Math" w:hAnsi="Cambria Math"/>
            <w:sz w:val="32"/>
            <w:szCs w:val="32"/>
          </w:rPr>
          <m:t xml:space="preserve">= </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j,t</m:t>
                    </m:r>
                  </m:sub>
                </m:sSub>
                <m:r>
                  <w:rPr>
                    <w:rFonts w:ascii="Cambria Math" w:hAnsi="Cambria Math"/>
                    <w:sz w:val="32"/>
                    <w:szCs w:val="32"/>
                  </w:rPr>
                  <m:t>a</m:t>
                </m:r>
              </m:e>
              <m:sub>
                <m:r>
                  <w:rPr>
                    <w:rFonts w:ascii="Cambria Math" w:hAnsi="Cambria Math"/>
                    <w:sz w:val="32"/>
                    <w:szCs w:val="32"/>
                  </w:rPr>
                  <m:t xml:space="preserve">j,t-1 </m:t>
                </m:r>
              </m:sub>
            </m:sSub>
          </m:e>
        </m:nary>
        <m:r>
          <m:rPr>
            <m:lit/>
          </m:rP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j,t-1</m:t>
                    </m:r>
                  </m:sub>
                </m:sSub>
                <m:r>
                  <w:rPr>
                    <w:rFonts w:ascii="Cambria Math" w:hAnsi="Cambria Math"/>
                    <w:sz w:val="32"/>
                    <w:szCs w:val="32"/>
                  </w:rPr>
                  <m:t>a</m:t>
                </m:r>
              </m:e>
              <m:sub>
                <m:r>
                  <w:rPr>
                    <w:rFonts w:ascii="Cambria Math" w:hAnsi="Cambria Math"/>
                    <w:sz w:val="32"/>
                    <w:szCs w:val="32"/>
                  </w:rPr>
                  <m:t xml:space="preserve">j,t-1 </m:t>
                </m:r>
              </m:sub>
            </m:sSub>
          </m:e>
        </m:nary>
      </m:oMath>
      <w:r w:rsidR="00940770">
        <w:rPr>
          <w:sz w:val="32"/>
          <w:szCs w:val="32"/>
        </w:rPr>
        <w:tab/>
      </w:r>
      <w:r w:rsidR="00940770">
        <w:rPr>
          <w:sz w:val="32"/>
          <w:szCs w:val="32"/>
        </w:rPr>
        <w:tab/>
      </w:r>
      <w:r w:rsidR="00940770">
        <w:rPr>
          <w:sz w:val="32"/>
          <w:szCs w:val="32"/>
        </w:rPr>
        <w:tab/>
      </w:r>
      <w:r w:rsidR="00940770" w:rsidRPr="00940770">
        <w:t>(2)</w:t>
      </w:r>
    </w:p>
    <w:p w14:paraId="39283B13" w14:textId="50250AC5" w:rsidR="00C52BB1" w:rsidRDefault="00C52BB1">
      <w:pPr>
        <w:pStyle w:val="Body"/>
        <w:spacing w:line="288" w:lineRule="auto"/>
        <w:jc w:val="both"/>
      </w:pPr>
    </w:p>
    <w:p w14:paraId="5FC546EC" w14:textId="282669AF" w:rsidR="008208F4" w:rsidRDefault="00372E47" w:rsidP="00507E8B">
      <w:pPr>
        <w:pStyle w:val="Body"/>
        <w:spacing w:line="288" w:lineRule="auto"/>
        <w:jc w:val="both"/>
      </w:pPr>
      <w:r>
        <w:t xml:space="preserve">It could be argued that the </w:t>
      </w:r>
      <w:r w:rsidR="00C52BB1">
        <w:t xml:space="preserve">UK </w:t>
      </w:r>
      <w:r>
        <w:t xml:space="preserve">output statistics </w:t>
      </w:r>
      <w:r w:rsidR="00C52BB1">
        <w:t>have a downward bias while those constructed on this alternative basis have an upward bias. Another perspective would be to argue that the</w:t>
      </w:r>
      <w:r w:rsidR="009757B7">
        <w:t xml:space="preserve"> UK</w:t>
      </w:r>
      <w:r w:rsidR="00C52BB1">
        <w:t xml:space="preserve"> figures </w:t>
      </w:r>
      <w:r>
        <w:t xml:space="preserve">should have incorporated altered weights within-year to reflect the substantial mix change, </w:t>
      </w:r>
      <w:r w:rsidR="00C52BB1">
        <w:t>despite</w:t>
      </w:r>
      <w:r>
        <w:t xml:space="preserve"> the incompleteness of the available data. Moreover, the capacity constraints in the NHS do imply a worse output performance compared to less constrained health systems</w:t>
      </w:r>
      <w:r w:rsidR="00507E8B">
        <w:t xml:space="preserve"> due to a larger decline in non-Covid treatments</w:t>
      </w:r>
      <w:r>
        <w:t xml:space="preserve">, and it would </w:t>
      </w:r>
      <w:r w:rsidR="00507E8B">
        <w:t xml:space="preserve">arguably </w:t>
      </w:r>
      <w:r>
        <w:t xml:space="preserve">be misleading to adjust the output decline away through </w:t>
      </w:r>
      <w:r w:rsidR="009757B7">
        <w:t xml:space="preserve">changing </w:t>
      </w:r>
      <w:r>
        <w:t xml:space="preserve">the weights used in its calculation. </w:t>
      </w:r>
      <w:r w:rsidR="00507E8B">
        <w:t xml:space="preserve">For although the weights on different activities will be updated in future years to reflect (to some degree) the 2020 changes, the decline in non-Covid19 health service outputs has been substantial and is a genuine phenomenon (Figure 2); for instance, elective care procedures in 2020Q3 were at less than one-quarter of the level in the final quarter of 2019, while the largest category (by pre-existing weight) was GP visits, at 62% of their 2019Q4 level in Q3. </w:t>
      </w:r>
      <w:r w:rsidR="00D51EC8">
        <w:t xml:space="preserve">The number of completed treatment pathways were less than half the previous year’s level in April and May 2020, </w:t>
      </w:r>
      <w:r w:rsidR="008208F4">
        <w:t>and still 25% lower in December 2020.</w:t>
      </w:r>
      <w:r w:rsidR="008208F4">
        <w:rPr>
          <w:rStyle w:val="FootnoteReference"/>
        </w:rPr>
        <w:footnoteReference w:id="11"/>
      </w:r>
      <w:r w:rsidR="008208F4">
        <w:t xml:space="preserve"> NHS Digital figures indicate that 5.12 million people were waiting for treatment by April 2021, up from 3.94 million in April 2020.</w:t>
      </w:r>
      <w:r w:rsidR="008208F4">
        <w:rPr>
          <w:rStyle w:val="FootnoteReference"/>
        </w:rPr>
        <w:footnoteReference w:id="12"/>
      </w:r>
      <w:r w:rsidR="008208F4">
        <w:t xml:space="preserve">  </w:t>
      </w:r>
    </w:p>
    <w:p w14:paraId="0ABF16D0" w14:textId="77777777" w:rsidR="008208F4" w:rsidRDefault="008208F4" w:rsidP="00507E8B">
      <w:pPr>
        <w:pStyle w:val="Body"/>
        <w:spacing w:line="288" w:lineRule="auto"/>
        <w:jc w:val="both"/>
      </w:pPr>
    </w:p>
    <w:p w14:paraId="2E537A38" w14:textId="61C7C025" w:rsidR="00372E47" w:rsidRDefault="00372E47" w:rsidP="00372E47">
      <w:pPr>
        <w:pStyle w:val="Body"/>
        <w:spacing w:line="288" w:lineRule="auto"/>
        <w:jc w:val="both"/>
        <w:rPr>
          <w:i/>
          <w:iCs/>
        </w:rPr>
      </w:pPr>
      <w:r>
        <w:rPr>
          <w:i/>
          <w:iCs/>
        </w:rPr>
        <w:t xml:space="preserve">Figure 2. </w:t>
      </w:r>
      <w:r w:rsidR="009E4608">
        <w:rPr>
          <w:i/>
          <w:iCs/>
        </w:rPr>
        <w:t>Selected non-covid19 NHS activities, 2019Q4-2020Q3</w:t>
      </w:r>
    </w:p>
    <w:p w14:paraId="5384871E" w14:textId="77777777" w:rsidR="00372E47" w:rsidRDefault="00372E47" w:rsidP="00372E47">
      <w:pPr>
        <w:pStyle w:val="Body"/>
        <w:spacing w:line="288" w:lineRule="auto"/>
        <w:jc w:val="both"/>
        <w:sectPr w:rsidR="00372E47" w:rsidSect="00372E47">
          <w:headerReference w:type="default" r:id="rId17"/>
          <w:footerReference w:type="default" r:id="rId18"/>
          <w:type w:val="continuous"/>
          <w:pgSz w:w="11906" w:h="16838"/>
          <w:pgMar w:top="1134" w:right="1134" w:bottom="1134" w:left="1134" w:header="709" w:footer="850" w:gutter="0"/>
          <w:cols w:space="720"/>
        </w:sectPr>
      </w:pPr>
    </w:p>
    <w:p w14:paraId="1E405C66" w14:textId="210C48DE" w:rsidR="00372E47" w:rsidRDefault="009E4608" w:rsidP="009E4608">
      <w:pPr>
        <w:pStyle w:val="Body"/>
        <w:spacing w:line="288" w:lineRule="auto"/>
        <w:jc w:val="center"/>
      </w:pPr>
      <w:r>
        <w:rPr>
          <w:noProof/>
          <w14:textOutline w14:w="0" w14:cap="rnd" w14:cmpd="sng" w14:algn="ctr">
            <w14:noFill/>
            <w14:prstDash w14:val="solid"/>
            <w14:bevel/>
          </w14:textOutline>
        </w:rPr>
        <w:lastRenderedPageBreak/>
        <w:drawing>
          <wp:inline distT="0" distB="0" distL="0" distR="0" wp14:anchorId="6F544343" wp14:editId="51359055">
            <wp:extent cx="4176000" cy="2951922"/>
            <wp:effectExtent l="0" t="0" r="2540" b="0"/>
            <wp:docPr id="10" name="Picture 10" descr="Chart, bar ch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10" descr="Chart, bar char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176000" cy="2951922"/>
                    </a:xfrm>
                    <a:prstGeom prst="rect">
                      <a:avLst/>
                    </a:prstGeom>
                  </pic:spPr>
                </pic:pic>
              </a:graphicData>
            </a:graphic>
          </wp:inline>
        </w:drawing>
      </w:r>
    </w:p>
    <w:p w14:paraId="44F9A8C4" w14:textId="77777777" w:rsidR="009E4608" w:rsidRDefault="009E4608" w:rsidP="009E4608">
      <w:pPr>
        <w:pStyle w:val="Body"/>
        <w:spacing w:line="288" w:lineRule="auto"/>
        <w:jc w:val="center"/>
        <w:sectPr w:rsidR="009E4608" w:rsidSect="009E4608">
          <w:type w:val="continuous"/>
          <w:pgSz w:w="11906" w:h="16838"/>
          <w:pgMar w:top="1134" w:right="1134" w:bottom="1134" w:left="1134" w:header="709" w:footer="850" w:gutter="0"/>
          <w:cols w:space="720"/>
        </w:sectPr>
      </w:pPr>
    </w:p>
    <w:p w14:paraId="4065C691" w14:textId="6D34EA66" w:rsidR="00372E47" w:rsidRPr="009E4608" w:rsidRDefault="00372E47" w:rsidP="00372E47">
      <w:pPr>
        <w:pStyle w:val="Body"/>
        <w:spacing w:line="288" w:lineRule="auto"/>
        <w:jc w:val="both"/>
        <w:rPr>
          <w:sz w:val="18"/>
          <w:szCs w:val="18"/>
        </w:rPr>
      </w:pPr>
      <w:r w:rsidRPr="009E4608">
        <w:rPr>
          <w:sz w:val="18"/>
          <w:szCs w:val="18"/>
        </w:rPr>
        <w:t>Source:</w:t>
      </w:r>
      <w:r w:rsidR="009E4608">
        <w:rPr>
          <w:sz w:val="18"/>
          <w:szCs w:val="18"/>
        </w:rPr>
        <w:t xml:space="preserve"> </w:t>
      </w:r>
      <w:r w:rsidR="009E4608" w:rsidRPr="009E4608">
        <w:rPr>
          <w:sz w:val="18"/>
          <w:szCs w:val="18"/>
        </w:rPr>
        <w:t>https://www.ons.gov.uk/economy/grossdomesticproductgdp/articles/internationalcomparisonsofgdpduringthecoronaviruscovid19pandemic/2021-02-01</w:t>
      </w:r>
    </w:p>
    <w:p w14:paraId="51039A33" w14:textId="77777777" w:rsidR="00372E47" w:rsidRDefault="00372E47">
      <w:pPr>
        <w:pStyle w:val="Body"/>
        <w:spacing w:line="288" w:lineRule="auto"/>
        <w:jc w:val="both"/>
      </w:pPr>
    </w:p>
    <w:p w14:paraId="33009E53" w14:textId="77777777" w:rsidR="004A1ADC" w:rsidRDefault="004A1ADC" w:rsidP="004A1ADC">
      <w:pPr>
        <w:pStyle w:val="Body"/>
        <w:spacing w:line="288" w:lineRule="auto"/>
        <w:jc w:val="both"/>
      </w:pPr>
      <w:r>
        <w:t>Hence ONS judgements about the weights to apply to 2020 and in future years will be difficult even with hindsight, depending on the extent to which the pandemic experience is considered exceptional. Countries without the same tight capacity constraints have not had to reduce other health activities to the same extent, however (although it is worth noting that prior to the pandemic some of these – such as Germany – were criticized for inefficient hospital over-capacity).</w:t>
      </w:r>
      <w:r>
        <w:rPr>
          <w:rStyle w:val="FootnoteReference"/>
        </w:rPr>
        <w:footnoteReference w:id="13"/>
      </w:r>
      <w:r>
        <w:t xml:space="preserve"> These declines in activity will also have a lasting effect on health outcomes through reduced screening, late diagnosis, delayed treatment, and increased incidence of mental ill-health, on top of the adverse consequences of the recession on health through higher unemployment and reduced incomes (Banks et al 2020, Miles et al 2020, Thorlby et al 2020). We return to the question of outcomes, and the organization and constraints on the NHS, in the final section below.</w:t>
      </w:r>
    </w:p>
    <w:p w14:paraId="7C55A1EF" w14:textId="77777777" w:rsidR="004A1ADC" w:rsidRDefault="004A1ADC" w:rsidP="00372E47">
      <w:pPr>
        <w:pStyle w:val="Body"/>
        <w:spacing w:line="288" w:lineRule="auto"/>
        <w:jc w:val="both"/>
      </w:pPr>
    </w:p>
    <w:p w14:paraId="6E22B9B1" w14:textId="14076FB8" w:rsidR="00940770" w:rsidRDefault="00372E47" w:rsidP="00372E47">
      <w:pPr>
        <w:pStyle w:val="Body"/>
        <w:spacing w:line="288" w:lineRule="auto"/>
        <w:jc w:val="both"/>
      </w:pPr>
      <w:r>
        <w:t xml:space="preserve">The discussion so far has referred to health output on the SNA basis. The separate </w:t>
      </w:r>
      <w:r w:rsidR="00507E8B">
        <w:t xml:space="preserve">ONS </w:t>
      </w:r>
      <w:r>
        <w:t>productivity measures will quality adjust outputs (Kent 2020)</w:t>
      </w:r>
      <w:r w:rsidR="00940770">
        <w:t xml:space="preserve"> as well as accounting for</w:t>
      </w:r>
      <w:r>
        <w:t xml:space="preserve"> inputs. </w:t>
      </w:r>
      <w:r w:rsidR="00940770">
        <w:t xml:space="preserve">The volume output measure in (1) above will be divided by volume inputs: </w:t>
      </w:r>
    </w:p>
    <w:p w14:paraId="77FBE3D5" w14:textId="77777777" w:rsidR="00940770" w:rsidRDefault="00940770" w:rsidP="00372E47">
      <w:pPr>
        <w:pStyle w:val="Body"/>
        <w:spacing w:line="288" w:lineRule="auto"/>
        <w:jc w:val="both"/>
      </w:pPr>
    </w:p>
    <w:p w14:paraId="6C8869DC" w14:textId="3A62775D" w:rsidR="00372E47" w:rsidRDefault="00CC0112" w:rsidP="00940770">
      <w:pPr>
        <w:pStyle w:val="Body"/>
        <w:spacing w:line="288" w:lineRule="auto"/>
        <w:ind w:left="1440" w:firstLine="720"/>
        <w:jc w:val="both"/>
      </w:pPr>
      <m:oMath>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w</m:t>
                    </m:r>
                  </m:e>
                  <m:sub>
                    <m:r>
                      <w:rPr>
                        <w:rFonts w:ascii="Cambria Math" w:hAnsi="Cambria Math"/>
                        <w:sz w:val="32"/>
                        <w:szCs w:val="32"/>
                      </w:rPr>
                      <m:t>i,t-1</m:t>
                    </m:r>
                  </m:sub>
                </m:sSub>
                <m:r>
                  <w:rPr>
                    <w:rFonts w:ascii="Cambria Math" w:hAnsi="Cambria Math"/>
                    <w:sz w:val="32"/>
                    <w:szCs w:val="32"/>
                  </w:rPr>
                  <m:t>x</m:t>
                </m:r>
              </m:e>
              <m:sub>
                <m:r>
                  <w:rPr>
                    <w:rFonts w:ascii="Cambria Math" w:hAnsi="Cambria Math"/>
                    <w:sz w:val="32"/>
                    <w:szCs w:val="32"/>
                  </w:rPr>
                  <m:t xml:space="preserve">i,t </m:t>
                </m:r>
              </m:sub>
            </m:sSub>
          </m:e>
        </m:nary>
        <m:r>
          <m:rPr>
            <m:lit/>
          </m:rPr>
          <w:rPr>
            <w:rFonts w:ascii="Cambria Math" w:hAnsi="Cambria Math"/>
            <w:sz w:val="32"/>
            <w:szCs w:val="32"/>
          </w:rPr>
          <m:t>/</m:t>
        </m:r>
        <m:nary>
          <m:naryPr>
            <m:chr m:val="∑"/>
            <m:limLoc m:val="undOvr"/>
            <m:subHide m:val="1"/>
            <m:supHide m:val="1"/>
            <m:ctrlPr>
              <w:rPr>
                <w:rFonts w:ascii="Cambria Math" w:hAnsi="Cambria Math"/>
                <w:i/>
                <w:sz w:val="32"/>
                <w:szCs w:val="32"/>
              </w:rPr>
            </m:ctrlPr>
          </m:naryPr>
          <m:sub/>
          <m:sup/>
          <m:e>
            <m:sSub>
              <m:sSubPr>
                <m:ctrlPr>
                  <w:rPr>
                    <w:rFonts w:ascii="Cambria Math" w:hAnsi="Cambria Math"/>
                    <w:i/>
                    <w:sz w:val="32"/>
                    <w:szCs w:val="32"/>
                  </w:rPr>
                </m:ctrlPr>
              </m:sSubPr>
              <m:e>
                <m:sSub>
                  <m:sSubPr>
                    <m:ctrlPr>
                      <w:rPr>
                        <w:rFonts w:ascii="Cambria Math" w:hAnsi="Cambria Math"/>
                        <w:i/>
                        <w:sz w:val="32"/>
                        <w:szCs w:val="32"/>
                      </w:rPr>
                    </m:ctrlPr>
                  </m:sSubPr>
                  <m:e>
                    <m:r>
                      <w:rPr>
                        <w:rFonts w:ascii="Cambria Math" w:hAnsi="Cambria Math"/>
                        <w:sz w:val="32"/>
                        <w:szCs w:val="32"/>
                      </w:rPr>
                      <m:t>w</m:t>
                    </m:r>
                  </m:e>
                  <m:sub>
                    <m:r>
                      <w:rPr>
                        <w:rFonts w:ascii="Cambria Math" w:hAnsi="Cambria Math"/>
                        <w:sz w:val="32"/>
                        <w:szCs w:val="32"/>
                      </w:rPr>
                      <m:t>i,t-1</m:t>
                    </m:r>
                  </m:sub>
                </m:sSub>
                <m:r>
                  <w:rPr>
                    <w:rFonts w:ascii="Cambria Math" w:hAnsi="Cambria Math"/>
                    <w:sz w:val="32"/>
                    <w:szCs w:val="32"/>
                  </w:rPr>
                  <m:t>x</m:t>
                </m:r>
              </m:e>
              <m:sub>
                <m:r>
                  <w:rPr>
                    <w:rFonts w:ascii="Cambria Math" w:hAnsi="Cambria Math"/>
                    <w:sz w:val="32"/>
                    <w:szCs w:val="32"/>
                  </w:rPr>
                  <m:t xml:space="preserve">i,t-1 </m:t>
                </m:r>
              </m:sub>
            </m:sSub>
          </m:e>
        </m:nary>
      </m:oMath>
      <w:r w:rsidR="00940770">
        <w:t xml:space="preserve"> </w:t>
      </w:r>
      <w:r w:rsidR="00940770">
        <w:tab/>
      </w:r>
      <w:r w:rsidR="00940770">
        <w:tab/>
      </w:r>
      <w:r w:rsidR="00940770">
        <w:tab/>
      </w:r>
      <w:r w:rsidR="00940770">
        <w:tab/>
      </w:r>
      <w:r w:rsidR="00940770">
        <w:tab/>
        <w:t>(3)</w:t>
      </w:r>
    </w:p>
    <w:p w14:paraId="68D19618" w14:textId="503B0EFD" w:rsidR="00507E8B" w:rsidRDefault="00507E8B" w:rsidP="00372E47">
      <w:pPr>
        <w:pStyle w:val="Body"/>
        <w:spacing w:line="288" w:lineRule="auto"/>
        <w:jc w:val="both"/>
      </w:pPr>
    </w:p>
    <w:p w14:paraId="306B4223" w14:textId="77777777" w:rsidR="009757B7" w:rsidRDefault="009757B7" w:rsidP="00596E17">
      <w:pPr>
        <w:pStyle w:val="Body"/>
        <w:spacing w:line="288" w:lineRule="auto"/>
        <w:jc w:val="both"/>
      </w:pPr>
      <w:r>
        <w:t>Where the x</w:t>
      </w:r>
      <w:r>
        <w:rPr>
          <w:vertAlign w:val="subscript"/>
        </w:rPr>
        <w:t>i</w:t>
      </w:r>
      <w:r>
        <w:t xml:space="preserve"> are activities and </w:t>
      </w:r>
      <w:r w:rsidRPr="009757B7">
        <w:t>w</w:t>
      </w:r>
      <w:r w:rsidRPr="009757B7">
        <w:rPr>
          <w:vertAlign w:val="subscript"/>
        </w:rPr>
        <w:t>i</w:t>
      </w:r>
      <w:r>
        <w:t xml:space="preserve"> the associated costs. </w:t>
      </w:r>
      <w:r w:rsidR="00940770" w:rsidRPr="009757B7">
        <w:t>Some</w:t>
      </w:r>
      <w:r w:rsidR="00940770">
        <w:t xml:space="preserve"> of these inputs - labour, supplies (such as PPE, </w:t>
      </w:r>
      <w:proofErr w:type="gramStart"/>
      <w:r w:rsidR="00940770">
        <w:t>oxygen</w:t>
      </w:r>
      <w:proofErr w:type="gramEnd"/>
      <w:r w:rsidR="00940770">
        <w:t xml:space="preserve"> and ventilation equipment) and spending on buildings (to fit them for new infection control requirements or augment oxygen delivery systems for example) will have increased substantially in 2020. </w:t>
      </w:r>
    </w:p>
    <w:p w14:paraId="0E10F2FB" w14:textId="77777777" w:rsidR="009757B7" w:rsidRDefault="009757B7" w:rsidP="00596E17">
      <w:pPr>
        <w:pStyle w:val="Body"/>
        <w:spacing w:line="288" w:lineRule="auto"/>
        <w:jc w:val="both"/>
      </w:pPr>
    </w:p>
    <w:p w14:paraId="3621481B" w14:textId="697EFEF7" w:rsidR="00BA0EE4" w:rsidRDefault="00BA0EE4" w:rsidP="00596E17">
      <w:pPr>
        <w:pStyle w:val="Body"/>
        <w:spacing w:line="288" w:lineRule="auto"/>
        <w:jc w:val="both"/>
      </w:pPr>
      <w:r>
        <w:t xml:space="preserve">To explore the drivers of productivity in the Covid19 context, we turn to a qualitative approach, interviewing senior clinicians in two major English NHS hospital trusts. First, we briefly describe the context of </w:t>
      </w:r>
      <w:r w:rsidR="00751371">
        <w:t>successive organisational</w:t>
      </w:r>
      <w:r>
        <w:t xml:space="preserve"> change</w:t>
      </w:r>
      <w:r w:rsidR="00751371">
        <w:t>s</w:t>
      </w:r>
      <w:r>
        <w:t xml:space="preserve"> and spending control in the English NHS</w:t>
      </w:r>
      <w:r w:rsidR="00751371">
        <w:t>,</w:t>
      </w:r>
      <w:r>
        <w:t xml:space="preserve"> as it </w:t>
      </w:r>
      <w:r>
        <w:lastRenderedPageBreak/>
        <w:t>explains the capacity limits on health service output in the face of the pandemic-related surge in need.</w:t>
      </w:r>
    </w:p>
    <w:p w14:paraId="626EEB15" w14:textId="543D6ECD" w:rsidR="00372E47" w:rsidRDefault="00372E47" w:rsidP="00596E17">
      <w:pPr>
        <w:pStyle w:val="Body"/>
        <w:spacing w:line="288" w:lineRule="auto"/>
        <w:jc w:val="both"/>
      </w:pPr>
    </w:p>
    <w:p w14:paraId="38036DDB" w14:textId="29E5B02F" w:rsidR="00B22741" w:rsidRPr="008570C4" w:rsidRDefault="0007451F" w:rsidP="008570C4">
      <w:pPr>
        <w:pStyle w:val="Body"/>
        <w:numPr>
          <w:ilvl w:val="0"/>
          <w:numId w:val="6"/>
        </w:numPr>
        <w:spacing w:line="288" w:lineRule="auto"/>
        <w:jc w:val="both"/>
        <w:rPr>
          <w:b/>
          <w:bCs/>
          <w:sz w:val="28"/>
          <w:szCs w:val="28"/>
        </w:rPr>
      </w:pPr>
      <w:r w:rsidRPr="008570C4">
        <w:rPr>
          <w:b/>
          <w:bCs/>
          <w:sz w:val="28"/>
          <w:szCs w:val="28"/>
        </w:rPr>
        <w:t>NHS England context</w:t>
      </w:r>
    </w:p>
    <w:p w14:paraId="6FD247C3" w14:textId="77777777" w:rsidR="0007451F" w:rsidRDefault="0007451F" w:rsidP="008570C4">
      <w:pPr>
        <w:pStyle w:val="Body"/>
        <w:spacing w:line="276" w:lineRule="auto"/>
        <w:jc w:val="both"/>
      </w:pPr>
    </w:p>
    <w:p w14:paraId="3ED45F74" w14:textId="3B4652B6" w:rsidR="008570C4" w:rsidRDefault="00F85C0E" w:rsidP="008570C4">
      <w:pPr>
        <w:spacing w:line="276" w:lineRule="auto"/>
        <w:jc w:val="both"/>
        <w:rPr>
          <w:rFonts w:asciiTheme="minorHAnsi" w:hAnsiTheme="minorHAnsi"/>
          <w:sz w:val="22"/>
          <w:szCs w:val="22"/>
        </w:rPr>
      </w:pPr>
      <w:r w:rsidRPr="008570C4">
        <w:rPr>
          <w:rFonts w:asciiTheme="minorHAnsi" w:hAnsiTheme="minorHAnsi"/>
          <w:sz w:val="22"/>
          <w:szCs w:val="22"/>
        </w:rPr>
        <w:t xml:space="preserve">While private healthcare exists in the UK, the provider of primary care for </w:t>
      </w:r>
      <w:proofErr w:type="gramStart"/>
      <w:r w:rsidRPr="008570C4">
        <w:rPr>
          <w:rFonts w:asciiTheme="minorHAnsi" w:hAnsiTheme="minorHAnsi"/>
          <w:sz w:val="22"/>
          <w:szCs w:val="22"/>
        </w:rPr>
        <w:t>the</w:t>
      </w:r>
      <w:r w:rsidRPr="008570C4">
        <w:rPr>
          <w:rFonts w:asciiTheme="minorHAnsi" w:hAnsiTheme="minorHAnsi"/>
        </w:rPr>
        <w:t xml:space="preserve"> </w:t>
      </w:r>
      <w:r w:rsidRPr="008570C4">
        <w:rPr>
          <w:rFonts w:asciiTheme="minorHAnsi" w:hAnsiTheme="minorHAnsi"/>
          <w:sz w:val="22"/>
          <w:szCs w:val="22"/>
        </w:rPr>
        <w:t>vast majority of</w:t>
      </w:r>
      <w:proofErr w:type="gramEnd"/>
      <w:r w:rsidRPr="008570C4">
        <w:rPr>
          <w:rFonts w:asciiTheme="minorHAnsi" w:hAnsiTheme="minorHAnsi"/>
          <w:sz w:val="22"/>
          <w:szCs w:val="22"/>
        </w:rPr>
        <w:t xml:space="preserve"> the population is the government-funded NHS (Majeed et al, 2020).  </w:t>
      </w:r>
      <w:r w:rsidR="008570C4" w:rsidRPr="008570C4">
        <w:rPr>
          <w:rFonts w:asciiTheme="minorHAnsi" w:hAnsiTheme="minorHAnsi"/>
          <w:sz w:val="22"/>
          <w:szCs w:val="22"/>
        </w:rPr>
        <w:t xml:space="preserve">Total current healthcare expenditure in 2018 was £214.4bn, and both total and per capita measures have risen in real and nominal terms every year between 2014 and 2018. The NHS England budget was £148.8bn in 2019/20, increasing to </w:t>
      </w:r>
      <w:r w:rsidR="008570C4" w:rsidRPr="008570C4">
        <w:rPr>
          <w:rFonts w:asciiTheme="minorHAnsi" w:eastAsia="Times New Roman" w:hAnsiTheme="minorHAnsi"/>
          <w:sz w:val="22"/>
          <w:szCs w:val="22"/>
          <w:bdr w:val="none" w:sz="0" w:space="0" w:color="auto"/>
          <w:lang w:val="en-GB" w:eastAsia="en-GB"/>
        </w:rPr>
        <w:t>£201.7 billion in 2020/21, which included £50bn for Covid-response.</w:t>
      </w:r>
      <w:r w:rsidR="008570C4" w:rsidRPr="008570C4">
        <w:rPr>
          <w:rFonts w:eastAsia="Times New Roman"/>
          <w:sz w:val="22"/>
          <w:szCs w:val="22"/>
          <w:bdr w:val="none" w:sz="0" w:space="0" w:color="auto"/>
          <w:lang w:val="en-GB" w:eastAsia="en-GB"/>
        </w:rPr>
        <w:t xml:space="preserve"> </w:t>
      </w:r>
      <w:r w:rsidR="008570C4" w:rsidRPr="008570C4">
        <w:rPr>
          <w:rFonts w:asciiTheme="minorHAnsi" w:hAnsiTheme="minorHAnsi"/>
          <w:sz w:val="22"/>
          <w:szCs w:val="22"/>
        </w:rPr>
        <w:t xml:space="preserve">Health expenditure has broadly remained a broadly constant share of GDP at 10.0% since 2011, but this is up from 6.9% in 1997. </w:t>
      </w:r>
      <w:r w:rsidR="002F47D6">
        <w:rPr>
          <w:rFonts w:asciiTheme="minorHAnsi" w:hAnsiTheme="minorHAnsi"/>
          <w:sz w:val="22"/>
          <w:szCs w:val="22"/>
        </w:rPr>
        <w:t xml:space="preserve">However, spending increases have not kept pace with demand increases and the NHS was struggling to cope </w:t>
      </w:r>
      <w:r w:rsidR="00751371">
        <w:rPr>
          <w:rFonts w:asciiTheme="minorHAnsi" w:hAnsiTheme="minorHAnsi"/>
          <w:sz w:val="22"/>
          <w:szCs w:val="22"/>
        </w:rPr>
        <w:t xml:space="preserve">practically and </w:t>
      </w:r>
      <w:r w:rsidR="002F47D6">
        <w:rPr>
          <w:rFonts w:asciiTheme="minorHAnsi" w:hAnsiTheme="minorHAnsi"/>
          <w:sz w:val="22"/>
          <w:szCs w:val="22"/>
        </w:rPr>
        <w:t xml:space="preserve">financially before 2020 (PAC 2020). </w:t>
      </w:r>
      <w:r w:rsidR="00372E47">
        <w:rPr>
          <w:rFonts w:asciiTheme="minorHAnsi" w:hAnsiTheme="minorHAnsi"/>
          <w:sz w:val="22"/>
          <w:szCs w:val="22"/>
        </w:rPr>
        <w:t xml:space="preserve">The </w:t>
      </w:r>
      <w:r w:rsidR="008570C4" w:rsidRPr="008570C4">
        <w:rPr>
          <w:rFonts w:asciiTheme="minorHAnsi" w:hAnsiTheme="minorHAnsi"/>
          <w:sz w:val="22"/>
          <w:szCs w:val="22"/>
        </w:rPr>
        <w:t>government finance</w:t>
      </w:r>
      <w:r w:rsidR="00372E47">
        <w:rPr>
          <w:rFonts w:asciiTheme="minorHAnsi" w:hAnsiTheme="minorHAnsi"/>
          <w:sz w:val="22"/>
          <w:szCs w:val="22"/>
        </w:rPr>
        <w:t xml:space="preserve">s </w:t>
      </w:r>
      <w:r w:rsidR="00372E47" w:rsidRPr="008570C4">
        <w:rPr>
          <w:rFonts w:asciiTheme="minorHAnsi" w:hAnsiTheme="minorHAnsi"/>
          <w:sz w:val="22"/>
          <w:szCs w:val="22"/>
        </w:rPr>
        <w:t>78% of all healthcare expenditure</w:t>
      </w:r>
      <w:r w:rsidR="008570C4" w:rsidRPr="008570C4">
        <w:rPr>
          <w:rFonts w:asciiTheme="minorHAnsi" w:hAnsiTheme="minorHAnsi"/>
          <w:sz w:val="22"/>
          <w:szCs w:val="22"/>
        </w:rPr>
        <w:t>, with the majority of this (64%) spent on curative or rehabilitative care. Only 4.8% of government healthcare expenditure was on preventative care, including early detection of disease, and this has been falling in real terms since 2015, largely due to falls in spending on public health services by local authorities (ONS, 2020).</w:t>
      </w:r>
    </w:p>
    <w:p w14:paraId="703003DE" w14:textId="7D115E2C" w:rsidR="002F47D6" w:rsidRDefault="002F47D6" w:rsidP="008570C4">
      <w:pPr>
        <w:spacing w:line="276" w:lineRule="auto"/>
        <w:jc w:val="both"/>
        <w:rPr>
          <w:rFonts w:asciiTheme="minorHAnsi" w:hAnsiTheme="minorHAnsi"/>
          <w:sz w:val="22"/>
          <w:szCs w:val="22"/>
        </w:rPr>
      </w:pPr>
    </w:p>
    <w:p w14:paraId="1E56A803" w14:textId="2C3FF41B" w:rsidR="002F47D6" w:rsidRPr="008570C4" w:rsidRDefault="002F47D6" w:rsidP="008570C4">
      <w:pPr>
        <w:spacing w:line="276" w:lineRule="auto"/>
        <w:jc w:val="both"/>
        <w:rPr>
          <w:rFonts w:eastAsia="Times New Roman"/>
          <w:bdr w:val="none" w:sz="0" w:space="0" w:color="auto"/>
          <w:lang w:val="en-GB" w:eastAsia="en-GB"/>
        </w:rPr>
      </w:pPr>
      <w:r>
        <w:rPr>
          <w:rFonts w:asciiTheme="minorHAnsi" w:hAnsiTheme="minorHAnsi"/>
          <w:sz w:val="22"/>
          <w:szCs w:val="22"/>
        </w:rPr>
        <w:t xml:space="preserve">An important part of the context for understanding health services during the pandemic and prospects for future output and productivity is therefore the </w:t>
      </w:r>
      <w:r w:rsidR="00F45EF0">
        <w:rPr>
          <w:rFonts w:asciiTheme="minorHAnsi" w:hAnsiTheme="minorHAnsi"/>
          <w:sz w:val="22"/>
          <w:szCs w:val="22"/>
        </w:rPr>
        <w:t>already-high</w:t>
      </w:r>
      <w:r>
        <w:rPr>
          <w:rFonts w:asciiTheme="minorHAnsi" w:hAnsiTheme="minorHAnsi"/>
          <w:sz w:val="22"/>
          <w:szCs w:val="22"/>
        </w:rPr>
        <w:t xml:space="preserve"> pressure on the service. In addition, there has been frequent, complex organizational change, as we sketch briefly here.</w:t>
      </w:r>
    </w:p>
    <w:p w14:paraId="272F89C7" w14:textId="745EBF20" w:rsidR="00F85C0E" w:rsidRDefault="00F85C0E" w:rsidP="00921810">
      <w:pPr>
        <w:spacing w:line="276" w:lineRule="auto"/>
        <w:jc w:val="both"/>
      </w:pPr>
    </w:p>
    <w:p w14:paraId="31AEBE49" w14:textId="66A9FA0B" w:rsidR="0007451F" w:rsidRDefault="00ED0444" w:rsidP="00921810">
      <w:pPr>
        <w:spacing w:line="276" w:lineRule="auto"/>
        <w:jc w:val="both"/>
        <w:rPr>
          <w:rFonts w:asciiTheme="minorHAnsi" w:hAnsiTheme="minorHAnsi"/>
          <w:sz w:val="22"/>
          <w:szCs w:val="22"/>
        </w:rPr>
      </w:pPr>
      <w:r w:rsidRPr="00921810">
        <w:rPr>
          <w:rFonts w:asciiTheme="minorHAnsi" w:hAnsiTheme="minorHAnsi"/>
          <w:sz w:val="22"/>
          <w:szCs w:val="22"/>
        </w:rPr>
        <w:t xml:space="preserve">Our </w:t>
      </w:r>
      <w:r w:rsidR="008570C4">
        <w:rPr>
          <w:rFonts w:asciiTheme="minorHAnsi" w:hAnsiTheme="minorHAnsi"/>
          <w:sz w:val="22"/>
          <w:szCs w:val="22"/>
        </w:rPr>
        <w:t>interview hospital trusts</w:t>
      </w:r>
      <w:r w:rsidRPr="00921810">
        <w:rPr>
          <w:rFonts w:asciiTheme="minorHAnsi" w:hAnsiTheme="minorHAnsi"/>
          <w:sz w:val="22"/>
          <w:szCs w:val="22"/>
        </w:rPr>
        <w:t xml:space="preserve"> are within NHS England. In general, health services in the devolved nations have diverged away from NHS England structures, with less emphasis on competition</w:t>
      </w:r>
      <w:r w:rsidR="002F47D6">
        <w:rPr>
          <w:rFonts w:asciiTheme="minorHAnsi" w:hAnsiTheme="minorHAnsi"/>
          <w:sz w:val="22"/>
          <w:szCs w:val="22"/>
        </w:rPr>
        <w:t xml:space="preserve"> </w:t>
      </w:r>
      <w:r w:rsidRPr="00921810">
        <w:rPr>
          <w:rFonts w:asciiTheme="minorHAnsi" w:hAnsiTheme="minorHAnsi"/>
          <w:sz w:val="22"/>
          <w:szCs w:val="22"/>
        </w:rPr>
        <w:t xml:space="preserve">(Watson and Komashie, 2020). Within England, health care was formally devolved to Greater Manchester in 2016. This included taking control of the annual health and social care budget of £6 billion. Ten Local Authorities, 12 CCGs, and 15 NHS trusts and foundation trusts were involved. However, </w:t>
      </w:r>
      <w:r w:rsidR="002F47D6">
        <w:rPr>
          <w:rFonts w:asciiTheme="minorHAnsi" w:hAnsiTheme="minorHAnsi"/>
          <w:sz w:val="22"/>
          <w:szCs w:val="22"/>
        </w:rPr>
        <w:t>there was</w:t>
      </w:r>
      <w:r w:rsidRPr="00921810">
        <w:rPr>
          <w:rFonts w:asciiTheme="minorHAnsi" w:hAnsiTheme="minorHAnsi"/>
          <w:sz w:val="22"/>
          <w:szCs w:val="22"/>
        </w:rPr>
        <w:t xml:space="preserve"> no change in budgets, accountability structures </w:t>
      </w:r>
      <w:r>
        <w:rPr>
          <w:rFonts w:asciiTheme="minorHAnsi" w:hAnsiTheme="minorHAnsi"/>
          <w:sz w:val="22"/>
          <w:szCs w:val="22"/>
        </w:rPr>
        <w:t>or</w:t>
      </w:r>
      <w:r w:rsidRPr="00921810">
        <w:rPr>
          <w:rFonts w:asciiTheme="minorHAnsi" w:hAnsiTheme="minorHAnsi"/>
          <w:sz w:val="22"/>
          <w:szCs w:val="22"/>
        </w:rPr>
        <w:t xml:space="preserve"> governance arrangements (Walshe</w:t>
      </w:r>
      <w:r>
        <w:rPr>
          <w:rFonts w:asciiTheme="minorHAnsi" w:hAnsiTheme="minorHAnsi"/>
          <w:sz w:val="22"/>
          <w:szCs w:val="22"/>
        </w:rPr>
        <w:t xml:space="preserve"> et al</w:t>
      </w:r>
      <w:r w:rsidRPr="00921810">
        <w:rPr>
          <w:rFonts w:asciiTheme="minorHAnsi" w:hAnsiTheme="minorHAnsi"/>
          <w:sz w:val="22"/>
          <w:szCs w:val="22"/>
        </w:rPr>
        <w:t xml:space="preserve">, 2018). Manchester is also notable for </w:t>
      </w:r>
      <w:r>
        <w:rPr>
          <w:rFonts w:asciiTheme="minorHAnsi" w:hAnsiTheme="minorHAnsi"/>
          <w:sz w:val="22"/>
          <w:szCs w:val="22"/>
        </w:rPr>
        <w:t xml:space="preserve">now </w:t>
      </w:r>
      <w:r w:rsidRPr="00921810">
        <w:rPr>
          <w:rFonts w:asciiTheme="minorHAnsi" w:hAnsiTheme="minorHAnsi"/>
          <w:sz w:val="22"/>
          <w:szCs w:val="22"/>
        </w:rPr>
        <w:t xml:space="preserve">having one of the largest acute Trusts in England, running a group of nine hospitals and over 20,000 staff. Three existing hospital providers, Central Manchester NHS Foundation Trust (CMFT), the University Hospital of South Manchester NHS Foundation Trust (UHSM), and North Manchester General Hospital (NMGH) were merged in October 2017 to form the Manchester University NHS Foundation Trust (MFT). </w:t>
      </w:r>
    </w:p>
    <w:p w14:paraId="21EA5FD9" w14:textId="77777777" w:rsidR="002F47D6" w:rsidRDefault="002F47D6" w:rsidP="00921810">
      <w:pPr>
        <w:spacing w:line="276" w:lineRule="auto"/>
        <w:jc w:val="both"/>
        <w:rPr>
          <w:rFonts w:asciiTheme="minorHAnsi" w:hAnsiTheme="minorHAnsi"/>
          <w:sz w:val="22"/>
          <w:szCs w:val="22"/>
        </w:rPr>
      </w:pPr>
    </w:p>
    <w:p w14:paraId="5D8E0BB3" w14:textId="71B30D38" w:rsidR="0007451F" w:rsidRPr="00F85C0E" w:rsidRDefault="0007451F" w:rsidP="00F85C0E">
      <w:pPr>
        <w:spacing w:line="276" w:lineRule="auto"/>
        <w:jc w:val="both"/>
        <w:rPr>
          <w:rFonts w:asciiTheme="minorHAnsi" w:hAnsiTheme="minorHAnsi"/>
          <w:sz w:val="22"/>
          <w:szCs w:val="22"/>
        </w:rPr>
      </w:pPr>
      <w:r w:rsidRPr="00F85C0E">
        <w:rPr>
          <w:rFonts w:asciiTheme="minorHAnsi" w:hAnsiTheme="minorHAnsi"/>
          <w:sz w:val="22"/>
          <w:szCs w:val="22"/>
        </w:rPr>
        <w:t xml:space="preserve">Since the 1980s, </w:t>
      </w:r>
      <w:r w:rsidR="00F85C0E" w:rsidRPr="00F85C0E">
        <w:rPr>
          <w:rFonts w:asciiTheme="minorHAnsi" w:hAnsiTheme="minorHAnsi"/>
          <w:sz w:val="22"/>
          <w:szCs w:val="22"/>
        </w:rPr>
        <w:t xml:space="preserve">the </w:t>
      </w:r>
      <w:r w:rsidRPr="00F85C0E">
        <w:rPr>
          <w:rFonts w:asciiTheme="minorHAnsi" w:hAnsiTheme="minorHAnsi"/>
          <w:sz w:val="22"/>
          <w:szCs w:val="22"/>
        </w:rPr>
        <w:t>NHS</w:t>
      </w:r>
      <w:r w:rsidR="00F85C0E" w:rsidRPr="00F85C0E">
        <w:rPr>
          <w:rFonts w:asciiTheme="minorHAnsi" w:hAnsiTheme="minorHAnsi"/>
          <w:sz w:val="22"/>
          <w:szCs w:val="22"/>
        </w:rPr>
        <w:t xml:space="preserve"> and NHS England</w:t>
      </w:r>
      <w:r w:rsidRPr="00F85C0E">
        <w:rPr>
          <w:rFonts w:asciiTheme="minorHAnsi" w:hAnsiTheme="minorHAnsi"/>
          <w:sz w:val="22"/>
          <w:szCs w:val="22"/>
        </w:rPr>
        <w:t xml:space="preserve"> ha</w:t>
      </w:r>
      <w:r w:rsidR="00F85C0E" w:rsidRPr="00F85C0E">
        <w:rPr>
          <w:rFonts w:asciiTheme="minorHAnsi" w:hAnsiTheme="minorHAnsi"/>
          <w:sz w:val="22"/>
          <w:szCs w:val="22"/>
        </w:rPr>
        <w:t>ve</w:t>
      </w:r>
      <w:r w:rsidRPr="00F85C0E">
        <w:rPr>
          <w:rFonts w:asciiTheme="minorHAnsi" w:hAnsiTheme="minorHAnsi"/>
          <w:sz w:val="22"/>
          <w:szCs w:val="22"/>
        </w:rPr>
        <w:t xml:space="preserve"> been subject to a series of reforms aimed at increasing efficiency and introducing private sector management practices. This included the creation of an internal market within the NHS, which mandated a distinction between NHS organisations buying services and those providing the healthcare services. </w:t>
      </w:r>
      <w:r w:rsidR="00F85C0E" w:rsidRPr="00F85C0E">
        <w:rPr>
          <w:rFonts w:asciiTheme="minorHAnsi" w:hAnsiTheme="minorHAnsi"/>
          <w:sz w:val="22"/>
          <w:szCs w:val="22"/>
        </w:rPr>
        <w:t>C</w:t>
      </w:r>
      <w:r w:rsidRPr="00F85C0E">
        <w:rPr>
          <w:rFonts w:asciiTheme="minorHAnsi" w:hAnsiTheme="minorHAnsi"/>
          <w:sz w:val="22"/>
          <w:szCs w:val="22"/>
        </w:rPr>
        <w:t>riticism grew over</w:t>
      </w:r>
      <w:r w:rsidR="00F85C0E" w:rsidRPr="00F85C0E">
        <w:rPr>
          <w:rFonts w:asciiTheme="minorHAnsi" w:hAnsiTheme="minorHAnsi"/>
          <w:sz w:val="22"/>
          <w:szCs w:val="22"/>
        </w:rPr>
        <w:t xml:space="preserve"> the 1990s concerning</w:t>
      </w:r>
      <w:r w:rsidRPr="00F85C0E">
        <w:rPr>
          <w:rFonts w:asciiTheme="minorHAnsi" w:hAnsiTheme="minorHAnsi"/>
          <w:sz w:val="22"/>
          <w:szCs w:val="22"/>
        </w:rPr>
        <w:t xml:space="preserve"> the fragmentation of healthcare and </w:t>
      </w:r>
      <w:r w:rsidR="00F85C0E" w:rsidRPr="00F85C0E">
        <w:rPr>
          <w:rFonts w:asciiTheme="minorHAnsi" w:hAnsiTheme="minorHAnsi"/>
          <w:sz w:val="22"/>
          <w:szCs w:val="22"/>
        </w:rPr>
        <w:t xml:space="preserve">also a </w:t>
      </w:r>
      <w:r w:rsidRPr="00F85C0E">
        <w:rPr>
          <w:rFonts w:asciiTheme="minorHAnsi" w:hAnsiTheme="minorHAnsi"/>
          <w:sz w:val="22"/>
          <w:szCs w:val="22"/>
        </w:rPr>
        <w:t xml:space="preserve">desire for </w:t>
      </w:r>
      <w:r w:rsidR="00F85C0E" w:rsidRPr="00F85C0E">
        <w:rPr>
          <w:rFonts w:asciiTheme="minorHAnsi" w:hAnsiTheme="minorHAnsi"/>
          <w:sz w:val="22"/>
          <w:szCs w:val="22"/>
        </w:rPr>
        <w:t>digitization,</w:t>
      </w:r>
      <w:r w:rsidRPr="00F85C0E">
        <w:rPr>
          <w:rFonts w:asciiTheme="minorHAnsi" w:hAnsiTheme="minorHAnsi"/>
          <w:sz w:val="22"/>
          <w:szCs w:val="22"/>
        </w:rPr>
        <w:t xml:space="preserve"> which required collaborative efforts. Subsequent reforms were nominally a reverse of the drive toward </w:t>
      </w:r>
      <w:r w:rsidR="00BA0EE4">
        <w:rPr>
          <w:rFonts w:asciiTheme="minorHAnsi" w:hAnsiTheme="minorHAnsi"/>
          <w:sz w:val="22"/>
          <w:szCs w:val="22"/>
        </w:rPr>
        <w:t>managerialism</w:t>
      </w:r>
      <w:r w:rsidRPr="00F85C0E">
        <w:rPr>
          <w:rFonts w:asciiTheme="minorHAnsi" w:hAnsiTheme="minorHAnsi"/>
          <w:sz w:val="22"/>
          <w:szCs w:val="22"/>
        </w:rPr>
        <w:t xml:space="preserve">, but maintained the internal markets, centralisation, and targets that were features of the previous reforms (Dalingwater, 2014). The </w:t>
      </w:r>
      <w:r w:rsidR="00F85C0E" w:rsidRPr="00F85C0E">
        <w:rPr>
          <w:rFonts w:asciiTheme="minorHAnsi" w:hAnsiTheme="minorHAnsi"/>
          <w:sz w:val="22"/>
          <w:szCs w:val="22"/>
        </w:rPr>
        <w:t>‘</w:t>
      </w:r>
      <w:r w:rsidRPr="00F85C0E">
        <w:rPr>
          <w:rFonts w:asciiTheme="minorHAnsi" w:hAnsiTheme="minorHAnsi"/>
          <w:sz w:val="22"/>
          <w:szCs w:val="22"/>
        </w:rPr>
        <w:t>multiple, overlapping, and often contradictory reforms</w:t>
      </w:r>
      <w:r w:rsidR="00F85C0E" w:rsidRPr="00F85C0E">
        <w:rPr>
          <w:rFonts w:asciiTheme="minorHAnsi" w:hAnsiTheme="minorHAnsi"/>
          <w:sz w:val="22"/>
          <w:szCs w:val="22"/>
        </w:rPr>
        <w:t>’</w:t>
      </w:r>
      <w:r w:rsidRPr="00F85C0E">
        <w:rPr>
          <w:rFonts w:asciiTheme="minorHAnsi" w:hAnsiTheme="minorHAnsi"/>
          <w:sz w:val="22"/>
          <w:szCs w:val="22"/>
        </w:rPr>
        <w:t xml:space="preserve"> of the NHS in recent decades have been criticised for creating conflicting incentives for both collaboration and competition between NHS organisations (Walshe et al, 2018). However, </w:t>
      </w:r>
      <w:r w:rsidR="008570C4">
        <w:rPr>
          <w:rFonts w:asciiTheme="minorHAnsi" w:hAnsiTheme="minorHAnsi"/>
          <w:sz w:val="22"/>
          <w:szCs w:val="22"/>
        </w:rPr>
        <w:t xml:space="preserve">Propper (2018) shows that increasing competition within NHS England has had broadly positive results for patients, although its implications for productivity are less clear. </w:t>
      </w:r>
    </w:p>
    <w:p w14:paraId="656322B2" w14:textId="77777777" w:rsidR="0007451F" w:rsidRPr="00F85C0E" w:rsidRDefault="0007451F" w:rsidP="00F85C0E">
      <w:pPr>
        <w:spacing w:line="276" w:lineRule="auto"/>
        <w:jc w:val="both"/>
        <w:rPr>
          <w:rFonts w:asciiTheme="minorHAnsi" w:hAnsiTheme="minorHAnsi"/>
          <w:sz w:val="22"/>
          <w:szCs w:val="22"/>
        </w:rPr>
      </w:pPr>
    </w:p>
    <w:p w14:paraId="17555B92" w14:textId="7AD91B3A" w:rsidR="00F53BEF" w:rsidRPr="00F53BEF" w:rsidRDefault="0007451F" w:rsidP="00F53BEF">
      <w:pPr>
        <w:spacing w:line="276" w:lineRule="auto"/>
        <w:jc w:val="both"/>
        <w:rPr>
          <w:rFonts w:asciiTheme="minorHAnsi" w:hAnsiTheme="minorHAnsi"/>
          <w:sz w:val="22"/>
          <w:szCs w:val="22"/>
        </w:rPr>
      </w:pPr>
      <w:r w:rsidRPr="00F53BEF">
        <w:rPr>
          <w:rFonts w:asciiTheme="minorHAnsi" w:hAnsiTheme="minorHAnsi"/>
          <w:sz w:val="22"/>
          <w:szCs w:val="22"/>
        </w:rPr>
        <w:lastRenderedPageBreak/>
        <w:t xml:space="preserve">As of 2017, there were 27 agencies and public bodies within the NHS, summarised in Figure </w:t>
      </w:r>
      <w:r w:rsidR="00372E47" w:rsidRPr="00F53BEF">
        <w:rPr>
          <w:rFonts w:asciiTheme="minorHAnsi" w:hAnsiTheme="minorHAnsi"/>
          <w:sz w:val="22"/>
          <w:szCs w:val="22"/>
        </w:rPr>
        <w:t>3</w:t>
      </w:r>
      <w:r w:rsidRPr="00F53BEF">
        <w:rPr>
          <w:rFonts w:asciiTheme="minorHAnsi" w:hAnsiTheme="minorHAnsi"/>
          <w:sz w:val="22"/>
          <w:szCs w:val="22"/>
        </w:rPr>
        <w:t xml:space="preserve">. The largest of these is NHS England, </w:t>
      </w:r>
      <w:r w:rsidR="00F85C0E" w:rsidRPr="00F53BEF">
        <w:rPr>
          <w:rFonts w:asciiTheme="minorHAnsi" w:hAnsiTheme="minorHAnsi"/>
          <w:sz w:val="22"/>
          <w:szCs w:val="22"/>
        </w:rPr>
        <w:t>with</w:t>
      </w:r>
      <w:r w:rsidRPr="00F53BEF">
        <w:rPr>
          <w:rFonts w:asciiTheme="minorHAnsi" w:hAnsiTheme="minorHAnsi"/>
          <w:sz w:val="22"/>
          <w:szCs w:val="22"/>
        </w:rPr>
        <w:t xml:space="preserve"> responsibility for planning and buying health services in England </w:t>
      </w:r>
      <w:r w:rsidR="00F85C0E" w:rsidRPr="00F53BEF">
        <w:rPr>
          <w:rFonts w:asciiTheme="minorHAnsi" w:hAnsiTheme="minorHAnsi"/>
          <w:sz w:val="22"/>
          <w:szCs w:val="22"/>
        </w:rPr>
        <w:t xml:space="preserve">since </w:t>
      </w:r>
      <w:r w:rsidRPr="00F53BEF">
        <w:rPr>
          <w:rFonts w:asciiTheme="minorHAnsi" w:hAnsiTheme="minorHAnsi"/>
          <w:sz w:val="22"/>
          <w:szCs w:val="22"/>
        </w:rPr>
        <w:t>the latest set of reforms in 2012</w:t>
      </w:r>
      <w:r w:rsidR="00F85C0E" w:rsidRPr="00F53BEF">
        <w:rPr>
          <w:rFonts w:asciiTheme="minorHAnsi" w:hAnsiTheme="minorHAnsi"/>
          <w:sz w:val="22"/>
          <w:szCs w:val="22"/>
        </w:rPr>
        <w:t>. It</w:t>
      </w:r>
      <w:r w:rsidRPr="00F53BEF">
        <w:rPr>
          <w:rFonts w:asciiTheme="minorHAnsi" w:hAnsiTheme="minorHAnsi"/>
          <w:sz w:val="22"/>
          <w:szCs w:val="22"/>
        </w:rPr>
        <w:t xml:space="preserve"> also plans a large part of NHS strategy (Powell, 2020). In turn, most of the budget of NHS England is passed on to over 200 Clinical Commissioning Groups (CCGs), also formed in the 2012 reforms, which plan for health services in their local area, and buy the services from various organisations, such as NHS Trusts </w:t>
      </w:r>
      <w:r w:rsidR="00F85C0E" w:rsidRPr="00F53BEF">
        <w:rPr>
          <w:rFonts w:asciiTheme="minorHAnsi" w:hAnsiTheme="minorHAnsi"/>
          <w:sz w:val="22"/>
          <w:szCs w:val="22"/>
        </w:rPr>
        <w:t>running</w:t>
      </w:r>
      <w:r w:rsidRPr="00F53BEF">
        <w:rPr>
          <w:rFonts w:asciiTheme="minorHAnsi" w:hAnsiTheme="minorHAnsi"/>
          <w:sz w:val="22"/>
          <w:szCs w:val="22"/>
        </w:rPr>
        <w:t xml:space="preserve"> hospitals and community services, and General Practi</w:t>
      </w:r>
      <w:r w:rsidR="00F85C0E" w:rsidRPr="00F53BEF">
        <w:rPr>
          <w:rFonts w:asciiTheme="minorHAnsi" w:hAnsiTheme="minorHAnsi"/>
          <w:sz w:val="22"/>
          <w:szCs w:val="22"/>
        </w:rPr>
        <w:t>ti</w:t>
      </w:r>
      <w:r w:rsidRPr="00F53BEF">
        <w:rPr>
          <w:rFonts w:asciiTheme="minorHAnsi" w:hAnsiTheme="minorHAnsi"/>
          <w:sz w:val="22"/>
          <w:szCs w:val="22"/>
        </w:rPr>
        <w:t>oner (GP) practices (King’s Fund, 2017).</w:t>
      </w:r>
      <w:r w:rsidR="008570C4" w:rsidRPr="00F53BEF">
        <w:rPr>
          <w:rFonts w:asciiTheme="minorHAnsi" w:hAnsiTheme="minorHAnsi"/>
          <w:sz w:val="22"/>
          <w:szCs w:val="22"/>
        </w:rPr>
        <w:t xml:space="preserve"> </w:t>
      </w:r>
      <w:r w:rsidRPr="00F53BEF">
        <w:rPr>
          <w:rFonts w:asciiTheme="minorHAnsi" w:hAnsiTheme="minorHAnsi"/>
          <w:sz w:val="22"/>
          <w:szCs w:val="22"/>
        </w:rPr>
        <w:t xml:space="preserve">Separate to the CCGs, many NHS England bodies have developed Sustainability and Transformation Partnerships (STPs) as a collaborative effort between NHS commissioners, providers, and Local Authorities. </w:t>
      </w:r>
      <w:r w:rsidR="00F85C0E" w:rsidRPr="00F53BEF">
        <w:rPr>
          <w:rFonts w:asciiTheme="minorHAnsi" w:hAnsiTheme="minorHAnsi"/>
          <w:sz w:val="22"/>
          <w:szCs w:val="22"/>
        </w:rPr>
        <w:t>T</w:t>
      </w:r>
      <w:r w:rsidRPr="00F53BEF">
        <w:rPr>
          <w:rFonts w:asciiTheme="minorHAnsi" w:hAnsiTheme="minorHAnsi"/>
          <w:sz w:val="22"/>
          <w:szCs w:val="22"/>
        </w:rPr>
        <w:t xml:space="preserve">he 2012 legislative reforms </w:t>
      </w:r>
      <w:r w:rsidR="00F85C0E" w:rsidRPr="00F53BEF">
        <w:rPr>
          <w:rFonts w:asciiTheme="minorHAnsi" w:hAnsiTheme="minorHAnsi"/>
          <w:sz w:val="22"/>
          <w:szCs w:val="22"/>
        </w:rPr>
        <w:t xml:space="preserve">were </w:t>
      </w:r>
      <w:r w:rsidRPr="00F53BEF">
        <w:rPr>
          <w:rFonts w:asciiTheme="minorHAnsi" w:hAnsiTheme="minorHAnsi"/>
          <w:sz w:val="22"/>
          <w:szCs w:val="22"/>
        </w:rPr>
        <w:t>designed to increase competition, and therefore the</w:t>
      </w:r>
      <w:r w:rsidR="00F85C0E" w:rsidRPr="00F53BEF">
        <w:rPr>
          <w:rFonts w:asciiTheme="minorHAnsi" w:hAnsiTheme="minorHAnsi"/>
          <w:sz w:val="22"/>
          <w:szCs w:val="22"/>
        </w:rPr>
        <w:t>se</w:t>
      </w:r>
      <w:r w:rsidRPr="00F53BEF">
        <w:rPr>
          <w:rFonts w:asciiTheme="minorHAnsi" w:hAnsiTheme="minorHAnsi"/>
          <w:sz w:val="22"/>
          <w:szCs w:val="22"/>
        </w:rPr>
        <w:t xml:space="preserve"> collaborative efforts can be restricted by competitive tendering rules (Alderwick, 2020),</w:t>
      </w:r>
      <w:r w:rsidR="00F85C0E" w:rsidRPr="00F53BEF">
        <w:rPr>
          <w:rFonts w:asciiTheme="minorHAnsi" w:hAnsiTheme="minorHAnsi"/>
          <w:sz w:val="22"/>
          <w:szCs w:val="22"/>
        </w:rPr>
        <w:t xml:space="preserve"> </w:t>
      </w:r>
      <w:r w:rsidRPr="00F53BEF">
        <w:rPr>
          <w:rFonts w:asciiTheme="minorHAnsi" w:hAnsiTheme="minorHAnsi"/>
          <w:sz w:val="22"/>
          <w:szCs w:val="22"/>
        </w:rPr>
        <w:t xml:space="preserve">illustrating the tensions between </w:t>
      </w:r>
      <w:r w:rsidR="00F45EF0">
        <w:rPr>
          <w:rFonts w:asciiTheme="minorHAnsi" w:hAnsiTheme="minorHAnsi"/>
          <w:sz w:val="22"/>
          <w:szCs w:val="22"/>
        </w:rPr>
        <w:t xml:space="preserve">the </w:t>
      </w:r>
      <w:r w:rsidRPr="00F53BEF">
        <w:rPr>
          <w:rFonts w:asciiTheme="minorHAnsi" w:hAnsiTheme="minorHAnsi"/>
          <w:sz w:val="22"/>
          <w:szCs w:val="22"/>
        </w:rPr>
        <w:t>competitive and collaborative approaches</w:t>
      </w:r>
      <w:r w:rsidR="00F45EF0">
        <w:rPr>
          <w:rFonts w:asciiTheme="minorHAnsi" w:hAnsiTheme="minorHAnsi"/>
          <w:sz w:val="22"/>
          <w:szCs w:val="22"/>
        </w:rPr>
        <w:t xml:space="preserve"> to NHS organisation</w:t>
      </w:r>
      <w:r w:rsidRPr="00F53BEF">
        <w:rPr>
          <w:rFonts w:asciiTheme="minorHAnsi" w:hAnsiTheme="minorHAnsi"/>
          <w:sz w:val="22"/>
          <w:szCs w:val="22"/>
        </w:rPr>
        <w:t xml:space="preserve">. </w:t>
      </w:r>
    </w:p>
    <w:p w14:paraId="5748892E" w14:textId="77777777" w:rsidR="00F53BEF" w:rsidRPr="00F53BEF" w:rsidRDefault="00F53BEF" w:rsidP="00F53BEF">
      <w:pPr>
        <w:spacing w:line="276" w:lineRule="auto"/>
        <w:jc w:val="both"/>
        <w:rPr>
          <w:rFonts w:asciiTheme="minorHAnsi" w:hAnsiTheme="minorHAnsi"/>
          <w:sz w:val="22"/>
          <w:szCs w:val="22"/>
        </w:rPr>
      </w:pPr>
    </w:p>
    <w:p w14:paraId="24938AFD" w14:textId="77777777" w:rsidR="00F45EF0" w:rsidRDefault="00F53BEF" w:rsidP="00F53BEF">
      <w:pPr>
        <w:spacing w:line="276" w:lineRule="auto"/>
        <w:jc w:val="both"/>
        <w:rPr>
          <w:rFonts w:asciiTheme="minorHAnsi" w:eastAsia="Times New Roman" w:hAnsiTheme="minorHAnsi" w:cs="Calibri"/>
          <w:color w:val="000000"/>
          <w:sz w:val="22"/>
          <w:szCs w:val="22"/>
          <w:bdr w:val="none" w:sz="0" w:space="0" w:color="auto"/>
          <w:lang w:val="en-GB" w:eastAsia="en-GB"/>
        </w:rPr>
      </w:pPr>
      <w:r w:rsidRPr="00F53BEF">
        <w:rPr>
          <w:rFonts w:asciiTheme="minorHAnsi" w:eastAsia="Times New Roman" w:hAnsiTheme="minorHAnsi" w:cs="Calibri"/>
          <w:color w:val="000000"/>
          <w:sz w:val="22"/>
          <w:szCs w:val="22"/>
          <w:bdr w:val="none" w:sz="0" w:space="0" w:color="auto"/>
          <w:lang w:val="en-GB" w:eastAsia="en-GB"/>
        </w:rPr>
        <w:t>In January 2019, the NHS published a</w:t>
      </w:r>
      <w:r w:rsidR="00BA0EE4">
        <w:rPr>
          <w:rFonts w:asciiTheme="minorHAnsi" w:eastAsia="Times New Roman" w:hAnsiTheme="minorHAnsi" w:cs="Calibri"/>
          <w:color w:val="000000"/>
          <w:sz w:val="22"/>
          <w:szCs w:val="22"/>
          <w:bdr w:val="none" w:sz="0" w:space="0" w:color="auto"/>
          <w:lang w:val="en-GB" w:eastAsia="en-GB"/>
        </w:rPr>
        <w:t>nother</w:t>
      </w:r>
      <w:r w:rsidRPr="00F53BEF">
        <w:rPr>
          <w:rFonts w:asciiTheme="minorHAnsi" w:eastAsia="Times New Roman" w:hAnsiTheme="minorHAnsi" w:cs="Calibri"/>
          <w:color w:val="000000"/>
          <w:sz w:val="22"/>
          <w:szCs w:val="22"/>
          <w:bdr w:val="none" w:sz="0" w:space="0" w:color="auto"/>
          <w:lang w:val="en-GB" w:eastAsia="en-GB"/>
        </w:rPr>
        <w:t xml:space="preserve"> new </w:t>
      </w:r>
      <w:proofErr w:type="gramStart"/>
      <w:r w:rsidRPr="00F53BEF">
        <w:rPr>
          <w:rFonts w:asciiTheme="minorHAnsi" w:eastAsia="Times New Roman" w:hAnsiTheme="minorHAnsi" w:cs="Calibri"/>
          <w:color w:val="000000"/>
          <w:sz w:val="22"/>
          <w:szCs w:val="22"/>
          <w:bdr w:val="none" w:sz="0" w:space="0" w:color="auto"/>
          <w:lang w:val="en-GB" w:eastAsia="en-GB"/>
        </w:rPr>
        <w:t>long term</w:t>
      </w:r>
      <w:proofErr w:type="gramEnd"/>
      <w:r w:rsidRPr="00F53BEF">
        <w:rPr>
          <w:rFonts w:asciiTheme="minorHAnsi" w:eastAsia="Times New Roman" w:hAnsiTheme="minorHAnsi" w:cs="Calibri"/>
          <w:color w:val="000000"/>
          <w:sz w:val="22"/>
          <w:szCs w:val="22"/>
          <w:bdr w:val="none" w:sz="0" w:space="0" w:color="auto"/>
          <w:lang w:val="en-GB" w:eastAsia="en-GB"/>
        </w:rPr>
        <w:t xml:space="preserve"> plan and five year framework. A key part of this plan involved new Primary Care Networks (PCNs), formal structures for large scale GP collaboration. Since May 2020, nearly all GP practices </w:t>
      </w:r>
      <w:r>
        <w:rPr>
          <w:rFonts w:asciiTheme="minorHAnsi" w:eastAsia="Times New Roman" w:hAnsiTheme="minorHAnsi" w:cs="Calibri"/>
          <w:color w:val="000000"/>
          <w:sz w:val="22"/>
          <w:szCs w:val="22"/>
          <w:bdr w:val="none" w:sz="0" w:space="0" w:color="auto"/>
          <w:lang w:val="en-GB" w:eastAsia="en-GB"/>
        </w:rPr>
        <w:t>have been</w:t>
      </w:r>
      <w:r w:rsidRPr="00F53BEF">
        <w:rPr>
          <w:rFonts w:asciiTheme="minorHAnsi" w:eastAsia="Times New Roman" w:hAnsiTheme="minorHAnsi" w:cs="Calibri"/>
          <w:color w:val="000000"/>
          <w:sz w:val="22"/>
          <w:szCs w:val="22"/>
          <w:bdr w:val="none" w:sz="0" w:space="0" w:color="auto"/>
          <w:lang w:val="en-GB" w:eastAsia="en-GB"/>
        </w:rPr>
        <w:t xml:space="preserve"> incorporated into around 1,250 geographical networks, typically covering 30-50,000 patients, and normally contained within one CCG (Baird and Beech 2020). At the outset, all GP practices were expected to join a PCN and could only access certain new funding streams by doing so. This funding is intended to compensate individual practices for their collaborative efforts, and also to deliver </w:t>
      </w:r>
      <w:proofErr w:type="gramStart"/>
      <w:r w:rsidRPr="00F53BEF">
        <w:rPr>
          <w:rFonts w:asciiTheme="minorHAnsi" w:eastAsia="Times New Roman" w:hAnsiTheme="minorHAnsi" w:cs="Calibri"/>
          <w:color w:val="000000"/>
          <w:sz w:val="22"/>
          <w:szCs w:val="22"/>
          <w:bdr w:val="none" w:sz="0" w:space="0" w:color="auto"/>
          <w:lang w:val="en-GB" w:eastAsia="en-GB"/>
        </w:rPr>
        <w:t>a</w:t>
      </w:r>
      <w:proofErr w:type="gramEnd"/>
      <w:r w:rsidRPr="00F53BEF">
        <w:rPr>
          <w:rFonts w:asciiTheme="minorHAnsi" w:eastAsia="Times New Roman" w:hAnsiTheme="minorHAnsi" w:cs="Calibri"/>
          <w:color w:val="000000"/>
          <w:sz w:val="22"/>
          <w:szCs w:val="22"/>
          <w:bdr w:val="none" w:sz="0" w:space="0" w:color="auto"/>
          <w:lang w:val="en-GB" w:eastAsia="en-GB"/>
        </w:rPr>
        <w:t xml:space="preserve"> expanded variety of primary care services, specified by the NHS, that will be mandatory for PCNs to provide in future. The networks are intended to focus on the wider health of the local population and include more </w:t>
      </w:r>
      <w:r w:rsidR="00F45EF0">
        <w:rPr>
          <w:rFonts w:asciiTheme="minorHAnsi" w:eastAsia="Times New Roman" w:hAnsiTheme="minorHAnsi" w:cs="Calibri"/>
          <w:color w:val="000000"/>
          <w:sz w:val="22"/>
          <w:szCs w:val="22"/>
          <w:bdr w:val="none" w:sz="0" w:space="0" w:color="auto"/>
          <w:lang w:val="en-GB" w:eastAsia="en-GB"/>
        </w:rPr>
        <w:t>preventive</w:t>
      </w:r>
      <w:r w:rsidRPr="00F53BEF">
        <w:rPr>
          <w:rFonts w:asciiTheme="minorHAnsi" w:eastAsia="Times New Roman" w:hAnsiTheme="minorHAnsi" w:cs="Calibri"/>
          <w:color w:val="000000"/>
          <w:sz w:val="22"/>
          <w:szCs w:val="22"/>
          <w:bdr w:val="none" w:sz="0" w:space="0" w:color="auto"/>
          <w:lang w:val="en-GB" w:eastAsia="en-GB"/>
        </w:rPr>
        <w:t xml:space="preserve"> care. However, there are concerns over the current feasibility of delivering these services in all PCNs. In addition, the geographic areas for PCNs were not based upon existing collaboration networks, which may be disrupted (NHS Confederation 2020).</w:t>
      </w:r>
      <w:r w:rsidR="00416CEA">
        <w:rPr>
          <w:rFonts w:asciiTheme="minorHAnsi" w:eastAsia="Times New Roman" w:hAnsiTheme="minorHAnsi" w:cs="Calibri"/>
          <w:color w:val="000000"/>
          <w:sz w:val="22"/>
          <w:szCs w:val="22"/>
          <w:bdr w:val="none" w:sz="0" w:space="0" w:color="auto"/>
          <w:lang w:val="en-GB" w:eastAsia="en-GB"/>
        </w:rPr>
        <w:t xml:space="preserve"> </w:t>
      </w:r>
    </w:p>
    <w:p w14:paraId="1E93BBF4" w14:textId="77777777" w:rsidR="00F45EF0" w:rsidRDefault="00F45EF0" w:rsidP="00F53BEF">
      <w:pPr>
        <w:spacing w:line="276" w:lineRule="auto"/>
        <w:jc w:val="both"/>
        <w:rPr>
          <w:rFonts w:asciiTheme="minorHAnsi" w:eastAsia="Times New Roman" w:hAnsiTheme="minorHAnsi" w:cs="Calibri"/>
          <w:color w:val="000000"/>
          <w:sz w:val="22"/>
          <w:szCs w:val="22"/>
          <w:bdr w:val="none" w:sz="0" w:space="0" w:color="auto"/>
          <w:lang w:val="en-GB" w:eastAsia="en-GB"/>
        </w:rPr>
      </w:pPr>
    </w:p>
    <w:p w14:paraId="63C9C6AE" w14:textId="5E1CD3EE" w:rsidR="00F53BEF" w:rsidRDefault="00416CEA" w:rsidP="00F53BEF">
      <w:pPr>
        <w:spacing w:line="276" w:lineRule="auto"/>
        <w:jc w:val="both"/>
        <w:rPr>
          <w:rFonts w:asciiTheme="minorHAnsi" w:eastAsia="Times New Roman" w:hAnsiTheme="minorHAnsi" w:cs="Calibri"/>
          <w:color w:val="000000"/>
          <w:sz w:val="22"/>
          <w:szCs w:val="22"/>
          <w:bdr w:val="none" w:sz="0" w:space="0" w:color="auto"/>
          <w:lang w:val="en-GB" w:eastAsia="en-GB"/>
        </w:rPr>
      </w:pPr>
      <w:r>
        <w:rPr>
          <w:rFonts w:asciiTheme="minorHAnsi" w:eastAsia="Times New Roman" w:hAnsiTheme="minorHAnsi" w:cs="Calibri"/>
          <w:color w:val="000000"/>
          <w:sz w:val="22"/>
          <w:szCs w:val="22"/>
          <w:bdr w:val="none" w:sz="0" w:space="0" w:color="auto"/>
          <w:lang w:val="en-GB" w:eastAsia="en-GB"/>
        </w:rPr>
        <w:t xml:space="preserve">As we write this, another White Paper proposing health service reform </w:t>
      </w:r>
      <w:r w:rsidR="00F45EF0">
        <w:rPr>
          <w:rFonts w:asciiTheme="minorHAnsi" w:eastAsia="Times New Roman" w:hAnsiTheme="minorHAnsi" w:cs="Calibri"/>
          <w:color w:val="000000"/>
          <w:sz w:val="22"/>
          <w:szCs w:val="22"/>
          <w:bdr w:val="none" w:sz="0" w:space="0" w:color="auto"/>
          <w:lang w:val="en-GB" w:eastAsia="en-GB"/>
        </w:rPr>
        <w:t>has been</w:t>
      </w:r>
      <w:r>
        <w:rPr>
          <w:rFonts w:asciiTheme="minorHAnsi" w:eastAsia="Times New Roman" w:hAnsiTheme="minorHAnsi" w:cs="Calibri"/>
          <w:color w:val="000000"/>
          <w:sz w:val="22"/>
          <w:szCs w:val="22"/>
          <w:bdr w:val="none" w:sz="0" w:space="0" w:color="auto"/>
          <w:lang w:val="en-GB" w:eastAsia="en-GB"/>
        </w:rPr>
        <w:t xml:space="preserve"> published, </w:t>
      </w:r>
      <w:r w:rsidR="0005421D">
        <w:rPr>
          <w:rFonts w:asciiTheme="minorHAnsi" w:eastAsia="Times New Roman" w:hAnsiTheme="minorHAnsi" w:cs="Calibri"/>
          <w:color w:val="000000"/>
          <w:sz w:val="22"/>
          <w:szCs w:val="22"/>
          <w:bdr w:val="none" w:sz="0" w:space="0" w:color="auto"/>
          <w:lang w:val="en-GB" w:eastAsia="en-GB"/>
        </w:rPr>
        <w:t>creating</w:t>
      </w:r>
      <w:r>
        <w:rPr>
          <w:rFonts w:asciiTheme="minorHAnsi" w:eastAsia="Times New Roman" w:hAnsiTheme="minorHAnsi" w:cs="Calibri"/>
          <w:color w:val="000000"/>
          <w:sz w:val="22"/>
          <w:szCs w:val="22"/>
          <w:bdr w:val="none" w:sz="0" w:space="0" w:color="auto"/>
          <w:lang w:val="en-GB" w:eastAsia="en-GB"/>
        </w:rPr>
        <w:t xml:space="preserve"> a duty for the NHS and local authorities to co-operate to integrate care, and reducing bureaucracy including by amending competition law to enable joint provision of services (Health Policy Insight 2021). </w:t>
      </w:r>
      <w:r w:rsidR="0005421D">
        <w:rPr>
          <w:rFonts w:asciiTheme="minorHAnsi" w:eastAsia="Times New Roman" w:hAnsiTheme="minorHAnsi" w:cs="Calibri"/>
          <w:color w:val="000000"/>
          <w:sz w:val="22"/>
          <w:szCs w:val="22"/>
          <w:bdr w:val="none" w:sz="0" w:space="0" w:color="auto"/>
          <w:lang w:val="en-GB" w:eastAsia="en-GB"/>
        </w:rPr>
        <w:t xml:space="preserve">The proposed changes mark a significant move away from the prior emphasis on competition within the NHS, ending the ‘internal market’, </w:t>
      </w:r>
      <w:proofErr w:type="gramStart"/>
      <w:r w:rsidR="0005421D">
        <w:rPr>
          <w:rFonts w:asciiTheme="minorHAnsi" w:eastAsia="Times New Roman" w:hAnsiTheme="minorHAnsi" w:cs="Calibri"/>
          <w:color w:val="000000"/>
          <w:sz w:val="22"/>
          <w:szCs w:val="22"/>
          <w:bdr w:val="none" w:sz="0" w:space="0" w:color="auto"/>
          <w:lang w:val="en-GB" w:eastAsia="en-GB"/>
        </w:rPr>
        <w:t>and also</w:t>
      </w:r>
      <w:proofErr w:type="gramEnd"/>
      <w:r w:rsidR="0005421D">
        <w:rPr>
          <w:rFonts w:asciiTheme="minorHAnsi" w:eastAsia="Times New Roman" w:hAnsiTheme="minorHAnsi" w:cs="Calibri"/>
          <w:color w:val="000000"/>
          <w:sz w:val="22"/>
          <w:szCs w:val="22"/>
          <w:bdr w:val="none" w:sz="0" w:space="0" w:color="auto"/>
          <w:lang w:val="en-GB" w:eastAsia="en-GB"/>
        </w:rPr>
        <w:t xml:space="preserve"> </w:t>
      </w:r>
      <w:r w:rsidR="00F45EF0">
        <w:rPr>
          <w:rFonts w:asciiTheme="minorHAnsi" w:eastAsia="Times New Roman" w:hAnsiTheme="minorHAnsi" w:cs="Calibri"/>
          <w:color w:val="000000"/>
          <w:sz w:val="22"/>
          <w:szCs w:val="22"/>
          <w:bdr w:val="none" w:sz="0" w:space="0" w:color="auto"/>
          <w:lang w:val="en-GB" w:eastAsia="en-GB"/>
        </w:rPr>
        <w:t xml:space="preserve">indicate </w:t>
      </w:r>
      <w:r w:rsidR="0005421D">
        <w:rPr>
          <w:rFonts w:asciiTheme="minorHAnsi" w:eastAsia="Times New Roman" w:hAnsiTheme="minorHAnsi" w:cs="Calibri"/>
          <w:color w:val="000000"/>
          <w:sz w:val="22"/>
          <w:szCs w:val="22"/>
          <w:bdr w:val="none" w:sz="0" w:space="0" w:color="auto"/>
          <w:lang w:val="en-GB" w:eastAsia="en-GB"/>
        </w:rPr>
        <w:t>a shift toward centralisation of decision-making.</w:t>
      </w:r>
      <w:r w:rsidR="0005421D">
        <w:rPr>
          <w:rStyle w:val="FootnoteReference"/>
          <w:rFonts w:asciiTheme="minorHAnsi" w:eastAsia="Times New Roman" w:hAnsiTheme="minorHAnsi" w:cs="Calibri"/>
          <w:color w:val="000000"/>
          <w:sz w:val="22"/>
          <w:szCs w:val="22"/>
          <w:bdr w:val="none" w:sz="0" w:space="0" w:color="auto"/>
          <w:lang w:val="en-GB" w:eastAsia="en-GB"/>
        </w:rPr>
        <w:footnoteReference w:id="14"/>
      </w:r>
      <w:r w:rsidR="0005421D">
        <w:rPr>
          <w:rFonts w:asciiTheme="minorHAnsi" w:eastAsia="Times New Roman" w:hAnsiTheme="minorHAnsi" w:cs="Calibri"/>
          <w:color w:val="000000"/>
          <w:sz w:val="22"/>
          <w:szCs w:val="22"/>
          <w:bdr w:val="none" w:sz="0" w:space="0" w:color="auto"/>
          <w:lang w:val="en-GB" w:eastAsia="en-GB"/>
        </w:rPr>
        <w:t xml:space="preserve"> </w:t>
      </w:r>
    </w:p>
    <w:p w14:paraId="20E9166F" w14:textId="77777777" w:rsidR="002F47D6" w:rsidRDefault="002F47D6" w:rsidP="002F47D6">
      <w:pPr>
        <w:spacing w:line="276" w:lineRule="auto"/>
        <w:jc w:val="both"/>
        <w:rPr>
          <w:rFonts w:asciiTheme="minorHAnsi" w:eastAsia="Times New Roman" w:hAnsiTheme="minorHAnsi" w:cs="Calibri"/>
          <w:color w:val="000000"/>
          <w:sz w:val="22"/>
          <w:szCs w:val="22"/>
          <w:bdr w:val="none" w:sz="0" w:space="0" w:color="auto"/>
          <w:lang w:val="en-GB" w:eastAsia="en-GB"/>
        </w:rPr>
      </w:pPr>
    </w:p>
    <w:p w14:paraId="26A32648" w14:textId="77777777" w:rsidR="002F47D6" w:rsidRDefault="002F47D6" w:rsidP="002F47D6">
      <w:pPr>
        <w:spacing w:line="276" w:lineRule="auto"/>
        <w:jc w:val="both"/>
        <w:rPr>
          <w:rFonts w:asciiTheme="minorHAnsi" w:eastAsia="Times New Roman" w:hAnsiTheme="minorHAnsi" w:cs="Calibri"/>
          <w:color w:val="000000"/>
          <w:sz w:val="22"/>
          <w:szCs w:val="22"/>
          <w:bdr w:val="none" w:sz="0" w:space="0" w:color="auto"/>
          <w:lang w:val="en-GB" w:eastAsia="en-GB"/>
        </w:rPr>
      </w:pPr>
    </w:p>
    <w:p w14:paraId="3846AD9A" w14:textId="4E291A6F" w:rsidR="002F47D6" w:rsidRPr="002F47D6" w:rsidRDefault="002F47D6" w:rsidP="002F47D6">
      <w:pPr>
        <w:spacing w:line="276" w:lineRule="auto"/>
        <w:jc w:val="both"/>
        <w:rPr>
          <w:rFonts w:asciiTheme="minorHAnsi" w:eastAsia="Times New Roman" w:hAnsiTheme="minorHAnsi" w:cs="Calibri"/>
          <w:i/>
          <w:iCs/>
          <w:color w:val="000000"/>
          <w:sz w:val="22"/>
          <w:szCs w:val="22"/>
          <w:bdr w:val="none" w:sz="0" w:space="0" w:color="auto"/>
          <w:lang w:val="en-GB" w:eastAsia="en-GB"/>
        </w:rPr>
      </w:pPr>
      <w:r w:rsidRPr="002F47D6">
        <w:rPr>
          <w:rFonts w:asciiTheme="minorHAnsi" w:eastAsia="Times New Roman" w:hAnsiTheme="minorHAnsi" w:cs="Calibri"/>
          <w:i/>
          <w:iCs/>
          <w:color w:val="000000"/>
          <w:sz w:val="22"/>
          <w:szCs w:val="22"/>
          <w:bdr w:val="none" w:sz="0" w:space="0" w:color="auto"/>
          <w:lang w:val="en-GB" w:eastAsia="en-GB"/>
        </w:rPr>
        <w:t>Figu</w:t>
      </w:r>
      <w:r w:rsidRPr="002F47D6">
        <w:rPr>
          <w:rFonts w:asciiTheme="minorHAnsi" w:hAnsiTheme="minorHAnsi"/>
          <w:i/>
          <w:iCs/>
          <w:sz w:val="22"/>
          <w:szCs w:val="22"/>
        </w:rPr>
        <w:t>re 3</w:t>
      </w:r>
      <w:r>
        <w:rPr>
          <w:rFonts w:asciiTheme="minorHAnsi" w:hAnsiTheme="minorHAnsi"/>
          <w:i/>
          <w:iCs/>
          <w:sz w:val="22"/>
          <w:szCs w:val="22"/>
        </w:rPr>
        <w:t>: Organisation of NHS England</w:t>
      </w:r>
    </w:p>
    <w:p w14:paraId="0A7EB627" w14:textId="77777777" w:rsidR="002F47D6" w:rsidRPr="00F85C0E" w:rsidRDefault="002F47D6" w:rsidP="002F47D6">
      <w:pPr>
        <w:spacing w:line="276" w:lineRule="auto"/>
        <w:jc w:val="both"/>
        <w:rPr>
          <w:rFonts w:asciiTheme="minorHAnsi" w:hAnsiTheme="minorHAnsi"/>
          <w:sz w:val="22"/>
          <w:szCs w:val="22"/>
        </w:rPr>
      </w:pPr>
      <w:r w:rsidRPr="00F85C0E">
        <w:rPr>
          <w:rFonts w:asciiTheme="minorHAnsi" w:hAnsiTheme="minorHAnsi"/>
          <w:noProof/>
          <w:sz w:val="22"/>
          <w:szCs w:val="22"/>
          <w:lang w:eastAsia="en-GB"/>
        </w:rPr>
        <w:lastRenderedPageBreak/>
        <w:drawing>
          <wp:anchor distT="0" distB="0" distL="114300" distR="114300" simplePos="0" relativeHeight="251668480" behindDoc="0" locked="0" layoutInCell="1" allowOverlap="1" wp14:anchorId="7D719882" wp14:editId="09F4B3E2">
            <wp:simplePos x="0" y="0"/>
            <wp:positionH relativeFrom="margin">
              <wp:posOffset>-316865</wp:posOffset>
            </wp:positionH>
            <wp:positionV relativeFrom="paragraph">
              <wp:posOffset>247</wp:posOffset>
            </wp:positionV>
            <wp:extent cx="6871784" cy="3790950"/>
            <wp:effectExtent l="0" t="0" r="0" b="0"/>
            <wp:wrapSquare wrapText="bothSides"/>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 email&#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6871784" cy="3790950"/>
                    </a:xfrm>
                    <a:prstGeom prst="rect">
                      <a:avLst/>
                    </a:prstGeom>
                  </pic:spPr>
                </pic:pic>
              </a:graphicData>
            </a:graphic>
            <wp14:sizeRelH relativeFrom="margin">
              <wp14:pctWidth>0</wp14:pctWidth>
            </wp14:sizeRelH>
            <wp14:sizeRelV relativeFrom="margin">
              <wp14:pctHeight>0</wp14:pctHeight>
            </wp14:sizeRelV>
          </wp:anchor>
        </w:drawing>
      </w:r>
    </w:p>
    <w:p w14:paraId="480831F6" w14:textId="77777777" w:rsidR="002F47D6" w:rsidRPr="008570C4" w:rsidRDefault="002F47D6" w:rsidP="002F47D6">
      <w:pPr>
        <w:rPr>
          <w:sz w:val="20"/>
          <w:szCs w:val="20"/>
          <w:lang w:val="en-GB" w:eastAsia="en-GB"/>
        </w:rPr>
      </w:pPr>
      <w:r w:rsidRPr="008570C4">
        <w:rPr>
          <w:rFonts w:asciiTheme="minorHAnsi" w:hAnsiTheme="minorHAnsi"/>
          <w:sz w:val="20"/>
          <w:szCs w:val="20"/>
        </w:rPr>
        <w:t xml:space="preserve">Source: NAO </w:t>
      </w:r>
      <w:hyperlink r:id="rId21" w:history="1">
        <w:r w:rsidRPr="008570C4">
          <w:rPr>
            <w:rStyle w:val="Hyperlink"/>
            <w:rFonts w:ascii="Calibri" w:hAnsi="Calibri" w:cs="Calibri"/>
            <w:sz w:val="20"/>
            <w:szCs w:val="20"/>
          </w:rPr>
          <w:t>https://www.nao.org.uk/wp-content/uploads/2017/09/2017-Short-Guide-to-the-Department-of-Health-and-NHS-England.pdf</w:t>
        </w:r>
      </w:hyperlink>
    </w:p>
    <w:p w14:paraId="31996A7F" w14:textId="65975942" w:rsidR="0069274E" w:rsidRDefault="0069274E" w:rsidP="00F85C0E">
      <w:pPr>
        <w:spacing w:line="276" w:lineRule="auto"/>
        <w:jc w:val="both"/>
        <w:rPr>
          <w:rFonts w:asciiTheme="minorHAnsi" w:hAnsiTheme="minorHAnsi"/>
          <w:sz w:val="22"/>
          <w:szCs w:val="22"/>
        </w:rPr>
      </w:pPr>
    </w:p>
    <w:p w14:paraId="7A4831FC" w14:textId="52B76E07" w:rsidR="0069274E" w:rsidRDefault="0069274E" w:rsidP="00F85C0E">
      <w:pPr>
        <w:spacing w:line="276" w:lineRule="auto"/>
        <w:jc w:val="both"/>
        <w:rPr>
          <w:rFonts w:asciiTheme="minorHAnsi" w:hAnsiTheme="minorHAnsi"/>
          <w:sz w:val="22"/>
          <w:szCs w:val="22"/>
        </w:rPr>
      </w:pPr>
      <w:r>
        <w:rPr>
          <w:rFonts w:asciiTheme="minorHAnsi" w:hAnsiTheme="minorHAnsi"/>
          <w:sz w:val="22"/>
          <w:szCs w:val="22"/>
        </w:rPr>
        <w:t xml:space="preserve">Two contextual issues have </w:t>
      </w:r>
      <w:proofErr w:type="gramStart"/>
      <w:r>
        <w:rPr>
          <w:rFonts w:asciiTheme="minorHAnsi" w:hAnsiTheme="minorHAnsi"/>
          <w:sz w:val="22"/>
          <w:szCs w:val="22"/>
        </w:rPr>
        <w:t>particular relevance</w:t>
      </w:r>
      <w:proofErr w:type="gramEnd"/>
      <w:r>
        <w:rPr>
          <w:rFonts w:asciiTheme="minorHAnsi" w:hAnsiTheme="minorHAnsi"/>
          <w:sz w:val="22"/>
          <w:szCs w:val="22"/>
        </w:rPr>
        <w:t xml:space="preserve"> for the productivity outlook.</w:t>
      </w:r>
    </w:p>
    <w:p w14:paraId="7A74A969" w14:textId="689415F5" w:rsidR="00372E47" w:rsidRDefault="00372E47" w:rsidP="00F85C0E">
      <w:pPr>
        <w:spacing w:line="276" w:lineRule="auto"/>
        <w:jc w:val="both"/>
        <w:rPr>
          <w:rFonts w:asciiTheme="minorHAnsi" w:hAnsiTheme="minorHAnsi"/>
          <w:sz w:val="22"/>
          <w:szCs w:val="22"/>
        </w:rPr>
      </w:pPr>
    </w:p>
    <w:p w14:paraId="735C713D" w14:textId="77777777" w:rsidR="00372E47" w:rsidRPr="00F85C0E" w:rsidRDefault="00372E47" w:rsidP="00372E47">
      <w:pPr>
        <w:spacing w:line="276" w:lineRule="auto"/>
        <w:jc w:val="both"/>
        <w:rPr>
          <w:rFonts w:asciiTheme="minorHAnsi" w:hAnsiTheme="minorHAnsi"/>
          <w:b/>
          <w:bCs/>
          <w:i/>
          <w:iCs/>
          <w:sz w:val="22"/>
          <w:szCs w:val="22"/>
        </w:rPr>
      </w:pPr>
      <w:r w:rsidRPr="00F85C0E">
        <w:rPr>
          <w:rFonts w:asciiTheme="minorHAnsi" w:hAnsiTheme="minorHAnsi"/>
          <w:b/>
          <w:bCs/>
          <w:i/>
          <w:iCs/>
          <w:sz w:val="22"/>
          <w:szCs w:val="22"/>
        </w:rPr>
        <w:t>NHS Digital/NHS X</w:t>
      </w:r>
    </w:p>
    <w:p w14:paraId="3C713569" w14:textId="77777777" w:rsidR="00372E47" w:rsidRDefault="00372E47" w:rsidP="00372E47">
      <w:pPr>
        <w:spacing w:line="276" w:lineRule="auto"/>
        <w:jc w:val="both"/>
        <w:rPr>
          <w:rFonts w:asciiTheme="minorHAnsi" w:hAnsiTheme="minorHAnsi"/>
          <w:sz w:val="22"/>
          <w:szCs w:val="22"/>
        </w:rPr>
      </w:pPr>
    </w:p>
    <w:p w14:paraId="5E1AC78C" w14:textId="52220B2F" w:rsidR="00372E47" w:rsidRPr="00F85C0E" w:rsidRDefault="00372E47" w:rsidP="00372E47">
      <w:pPr>
        <w:spacing w:line="276" w:lineRule="auto"/>
        <w:jc w:val="both"/>
        <w:rPr>
          <w:rFonts w:asciiTheme="minorHAnsi" w:hAnsiTheme="minorHAnsi"/>
          <w:sz w:val="22"/>
          <w:szCs w:val="22"/>
        </w:rPr>
      </w:pPr>
      <w:r w:rsidRPr="00F85C0E">
        <w:rPr>
          <w:rFonts w:asciiTheme="minorHAnsi" w:hAnsiTheme="minorHAnsi"/>
          <w:sz w:val="22"/>
          <w:szCs w:val="22"/>
        </w:rPr>
        <w:t>Digitisation has been seen as a potential source of increased efficiency and productivity in the NHS, yet the record of introducing digital technology has been mixed. There are two separate agencies dedicated to incorporating digital technology into health and social care. They are NHS Digital, founded in 2016, focussed on delivery support, and NHSX, founded in 2019, which focuses on strateg</w:t>
      </w:r>
      <w:r w:rsidR="00751371">
        <w:rPr>
          <w:rFonts w:asciiTheme="minorHAnsi" w:hAnsiTheme="minorHAnsi"/>
          <w:sz w:val="22"/>
          <w:szCs w:val="22"/>
        </w:rPr>
        <w:t>ic</w:t>
      </w:r>
      <w:r w:rsidRPr="00F85C0E">
        <w:rPr>
          <w:rFonts w:asciiTheme="minorHAnsi" w:hAnsiTheme="minorHAnsi"/>
          <w:sz w:val="22"/>
          <w:szCs w:val="22"/>
        </w:rPr>
        <w:t xml:space="preserve"> </w:t>
      </w:r>
      <w:r w:rsidR="00751371">
        <w:rPr>
          <w:rFonts w:asciiTheme="minorHAnsi" w:hAnsiTheme="minorHAnsi"/>
          <w:sz w:val="22"/>
          <w:szCs w:val="22"/>
        </w:rPr>
        <w:t>change</w:t>
      </w:r>
      <w:r w:rsidRPr="00F85C0E">
        <w:rPr>
          <w:rFonts w:asciiTheme="minorHAnsi" w:hAnsiTheme="minorHAnsi"/>
          <w:sz w:val="22"/>
          <w:szCs w:val="22"/>
        </w:rPr>
        <w:t xml:space="preserve">. Both have been involved in aiding the </w:t>
      </w:r>
      <w:r w:rsidR="003B3C10">
        <w:rPr>
          <w:rFonts w:asciiTheme="minorHAnsi" w:hAnsiTheme="minorHAnsi"/>
          <w:sz w:val="22"/>
          <w:szCs w:val="22"/>
        </w:rPr>
        <w:t>Covid19</w:t>
      </w:r>
      <w:r w:rsidRPr="00F85C0E">
        <w:rPr>
          <w:rFonts w:asciiTheme="minorHAnsi" w:hAnsiTheme="minorHAnsi"/>
          <w:sz w:val="22"/>
          <w:szCs w:val="22"/>
        </w:rPr>
        <w:t xml:space="preserve"> pandemic response in terms of technologies such as remote monitoring, video conferencing, and 111 coronavirus services; easing the regulatory burden of data compliance governance; and delivering the NHS </w:t>
      </w:r>
      <w:r w:rsidR="003B3C10">
        <w:rPr>
          <w:rFonts w:asciiTheme="minorHAnsi" w:hAnsiTheme="minorHAnsi"/>
          <w:sz w:val="22"/>
          <w:szCs w:val="22"/>
        </w:rPr>
        <w:t>Covid19</w:t>
      </w:r>
      <w:r w:rsidRPr="00F85C0E">
        <w:rPr>
          <w:rFonts w:asciiTheme="minorHAnsi" w:hAnsiTheme="minorHAnsi"/>
          <w:sz w:val="22"/>
          <w:szCs w:val="22"/>
        </w:rPr>
        <w:t xml:space="preserve"> app (Lovell 2020). </w:t>
      </w:r>
    </w:p>
    <w:p w14:paraId="03D5F6FA" w14:textId="42707809" w:rsidR="0007451F" w:rsidRPr="00F85C0E" w:rsidRDefault="0007451F" w:rsidP="00F85C0E">
      <w:pPr>
        <w:spacing w:line="276" w:lineRule="auto"/>
        <w:jc w:val="both"/>
        <w:rPr>
          <w:rFonts w:asciiTheme="minorHAnsi" w:hAnsiTheme="minorHAnsi"/>
          <w:sz w:val="22"/>
          <w:szCs w:val="22"/>
        </w:rPr>
      </w:pPr>
    </w:p>
    <w:p w14:paraId="27D9B91E" w14:textId="669F7FF3" w:rsidR="00F85C0E" w:rsidRPr="00F85C0E" w:rsidRDefault="00F85C0E" w:rsidP="00F85C0E">
      <w:pPr>
        <w:spacing w:line="276" w:lineRule="auto"/>
        <w:jc w:val="both"/>
        <w:rPr>
          <w:rFonts w:asciiTheme="minorHAnsi" w:hAnsiTheme="minorHAnsi"/>
          <w:sz w:val="22"/>
          <w:szCs w:val="22"/>
        </w:rPr>
      </w:pPr>
    </w:p>
    <w:p w14:paraId="63264362" w14:textId="432D3518" w:rsidR="00F85C0E" w:rsidRPr="00F85C0E" w:rsidRDefault="00F85C0E" w:rsidP="00F85C0E">
      <w:pPr>
        <w:spacing w:line="276" w:lineRule="auto"/>
        <w:jc w:val="both"/>
        <w:rPr>
          <w:rFonts w:asciiTheme="minorHAnsi" w:hAnsiTheme="minorHAnsi"/>
          <w:b/>
          <w:bCs/>
          <w:i/>
          <w:iCs/>
          <w:sz w:val="22"/>
          <w:szCs w:val="22"/>
        </w:rPr>
      </w:pPr>
      <w:r w:rsidRPr="00F85C0E">
        <w:rPr>
          <w:rFonts w:asciiTheme="minorHAnsi" w:hAnsiTheme="minorHAnsi"/>
          <w:b/>
          <w:bCs/>
          <w:i/>
          <w:iCs/>
          <w:sz w:val="22"/>
          <w:szCs w:val="22"/>
        </w:rPr>
        <w:t>Staff shortages</w:t>
      </w:r>
    </w:p>
    <w:p w14:paraId="085C9B7C" w14:textId="77777777" w:rsidR="008570C4" w:rsidRDefault="008570C4" w:rsidP="00F85C0E">
      <w:pPr>
        <w:spacing w:line="276" w:lineRule="auto"/>
        <w:jc w:val="both"/>
        <w:rPr>
          <w:rFonts w:asciiTheme="minorHAnsi" w:hAnsiTheme="minorHAnsi"/>
          <w:sz w:val="22"/>
          <w:szCs w:val="22"/>
        </w:rPr>
      </w:pPr>
    </w:p>
    <w:p w14:paraId="6207ACDF" w14:textId="507564B0" w:rsidR="00751371" w:rsidRDefault="00F85C0E" w:rsidP="00F85C0E">
      <w:pPr>
        <w:spacing w:line="276" w:lineRule="auto"/>
        <w:jc w:val="both"/>
        <w:rPr>
          <w:rFonts w:asciiTheme="minorHAnsi" w:hAnsiTheme="minorHAnsi"/>
          <w:sz w:val="22"/>
          <w:szCs w:val="22"/>
        </w:rPr>
      </w:pPr>
      <w:r w:rsidRPr="00F85C0E">
        <w:rPr>
          <w:rFonts w:asciiTheme="minorHAnsi" w:hAnsiTheme="minorHAnsi"/>
          <w:sz w:val="22"/>
          <w:szCs w:val="22"/>
        </w:rPr>
        <w:t xml:space="preserve">A key concern prior to </w:t>
      </w:r>
      <w:r w:rsidR="00751371">
        <w:rPr>
          <w:rFonts w:asciiTheme="minorHAnsi" w:hAnsiTheme="minorHAnsi"/>
          <w:sz w:val="22"/>
          <w:szCs w:val="22"/>
        </w:rPr>
        <w:t>the</w:t>
      </w:r>
      <w:r w:rsidRPr="00F85C0E">
        <w:rPr>
          <w:rFonts w:asciiTheme="minorHAnsi" w:hAnsiTheme="minorHAnsi"/>
          <w:sz w:val="22"/>
          <w:szCs w:val="22"/>
        </w:rPr>
        <w:t xml:space="preserve"> pandemic was the significant shortage of NHS staff. Based on pre-pandemic data up to February 2020, there was a projected shortfall of over 115,000 full time equivalent staff in England, projected to double over the next five years and more than treble in the next ten years (Shembavnekar, 2020). In particular, there were prior shortages of nurses and GP staff. In the FYE 2018, a year with a 2.3% increase in overall labour inputs to the NHS, FTE nursing staff numbers fell by 0.2% and GPs and GP staff numbers fell by 0.9% (ONS, 2020). The UK also has one of the lowest rates of doctors relative to its population in the OECD, with 2.8 doctors per 1,000 people compared to the OECD average of 3.</w:t>
      </w:r>
      <w:r w:rsidRPr="008570C4">
        <w:rPr>
          <w:rFonts w:asciiTheme="minorHAnsi" w:hAnsiTheme="minorHAnsi"/>
          <w:sz w:val="22"/>
          <w:szCs w:val="22"/>
        </w:rPr>
        <w:t>5 (</w:t>
      </w:r>
      <w:r w:rsidR="008570C4" w:rsidRPr="008570C4">
        <w:rPr>
          <w:rFonts w:asciiTheme="minorHAnsi" w:hAnsiTheme="minorHAnsi"/>
          <w:sz w:val="22"/>
          <w:szCs w:val="22"/>
        </w:rPr>
        <w:t>OECD</w:t>
      </w:r>
      <w:r w:rsidRPr="008570C4">
        <w:rPr>
          <w:rFonts w:asciiTheme="minorHAnsi" w:hAnsiTheme="minorHAnsi"/>
          <w:sz w:val="22"/>
          <w:szCs w:val="22"/>
        </w:rPr>
        <w:t xml:space="preserve"> 2019).</w:t>
      </w:r>
      <w:r w:rsidRPr="00F85C0E">
        <w:rPr>
          <w:rFonts w:asciiTheme="minorHAnsi" w:hAnsiTheme="minorHAnsi"/>
          <w:sz w:val="22"/>
          <w:szCs w:val="22"/>
        </w:rPr>
        <w:t xml:space="preserve"> In the first UK lockdown several </w:t>
      </w:r>
      <w:r w:rsidRPr="00F85C0E">
        <w:rPr>
          <w:rFonts w:asciiTheme="minorHAnsi" w:hAnsiTheme="minorHAnsi"/>
          <w:sz w:val="22"/>
          <w:szCs w:val="22"/>
        </w:rPr>
        <w:lastRenderedPageBreak/>
        <w:t>measures were taken to address hospital shortages</w:t>
      </w:r>
      <w:r w:rsidR="00751371">
        <w:rPr>
          <w:rFonts w:asciiTheme="minorHAnsi" w:hAnsiTheme="minorHAnsi"/>
          <w:sz w:val="22"/>
          <w:szCs w:val="22"/>
        </w:rPr>
        <w:t xml:space="preserve">, such as </w:t>
      </w:r>
      <w:r w:rsidRPr="00F85C0E">
        <w:rPr>
          <w:rFonts w:asciiTheme="minorHAnsi" w:hAnsiTheme="minorHAnsi"/>
          <w:sz w:val="22"/>
          <w:szCs w:val="22"/>
        </w:rPr>
        <w:t xml:space="preserve">the early graduation of final year medical students, and an agreement with funding bodies to allow those working in education, research, or inspection to return to clinical duties. There was also </w:t>
      </w:r>
      <w:r w:rsidR="00751371">
        <w:rPr>
          <w:rFonts w:asciiTheme="minorHAnsi" w:hAnsiTheme="minorHAnsi"/>
          <w:sz w:val="22"/>
          <w:szCs w:val="22"/>
        </w:rPr>
        <w:t xml:space="preserve">some </w:t>
      </w:r>
      <w:r w:rsidRPr="00F85C0E">
        <w:rPr>
          <w:rFonts w:asciiTheme="minorHAnsi" w:hAnsiTheme="minorHAnsi"/>
          <w:sz w:val="22"/>
          <w:szCs w:val="22"/>
        </w:rPr>
        <w:t>redeployment of staff within to departments with greatest need with rapid training to facilitate this (Alterwick, 2020)</w:t>
      </w:r>
      <w:r w:rsidR="00751371">
        <w:rPr>
          <w:rFonts w:asciiTheme="minorHAnsi" w:hAnsiTheme="minorHAnsi"/>
          <w:sz w:val="22"/>
          <w:szCs w:val="22"/>
        </w:rPr>
        <w:t>; but the relevance to future constraints on health output is the limits on redeployment given the specialized skills and experience required for so many roles</w:t>
      </w:r>
      <w:r w:rsidRPr="00F85C0E">
        <w:rPr>
          <w:rFonts w:asciiTheme="minorHAnsi" w:hAnsiTheme="minorHAnsi"/>
          <w:sz w:val="22"/>
          <w:szCs w:val="22"/>
        </w:rPr>
        <w:t xml:space="preserve">. </w:t>
      </w:r>
    </w:p>
    <w:p w14:paraId="53FB847B" w14:textId="77777777" w:rsidR="00751371" w:rsidRDefault="00751371" w:rsidP="00F85C0E">
      <w:pPr>
        <w:spacing w:line="276" w:lineRule="auto"/>
        <w:jc w:val="both"/>
        <w:rPr>
          <w:rFonts w:asciiTheme="minorHAnsi" w:hAnsiTheme="minorHAnsi"/>
          <w:sz w:val="22"/>
          <w:szCs w:val="22"/>
        </w:rPr>
      </w:pPr>
    </w:p>
    <w:p w14:paraId="37FCE844" w14:textId="77777777" w:rsidR="00751371" w:rsidRPr="00F45EF0" w:rsidRDefault="00751371" w:rsidP="00F85C0E">
      <w:pPr>
        <w:spacing w:line="276" w:lineRule="auto"/>
        <w:jc w:val="both"/>
        <w:rPr>
          <w:rFonts w:asciiTheme="minorHAnsi" w:hAnsiTheme="minorHAnsi"/>
          <w:sz w:val="22"/>
          <w:szCs w:val="22"/>
        </w:rPr>
      </w:pPr>
    </w:p>
    <w:p w14:paraId="5A74F133" w14:textId="25E4A5D0" w:rsidR="00BA0EE4" w:rsidRPr="00F85C0E" w:rsidRDefault="00751371" w:rsidP="00F85C0E">
      <w:pPr>
        <w:spacing w:line="276" w:lineRule="auto"/>
        <w:jc w:val="both"/>
        <w:rPr>
          <w:rFonts w:asciiTheme="minorHAnsi" w:hAnsiTheme="minorHAnsi"/>
          <w:sz w:val="22"/>
          <w:szCs w:val="22"/>
        </w:rPr>
      </w:pPr>
      <w:r w:rsidRPr="00F45EF0">
        <w:rPr>
          <w:rFonts w:asciiTheme="minorHAnsi" w:hAnsiTheme="minorHAnsi"/>
          <w:sz w:val="22"/>
          <w:szCs w:val="22"/>
        </w:rPr>
        <w:t>The</w:t>
      </w:r>
      <w:r w:rsidR="0007451F" w:rsidRPr="00F45EF0">
        <w:rPr>
          <w:rFonts w:asciiTheme="minorHAnsi" w:hAnsiTheme="minorHAnsi"/>
          <w:sz w:val="22"/>
          <w:szCs w:val="22"/>
        </w:rPr>
        <w:t xml:space="preserve"> </w:t>
      </w:r>
      <w:r w:rsidR="002E0D06" w:rsidRPr="00F45EF0">
        <w:rPr>
          <w:rFonts w:asciiTheme="minorHAnsi" w:hAnsiTheme="minorHAnsi"/>
          <w:sz w:val="22"/>
          <w:szCs w:val="22"/>
        </w:rPr>
        <w:t xml:space="preserve">pandemic </w:t>
      </w:r>
      <w:r w:rsidR="00F45EF0">
        <w:rPr>
          <w:rFonts w:asciiTheme="minorHAnsi" w:hAnsiTheme="minorHAnsi"/>
          <w:sz w:val="22"/>
          <w:szCs w:val="22"/>
        </w:rPr>
        <w:t xml:space="preserve">therefore </w:t>
      </w:r>
      <w:r w:rsidR="002E0D06" w:rsidRPr="00F45EF0">
        <w:rPr>
          <w:rFonts w:asciiTheme="minorHAnsi" w:hAnsiTheme="minorHAnsi"/>
          <w:sz w:val="22"/>
          <w:szCs w:val="22"/>
        </w:rPr>
        <w:t>arrived in a context of a health service that has seen successive re</w:t>
      </w:r>
      <w:r w:rsidR="00E1114C" w:rsidRPr="00F45EF0">
        <w:rPr>
          <w:rFonts w:asciiTheme="minorHAnsi" w:hAnsiTheme="minorHAnsi"/>
          <w:sz w:val="22"/>
          <w:szCs w:val="22"/>
        </w:rPr>
        <w:t>-</w:t>
      </w:r>
      <w:r w:rsidR="002E0D06" w:rsidRPr="00F45EF0">
        <w:rPr>
          <w:rFonts w:asciiTheme="minorHAnsi" w:hAnsiTheme="minorHAnsi"/>
          <w:sz w:val="22"/>
          <w:szCs w:val="22"/>
        </w:rPr>
        <w:t xml:space="preserve">organisations, a strong emphasis </w:t>
      </w:r>
      <w:r w:rsidR="00F45EF0">
        <w:rPr>
          <w:rFonts w:asciiTheme="minorHAnsi" w:hAnsiTheme="minorHAnsi"/>
          <w:sz w:val="22"/>
          <w:szCs w:val="22"/>
        </w:rPr>
        <w:t xml:space="preserve">until recently </w:t>
      </w:r>
      <w:r w:rsidR="002E0D06" w:rsidRPr="00F45EF0">
        <w:rPr>
          <w:rFonts w:asciiTheme="minorHAnsi" w:hAnsiTheme="minorHAnsi"/>
          <w:sz w:val="22"/>
          <w:szCs w:val="22"/>
        </w:rPr>
        <w:t xml:space="preserve">on </w:t>
      </w:r>
      <w:r w:rsidR="00F85C0E" w:rsidRPr="00F45EF0">
        <w:rPr>
          <w:rFonts w:asciiTheme="minorHAnsi" w:hAnsiTheme="minorHAnsi"/>
          <w:sz w:val="22"/>
          <w:szCs w:val="22"/>
        </w:rPr>
        <w:t xml:space="preserve">competition and </w:t>
      </w:r>
      <w:r w:rsidR="002E0D06" w:rsidRPr="00F45EF0">
        <w:rPr>
          <w:rFonts w:asciiTheme="minorHAnsi" w:hAnsiTheme="minorHAnsi"/>
          <w:sz w:val="22"/>
          <w:szCs w:val="22"/>
        </w:rPr>
        <w:t xml:space="preserve">efficiency </w:t>
      </w:r>
      <w:r w:rsidR="00F45EF0">
        <w:rPr>
          <w:rFonts w:asciiTheme="minorHAnsi" w:hAnsiTheme="minorHAnsi"/>
          <w:sz w:val="22"/>
          <w:szCs w:val="22"/>
        </w:rPr>
        <w:t>targets</w:t>
      </w:r>
      <w:r w:rsidR="002E0D06" w:rsidRPr="00F45EF0">
        <w:rPr>
          <w:rFonts w:asciiTheme="minorHAnsi" w:hAnsiTheme="minorHAnsi"/>
          <w:sz w:val="22"/>
          <w:szCs w:val="22"/>
        </w:rPr>
        <w:t xml:space="preserve">, </w:t>
      </w:r>
      <w:proofErr w:type="gramStart"/>
      <w:r w:rsidR="002E0D06" w:rsidRPr="00F45EF0">
        <w:rPr>
          <w:rFonts w:asciiTheme="minorHAnsi" w:hAnsiTheme="minorHAnsi"/>
          <w:sz w:val="22"/>
          <w:szCs w:val="22"/>
        </w:rPr>
        <w:t xml:space="preserve">and </w:t>
      </w:r>
      <w:r w:rsidR="00F85C0E" w:rsidRPr="00F45EF0">
        <w:rPr>
          <w:rFonts w:asciiTheme="minorHAnsi" w:hAnsiTheme="minorHAnsi"/>
          <w:sz w:val="22"/>
          <w:szCs w:val="22"/>
        </w:rPr>
        <w:t>also</w:t>
      </w:r>
      <w:proofErr w:type="gramEnd"/>
      <w:r w:rsidR="00F85C0E" w:rsidRPr="00F45EF0">
        <w:rPr>
          <w:rFonts w:asciiTheme="minorHAnsi" w:hAnsiTheme="minorHAnsi"/>
          <w:sz w:val="22"/>
          <w:szCs w:val="22"/>
        </w:rPr>
        <w:t xml:space="preserve"> </w:t>
      </w:r>
      <w:r w:rsidR="002E0D06" w:rsidRPr="00F45EF0">
        <w:rPr>
          <w:rFonts w:asciiTheme="minorHAnsi" w:hAnsiTheme="minorHAnsi"/>
          <w:sz w:val="22"/>
          <w:szCs w:val="22"/>
        </w:rPr>
        <w:t>clear evidence of prior pressures on the service - mainly manifesting as staff and bed shortages</w:t>
      </w:r>
      <w:r w:rsidR="00F85C0E" w:rsidRPr="00F45EF0">
        <w:rPr>
          <w:rFonts w:asciiTheme="minorHAnsi" w:hAnsiTheme="minorHAnsi"/>
          <w:sz w:val="22"/>
          <w:szCs w:val="22"/>
        </w:rPr>
        <w:t>.</w:t>
      </w:r>
      <w:r w:rsidR="00F45EF0" w:rsidRPr="00F45EF0">
        <w:rPr>
          <w:rFonts w:asciiTheme="minorHAnsi" w:hAnsiTheme="minorHAnsi"/>
          <w:sz w:val="22"/>
          <w:szCs w:val="22"/>
        </w:rPr>
        <w:t xml:space="preserve"> </w:t>
      </w:r>
      <w:r w:rsidR="00BA0EE4" w:rsidRPr="00F45EF0">
        <w:rPr>
          <w:rFonts w:asciiTheme="minorHAnsi" w:hAnsiTheme="minorHAnsi"/>
          <w:sz w:val="22"/>
          <w:szCs w:val="22"/>
        </w:rPr>
        <w:t xml:space="preserve">There will be lasting changes in NHS processes affecting output and productivity. </w:t>
      </w:r>
      <w:r w:rsidR="00F45EF0">
        <w:rPr>
          <w:rFonts w:asciiTheme="minorHAnsi" w:hAnsiTheme="minorHAnsi"/>
          <w:sz w:val="22"/>
          <w:szCs w:val="22"/>
        </w:rPr>
        <w:t>To gain more insight into the impact of the pandemic, we conducted some interviews with senior clinical leaders in two large NHS England hospital trusts.</w:t>
      </w:r>
    </w:p>
    <w:p w14:paraId="7107CFE9" w14:textId="53C02304" w:rsidR="00ED0444" w:rsidRDefault="00ED0444">
      <w:pPr>
        <w:pStyle w:val="Body"/>
        <w:spacing w:line="288" w:lineRule="auto"/>
        <w:jc w:val="both"/>
      </w:pPr>
    </w:p>
    <w:p w14:paraId="6ECDF1E3" w14:textId="77777777" w:rsidR="0007451F" w:rsidRPr="008570C4" w:rsidRDefault="0007451F" w:rsidP="0007451F">
      <w:pPr>
        <w:pStyle w:val="Body"/>
        <w:spacing w:line="288" w:lineRule="auto"/>
        <w:jc w:val="both"/>
        <w:rPr>
          <w:sz w:val="28"/>
          <w:szCs w:val="28"/>
        </w:rPr>
      </w:pPr>
    </w:p>
    <w:p w14:paraId="6DC583BA" w14:textId="75F6E586" w:rsidR="0007451F" w:rsidRPr="008570C4" w:rsidRDefault="0007451F" w:rsidP="008570C4">
      <w:pPr>
        <w:pStyle w:val="Body"/>
        <w:numPr>
          <w:ilvl w:val="0"/>
          <w:numId w:val="6"/>
        </w:numPr>
        <w:spacing w:line="288" w:lineRule="auto"/>
        <w:jc w:val="both"/>
        <w:rPr>
          <w:b/>
          <w:bCs/>
          <w:sz w:val="28"/>
          <w:szCs w:val="28"/>
        </w:rPr>
      </w:pPr>
      <w:r w:rsidRPr="008570C4">
        <w:rPr>
          <w:b/>
          <w:bCs/>
          <w:sz w:val="28"/>
          <w:szCs w:val="28"/>
        </w:rPr>
        <w:t>Changes in hospital practice during the pandemic</w:t>
      </w:r>
    </w:p>
    <w:p w14:paraId="48EE1B6B" w14:textId="77777777" w:rsidR="0007451F" w:rsidRDefault="0007451F" w:rsidP="0007451F">
      <w:pPr>
        <w:pStyle w:val="Body"/>
        <w:spacing w:line="288" w:lineRule="auto"/>
        <w:jc w:val="both"/>
        <w:rPr>
          <w:rFonts w:ascii="Helvetica" w:hAnsi="Helvetica"/>
          <w:lang w:val="en-GB"/>
        </w:rPr>
      </w:pPr>
    </w:p>
    <w:p w14:paraId="61B7ADD3" w14:textId="6519A0D6" w:rsidR="0007451F" w:rsidRDefault="00ED0444" w:rsidP="0007451F">
      <w:pPr>
        <w:pStyle w:val="Body"/>
        <w:spacing w:line="288" w:lineRule="auto"/>
        <w:jc w:val="both"/>
      </w:pPr>
      <w:r w:rsidRPr="00A1755E">
        <w:rPr>
          <w:rFonts w:ascii="Helvetica" w:hAnsi="Helvetica"/>
          <w:lang w:val="en-GB"/>
        </w:rPr>
        <w:t xml:space="preserve">Hospitals are at the frontline of public health response to pandemics. The speed at which </w:t>
      </w:r>
      <w:r w:rsidR="003B3C10">
        <w:rPr>
          <w:rFonts w:ascii="Helvetica" w:hAnsi="Helvetica"/>
          <w:lang w:val="en-GB"/>
        </w:rPr>
        <w:t>Covid19</w:t>
      </w:r>
      <w:r w:rsidRPr="00A1755E">
        <w:rPr>
          <w:rFonts w:ascii="Helvetica" w:hAnsi="Helvetica"/>
          <w:lang w:val="en-GB"/>
        </w:rPr>
        <w:t xml:space="preserve"> can propagate through a population</w:t>
      </w:r>
      <w:r w:rsidR="003071C4">
        <w:rPr>
          <w:rFonts w:ascii="Helvetica" w:hAnsi="Helvetica"/>
          <w:lang w:val="en-GB"/>
        </w:rPr>
        <w:t>,</w:t>
      </w:r>
      <w:r w:rsidRPr="00A1755E">
        <w:rPr>
          <w:rFonts w:ascii="Helvetica" w:hAnsi="Helvetica"/>
          <w:lang w:val="en-GB"/>
        </w:rPr>
        <w:t xml:space="preserve"> and the criticality of the symptoms</w:t>
      </w:r>
      <w:r w:rsidR="003071C4">
        <w:rPr>
          <w:rFonts w:ascii="Helvetica" w:hAnsi="Helvetica"/>
          <w:lang w:val="en-GB"/>
        </w:rPr>
        <w:t>,</w:t>
      </w:r>
      <w:r w:rsidRPr="00A1755E">
        <w:rPr>
          <w:rFonts w:ascii="Helvetica" w:hAnsi="Helvetica"/>
          <w:lang w:val="en-GB"/>
        </w:rPr>
        <w:t xml:space="preserve"> lead to peaks in demand for hospitals which are usually not designed to provide the required capacity. In consequence, medical and non-medical executives have to make critical decisions regarding clinical operations and resource allocation</w:t>
      </w:r>
      <w:r w:rsidR="003071C4">
        <w:rPr>
          <w:rFonts w:ascii="Helvetica" w:hAnsi="Helvetica"/>
          <w:lang w:val="en-GB"/>
        </w:rPr>
        <w:t>,</w:t>
      </w:r>
      <w:r w:rsidRPr="00A1755E">
        <w:rPr>
          <w:rFonts w:ascii="Helvetica" w:hAnsi="Helvetica"/>
          <w:lang w:val="en-GB"/>
        </w:rPr>
        <w:t xml:space="preserve"> with </w:t>
      </w:r>
      <w:r>
        <w:rPr>
          <w:rFonts w:ascii="Helvetica" w:hAnsi="Helvetica"/>
          <w:lang w:val="en-GB"/>
        </w:rPr>
        <w:t>implications</w:t>
      </w:r>
      <w:r w:rsidRPr="00A1755E">
        <w:rPr>
          <w:rFonts w:ascii="Helvetica" w:hAnsi="Helvetica"/>
          <w:lang w:val="en-GB"/>
        </w:rPr>
        <w:t xml:space="preserve"> for their day-to-day productivity. </w:t>
      </w:r>
      <w:r w:rsidR="0007451F">
        <w:t xml:space="preserve">To get additional insight into what has happened in hospitals specifically during 2020, which changes might persist, and their potential future productivity impacts, we conducted semi-structured interviews in two hospital trusts, Addenbrooke’s in Cambridge, and the Manchester Foundation Trust, in November and early December 2020 (see Appendix for methodology). </w:t>
      </w:r>
    </w:p>
    <w:p w14:paraId="5E945B61" w14:textId="77777777" w:rsidR="0007451F" w:rsidRDefault="0007451F" w:rsidP="0007451F">
      <w:pPr>
        <w:pStyle w:val="Body"/>
        <w:spacing w:line="288" w:lineRule="auto"/>
        <w:jc w:val="both"/>
      </w:pPr>
    </w:p>
    <w:p w14:paraId="0CE74DB1" w14:textId="37C3285F" w:rsidR="00ED0444" w:rsidRDefault="00ED0444" w:rsidP="00ED0444">
      <w:pPr>
        <w:spacing w:line="288" w:lineRule="auto"/>
        <w:jc w:val="both"/>
        <w:rPr>
          <w:rFonts w:ascii="Helvetica" w:hAnsi="Helvetica"/>
          <w:sz w:val="22"/>
          <w:szCs w:val="22"/>
          <w:lang w:val="en-GB"/>
        </w:rPr>
      </w:pPr>
      <w:r>
        <w:rPr>
          <w:rFonts w:ascii="Helvetica" w:hAnsi="Helvetica"/>
          <w:sz w:val="22"/>
          <w:szCs w:val="22"/>
          <w:lang w:val="en-GB"/>
        </w:rPr>
        <w:t>Based on the</w:t>
      </w:r>
      <w:r w:rsidRPr="00A1755E">
        <w:rPr>
          <w:rFonts w:ascii="Helvetica" w:hAnsi="Helvetica"/>
          <w:sz w:val="22"/>
          <w:szCs w:val="22"/>
          <w:lang w:val="en-GB"/>
        </w:rPr>
        <w:t xml:space="preserve"> interviews, </w:t>
      </w:r>
      <w:r>
        <w:rPr>
          <w:rFonts w:ascii="Helvetica" w:hAnsi="Helvetica"/>
          <w:sz w:val="22"/>
          <w:szCs w:val="22"/>
          <w:lang w:val="en-GB"/>
        </w:rPr>
        <w:t xml:space="preserve">here </w:t>
      </w:r>
      <w:r w:rsidRPr="00A1755E">
        <w:rPr>
          <w:rFonts w:ascii="Helvetica" w:hAnsi="Helvetica"/>
          <w:sz w:val="22"/>
          <w:szCs w:val="22"/>
          <w:lang w:val="en-GB"/>
        </w:rPr>
        <w:t xml:space="preserve">we describe key elements, challenges and enablers of the response strategies taken to create surge capacity for the delivery of services </w:t>
      </w:r>
      <w:r>
        <w:rPr>
          <w:rFonts w:ascii="Helvetica" w:hAnsi="Helvetica"/>
          <w:sz w:val="22"/>
          <w:szCs w:val="22"/>
          <w:lang w:val="en-GB"/>
        </w:rPr>
        <w:t>during the pandemic</w:t>
      </w:r>
      <w:r w:rsidRPr="00A1755E">
        <w:rPr>
          <w:rFonts w:ascii="Helvetica" w:hAnsi="Helvetica"/>
          <w:sz w:val="22"/>
          <w:szCs w:val="22"/>
          <w:lang w:val="en-GB"/>
        </w:rPr>
        <w:t>.</w:t>
      </w:r>
      <w:r w:rsidR="0007451F">
        <w:rPr>
          <w:rFonts w:ascii="Helvetica" w:hAnsi="Helvetica"/>
          <w:sz w:val="22"/>
          <w:szCs w:val="22"/>
          <w:lang w:val="en-GB"/>
        </w:rPr>
        <w:t xml:space="preserve"> Although the number of interviews was small, there were consistent themes (see Appendix).</w:t>
      </w:r>
    </w:p>
    <w:p w14:paraId="0D0C3695" w14:textId="77777777" w:rsidR="00ED0444" w:rsidRDefault="00ED0444">
      <w:pPr>
        <w:pStyle w:val="Body"/>
        <w:spacing w:line="288" w:lineRule="auto"/>
        <w:jc w:val="both"/>
      </w:pPr>
    </w:p>
    <w:p w14:paraId="4D01004F" w14:textId="4D953AB1" w:rsidR="00ED0444" w:rsidRPr="00921810" w:rsidRDefault="00ED0444" w:rsidP="00ED0444">
      <w:pPr>
        <w:spacing w:line="288" w:lineRule="auto"/>
        <w:jc w:val="both"/>
        <w:rPr>
          <w:rFonts w:ascii="Helvetica" w:hAnsi="Helvetica"/>
          <w:b/>
          <w:bCs/>
          <w:i/>
          <w:iCs/>
          <w:sz w:val="22"/>
          <w:szCs w:val="22"/>
          <w:lang w:val="en-GB"/>
        </w:rPr>
      </w:pPr>
      <w:r w:rsidRPr="00921810">
        <w:rPr>
          <w:rFonts w:ascii="Helvetica" w:hAnsi="Helvetica"/>
          <w:b/>
          <w:bCs/>
          <w:i/>
          <w:iCs/>
          <w:sz w:val="22"/>
          <w:szCs w:val="22"/>
          <w:lang w:val="en-GB"/>
        </w:rPr>
        <w:t xml:space="preserve">“Incredibly busy and incredibly idle”: The dynamics of </w:t>
      </w:r>
      <w:r w:rsidR="003B3C10">
        <w:rPr>
          <w:rFonts w:ascii="Helvetica" w:hAnsi="Helvetica"/>
          <w:b/>
          <w:bCs/>
          <w:i/>
          <w:iCs/>
          <w:sz w:val="22"/>
          <w:szCs w:val="22"/>
          <w:lang w:val="en-GB"/>
        </w:rPr>
        <w:t>Covid19</w:t>
      </w:r>
      <w:r w:rsidRPr="00921810">
        <w:rPr>
          <w:rFonts w:ascii="Helvetica" w:hAnsi="Helvetica"/>
          <w:b/>
          <w:bCs/>
          <w:i/>
          <w:iCs/>
          <w:sz w:val="22"/>
          <w:szCs w:val="22"/>
          <w:lang w:val="en-GB"/>
        </w:rPr>
        <w:t xml:space="preserve"> and non-</w:t>
      </w:r>
      <w:r w:rsidR="003B3C10">
        <w:rPr>
          <w:rFonts w:ascii="Helvetica" w:hAnsi="Helvetica"/>
          <w:b/>
          <w:bCs/>
          <w:i/>
          <w:iCs/>
          <w:sz w:val="22"/>
          <w:szCs w:val="22"/>
          <w:lang w:val="en-GB"/>
        </w:rPr>
        <w:t>Covid19</w:t>
      </w:r>
      <w:r w:rsidRPr="00921810">
        <w:rPr>
          <w:rFonts w:ascii="Helvetica" w:hAnsi="Helvetica"/>
          <w:b/>
          <w:bCs/>
          <w:i/>
          <w:iCs/>
          <w:sz w:val="22"/>
          <w:szCs w:val="22"/>
          <w:lang w:val="en-GB"/>
        </w:rPr>
        <w:t xml:space="preserve"> care </w:t>
      </w:r>
    </w:p>
    <w:p w14:paraId="19C4C3F5" w14:textId="77777777" w:rsidR="003071C4" w:rsidRDefault="003071C4" w:rsidP="00ED0444">
      <w:pPr>
        <w:spacing w:line="288" w:lineRule="auto"/>
        <w:jc w:val="both"/>
        <w:rPr>
          <w:rFonts w:ascii="Helvetica" w:hAnsi="Helvetica"/>
          <w:sz w:val="22"/>
          <w:szCs w:val="22"/>
          <w:lang w:val="en-GB"/>
        </w:rPr>
      </w:pPr>
    </w:p>
    <w:p w14:paraId="3A75A85F" w14:textId="7BEDE37F" w:rsidR="00ED0444" w:rsidRPr="00A1755E" w:rsidRDefault="00ED0444" w:rsidP="00ED0444">
      <w:pPr>
        <w:spacing w:line="288" w:lineRule="auto"/>
        <w:jc w:val="both"/>
        <w:rPr>
          <w:rFonts w:ascii="Helvetica" w:hAnsi="Helvetica"/>
          <w:sz w:val="22"/>
          <w:szCs w:val="22"/>
          <w:lang w:val="en-GB"/>
        </w:rPr>
      </w:pPr>
      <w:r w:rsidRPr="00A1755E">
        <w:rPr>
          <w:rFonts w:ascii="Helvetica" w:hAnsi="Helvetica"/>
          <w:sz w:val="22"/>
          <w:szCs w:val="22"/>
          <w:lang w:val="en-GB"/>
        </w:rPr>
        <w:t>In spite of earlier epidemics such as Severe Acute Respiratory Syndrome (SARS), Middle East Respiratory Syndrome (MERS) and H1N1 influenza</w:t>
      </w:r>
      <w:r>
        <w:rPr>
          <w:rFonts w:ascii="Helvetica" w:hAnsi="Helvetica"/>
          <w:sz w:val="22"/>
          <w:szCs w:val="22"/>
          <w:lang w:val="en-GB"/>
        </w:rPr>
        <w:t>,</w:t>
      </w:r>
      <w:r w:rsidRPr="00A1755E">
        <w:rPr>
          <w:rFonts w:ascii="Helvetica" w:hAnsi="Helvetica"/>
          <w:sz w:val="22"/>
          <w:szCs w:val="22"/>
          <w:lang w:val="en-GB"/>
        </w:rPr>
        <w:t xml:space="preserve"> hospitals were caught unprepared by the </w:t>
      </w:r>
      <w:r w:rsidR="003B3C10">
        <w:rPr>
          <w:rFonts w:ascii="Helvetica" w:hAnsi="Helvetica"/>
          <w:sz w:val="22"/>
          <w:szCs w:val="22"/>
          <w:lang w:val="en-GB"/>
        </w:rPr>
        <w:t>Covid19</w:t>
      </w:r>
      <w:r w:rsidRPr="00A1755E">
        <w:rPr>
          <w:rFonts w:ascii="Helvetica" w:hAnsi="Helvetica"/>
          <w:sz w:val="22"/>
          <w:szCs w:val="22"/>
          <w:lang w:val="en-GB"/>
        </w:rPr>
        <w:t xml:space="preserve"> pandemic. The expectation of an imminent</w:t>
      </w:r>
      <w:r>
        <w:rPr>
          <w:rFonts w:ascii="Helvetica" w:hAnsi="Helvetica"/>
          <w:sz w:val="22"/>
          <w:szCs w:val="22"/>
          <w:lang w:val="en-GB"/>
        </w:rPr>
        <w:t xml:space="preserve"> large</w:t>
      </w:r>
      <w:r w:rsidRPr="00A1755E">
        <w:rPr>
          <w:rFonts w:ascii="Helvetica" w:hAnsi="Helvetica"/>
          <w:sz w:val="22"/>
          <w:szCs w:val="22"/>
          <w:lang w:val="en-GB"/>
        </w:rPr>
        <w:t xml:space="preserve"> influx of patients suffering from an insufficiently researched, highly transmissible disease at unknown scale </w:t>
      </w:r>
      <w:r>
        <w:rPr>
          <w:rFonts w:ascii="Helvetica" w:hAnsi="Helvetica"/>
          <w:sz w:val="22"/>
          <w:szCs w:val="22"/>
          <w:lang w:val="en-GB"/>
        </w:rPr>
        <w:t>was</w:t>
      </w:r>
      <w:r w:rsidRPr="00A1755E">
        <w:rPr>
          <w:rFonts w:ascii="Helvetica" w:hAnsi="Helvetica"/>
          <w:sz w:val="22"/>
          <w:szCs w:val="22"/>
          <w:lang w:val="en-GB"/>
        </w:rPr>
        <w:t xml:space="preserve"> fue</w:t>
      </w:r>
      <w:r>
        <w:rPr>
          <w:rFonts w:ascii="Helvetica" w:hAnsi="Helvetica"/>
          <w:sz w:val="22"/>
          <w:szCs w:val="22"/>
          <w:lang w:val="en-GB"/>
        </w:rPr>
        <w:t>l</w:t>
      </w:r>
      <w:r w:rsidRPr="00A1755E">
        <w:rPr>
          <w:rFonts w:ascii="Helvetica" w:hAnsi="Helvetica"/>
          <w:sz w:val="22"/>
          <w:szCs w:val="22"/>
          <w:lang w:val="en-GB"/>
        </w:rPr>
        <w:t>led by the im</w:t>
      </w:r>
      <w:r w:rsidR="003071C4">
        <w:rPr>
          <w:rFonts w:ascii="Helvetica" w:hAnsi="Helvetica"/>
          <w:sz w:val="22"/>
          <w:szCs w:val="22"/>
          <w:lang w:val="en-GB"/>
        </w:rPr>
        <w:t>ages</w:t>
      </w:r>
      <w:r w:rsidRPr="00A1755E">
        <w:rPr>
          <w:rFonts w:ascii="Helvetica" w:hAnsi="Helvetica"/>
          <w:sz w:val="22"/>
          <w:szCs w:val="22"/>
          <w:lang w:val="en-GB"/>
        </w:rPr>
        <w:t xml:space="preserve"> from other European countries </w:t>
      </w:r>
      <w:r w:rsidR="003071C4">
        <w:rPr>
          <w:rFonts w:ascii="Helvetica" w:hAnsi="Helvetica"/>
          <w:sz w:val="22"/>
          <w:szCs w:val="22"/>
          <w:lang w:val="en-GB"/>
        </w:rPr>
        <w:t>of</w:t>
      </w:r>
      <w:r w:rsidRPr="00A1755E">
        <w:rPr>
          <w:rFonts w:ascii="Helvetica" w:hAnsi="Helvetica"/>
          <w:sz w:val="22"/>
          <w:szCs w:val="22"/>
          <w:lang w:val="en-GB"/>
        </w:rPr>
        <w:t xml:space="preserve"> patients suffocating </w:t>
      </w:r>
      <w:r w:rsidR="003071C4">
        <w:rPr>
          <w:rFonts w:ascii="Helvetica" w:hAnsi="Helvetica"/>
          <w:sz w:val="22"/>
          <w:szCs w:val="22"/>
          <w:lang w:val="en-GB"/>
        </w:rPr>
        <w:t xml:space="preserve">in </w:t>
      </w:r>
      <w:r w:rsidRPr="00A1755E">
        <w:rPr>
          <w:rFonts w:ascii="Helvetica" w:hAnsi="Helvetica"/>
          <w:sz w:val="22"/>
          <w:szCs w:val="22"/>
          <w:lang w:val="en-GB"/>
        </w:rPr>
        <w:t>hospital corridors</w:t>
      </w:r>
      <w:r>
        <w:rPr>
          <w:rFonts w:ascii="Helvetica" w:hAnsi="Helvetica"/>
          <w:sz w:val="22"/>
          <w:szCs w:val="22"/>
          <w:lang w:val="en-GB"/>
        </w:rPr>
        <w:t>. Th</w:t>
      </w:r>
      <w:r w:rsidR="003071C4">
        <w:rPr>
          <w:rFonts w:ascii="Helvetica" w:hAnsi="Helvetica"/>
          <w:sz w:val="22"/>
          <w:szCs w:val="22"/>
          <w:lang w:val="en-GB"/>
        </w:rPr>
        <w:t>is</w:t>
      </w:r>
      <w:r>
        <w:rPr>
          <w:rFonts w:ascii="Helvetica" w:hAnsi="Helvetica"/>
          <w:sz w:val="22"/>
          <w:szCs w:val="22"/>
          <w:lang w:val="en-GB"/>
        </w:rPr>
        <w:t xml:space="preserve"> perception</w:t>
      </w:r>
      <w:r w:rsidRPr="00A1755E">
        <w:rPr>
          <w:rFonts w:ascii="Helvetica" w:hAnsi="Helvetica"/>
          <w:sz w:val="22"/>
          <w:szCs w:val="22"/>
          <w:lang w:val="en-GB"/>
        </w:rPr>
        <w:t xml:space="preserve"> induced significant effort</w:t>
      </w:r>
      <w:r>
        <w:rPr>
          <w:rFonts w:ascii="Helvetica" w:hAnsi="Helvetica"/>
          <w:sz w:val="22"/>
          <w:szCs w:val="22"/>
          <w:lang w:val="en-GB"/>
        </w:rPr>
        <w:t>s</w:t>
      </w:r>
      <w:r w:rsidRPr="00A1755E">
        <w:rPr>
          <w:rFonts w:ascii="Helvetica" w:hAnsi="Helvetica"/>
          <w:sz w:val="22"/>
          <w:szCs w:val="22"/>
          <w:lang w:val="en-GB"/>
        </w:rPr>
        <w:t xml:space="preserve"> towards service reconfiguration </w:t>
      </w:r>
      <w:r>
        <w:rPr>
          <w:rFonts w:ascii="Helvetica" w:hAnsi="Helvetica"/>
          <w:sz w:val="22"/>
          <w:szCs w:val="22"/>
          <w:lang w:val="en-GB"/>
        </w:rPr>
        <w:t>at</w:t>
      </w:r>
      <w:r w:rsidRPr="00A1755E">
        <w:rPr>
          <w:rFonts w:ascii="Helvetica" w:hAnsi="Helvetica"/>
          <w:sz w:val="22"/>
          <w:szCs w:val="22"/>
          <w:lang w:val="en-GB"/>
        </w:rPr>
        <w:t xml:space="preserve"> all levels of the </w:t>
      </w:r>
      <w:r w:rsidR="003071C4">
        <w:rPr>
          <w:rFonts w:ascii="Helvetica" w:hAnsi="Helvetica"/>
          <w:sz w:val="22"/>
          <w:szCs w:val="22"/>
          <w:lang w:val="en-GB"/>
        </w:rPr>
        <w:t xml:space="preserve">UK </w:t>
      </w:r>
      <w:r w:rsidRPr="00A1755E">
        <w:rPr>
          <w:rFonts w:ascii="Helvetica" w:hAnsi="Helvetica"/>
          <w:sz w:val="22"/>
          <w:szCs w:val="22"/>
          <w:lang w:val="en-GB"/>
        </w:rPr>
        <w:t xml:space="preserve">health care system. National authorities, medical societies and academic scholars </w:t>
      </w:r>
      <w:r>
        <w:rPr>
          <w:rFonts w:ascii="Helvetica" w:hAnsi="Helvetica"/>
          <w:sz w:val="22"/>
          <w:szCs w:val="22"/>
          <w:lang w:val="en-GB"/>
        </w:rPr>
        <w:t>set out to issue</w:t>
      </w:r>
      <w:r w:rsidRPr="00A1755E">
        <w:rPr>
          <w:rFonts w:ascii="Helvetica" w:hAnsi="Helvetica"/>
          <w:sz w:val="22"/>
          <w:szCs w:val="22"/>
          <w:lang w:val="en-GB"/>
        </w:rPr>
        <w:t xml:space="preserve"> guidelines </w:t>
      </w:r>
      <w:r>
        <w:rPr>
          <w:rFonts w:ascii="Helvetica" w:hAnsi="Helvetica"/>
          <w:sz w:val="22"/>
          <w:szCs w:val="22"/>
          <w:lang w:val="en-GB"/>
        </w:rPr>
        <w:t xml:space="preserve">advising </w:t>
      </w:r>
      <w:r w:rsidRPr="00A1755E">
        <w:rPr>
          <w:rFonts w:ascii="Helvetica" w:hAnsi="Helvetica"/>
          <w:sz w:val="22"/>
          <w:szCs w:val="22"/>
          <w:lang w:val="en-GB"/>
        </w:rPr>
        <w:t xml:space="preserve">on the management of </w:t>
      </w:r>
      <w:r w:rsidR="003B3C10">
        <w:rPr>
          <w:rFonts w:ascii="Helvetica" w:hAnsi="Helvetica"/>
          <w:sz w:val="22"/>
          <w:szCs w:val="22"/>
          <w:lang w:val="en-GB"/>
        </w:rPr>
        <w:t>Covid19</w:t>
      </w:r>
      <w:r w:rsidRPr="00A1755E">
        <w:rPr>
          <w:rFonts w:ascii="Helvetica" w:hAnsi="Helvetica"/>
          <w:sz w:val="22"/>
          <w:szCs w:val="22"/>
          <w:lang w:val="en-GB"/>
        </w:rPr>
        <w:t xml:space="preserve"> patients and reconfiguration of hospitals </w:t>
      </w:r>
      <w:r>
        <w:rPr>
          <w:rFonts w:ascii="Helvetica" w:hAnsi="Helvetica"/>
          <w:sz w:val="22"/>
          <w:szCs w:val="22"/>
          <w:lang w:val="en-GB"/>
        </w:rPr>
        <w:t xml:space="preserve">to </w:t>
      </w:r>
      <w:r w:rsidRPr="00A1755E">
        <w:rPr>
          <w:rFonts w:ascii="Helvetica" w:hAnsi="Helvetica"/>
          <w:sz w:val="22"/>
          <w:szCs w:val="22"/>
          <w:lang w:val="en-GB"/>
        </w:rPr>
        <w:t>minimise the risk of nosocomial transmissions.</w:t>
      </w:r>
      <w:r>
        <w:rPr>
          <w:rStyle w:val="FootnoteReference"/>
          <w:rFonts w:ascii="Helvetica" w:hAnsi="Helvetica"/>
          <w:sz w:val="22"/>
          <w:szCs w:val="22"/>
          <w:lang w:val="en-GB"/>
        </w:rPr>
        <w:footnoteReference w:id="15"/>
      </w:r>
      <w:r w:rsidRPr="00A1755E">
        <w:rPr>
          <w:rFonts w:ascii="Helvetica" w:hAnsi="Helvetica"/>
          <w:sz w:val="22"/>
          <w:szCs w:val="22"/>
          <w:lang w:val="en-GB"/>
        </w:rPr>
        <w:t xml:space="preserve"> </w:t>
      </w:r>
      <w:r w:rsidR="003071C4">
        <w:rPr>
          <w:rFonts w:ascii="Helvetica" w:hAnsi="Helvetica"/>
          <w:sz w:val="22"/>
          <w:szCs w:val="22"/>
          <w:lang w:val="en-GB"/>
        </w:rPr>
        <w:t>Like others, t</w:t>
      </w:r>
      <w:r w:rsidRPr="00A1755E">
        <w:rPr>
          <w:rFonts w:ascii="Helvetica" w:hAnsi="Helvetica"/>
          <w:sz w:val="22"/>
          <w:szCs w:val="22"/>
          <w:lang w:val="en-GB"/>
        </w:rPr>
        <w:t xml:space="preserve">he hospitals in Manchester and Cambridge quickly reacted to the </w:t>
      </w:r>
      <w:r w:rsidRPr="00A1755E">
        <w:rPr>
          <w:rFonts w:ascii="Helvetica" w:hAnsi="Helvetica"/>
          <w:sz w:val="22"/>
          <w:szCs w:val="22"/>
          <w:lang w:val="en-GB"/>
        </w:rPr>
        <w:lastRenderedPageBreak/>
        <w:t xml:space="preserve">anticipated increase in demand by undertaking multiple modelling and planning activities to </w:t>
      </w:r>
      <w:r>
        <w:rPr>
          <w:rFonts w:ascii="Helvetica" w:hAnsi="Helvetica"/>
          <w:sz w:val="22"/>
          <w:szCs w:val="22"/>
          <w:lang w:val="en-GB"/>
        </w:rPr>
        <w:t>identify</w:t>
      </w:r>
      <w:r w:rsidRPr="00A1755E">
        <w:rPr>
          <w:rFonts w:ascii="Helvetica" w:hAnsi="Helvetica"/>
          <w:sz w:val="22"/>
          <w:szCs w:val="22"/>
          <w:lang w:val="en-GB"/>
        </w:rPr>
        <w:t xml:space="preserve"> resource gaps and create surge capacity:</w:t>
      </w:r>
    </w:p>
    <w:p w14:paraId="4EC91DE7" w14:textId="77777777" w:rsidR="00ED0444" w:rsidRPr="00A1755E" w:rsidRDefault="00ED0444" w:rsidP="00ED0444">
      <w:pPr>
        <w:spacing w:line="288" w:lineRule="auto"/>
        <w:jc w:val="both"/>
        <w:rPr>
          <w:rFonts w:ascii="Helvetica" w:hAnsi="Helvetica"/>
          <w:sz w:val="22"/>
          <w:szCs w:val="22"/>
          <w:lang w:val="en-GB"/>
        </w:rPr>
      </w:pPr>
    </w:p>
    <w:p w14:paraId="148CF525" w14:textId="726773E7" w:rsidR="00ED0444" w:rsidRPr="00A1755E" w:rsidRDefault="00ED0444" w:rsidP="00ED0444">
      <w:pPr>
        <w:spacing w:line="288" w:lineRule="auto"/>
        <w:jc w:val="both"/>
        <w:rPr>
          <w:rFonts w:ascii="Helvetica" w:hAnsi="Helvetica"/>
          <w:i/>
          <w:iCs/>
          <w:sz w:val="22"/>
          <w:szCs w:val="22"/>
          <w:lang w:val="en-GB"/>
        </w:rPr>
      </w:pPr>
      <w:r w:rsidRPr="00A1755E">
        <w:rPr>
          <w:rFonts w:ascii="Helvetica" w:hAnsi="Helvetica"/>
          <w:sz w:val="22"/>
          <w:szCs w:val="22"/>
          <w:lang w:val="en-GB"/>
        </w:rPr>
        <w:t>“</w:t>
      </w:r>
      <w:proofErr w:type="gramStart"/>
      <w:r w:rsidRPr="00A1755E">
        <w:rPr>
          <w:rFonts w:ascii="Helvetica" w:hAnsi="Helvetica"/>
          <w:i/>
          <w:iCs/>
          <w:sz w:val="22"/>
          <w:szCs w:val="22"/>
          <w:lang w:val="en-GB"/>
        </w:rPr>
        <w:t>So</w:t>
      </w:r>
      <w:proofErr w:type="gramEnd"/>
      <w:r w:rsidRPr="00A1755E">
        <w:rPr>
          <w:rFonts w:ascii="Helvetica" w:hAnsi="Helvetica"/>
          <w:i/>
          <w:iCs/>
          <w:sz w:val="22"/>
          <w:szCs w:val="22"/>
          <w:lang w:val="en-GB"/>
        </w:rPr>
        <w:t xml:space="preserve"> we were constantly trying to say there's this tidal wave</w:t>
      </w:r>
      <w:r>
        <w:rPr>
          <w:rFonts w:ascii="Helvetica" w:hAnsi="Helvetica"/>
          <w:i/>
          <w:iCs/>
          <w:sz w:val="22"/>
          <w:szCs w:val="22"/>
          <w:lang w:val="en-GB"/>
        </w:rPr>
        <w:t xml:space="preserve"> -</w:t>
      </w:r>
      <w:r w:rsidRPr="00A1755E">
        <w:rPr>
          <w:rFonts w:ascii="Helvetica" w:hAnsi="Helvetica"/>
          <w:i/>
          <w:iCs/>
          <w:sz w:val="22"/>
          <w:szCs w:val="22"/>
          <w:lang w:val="en-GB"/>
        </w:rPr>
        <w:t xml:space="preserve"> that we don't know the size of it</w:t>
      </w:r>
      <w:r>
        <w:rPr>
          <w:rFonts w:ascii="Helvetica" w:hAnsi="Helvetica"/>
          <w:i/>
          <w:iCs/>
          <w:sz w:val="22"/>
          <w:szCs w:val="22"/>
          <w:lang w:val="en-GB"/>
        </w:rPr>
        <w:t xml:space="preserve"> (…) </w:t>
      </w:r>
      <w:r w:rsidRPr="00A1755E">
        <w:rPr>
          <w:rFonts w:ascii="Helvetica" w:hAnsi="Helvetica"/>
          <w:i/>
          <w:iCs/>
          <w:sz w:val="22"/>
          <w:szCs w:val="22"/>
          <w:lang w:val="en-GB"/>
        </w:rPr>
        <w:t xml:space="preserve"> coming towards us of a particular group of patients and we need to prepare for that. And those patients are infectious. And you need PPE. And </w:t>
      </w:r>
      <w:r w:rsidR="003071C4">
        <w:rPr>
          <w:rFonts w:ascii="Helvetica" w:hAnsi="Helvetica"/>
          <w:i/>
          <w:iCs/>
          <w:sz w:val="22"/>
          <w:szCs w:val="22"/>
          <w:lang w:val="en-GB"/>
        </w:rPr>
        <w:t xml:space="preserve">a </w:t>
      </w:r>
      <w:r w:rsidRPr="00A1755E">
        <w:rPr>
          <w:rFonts w:ascii="Helvetica" w:hAnsi="Helvetica"/>
          <w:i/>
          <w:iCs/>
          <w:sz w:val="22"/>
          <w:szCs w:val="22"/>
          <w:lang w:val="en-GB"/>
        </w:rPr>
        <w:t>lot of them need ventilators, we haven't got enough ventilators</w:t>
      </w:r>
      <w:r>
        <w:rPr>
          <w:rFonts w:ascii="Helvetica" w:hAnsi="Helvetica"/>
          <w:i/>
          <w:iCs/>
          <w:sz w:val="22"/>
          <w:szCs w:val="22"/>
          <w:lang w:val="en-GB"/>
        </w:rPr>
        <w:t>;</w:t>
      </w:r>
      <w:r w:rsidRPr="00A1755E">
        <w:rPr>
          <w:rFonts w:ascii="Helvetica" w:hAnsi="Helvetica"/>
          <w:i/>
          <w:iCs/>
          <w:sz w:val="22"/>
          <w:szCs w:val="22"/>
          <w:lang w:val="en-GB"/>
        </w:rPr>
        <w:t xml:space="preserve"> a lot them need critical care, we haven't got critical care staff</w:t>
      </w:r>
      <w:r w:rsidR="003071C4">
        <w:rPr>
          <w:rFonts w:ascii="Helvetica" w:hAnsi="Helvetica"/>
          <w:i/>
          <w:iCs/>
          <w:sz w:val="22"/>
          <w:szCs w:val="22"/>
          <w:lang w:val="en-GB"/>
        </w:rPr>
        <w:t>.</w:t>
      </w:r>
      <w:r w:rsidRPr="00A1755E">
        <w:rPr>
          <w:rFonts w:ascii="Helvetica" w:hAnsi="Helvetica"/>
          <w:i/>
          <w:iCs/>
          <w:sz w:val="22"/>
          <w:szCs w:val="22"/>
          <w:lang w:val="en-GB"/>
        </w:rPr>
        <w:t>”</w:t>
      </w:r>
    </w:p>
    <w:p w14:paraId="7EA55831" w14:textId="77777777" w:rsidR="00ED0444" w:rsidRPr="00A1755E" w:rsidRDefault="00ED0444" w:rsidP="00ED0444">
      <w:pPr>
        <w:spacing w:line="288" w:lineRule="auto"/>
        <w:jc w:val="both"/>
        <w:rPr>
          <w:rFonts w:ascii="Helvetica" w:hAnsi="Helvetica"/>
          <w:sz w:val="22"/>
          <w:szCs w:val="22"/>
          <w:lang w:val="en-GB"/>
        </w:rPr>
      </w:pPr>
    </w:p>
    <w:p w14:paraId="40481F4C" w14:textId="3A5098C2" w:rsidR="00C600CD" w:rsidRPr="00A1755E" w:rsidRDefault="00ED0444" w:rsidP="00C600CD">
      <w:pPr>
        <w:spacing w:line="288" w:lineRule="auto"/>
        <w:jc w:val="both"/>
        <w:rPr>
          <w:rFonts w:ascii="Helvetica" w:hAnsi="Helvetica"/>
          <w:sz w:val="22"/>
          <w:szCs w:val="22"/>
          <w:lang w:val="en-GB"/>
        </w:rPr>
      </w:pPr>
      <w:r w:rsidRPr="00A1755E">
        <w:rPr>
          <w:rFonts w:ascii="Helvetica" w:hAnsi="Helvetica"/>
          <w:sz w:val="22"/>
          <w:szCs w:val="22"/>
          <w:lang w:val="en-GB"/>
        </w:rPr>
        <w:t xml:space="preserve">A key element of the early response strategy was the launch of an extensive human resource activation and </w:t>
      </w:r>
      <w:r>
        <w:rPr>
          <w:rFonts w:ascii="Helvetica" w:hAnsi="Helvetica"/>
          <w:sz w:val="22"/>
          <w:szCs w:val="22"/>
          <w:lang w:val="en-GB"/>
        </w:rPr>
        <w:t>upskilling</w:t>
      </w:r>
      <w:r w:rsidRPr="00A1755E">
        <w:rPr>
          <w:rFonts w:ascii="Helvetica" w:hAnsi="Helvetica"/>
          <w:sz w:val="22"/>
          <w:szCs w:val="22"/>
          <w:lang w:val="en-GB"/>
        </w:rPr>
        <w:t xml:space="preserve"> programme. While recently retired medical staff and staff in education or research made themselves voluntarily available for clinical duty, hundreds of staff entered a retraining programme to provide adequate capacity in critical care. These activities were complemented </w:t>
      </w:r>
      <w:r>
        <w:rPr>
          <w:rFonts w:ascii="Helvetica" w:hAnsi="Helvetica"/>
          <w:sz w:val="22"/>
          <w:szCs w:val="22"/>
          <w:lang w:val="en-GB"/>
        </w:rPr>
        <w:t xml:space="preserve">not only </w:t>
      </w:r>
      <w:r w:rsidRPr="00A1755E">
        <w:rPr>
          <w:rFonts w:ascii="Helvetica" w:hAnsi="Helvetica"/>
          <w:sz w:val="22"/>
          <w:szCs w:val="22"/>
          <w:lang w:val="en-GB"/>
        </w:rPr>
        <w:t>by the large-scale cessation of non-</w:t>
      </w:r>
      <w:r>
        <w:rPr>
          <w:rFonts w:ascii="Helvetica" w:hAnsi="Helvetica"/>
          <w:sz w:val="22"/>
          <w:szCs w:val="22"/>
          <w:lang w:val="en-GB"/>
        </w:rPr>
        <w:t>essential</w:t>
      </w:r>
      <w:r w:rsidRPr="00A1755E">
        <w:rPr>
          <w:rFonts w:ascii="Helvetica" w:hAnsi="Helvetica"/>
          <w:sz w:val="22"/>
          <w:szCs w:val="22"/>
          <w:lang w:val="en-GB"/>
        </w:rPr>
        <w:t xml:space="preserve"> services including elective, outpatient and diagnostic activities</w:t>
      </w:r>
      <w:r w:rsidR="003071C4">
        <w:rPr>
          <w:rFonts w:ascii="Helvetica" w:hAnsi="Helvetica"/>
          <w:sz w:val="22"/>
          <w:szCs w:val="22"/>
          <w:lang w:val="en-GB"/>
        </w:rPr>
        <w:t xml:space="preserve">, </w:t>
      </w:r>
      <w:r>
        <w:rPr>
          <w:rFonts w:ascii="Helvetica" w:hAnsi="Helvetica"/>
          <w:sz w:val="22"/>
          <w:szCs w:val="22"/>
          <w:lang w:val="en-GB"/>
        </w:rPr>
        <w:t>but also by</w:t>
      </w:r>
      <w:r w:rsidRPr="00A1755E">
        <w:rPr>
          <w:rFonts w:ascii="Helvetica" w:hAnsi="Helvetica"/>
          <w:sz w:val="22"/>
          <w:szCs w:val="22"/>
          <w:lang w:val="en-GB"/>
        </w:rPr>
        <w:t xml:space="preserve"> the discharge of medically fit hospital inpatients. </w:t>
      </w:r>
      <w:r w:rsidR="00C600CD">
        <w:rPr>
          <w:rFonts w:ascii="Helvetica" w:hAnsi="Helvetica"/>
          <w:sz w:val="22"/>
          <w:szCs w:val="22"/>
          <w:lang w:val="en-GB"/>
        </w:rPr>
        <w:t xml:space="preserve">This was supported by an increased effort to obtain social care. </w:t>
      </w:r>
    </w:p>
    <w:p w14:paraId="648D4114" w14:textId="77777777" w:rsidR="003071C4" w:rsidRDefault="003071C4" w:rsidP="00ED0444">
      <w:pPr>
        <w:spacing w:line="288" w:lineRule="auto"/>
        <w:jc w:val="both"/>
        <w:rPr>
          <w:rFonts w:ascii="Helvetica" w:hAnsi="Helvetica"/>
          <w:sz w:val="22"/>
          <w:szCs w:val="22"/>
          <w:lang w:val="en-GB"/>
        </w:rPr>
      </w:pPr>
    </w:p>
    <w:p w14:paraId="48A354A1" w14:textId="0392AF9D" w:rsidR="00ED0444" w:rsidRDefault="00ED0444" w:rsidP="00ED0444">
      <w:pPr>
        <w:spacing w:line="288" w:lineRule="auto"/>
        <w:jc w:val="both"/>
        <w:rPr>
          <w:rFonts w:ascii="Helvetica" w:hAnsi="Helvetica"/>
          <w:sz w:val="22"/>
          <w:szCs w:val="22"/>
          <w:lang w:val="en-GB"/>
        </w:rPr>
      </w:pPr>
      <w:r w:rsidRPr="00A1755E">
        <w:rPr>
          <w:rFonts w:ascii="Helvetica" w:hAnsi="Helvetica"/>
          <w:sz w:val="22"/>
          <w:szCs w:val="22"/>
          <w:lang w:val="en-GB"/>
        </w:rPr>
        <w:t>As a consequence of these early changes, staff and bed resources freed up</w:t>
      </w:r>
      <w:r>
        <w:rPr>
          <w:rFonts w:ascii="Helvetica" w:hAnsi="Helvetica"/>
          <w:sz w:val="22"/>
          <w:szCs w:val="22"/>
          <w:lang w:val="en-GB"/>
        </w:rPr>
        <w:t>,</w:t>
      </w:r>
      <w:r w:rsidRPr="00A1755E">
        <w:rPr>
          <w:rFonts w:ascii="Helvetica" w:hAnsi="Helvetica"/>
          <w:sz w:val="22"/>
          <w:szCs w:val="22"/>
          <w:lang w:val="en-GB"/>
        </w:rPr>
        <w:t xml:space="preserve"> rendering several departments of the hospital idle. </w:t>
      </w:r>
      <w:r>
        <w:rPr>
          <w:rFonts w:ascii="Helvetica" w:hAnsi="Helvetica"/>
          <w:sz w:val="22"/>
          <w:szCs w:val="22"/>
          <w:lang w:val="en-GB"/>
        </w:rPr>
        <w:t>This</w:t>
      </w:r>
      <w:r w:rsidRPr="00A1755E">
        <w:rPr>
          <w:rFonts w:ascii="Helvetica" w:hAnsi="Helvetica"/>
          <w:sz w:val="22"/>
          <w:szCs w:val="22"/>
          <w:lang w:val="en-GB"/>
        </w:rPr>
        <w:t xml:space="preserve"> effect was further enhanced by the shift in behavioural patterns that could be observed in the community even before lockdown measures taken by the government became effective. The “Stay at Home” campaign led to a steep decline in demand for emergency services. For instance, at Addenbrooke’s hospital, the number of patients turning up at the Emergency Department dropped by about 50 percent</w:t>
      </w:r>
      <w:r>
        <w:rPr>
          <w:rFonts w:ascii="Helvetica" w:hAnsi="Helvetica"/>
          <w:sz w:val="22"/>
          <w:szCs w:val="22"/>
          <w:lang w:val="en-GB"/>
        </w:rPr>
        <w:t xml:space="preserve"> (Figure </w:t>
      </w:r>
      <w:r w:rsidR="005E0201">
        <w:rPr>
          <w:rFonts w:ascii="Helvetica" w:hAnsi="Helvetica"/>
          <w:sz w:val="22"/>
          <w:szCs w:val="22"/>
          <w:lang w:val="en-GB"/>
        </w:rPr>
        <w:t>4</w:t>
      </w:r>
      <w:r>
        <w:rPr>
          <w:rFonts w:ascii="Helvetica" w:hAnsi="Helvetica"/>
          <w:sz w:val="22"/>
          <w:szCs w:val="22"/>
          <w:lang w:val="en-GB"/>
        </w:rPr>
        <w:t>)</w:t>
      </w:r>
      <w:r w:rsidRPr="00A1755E">
        <w:rPr>
          <w:rFonts w:ascii="Helvetica" w:hAnsi="Helvetica"/>
          <w:sz w:val="22"/>
          <w:szCs w:val="22"/>
          <w:lang w:val="en-GB"/>
        </w:rPr>
        <w:t xml:space="preserve">. </w:t>
      </w:r>
      <w:r w:rsidR="00C600CD" w:rsidRPr="00A1755E">
        <w:rPr>
          <w:rFonts w:ascii="Helvetica" w:hAnsi="Helvetica"/>
          <w:sz w:val="22"/>
          <w:szCs w:val="22"/>
          <w:lang w:val="en-GB"/>
        </w:rPr>
        <w:t>The</w:t>
      </w:r>
      <w:r w:rsidR="00C600CD">
        <w:rPr>
          <w:rFonts w:ascii="Helvetica" w:hAnsi="Helvetica"/>
          <w:sz w:val="22"/>
          <w:szCs w:val="22"/>
          <w:lang w:val="en-GB"/>
        </w:rPr>
        <w:t xml:space="preserve">se circumstances allowed the hospitals </w:t>
      </w:r>
      <w:r w:rsidR="00C600CD" w:rsidRPr="00A1755E">
        <w:rPr>
          <w:rFonts w:ascii="Helvetica" w:hAnsi="Helvetica"/>
          <w:sz w:val="22"/>
          <w:szCs w:val="22"/>
          <w:lang w:val="en-GB"/>
        </w:rPr>
        <w:t xml:space="preserve">to focus on the treatment of </w:t>
      </w:r>
      <w:r w:rsidR="003B3C10">
        <w:rPr>
          <w:rFonts w:ascii="Helvetica" w:hAnsi="Helvetica"/>
          <w:sz w:val="22"/>
          <w:szCs w:val="22"/>
          <w:lang w:val="en-GB"/>
        </w:rPr>
        <w:t>Covid19</w:t>
      </w:r>
      <w:r w:rsidR="00C600CD" w:rsidRPr="00A1755E">
        <w:rPr>
          <w:rFonts w:ascii="Helvetica" w:hAnsi="Helvetica"/>
          <w:sz w:val="22"/>
          <w:szCs w:val="22"/>
          <w:lang w:val="en-GB"/>
        </w:rPr>
        <w:t xml:space="preserve"> patients and critically ill inpatients</w:t>
      </w:r>
      <w:r w:rsidR="00C600CD">
        <w:rPr>
          <w:rFonts w:ascii="Helvetica" w:hAnsi="Helvetica"/>
          <w:sz w:val="22"/>
          <w:szCs w:val="22"/>
          <w:lang w:val="en-GB"/>
        </w:rPr>
        <w:t>,</w:t>
      </w:r>
      <w:r w:rsidR="00C600CD" w:rsidRPr="00A1755E">
        <w:rPr>
          <w:rFonts w:ascii="Helvetica" w:hAnsi="Helvetica"/>
          <w:sz w:val="22"/>
          <w:szCs w:val="22"/>
          <w:lang w:val="en-GB"/>
        </w:rPr>
        <w:t xml:space="preserve"> accelerating their learning </w:t>
      </w:r>
      <w:r w:rsidR="00C600CD">
        <w:rPr>
          <w:rFonts w:ascii="Helvetica" w:hAnsi="Helvetica"/>
          <w:sz w:val="22"/>
          <w:szCs w:val="22"/>
          <w:lang w:val="en-GB"/>
        </w:rPr>
        <w:t>about</w:t>
      </w:r>
      <w:r w:rsidR="00C600CD" w:rsidRPr="00A1755E">
        <w:rPr>
          <w:rFonts w:ascii="Helvetica" w:hAnsi="Helvetica"/>
          <w:sz w:val="22"/>
          <w:szCs w:val="22"/>
          <w:lang w:val="en-GB"/>
        </w:rPr>
        <w:t xml:space="preserve"> the new disease and </w:t>
      </w:r>
      <w:r w:rsidR="00C600CD">
        <w:rPr>
          <w:rFonts w:ascii="Helvetica" w:hAnsi="Helvetica"/>
          <w:sz w:val="22"/>
          <w:szCs w:val="22"/>
          <w:lang w:val="en-GB"/>
        </w:rPr>
        <w:t>enabling a higher-than-usual turnaround of patients. Productivity was broadly perceived as high during these early phases of the pandemic</w:t>
      </w:r>
      <w:r w:rsidRPr="00A1755E">
        <w:rPr>
          <w:rFonts w:ascii="Helvetica" w:hAnsi="Helvetica"/>
          <w:sz w:val="22"/>
          <w:szCs w:val="22"/>
          <w:lang w:val="en-GB"/>
        </w:rPr>
        <w:t>:</w:t>
      </w:r>
    </w:p>
    <w:p w14:paraId="0B8BD691" w14:textId="77777777" w:rsidR="00ED0444" w:rsidRPr="00A1755E" w:rsidRDefault="00ED0444" w:rsidP="00ED0444">
      <w:pPr>
        <w:spacing w:line="288" w:lineRule="auto"/>
        <w:jc w:val="both"/>
        <w:rPr>
          <w:rFonts w:ascii="Helvetica" w:hAnsi="Helvetica"/>
          <w:sz w:val="22"/>
          <w:szCs w:val="22"/>
          <w:lang w:val="en-GB"/>
        </w:rPr>
      </w:pPr>
    </w:p>
    <w:p w14:paraId="3CF271E4" w14:textId="61102E5D" w:rsidR="00ED0444" w:rsidRPr="00A1755E" w:rsidRDefault="00ED0444" w:rsidP="00ED0444">
      <w:pPr>
        <w:spacing w:line="288" w:lineRule="auto"/>
        <w:jc w:val="both"/>
        <w:rPr>
          <w:rFonts w:ascii="Helvetica" w:hAnsi="Helvetica"/>
          <w:i/>
          <w:iCs/>
          <w:sz w:val="22"/>
          <w:szCs w:val="22"/>
          <w:lang w:val="en-GB"/>
        </w:rPr>
      </w:pPr>
      <w:r w:rsidRPr="00A1755E">
        <w:rPr>
          <w:rFonts w:ascii="Helvetica" w:hAnsi="Helvetica"/>
          <w:i/>
          <w:iCs/>
          <w:sz w:val="22"/>
          <w:szCs w:val="22"/>
          <w:lang w:val="en-GB"/>
        </w:rPr>
        <w:t>“The big thing that made a big difference to how we can look after our patients, was a combination of reduced demand and an increased supply of beds. And that meant that we were able to look after our patients much better. Patients who needed admitting, could be sent admitted quite quickly. Patients who could be discharged home could be seen earlier and sent home earlier. So, the thing that made a big difference was, you know... It helps having more staff on a bed. But the big thing that made a difference was actually reduced crowding</w:t>
      </w:r>
      <w:r w:rsidR="003D1EB8">
        <w:rPr>
          <w:rFonts w:ascii="Helvetica" w:hAnsi="Helvetica"/>
          <w:i/>
          <w:iCs/>
          <w:sz w:val="22"/>
          <w:szCs w:val="22"/>
          <w:lang w:val="en-GB"/>
        </w:rPr>
        <w:t>.</w:t>
      </w:r>
      <w:r w:rsidRPr="00A1755E">
        <w:rPr>
          <w:rFonts w:ascii="Helvetica" w:hAnsi="Helvetica"/>
          <w:i/>
          <w:iCs/>
          <w:sz w:val="22"/>
          <w:szCs w:val="22"/>
          <w:lang w:val="en-GB"/>
        </w:rPr>
        <w:t>”</w:t>
      </w:r>
    </w:p>
    <w:p w14:paraId="590EAD38" w14:textId="77777777" w:rsidR="003D1EB8" w:rsidRDefault="003D1EB8" w:rsidP="00ED0444">
      <w:pPr>
        <w:spacing w:line="288" w:lineRule="auto"/>
        <w:jc w:val="both"/>
        <w:rPr>
          <w:rFonts w:ascii="Helvetica" w:hAnsi="Helvetica"/>
          <w:sz w:val="22"/>
          <w:szCs w:val="22"/>
          <w:lang w:val="en-GB"/>
        </w:rPr>
      </w:pPr>
    </w:p>
    <w:p w14:paraId="655B5194" w14:textId="214C32E2" w:rsidR="00ED0444" w:rsidRDefault="00ED0444" w:rsidP="00ED0444">
      <w:pPr>
        <w:spacing w:line="288" w:lineRule="auto"/>
        <w:jc w:val="both"/>
        <w:rPr>
          <w:rFonts w:ascii="Helvetica" w:hAnsi="Helvetica"/>
          <w:i/>
          <w:iCs/>
          <w:sz w:val="22"/>
          <w:szCs w:val="22"/>
          <w:lang w:val="en-GB"/>
        </w:rPr>
      </w:pPr>
      <w:r w:rsidRPr="00AA1D60">
        <w:rPr>
          <w:rFonts w:ascii="Helvetica" w:hAnsi="Helvetica"/>
          <w:i/>
          <w:iCs/>
          <w:sz w:val="22"/>
          <w:szCs w:val="22"/>
          <w:lang w:val="en-GB"/>
        </w:rPr>
        <w:t xml:space="preserve">Figure </w:t>
      </w:r>
      <w:r w:rsidR="005E0201">
        <w:rPr>
          <w:rFonts w:ascii="Helvetica" w:hAnsi="Helvetica"/>
          <w:i/>
          <w:iCs/>
          <w:sz w:val="22"/>
          <w:szCs w:val="22"/>
          <w:lang w:val="en-GB"/>
        </w:rPr>
        <w:t>4</w:t>
      </w:r>
      <w:r w:rsidRPr="00AA1D60">
        <w:rPr>
          <w:rFonts w:ascii="Helvetica" w:hAnsi="Helvetica"/>
          <w:i/>
          <w:iCs/>
          <w:sz w:val="22"/>
          <w:szCs w:val="22"/>
          <w:lang w:val="en-GB"/>
        </w:rPr>
        <w:t>: Emergency attendances at Addenbrooke’s hospital (March 2019 – September 2020)</w:t>
      </w:r>
    </w:p>
    <w:p w14:paraId="7B559605" w14:textId="77777777" w:rsidR="00ED0444" w:rsidRPr="00AA1D60" w:rsidRDefault="00ED0444" w:rsidP="00ED0444">
      <w:pPr>
        <w:spacing w:line="288" w:lineRule="auto"/>
        <w:jc w:val="both"/>
        <w:rPr>
          <w:rFonts w:ascii="Helvetica" w:hAnsi="Helvetica"/>
          <w:i/>
          <w:iCs/>
          <w:sz w:val="22"/>
          <w:szCs w:val="22"/>
          <w:lang w:val="en-GB"/>
        </w:rPr>
      </w:pPr>
    </w:p>
    <w:p w14:paraId="1D69364E" w14:textId="77777777" w:rsidR="00ED0444" w:rsidRDefault="00ED0444" w:rsidP="00ED0444">
      <w:pPr>
        <w:spacing w:line="288" w:lineRule="auto"/>
        <w:jc w:val="both"/>
        <w:rPr>
          <w:rFonts w:ascii="Helvetica" w:hAnsi="Helvetica"/>
          <w:sz w:val="22"/>
          <w:szCs w:val="22"/>
          <w:lang w:val="en-GB"/>
        </w:rPr>
      </w:pPr>
      <w:r>
        <w:rPr>
          <w:noProof/>
        </w:rPr>
        <w:lastRenderedPageBreak/>
        <w:drawing>
          <wp:inline distT="0" distB="0" distL="0" distR="0" wp14:anchorId="26903F34" wp14:editId="06D58137">
            <wp:extent cx="6120130" cy="2662813"/>
            <wp:effectExtent l="0" t="0" r="13970" b="17145"/>
            <wp:docPr id="3" name="Chart 3">
              <a:extLst xmlns:a="http://schemas.openxmlformats.org/drawingml/2006/main">
                <a:ext uri="{FF2B5EF4-FFF2-40B4-BE49-F238E27FC236}">
                  <a16:creationId xmlns:a16="http://schemas.microsoft.com/office/drawing/2014/main" id="{1CC67C2B-2CDA-D340-BFC1-C5C8228705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85504CF" w14:textId="7B6AE762" w:rsidR="00ED0444" w:rsidRPr="00A931DD" w:rsidRDefault="00A931DD" w:rsidP="00ED0444">
      <w:pPr>
        <w:spacing w:line="288" w:lineRule="auto"/>
        <w:jc w:val="both"/>
        <w:rPr>
          <w:rFonts w:ascii="Helvetica" w:hAnsi="Helvetica"/>
          <w:i/>
          <w:iCs/>
          <w:sz w:val="22"/>
          <w:szCs w:val="22"/>
          <w:lang w:val="en-GB"/>
        </w:rPr>
      </w:pPr>
      <w:r w:rsidRPr="00A931DD">
        <w:rPr>
          <w:rFonts w:ascii="Helvetica" w:hAnsi="Helvetica"/>
          <w:i/>
          <w:iCs/>
          <w:sz w:val="22"/>
          <w:szCs w:val="22"/>
          <w:lang w:val="en-GB"/>
        </w:rPr>
        <w:t xml:space="preserve">Source: </w:t>
      </w:r>
      <w:r w:rsidR="004A1ADC" w:rsidRPr="004A1ADC">
        <w:rPr>
          <w:rFonts w:ascii="Helvetica" w:hAnsi="Helvetica"/>
          <w:i/>
          <w:iCs/>
          <w:sz w:val="22"/>
          <w:szCs w:val="22"/>
          <w:lang w:val="en-GB"/>
        </w:rPr>
        <w:t>https://www.england.nhs.uk/statistics/statistical-work-areas/ae-waiting-times-and-activity/ae-attendances-and-emergency-admissions-2020-21/</w:t>
      </w:r>
    </w:p>
    <w:p w14:paraId="0BC63595" w14:textId="77777777" w:rsidR="00A931DD" w:rsidRDefault="00A931DD" w:rsidP="00ED0444">
      <w:pPr>
        <w:spacing w:line="288" w:lineRule="auto"/>
        <w:jc w:val="both"/>
        <w:rPr>
          <w:rFonts w:ascii="Helvetica" w:hAnsi="Helvetica"/>
          <w:sz w:val="22"/>
          <w:szCs w:val="22"/>
          <w:lang w:val="en-GB"/>
        </w:rPr>
      </w:pPr>
    </w:p>
    <w:p w14:paraId="281A14D1" w14:textId="1086B47C" w:rsidR="00ED0444" w:rsidRDefault="00ED0444" w:rsidP="00ED0444">
      <w:pPr>
        <w:spacing w:line="288" w:lineRule="auto"/>
        <w:jc w:val="both"/>
        <w:rPr>
          <w:rFonts w:ascii="Helvetica" w:hAnsi="Helvetica"/>
          <w:sz w:val="22"/>
          <w:szCs w:val="22"/>
          <w:lang w:val="en-GB"/>
        </w:rPr>
      </w:pPr>
      <w:r w:rsidRPr="00A1755E">
        <w:rPr>
          <w:rFonts w:ascii="Helvetica" w:hAnsi="Helvetica"/>
          <w:sz w:val="22"/>
          <w:szCs w:val="22"/>
          <w:lang w:val="en-GB"/>
        </w:rPr>
        <w:t xml:space="preserve">Despite the advantages of focused learning and </w:t>
      </w:r>
      <w:r w:rsidR="003071C4">
        <w:rPr>
          <w:rFonts w:ascii="Helvetica" w:hAnsi="Helvetica"/>
          <w:sz w:val="22"/>
          <w:szCs w:val="22"/>
          <w:lang w:val="en-GB"/>
        </w:rPr>
        <w:t xml:space="preserve">the </w:t>
      </w:r>
      <w:r w:rsidRPr="00A1755E">
        <w:rPr>
          <w:rFonts w:ascii="Helvetica" w:hAnsi="Helvetica"/>
          <w:sz w:val="22"/>
          <w:szCs w:val="22"/>
          <w:lang w:val="en-GB"/>
        </w:rPr>
        <w:t xml:space="preserve">capacity to undergo organisational change, it was </w:t>
      </w:r>
      <w:r w:rsidR="003071C4">
        <w:rPr>
          <w:rFonts w:ascii="Helvetica" w:hAnsi="Helvetica"/>
          <w:sz w:val="22"/>
          <w:szCs w:val="22"/>
          <w:lang w:val="en-GB"/>
        </w:rPr>
        <w:t xml:space="preserve">nevertheless </w:t>
      </w:r>
      <w:r w:rsidRPr="00A1755E">
        <w:rPr>
          <w:rFonts w:ascii="Helvetica" w:hAnsi="Helvetica"/>
          <w:sz w:val="22"/>
          <w:szCs w:val="22"/>
          <w:lang w:val="en-GB"/>
        </w:rPr>
        <w:t>quickly recognised that the delay and cancellation of diagnosis and treatment for non-</w:t>
      </w:r>
      <w:r w:rsidR="003B3C10">
        <w:rPr>
          <w:rFonts w:ascii="Helvetica" w:hAnsi="Helvetica"/>
          <w:sz w:val="22"/>
          <w:szCs w:val="22"/>
          <w:lang w:val="en-GB"/>
        </w:rPr>
        <w:t>Covid19</w:t>
      </w:r>
      <w:r w:rsidRPr="00A1755E">
        <w:rPr>
          <w:rFonts w:ascii="Helvetica" w:hAnsi="Helvetica"/>
          <w:sz w:val="22"/>
          <w:szCs w:val="22"/>
          <w:lang w:val="en-GB"/>
        </w:rPr>
        <w:t xml:space="preserve"> patients could potentially lead to harmful exacerbatio</w:t>
      </w:r>
      <w:r w:rsidR="003071C4">
        <w:rPr>
          <w:rFonts w:ascii="Helvetica" w:hAnsi="Helvetica"/>
          <w:sz w:val="22"/>
          <w:szCs w:val="22"/>
          <w:lang w:val="en-GB"/>
        </w:rPr>
        <w:t>n of</w:t>
      </w:r>
      <w:r w:rsidRPr="00A1755E">
        <w:rPr>
          <w:rFonts w:ascii="Helvetica" w:hAnsi="Helvetica"/>
          <w:sz w:val="22"/>
          <w:szCs w:val="22"/>
          <w:lang w:val="en-GB"/>
        </w:rPr>
        <w:t xml:space="preserve"> the conditions of these patients. As such, the public was encouraged </w:t>
      </w:r>
      <w:r>
        <w:rPr>
          <w:rFonts w:ascii="Helvetica" w:hAnsi="Helvetica"/>
          <w:sz w:val="22"/>
          <w:szCs w:val="22"/>
          <w:lang w:val="en-GB"/>
        </w:rPr>
        <w:t>later in the spring and summer of 2020</w:t>
      </w:r>
      <w:r w:rsidRPr="00A1755E">
        <w:rPr>
          <w:rFonts w:ascii="Helvetica" w:hAnsi="Helvetica"/>
          <w:sz w:val="22"/>
          <w:szCs w:val="22"/>
          <w:lang w:val="en-GB"/>
        </w:rPr>
        <w:t xml:space="preserve"> to make use of emergency services again and non-</w:t>
      </w:r>
      <w:r w:rsidR="003B3C10">
        <w:rPr>
          <w:rFonts w:ascii="Helvetica" w:hAnsi="Helvetica"/>
          <w:sz w:val="22"/>
          <w:szCs w:val="22"/>
          <w:lang w:val="en-GB"/>
        </w:rPr>
        <w:t>Covid19</w:t>
      </w:r>
      <w:r w:rsidRPr="00A1755E">
        <w:rPr>
          <w:rFonts w:ascii="Helvetica" w:hAnsi="Helvetica"/>
          <w:sz w:val="22"/>
          <w:szCs w:val="22"/>
          <w:lang w:val="en-GB"/>
        </w:rPr>
        <w:t xml:space="preserve"> services were </w:t>
      </w:r>
      <w:r w:rsidR="00C600CD">
        <w:rPr>
          <w:rFonts w:ascii="Helvetica" w:hAnsi="Helvetica"/>
          <w:sz w:val="22"/>
          <w:szCs w:val="22"/>
          <w:lang w:val="en-GB"/>
        </w:rPr>
        <w:t>gradually restarted although not reaching pre-</w:t>
      </w:r>
      <w:r w:rsidR="003B3C10">
        <w:rPr>
          <w:rFonts w:ascii="Helvetica" w:hAnsi="Helvetica"/>
          <w:sz w:val="22"/>
          <w:szCs w:val="22"/>
          <w:lang w:val="en-GB"/>
        </w:rPr>
        <w:t>Covid19</w:t>
      </w:r>
      <w:r w:rsidR="00C600CD">
        <w:rPr>
          <w:rFonts w:ascii="Helvetica" w:hAnsi="Helvetica"/>
          <w:sz w:val="22"/>
          <w:szCs w:val="22"/>
          <w:lang w:val="en-GB"/>
        </w:rPr>
        <w:t xml:space="preserve"> baseline levels </w:t>
      </w:r>
      <w:r w:rsidR="003071C4">
        <w:rPr>
          <w:rFonts w:ascii="Helvetica" w:hAnsi="Helvetica"/>
          <w:sz w:val="22"/>
          <w:szCs w:val="22"/>
          <w:lang w:val="en-GB"/>
        </w:rPr>
        <w:t>before</w:t>
      </w:r>
      <w:r w:rsidR="00C600CD">
        <w:rPr>
          <w:rFonts w:ascii="Helvetica" w:hAnsi="Helvetica"/>
          <w:sz w:val="22"/>
          <w:szCs w:val="22"/>
          <w:lang w:val="en-GB"/>
        </w:rPr>
        <w:t xml:space="preserve"> cancellations began again with the beginning of the new year</w:t>
      </w:r>
      <w:r w:rsidR="00C600CD" w:rsidRPr="00A1755E">
        <w:rPr>
          <w:rFonts w:ascii="Helvetica" w:hAnsi="Helvetica"/>
          <w:sz w:val="22"/>
          <w:szCs w:val="22"/>
          <w:lang w:val="en-GB"/>
        </w:rPr>
        <w:t xml:space="preserve">. Simultaneously running </w:t>
      </w:r>
      <w:r w:rsidR="003B3C10">
        <w:rPr>
          <w:rFonts w:ascii="Helvetica" w:hAnsi="Helvetica"/>
          <w:sz w:val="22"/>
          <w:szCs w:val="22"/>
          <w:lang w:val="en-GB"/>
        </w:rPr>
        <w:t>Covid19</w:t>
      </w:r>
      <w:r w:rsidR="00C600CD" w:rsidRPr="00A1755E">
        <w:rPr>
          <w:rFonts w:ascii="Helvetica" w:hAnsi="Helvetica"/>
          <w:sz w:val="22"/>
          <w:szCs w:val="22"/>
          <w:lang w:val="en-GB"/>
        </w:rPr>
        <w:t xml:space="preserve"> care and several services of non-</w:t>
      </w:r>
      <w:r w:rsidR="003B3C10">
        <w:rPr>
          <w:rFonts w:ascii="Helvetica" w:hAnsi="Helvetica"/>
          <w:sz w:val="22"/>
          <w:szCs w:val="22"/>
          <w:lang w:val="en-GB"/>
        </w:rPr>
        <w:t>Covid19</w:t>
      </w:r>
      <w:r w:rsidR="00C600CD" w:rsidRPr="00A1755E">
        <w:rPr>
          <w:rFonts w:ascii="Helvetica" w:hAnsi="Helvetica"/>
          <w:sz w:val="22"/>
          <w:szCs w:val="22"/>
          <w:lang w:val="en-GB"/>
        </w:rPr>
        <w:t xml:space="preserve"> care had significant implications </w:t>
      </w:r>
      <w:r w:rsidR="003071C4">
        <w:rPr>
          <w:rFonts w:ascii="Helvetica" w:hAnsi="Helvetica"/>
          <w:sz w:val="22"/>
          <w:szCs w:val="22"/>
          <w:lang w:val="en-GB"/>
        </w:rPr>
        <w:t>for</w:t>
      </w:r>
      <w:r w:rsidR="00C600CD" w:rsidRPr="00A1755E">
        <w:rPr>
          <w:rFonts w:ascii="Helvetica" w:hAnsi="Helvetica"/>
          <w:sz w:val="22"/>
          <w:szCs w:val="22"/>
          <w:lang w:val="en-GB"/>
        </w:rPr>
        <w:t xml:space="preserve"> the availability of the resources and operationalisation of infection control.</w:t>
      </w:r>
    </w:p>
    <w:p w14:paraId="0560FA8E" w14:textId="77777777" w:rsidR="00C600CD" w:rsidRPr="00A1755E" w:rsidRDefault="00C600CD" w:rsidP="00ED0444">
      <w:pPr>
        <w:spacing w:line="288" w:lineRule="auto"/>
        <w:jc w:val="both"/>
        <w:rPr>
          <w:rFonts w:ascii="Helvetica" w:hAnsi="Helvetica"/>
          <w:sz w:val="22"/>
          <w:szCs w:val="22"/>
          <w:lang w:val="en-GB"/>
        </w:rPr>
      </w:pPr>
    </w:p>
    <w:p w14:paraId="0B9D4CC7" w14:textId="363F3E4F" w:rsidR="00ED0444" w:rsidRPr="00921810" w:rsidRDefault="00ED0444" w:rsidP="00ED0444">
      <w:pPr>
        <w:spacing w:line="288" w:lineRule="auto"/>
        <w:jc w:val="both"/>
        <w:rPr>
          <w:rFonts w:ascii="Helvetica" w:hAnsi="Helvetica"/>
          <w:b/>
          <w:bCs/>
          <w:i/>
          <w:iCs/>
          <w:sz w:val="22"/>
          <w:szCs w:val="22"/>
          <w:lang w:val="en-GB"/>
        </w:rPr>
      </w:pPr>
      <w:r w:rsidRPr="00921810">
        <w:rPr>
          <w:rFonts w:ascii="Helvetica" w:hAnsi="Helvetica"/>
          <w:b/>
          <w:bCs/>
          <w:i/>
          <w:iCs/>
          <w:sz w:val="22"/>
          <w:szCs w:val="22"/>
          <w:lang w:val="en-GB"/>
        </w:rPr>
        <w:t xml:space="preserve">Infection control in focus: resource availability impairing productivity </w:t>
      </w:r>
    </w:p>
    <w:p w14:paraId="4643D513" w14:textId="77777777" w:rsidR="00ED0444" w:rsidRDefault="00ED0444" w:rsidP="00ED0444">
      <w:pPr>
        <w:spacing w:line="288" w:lineRule="auto"/>
        <w:jc w:val="both"/>
        <w:rPr>
          <w:rFonts w:ascii="Helvetica" w:hAnsi="Helvetica"/>
          <w:sz w:val="22"/>
          <w:szCs w:val="22"/>
          <w:lang w:val="en-GB"/>
        </w:rPr>
      </w:pPr>
    </w:p>
    <w:p w14:paraId="2C972046" w14:textId="01D6B12E" w:rsidR="00ED0444" w:rsidRPr="00A1755E" w:rsidRDefault="00ED0444" w:rsidP="00ED0444">
      <w:pPr>
        <w:spacing w:line="288" w:lineRule="auto"/>
        <w:jc w:val="both"/>
        <w:rPr>
          <w:rFonts w:ascii="Helvetica" w:hAnsi="Helvetica"/>
          <w:sz w:val="22"/>
          <w:szCs w:val="22"/>
          <w:lang w:val="en-GB"/>
        </w:rPr>
      </w:pPr>
      <w:r>
        <w:rPr>
          <w:rFonts w:ascii="Helvetica" w:hAnsi="Helvetica"/>
          <w:sz w:val="22"/>
          <w:szCs w:val="22"/>
          <w:lang w:val="en-GB"/>
        </w:rPr>
        <w:t>M</w:t>
      </w:r>
      <w:r w:rsidRPr="00A1755E">
        <w:rPr>
          <w:rFonts w:ascii="Helvetica" w:hAnsi="Helvetica"/>
          <w:sz w:val="22"/>
          <w:szCs w:val="22"/>
          <w:lang w:val="en-GB"/>
        </w:rPr>
        <w:t xml:space="preserve">any of the guidelines that were issued nationally and locally required a reorganisation of clinical pathways and processes affecting operational performance metrics and capacity availability. There are several elements explaining the productivity issues in hospitals during the ongoing </w:t>
      </w:r>
      <w:r w:rsidR="003B3C10">
        <w:rPr>
          <w:rFonts w:ascii="Helvetica" w:hAnsi="Helvetica"/>
          <w:sz w:val="22"/>
          <w:szCs w:val="22"/>
          <w:lang w:val="en-GB"/>
        </w:rPr>
        <w:t>Covid19</w:t>
      </w:r>
      <w:r w:rsidRPr="00A1755E">
        <w:rPr>
          <w:rFonts w:ascii="Helvetica" w:hAnsi="Helvetica"/>
          <w:sz w:val="22"/>
          <w:szCs w:val="22"/>
          <w:lang w:val="en-GB"/>
        </w:rPr>
        <w:t xml:space="preserve"> pandemic flagged up in the interviews</w:t>
      </w:r>
      <w:r w:rsidR="009218F2">
        <w:rPr>
          <w:rFonts w:ascii="Helvetica" w:hAnsi="Helvetica"/>
          <w:sz w:val="22"/>
          <w:szCs w:val="22"/>
          <w:lang w:val="en-GB"/>
        </w:rPr>
        <w:t>.</w:t>
      </w:r>
      <w:r w:rsidRPr="00A1755E">
        <w:rPr>
          <w:rFonts w:ascii="Helvetica" w:hAnsi="Helvetica"/>
          <w:sz w:val="22"/>
          <w:szCs w:val="22"/>
          <w:lang w:val="en-GB"/>
        </w:rPr>
        <w:t xml:space="preserve"> </w:t>
      </w:r>
    </w:p>
    <w:p w14:paraId="3CBDD6D3" w14:textId="77777777" w:rsidR="00ED0444" w:rsidRPr="00A1755E" w:rsidRDefault="00ED0444" w:rsidP="00ED0444">
      <w:pPr>
        <w:spacing w:line="288" w:lineRule="auto"/>
        <w:jc w:val="both"/>
        <w:rPr>
          <w:rFonts w:ascii="Helvetica" w:hAnsi="Helvetica"/>
          <w:sz w:val="22"/>
          <w:szCs w:val="22"/>
          <w:lang w:val="en-GB"/>
        </w:rPr>
      </w:pPr>
    </w:p>
    <w:p w14:paraId="59E73BBC" w14:textId="6123DA20" w:rsidR="00ED0444"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Loss of absolute capacity.</w:t>
      </w:r>
      <w:r w:rsidRPr="00A1755E">
        <w:rPr>
          <w:rFonts w:ascii="Helvetica" w:hAnsi="Helvetica"/>
          <w:b/>
          <w:bCs/>
          <w:sz w:val="22"/>
          <w:szCs w:val="22"/>
          <w:lang w:val="en-GB"/>
        </w:rPr>
        <w:t xml:space="preserve"> </w:t>
      </w:r>
      <w:r w:rsidR="00C600CD">
        <w:rPr>
          <w:rFonts w:ascii="Helvetica" w:hAnsi="Helvetica"/>
          <w:sz w:val="22"/>
          <w:szCs w:val="22"/>
          <w:lang w:val="en-GB"/>
        </w:rPr>
        <w:t>I</w:t>
      </w:r>
      <w:r w:rsidR="00C600CD" w:rsidRPr="00A1755E">
        <w:rPr>
          <w:rFonts w:ascii="Helvetica" w:hAnsi="Helvetica"/>
          <w:sz w:val="22"/>
          <w:szCs w:val="22"/>
          <w:lang w:val="en-GB"/>
        </w:rPr>
        <w:t>nfection-control guidelines demanded social distancing</w:t>
      </w:r>
      <w:r w:rsidR="00C600CD">
        <w:rPr>
          <w:rFonts w:ascii="Helvetica" w:hAnsi="Helvetica"/>
          <w:sz w:val="22"/>
          <w:szCs w:val="22"/>
          <w:lang w:val="en-GB"/>
        </w:rPr>
        <w:t xml:space="preserve"> be practiced in all areas of the hospital. For example, greater distances between beds were required o</w:t>
      </w:r>
      <w:r w:rsidR="00C600CD" w:rsidRPr="00A1755E">
        <w:rPr>
          <w:rFonts w:ascii="Helvetica" w:hAnsi="Helvetica"/>
          <w:sz w:val="22"/>
          <w:szCs w:val="22"/>
          <w:lang w:val="en-GB"/>
        </w:rPr>
        <w:t>n the wards</w:t>
      </w:r>
      <w:r w:rsidR="00C600CD">
        <w:rPr>
          <w:rFonts w:ascii="Helvetica" w:hAnsi="Helvetica"/>
          <w:sz w:val="22"/>
          <w:szCs w:val="22"/>
          <w:lang w:val="en-GB"/>
        </w:rPr>
        <w:t>, to ensure appropriate patient segregation. In addition, some areas were designated for</w:t>
      </w:r>
      <w:r w:rsidR="009218F2">
        <w:rPr>
          <w:rFonts w:ascii="Helvetica" w:hAnsi="Helvetica"/>
          <w:sz w:val="22"/>
          <w:szCs w:val="22"/>
          <w:lang w:val="en-GB"/>
        </w:rPr>
        <w:t xml:space="preserve"> “</w:t>
      </w:r>
      <w:r w:rsidR="00C600CD">
        <w:rPr>
          <w:rFonts w:ascii="Helvetica" w:hAnsi="Helvetica"/>
          <w:sz w:val="22"/>
          <w:szCs w:val="22"/>
          <w:lang w:val="en-GB"/>
        </w:rPr>
        <w:t>donning and doffing” of PPE. This led to</w:t>
      </w:r>
      <w:r w:rsidR="00C600CD" w:rsidRPr="00A1755E">
        <w:rPr>
          <w:rFonts w:ascii="Helvetica" w:hAnsi="Helvetica"/>
          <w:sz w:val="22"/>
          <w:szCs w:val="22"/>
          <w:lang w:val="en-GB"/>
        </w:rPr>
        <w:t xml:space="preserve"> </w:t>
      </w:r>
      <w:r w:rsidR="00C600CD">
        <w:rPr>
          <w:rFonts w:ascii="Helvetica" w:hAnsi="Helvetica"/>
          <w:sz w:val="22"/>
          <w:szCs w:val="22"/>
          <w:lang w:val="en-GB"/>
        </w:rPr>
        <w:t xml:space="preserve">a </w:t>
      </w:r>
      <w:r w:rsidR="00C600CD" w:rsidRPr="00A1755E">
        <w:rPr>
          <w:rFonts w:ascii="Helvetica" w:hAnsi="Helvetica"/>
          <w:sz w:val="22"/>
          <w:szCs w:val="22"/>
          <w:lang w:val="en-GB"/>
        </w:rPr>
        <w:t>significant reduction in</w:t>
      </w:r>
      <w:r w:rsidR="00C600CD">
        <w:rPr>
          <w:rFonts w:ascii="Helvetica" w:hAnsi="Helvetica"/>
          <w:sz w:val="22"/>
          <w:szCs w:val="22"/>
          <w:lang w:val="en-GB"/>
        </w:rPr>
        <w:t xml:space="preserve"> available space and thus</w:t>
      </w:r>
      <w:r w:rsidR="00C600CD" w:rsidRPr="00A1755E">
        <w:rPr>
          <w:rFonts w:ascii="Helvetica" w:hAnsi="Helvetica"/>
          <w:sz w:val="22"/>
          <w:szCs w:val="22"/>
          <w:lang w:val="en-GB"/>
        </w:rPr>
        <w:t xml:space="preserve"> absolute bed capacity.</w:t>
      </w:r>
      <w:r w:rsidR="00C600CD">
        <w:rPr>
          <w:rFonts w:ascii="Helvetica" w:hAnsi="Helvetica"/>
          <w:sz w:val="22"/>
          <w:szCs w:val="22"/>
          <w:lang w:val="en-GB"/>
        </w:rPr>
        <w:t xml:space="preserve"> In these extensive reconfiguration efforts, the </w:t>
      </w:r>
      <w:r w:rsidR="00C600CD" w:rsidRPr="00A1755E">
        <w:rPr>
          <w:rFonts w:ascii="Helvetica" w:hAnsi="Helvetica"/>
          <w:sz w:val="22"/>
          <w:szCs w:val="22"/>
          <w:lang w:val="en-GB"/>
        </w:rPr>
        <w:t>estate was broadly perceived as a primary limiting factor with hospital building layouts not designed for such practices</w:t>
      </w:r>
      <w:r w:rsidRPr="00A1755E">
        <w:rPr>
          <w:rFonts w:ascii="Helvetica" w:hAnsi="Helvetica"/>
          <w:sz w:val="22"/>
          <w:szCs w:val="22"/>
          <w:lang w:val="en-GB"/>
        </w:rPr>
        <w:t>:</w:t>
      </w:r>
    </w:p>
    <w:p w14:paraId="7E690E30" w14:textId="77777777" w:rsidR="00ED0444" w:rsidRDefault="00ED0444" w:rsidP="00ED0444">
      <w:pPr>
        <w:spacing w:line="288" w:lineRule="auto"/>
        <w:jc w:val="both"/>
        <w:rPr>
          <w:rFonts w:ascii="Helvetica" w:hAnsi="Helvetica"/>
          <w:sz w:val="22"/>
          <w:szCs w:val="22"/>
          <w:lang w:val="en-GB"/>
        </w:rPr>
      </w:pPr>
    </w:p>
    <w:p w14:paraId="16EB8865" w14:textId="77777777" w:rsidR="00ED0444" w:rsidRPr="008720F4" w:rsidRDefault="00ED0444" w:rsidP="00ED0444">
      <w:pPr>
        <w:spacing w:line="288" w:lineRule="auto"/>
        <w:jc w:val="both"/>
        <w:rPr>
          <w:rFonts w:ascii="Helvetica" w:hAnsi="Helvetica"/>
          <w:sz w:val="22"/>
          <w:szCs w:val="22"/>
          <w:lang w:val="en-GB"/>
        </w:rPr>
      </w:pPr>
      <w:r w:rsidRPr="00A1755E">
        <w:rPr>
          <w:rFonts w:ascii="Helvetica" w:hAnsi="Helvetica"/>
          <w:i/>
          <w:iCs/>
          <w:sz w:val="22"/>
          <w:szCs w:val="22"/>
          <w:lang w:val="en-GB"/>
        </w:rPr>
        <w:t>“(…) we had a ridiculous time during the escalation of the first wave, when there were only three or four patients in what would normally contain 14 ICU patients. And that's a big impact (…) What we</w:t>
      </w:r>
      <w:r>
        <w:rPr>
          <w:rFonts w:ascii="Helvetica" w:hAnsi="Helvetica"/>
          <w:i/>
          <w:iCs/>
          <w:sz w:val="22"/>
          <w:szCs w:val="22"/>
          <w:lang w:val="en-GB"/>
        </w:rPr>
        <w:t xml:space="preserve"> </w:t>
      </w:r>
      <w:r w:rsidRPr="00A1755E">
        <w:rPr>
          <w:rFonts w:ascii="Helvetica" w:hAnsi="Helvetica"/>
          <w:i/>
          <w:iCs/>
          <w:sz w:val="22"/>
          <w:szCs w:val="22"/>
          <w:lang w:val="en-GB"/>
        </w:rPr>
        <w:t xml:space="preserve">did was we built a wall. We walled off that seven bays so that it could be considered as being geographically distinct from the six bedded </w:t>
      </w:r>
      <w:proofErr w:type="gramStart"/>
      <w:r w:rsidRPr="00A1755E">
        <w:rPr>
          <w:rFonts w:ascii="Helvetica" w:hAnsi="Helvetica"/>
          <w:i/>
          <w:iCs/>
          <w:sz w:val="22"/>
          <w:szCs w:val="22"/>
          <w:lang w:val="en-GB"/>
        </w:rPr>
        <w:t>bay</w:t>
      </w:r>
      <w:proofErr w:type="gramEnd"/>
      <w:r w:rsidRPr="00A1755E">
        <w:rPr>
          <w:rFonts w:ascii="Helvetica" w:hAnsi="Helvetica"/>
          <w:i/>
          <w:iCs/>
          <w:sz w:val="22"/>
          <w:szCs w:val="22"/>
          <w:lang w:val="en-GB"/>
        </w:rPr>
        <w:t xml:space="preserve">”. </w:t>
      </w:r>
    </w:p>
    <w:p w14:paraId="64DC5026" w14:textId="77777777" w:rsidR="00ED0444" w:rsidRPr="00A1755E" w:rsidRDefault="00ED0444" w:rsidP="00ED0444">
      <w:pPr>
        <w:spacing w:line="288" w:lineRule="auto"/>
        <w:jc w:val="both"/>
        <w:rPr>
          <w:rFonts w:ascii="Helvetica" w:hAnsi="Helvetica"/>
          <w:sz w:val="22"/>
          <w:szCs w:val="22"/>
          <w:lang w:val="en-GB"/>
        </w:rPr>
      </w:pPr>
    </w:p>
    <w:p w14:paraId="72FBAA40" w14:textId="094B25CB" w:rsidR="00ED0444" w:rsidRPr="00A1755E"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lastRenderedPageBreak/>
        <w:t>Loss of functional capacity.</w:t>
      </w:r>
      <w:r w:rsidRPr="00A1755E">
        <w:rPr>
          <w:rFonts w:ascii="Helvetica" w:hAnsi="Helvetica"/>
          <w:sz w:val="22"/>
          <w:szCs w:val="22"/>
          <w:lang w:val="en-GB"/>
        </w:rPr>
        <w:t xml:space="preserve"> To ensure patient segregation, hospitals designated wards </w:t>
      </w:r>
      <w:r w:rsidR="009218F2">
        <w:rPr>
          <w:rFonts w:ascii="Helvetica" w:hAnsi="Helvetica"/>
          <w:sz w:val="22"/>
          <w:szCs w:val="22"/>
          <w:lang w:val="en-GB"/>
        </w:rPr>
        <w:t>for</w:t>
      </w:r>
      <w:r w:rsidRPr="00A1755E">
        <w:rPr>
          <w:rFonts w:ascii="Helvetica" w:hAnsi="Helvetica"/>
          <w:sz w:val="22"/>
          <w:szCs w:val="22"/>
          <w:lang w:val="en-GB"/>
        </w:rPr>
        <w:t xml:space="preserve"> different types of patients (</w:t>
      </w:r>
      <w:proofErr w:type="gramStart"/>
      <w:r w:rsidRPr="00A1755E">
        <w:rPr>
          <w:rFonts w:ascii="Helvetica" w:hAnsi="Helvetica"/>
          <w:sz w:val="22"/>
          <w:szCs w:val="22"/>
          <w:lang w:val="en-GB"/>
        </w:rPr>
        <w:t>i.e.</w:t>
      </w:r>
      <w:proofErr w:type="gramEnd"/>
      <w:r w:rsidRPr="00A1755E">
        <w:rPr>
          <w:rFonts w:ascii="Helvetica" w:hAnsi="Helvetica"/>
          <w:sz w:val="22"/>
          <w:szCs w:val="22"/>
          <w:lang w:val="en-GB"/>
        </w:rPr>
        <w:t xml:space="preserve"> </w:t>
      </w:r>
      <w:r w:rsidR="003B3C10">
        <w:rPr>
          <w:rFonts w:ascii="Helvetica" w:hAnsi="Helvetica"/>
          <w:sz w:val="22"/>
          <w:szCs w:val="22"/>
          <w:lang w:val="en-GB"/>
        </w:rPr>
        <w:t>Covid19</w:t>
      </w:r>
      <w:r w:rsidRPr="00A1755E">
        <w:rPr>
          <w:rFonts w:ascii="Helvetica" w:hAnsi="Helvetica"/>
          <w:sz w:val="22"/>
          <w:szCs w:val="22"/>
          <w:lang w:val="en-GB"/>
        </w:rPr>
        <w:t xml:space="preserve"> positive, </w:t>
      </w:r>
      <w:r w:rsidR="003B3C10">
        <w:rPr>
          <w:rFonts w:ascii="Helvetica" w:hAnsi="Helvetica"/>
          <w:sz w:val="22"/>
          <w:szCs w:val="22"/>
          <w:lang w:val="en-GB"/>
        </w:rPr>
        <w:t>Covid19</w:t>
      </w:r>
      <w:r w:rsidRPr="00A1755E">
        <w:rPr>
          <w:rFonts w:ascii="Helvetica" w:hAnsi="Helvetica"/>
          <w:sz w:val="22"/>
          <w:szCs w:val="22"/>
          <w:lang w:val="en-GB"/>
        </w:rPr>
        <w:t xml:space="preserve"> negative, </w:t>
      </w:r>
      <w:r w:rsidR="003B3C10">
        <w:rPr>
          <w:rFonts w:ascii="Helvetica" w:hAnsi="Helvetica"/>
          <w:sz w:val="22"/>
          <w:szCs w:val="22"/>
          <w:lang w:val="en-GB"/>
        </w:rPr>
        <w:t>Covid19</w:t>
      </w:r>
      <w:r w:rsidRPr="00A1755E">
        <w:rPr>
          <w:rFonts w:ascii="Helvetica" w:hAnsi="Helvetica"/>
          <w:sz w:val="22"/>
          <w:szCs w:val="22"/>
          <w:lang w:val="en-GB"/>
        </w:rPr>
        <w:t xml:space="preserve"> susceptible) limiting their flexibility in bed allocation. An outbreak in an intentionally </w:t>
      </w:r>
      <w:r w:rsidR="003B3C10">
        <w:rPr>
          <w:rFonts w:ascii="Helvetica" w:hAnsi="Helvetica"/>
          <w:sz w:val="22"/>
          <w:szCs w:val="22"/>
          <w:lang w:val="en-GB"/>
        </w:rPr>
        <w:t>Covid19</w:t>
      </w:r>
      <w:r w:rsidRPr="00A1755E">
        <w:rPr>
          <w:rFonts w:ascii="Helvetica" w:hAnsi="Helvetica"/>
          <w:sz w:val="22"/>
          <w:szCs w:val="22"/>
          <w:lang w:val="en-GB"/>
        </w:rPr>
        <w:t xml:space="preserve">-free ward could thus cause a sudden drop in available bed capacity. Patients would be required to get tested and potentially moved to other areas in the hospital while an additional cleaning demand during times of already extraordinary cleaning </w:t>
      </w:r>
      <w:r w:rsidR="009218F2">
        <w:rPr>
          <w:rFonts w:ascii="Helvetica" w:hAnsi="Helvetica"/>
          <w:sz w:val="22"/>
          <w:szCs w:val="22"/>
          <w:lang w:val="en-GB"/>
        </w:rPr>
        <w:t>requirements</w:t>
      </w:r>
      <w:r w:rsidRPr="00A1755E">
        <w:rPr>
          <w:rFonts w:ascii="Helvetica" w:hAnsi="Helvetica"/>
          <w:sz w:val="22"/>
          <w:szCs w:val="22"/>
          <w:lang w:val="en-GB"/>
        </w:rPr>
        <w:t xml:space="preserve"> would be created</w:t>
      </w:r>
      <w:r w:rsidR="009218F2">
        <w:rPr>
          <w:rFonts w:ascii="Helvetica" w:hAnsi="Helvetica"/>
          <w:sz w:val="22"/>
          <w:szCs w:val="22"/>
          <w:lang w:val="en-GB"/>
        </w:rPr>
        <w:t xml:space="preserve">, </w:t>
      </w:r>
      <w:r w:rsidRPr="00A1755E">
        <w:rPr>
          <w:rFonts w:ascii="Helvetica" w:hAnsi="Helvetica"/>
          <w:sz w:val="22"/>
          <w:szCs w:val="22"/>
          <w:lang w:val="en-GB"/>
        </w:rPr>
        <w:t xml:space="preserve">rendering wards not usable for an unforeseeable </w:t>
      </w:r>
      <w:r>
        <w:rPr>
          <w:rFonts w:ascii="Helvetica" w:hAnsi="Helvetica"/>
          <w:sz w:val="22"/>
          <w:szCs w:val="22"/>
          <w:lang w:val="en-GB"/>
        </w:rPr>
        <w:t>period of time</w:t>
      </w:r>
      <w:r w:rsidRPr="00A1755E">
        <w:rPr>
          <w:rFonts w:ascii="Helvetica" w:hAnsi="Helvetica"/>
          <w:sz w:val="22"/>
          <w:szCs w:val="22"/>
          <w:lang w:val="en-GB"/>
        </w:rPr>
        <w:t xml:space="preserve">. </w:t>
      </w:r>
    </w:p>
    <w:p w14:paraId="3BBF6165" w14:textId="77777777" w:rsidR="00ED0444" w:rsidRPr="00A1755E" w:rsidRDefault="00ED0444" w:rsidP="00ED0444">
      <w:pPr>
        <w:spacing w:line="288" w:lineRule="auto"/>
        <w:jc w:val="both"/>
        <w:rPr>
          <w:rFonts w:ascii="Helvetica" w:hAnsi="Helvetica"/>
          <w:sz w:val="22"/>
          <w:szCs w:val="22"/>
          <w:lang w:val="en-GB"/>
        </w:rPr>
      </w:pPr>
    </w:p>
    <w:p w14:paraId="38083B2E" w14:textId="2F3EF3AA" w:rsidR="00ED0444" w:rsidRPr="00A1755E"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Limited planning capability</w:t>
      </w:r>
      <w:r w:rsidRPr="00ED0444">
        <w:rPr>
          <w:rFonts w:ascii="Helvetica" w:hAnsi="Helvetica"/>
          <w:i/>
          <w:iCs/>
          <w:sz w:val="22"/>
          <w:szCs w:val="22"/>
          <w:lang w:val="en-GB"/>
        </w:rPr>
        <w:t>.</w:t>
      </w:r>
      <w:r w:rsidRPr="00A1755E">
        <w:rPr>
          <w:rFonts w:ascii="Helvetica" w:hAnsi="Helvetica"/>
          <w:b/>
          <w:bCs/>
          <w:sz w:val="22"/>
          <w:szCs w:val="22"/>
          <w:lang w:val="en-GB"/>
        </w:rPr>
        <w:t xml:space="preserve"> </w:t>
      </w:r>
      <w:r w:rsidRPr="00A1755E">
        <w:rPr>
          <w:rFonts w:ascii="Helvetica" w:hAnsi="Helvetica"/>
          <w:sz w:val="22"/>
          <w:szCs w:val="22"/>
          <w:lang w:val="en-GB"/>
        </w:rPr>
        <w:t xml:space="preserve">While </w:t>
      </w:r>
      <w:r>
        <w:rPr>
          <w:rFonts w:ascii="Helvetica" w:hAnsi="Helvetica"/>
          <w:sz w:val="22"/>
          <w:szCs w:val="22"/>
          <w:lang w:val="en-GB"/>
        </w:rPr>
        <w:t xml:space="preserve">guidelines </w:t>
      </w:r>
      <w:r w:rsidRPr="00A1755E">
        <w:rPr>
          <w:rFonts w:ascii="Helvetica" w:hAnsi="Helvetica"/>
          <w:sz w:val="22"/>
          <w:szCs w:val="22"/>
          <w:lang w:val="en-GB"/>
        </w:rPr>
        <w:t>were regularly updated</w:t>
      </w:r>
      <w:r w:rsidR="009218F2">
        <w:rPr>
          <w:rFonts w:ascii="Helvetica" w:hAnsi="Helvetica"/>
          <w:sz w:val="22"/>
          <w:szCs w:val="22"/>
          <w:lang w:val="en-GB"/>
        </w:rPr>
        <w:t>,</w:t>
      </w:r>
      <w:r w:rsidRPr="00A1755E">
        <w:rPr>
          <w:rFonts w:ascii="Helvetica" w:hAnsi="Helvetica"/>
          <w:sz w:val="22"/>
          <w:szCs w:val="22"/>
          <w:lang w:val="en-GB"/>
        </w:rPr>
        <w:t xml:space="preserve"> and sometimes conflicting, </w:t>
      </w:r>
      <w:r>
        <w:rPr>
          <w:rFonts w:ascii="Helvetica" w:hAnsi="Helvetica"/>
          <w:sz w:val="22"/>
          <w:szCs w:val="22"/>
          <w:lang w:val="en-GB"/>
        </w:rPr>
        <w:t>little room</w:t>
      </w:r>
      <w:r w:rsidRPr="00A1755E">
        <w:rPr>
          <w:rFonts w:ascii="Helvetica" w:hAnsi="Helvetica"/>
          <w:sz w:val="22"/>
          <w:szCs w:val="22"/>
          <w:lang w:val="en-GB"/>
        </w:rPr>
        <w:t xml:space="preserve"> </w:t>
      </w:r>
      <w:r>
        <w:rPr>
          <w:rFonts w:ascii="Helvetica" w:hAnsi="Helvetica"/>
          <w:sz w:val="22"/>
          <w:szCs w:val="22"/>
          <w:lang w:val="en-GB"/>
        </w:rPr>
        <w:t>was provided</w:t>
      </w:r>
      <w:r w:rsidRPr="00A1755E">
        <w:rPr>
          <w:rFonts w:ascii="Helvetica" w:hAnsi="Helvetica"/>
          <w:sz w:val="22"/>
          <w:szCs w:val="22"/>
          <w:lang w:val="en-GB"/>
        </w:rPr>
        <w:t xml:space="preserve"> for staff to synthesize, interpret and translate information into actionable operational processes that were both feasible and comprehensive for staff and patients. </w:t>
      </w:r>
      <w:r w:rsidR="00C600CD">
        <w:rPr>
          <w:rFonts w:ascii="Helvetica" w:hAnsi="Helvetica"/>
          <w:sz w:val="22"/>
          <w:szCs w:val="22"/>
          <w:lang w:val="en-GB"/>
        </w:rPr>
        <w:t>The informational instability created more-than-necessary caution among operational staff impairing planning capabilities, especially for patients in surgical services</w:t>
      </w:r>
      <w:r w:rsidRPr="00A1755E">
        <w:rPr>
          <w:rFonts w:ascii="Helvetica" w:hAnsi="Helvetica"/>
          <w:sz w:val="22"/>
          <w:szCs w:val="22"/>
          <w:lang w:val="en-GB"/>
        </w:rPr>
        <w:t xml:space="preserve">:    </w:t>
      </w:r>
    </w:p>
    <w:p w14:paraId="2ED3253C" w14:textId="77777777" w:rsidR="00ED0444" w:rsidRPr="00A1755E" w:rsidRDefault="00ED0444" w:rsidP="00ED0444">
      <w:pPr>
        <w:spacing w:line="288" w:lineRule="auto"/>
        <w:jc w:val="both"/>
        <w:rPr>
          <w:rFonts w:ascii="Helvetica" w:hAnsi="Helvetica"/>
          <w:sz w:val="22"/>
          <w:szCs w:val="22"/>
          <w:lang w:val="en-GB"/>
        </w:rPr>
      </w:pPr>
    </w:p>
    <w:p w14:paraId="75483A3F" w14:textId="1D1695F4" w:rsidR="00ED0444" w:rsidRPr="00A1755E" w:rsidRDefault="00ED0444" w:rsidP="00ED0444">
      <w:pPr>
        <w:spacing w:line="288" w:lineRule="auto"/>
        <w:jc w:val="both"/>
        <w:rPr>
          <w:rFonts w:ascii="Helvetica" w:hAnsi="Helvetica"/>
          <w:i/>
          <w:iCs/>
          <w:sz w:val="22"/>
          <w:szCs w:val="22"/>
          <w:lang w:val="en-GB"/>
        </w:rPr>
      </w:pPr>
      <w:r w:rsidRPr="00A1755E">
        <w:rPr>
          <w:rFonts w:ascii="Helvetica" w:hAnsi="Helvetica"/>
          <w:i/>
          <w:iCs/>
          <w:sz w:val="22"/>
          <w:szCs w:val="22"/>
          <w:lang w:val="en-GB"/>
        </w:rPr>
        <w:t>“Should we isolate a patient for 14 days? And then it was 3 days, but some surgeons might want to keep 14 days if they’re having the big cancer cases. And then, patients are then confused what did that mean for their families, so did the whole household have to isolate? (…) And at the beginning, PPE changed so constantly, very difficult to operationalize</w:t>
      </w:r>
      <w:r w:rsidR="009218F2">
        <w:rPr>
          <w:rFonts w:ascii="Helvetica" w:hAnsi="Helvetica"/>
          <w:i/>
          <w:iCs/>
          <w:sz w:val="22"/>
          <w:szCs w:val="22"/>
          <w:lang w:val="en-GB"/>
        </w:rPr>
        <w:t>.</w:t>
      </w:r>
      <w:r w:rsidRPr="00A1755E">
        <w:rPr>
          <w:rFonts w:ascii="Helvetica" w:hAnsi="Helvetica"/>
          <w:i/>
          <w:iCs/>
          <w:sz w:val="22"/>
          <w:szCs w:val="22"/>
          <w:lang w:val="en-GB"/>
        </w:rPr>
        <w:t xml:space="preserve">” </w:t>
      </w:r>
    </w:p>
    <w:p w14:paraId="6EEF7FB7" w14:textId="77777777" w:rsidR="00ED0444" w:rsidRPr="00A1755E" w:rsidRDefault="00ED0444" w:rsidP="00ED0444">
      <w:pPr>
        <w:spacing w:line="288" w:lineRule="auto"/>
        <w:jc w:val="both"/>
        <w:rPr>
          <w:rFonts w:ascii="Helvetica" w:hAnsi="Helvetica"/>
          <w:sz w:val="22"/>
          <w:szCs w:val="22"/>
          <w:lang w:val="en-GB"/>
        </w:rPr>
      </w:pPr>
    </w:p>
    <w:p w14:paraId="750380FE" w14:textId="419F2CE5" w:rsidR="00ED0444"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Non-availability of staff.</w:t>
      </w:r>
      <w:r w:rsidRPr="00A1755E">
        <w:rPr>
          <w:rFonts w:ascii="Helvetica" w:hAnsi="Helvetica"/>
          <w:i/>
          <w:iCs/>
          <w:sz w:val="22"/>
          <w:szCs w:val="22"/>
          <w:lang w:val="en-GB"/>
        </w:rPr>
        <w:t xml:space="preserve"> </w:t>
      </w:r>
      <w:r>
        <w:rPr>
          <w:rFonts w:ascii="Helvetica" w:hAnsi="Helvetica"/>
          <w:sz w:val="22"/>
          <w:szCs w:val="22"/>
          <w:lang w:val="en-GB"/>
        </w:rPr>
        <w:t>Over time, hospitals went from “being massively overstaffed to being massively understaffed”. Populating non-</w:t>
      </w:r>
      <w:r w:rsidR="003B3C10">
        <w:rPr>
          <w:rFonts w:ascii="Helvetica" w:hAnsi="Helvetica"/>
          <w:sz w:val="22"/>
          <w:szCs w:val="22"/>
          <w:lang w:val="en-GB"/>
        </w:rPr>
        <w:t>Covid19</w:t>
      </w:r>
      <w:r>
        <w:rPr>
          <w:rFonts w:ascii="Helvetica" w:hAnsi="Helvetica"/>
          <w:sz w:val="22"/>
          <w:szCs w:val="22"/>
          <w:lang w:val="en-GB"/>
        </w:rPr>
        <w:t xml:space="preserve"> services with staff after significant redeployment required </w:t>
      </w:r>
      <w:r w:rsidR="009218F2">
        <w:rPr>
          <w:rFonts w:ascii="Helvetica" w:hAnsi="Helvetica"/>
          <w:sz w:val="22"/>
          <w:szCs w:val="22"/>
          <w:lang w:val="en-GB"/>
        </w:rPr>
        <w:t>another</w:t>
      </w:r>
      <w:r>
        <w:rPr>
          <w:rFonts w:ascii="Helvetica" w:hAnsi="Helvetica"/>
          <w:sz w:val="22"/>
          <w:szCs w:val="22"/>
          <w:lang w:val="en-GB"/>
        </w:rPr>
        <w:t xml:space="preserve"> reorganisation of team structures and adjustment of rotas. This proved a difficult endeavour in multiple </w:t>
      </w:r>
      <w:r w:rsidR="009218F2">
        <w:rPr>
          <w:rFonts w:ascii="Helvetica" w:hAnsi="Helvetica"/>
          <w:sz w:val="22"/>
          <w:szCs w:val="22"/>
          <w:lang w:val="en-GB"/>
        </w:rPr>
        <w:t>way</w:t>
      </w:r>
      <w:r>
        <w:rPr>
          <w:rFonts w:ascii="Helvetica" w:hAnsi="Helvetica"/>
          <w:sz w:val="22"/>
          <w:szCs w:val="22"/>
          <w:lang w:val="en-GB"/>
        </w:rPr>
        <w:t xml:space="preserve">s. Based on a risk assessment of their morbidity, certain members of staff were limited to work in specific areas of the hospitals only. With a higher prevalence of </w:t>
      </w:r>
      <w:r w:rsidR="003B3C10">
        <w:rPr>
          <w:rFonts w:ascii="Helvetica" w:hAnsi="Helvetica"/>
          <w:sz w:val="22"/>
          <w:szCs w:val="22"/>
          <w:lang w:val="en-GB"/>
        </w:rPr>
        <w:t>Covid19</w:t>
      </w:r>
      <w:r>
        <w:rPr>
          <w:rFonts w:ascii="Helvetica" w:hAnsi="Helvetica"/>
          <w:sz w:val="22"/>
          <w:szCs w:val="22"/>
          <w:lang w:val="en-GB"/>
        </w:rPr>
        <w:t xml:space="preserve"> within and outside the hospital with the onset of a second wave, a higher percentage of </w:t>
      </w:r>
      <w:r w:rsidR="009218F2">
        <w:rPr>
          <w:rFonts w:ascii="Helvetica" w:hAnsi="Helvetica"/>
          <w:sz w:val="22"/>
          <w:szCs w:val="22"/>
          <w:lang w:val="en-GB"/>
        </w:rPr>
        <w:t xml:space="preserve">the </w:t>
      </w:r>
      <w:r>
        <w:rPr>
          <w:rFonts w:ascii="Helvetica" w:hAnsi="Helvetica"/>
          <w:sz w:val="22"/>
          <w:szCs w:val="22"/>
          <w:lang w:val="en-GB"/>
        </w:rPr>
        <w:t xml:space="preserve">overall workforce became infected or needed to self-isolate. In addition, an undoubtedly substantial effect on staff availability </w:t>
      </w:r>
      <w:r w:rsidR="009218F2">
        <w:rPr>
          <w:rFonts w:ascii="Helvetica" w:hAnsi="Helvetica"/>
          <w:sz w:val="22"/>
          <w:szCs w:val="22"/>
          <w:lang w:val="en-GB"/>
        </w:rPr>
        <w:t>was</w:t>
      </w:r>
      <w:r>
        <w:rPr>
          <w:rFonts w:ascii="Helvetica" w:hAnsi="Helvetica"/>
          <w:sz w:val="22"/>
          <w:szCs w:val="22"/>
          <w:lang w:val="en-GB"/>
        </w:rPr>
        <w:t xml:space="preserve"> the continuous exposure to pressure, change and </w:t>
      </w:r>
      <w:r w:rsidR="009218F2">
        <w:rPr>
          <w:rFonts w:ascii="Helvetica" w:hAnsi="Helvetica"/>
          <w:sz w:val="22"/>
          <w:szCs w:val="22"/>
          <w:lang w:val="en-GB"/>
        </w:rPr>
        <w:t>ambiguous</w:t>
      </w:r>
      <w:r>
        <w:rPr>
          <w:rFonts w:ascii="Helvetica" w:hAnsi="Helvetica"/>
          <w:sz w:val="22"/>
          <w:szCs w:val="22"/>
          <w:lang w:val="en-GB"/>
        </w:rPr>
        <w:t xml:space="preserve"> timelines</w:t>
      </w:r>
      <w:r w:rsidR="009218F2">
        <w:rPr>
          <w:rFonts w:ascii="Helvetica" w:hAnsi="Helvetica"/>
          <w:sz w:val="22"/>
          <w:szCs w:val="22"/>
          <w:lang w:val="en-GB"/>
        </w:rPr>
        <w:t>,</w:t>
      </w:r>
      <w:r>
        <w:rPr>
          <w:rFonts w:ascii="Helvetica" w:hAnsi="Helvetica"/>
          <w:sz w:val="22"/>
          <w:szCs w:val="22"/>
          <w:lang w:val="en-GB"/>
        </w:rPr>
        <w:t xml:space="preserve"> </w:t>
      </w:r>
      <w:r w:rsidR="009218F2">
        <w:rPr>
          <w:rFonts w:ascii="Helvetica" w:hAnsi="Helvetica"/>
          <w:sz w:val="22"/>
          <w:szCs w:val="22"/>
          <w:lang w:val="en-GB"/>
        </w:rPr>
        <w:t>with adverse</w:t>
      </w:r>
      <w:r>
        <w:rPr>
          <w:rFonts w:ascii="Helvetica" w:hAnsi="Helvetica"/>
          <w:sz w:val="22"/>
          <w:szCs w:val="22"/>
          <w:lang w:val="en-GB"/>
        </w:rPr>
        <w:t xml:space="preserve"> mental and physical consequences among frontline staff. </w:t>
      </w:r>
      <w:r w:rsidR="00C600CD">
        <w:rPr>
          <w:rFonts w:ascii="Helvetica" w:hAnsi="Helvetica"/>
          <w:sz w:val="22"/>
          <w:szCs w:val="22"/>
          <w:lang w:val="en-GB"/>
        </w:rPr>
        <w:t>The additional staff being sent to critical care w</w:t>
      </w:r>
      <w:r w:rsidR="009218F2">
        <w:rPr>
          <w:rFonts w:ascii="Helvetica" w:hAnsi="Helvetica"/>
          <w:sz w:val="22"/>
          <w:szCs w:val="22"/>
          <w:lang w:val="en-GB"/>
        </w:rPr>
        <w:t>ere</w:t>
      </w:r>
      <w:r w:rsidR="00C600CD">
        <w:rPr>
          <w:rFonts w:ascii="Helvetica" w:hAnsi="Helvetica"/>
          <w:sz w:val="22"/>
          <w:szCs w:val="22"/>
          <w:lang w:val="en-GB"/>
        </w:rPr>
        <w:t xml:space="preserve"> often not trained for the assigned roles and</w:t>
      </w:r>
      <w:r w:rsidR="009218F2">
        <w:rPr>
          <w:rFonts w:ascii="Helvetica" w:hAnsi="Helvetica"/>
          <w:sz w:val="22"/>
          <w:szCs w:val="22"/>
          <w:lang w:val="en-GB"/>
        </w:rPr>
        <w:t>,</w:t>
      </w:r>
      <w:r w:rsidR="00C600CD">
        <w:rPr>
          <w:rFonts w:ascii="Helvetica" w:hAnsi="Helvetica"/>
          <w:sz w:val="22"/>
          <w:szCs w:val="22"/>
          <w:lang w:val="en-GB"/>
        </w:rPr>
        <w:t xml:space="preserve"> while often helpful for some tasks, </w:t>
      </w:r>
      <w:r w:rsidR="009218F2">
        <w:rPr>
          <w:rFonts w:ascii="Helvetica" w:hAnsi="Helvetica"/>
          <w:sz w:val="22"/>
          <w:szCs w:val="22"/>
          <w:lang w:val="en-GB"/>
        </w:rPr>
        <w:t xml:space="preserve">this </w:t>
      </w:r>
      <w:r w:rsidR="00C600CD">
        <w:rPr>
          <w:rFonts w:ascii="Helvetica" w:hAnsi="Helvetica"/>
          <w:sz w:val="22"/>
          <w:szCs w:val="22"/>
          <w:lang w:val="en-GB"/>
        </w:rPr>
        <w:t>created more pressure on the ICU nurses</w:t>
      </w:r>
      <w:r w:rsidR="009218F2">
        <w:rPr>
          <w:rFonts w:ascii="Helvetica" w:hAnsi="Helvetica"/>
          <w:sz w:val="22"/>
          <w:szCs w:val="22"/>
          <w:lang w:val="en-GB"/>
        </w:rPr>
        <w:t xml:space="preserve"> who had</w:t>
      </w:r>
      <w:r w:rsidR="00C600CD">
        <w:rPr>
          <w:rFonts w:ascii="Helvetica" w:hAnsi="Helvetica"/>
          <w:sz w:val="22"/>
          <w:szCs w:val="22"/>
          <w:lang w:val="en-GB"/>
        </w:rPr>
        <w:t xml:space="preserve"> to repeatedly train up incoming ward nurses. The following interview excerpt gives insight into the situation of staff deployed to critical care</w:t>
      </w:r>
      <w:r>
        <w:rPr>
          <w:rFonts w:ascii="Helvetica" w:hAnsi="Helvetica"/>
          <w:sz w:val="22"/>
          <w:szCs w:val="22"/>
          <w:lang w:val="en-GB"/>
        </w:rPr>
        <w:t xml:space="preserve">:  </w:t>
      </w:r>
    </w:p>
    <w:p w14:paraId="227897AC" w14:textId="77777777" w:rsidR="00ED0444" w:rsidRDefault="00ED0444" w:rsidP="00ED0444">
      <w:pPr>
        <w:spacing w:line="288" w:lineRule="auto"/>
        <w:jc w:val="both"/>
        <w:rPr>
          <w:rFonts w:ascii="Helvetica" w:hAnsi="Helvetica"/>
          <w:sz w:val="22"/>
          <w:szCs w:val="22"/>
          <w:lang w:val="en-GB"/>
        </w:rPr>
      </w:pPr>
    </w:p>
    <w:p w14:paraId="075F5DA8" w14:textId="098E9E63" w:rsidR="00ED0444" w:rsidRPr="00A1755E" w:rsidRDefault="00ED0444" w:rsidP="00ED0444">
      <w:pPr>
        <w:spacing w:line="288" w:lineRule="auto"/>
        <w:jc w:val="both"/>
        <w:rPr>
          <w:rFonts w:ascii="Helvetica" w:hAnsi="Helvetica"/>
          <w:i/>
          <w:iCs/>
          <w:sz w:val="22"/>
          <w:szCs w:val="22"/>
          <w:lang w:val="en-GB"/>
        </w:rPr>
      </w:pPr>
      <w:r>
        <w:rPr>
          <w:rFonts w:ascii="Helvetica" w:hAnsi="Helvetica"/>
          <w:i/>
          <w:iCs/>
          <w:sz w:val="22"/>
          <w:szCs w:val="22"/>
          <w:lang w:val="en-GB"/>
        </w:rPr>
        <w:t>“F</w:t>
      </w:r>
      <w:r w:rsidRPr="00A7154D">
        <w:rPr>
          <w:rFonts w:ascii="Helvetica" w:hAnsi="Helvetica" w:hint="eastAsia"/>
          <w:i/>
          <w:iCs/>
          <w:sz w:val="22"/>
          <w:szCs w:val="22"/>
          <w:lang w:val="en-GB"/>
        </w:rPr>
        <w:t xml:space="preserve">or example, one of </w:t>
      </w:r>
      <w:r>
        <w:rPr>
          <w:rFonts w:ascii="Helvetica" w:hAnsi="Helvetica"/>
          <w:i/>
          <w:iCs/>
          <w:sz w:val="22"/>
          <w:szCs w:val="22"/>
          <w:lang w:val="en-GB"/>
        </w:rPr>
        <w:t>their</w:t>
      </w:r>
      <w:r w:rsidRPr="00A7154D">
        <w:rPr>
          <w:rFonts w:ascii="Helvetica" w:hAnsi="Helvetica" w:hint="eastAsia"/>
          <w:i/>
          <w:iCs/>
          <w:sz w:val="22"/>
          <w:szCs w:val="22"/>
          <w:lang w:val="en-GB"/>
        </w:rPr>
        <w:t xml:space="preserve"> theatres, the day surgery theatres</w:t>
      </w:r>
      <w:r>
        <w:rPr>
          <w:rFonts w:ascii="Helvetica" w:hAnsi="Helvetica"/>
          <w:i/>
          <w:iCs/>
          <w:sz w:val="22"/>
          <w:szCs w:val="22"/>
          <w:lang w:val="en-GB"/>
        </w:rPr>
        <w:t xml:space="preserve"> (…)</w:t>
      </w:r>
      <w:r w:rsidRPr="00A7154D">
        <w:rPr>
          <w:rFonts w:ascii="Helvetica" w:hAnsi="Helvetica" w:hint="eastAsia"/>
          <w:i/>
          <w:iCs/>
          <w:sz w:val="22"/>
          <w:szCs w:val="22"/>
          <w:lang w:val="en-GB"/>
        </w:rPr>
        <w:t xml:space="preserve"> sen</w:t>
      </w:r>
      <w:r>
        <w:rPr>
          <w:rFonts w:ascii="Helvetica" w:hAnsi="Helvetica"/>
          <w:i/>
          <w:iCs/>
          <w:sz w:val="22"/>
          <w:szCs w:val="22"/>
          <w:lang w:val="en-GB"/>
        </w:rPr>
        <w:t>t</w:t>
      </w:r>
      <w:r w:rsidRPr="00A7154D">
        <w:rPr>
          <w:rFonts w:ascii="Helvetica" w:hAnsi="Helvetica" w:hint="eastAsia"/>
          <w:i/>
          <w:iCs/>
          <w:sz w:val="22"/>
          <w:szCs w:val="22"/>
          <w:lang w:val="en-GB"/>
        </w:rPr>
        <w:t xml:space="preserve"> us</w:t>
      </w:r>
      <w:r>
        <w:rPr>
          <w:rFonts w:ascii="Helvetica" w:hAnsi="Helvetica"/>
          <w:i/>
          <w:iCs/>
          <w:sz w:val="22"/>
          <w:szCs w:val="22"/>
          <w:lang w:val="en-GB"/>
        </w:rPr>
        <w:t xml:space="preserve"> [critical care]</w:t>
      </w:r>
      <w:r w:rsidRPr="00A7154D">
        <w:rPr>
          <w:rFonts w:ascii="Helvetica" w:hAnsi="Helvetica" w:hint="eastAsia"/>
          <w:i/>
          <w:iCs/>
          <w:sz w:val="22"/>
          <w:szCs w:val="22"/>
          <w:lang w:val="en-GB"/>
        </w:rPr>
        <w:t xml:space="preserve"> staff. </w:t>
      </w:r>
      <w:r>
        <w:rPr>
          <w:rFonts w:ascii="Helvetica" w:hAnsi="Helvetica"/>
          <w:i/>
          <w:iCs/>
          <w:sz w:val="22"/>
          <w:szCs w:val="22"/>
          <w:lang w:val="en-GB"/>
        </w:rPr>
        <w:t>(…)</w:t>
      </w:r>
      <w:r w:rsidRPr="00A7154D">
        <w:rPr>
          <w:rFonts w:ascii="Helvetica" w:hAnsi="Helvetica" w:hint="eastAsia"/>
          <w:i/>
          <w:iCs/>
          <w:sz w:val="22"/>
          <w:szCs w:val="22"/>
          <w:lang w:val="en-GB"/>
        </w:rPr>
        <w:t xml:space="preserve"> </w:t>
      </w:r>
      <w:r>
        <w:rPr>
          <w:rFonts w:ascii="Helvetica" w:hAnsi="Helvetica"/>
          <w:i/>
          <w:iCs/>
          <w:sz w:val="22"/>
          <w:szCs w:val="22"/>
          <w:lang w:val="en-GB"/>
        </w:rPr>
        <w:t>T</w:t>
      </w:r>
      <w:r w:rsidRPr="00A7154D">
        <w:rPr>
          <w:rFonts w:ascii="Helvetica" w:hAnsi="Helvetica" w:hint="eastAsia"/>
          <w:i/>
          <w:iCs/>
          <w:sz w:val="22"/>
          <w:szCs w:val="22"/>
          <w:lang w:val="en-GB"/>
        </w:rPr>
        <w:t>hey've struggled with the exposure to patients that they would never be exposed to normally</w:t>
      </w:r>
      <w:r>
        <w:rPr>
          <w:rFonts w:ascii="Helvetica" w:hAnsi="Helvetica"/>
          <w:i/>
          <w:iCs/>
          <w:sz w:val="22"/>
          <w:szCs w:val="22"/>
          <w:lang w:val="en-GB"/>
        </w:rPr>
        <w:t xml:space="preserve"> (…) Y</w:t>
      </w:r>
      <w:r w:rsidRPr="009954BA">
        <w:rPr>
          <w:rFonts w:ascii="Helvetica" w:hAnsi="Helvetica" w:hint="eastAsia"/>
          <w:i/>
          <w:iCs/>
          <w:sz w:val="22"/>
          <w:szCs w:val="22"/>
          <w:lang w:val="en-GB"/>
        </w:rPr>
        <w:t>ou don't anticipate that you're going to have to</w:t>
      </w:r>
      <w:r>
        <w:rPr>
          <w:rFonts w:ascii="Helvetica" w:hAnsi="Helvetica"/>
          <w:i/>
          <w:iCs/>
          <w:sz w:val="22"/>
          <w:szCs w:val="22"/>
          <w:lang w:val="en-GB"/>
        </w:rPr>
        <w:t xml:space="preserve"> </w:t>
      </w:r>
      <w:r w:rsidRPr="009954BA">
        <w:rPr>
          <w:rFonts w:ascii="Helvetica" w:hAnsi="Helvetica" w:hint="eastAsia"/>
          <w:i/>
          <w:iCs/>
          <w:sz w:val="22"/>
          <w:szCs w:val="22"/>
          <w:lang w:val="en-GB"/>
        </w:rPr>
        <w:t>provide last rites to a patient</w:t>
      </w:r>
      <w:r>
        <w:rPr>
          <w:rFonts w:ascii="Helvetica" w:hAnsi="Helvetica"/>
          <w:i/>
          <w:iCs/>
          <w:sz w:val="22"/>
          <w:szCs w:val="22"/>
          <w:lang w:val="en-GB"/>
        </w:rPr>
        <w:t xml:space="preserve"> and (…)</w:t>
      </w:r>
      <w:r w:rsidRPr="009954BA">
        <w:rPr>
          <w:rFonts w:ascii="Helvetica" w:hAnsi="Helvetica" w:hint="eastAsia"/>
          <w:i/>
          <w:iCs/>
          <w:sz w:val="22"/>
          <w:szCs w:val="22"/>
          <w:lang w:val="en-GB"/>
        </w:rPr>
        <w:t xml:space="preserve"> send them to the mortuary</w:t>
      </w:r>
      <w:r w:rsidR="009218F2">
        <w:rPr>
          <w:rFonts w:ascii="Helvetica" w:hAnsi="Helvetica"/>
          <w:i/>
          <w:iCs/>
          <w:sz w:val="22"/>
          <w:szCs w:val="22"/>
          <w:lang w:val="en-GB"/>
        </w:rPr>
        <w:t>.</w:t>
      </w:r>
      <w:r>
        <w:rPr>
          <w:rFonts w:ascii="Helvetica" w:hAnsi="Helvetica"/>
          <w:i/>
          <w:iCs/>
          <w:sz w:val="22"/>
          <w:szCs w:val="22"/>
          <w:lang w:val="en-GB"/>
        </w:rPr>
        <w:t xml:space="preserve">” </w:t>
      </w:r>
    </w:p>
    <w:p w14:paraId="7098A409" w14:textId="77777777" w:rsidR="00ED0444" w:rsidRPr="00A1755E" w:rsidRDefault="00ED0444" w:rsidP="00ED0444">
      <w:pPr>
        <w:spacing w:line="288" w:lineRule="auto"/>
        <w:jc w:val="both"/>
        <w:rPr>
          <w:rFonts w:ascii="Helvetica" w:hAnsi="Helvetica"/>
          <w:b/>
          <w:bCs/>
          <w:sz w:val="22"/>
          <w:szCs w:val="22"/>
          <w:lang w:val="en-GB"/>
        </w:rPr>
      </w:pPr>
    </w:p>
    <w:p w14:paraId="2AD9DB57" w14:textId="4951ECA4" w:rsidR="00ED0444" w:rsidRPr="00A1755E"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Shift in case mix.</w:t>
      </w:r>
      <w:r w:rsidRPr="00A1755E">
        <w:rPr>
          <w:rFonts w:ascii="Helvetica" w:hAnsi="Helvetica"/>
          <w:sz w:val="22"/>
          <w:szCs w:val="22"/>
          <w:lang w:val="en-GB"/>
        </w:rPr>
        <w:t xml:space="preserve"> The pressures on the bed base were further aggravated by the shift in case mix observed in elective surgery patients. The introduction of prioritisation schemes to </w:t>
      </w:r>
      <w:r w:rsidR="009218F2">
        <w:rPr>
          <w:rFonts w:ascii="Helvetica" w:hAnsi="Helvetica"/>
          <w:sz w:val="22"/>
          <w:szCs w:val="22"/>
          <w:lang w:val="en-GB"/>
        </w:rPr>
        <w:t xml:space="preserve">manage </w:t>
      </w:r>
      <w:r w:rsidRPr="00A1755E">
        <w:rPr>
          <w:rFonts w:ascii="Helvetica" w:hAnsi="Helvetica"/>
          <w:sz w:val="22"/>
          <w:szCs w:val="22"/>
          <w:lang w:val="en-GB"/>
        </w:rPr>
        <w:t xml:space="preserve">congested waiting lists of surgical specialties </w:t>
      </w:r>
      <w:r w:rsidR="009218F2">
        <w:rPr>
          <w:rFonts w:ascii="Helvetica" w:hAnsi="Helvetica"/>
          <w:sz w:val="22"/>
          <w:szCs w:val="22"/>
          <w:lang w:val="en-GB"/>
        </w:rPr>
        <w:t xml:space="preserve">was </w:t>
      </w:r>
      <w:r w:rsidRPr="00A1755E">
        <w:rPr>
          <w:rFonts w:ascii="Helvetica" w:hAnsi="Helvetica"/>
          <w:sz w:val="22"/>
          <w:szCs w:val="22"/>
          <w:lang w:val="en-GB"/>
        </w:rPr>
        <w:t xml:space="preserve">intended to enable surgery for those patients with the highest clinical priority first. Yet this shift in case mix towards a higher proportion of patients undergoing highly invasive and complex surgery </w:t>
      </w:r>
      <w:r w:rsidR="009218F2">
        <w:rPr>
          <w:rFonts w:ascii="Helvetica" w:hAnsi="Helvetica"/>
          <w:sz w:val="22"/>
          <w:szCs w:val="22"/>
          <w:lang w:val="en-GB"/>
        </w:rPr>
        <w:t>wa</w:t>
      </w:r>
      <w:r w:rsidRPr="00A1755E">
        <w:rPr>
          <w:rFonts w:ascii="Helvetica" w:hAnsi="Helvetica"/>
          <w:sz w:val="22"/>
          <w:szCs w:val="22"/>
          <w:lang w:val="en-GB"/>
        </w:rPr>
        <w:t>s associated with</w:t>
      </w:r>
      <w:r>
        <w:rPr>
          <w:rFonts w:ascii="Helvetica" w:hAnsi="Helvetica"/>
          <w:sz w:val="22"/>
          <w:szCs w:val="22"/>
          <w:lang w:val="en-GB"/>
        </w:rPr>
        <w:t xml:space="preserve"> </w:t>
      </w:r>
      <w:r w:rsidRPr="00A1755E">
        <w:rPr>
          <w:rFonts w:ascii="Helvetica" w:hAnsi="Helvetica"/>
          <w:sz w:val="22"/>
          <w:szCs w:val="22"/>
          <w:lang w:val="en-GB"/>
        </w:rPr>
        <w:t xml:space="preserve">longer average lengths of stay for these patients. </w:t>
      </w:r>
      <w:r w:rsidR="005B0D13">
        <w:rPr>
          <w:rFonts w:ascii="Helvetica" w:hAnsi="Helvetica"/>
          <w:sz w:val="22"/>
          <w:szCs w:val="22"/>
          <w:lang w:val="en-GB"/>
        </w:rPr>
        <w:t xml:space="preserve">In addition, for some already critically ill patients, the waiting time had already caused </w:t>
      </w:r>
      <w:r w:rsidR="009218F2">
        <w:rPr>
          <w:rFonts w:ascii="Helvetica" w:hAnsi="Helvetica"/>
          <w:sz w:val="22"/>
          <w:szCs w:val="22"/>
          <w:lang w:val="en-GB"/>
        </w:rPr>
        <w:t>progression</w:t>
      </w:r>
      <w:r w:rsidR="005B0D13">
        <w:rPr>
          <w:rFonts w:ascii="Helvetica" w:hAnsi="Helvetica"/>
          <w:sz w:val="22"/>
          <w:szCs w:val="22"/>
          <w:lang w:val="en-GB"/>
        </w:rPr>
        <w:t xml:space="preserve"> in their disease, increasing the likelihood for higher bed level requirements.</w:t>
      </w:r>
      <w:r w:rsidR="005B0D13" w:rsidRPr="00A1755E">
        <w:rPr>
          <w:rFonts w:ascii="Helvetica" w:hAnsi="Helvetica"/>
          <w:sz w:val="22"/>
          <w:szCs w:val="22"/>
          <w:lang w:val="en-GB"/>
        </w:rPr>
        <w:t xml:space="preserve"> </w:t>
      </w:r>
      <w:r w:rsidRPr="00A1755E">
        <w:rPr>
          <w:rFonts w:ascii="Helvetica" w:hAnsi="Helvetica"/>
          <w:sz w:val="22"/>
          <w:szCs w:val="22"/>
          <w:lang w:val="en-GB"/>
        </w:rPr>
        <w:t>In light of the targets being set by the NHS that required</w:t>
      </w:r>
      <w:r w:rsidR="001260AA">
        <w:rPr>
          <w:rFonts w:ascii="Helvetica" w:hAnsi="Helvetica"/>
          <w:sz w:val="22"/>
          <w:szCs w:val="22"/>
          <w:lang w:val="en-GB"/>
        </w:rPr>
        <w:t xml:space="preserve"> all</w:t>
      </w:r>
      <w:r w:rsidRPr="00A1755E">
        <w:rPr>
          <w:rFonts w:ascii="Helvetica" w:hAnsi="Helvetica"/>
          <w:sz w:val="22"/>
          <w:szCs w:val="22"/>
          <w:lang w:val="en-GB"/>
        </w:rPr>
        <w:t xml:space="preserve"> hospitals to return </w:t>
      </w:r>
      <w:r>
        <w:rPr>
          <w:rFonts w:ascii="Helvetica" w:hAnsi="Helvetica"/>
          <w:sz w:val="22"/>
          <w:szCs w:val="22"/>
          <w:lang w:val="en-GB"/>
        </w:rPr>
        <w:t xml:space="preserve">between 80 and 100% </w:t>
      </w:r>
      <w:r>
        <w:rPr>
          <w:rFonts w:ascii="Helvetica" w:hAnsi="Helvetica"/>
          <w:sz w:val="22"/>
          <w:szCs w:val="22"/>
          <w:lang w:val="en-GB"/>
        </w:rPr>
        <w:lastRenderedPageBreak/>
        <w:t xml:space="preserve">of </w:t>
      </w:r>
      <w:r w:rsidRPr="00A1755E">
        <w:rPr>
          <w:rFonts w:ascii="Helvetica" w:hAnsi="Helvetica"/>
          <w:sz w:val="22"/>
          <w:szCs w:val="22"/>
          <w:lang w:val="en-GB"/>
        </w:rPr>
        <w:t xml:space="preserve">baseline surgical activity by the end of 2020, critical voices have been raised about the appropriateness of those targets: </w:t>
      </w:r>
    </w:p>
    <w:p w14:paraId="02C06C01" w14:textId="77777777" w:rsidR="00ED0444" w:rsidRPr="00A1755E" w:rsidRDefault="00ED0444" w:rsidP="00ED0444">
      <w:pPr>
        <w:spacing w:line="288" w:lineRule="auto"/>
        <w:jc w:val="both"/>
        <w:rPr>
          <w:rFonts w:ascii="Helvetica" w:hAnsi="Helvetica"/>
          <w:sz w:val="22"/>
          <w:szCs w:val="22"/>
          <w:lang w:val="en-GB"/>
        </w:rPr>
      </w:pPr>
    </w:p>
    <w:p w14:paraId="2AFC1C36" w14:textId="26D65B05" w:rsidR="00ED0444" w:rsidRPr="00A1755E" w:rsidRDefault="00ED0444" w:rsidP="00ED0444">
      <w:pPr>
        <w:spacing w:line="288" w:lineRule="auto"/>
        <w:jc w:val="both"/>
        <w:rPr>
          <w:rFonts w:ascii="Helvetica" w:hAnsi="Helvetica"/>
          <w:i/>
          <w:iCs/>
          <w:sz w:val="22"/>
          <w:szCs w:val="22"/>
          <w:lang w:val="en-GB"/>
        </w:rPr>
      </w:pPr>
      <w:r w:rsidRPr="00A1755E">
        <w:rPr>
          <w:rFonts w:ascii="Helvetica" w:hAnsi="Helvetica"/>
          <w:i/>
          <w:iCs/>
          <w:sz w:val="22"/>
          <w:szCs w:val="22"/>
          <w:lang w:val="en-GB"/>
        </w:rPr>
        <w:t>“To me, this just seems completely out of kilter with what we should be doing. So, should we be only delivering the surgery on patients with the highest clinical priority, or should we be doing high volume numbers? And I think that’s very difficult for this organisation to make that decision</w:t>
      </w:r>
      <w:r w:rsidR="009218F2">
        <w:rPr>
          <w:rFonts w:ascii="Helvetica" w:hAnsi="Helvetica"/>
          <w:i/>
          <w:iCs/>
          <w:sz w:val="22"/>
          <w:szCs w:val="22"/>
          <w:lang w:val="en-GB"/>
        </w:rPr>
        <w:t>.</w:t>
      </w:r>
      <w:r w:rsidRPr="00A1755E">
        <w:rPr>
          <w:rFonts w:ascii="Helvetica" w:hAnsi="Helvetica"/>
          <w:i/>
          <w:iCs/>
          <w:sz w:val="22"/>
          <w:szCs w:val="22"/>
          <w:lang w:val="en-GB"/>
        </w:rPr>
        <w:t xml:space="preserve">” </w:t>
      </w:r>
    </w:p>
    <w:p w14:paraId="24D2FFCA" w14:textId="77777777" w:rsidR="00ED0444" w:rsidRPr="00A1755E" w:rsidRDefault="00ED0444" w:rsidP="00ED0444">
      <w:pPr>
        <w:spacing w:line="288" w:lineRule="auto"/>
        <w:jc w:val="both"/>
        <w:rPr>
          <w:rFonts w:ascii="Helvetica" w:hAnsi="Helvetica"/>
          <w:b/>
          <w:bCs/>
          <w:sz w:val="22"/>
          <w:szCs w:val="22"/>
          <w:lang w:val="en-GB"/>
        </w:rPr>
      </w:pPr>
    </w:p>
    <w:p w14:paraId="4DABAD64" w14:textId="5B6F53E7" w:rsidR="00ED0444" w:rsidRPr="00A1755E"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Longer turnaround times</w:t>
      </w:r>
      <w:r w:rsidRPr="00ED0444">
        <w:rPr>
          <w:rFonts w:ascii="Helvetica" w:hAnsi="Helvetica"/>
          <w:i/>
          <w:iCs/>
          <w:sz w:val="22"/>
          <w:szCs w:val="22"/>
          <w:lang w:val="en-GB"/>
        </w:rPr>
        <w:t>.</w:t>
      </w:r>
      <w:r w:rsidRPr="00A1755E">
        <w:rPr>
          <w:rFonts w:ascii="Helvetica" w:hAnsi="Helvetica"/>
          <w:sz w:val="22"/>
          <w:szCs w:val="22"/>
          <w:lang w:val="en-GB"/>
        </w:rPr>
        <w:t xml:space="preserve"> The implementation of donning and doffing protocols and cleaning requirements created an “extra layer of processes” which slowed </w:t>
      </w:r>
      <w:r w:rsidR="009218F2">
        <w:rPr>
          <w:rFonts w:ascii="Helvetica" w:hAnsi="Helvetica"/>
          <w:sz w:val="22"/>
          <w:szCs w:val="22"/>
          <w:lang w:val="en-GB"/>
        </w:rPr>
        <w:t xml:space="preserve">all </w:t>
      </w:r>
      <w:r w:rsidRPr="00A1755E">
        <w:rPr>
          <w:rFonts w:ascii="Helvetica" w:hAnsi="Helvetica"/>
          <w:sz w:val="22"/>
          <w:szCs w:val="22"/>
          <w:lang w:val="en-GB"/>
        </w:rPr>
        <w:t xml:space="preserve">operational processes down. The impact proved especially strong in surgical </w:t>
      </w:r>
      <w:r w:rsidR="009218F2">
        <w:rPr>
          <w:rFonts w:ascii="Helvetica" w:hAnsi="Helvetica"/>
          <w:sz w:val="22"/>
          <w:szCs w:val="22"/>
          <w:lang w:val="en-GB"/>
        </w:rPr>
        <w:t>area</w:t>
      </w:r>
      <w:r w:rsidRPr="00A1755E">
        <w:rPr>
          <w:rFonts w:ascii="Helvetica" w:hAnsi="Helvetica"/>
          <w:sz w:val="22"/>
          <w:szCs w:val="22"/>
          <w:lang w:val="en-GB"/>
        </w:rPr>
        <w:t xml:space="preserve">s where surgery and turnaround times were </w:t>
      </w:r>
      <w:r>
        <w:rPr>
          <w:rFonts w:ascii="Helvetica" w:hAnsi="Helvetica"/>
          <w:sz w:val="22"/>
          <w:szCs w:val="22"/>
          <w:lang w:val="en-GB"/>
        </w:rPr>
        <w:t xml:space="preserve">substantially </w:t>
      </w:r>
      <w:r w:rsidRPr="00A1755E">
        <w:rPr>
          <w:rFonts w:ascii="Helvetica" w:hAnsi="Helvetica"/>
          <w:sz w:val="22"/>
          <w:szCs w:val="22"/>
          <w:lang w:val="en-GB"/>
        </w:rPr>
        <w:t xml:space="preserve">prolonged. </w:t>
      </w:r>
      <w:r>
        <w:rPr>
          <w:rFonts w:ascii="Helvetica" w:hAnsi="Helvetica"/>
          <w:sz w:val="22"/>
          <w:szCs w:val="22"/>
          <w:lang w:val="en-GB"/>
        </w:rPr>
        <w:t>T</w:t>
      </w:r>
      <w:r w:rsidRPr="00A1755E">
        <w:rPr>
          <w:rFonts w:ascii="Helvetica" w:hAnsi="Helvetica"/>
          <w:sz w:val="22"/>
          <w:szCs w:val="22"/>
          <w:lang w:val="en-GB"/>
        </w:rPr>
        <w:t>o limit exposure to aerosols, workflows in</w:t>
      </w:r>
      <w:r w:rsidR="009218F2">
        <w:rPr>
          <w:rFonts w:ascii="Helvetica" w:hAnsi="Helvetica"/>
          <w:sz w:val="22"/>
          <w:szCs w:val="22"/>
          <w:lang w:val="en-GB"/>
        </w:rPr>
        <w:t>side</w:t>
      </w:r>
      <w:r w:rsidRPr="00A1755E">
        <w:rPr>
          <w:rFonts w:ascii="Helvetica" w:hAnsi="Helvetica"/>
          <w:sz w:val="22"/>
          <w:szCs w:val="22"/>
          <w:lang w:val="en-GB"/>
        </w:rPr>
        <w:t xml:space="preserve"> and outside surgical suites needed to be redesigned. Taking on and taking off extensive amounts of PPE not only extended pre- and post-surgical </w:t>
      </w:r>
      <w:r>
        <w:rPr>
          <w:rFonts w:ascii="Helvetica" w:hAnsi="Helvetica"/>
          <w:sz w:val="22"/>
          <w:szCs w:val="22"/>
          <w:lang w:val="en-GB"/>
        </w:rPr>
        <w:t>phases</w:t>
      </w:r>
      <w:r w:rsidRPr="00A1755E">
        <w:rPr>
          <w:rFonts w:ascii="Helvetica" w:hAnsi="Helvetica"/>
          <w:sz w:val="22"/>
          <w:szCs w:val="22"/>
          <w:lang w:val="en-GB"/>
        </w:rPr>
        <w:t xml:space="preserve"> but </w:t>
      </w:r>
      <w:r>
        <w:rPr>
          <w:rFonts w:ascii="Helvetica" w:hAnsi="Helvetica"/>
          <w:sz w:val="22"/>
          <w:szCs w:val="22"/>
          <w:lang w:val="en-GB"/>
        </w:rPr>
        <w:t>even</w:t>
      </w:r>
      <w:r w:rsidRPr="00A1755E">
        <w:rPr>
          <w:rFonts w:ascii="Helvetica" w:hAnsi="Helvetica"/>
          <w:sz w:val="22"/>
          <w:szCs w:val="22"/>
          <w:lang w:val="en-GB"/>
        </w:rPr>
        <w:t xml:space="preserve"> required the exchange of surgical teams for procedures exceeding several hours. Another contributing factor was the required time for air-cleaning activities in between surgical cases, especially after aerosol-generating procedures. In consequence, </w:t>
      </w:r>
      <w:r>
        <w:rPr>
          <w:rFonts w:ascii="Helvetica" w:hAnsi="Helvetica"/>
          <w:sz w:val="22"/>
          <w:szCs w:val="22"/>
          <w:lang w:val="en-GB"/>
        </w:rPr>
        <w:t>compared to pre-</w:t>
      </w:r>
      <w:r w:rsidR="003B3C10">
        <w:rPr>
          <w:rFonts w:ascii="Helvetica" w:hAnsi="Helvetica"/>
          <w:sz w:val="22"/>
          <w:szCs w:val="22"/>
          <w:lang w:val="en-GB"/>
        </w:rPr>
        <w:t>Covid19</w:t>
      </w:r>
      <w:r>
        <w:rPr>
          <w:rFonts w:ascii="Helvetica" w:hAnsi="Helvetica"/>
          <w:sz w:val="22"/>
          <w:szCs w:val="22"/>
          <w:lang w:val="en-GB"/>
        </w:rPr>
        <w:t xml:space="preserve"> rates, fewer </w:t>
      </w:r>
      <w:r w:rsidRPr="00A1755E">
        <w:rPr>
          <w:rFonts w:ascii="Helvetica" w:hAnsi="Helvetica"/>
          <w:sz w:val="22"/>
          <w:szCs w:val="22"/>
          <w:lang w:val="en-GB"/>
        </w:rPr>
        <w:t xml:space="preserve">patients </w:t>
      </w:r>
      <w:r>
        <w:rPr>
          <w:rFonts w:ascii="Helvetica" w:hAnsi="Helvetica"/>
          <w:sz w:val="22"/>
          <w:szCs w:val="22"/>
          <w:lang w:val="en-GB"/>
        </w:rPr>
        <w:t xml:space="preserve">could receive surgical treatment </w:t>
      </w:r>
      <w:r w:rsidRPr="00A1755E">
        <w:rPr>
          <w:rFonts w:ascii="Helvetica" w:hAnsi="Helvetica"/>
          <w:sz w:val="22"/>
          <w:szCs w:val="22"/>
          <w:lang w:val="en-GB"/>
        </w:rPr>
        <w:t xml:space="preserve"> </w:t>
      </w:r>
    </w:p>
    <w:p w14:paraId="4E27BA55" w14:textId="77777777" w:rsidR="00ED0444" w:rsidRPr="00A1755E" w:rsidRDefault="00ED0444" w:rsidP="00ED0444">
      <w:pPr>
        <w:spacing w:line="288" w:lineRule="auto"/>
        <w:jc w:val="both"/>
        <w:rPr>
          <w:rFonts w:ascii="Helvetica" w:hAnsi="Helvetica"/>
          <w:sz w:val="22"/>
          <w:szCs w:val="22"/>
          <w:lang w:val="en-GB"/>
        </w:rPr>
      </w:pPr>
    </w:p>
    <w:p w14:paraId="65242305" w14:textId="5545AB56" w:rsidR="00ED0444" w:rsidRPr="00A1755E" w:rsidRDefault="00ED0444" w:rsidP="00ED0444">
      <w:pPr>
        <w:spacing w:line="288" w:lineRule="auto"/>
        <w:jc w:val="both"/>
        <w:rPr>
          <w:rFonts w:ascii="Helvetica" w:hAnsi="Helvetica"/>
          <w:i/>
          <w:iCs/>
          <w:sz w:val="22"/>
          <w:szCs w:val="22"/>
          <w:lang w:val="en-GB"/>
        </w:rPr>
      </w:pPr>
      <w:r w:rsidRPr="00A1755E">
        <w:rPr>
          <w:rFonts w:ascii="Helvetica" w:hAnsi="Helvetica"/>
          <w:i/>
          <w:iCs/>
          <w:sz w:val="22"/>
          <w:szCs w:val="22"/>
          <w:lang w:val="en-GB"/>
        </w:rPr>
        <w:t>“Even if we've been able to see as many patients through the front door we would never have got through as many patients in a day, given all the PPE and the turnaround</w:t>
      </w:r>
      <w:r w:rsidR="009218F2">
        <w:rPr>
          <w:rFonts w:ascii="Helvetica" w:hAnsi="Helvetica"/>
          <w:i/>
          <w:iCs/>
          <w:sz w:val="22"/>
          <w:szCs w:val="22"/>
          <w:lang w:val="en-GB"/>
        </w:rPr>
        <w:t>.</w:t>
      </w:r>
      <w:r w:rsidRPr="00A1755E">
        <w:rPr>
          <w:rFonts w:ascii="Helvetica" w:hAnsi="Helvetica"/>
          <w:i/>
          <w:iCs/>
          <w:sz w:val="22"/>
          <w:szCs w:val="22"/>
          <w:lang w:val="en-GB"/>
        </w:rPr>
        <w:t xml:space="preserve">” </w:t>
      </w:r>
    </w:p>
    <w:p w14:paraId="36607658" w14:textId="77777777" w:rsidR="00ED0444" w:rsidRPr="00A1755E" w:rsidRDefault="00ED0444" w:rsidP="00ED0444">
      <w:pPr>
        <w:spacing w:line="288" w:lineRule="auto"/>
        <w:jc w:val="both"/>
        <w:rPr>
          <w:rFonts w:ascii="Helvetica" w:hAnsi="Helvetica"/>
          <w:b/>
          <w:bCs/>
          <w:sz w:val="22"/>
          <w:szCs w:val="22"/>
          <w:lang w:val="en-GB"/>
        </w:rPr>
      </w:pPr>
    </w:p>
    <w:p w14:paraId="2DA8EDA7" w14:textId="288FF953" w:rsidR="00ED0444" w:rsidRPr="00A1755E" w:rsidRDefault="00ED0444" w:rsidP="00ED0444">
      <w:pPr>
        <w:spacing w:line="288" w:lineRule="auto"/>
        <w:jc w:val="both"/>
        <w:rPr>
          <w:rFonts w:ascii="Helvetica" w:hAnsi="Helvetica"/>
          <w:sz w:val="22"/>
          <w:szCs w:val="22"/>
          <w:lang w:val="en-GB"/>
        </w:rPr>
      </w:pPr>
      <w:r w:rsidRPr="00921810">
        <w:rPr>
          <w:rFonts w:ascii="Helvetica" w:hAnsi="Helvetica"/>
          <w:i/>
          <w:iCs/>
          <w:sz w:val="22"/>
          <w:szCs w:val="22"/>
          <w:lang w:val="en-GB"/>
        </w:rPr>
        <w:t xml:space="preserve">Decline in </w:t>
      </w:r>
      <w:r w:rsidR="003B3C10">
        <w:rPr>
          <w:rFonts w:ascii="Helvetica" w:hAnsi="Helvetica"/>
          <w:i/>
          <w:iCs/>
          <w:sz w:val="22"/>
          <w:szCs w:val="22"/>
          <w:lang w:val="en-GB"/>
        </w:rPr>
        <w:t>Covid19</w:t>
      </w:r>
      <w:r w:rsidRPr="00921810">
        <w:rPr>
          <w:rFonts w:ascii="Helvetica" w:hAnsi="Helvetica"/>
          <w:i/>
          <w:iCs/>
          <w:sz w:val="22"/>
          <w:szCs w:val="22"/>
          <w:lang w:val="en-GB"/>
        </w:rPr>
        <w:t xml:space="preserve"> mortality rates.</w:t>
      </w:r>
      <w:r w:rsidRPr="00A1755E">
        <w:rPr>
          <w:rFonts w:ascii="Helvetica" w:hAnsi="Helvetica"/>
          <w:sz w:val="22"/>
          <w:szCs w:val="22"/>
          <w:lang w:val="en-GB"/>
        </w:rPr>
        <w:t xml:space="preserve"> With increasing numbers of treated and recovered </w:t>
      </w:r>
      <w:r w:rsidR="003B3C10">
        <w:rPr>
          <w:rFonts w:ascii="Helvetica" w:hAnsi="Helvetica"/>
          <w:sz w:val="22"/>
          <w:szCs w:val="22"/>
          <w:lang w:val="en-GB"/>
        </w:rPr>
        <w:t>Covid19</w:t>
      </w:r>
      <w:r w:rsidRPr="00A1755E">
        <w:rPr>
          <w:rFonts w:ascii="Helvetica" w:hAnsi="Helvetica"/>
          <w:sz w:val="22"/>
          <w:szCs w:val="22"/>
          <w:lang w:val="en-GB"/>
        </w:rPr>
        <w:t xml:space="preserve"> patients and further science-based </w:t>
      </w:r>
      <w:r w:rsidR="009218F2">
        <w:rPr>
          <w:rFonts w:ascii="Helvetica" w:hAnsi="Helvetica"/>
          <w:sz w:val="22"/>
          <w:szCs w:val="22"/>
          <w:lang w:val="en-GB"/>
        </w:rPr>
        <w:t xml:space="preserve">treatment </w:t>
      </w:r>
      <w:r w:rsidRPr="00A1755E">
        <w:rPr>
          <w:rFonts w:ascii="Helvetica" w:hAnsi="Helvetica"/>
          <w:sz w:val="22"/>
          <w:szCs w:val="22"/>
          <w:lang w:val="en-GB"/>
        </w:rPr>
        <w:t>recommendation</w:t>
      </w:r>
      <w:r>
        <w:rPr>
          <w:rFonts w:ascii="Helvetica" w:hAnsi="Helvetica"/>
          <w:sz w:val="22"/>
          <w:szCs w:val="22"/>
          <w:lang w:val="en-GB"/>
        </w:rPr>
        <w:t>s</w:t>
      </w:r>
      <w:r w:rsidRPr="00A1755E">
        <w:rPr>
          <w:rFonts w:ascii="Helvetica" w:hAnsi="Helvetica"/>
          <w:sz w:val="22"/>
          <w:szCs w:val="22"/>
          <w:lang w:val="en-GB"/>
        </w:rPr>
        <w:t xml:space="preserve">, learning processes became apparent </w:t>
      </w:r>
      <w:r>
        <w:rPr>
          <w:rFonts w:ascii="Helvetica" w:hAnsi="Helvetica"/>
          <w:sz w:val="22"/>
          <w:szCs w:val="22"/>
          <w:lang w:val="en-GB"/>
        </w:rPr>
        <w:t>highlighting</w:t>
      </w:r>
      <w:r w:rsidRPr="00A1755E">
        <w:rPr>
          <w:rFonts w:ascii="Helvetica" w:hAnsi="Helvetica"/>
          <w:sz w:val="22"/>
          <w:szCs w:val="22"/>
          <w:lang w:val="en-GB"/>
        </w:rPr>
        <w:t xml:space="preserve"> the importance of quality-adjusted measures of healthcare productivity: </w:t>
      </w:r>
    </w:p>
    <w:p w14:paraId="44B1F7C9" w14:textId="77777777" w:rsidR="00ED0444" w:rsidRPr="00A1755E" w:rsidRDefault="00ED0444" w:rsidP="00ED0444">
      <w:pPr>
        <w:spacing w:line="288" w:lineRule="auto"/>
        <w:jc w:val="both"/>
        <w:rPr>
          <w:rFonts w:ascii="Helvetica" w:hAnsi="Helvetica"/>
          <w:sz w:val="22"/>
          <w:szCs w:val="22"/>
          <w:lang w:val="en-GB"/>
        </w:rPr>
      </w:pPr>
    </w:p>
    <w:p w14:paraId="7A7BA4DF" w14:textId="20270CF6" w:rsidR="00ED0444" w:rsidRDefault="00ED0444" w:rsidP="00ED0444">
      <w:pPr>
        <w:spacing w:line="288" w:lineRule="auto"/>
        <w:jc w:val="both"/>
        <w:rPr>
          <w:rFonts w:ascii="Helvetica" w:hAnsi="Helvetica"/>
          <w:i/>
          <w:iCs/>
          <w:sz w:val="22"/>
          <w:szCs w:val="22"/>
          <w:lang w:val="en-GB"/>
        </w:rPr>
      </w:pPr>
      <w:r w:rsidRPr="00A1755E">
        <w:rPr>
          <w:rFonts w:ascii="Helvetica" w:hAnsi="Helvetica"/>
          <w:i/>
          <w:iCs/>
          <w:sz w:val="22"/>
          <w:szCs w:val="22"/>
          <w:lang w:val="en-GB"/>
        </w:rPr>
        <w:t>“We know when to give them steroids, we’re better equipped to know when to ventilate them or when to send them for non-invasive ventilation, when to give drugs, when to send them home (…) At the moment, they seem less likely to die. But as a consequence, they might stay in hospital for a bit longer</w:t>
      </w:r>
      <w:r w:rsidR="009218F2">
        <w:rPr>
          <w:rFonts w:ascii="Helvetica" w:hAnsi="Helvetica"/>
          <w:i/>
          <w:iCs/>
          <w:sz w:val="22"/>
          <w:szCs w:val="22"/>
          <w:lang w:val="en-GB"/>
        </w:rPr>
        <w:t>.</w:t>
      </w:r>
      <w:r w:rsidRPr="00A1755E">
        <w:rPr>
          <w:rFonts w:ascii="Helvetica" w:hAnsi="Helvetica"/>
          <w:i/>
          <w:iCs/>
          <w:sz w:val="22"/>
          <w:szCs w:val="22"/>
          <w:lang w:val="en-GB"/>
        </w:rPr>
        <w:t>”</w:t>
      </w:r>
    </w:p>
    <w:p w14:paraId="7470EA75" w14:textId="77777777" w:rsidR="00ED0444" w:rsidRDefault="00ED0444" w:rsidP="00ED0444">
      <w:pPr>
        <w:spacing w:line="288" w:lineRule="auto"/>
        <w:jc w:val="both"/>
        <w:rPr>
          <w:rFonts w:ascii="Helvetica" w:hAnsi="Helvetica"/>
          <w:b/>
          <w:bCs/>
          <w:i/>
          <w:iCs/>
          <w:sz w:val="22"/>
          <w:szCs w:val="22"/>
          <w:lang w:val="en-GB"/>
        </w:rPr>
      </w:pPr>
    </w:p>
    <w:p w14:paraId="2ADF76A1" w14:textId="6EC14A25" w:rsidR="00ED0444" w:rsidRDefault="00ED0444" w:rsidP="00ED0444">
      <w:pPr>
        <w:spacing w:line="288" w:lineRule="auto"/>
        <w:jc w:val="both"/>
        <w:rPr>
          <w:rFonts w:ascii="Helvetica" w:hAnsi="Helvetica"/>
          <w:sz w:val="22"/>
          <w:szCs w:val="22"/>
          <w:lang w:val="en-GB"/>
        </w:rPr>
      </w:pPr>
      <w:r w:rsidRPr="00A1755E">
        <w:rPr>
          <w:rFonts w:ascii="Helvetica" w:hAnsi="Helvetica"/>
          <w:sz w:val="22"/>
          <w:szCs w:val="22"/>
          <w:lang w:val="en-GB"/>
        </w:rPr>
        <w:t>Th</w:t>
      </w:r>
      <w:r>
        <w:rPr>
          <w:rFonts w:ascii="Helvetica" w:hAnsi="Helvetica"/>
          <w:sz w:val="22"/>
          <w:szCs w:val="22"/>
          <w:lang w:val="en-GB"/>
        </w:rPr>
        <w:t xml:space="preserve">e </w:t>
      </w:r>
      <w:r w:rsidRPr="00A1755E">
        <w:rPr>
          <w:rFonts w:ascii="Helvetica" w:hAnsi="Helvetica"/>
          <w:sz w:val="22"/>
          <w:szCs w:val="22"/>
          <w:lang w:val="en-GB"/>
        </w:rPr>
        <w:t>fluctuation</w:t>
      </w:r>
      <w:r>
        <w:rPr>
          <w:rFonts w:ascii="Helvetica" w:hAnsi="Helvetica"/>
          <w:sz w:val="22"/>
          <w:szCs w:val="22"/>
          <w:lang w:val="en-GB"/>
        </w:rPr>
        <w:t xml:space="preserve">s </w:t>
      </w:r>
      <w:r w:rsidRPr="00A1755E">
        <w:rPr>
          <w:rFonts w:ascii="Helvetica" w:hAnsi="Helvetica"/>
          <w:sz w:val="22"/>
          <w:szCs w:val="22"/>
          <w:lang w:val="en-GB"/>
        </w:rPr>
        <w:t>in resource availability</w:t>
      </w:r>
      <w:r w:rsidR="008570C4">
        <w:rPr>
          <w:rFonts w:ascii="Helvetica" w:hAnsi="Helvetica"/>
          <w:sz w:val="22"/>
          <w:szCs w:val="22"/>
          <w:lang w:val="en-GB"/>
        </w:rPr>
        <w:t xml:space="preserve"> together</w:t>
      </w:r>
      <w:r w:rsidRPr="00A1755E">
        <w:rPr>
          <w:rFonts w:ascii="Helvetica" w:hAnsi="Helvetica"/>
          <w:sz w:val="22"/>
          <w:szCs w:val="22"/>
          <w:lang w:val="en-GB"/>
        </w:rPr>
        <w:t xml:space="preserve"> with the resumption of non-</w:t>
      </w:r>
      <w:r w:rsidR="003B3C10">
        <w:rPr>
          <w:rFonts w:ascii="Helvetica" w:hAnsi="Helvetica"/>
          <w:sz w:val="22"/>
          <w:szCs w:val="22"/>
          <w:lang w:val="en-GB"/>
        </w:rPr>
        <w:t>Covid19</w:t>
      </w:r>
      <w:r w:rsidRPr="00A1755E">
        <w:rPr>
          <w:rFonts w:ascii="Helvetica" w:hAnsi="Helvetica"/>
          <w:sz w:val="22"/>
          <w:szCs w:val="22"/>
          <w:lang w:val="en-GB"/>
        </w:rPr>
        <w:t xml:space="preserve"> care </w:t>
      </w:r>
      <w:r w:rsidR="008570C4">
        <w:rPr>
          <w:rFonts w:ascii="Helvetica" w:hAnsi="Helvetica"/>
          <w:sz w:val="22"/>
          <w:szCs w:val="22"/>
          <w:lang w:val="en-GB"/>
        </w:rPr>
        <w:t>have implications for</w:t>
      </w:r>
      <w:r w:rsidRPr="00A1755E">
        <w:rPr>
          <w:rFonts w:ascii="Helvetica" w:hAnsi="Helvetica"/>
          <w:sz w:val="22"/>
          <w:szCs w:val="22"/>
          <w:lang w:val="en-GB"/>
        </w:rPr>
        <w:t xml:space="preserve"> the efficiency at which hospitals of the NHS</w:t>
      </w:r>
      <w:r>
        <w:rPr>
          <w:rFonts w:ascii="Helvetica" w:hAnsi="Helvetica"/>
          <w:sz w:val="22"/>
          <w:szCs w:val="22"/>
          <w:lang w:val="en-GB"/>
        </w:rPr>
        <w:t xml:space="preserve"> are normally</w:t>
      </w:r>
      <w:r w:rsidRPr="00A1755E">
        <w:rPr>
          <w:rFonts w:ascii="Helvetica" w:hAnsi="Helvetica"/>
          <w:sz w:val="22"/>
          <w:szCs w:val="22"/>
          <w:lang w:val="en-GB"/>
        </w:rPr>
        <w:t xml:space="preserve"> run</w:t>
      </w:r>
      <w:r>
        <w:rPr>
          <w:rFonts w:ascii="Helvetica" w:hAnsi="Helvetica"/>
          <w:sz w:val="22"/>
          <w:szCs w:val="22"/>
          <w:lang w:val="en-GB"/>
        </w:rPr>
        <w:t xml:space="preserve">. Implications for future resilience will be discussed in more detail in a subsequent section. </w:t>
      </w:r>
    </w:p>
    <w:p w14:paraId="59D6B629" w14:textId="77777777" w:rsidR="00ED0444" w:rsidRPr="00A1755E" w:rsidRDefault="00ED0444" w:rsidP="00ED0444">
      <w:pPr>
        <w:spacing w:line="288" w:lineRule="auto"/>
        <w:jc w:val="both"/>
        <w:rPr>
          <w:rFonts w:ascii="Helvetica" w:hAnsi="Helvetica"/>
          <w:b/>
          <w:bCs/>
          <w:i/>
          <w:iCs/>
          <w:sz w:val="22"/>
          <w:szCs w:val="22"/>
          <w:lang w:val="en-GB"/>
        </w:rPr>
      </w:pPr>
    </w:p>
    <w:p w14:paraId="1D171B2A" w14:textId="2746C5D1" w:rsidR="00ED0444" w:rsidRPr="0007451F" w:rsidRDefault="00ED0444" w:rsidP="00ED0444">
      <w:pPr>
        <w:spacing w:line="288" w:lineRule="auto"/>
        <w:jc w:val="both"/>
        <w:rPr>
          <w:rFonts w:ascii="Helvetica" w:hAnsi="Helvetica"/>
          <w:b/>
          <w:bCs/>
          <w:i/>
          <w:iCs/>
          <w:sz w:val="22"/>
          <w:szCs w:val="22"/>
          <w:lang w:val="en-GB"/>
        </w:rPr>
      </w:pPr>
      <w:r w:rsidRPr="0007451F">
        <w:rPr>
          <w:rFonts w:ascii="Helvetica" w:hAnsi="Helvetica"/>
          <w:b/>
          <w:bCs/>
          <w:i/>
          <w:iCs/>
          <w:sz w:val="22"/>
          <w:szCs w:val="22"/>
          <w:lang w:val="en-GB"/>
        </w:rPr>
        <w:t>Enablers of rapid organisational change and implications for the future</w:t>
      </w:r>
    </w:p>
    <w:p w14:paraId="135AFB7E" w14:textId="77777777" w:rsidR="00ED0444" w:rsidRDefault="00ED0444" w:rsidP="00ED0444">
      <w:pPr>
        <w:spacing w:line="288" w:lineRule="auto"/>
        <w:jc w:val="both"/>
        <w:rPr>
          <w:rFonts w:ascii="Helvetica" w:hAnsi="Helvetica"/>
          <w:sz w:val="22"/>
          <w:szCs w:val="22"/>
          <w:lang w:val="en-GB"/>
        </w:rPr>
      </w:pPr>
    </w:p>
    <w:p w14:paraId="1A79CCB0" w14:textId="1D325310" w:rsidR="00ED0444" w:rsidRPr="00A1755E" w:rsidRDefault="00ED0444" w:rsidP="00ED0444">
      <w:pPr>
        <w:spacing w:line="288" w:lineRule="auto"/>
        <w:jc w:val="both"/>
        <w:rPr>
          <w:rFonts w:ascii="Helvetica" w:hAnsi="Helvetica"/>
          <w:sz w:val="22"/>
          <w:szCs w:val="22"/>
          <w:lang w:val="en-GB"/>
        </w:rPr>
      </w:pPr>
      <w:r w:rsidRPr="00A1755E">
        <w:rPr>
          <w:rFonts w:ascii="Helvetica" w:hAnsi="Helvetica"/>
          <w:sz w:val="22"/>
          <w:szCs w:val="22"/>
          <w:lang w:val="en-GB"/>
        </w:rPr>
        <w:t>Our interviews reveal that the rapid organisational change hospitals underwent in the early stages of the pandemic were enabled by (1) a</w:t>
      </w:r>
      <w:r>
        <w:rPr>
          <w:rFonts w:ascii="Helvetica" w:hAnsi="Helvetica"/>
          <w:sz w:val="22"/>
          <w:szCs w:val="22"/>
          <w:lang w:val="en-GB"/>
        </w:rPr>
        <w:t xml:space="preserve"> </w:t>
      </w:r>
      <w:r w:rsidRPr="00A1755E">
        <w:rPr>
          <w:rFonts w:ascii="Helvetica" w:hAnsi="Helvetica"/>
          <w:sz w:val="22"/>
          <w:szCs w:val="22"/>
          <w:lang w:val="en-GB"/>
        </w:rPr>
        <w:t xml:space="preserve">major buy-in of internal and external NHS workforce, (2) the provision of </w:t>
      </w:r>
      <w:r>
        <w:rPr>
          <w:rFonts w:ascii="Helvetica" w:hAnsi="Helvetica"/>
          <w:sz w:val="22"/>
          <w:szCs w:val="22"/>
          <w:lang w:val="en-GB"/>
        </w:rPr>
        <w:t xml:space="preserve">extra </w:t>
      </w:r>
      <w:r w:rsidRPr="00A1755E">
        <w:rPr>
          <w:rFonts w:ascii="Helvetica" w:hAnsi="Helvetica"/>
          <w:sz w:val="22"/>
          <w:szCs w:val="22"/>
          <w:lang w:val="en-GB"/>
        </w:rPr>
        <w:t>funding, (3) the eas</w:t>
      </w:r>
      <w:r>
        <w:rPr>
          <w:rFonts w:ascii="Helvetica" w:hAnsi="Helvetica"/>
          <w:sz w:val="22"/>
          <w:szCs w:val="22"/>
          <w:lang w:val="en-GB"/>
        </w:rPr>
        <w:t>ing</w:t>
      </w:r>
      <w:r w:rsidRPr="00A1755E">
        <w:rPr>
          <w:rFonts w:ascii="Helvetica" w:hAnsi="Helvetica"/>
          <w:sz w:val="22"/>
          <w:szCs w:val="22"/>
          <w:lang w:val="en-GB"/>
        </w:rPr>
        <w:t xml:space="preserve"> of governance processes </w:t>
      </w:r>
      <w:r w:rsidR="005B0D13">
        <w:rPr>
          <w:rFonts w:ascii="Helvetica" w:hAnsi="Helvetica"/>
          <w:sz w:val="22"/>
          <w:szCs w:val="22"/>
          <w:lang w:val="en-GB"/>
        </w:rPr>
        <w:t xml:space="preserve">(4) the creation of surge capacity, and </w:t>
      </w:r>
      <w:r w:rsidR="005B0D13" w:rsidRPr="00A1755E">
        <w:rPr>
          <w:rFonts w:ascii="Helvetica" w:hAnsi="Helvetica"/>
          <w:sz w:val="22"/>
          <w:szCs w:val="22"/>
          <w:lang w:val="en-GB"/>
        </w:rPr>
        <w:t>(</w:t>
      </w:r>
      <w:r w:rsidR="005B0D13">
        <w:rPr>
          <w:rFonts w:ascii="Helvetica" w:hAnsi="Helvetica"/>
          <w:sz w:val="22"/>
          <w:szCs w:val="22"/>
          <w:lang w:val="en-GB"/>
        </w:rPr>
        <w:t>5</w:t>
      </w:r>
      <w:r w:rsidR="005B0D13" w:rsidRPr="00A1755E">
        <w:rPr>
          <w:rFonts w:ascii="Helvetica" w:hAnsi="Helvetica"/>
          <w:sz w:val="22"/>
          <w:szCs w:val="22"/>
          <w:lang w:val="en-GB"/>
        </w:rPr>
        <w:t xml:space="preserve">) </w:t>
      </w:r>
      <w:r w:rsidR="009218F2">
        <w:rPr>
          <w:rFonts w:ascii="Helvetica" w:hAnsi="Helvetica"/>
          <w:sz w:val="22"/>
          <w:szCs w:val="22"/>
          <w:lang w:val="en-GB"/>
        </w:rPr>
        <w:t>setting up</w:t>
      </w:r>
      <w:r w:rsidR="005B0D13" w:rsidRPr="00A1755E">
        <w:rPr>
          <w:rFonts w:ascii="Helvetica" w:hAnsi="Helvetica"/>
          <w:sz w:val="22"/>
          <w:szCs w:val="22"/>
          <w:lang w:val="en-GB"/>
        </w:rPr>
        <w:t xml:space="preserve"> </w:t>
      </w:r>
      <w:r w:rsidR="005B0D13">
        <w:rPr>
          <w:rFonts w:ascii="Helvetica" w:hAnsi="Helvetica"/>
          <w:sz w:val="22"/>
          <w:szCs w:val="22"/>
          <w:lang w:val="en-GB"/>
        </w:rPr>
        <w:t xml:space="preserve">enhanced </w:t>
      </w:r>
      <w:r w:rsidR="005B0D13" w:rsidRPr="00A1755E">
        <w:rPr>
          <w:rFonts w:ascii="Helvetica" w:hAnsi="Helvetica"/>
          <w:sz w:val="22"/>
          <w:szCs w:val="22"/>
          <w:lang w:val="en-GB"/>
        </w:rPr>
        <w:t xml:space="preserve">communication and </w:t>
      </w:r>
      <w:r w:rsidR="005B0D13">
        <w:rPr>
          <w:rFonts w:ascii="Helvetica" w:hAnsi="Helvetica"/>
          <w:sz w:val="22"/>
          <w:szCs w:val="22"/>
          <w:lang w:val="en-GB"/>
        </w:rPr>
        <w:t>technology</w:t>
      </w:r>
      <w:r w:rsidR="005B0D13" w:rsidRPr="00A1755E">
        <w:rPr>
          <w:rFonts w:ascii="Helvetica" w:hAnsi="Helvetica"/>
          <w:sz w:val="22"/>
          <w:szCs w:val="22"/>
          <w:lang w:val="en-GB"/>
        </w:rPr>
        <w:t xml:space="preserve"> infrastructure</w:t>
      </w:r>
      <w:r w:rsidR="005B0D13">
        <w:rPr>
          <w:rFonts w:ascii="Helvetica" w:hAnsi="Helvetica"/>
          <w:sz w:val="22"/>
          <w:szCs w:val="22"/>
          <w:lang w:val="en-GB"/>
        </w:rPr>
        <w:t>.</w:t>
      </w:r>
      <w:r w:rsidRPr="00A1755E">
        <w:rPr>
          <w:rFonts w:ascii="Helvetica" w:hAnsi="Helvetica"/>
          <w:sz w:val="22"/>
          <w:szCs w:val="22"/>
          <w:lang w:val="en-GB"/>
        </w:rPr>
        <w:t xml:space="preserve"> Despite </w:t>
      </w:r>
      <w:r>
        <w:rPr>
          <w:rFonts w:ascii="Helvetica" w:hAnsi="Helvetica"/>
          <w:sz w:val="22"/>
          <w:szCs w:val="22"/>
          <w:lang w:val="en-GB"/>
        </w:rPr>
        <w:t xml:space="preserve">the </w:t>
      </w:r>
      <w:r w:rsidRPr="00A1755E">
        <w:rPr>
          <w:rFonts w:ascii="Helvetica" w:hAnsi="Helvetica"/>
          <w:sz w:val="22"/>
          <w:szCs w:val="22"/>
          <w:lang w:val="en-GB"/>
        </w:rPr>
        <w:t xml:space="preserve">overwhelming tragedy, many interviewees </w:t>
      </w:r>
      <w:r>
        <w:rPr>
          <w:rFonts w:ascii="Helvetica" w:hAnsi="Helvetica"/>
          <w:sz w:val="22"/>
          <w:szCs w:val="22"/>
          <w:lang w:val="en-GB"/>
        </w:rPr>
        <w:t>reported that</w:t>
      </w:r>
      <w:r w:rsidRPr="00A1755E">
        <w:rPr>
          <w:rFonts w:ascii="Helvetica" w:hAnsi="Helvetica"/>
          <w:sz w:val="22"/>
          <w:szCs w:val="22"/>
          <w:lang w:val="en-GB"/>
        </w:rPr>
        <w:t xml:space="preserve"> the dynamics during the pandemic helped to overcome red tape</w:t>
      </w:r>
      <w:r>
        <w:rPr>
          <w:rFonts w:ascii="Helvetica" w:hAnsi="Helvetica"/>
          <w:sz w:val="22"/>
          <w:szCs w:val="22"/>
          <w:lang w:val="en-GB"/>
        </w:rPr>
        <w:t>,</w:t>
      </w:r>
      <w:r w:rsidRPr="00A1755E">
        <w:rPr>
          <w:rFonts w:ascii="Helvetica" w:hAnsi="Helvetica"/>
          <w:sz w:val="22"/>
          <w:szCs w:val="22"/>
          <w:lang w:val="en-GB"/>
        </w:rPr>
        <w:t xml:space="preserve"> potentially providing an impetus for rethinking the service and future improvement</w:t>
      </w:r>
      <w:r>
        <w:rPr>
          <w:rFonts w:ascii="Helvetica" w:hAnsi="Helvetica"/>
          <w:sz w:val="22"/>
          <w:szCs w:val="22"/>
          <w:lang w:val="en-GB"/>
        </w:rPr>
        <w:t xml:space="preserve"> within NHS hospitals:</w:t>
      </w:r>
    </w:p>
    <w:p w14:paraId="4DAE38C7" w14:textId="77777777" w:rsidR="00ED0444" w:rsidRPr="00A1755E" w:rsidRDefault="00ED0444" w:rsidP="00ED0444">
      <w:pPr>
        <w:spacing w:line="288" w:lineRule="auto"/>
        <w:jc w:val="both"/>
        <w:rPr>
          <w:rFonts w:ascii="Helvetica" w:hAnsi="Helvetica"/>
          <w:sz w:val="22"/>
          <w:szCs w:val="22"/>
          <w:lang w:val="en-GB"/>
        </w:rPr>
      </w:pPr>
    </w:p>
    <w:p w14:paraId="2FC51704" w14:textId="5532EE23" w:rsidR="00ED0444" w:rsidRDefault="005B0D13" w:rsidP="00ED0444">
      <w:pPr>
        <w:pStyle w:val="ListParagraph"/>
        <w:numPr>
          <w:ilvl w:val="0"/>
          <w:numId w:val="4"/>
        </w:numPr>
        <w:spacing w:line="288" w:lineRule="auto"/>
        <w:jc w:val="both"/>
        <w:rPr>
          <w:rFonts w:ascii="Helvetica" w:hAnsi="Helvetica"/>
          <w:sz w:val="22"/>
          <w:szCs w:val="22"/>
        </w:rPr>
      </w:pPr>
      <w:r w:rsidRPr="00037AAE">
        <w:rPr>
          <w:rFonts w:ascii="Helvetica" w:hAnsi="Helvetica"/>
          <w:i/>
          <w:iCs/>
          <w:sz w:val="22"/>
          <w:szCs w:val="22"/>
        </w:rPr>
        <w:t>Staff Recru</w:t>
      </w:r>
      <w:r w:rsidRPr="00E309E2">
        <w:rPr>
          <w:rFonts w:ascii="Helvetica" w:hAnsi="Helvetica"/>
          <w:i/>
          <w:iCs/>
          <w:sz w:val="22"/>
          <w:szCs w:val="22"/>
        </w:rPr>
        <w:t xml:space="preserve">itment, Retention and </w:t>
      </w:r>
      <w:r>
        <w:rPr>
          <w:rFonts w:ascii="Helvetica" w:hAnsi="Helvetica"/>
          <w:i/>
          <w:iCs/>
          <w:sz w:val="22"/>
          <w:szCs w:val="22"/>
        </w:rPr>
        <w:t xml:space="preserve">Willingness </w:t>
      </w:r>
      <w:r w:rsidR="009218F2">
        <w:rPr>
          <w:rFonts w:ascii="Helvetica" w:hAnsi="Helvetica"/>
          <w:i/>
          <w:iCs/>
          <w:sz w:val="22"/>
          <w:szCs w:val="22"/>
        </w:rPr>
        <w:t>to</w:t>
      </w:r>
      <w:r>
        <w:rPr>
          <w:rFonts w:ascii="Helvetica" w:hAnsi="Helvetica"/>
          <w:i/>
          <w:iCs/>
          <w:sz w:val="22"/>
          <w:szCs w:val="22"/>
        </w:rPr>
        <w:t xml:space="preserve"> Change</w:t>
      </w:r>
      <w:r w:rsidRPr="009E0A93">
        <w:rPr>
          <w:rFonts w:ascii="Helvetica" w:hAnsi="Helvetica"/>
          <w:i/>
          <w:iCs/>
          <w:sz w:val="22"/>
          <w:szCs w:val="22"/>
        </w:rPr>
        <w:t xml:space="preserve">. </w:t>
      </w:r>
      <w:r w:rsidRPr="009E0A93">
        <w:rPr>
          <w:rFonts w:ascii="Helvetica" w:hAnsi="Helvetica"/>
          <w:sz w:val="22"/>
          <w:szCs w:val="22"/>
        </w:rPr>
        <w:t>The willingness of NHS workforce to jointly combat the virus created a common purpose</w:t>
      </w:r>
      <w:r>
        <w:rPr>
          <w:rFonts w:ascii="Helvetica" w:hAnsi="Helvetica"/>
          <w:sz w:val="22"/>
          <w:szCs w:val="22"/>
        </w:rPr>
        <w:t xml:space="preserve"> (“Keeping staff and patients safe”)</w:t>
      </w:r>
      <w:r w:rsidRPr="00E309E2">
        <w:rPr>
          <w:rFonts w:ascii="Helvetica" w:hAnsi="Helvetica"/>
          <w:sz w:val="22"/>
          <w:szCs w:val="22"/>
        </w:rPr>
        <w:t xml:space="preserve"> and enabled swift change</w:t>
      </w:r>
      <w:r w:rsidR="009218F2">
        <w:rPr>
          <w:rFonts w:ascii="Helvetica" w:hAnsi="Helvetica"/>
          <w:sz w:val="22"/>
          <w:szCs w:val="22"/>
        </w:rPr>
        <w:t>s</w:t>
      </w:r>
      <w:r w:rsidRPr="00E309E2">
        <w:rPr>
          <w:rFonts w:ascii="Helvetica" w:hAnsi="Helvetica"/>
          <w:sz w:val="22"/>
          <w:szCs w:val="22"/>
        </w:rPr>
        <w:t xml:space="preserve"> in hospitals. However, the dynamics of the past months have </w:t>
      </w:r>
      <w:r w:rsidR="009218F2">
        <w:rPr>
          <w:rFonts w:ascii="Helvetica" w:hAnsi="Helvetica"/>
          <w:sz w:val="22"/>
          <w:szCs w:val="22"/>
        </w:rPr>
        <w:t xml:space="preserve">more </w:t>
      </w:r>
      <w:r w:rsidRPr="00E309E2">
        <w:rPr>
          <w:rFonts w:ascii="Helvetica" w:hAnsi="Helvetica"/>
          <w:sz w:val="22"/>
          <w:szCs w:val="22"/>
        </w:rPr>
        <w:lastRenderedPageBreak/>
        <w:t>recently created stress, fatigue</w:t>
      </w:r>
      <w:r w:rsidR="009218F2">
        <w:rPr>
          <w:rFonts w:ascii="Helvetica" w:hAnsi="Helvetica"/>
          <w:sz w:val="22"/>
          <w:szCs w:val="22"/>
        </w:rPr>
        <w:t>,</w:t>
      </w:r>
      <w:r w:rsidRPr="00E309E2">
        <w:rPr>
          <w:rFonts w:ascii="Helvetica" w:hAnsi="Helvetica"/>
          <w:sz w:val="22"/>
          <w:szCs w:val="22"/>
        </w:rPr>
        <w:t xml:space="preserve"> and resistance to further change</w:t>
      </w:r>
      <w:r>
        <w:rPr>
          <w:rFonts w:ascii="Helvetica" w:hAnsi="Helvetica"/>
          <w:sz w:val="22"/>
          <w:szCs w:val="22"/>
        </w:rPr>
        <w:t xml:space="preserve"> and the willingness to deliver extra services</w:t>
      </w:r>
      <w:r w:rsidRPr="00E309E2">
        <w:rPr>
          <w:rFonts w:ascii="Helvetica" w:hAnsi="Helvetica"/>
          <w:sz w:val="22"/>
          <w:szCs w:val="22"/>
        </w:rPr>
        <w:t>. At the same time, staff sickness rates have gone up</w:t>
      </w:r>
      <w:r w:rsidR="009218F2">
        <w:rPr>
          <w:rFonts w:ascii="Helvetica" w:hAnsi="Helvetica"/>
          <w:sz w:val="22"/>
          <w:szCs w:val="22"/>
        </w:rPr>
        <w:t>,</w:t>
      </w:r>
      <w:r w:rsidRPr="00E309E2">
        <w:rPr>
          <w:rFonts w:ascii="Helvetica" w:hAnsi="Helvetica"/>
          <w:sz w:val="22"/>
          <w:szCs w:val="22"/>
        </w:rPr>
        <w:t xml:space="preserve"> adding further t</w:t>
      </w:r>
      <w:r w:rsidRPr="009E0A93">
        <w:rPr>
          <w:rFonts w:ascii="Helvetica" w:hAnsi="Helvetica"/>
          <w:sz w:val="22"/>
          <w:szCs w:val="22"/>
        </w:rPr>
        <w:t xml:space="preserve">o a </w:t>
      </w:r>
      <w:r>
        <w:rPr>
          <w:rFonts w:ascii="Helvetica" w:hAnsi="Helvetica"/>
          <w:sz w:val="22"/>
          <w:szCs w:val="22"/>
        </w:rPr>
        <w:t xml:space="preserve">general </w:t>
      </w:r>
      <w:r w:rsidR="009218F2">
        <w:rPr>
          <w:rFonts w:ascii="Helvetica" w:hAnsi="Helvetica"/>
          <w:sz w:val="22"/>
          <w:szCs w:val="22"/>
        </w:rPr>
        <w:t>shortage</w:t>
      </w:r>
      <w:r w:rsidRPr="009E0A93">
        <w:rPr>
          <w:rFonts w:ascii="Helvetica" w:hAnsi="Helvetica"/>
          <w:sz w:val="22"/>
          <w:szCs w:val="22"/>
        </w:rPr>
        <w:t xml:space="preserve"> of nursing </w:t>
      </w:r>
      <w:r w:rsidRPr="00473002">
        <w:rPr>
          <w:rFonts w:ascii="Helvetica" w:hAnsi="Helvetica"/>
          <w:sz w:val="22"/>
          <w:szCs w:val="22"/>
        </w:rPr>
        <w:t xml:space="preserve">staff. </w:t>
      </w:r>
      <w:r w:rsidRPr="00037AAE">
        <w:rPr>
          <w:rFonts w:ascii="Helvetica" w:hAnsi="Helvetica"/>
          <w:sz w:val="22"/>
          <w:szCs w:val="22"/>
        </w:rPr>
        <w:t xml:space="preserve">A long-term recruitment and retention strategy is required that alleviates the impact on workforce mental </w:t>
      </w:r>
      <w:proofErr w:type="gramStart"/>
      <w:r w:rsidRPr="00037AAE">
        <w:rPr>
          <w:rFonts w:ascii="Helvetica" w:hAnsi="Helvetica"/>
          <w:sz w:val="22"/>
          <w:szCs w:val="22"/>
        </w:rPr>
        <w:t>health, but</w:t>
      </w:r>
      <w:proofErr w:type="gramEnd"/>
      <w:r w:rsidRPr="00037AAE">
        <w:rPr>
          <w:rFonts w:ascii="Helvetica" w:hAnsi="Helvetica"/>
          <w:sz w:val="22"/>
          <w:szCs w:val="22"/>
        </w:rPr>
        <w:t xml:space="preserve"> maintains an appetite for change in terms of continuous improvemen</w:t>
      </w:r>
      <w:r w:rsidR="00ED0444">
        <w:rPr>
          <w:rFonts w:ascii="Helvetica" w:hAnsi="Helvetica"/>
          <w:sz w:val="22"/>
          <w:szCs w:val="22"/>
        </w:rPr>
        <w:t xml:space="preserve">t.  </w:t>
      </w:r>
    </w:p>
    <w:p w14:paraId="3710BD6F" w14:textId="77777777" w:rsidR="00ED0444" w:rsidRPr="00A1755E" w:rsidRDefault="00ED0444" w:rsidP="00ED0444">
      <w:pPr>
        <w:spacing w:line="288" w:lineRule="auto"/>
        <w:jc w:val="both"/>
        <w:rPr>
          <w:rFonts w:ascii="Helvetica" w:hAnsi="Helvetica"/>
          <w:sz w:val="22"/>
          <w:szCs w:val="22"/>
          <w:lang w:val="en-GB"/>
        </w:rPr>
      </w:pPr>
    </w:p>
    <w:p w14:paraId="44240960" w14:textId="77777777" w:rsidR="00FD0912" w:rsidRDefault="00ED0444" w:rsidP="00FD0912">
      <w:pPr>
        <w:pStyle w:val="ListParagraph"/>
        <w:numPr>
          <w:ilvl w:val="0"/>
          <w:numId w:val="4"/>
        </w:numPr>
        <w:spacing w:line="288" w:lineRule="auto"/>
        <w:jc w:val="both"/>
        <w:rPr>
          <w:rFonts w:ascii="Helvetica" w:hAnsi="Helvetica"/>
          <w:sz w:val="22"/>
          <w:szCs w:val="22"/>
        </w:rPr>
      </w:pPr>
      <w:r>
        <w:rPr>
          <w:rFonts w:ascii="Helvetica" w:hAnsi="Helvetica"/>
          <w:i/>
          <w:iCs/>
          <w:sz w:val="22"/>
          <w:szCs w:val="22"/>
        </w:rPr>
        <w:t>Government funding</w:t>
      </w:r>
      <w:r w:rsidRPr="006E1071">
        <w:rPr>
          <w:rFonts w:ascii="Helvetica" w:hAnsi="Helvetica"/>
          <w:i/>
          <w:iCs/>
          <w:sz w:val="22"/>
          <w:szCs w:val="22"/>
        </w:rPr>
        <w:t xml:space="preserve">. </w:t>
      </w:r>
      <w:r w:rsidR="005B0D13">
        <w:rPr>
          <w:rFonts w:ascii="Helvetica" w:hAnsi="Helvetica"/>
          <w:sz w:val="22"/>
          <w:szCs w:val="22"/>
        </w:rPr>
        <w:t xml:space="preserve">The removal of financial barriers by the government enabled hospitals to set up quickly extensive procurement programmes </w:t>
      </w:r>
      <w:r w:rsidR="005B0D13" w:rsidRPr="00CC0788">
        <w:rPr>
          <w:rFonts w:ascii="Helvetica" w:hAnsi="Helvetica"/>
          <w:sz w:val="22"/>
          <w:szCs w:val="22"/>
        </w:rPr>
        <w:t>for consumables (e.g., PPE), testing capacity and equipment (e.g., ventilators)</w:t>
      </w:r>
      <w:r w:rsidR="005B0D13">
        <w:rPr>
          <w:rFonts w:ascii="Helvetica" w:hAnsi="Helvetica"/>
          <w:sz w:val="22"/>
          <w:szCs w:val="22"/>
        </w:rPr>
        <w:t>;</w:t>
      </w:r>
      <w:r w:rsidR="005B0D13" w:rsidRPr="00CC0788">
        <w:rPr>
          <w:rFonts w:ascii="Helvetica" w:hAnsi="Helvetica"/>
          <w:sz w:val="22"/>
          <w:szCs w:val="22"/>
        </w:rPr>
        <w:t xml:space="preserve"> </w:t>
      </w:r>
      <w:r w:rsidR="009218F2">
        <w:rPr>
          <w:rFonts w:ascii="Helvetica" w:hAnsi="Helvetica"/>
          <w:sz w:val="22"/>
          <w:szCs w:val="22"/>
        </w:rPr>
        <w:t>and</w:t>
      </w:r>
      <w:r w:rsidR="005B0D13" w:rsidRPr="00CC0788">
        <w:rPr>
          <w:rFonts w:ascii="Helvetica" w:hAnsi="Helvetica"/>
          <w:sz w:val="22"/>
          <w:szCs w:val="22"/>
        </w:rPr>
        <w:t xml:space="preserve"> </w:t>
      </w:r>
      <w:proofErr w:type="gramStart"/>
      <w:r w:rsidR="005B0D13" w:rsidRPr="00CC0788">
        <w:rPr>
          <w:rFonts w:ascii="Helvetica" w:hAnsi="Helvetica"/>
          <w:sz w:val="22"/>
          <w:szCs w:val="22"/>
        </w:rPr>
        <w:t>also</w:t>
      </w:r>
      <w:proofErr w:type="gramEnd"/>
      <w:r w:rsidR="005B0D13" w:rsidRPr="00CC0788">
        <w:rPr>
          <w:rFonts w:ascii="Helvetica" w:hAnsi="Helvetica"/>
          <w:sz w:val="22"/>
          <w:szCs w:val="22"/>
        </w:rPr>
        <w:t xml:space="preserve"> to launch continuous improvement projects</w:t>
      </w:r>
      <w:r w:rsidR="005B0D13">
        <w:rPr>
          <w:rFonts w:ascii="Helvetica" w:hAnsi="Helvetica"/>
          <w:sz w:val="22"/>
          <w:szCs w:val="22"/>
        </w:rPr>
        <w:t xml:space="preserve"> </w:t>
      </w:r>
      <w:r w:rsidR="009218F2">
        <w:rPr>
          <w:rFonts w:ascii="Helvetica" w:hAnsi="Helvetica"/>
          <w:sz w:val="22"/>
          <w:szCs w:val="22"/>
        </w:rPr>
        <w:t xml:space="preserve">previously </w:t>
      </w:r>
      <w:r w:rsidR="005B0D13">
        <w:rPr>
          <w:rFonts w:ascii="Helvetica" w:hAnsi="Helvetica"/>
          <w:sz w:val="22"/>
          <w:szCs w:val="22"/>
        </w:rPr>
        <w:t>without funding</w:t>
      </w:r>
      <w:r w:rsidR="009218F2">
        <w:rPr>
          <w:rFonts w:ascii="Helvetica" w:hAnsi="Helvetica"/>
          <w:sz w:val="22"/>
          <w:szCs w:val="22"/>
        </w:rPr>
        <w:t xml:space="preserve"> in place</w:t>
      </w:r>
      <w:r w:rsidR="005B0D13">
        <w:rPr>
          <w:rFonts w:ascii="Helvetica" w:hAnsi="Helvetica"/>
          <w:sz w:val="22"/>
          <w:szCs w:val="22"/>
        </w:rPr>
        <w:t>. Money for</w:t>
      </w:r>
      <w:r w:rsidR="005B0D13" w:rsidRPr="00CC0788">
        <w:rPr>
          <w:rFonts w:ascii="Helvetica" w:hAnsi="Helvetica"/>
          <w:sz w:val="22"/>
          <w:szCs w:val="22"/>
        </w:rPr>
        <w:t xml:space="preserve"> the use of private facilities </w:t>
      </w:r>
      <w:r w:rsidR="005B0D13">
        <w:rPr>
          <w:rFonts w:ascii="Helvetica" w:hAnsi="Helvetica"/>
          <w:sz w:val="22"/>
          <w:szCs w:val="22"/>
        </w:rPr>
        <w:t>allowed</w:t>
      </w:r>
      <w:r w:rsidR="005B0D13" w:rsidRPr="00CC0788">
        <w:rPr>
          <w:rFonts w:ascii="Helvetica" w:hAnsi="Helvetica"/>
          <w:sz w:val="22"/>
          <w:szCs w:val="22"/>
        </w:rPr>
        <w:t xml:space="preserve"> hospitals to </w:t>
      </w:r>
      <w:r w:rsidR="005B0D13">
        <w:rPr>
          <w:rFonts w:ascii="Helvetica" w:hAnsi="Helvetica"/>
          <w:sz w:val="22"/>
          <w:szCs w:val="22"/>
        </w:rPr>
        <w:t>ease the burden of the waiting lists by delivering surgery offsite. Future funding levels will be critical in addressing the backlog of patients</w:t>
      </w:r>
      <w:r>
        <w:rPr>
          <w:rFonts w:ascii="Helvetica" w:hAnsi="Helvetica"/>
          <w:sz w:val="22"/>
          <w:szCs w:val="22"/>
        </w:rPr>
        <w:t>.</w:t>
      </w:r>
    </w:p>
    <w:p w14:paraId="35887859" w14:textId="77777777" w:rsidR="00FD0912" w:rsidRPr="00FD0912" w:rsidRDefault="00FD0912" w:rsidP="00FD0912">
      <w:pPr>
        <w:pStyle w:val="ListParagraph"/>
        <w:rPr>
          <w:rFonts w:ascii="Helvetica" w:hAnsi="Helvetica"/>
          <w:i/>
          <w:iCs/>
          <w:sz w:val="22"/>
          <w:szCs w:val="22"/>
        </w:rPr>
      </w:pPr>
    </w:p>
    <w:p w14:paraId="306A5D72" w14:textId="1C15136C" w:rsidR="00ED0444" w:rsidRPr="00FD0912" w:rsidRDefault="00ED0444" w:rsidP="00FD0912">
      <w:pPr>
        <w:pStyle w:val="ListParagraph"/>
        <w:numPr>
          <w:ilvl w:val="0"/>
          <w:numId w:val="4"/>
        </w:numPr>
        <w:spacing w:line="288" w:lineRule="auto"/>
        <w:jc w:val="both"/>
        <w:rPr>
          <w:rFonts w:ascii="Helvetica" w:hAnsi="Helvetica"/>
          <w:sz w:val="22"/>
          <w:szCs w:val="22"/>
        </w:rPr>
      </w:pPr>
      <w:r w:rsidRPr="00FD0912">
        <w:rPr>
          <w:rFonts w:ascii="Helvetica" w:hAnsi="Helvetica"/>
          <w:i/>
          <w:iCs/>
          <w:sz w:val="22"/>
          <w:szCs w:val="22"/>
        </w:rPr>
        <w:t>Eas</w:t>
      </w:r>
      <w:r w:rsidR="0007451F" w:rsidRPr="00FD0912">
        <w:rPr>
          <w:rFonts w:ascii="Helvetica" w:hAnsi="Helvetica"/>
          <w:i/>
          <w:iCs/>
          <w:sz w:val="22"/>
          <w:szCs w:val="22"/>
        </w:rPr>
        <w:t>ing</w:t>
      </w:r>
      <w:r w:rsidRPr="00FD0912">
        <w:rPr>
          <w:rFonts w:ascii="Helvetica" w:hAnsi="Helvetica"/>
          <w:i/>
          <w:iCs/>
          <w:sz w:val="22"/>
          <w:szCs w:val="22"/>
        </w:rPr>
        <w:t xml:space="preserve"> of governance processes. </w:t>
      </w:r>
      <w:r w:rsidR="005B0D13" w:rsidRPr="00FD0912">
        <w:rPr>
          <w:rFonts w:ascii="Helvetica" w:hAnsi="Helvetica"/>
          <w:sz w:val="22"/>
          <w:szCs w:val="22"/>
        </w:rPr>
        <w:t xml:space="preserve">The removal of bureaucratic layers and the set-up of new command and taskforce structures softened the vertical and horizontal boundaries of services and hierarchies in </w:t>
      </w:r>
      <w:proofErr w:type="gramStart"/>
      <w:r w:rsidR="005B0D13" w:rsidRPr="00FD0912">
        <w:rPr>
          <w:rFonts w:ascii="Helvetica" w:hAnsi="Helvetica"/>
          <w:sz w:val="22"/>
          <w:szCs w:val="22"/>
        </w:rPr>
        <w:t>hospitals</w:t>
      </w:r>
      <w:r w:rsidR="009218F2" w:rsidRPr="00FD0912">
        <w:rPr>
          <w:rFonts w:ascii="Helvetica" w:hAnsi="Helvetica"/>
          <w:sz w:val="22"/>
          <w:szCs w:val="22"/>
        </w:rPr>
        <w:t>,</w:t>
      </w:r>
      <w:r w:rsidR="005B0D13" w:rsidRPr="00FD0912">
        <w:rPr>
          <w:rFonts w:ascii="Helvetica" w:hAnsi="Helvetica"/>
          <w:sz w:val="22"/>
          <w:szCs w:val="22"/>
        </w:rPr>
        <w:t xml:space="preserve"> and</w:t>
      </w:r>
      <w:proofErr w:type="gramEnd"/>
      <w:r w:rsidR="005B0D13" w:rsidRPr="00FD0912">
        <w:rPr>
          <w:rFonts w:ascii="Helvetica" w:hAnsi="Helvetica"/>
          <w:sz w:val="22"/>
          <w:szCs w:val="22"/>
        </w:rPr>
        <w:t xml:space="preserve"> enabled </w:t>
      </w:r>
      <w:r w:rsidR="009218F2" w:rsidRPr="00FD0912">
        <w:rPr>
          <w:rFonts w:ascii="Helvetica" w:hAnsi="Helvetica"/>
          <w:sz w:val="22"/>
          <w:szCs w:val="22"/>
        </w:rPr>
        <w:t xml:space="preserve">more </w:t>
      </w:r>
      <w:r w:rsidR="005B0D13" w:rsidRPr="00FD0912">
        <w:rPr>
          <w:rFonts w:ascii="Helvetica" w:hAnsi="Helvetica"/>
          <w:sz w:val="22"/>
          <w:szCs w:val="22"/>
        </w:rPr>
        <w:t xml:space="preserve">interdisciplinary coordination. Processes accelerated within hospitals </w:t>
      </w:r>
      <w:r w:rsidR="009218F2" w:rsidRPr="00FD0912">
        <w:rPr>
          <w:rFonts w:ascii="Helvetica" w:hAnsi="Helvetica"/>
          <w:sz w:val="22"/>
          <w:szCs w:val="22"/>
        </w:rPr>
        <w:t>and</w:t>
      </w:r>
      <w:r w:rsidR="005B0D13" w:rsidRPr="00FD0912">
        <w:rPr>
          <w:rFonts w:ascii="Helvetica" w:hAnsi="Helvetica"/>
          <w:sz w:val="22"/>
          <w:szCs w:val="22"/>
        </w:rPr>
        <w:t xml:space="preserve"> also in their relationship with the external environment. For example, the discharge of patients to nursing homes in the early stages of the pandemic happened </w:t>
      </w:r>
      <w:r w:rsidR="009218F2" w:rsidRPr="00FD0912">
        <w:rPr>
          <w:rFonts w:ascii="Helvetica" w:hAnsi="Helvetica"/>
          <w:sz w:val="22"/>
          <w:szCs w:val="22"/>
        </w:rPr>
        <w:t>faster than usual</w:t>
      </w:r>
      <w:r w:rsidR="005B0D13" w:rsidRPr="00FD0912">
        <w:rPr>
          <w:rFonts w:ascii="Helvetica" w:hAnsi="Helvetica"/>
          <w:sz w:val="22"/>
          <w:szCs w:val="22"/>
        </w:rPr>
        <w:t xml:space="preserve"> as barriers of paperwork and agreements evaporated.</w:t>
      </w:r>
      <w:r w:rsidR="009218F2" w:rsidRPr="00FD0912">
        <w:rPr>
          <w:rFonts w:ascii="Helvetica" w:hAnsi="Helvetica"/>
          <w:sz w:val="22"/>
          <w:szCs w:val="22"/>
        </w:rPr>
        <w:t xml:space="preserve"> – albeit with terrible consequences.</w:t>
      </w:r>
      <w:r w:rsidR="005B0D13" w:rsidRPr="00FD0912">
        <w:rPr>
          <w:rFonts w:ascii="Helvetica" w:hAnsi="Helvetica"/>
          <w:sz w:val="22"/>
          <w:szCs w:val="22"/>
        </w:rPr>
        <w:t xml:space="preserve"> Yet an acceleration of processes can put quality at jeopardy</w:t>
      </w:r>
      <w:r w:rsidR="009218F2" w:rsidRPr="00FD0912">
        <w:rPr>
          <w:rFonts w:ascii="Helvetica" w:hAnsi="Helvetica"/>
          <w:sz w:val="22"/>
          <w:szCs w:val="22"/>
        </w:rPr>
        <w:t>, as this example shows</w:t>
      </w:r>
      <w:r w:rsidR="005B0D13" w:rsidRPr="00FD0912">
        <w:rPr>
          <w:rFonts w:ascii="Helvetica" w:hAnsi="Helvetica"/>
          <w:sz w:val="22"/>
          <w:szCs w:val="22"/>
        </w:rPr>
        <w:t xml:space="preserve">. </w:t>
      </w:r>
      <w:r w:rsidR="009218F2" w:rsidRPr="00FD0912">
        <w:rPr>
          <w:rFonts w:ascii="Helvetica" w:hAnsi="Helvetica"/>
          <w:sz w:val="22"/>
          <w:szCs w:val="22"/>
        </w:rPr>
        <w:t>Another</w:t>
      </w:r>
      <w:r w:rsidR="005B0D13" w:rsidRPr="00FD0912">
        <w:rPr>
          <w:rFonts w:ascii="Helvetica" w:hAnsi="Helvetica"/>
          <w:sz w:val="22"/>
          <w:szCs w:val="22"/>
        </w:rPr>
        <w:t xml:space="preserve"> example</w:t>
      </w:r>
      <w:r w:rsidR="009218F2" w:rsidRPr="00FD0912">
        <w:rPr>
          <w:rFonts w:ascii="Helvetica" w:hAnsi="Helvetica"/>
          <w:sz w:val="22"/>
          <w:szCs w:val="22"/>
        </w:rPr>
        <w:t xml:space="preserve"> is that</w:t>
      </w:r>
      <w:r w:rsidR="005B0D13" w:rsidRPr="00FD0912">
        <w:rPr>
          <w:rFonts w:ascii="Helvetica" w:hAnsi="Helvetica"/>
          <w:sz w:val="22"/>
          <w:szCs w:val="22"/>
        </w:rPr>
        <w:t xml:space="preserve"> the urgent need for equipment such as ventilators has cut bidding processes resulting in the procurement of potentially lower quality products. The pace at which hospitals will operate in the future will largely depend on their ability of finding a balance between robust business-as-usual and flexible institutional structures</w:t>
      </w:r>
      <w:r w:rsidRPr="00FD0912">
        <w:rPr>
          <w:rFonts w:ascii="Helvetica" w:hAnsi="Helvetica"/>
          <w:sz w:val="22"/>
          <w:szCs w:val="22"/>
        </w:rPr>
        <w:t xml:space="preserve">. </w:t>
      </w:r>
      <w:r w:rsidR="00FD0912" w:rsidRPr="00FD0912">
        <w:rPr>
          <w:rFonts w:ascii="Helvetica" w:hAnsi="Helvetica"/>
          <w:sz w:val="22"/>
          <w:szCs w:val="22"/>
        </w:rPr>
        <w:t xml:space="preserve">We found some concern that this pace and flexibility would revert: </w:t>
      </w:r>
      <w:r w:rsidR="00FD0912" w:rsidRPr="00FD0912">
        <w:rPr>
          <w:sz w:val="22"/>
          <w:szCs w:val="22"/>
        </w:rPr>
        <w:t>“</w:t>
      </w:r>
      <w:r w:rsidR="00FD0912" w:rsidRPr="00FD0912">
        <w:rPr>
          <w:rFonts w:cstheme="minorHAnsi"/>
          <w:sz w:val="22"/>
          <w:szCs w:val="22"/>
        </w:rPr>
        <w:t>initially (…)  there was a huge amount of change, and it was very dynamic, and we've now got a whole load of treacle.”</w:t>
      </w:r>
    </w:p>
    <w:p w14:paraId="4C7B0A71" w14:textId="77777777" w:rsidR="005B0D13" w:rsidRPr="005B0D13" w:rsidRDefault="005B0D13" w:rsidP="005B0D13">
      <w:pPr>
        <w:pStyle w:val="ListParagraph"/>
        <w:rPr>
          <w:rFonts w:ascii="Helvetica" w:hAnsi="Helvetica"/>
          <w:sz w:val="22"/>
          <w:szCs w:val="22"/>
        </w:rPr>
      </w:pPr>
    </w:p>
    <w:p w14:paraId="3C70BFCE" w14:textId="707743B3" w:rsidR="005B0D13" w:rsidRPr="005B0D13" w:rsidRDefault="005B0D13" w:rsidP="005B0D13">
      <w:pPr>
        <w:pStyle w:val="ListParagraph"/>
        <w:numPr>
          <w:ilvl w:val="0"/>
          <w:numId w:val="4"/>
        </w:numPr>
        <w:spacing w:line="288" w:lineRule="auto"/>
        <w:jc w:val="both"/>
        <w:rPr>
          <w:rFonts w:ascii="Helvetica" w:hAnsi="Helvetica"/>
          <w:i/>
          <w:iCs/>
          <w:sz w:val="22"/>
          <w:szCs w:val="22"/>
        </w:rPr>
      </w:pPr>
      <w:r w:rsidRPr="002D3963">
        <w:rPr>
          <w:rFonts w:ascii="Helvetica" w:hAnsi="Helvetica"/>
          <w:i/>
          <w:iCs/>
          <w:sz w:val="22"/>
          <w:szCs w:val="22"/>
        </w:rPr>
        <w:t xml:space="preserve">Provision of surge capacity. </w:t>
      </w:r>
      <w:r>
        <w:rPr>
          <w:rFonts w:ascii="Helvetica" w:hAnsi="Helvetica"/>
          <w:sz w:val="22"/>
          <w:szCs w:val="22"/>
        </w:rPr>
        <w:t>In the expectation of a significant backlog of diagnostics and treatment demand, many hospitals have started to</w:t>
      </w:r>
      <w:r w:rsidR="009218F2">
        <w:rPr>
          <w:rFonts w:ascii="Helvetica" w:hAnsi="Helvetica"/>
          <w:sz w:val="22"/>
          <w:szCs w:val="22"/>
        </w:rPr>
        <w:t xml:space="preserve"> build</w:t>
      </w:r>
      <w:r>
        <w:rPr>
          <w:rFonts w:ascii="Helvetica" w:hAnsi="Helvetica"/>
          <w:sz w:val="22"/>
          <w:szCs w:val="22"/>
        </w:rPr>
        <w:t xml:space="preserve"> surge capacity by purchasing more equipment and setting up external modules to enlarge the</w:t>
      </w:r>
      <w:r w:rsidR="009218F2">
        <w:rPr>
          <w:rFonts w:ascii="Helvetica" w:hAnsi="Helvetica"/>
          <w:sz w:val="22"/>
          <w:szCs w:val="22"/>
        </w:rPr>
        <w:t>ir</w:t>
      </w:r>
      <w:r>
        <w:rPr>
          <w:rFonts w:ascii="Helvetica" w:hAnsi="Helvetica"/>
          <w:sz w:val="22"/>
          <w:szCs w:val="22"/>
        </w:rPr>
        <w:t xml:space="preserve"> bed base. Due to the interdependency of hospital services, this has implications for other types of resources. For example, more beds provided </w:t>
      </w:r>
      <w:r w:rsidR="009218F2">
        <w:rPr>
          <w:rFonts w:ascii="Helvetica" w:hAnsi="Helvetica"/>
          <w:sz w:val="22"/>
          <w:szCs w:val="22"/>
        </w:rPr>
        <w:t>for</w:t>
      </w:r>
      <w:r>
        <w:rPr>
          <w:rFonts w:ascii="Helvetica" w:hAnsi="Helvetica"/>
          <w:sz w:val="22"/>
          <w:szCs w:val="22"/>
        </w:rPr>
        <w:t xml:space="preserve"> orthopaedic surgical patients creates significantly more demand for radiology services requiring additional capacity for </w:t>
      </w:r>
      <w:r w:rsidR="009218F2">
        <w:rPr>
          <w:rFonts w:ascii="Helvetica" w:hAnsi="Helvetica"/>
          <w:sz w:val="22"/>
          <w:szCs w:val="22"/>
        </w:rPr>
        <w:t>example for</w:t>
      </w:r>
      <w:r>
        <w:rPr>
          <w:rFonts w:ascii="Helvetica" w:hAnsi="Helvetica"/>
          <w:sz w:val="22"/>
          <w:szCs w:val="22"/>
        </w:rPr>
        <w:t xml:space="preserve"> CT and MRT scanning. To avoid bottlenecks within the hospital, a holistic view of the surge strategy is needed, potentially crossing the boundaries of the hospital. For example, prior to the pandemic, the Manchester Royal Infirmary had already bundled head and neck surgical services from other hospitals in the region. This model could </w:t>
      </w:r>
      <w:r w:rsidR="009218F2">
        <w:rPr>
          <w:rFonts w:ascii="Helvetica" w:hAnsi="Helvetica"/>
          <w:sz w:val="22"/>
          <w:szCs w:val="22"/>
        </w:rPr>
        <w:t>hold lessons</w:t>
      </w:r>
      <w:r>
        <w:rPr>
          <w:rFonts w:ascii="Helvetica" w:hAnsi="Helvetica"/>
          <w:sz w:val="22"/>
          <w:szCs w:val="22"/>
        </w:rPr>
        <w:t xml:space="preserve"> for endeavours in other regions. </w:t>
      </w:r>
    </w:p>
    <w:p w14:paraId="7B8F9CFA" w14:textId="77777777" w:rsidR="00ED0444" w:rsidRPr="00FB471C" w:rsidRDefault="00ED0444" w:rsidP="00ED0444">
      <w:pPr>
        <w:spacing w:line="288" w:lineRule="auto"/>
        <w:jc w:val="both"/>
        <w:rPr>
          <w:rFonts w:ascii="Helvetica" w:hAnsi="Helvetica"/>
          <w:sz w:val="22"/>
          <w:szCs w:val="22"/>
        </w:rPr>
      </w:pPr>
    </w:p>
    <w:p w14:paraId="410552CE" w14:textId="2674B8FF" w:rsidR="00ED0444" w:rsidRDefault="00ED0444" w:rsidP="00227A95">
      <w:pPr>
        <w:pStyle w:val="ListParagraph"/>
        <w:numPr>
          <w:ilvl w:val="0"/>
          <w:numId w:val="4"/>
        </w:numPr>
        <w:spacing w:line="288" w:lineRule="auto"/>
        <w:jc w:val="both"/>
        <w:rPr>
          <w:rFonts w:ascii="Helvetica" w:hAnsi="Helvetica"/>
          <w:sz w:val="22"/>
          <w:szCs w:val="22"/>
        </w:rPr>
      </w:pPr>
      <w:r w:rsidRPr="005B0D13">
        <w:rPr>
          <w:rFonts w:ascii="Helvetica" w:hAnsi="Helvetica"/>
          <w:i/>
          <w:iCs/>
          <w:sz w:val="22"/>
          <w:szCs w:val="22"/>
        </w:rPr>
        <w:t>Technology infrastructure.</w:t>
      </w:r>
      <w:r w:rsidRPr="005B0D13">
        <w:rPr>
          <w:rFonts w:ascii="Helvetica" w:hAnsi="Helvetica"/>
          <w:sz w:val="22"/>
          <w:szCs w:val="22"/>
        </w:rPr>
        <w:t xml:space="preserve"> </w:t>
      </w:r>
      <w:r w:rsidR="009218F2">
        <w:rPr>
          <w:rFonts w:ascii="Helvetica" w:hAnsi="Helvetica"/>
          <w:sz w:val="22"/>
          <w:szCs w:val="22"/>
        </w:rPr>
        <w:t>Hospitals, like many businesses,</w:t>
      </w:r>
      <w:r w:rsidR="005B0D13">
        <w:rPr>
          <w:rFonts w:ascii="Helvetica" w:hAnsi="Helvetica"/>
          <w:sz w:val="22"/>
          <w:szCs w:val="22"/>
        </w:rPr>
        <w:t xml:space="preserve"> expanded their technological infrastructure to enable effective remote working. V</w:t>
      </w:r>
      <w:r w:rsidR="005B0D13" w:rsidRPr="006220FA">
        <w:rPr>
          <w:rFonts w:ascii="Helvetica" w:hAnsi="Helvetica"/>
          <w:sz w:val="22"/>
          <w:szCs w:val="22"/>
        </w:rPr>
        <w:t>ideoconferencing massively improved communication and coordination within and across hospitals</w:t>
      </w:r>
      <w:r w:rsidR="005B0D13">
        <w:rPr>
          <w:rFonts w:ascii="Helvetica" w:hAnsi="Helvetica"/>
          <w:sz w:val="22"/>
          <w:szCs w:val="22"/>
        </w:rPr>
        <w:t>. Likewise, t</w:t>
      </w:r>
      <w:r w:rsidR="005B0D13" w:rsidRPr="003722E6">
        <w:rPr>
          <w:rFonts w:ascii="Helvetica" w:hAnsi="Helvetica"/>
          <w:sz w:val="22"/>
          <w:szCs w:val="22"/>
        </w:rPr>
        <w:t xml:space="preserve">he use of telemedicine for outpatient clinics </w:t>
      </w:r>
      <w:r w:rsidR="005B0D13">
        <w:rPr>
          <w:rFonts w:ascii="Helvetica" w:hAnsi="Helvetica"/>
          <w:sz w:val="22"/>
          <w:szCs w:val="22"/>
        </w:rPr>
        <w:t>has</w:t>
      </w:r>
      <w:r w:rsidR="005B0D13" w:rsidRPr="003722E6">
        <w:rPr>
          <w:rFonts w:ascii="Helvetica" w:hAnsi="Helvetica"/>
          <w:sz w:val="22"/>
          <w:szCs w:val="22"/>
        </w:rPr>
        <w:t xml:space="preserve"> bridged an important gap in service availability</w:t>
      </w:r>
      <w:r w:rsidR="005B0D13">
        <w:rPr>
          <w:rFonts w:ascii="Helvetica" w:hAnsi="Helvetica"/>
          <w:sz w:val="22"/>
          <w:szCs w:val="22"/>
        </w:rPr>
        <w:t xml:space="preserve"> and </w:t>
      </w:r>
      <w:r w:rsidR="009218F2">
        <w:rPr>
          <w:rFonts w:ascii="Helvetica" w:hAnsi="Helvetica"/>
          <w:sz w:val="22"/>
          <w:szCs w:val="22"/>
        </w:rPr>
        <w:t>helped</w:t>
      </w:r>
      <w:r w:rsidR="005B0D13">
        <w:rPr>
          <w:rFonts w:ascii="Helvetica" w:hAnsi="Helvetica"/>
          <w:sz w:val="22"/>
          <w:szCs w:val="22"/>
        </w:rPr>
        <w:t xml:space="preserve"> many physicians overcome their doubts. While there is general consensus among our interviewees that virtual meetings and consultations will have a long-lasting impact on </w:t>
      </w:r>
      <w:r w:rsidR="005B0D13">
        <w:rPr>
          <w:rFonts w:ascii="Helvetica" w:hAnsi="Helvetica"/>
          <w:sz w:val="22"/>
          <w:szCs w:val="22"/>
        </w:rPr>
        <w:lastRenderedPageBreak/>
        <w:t xml:space="preserve">certain hospital services, the necessity of face-to-face encounters in the patient-doctor-nexus is crucial for quality of care. </w:t>
      </w:r>
      <w:r w:rsidR="005B0D13" w:rsidRPr="002D3963">
        <w:rPr>
          <w:rFonts w:ascii="Helvetica" w:hAnsi="Helvetica"/>
          <w:sz w:val="22"/>
          <w:szCs w:val="22"/>
        </w:rPr>
        <w:t>Many interviewees</w:t>
      </w:r>
      <w:r w:rsidR="005B0D13">
        <w:rPr>
          <w:rFonts w:ascii="Helvetica" w:hAnsi="Helvetica"/>
          <w:sz w:val="22"/>
          <w:szCs w:val="22"/>
        </w:rPr>
        <w:t xml:space="preserve"> also</w:t>
      </w:r>
      <w:r w:rsidR="005B0D13" w:rsidRPr="002D3963">
        <w:rPr>
          <w:rFonts w:ascii="Helvetica" w:hAnsi="Helvetica"/>
          <w:sz w:val="22"/>
          <w:szCs w:val="22"/>
        </w:rPr>
        <w:t xml:space="preserve"> emphasised the importance of their electronic medical record system. To what extent IT systems will have a long-term impact </w:t>
      </w:r>
      <w:r w:rsidR="009218F2">
        <w:rPr>
          <w:rFonts w:ascii="Helvetica" w:hAnsi="Helvetica"/>
          <w:sz w:val="22"/>
          <w:szCs w:val="22"/>
        </w:rPr>
        <w:t xml:space="preserve">enhancing co-ordination </w:t>
      </w:r>
      <w:r w:rsidR="005B0D13" w:rsidRPr="002D3963">
        <w:rPr>
          <w:rFonts w:ascii="Helvetica" w:hAnsi="Helvetica"/>
          <w:sz w:val="22"/>
          <w:szCs w:val="22"/>
        </w:rPr>
        <w:t>across different levels of the healthcare system will also depend on their interoperability.</w:t>
      </w:r>
    </w:p>
    <w:p w14:paraId="42CAD01E" w14:textId="77777777" w:rsidR="005B0D13" w:rsidRPr="005B0D13" w:rsidRDefault="005B0D13" w:rsidP="005B0D13">
      <w:pPr>
        <w:spacing w:line="288" w:lineRule="auto"/>
        <w:jc w:val="both"/>
        <w:rPr>
          <w:rFonts w:ascii="Helvetica" w:hAnsi="Helvetica"/>
          <w:sz w:val="22"/>
          <w:szCs w:val="22"/>
        </w:rPr>
      </w:pPr>
    </w:p>
    <w:p w14:paraId="04467C3C" w14:textId="03EA1789" w:rsidR="00ED0444" w:rsidRPr="0007451F" w:rsidRDefault="005E0201" w:rsidP="00ED0444">
      <w:pPr>
        <w:spacing w:line="288" w:lineRule="auto"/>
        <w:jc w:val="both"/>
        <w:rPr>
          <w:rFonts w:ascii="Helvetica" w:hAnsi="Helvetica"/>
          <w:b/>
          <w:bCs/>
          <w:i/>
          <w:iCs/>
          <w:sz w:val="22"/>
          <w:szCs w:val="22"/>
          <w:lang w:val="en-GB"/>
        </w:rPr>
      </w:pPr>
      <w:r>
        <w:rPr>
          <w:rFonts w:ascii="Helvetica" w:hAnsi="Helvetica"/>
          <w:b/>
          <w:bCs/>
          <w:i/>
          <w:iCs/>
          <w:sz w:val="22"/>
          <w:szCs w:val="22"/>
          <w:lang w:val="en-GB"/>
        </w:rPr>
        <w:t>Prospects</w:t>
      </w:r>
    </w:p>
    <w:p w14:paraId="7D7B704C" w14:textId="77777777" w:rsidR="0007451F" w:rsidRDefault="0007451F" w:rsidP="00ED0444">
      <w:pPr>
        <w:spacing w:line="288" w:lineRule="auto"/>
        <w:jc w:val="both"/>
        <w:rPr>
          <w:rFonts w:ascii="Helvetica" w:hAnsi="Helvetica"/>
          <w:sz w:val="22"/>
          <w:szCs w:val="22"/>
          <w:lang w:val="en-GB"/>
        </w:rPr>
      </w:pPr>
    </w:p>
    <w:p w14:paraId="4008829C" w14:textId="33DAADA0" w:rsidR="005B0D13" w:rsidRDefault="005B0D13" w:rsidP="005B0D13">
      <w:pPr>
        <w:spacing w:line="288" w:lineRule="auto"/>
        <w:jc w:val="both"/>
        <w:rPr>
          <w:rFonts w:ascii="Helvetica" w:hAnsi="Helvetica"/>
          <w:sz w:val="22"/>
          <w:szCs w:val="22"/>
          <w:lang w:val="en-GB"/>
        </w:rPr>
      </w:pPr>
      <w:r w:rsidRPr="00A1755E">
        <w:rPr>
          <w:rFonts w:ascii="Helvetica" w:hAnsi="Helvetica"/>
          <w:sz w:val="22"/>
          <w:szCs w:val="22"/>
          <w:lang w:val="en-GB"/>
        </w:rPr>
        <w:t xml:space="preserve">The effects of the pandemic remain profound. </w:t>
      </w:r>
      <w:r>
        <w:rPr>
          <w:rFonts w:ascii="Helvetica" w:hAnsi="Helvetica"/>
          <w:sz w:val="22"/>
          <w:szCs w:val="22"/>
          <w:lang w:val="en-GB"/>
        </w:rPr>
        <w:t xml:space="preserve">The </w:t>
      </w:r>
      <w:r w:rsidR="00F45EF0">
        <w:rPr>
          <w:rFonts w:ascii="Helvetica" w:hAnsi="Helvetica"/>
          <w:sz w:val="22"/>
          <w:szCs w:val="22"/>
          <w:lang w:val="en-GB"/>
        </w:rPr>
        <w:t>second</w:t>
      </w:r>
      <w:r>
        <w:rPr>
          <w:rFonts w:ascii="Helvetica" w:hAnsi="Helvetica"/>
          <w:sz w:val="22"/>
          <w:szCs w:val="22"/>
          <w:lang w:val="en-GB"/>
        </w:rPr>
        <w:t xml:space="preserve"> wave</w:t>
      </w:r>
      <w:r w:rsidRPr="00A1755E">
        <w:rPr>
          <w:rFonts w:ascii="Helvetica" w:hAnsi="Helvetica"/>
          <w:sz w:val="22"/>
          <w:szCs w:val="22"/>
          <w:lang w:val="en-GB"/>
        </w:rPr>
        <w:t xml:space="preserve"> </w:t>
      </w:r>
      <w:r w:rsidR="00F45EF0">
        <w:rPr>
          <w:rFonts w:ascii="Helvetica" w:hAnsi="Helvetica"/>
          <w:sz w:val="22"/>
          <w:szCs w:val="22"/>
          <w:lang w:val="en-GB"/>
        </w:rPr>
        <w:t xml:space="preserve">(and potentially further ones) </w:t>
      </w:r>
      <w:r w:rsidRPr="00A1755E">
        <w:rPr>
          <w:rFonts w:ascii="Helvetica" w:hAnsi="Helvetica"/>
          <w:sz w:val="22"/>
          <w:szCs w:val="22"/>
          <w:lang w:val="en-GB"/>
        </w:rPr>
        <w:t>further emphasize</w:t>
      </w:r>
      <w:r>
        <w:rPr>
          <w:rFonts w:ascii="Helvetica" w:hAnsi="Helvetica"/>
          <w:sz w:val="22"/>
          <w:szCs w:val="22"/>
          <w:lang w:val="en-GB"/>
        </w:rPr>
        <w:t>s</w:t>
      </w:r>
      <w:r w:rsidRPr="00A1755E">
        <w:rPr>
          <w:rFonts w:ascii="Helvetica" w:hAnsi="Helvetica"/>
          <w:sz w:val="22"/>
          <w:szCs w:val="22"/>
          <w:lang w:val="en-GB"/>
        </w:rPr>
        <w:t xml:space="preserve"> the need for operational and logistical capabilities to </w:t>
      </w:r>
      <w:r w:rsidR="009218F2">
        <w:rPr>
          <w:rFonts w:ascii="Helvetica" w:hAnsi="Helvetica"/>
          <w:sz w:val="22"/>
          <w:szCs w:val="22"/>
          <w:lang w:val="en-GB"/>
        </w:rPr>
        <w:t>respond to</w:t>
      </w:r>
      <w:r w:rsidRPr="00A1755E">
        <w:rPr>
          <w:rFonts w:ascii="Helvetica" w:hAnsi="Helvetica"/>
          <w:sz w:val="22"/>
          <w:szCs w:val="22"/>
          <w:lang w:val="en-GB"/>
        </w:rPr>
        <w:t xml:space="preserve"> different scenarios in the short</w:t>
      </w:r>
      <w:r>
        <w:rPr>
          <w:rFonts w:ascii="Helvetica" w:hAnsi="Helvetica"/>
          <w:sz w:val="22"/>
          <w:szCs w:val="22"/>
          <w:lang w:val="en-GB"/>
        </w:rPr>
        <w:t>-</w:t>
      </w:r>
      <w:r w:rsidRPr="00A1755E">
        <w:rPr>
          <w:rFonts w:ascii="Helvetica" w:hAnsi="Helvetica"/>
          <w:sz w:val="22"/>
          <w:szCs w:val="22"/>
          <w:lang w:val="en-GB"/>
        </w:rPr>
        <w:t>, medium</w:t>
      </w:r>
      <w:r>
        <w:rPr>
          <w:rFonts w:ascii="Helvetica" w:hAnsi="Helvetica"/>
          <w:sz w:val="22"/>
          <w:szCs w:val="22"/>
          <w:lang w:val="en-GB"/>
        </w:rPr>
        <w:t>-</w:t>
      </w:r>
      <w:r w:rsidRPr="00A1755E">
        <w:rPr>
          <w:rFonts w:ascii="Helvetica" w:hAnsi="Helvetica"/>
          <w:sz w:val="22"/>
          <w:szCs w:val="22"/>
          <w:lang w:val="en-GB"/>
        </w:rPr>
        <w:t xml:space="preserve"> and long-term </w:t>
      </w:r>
      <w:r>
        <w:rPr>
          <w:rFonts w:ascii="Helvetica" w:hAnsi="Helvetica"/>
          <w:sz w:val="22"/>
          <w:szCs w:val="22"/>
          <w:lang w:val="en-GB"/>
        </w:rPr>
        <w:t>for</w:t>
      </w:r>
      <w:r w:rsidRPr="00A1755E">
        <w:rPr>
          <w:rFonts w:ascii="Helvetica" w:hAnsi="Helvetica"/>
          <w:sz w:val="22"/>
          <w:szCs w:val="22"/>
          <w:lang w:val="en-GB"/>
        </w:rPr>
        <w:t xml:space="preserve"> efficient healthcare delivery while maintaining a maximum level of staff and patient safety. </w:t>
      </w:r>
      <w:r>
        <w:rPr>
          <w:rFonts w:ascii="Helvetica" w:hAnsi="Helvetica"/>
          <w:sz w:val="22"/>
          <w:szCs w:val="22"/>
          <w:lang w:val="en-GB"/>
        </w:rPr>
        <w:t>Leveraging in-house collected data and knowledge will be crucial for hospitals to drive efficiency projects during the pandemic and beyond. Our</w:t>
      </w:r>
      <w:r w:rsidRPr="00A1755E">
        <w:rPr>
          <w:rFonts w:ascii="Helvetica" w:hAnsi="Helvetica"/>
          <w:sz w:val="22"/>
          <w:szCs w:val="22"/>
          <w:lang w:val="en-GB"/>
        </w:rPr>
        <w:t xml:space="preserve"> interviewees </w:t>
      </w:r>
      <w:r>
        <w:rPr>
          <w:rFonts w:ascii="Helvetica" w:hAnsi="Helvetica"/>
          <w:sz w:val="22"/>
          <w:szCs w:val="22"/>
          <w:lang w:val="en-GB"/>
        </w:rPr>
        <w:t>repeatedly highlighted</w:t>
      </w:r>
      <w:r w:rsidRPr="00A1755E">
        <w:rPr>
          <w:rFonts w:ascii="Helvetica" w:hAnsi="Helvetica"/>
          <w:sz w:val="22"/>
          <w:szCs w:val="22"/>
          <w:lang w:val="en-GB"/>
        </w:rPr>
        <w:t xml:space="preserve"> the role of leadership and transparent communication during the pandemic. Hospital executives, nursing managers and department supervisors, thus, need to seek approaches </w:t>
      </w:r>
      <w:r w:rsidR="009218F2">
        <w:rPr>
          <w:rFonts w:ascii="Helvetica" w:hAnsi="Helvetica"/>
          <w:sz w:val="22"/>
          <w:szCs w:val="22"/>
          <w:lang w:val="en-GB"/>
        </w:rPr>
        <w:t>so they are</w:t>
      </w:r>
      <w:r w:rsidRPr="00A1755E">
        <w:rPr>
          <w:rFonts w:ascii="Helvetica" w:hAnsi="Helvetica"/>
          <w:sz w:val="22"/>
          <w:szCs w:val="22"/>
          <w:lang w:val="en-GB"/>
        </w:rPr>
        <w:t xml:space="preserve"> responsive to the concerns of their workforce whil</w:t>
      </w:r>
      <w:r w:rsidR="009218F2">
        <w:rPr>
          <w:rFonts w:ascii="Helvetica" w:hAnsi="Helvetica"/>
          <w:sz w:val="22"/>
          <w:szCs w:val="22"/>
          <w:lang w:val="en-GB"/>
        </w:rPr>
        <w:t>e</w:t>
      </w:r>
      <w:r w:rsidRPr="00A1755E">
        <w:rPr>
          <w:rFonts w:ascii="Helvetica" w:hAnsi="Helvetica"/>
          <w:sz w:val="22"/>
          <w:szCs w:val="22"/>
          <w:lang w:val="en-GB"/>
        </w:rPr>
        <w:t xml:space="preserve"> navigating the ongoing pandemic.</w:t>
      </w:r>
    </w:p>
    <w:p w14:paraId="31A2F5CC" w14:textId="53BC5186" w:rsidR="005E0201" w:rsidRDefault="005E0201" w:rsidP="008570C4">
      <w:pPr>
        <w:spacing w:line="288" w:lineRule="auto"/>
        <w:jc w:val="both"/>
        <w:rPr>
          <w:rFonts w:ascii="Helvetica" w:hAnsi="Helvetica"/>
          <w:sz w:val="22"/>
          <w:szCs w:val="22"/>
          <w:lang w:val="en-GB"/>
        </w:rPr>
      </w:pPr>
    </w:p>
    <w:p w14:paraId="10D71AB0" w14:textId="441D8A9B" w:rsidR="005E0201" w:rsidRDefault="005E0201" w:rsidP="005E0201">
      <w:pPr>
        <w:pStyle w:val="Body"/>
        <w:spacing w:line="288" w:lineRule="auto"/>
        <w:jc w:val="both"/>
      </w:pPr>
      <w:r>
        <w:t>Our interviews suggest that some of the changes in NHS services, processes and organisation implemented during 2020 may persist, with implications for future productivity:</w:t>
      </w:r>
    </w:p>
    <w:p w14:paraId="27278A36" w14:textId="77777777" w:rsidR="005E0201" w:rsidRDefault="005E0201" w:rsidP="005E0201">
      <w:pPr>
        <w:pStyle w:val="Body"/>
        <w:spacing w:line="288" w:lineRule="auto"/>
        <w:jc w:val="both"/>
      </w:pPr>
    </w:p>
    <w:p w14:paraId="32EDFCE7" w14:textId="768FA717" w:rsidR="005E0201" w:rsidRDefault="005E0201" w:rsidP="005E0201">
      <w:pPr>
        <w:pStyle w:val="Body"/>
        <w:numPr>
          <w:ilvl w:val="0"/>
          <w:numId w:val="7"/>
        </w:numPr>
        <w:spacing w:line="288" w:lineRule="auto"/>
        <w:jc w:val="both"/>
      </w:pPr>
      <w:r>
        <w:t>Non-Covid19 treatments will stay at reduced levels</w:t>
      </w:r>
      <w:r w:rsidR="00F45EF0">
        <w:t xml:space="preserve"> </w:t>
      </w:r>
      <w:proofErr w:type="gramStart"/>
      <w:r>
        <w:t>as long as</w:t>
      </w:r>
      <w:proofErr w:type="gramEnd"/>
      <w:r>
        <w:t xml:space="preserve"> the pandemic persists, with adverse consequences for output given NHS capacity constraints</w:t>
      </w:r>
      <w:r w:rsidR="00F45EF0">
        <w:t>, and hence outcomes overall</w:t>
      </w:r>
      <w:r>
        <w:t xml:space="preserve">. </w:t>
      </w:r>
    </w:p>
    <w:p w14:paraId="6F0C081A" w14:textId="77777777" w:rsidR="005E0201" w:rsidRDefault="005E0201" w:rsidP="005E0201">
      <w:pPr>
        <w:pStyle w:val="Body"/>
        <w:spacing w:line="288" w:lineRule="auto"/>
        <w:jc w:val="both"/>
      </w:pPr>
    </w:p>
    <w:p w14:paraId="3B9FB3A6" w14:textId="781F334B" w:rsidR="005E0201" w:rsidRDefault="005E0201" w:rsidP="005E0201">
      <w:pPr>
        <w:pStyle w:val="Body"/>
        <w:numPr>
          <w:ilvl w:val="0"/>
          <w:numId w:val="7"/>
        </w:numPr>
        <w:spacing w:line="288" w:lineRule="auto"/>
        <w:jc w:val="both"/>
      </w:pPr>
      <w:r>
        <w:t xml:space="preserve">On the other hand, new activities including track and trace, and vaccination programmes, will add to output. When it comes to measurement, ONS will need to determine the most appropriate weights for different activities and this will involve judgements, including about the extent to which 2020 should be regarded as an outlier year. </w:t>
      </w:r>
      <w:r w:rsidR="00F45EF0">
        <w:t xml:space="preserve">The experience of the behaviour of the quantity output measure during an extreme year, and the ongoing comparison of methods across countries, </w:t>
      </w:r>
      <w:r w:rsidR="00455F6A">
        <w:t>m</w:t>
      </w:r>
      <w:r w:rsidR="00377D98">
        <w:t>ay suggest worthwhile changes to methodology.</w:t>
      </w:r>
    </w:p>
    <w:p w14:paraId="78BBB7D9" w14:textId="77777777" w:rsidR="005E0201" w:rsidRDefault="005E0201" w:rsidP="005E0201">
      <w:pPr>
        <w:pStyle w:val="Body"/>
        <w:spacing w:line="288" w:lineRule="auto"/>
        <w:jc w:val="both"/>
      </w:pPr>
    </w:p>
    <w:p w14:paraId="54890A26" w14:textId="76295FC3" w:rsidR="005E0201" w:rsidRDefault="005E0201" w:rsidP="005E0201">
      <w:pPr>
        <w:pStyle w:val="Body"/>
        <w:numPr>
          <w:ilvl w:val="0"/>
          <w:numId w:val="7"/>
        </w:numPr>
        <w:spacing w:line="288" w:lineRule="auto"/>
        <w:jc w:val="both"/>
      </w:pPr>
      <w:r>
        <w:t xml:space="preserve">There will be lasting changes in the use of physical space in hospitals and in staff practices (such as “donning and doffing” of PPE) to embed infectious disease control requirements. This will reduce their effective capacity (in-patient and out-patient) in current facilities. Output and productivity levels will thus be lower than in a </w:t>
      </w:r>
      <w:proofErr w:type="gramStart"/>
      <w:r>
        <w:t>counter-factual</w:t>
      </w:r>
      <w:proofErr w:type="gramEnd"/>
      <w:r>
        <w:t xml:space="preserve"> non-Covid19 world, given current space and staff availability, even with many staff being reallocated to different activities within hospitals.</w:t>
      </w:r>
    </w:p>
    <w:p w14:paraId="285739A2" w14:textId="77777777" w:rsidR="005E0201" w:rsidRDefault="005E0201" w:rsidP="005E0201">
      <w:pPr>
        <w:pStyle w:val="Body"/>
        <w:spacing w:line="288" w:lineRule="auto"/>
        <w:jc w:val="both"/>
      </w:pPr>
    </w:p>
    <w:p w14:paraId="1FA2D9A3" w14:textId="77777777" w:rsidR="005E0201" w:rsidRDefault="005E0201" w:rsidP="005E0201">
      <w:pPr>
        <w:pStyle w:val="Body"/>
        <w:numPr>
          <w:ilvl w:val="0"/>
          <w:numId w:val="7"/>
        </w:numPr>
        <w:spacing w:line="288" w:lineRule="auto"/>
        <w:jc w:val="both"/>
      </w:pPr>
      <w:r>
        <w:t xml:space="preserve">The crisis has brought about rapid changes in the use of technology, both workplace productivity technology such as </w:t>
      </w:r>
      <w:proofErr w:type="gramStart"/>
      <w:r>
        <w:t>video-conferencing</w:t>
      </w:r>
      <w:proofErr w:type="gramEnd"/>
      <w:r>
        <w:t xml:space="preserve"> for staff, and technology for use with patients, such as video or telephone consultations. This is discussed further below. The move already under way toward using electronic patient record systems such as EPIC will likely be accelerated. Technology adoption by the NHS has a troubled history, however, and there will undoubtedly be challenges (Price et al 2019).</w:t>
      </w:r>
    </w:p>
    <w:p w14:paraId="4583F52B" w14:textId="77777777" w:rsidR="005E0201" w:rsidRDefault="005E0201" w:rsidP="005E0201">
      <w:pPr>
        <w:pStyle w:val="ListParagraph"/>
      </w:pPr>
    </w:p>
    <w:p w14:paraId="7A906747" w14:textId="4050FC51" w:rsidR="005E0201" w:rsidRPr="005E0201" w:rsidRDefault="005E0201" w:rsidP="005E0201">
      <w:pPr>
        <w:pStyle w:val="Body"/>
        <w:numPr>
          <w:ilvl w:val="0"/>
          <w:numId w:val="7"/>
        </w:numPr>
        <w:spacing w:line="288" w:lineRule="auto"/>
        <w:jc w:val="both"/>
      </w:pPr>
      <w:r>
        <w:lastRenderedPageBreak/>
        <w:t>There have also been changes in the organisation of services and in governance structures, giving the NHS greater operational flexibility and agility, but it is unclear whether these will last, or whether there will be a reversion to previous structures.</w:t>
      </w:r>
      <w:r w:rsidR="00FD0912">
        <w:t xml:space="preserve"> Some interviewees feared a return to slower decision-making processes once the sense of crisis has passed.</w:t>
      </w:r>
    </w:p>
    <w:p w14:paraId="721EDD12" w14:textId="726139E0" w:rsidR="008570C4" w:rsidRDefault="008570C4" w:rsidP="008570C4">
      <w:pPr>
        <w:spacing w:line="288" w:lineRule="auto"/>
        <w:jc w:val="both"/>
        <w:rPr>
          <w:rFonts w:ascii="Helvetica" w:hAnsi="Helvetica"/>
          <w:b/>
          <w:bCs/>
          <w:sz w:val="22"/>
          <w:szCs w:val="22"/>
          <w:lang w:val="en-GB"/>
        </w:rPr>
      </w:pPr>
    </w:p>
    <w:p w14:paraId="16F63C9D" w14:textId="77777777" w:rsidR="005E0201" w:rsidRPr="008570C4" w:rsidRDefault="005E0201" w:rsidP="008570C4">
      <w:pPr>
        <w:spacing w:line="288" w:lineRule="auto"/>
        <w:jc w:val="both"/>
        <w:rPr>
          <w:rFonts w:ascii="Helvetica" w:hAnsi="Helvetica"/>
          <w:b/>
          <w:bCs/>
          <w:sz w:val="22"/>
          <w:szCs w:val="22"/>
          <w:lang w:val="en-GB"/>
        </w:rPr>
      </w:pPr>
    </w:p>
    <w:p w14:paraId="49909282" w14:textId="7B02A324" w:rsidR="00B22741" w:rsidRPr="008570C4" w:rsidRDefault="00372E47" w:rsidP="008570C4">
      <w:pPr>
        <w:pStyle w:val="ListParagraph"/>
        <w:numPr>
          <w:ilvl w:val="0"/>
          <w:numId w:val="6"/>
        </w:numPr>
        <w:spacing w:line="288" w:lineRule="auto"/>
        <w:jc w:val="both"/>
        <w:rPr>
          <w:sz w:val="22"/>
          <w:szCs w:val="22"/>
        </w:rPr>
      </w:pPr>
      <w:r>
        <w:rPr>
          <w:b/>
          <w:bCs/>
          <w:sz w:val="28"/>
          <w:szCs w:val="28"/>
        </w:rPr>
        <w:t>Health service productivity outlook</w:t>
      </w:r>
    </w:p>
    <w:p w14:paraId="4A516F40" w14:textId="77777777" w:rsidR="00B22741" w:rsidRDefault="00B22741" w:rsidP="005E0201">
      <w:pPr>
        <w:pStyle w:val="Body"/>
        <w:spacing w:line="288" w:lineRule="auto"/>
        <w:jc w:val="both"/>
      </w:pPr>
    </w:p>
    <w:p w14:paraId="6C0E744B" w14:textId="44AB0AD5" w:rsidR="008570C4" w:rsidRDefault="008570C4" w:rsidP="005E0201">
      <w:pPr>
        <w:pStyle w:val="Body"/>
        <w:spacing w:line="288" w:lineRule="auto"/>
        <w:jc w:val="both"/>
      </w:pPr>
      <w:r>
        <w:rPr>
          <w:rFonts w:ascii="Helvetica" w:hAnsi="Helvetica"/>
          <w:lang w:val="en-GB"/>
        </w:rPr>
        <w:t xml:space="preserve">Spending on healthcare as a share of national output has trended upward and is likely to continue to do so, because of ageing and cost pressures (Stoye &amp; Zarenko, IFS 2019). Future governments will naturally seek cost efficiencies and productivity improvements. The ONS figures for health </w:t>
      </w:r>
      <w:r w:rsidRPr="008570C4">
        <w:rPr>
          <w:rFonts w:asciiTheme="minorHAnsi" w:hAnsiTheme="minorHAnsi"/>
          <w:lang w:val="en-GB"/>
        </w:rPr>
        <w:t xml:space="preserve">productivity </w:t>
      </w:r>
      <w:r w:rsidRPr="008570C4">
        <w:rPr>
          <w:rFonts w:asciiTheme="minorHAnsi" w:hAnsiTheme="minorHAnsi" w:cs="Times New Roman"/>
          <w:color w:val="auto"/>
          <w:lang w:eastAsia="en-US"/>
          <w14:textOutline w14:w="0" w14:cap="rnd" w14:cmpd="sng" w14:algn="ctr">
            <w14:noFill/>
            <w14:prstDash w14:val="solid"/>
            <w14:bevel/>
          </w14:textOutline>
        </w:rPr>
        <w:t>show that s</w:t>
      </w:r>
      <w:r w:rsidRPr="008570C4">
        <w:rPr>
          <w:rFonts w:asciiTheme="minorHAnsi" w:hAnsiTheme="minorHAnsi"/>
        </w:rPr>
        <w:t>ince 2010</w:t>
      </w:r>
      <w:r>
        <w:t xml:space="preserve">, both input and output growth have </w:t>
      </w:r>
      <w:r w:rsidR="005E0201">
        <w:t>slowed</w:t>
      </w:r>
      <w:r>
        <w:t xml:space="preserve">, but a greater fall in inputs led to eight successive years of positive (non-quality adjusted) healthcare productivity growth. </w:t>
      </w:r>
      <w:proofErr w:type="gramStart"/>
      <w:r w:rsidR="00377D98">
        <w:t>Taking into account</w:t>
      </w:r>
      <w:proofErr w:type="gramEnd"/>
      <w:r w:rsidR="00377D98">
        <w:t xml:space="preserve"> also q</w:t>
      </w:r>
      <w:r>
        <w:t>uality-adjustment, incorporated into</w:t>
      </w:r>
      <w:r w:rsidR="005E0201">
        <w:t xml:space="preserve"> the health productivity</w:t>
      </w:r>
      <w:r>
        <w:t xml:space="preserve"> figures </w:t>
      </w:r>
      <w:r w:rsidR="00377D98">
        <w:t>from</w:t>
      </w:r>
      <w:r>
        <w:t xml:space="preserve"> 2003, on average adds 0.5 percentage points to annual productivity growth. In FY2018, quality adjustment added 0.4 percentage points, with a resulting 0.7% quality adjusted healthcare productivity growth. This was the slowest </w:t>
      </w:r>
      <w:r w:rsidR="005E0201">
        <w:t>increase</w:t>
      </w:r>
      <w:r>
        <w:t xml:space="preserve"> since FY2010 (ONS, 2020). </w:t>
      </w:r>
    </w:p>
    <w:p w14:paraId="70CB79B9" w14:textId="4909A112" w:rsidR="00377D98" w:rsidRDefault="00377D98" w:rsidP="005E0201">
      <w:pPr>
        <w:pStyle w:val="Body"/>
        <w:spacing w:line="288" w:lineRule="auto"/>
        <w:jc w:val="both"/>
      </w:pPr>
    </w:p>
    <w:p w14:paraId="549641A6" w14:textId="243C66DD" w:rsidR="00377D98" w:rsidRDefault="00377D98" w:rsidP="00377D98">
      <w:pPr>
        <w:pStyle w:val="Body"/>
        <w:spacing w:line="288" w:lineRule="auto"/>
        <w:jc w:val="both"/>
      </w:pPr>
      <w:r>
        <w:t>There will be lasting changes in NHS processes affecting output and productivity, working in both positive and negative directions. Depressing future productivity levels will be the need for permanent Covid-safe (more generally, infection-safe) arrangements and ways of working in the long term, given scientific concern about the likelihood of future pandemic threats (IPBES 2020). This implies, for example, permanently lower bed occupancy in given ward space, fewer appointments for given staff numbers and space constraints, and dual (Covid and non-Covid) spaces in hospital buildings. Potentially boosting productivity on the other hand will be the changed ways of working, including using new technology, introduced almost overnight thanks to the crisis, and in some cases also changed organisational structures and increased flexibility. In primary care, for example, the NHS has moved to a</w:t>
      </w:r>
      <w:r w:rsidRPr="00596E17">
        <w:t xml:space="preserve"> ‘total triage’ model of care enabled by online, video and telephone consultations</w:t>
      </w:r>
      <w:r>
        <w:t xml:space="preserve"> (Bakhai 2020), along with tech-enabled remote monitoring </w:t>
      </w:r>
      <w:r w:rsidRPr="00596E17">
        <w:t xml:space="preserve">(also known as ‘virtual wards’) </w:t>
      </w:r>
      <w:r>
        <w:t xml:space="preserve">to support </w:t>
      </w:r>
      <w:r w:rsidRPr="00596E17">
        <w:t xml:space="preserve">people with </w:t>
      </w:r>
      <w:r>
        <w:t>Covid19</w:t>
      </w:r>
      <w:r w:rsidRPr="00596E17">
        <w:t xml:space="preserve"> oximetry</w:t>
      </w:r>
      <w:r>
        <w:t xml:space="preserve"> (</w:t>
      </w:r>
      <w:r w:rsidRPr="00F479C3">
        <w:t>Inada-Kim</w:t>
      </w:r>
      <w:r>
        <w:t xml:space="preserve"> and Donnelly 2020). </w:t>
      </w:r>
    </w:p>
    <w:p w14:paraId="0B6C41B3" w14:textId="77777777" w:rsidR="008570C4" w:rsidRDefault="008570C4" w:rsidP="005E0201">
      <w:pPr>
        <w:pStyle w:val="Body"/>
        <w:spacing w:line="288" w:lineRule="auto"/>
        <w:jc w:val="both"/>
      </w:pPr>
    </w:p>
    <w:p w14:paraId="1C350C47" w14:textId="7B23133D" w:rsidR="00B22741" w:rsidRDefault="008570C4" w:rsidP="005E0201">
      <w:pPr>
        <w:pStyle w:val="Body"/>
        <w:spacing w:line="288" w:lineRule="auto"/>
        <w:jc w:val="both"/>
      </w:pPr>
      <w:r>
        <w:t xml:space="preserve">As </w:t>
      </w:r>
      <w:r w:rsidR="005E0201">
        <w:t>noted</w:t>
      </w:r>
      <w:r>
        <w:t xml:space="preserve"> earlier, t</w:t>
      </w:r>
      <w:r w:rsidR="002E0D06">
        <w:t xml:space="preserve">he measurement of </w:t>
      </w:r>
      <w:r w:rsidR="005E0201">
        <w:t xml:space="preserve">public service </w:t>
      </w:r>
      <w:r w:rsidR="002E0D06">
        <w:t>health productivity is challenging. The known difficulties in distinguishing activities from outputs, and in quality adjusting as medical innovations continue, reflect inherent conceptual challenges. Atkinson (2005) pointed out</w:t>
      </w:r>
      <w:r w:rsidR="005E0201">
        <w:t xml:space="preserve"> that</w:t>
      </w:r>
      <w:r w:rsidR="002E0D06">
        <w:t xml:space="preserve"> there is no reason to expect productivity improvements in certain services requiring essential human contact </w:t>
      </w:r>
      <w:r w:rsidR="005E0201">
        <w:t>–</w:t>
      </w:r>
      <w:r w:rsidR="002E0D06">
        <w:t xml:space="preserve"> </w:t>
      </w:r>
      <w:r w:rsidR="005E0201">
        <w:t xml:space="preserve">where </w:t>
      </w:r>
      <w:r w:rsidR="002E0D06">
        <w:t xml:space="preserve">machines are limited substitutes even </w:t>
      </w:r>
      <w:r w:rsidR="005E0201">
        <w:t>in the case of</w:t>
      </w:r>
      <w:r w:rsidR="002E0D06">
        <w:t xml:space="preserve"> digital technology</w:t>
      </w:r>
      <w:r w:rsidR="005E0201">
        <w:t xml:space="preserve"> – </w:t>
      </w:r>
      <w:r w:rsidR="002E0D06">
        <w:t xml:space="preserve">or in areas where there has already been so much improvement that it is unreasonable to expect more and the challenge is </w:t>
      </w:r>
      <w:r w:rsidR="005E0201">
        <w:t xml:space="preserve">rather </w:t>
      </w:r>
      <w:r w:rsidR="002E0D06">
        <w:t xml:space="preserve">to </w:t>
      </w:r>
      <w:r w:rsidR="005E0201">
        <w:t xml:space="preserve">not </w:t>
      </w:r>
      <w:r w:rsidR="002E0D06">
        <w:t>regress (such as reduced neonatal mortality).</w:t>
      </w:r>
      <w:r w:rsidR="001260AA">
        <w:t xml:space="preserve"> Technology in areas such as robotics has advanced considerably since he wrote this, but there will nevertheless continue to be many services needing human input.</w:t>
      </w:r>
    </w:p>
    <w:p w14:paraId="6B55DFDA" w14:textId="58799DEA" w:rsidR="00793F83" w:rsidRDefault="00793F83" w:rsidP="005E0201">
      <w:pPr>
        <w:pStyle w:val="Body"/>
        <w:spacing w:line="288" w:lineRule="auto"/>
        <w:jc w:val="both"/>
      </w:pPr>
    </w:p>
    <w:p w14:paraId="7AB9A8E2" w14:textId="11D89F88" w:rsidR="00793F83" w:rsidRPr="005E0201" w:rsidRDefault="00793F83" w:rsidP="00793F83">
      <w:pPr>
        <w:pStyle w:val="Body"/>
        <w:spacing w:line="288" w:lineRule="auto"/>
        <w:jc w:val="both"/>
      </w:pPr>
      <w:r>
        <w:t>A full conception of productivity should also include a number of outcome improvements that either manifest over time or reflect the management of uncertainty: the insurance value of better infectious-disease control in a world at risk of experiencing repeated pandemics; the option value of a capacity margin in the event of other types of unexpected peak load demand; and the demand-</w:t>
      </w:r>
      <w:r>
        <w:lastRenderedPageBreak/>
        <w:t>reduction effects of better preventive care (such as the link between respiratory health and better Covid19 outcomes).</w:t>
      </w:r>
    </w:p>
    <w:p w14:paraId="3F90D0E0" w14:textId="77777777" w:rsidR="00793F83" w:rsidRDefault="00793F83" w:rsidP="00793F83">
      <w:pPr>
        <w:pStyle w:val="Body"/>
        <w:spacing w:line="288" w:lineRule="auto"/>
        <w:jc w:val="both"/>
      </w:pPr>
    </w:p>
    <w:p w14:paraId="664B1531" w14:textId="0187A5B9" w:rsidR="00793F83" w:rsidRDefault="00793F83" w:rsidP="005E0201">
      <w:pPr>
        <w:pStyle w:val="Body"/>
        <w:spacing w:line="288" w:lineRule="auto"/>
        <w:jc w:val="both"/>
      </w:pPr>
      <w:r>
        <w:t>A</w:t>
      </w:r>
      <w:r w:rsidR="005E0201">
        <w:t xml:space="preserve"> broader issue</w:t>
      </w:r>
      <w:r>
        <w:t xml:space="preserve"> still</w:t>
      </w:r>
      <w:r w:rsidR="005E0201">
        <w:t xml:space="preserve"> is the difference between measurement of output and consequently productivity as opposed to measurement of health outcomes and economic welfare. Figure 5 portrays the relationships. It speaks to the fundamental dilemma of being able to measure activities and outputs relatively easily while actually wanting to understand their impacts on economic welfare (Coyle 2014). Although the UK’s health output performance will have been worse than in some other countries because limited capacity reduced non-Covid health activities so considerably, the economic welfare outcome is nevertheless better than it would have been without the adjustments in response to the pandemic. </w:t>
      </w:r>
    </w:p>
    <w:p w14:paraId="6020B69B" w14:textId="77777777" w:rsidR="00793F83" w:rsidRDefault="00793F83" w:rsidP="005E0201">
      <w:pPr>
        <w:pStyle w:val="Body"/>
        <w:spacing w:line="288" w:lineRule="auto"/>
        <w:jc w:val="both"/>
      </w:pPr>
    </w:p>
    <w:p w14:paraId="4D99700E" w14:textId="50FA391F" w:rsidR="008570C4" w:rsidRDefault="002E0D06" w:rsidP="005E0201">
      <w:pPr>
        <w:pStyle w:val="Body"/>
        <w:spacing w:line="288" w:lineRule="auto"/>
        <w:jc w:val="both"/>
        <w:rPr>
          <w:i/>
          <w:iCs/>
        </w:rPr>
      </w:pPr>
      <w:r>
        <w:rPr>
          <w:i/>
          <w:iCs/>
        </w:rPr>
        <w:t xml:space="preserve">Figure </w:t>
      </w:r>
      <w:r w:rsidR="005E0201">
        <w:rPr>
          <w:i/>
          <w:iCs/>
        </w:rPr>
        <w:t>5</w:t>
      </w:r>
      <w:r>
        <w:rPr>
          <w:i/>
          <w:iCs/>
        </w:rPr>
        <w:t xml:space="preserve"> Health Inputs, outputs and outcomes</w:t>
      </w:r>
    </w:p>
    <w:p w14:paraId="2827D7B5" w14:textId="2CFEFF6B" w:rsidR="00B22741" w:rsidRPr="008570C4" w:rsidRDefault="002E0D06" w:rsidP="005E0201">
      <w:pPr>
        <w:pStyle w:val="Body"/>
        <w:spacing w:line="288" w:lineRule="auto"/>
        <w:jc w:val="both"/>
        <w:rPr>
          <w:i/>
          <w:iCs/>
        </w:rPr>
      </w:pPr>
      <w:r>
        <w:rPr>
          <w:i/>
          <w:iCs/>
          <w:noProof/>
        </w:rPr>
        <w:drawing>
          <wp:anchor distT="152400" distB="152400" distL="152400" distR="152400" simplePos="0" relativeHeight="251662336" behindDoc="0" locked="0" layoutInCell="1" allowOverlap="1" wp14:anchorId="61836F9A" wp14:editId="0A5D4A4E">
            <wp:simplePos x="0" y="0"/>
            <wp:positionH relativeFrom="margin">
              <wp:posOffset>377118</wp:posOffset>
            </wp:positionH>
            <wp:positionV relativeFrom="line">
              <wp:posOffset>300576</wp:posOffset>
            </wp:positionV>
            <wp:extent cx="4901995" cy="2588694"/>
            <wp:effectExtent l="0" t="0" r="0" b="0"/>
            <wp:wrapThrough wrapText="bothSides" distL="152400" distR="152400">
              <wp:wrapPolygon edited="1">
                <wp:start x="0" y="0"/>
                <wp:lineTo x="21621" y="0"/>
                <wp:lineTo x="21621" y="21609"/>
                <wp:lineTo x="0" y="21609"/>
                <wp:lineTo x="0" y="0"/>
              </wp:wrapPolygon>
            </wp:wrapThrough>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Screenshot 2020-12-31 at 13.26.15.png"/>
                    <pic:cNvPicPr>
                      <a:picLocks noChangeAspect="1"/>
                    </pic:cNvPicPr>
                  </pic:nvPicPr>
                  <pic:blipFill>
                    <a:blip r:embed="rId23"/>
                    <a:stretch>
                      <a:fillRect/>
                    </a:stretch>
                  </pic:blipFill>
                  <pic:spPr>
                    <a:xfrm>
                      <a:off x="0" y="0"/>
                      <a:ext cx="4901995" cy="2588694"/>
                    </a:xfrm>
                    <a:prstGeom prst="rect">
                      <a:avLst/>
                    </a:prstGeom>
                    <a:ln w="12700" cap="flat">
                      <a:noFill/>
                      <a:miter lim="400000"/>
                    </a:ln>
                    <a:effectLst/>
                  </pic:spPr>
                </pic:pic>
              </a:graphicData>
            </a:graphic>
          </wp:anchor>
        </w:drawing>
      </w:r>
    </w:p>
    <w:p w14:paraId="1B8B1160" w14:textId="77777777" w:rsidR="00B22741" w:rsidRDefault="00B22741" w:rsidP="005E0201">
      <w:pPr>
        <w:pStyle w:val="Body"/>
        <w:spacing w:line="288" w:lineRule="auto"/>
        <w:jc w:val="both"/>
      </w:pPr>
    </w:p>
    <w:p w14:paraId="41265974" w14:textId="77777777" w:rsidR="00B22741" w:rsidRDefault="00B22741" w:rsidP="005E0201">
      <w:pPr>
        <w:pStyle w:val="Body"/>
        <w:spacing w:line="288" w:lineRule="auto"/>
        <w:jc w:val="both"/>
      </w:pPr>
    </w:p>
    <w:p w14:paraId="77429F37" w14:textId="77777777" w:rsidR="00B22741" w:rsidRDefault="00B22741" w:rsidP="005E0201">
      <w:pPr>
        <w:pStyle w:val="Body"/>
        <w:spacing w:line="288" w:lineRule="auto"/>
        <w:jc w:val="both"/>
      </w:pPr>
    </w:p>
    <w:p w14:paraId="51E2E648" w14:textId="77777777" w:rsidR="00B22741" w:rsidRDefault="00B22741" w:rsidP="005E0201">
      <w:pPr>
        <w:pStyle w:val="Body"/>
        <w:spacing w:line="288" w:lineRule="auto"/>
        <w:jc w:val="both"/>
      </w:pPr>
    </w:p>
    <w:p w14:paraId="08A9482E" w14:textId="77777777" w:rsidR="00B22741" w:rsidRDefault="00B22741" w:rsidP="005E0201">
      <w:pPr>
        <w:pStyle w:val="Body"/>
        <w:spacing w:line="288" w:lineRule="auto"/>
        <w:jc w:val="both"/>
      </w:pPr>
    </w:p>
    <w:p w14:paraId="6142AF07" w14:textId="77777777" w:rsidR="00B22741" w:rsidRDefault="00B22741" w:rsidP="005E0201">
      <w:pPr>
        <w:pStyle w:val="Body"/>
        <w:spacing w:line="288" w:lineRule="auto"/>
        <w:jc w:val="both"/>
      </w:pPr>
    </w:p>
    <w:p w14:paraId="564180B9" w14:textId="77777777" w:rsidR="00B22741" w:rsidRDefault="00B22741" w:rsidP="005E0201">
      <w:pPr>
        <w:pStyle w:val="Body"/>
        <w:spacing w:line="288" w:lineRule="auto"/>
        <w:jc w:val="both"/>
      </w:pPr>
    </w:p>
    <w:p w14:paraId="29F4299A" w14:textId="77777777" w:rsidR="00B22741" w:rsidRDefault="00B22741" w:rsidP="005E0201">
      <w:pPr>
        <w:pStyle w:val="Body"/>
        <w:spacing w:line="288" w:lineRule="auto"/>
        <w:jc w:val="both"/>
      </w:pPr>
    </w:p>
    <w:p w14:paraId="16ECBE1B" w14:textId="77777777" w:rsidR="00B22741" w:rsidRDefault="00B22741" w:rsidP="005E0201">
      <w:pPr>
        <w:pStyle w:val="Body"/>
        <w:spacing w:line="288" w:lineRule="auto"/>
        <w:jc w:val="both"/>
      </w:pPr>
    </w:p>
    <w:p w14:paraId="1345DE63" w14:textId="77777777" w:rsidR="00B22741" w:rsidRDefault="00B22741" w:rsidP="005E0201">
      <w:pPr>
        <w:pStyle w:val="Body"/>
        <w:spacing w:line="288" w:lineRule="auto"/>
        <w:jc w:val="both"/>
      </w:pPr>
    </w:p>
    <w:p w14:paraId="7A7147DD" w14:textId="77777777" w:rsidR="00B22741" w:rsidRDefault="00B22741" w:rsidP="005E0201">
      <w:pPr>
        <w:pStyle w:val="Body"/>
        <w:spacing w:line="288" w:lineRule="auto"/>
        <w:jc w:val="both"/>
      </w:pPr>
    </w:p>
    <w:p w14:paraId="66DEE98F" w14:textId="77777777" w:rsidR="00B22741" w:rsidRDefault="00B22741" w:rsidP="005E0201">
      <w:pPr>
        <w:pStyle w:val="Body"/>
        <w:spacing w:line="288" w:lineRule="auto"/>
        <w:jc w:val="both"/>
      </w:pPr>
    </w:p>
    <w:p w14:paraId="10B311F5" w14:textId="77777777" w:rsidR="00B22741" w:rsidRDefault="00B22741" w:rsidP="005E0201">
      <w:pPr>
        <w:pStyle w:val="Body"/>
        <w:spacing w:line="288" w:lineRule="auto"/>
        <w:jc w:val="both"/>
      </w:pPr>
    </w:p>
    <w:p w14:paraId="40C492E9" w14:textId="77777777" w:rsidR="00B22741" w:rsidRDefault="00B22741" w:rsidP="005E0201">
      <w:pPr>
        <w:pStyle w:val="Body"/>
        <w:spacing w:line="288" w:lineRule="auto"/>
        <w:jc w:val="both"/>
      </w:pPr>
    </w:p>
    <w:p w14:paraId="5044C33E" w14:textId="77777777" w:rsidR="00B22741" w:rsidRDefault="00B22741" w:rsidP="005E0201">
      <w:pPr>
        <w:pStyle w:val="Body"/>
        <w:spacing w:line="288" w:lineRule="auto"/>
        <w:jc w:val="both"/>
      </w:pPr>
    </w:p>
    <w:p w14:paraId="7903101D" w14:textId="77777777" w:rsidR="00B22741" w:rsidRDefault="00B22741" w:rsidP="005E0201">
      <w:pPr>
        <w:pStyle w:val="Body"/>
        <w:spacing w:line="288" w:lineRule="auto"/>
        <w:jc w:val="both"/>
      </w:pPr>
    </w:p>
    <w:p w14:paraId="0B5563BB" w14:textId="5E970CA0" w:rsidR="00B22741" w:rsidRDefault="00377D98" w:rsidP="005E0201">
      <w:pPr>
        <w:pStyle w:val="Body"/>
        <w:spacing w:line="288" w:lineRule="auto"/>
        <w:jc w:val="both"/>
      </w:pPr>
      <w:r>
        <w:t>Drawing</w:t>
      </w:r>
      <w:r w:rsidR="005E0201">
        <w:t xml:space="preserve"> on the </w:t>
      </w:r>
      <w:r>
        <w:t xml:space="preserve">implications of the 2020 </w:t>
      </w:r>
      <w:r w:rsidR="005E0201">
        <w:t>data and our interviews</w:t>
      </w:r>
      <w:r>
        <w:t>, we</w:t>
      </w:r>
      <w:r w:rsidR="005E0201">
        <w:t xml:space="preserve"> conclude with some lessons from the pandemic experience for future NHS productivity as conventionally understood</w:t>
      </w:r>
      <w:r>
        <w:t>. We argue for</w:t>
      </w:r>
      <w:r w:rsidR="005E0201">
        <w:t xml:space="preserve"> a broader conception of the ability of the NHS to contribute to improving health outcomes and thus economic productivity over the longer term</w:t>
      </w:r>
      <w:r w:rsidR="002E0D06">
        <w:t xml:space="preserve">. </w:t>
      </w:r>
    </w:p>
    <w:p w14:paraId="65DFAB63" w14:textId="77777777" w:rsidR="00B22741" w:rsidRDefault="00B22741" w:rsidP="005E0201">
      <w:pPr>
        <w:pStyle w:val="Body"/>
        <w:spacing w:line="288" w:lineRule="auto"/>
        <w:jc w:val="both"/>
      </w:pPr>
    </w:p>
    <w:p w14:paraId="50BEE67B" w14:textId="77802066" w:rsidR="00B22741" w:rsidRDefault="002E0D06" w:rsidP="005E0201">
      <w:pPr>
        <w:pStyle w:val="Body"/>
        <w:spacing w:line="288" w:lineRule="auto"/>
        <w:jc w:val="both"/>
        <w:rPr>
          <w:i/>
          <w:iCs/>
        </w:rPr>
      </w:pPr>
      <w:r>
        <w:rPr>
          <w:i/>
          <w:iCs/>
        </w:rPr>
        <w:t>Organisation of healthcare services</w:t>
      </w:r>
      <w:r w:rsidR="005E0201">
        <w:rPr>
          <w:i/>
          <w:iCs/>
        </w:rPr>
        <w:t xml:space="preserve"> in the UK</w:t>
      </w:r>
    </w:p>
    <w:p w14:paraId="2FC4B5EA" w14:textId="0967DA46" w:rsidR="005E0201" w:rsidRPr="005E0201" w:rsidRDefault="005E0201" w:rsidP="005E0201">
      <w:pPr>
        <w:pStyle w:val="Body"/>
        <w:spacing w:line="288" w:lineRule="auto"/>
        <w:jc w:val="both"/>
        <w:rPr>
          <w:rFonts w:asciiTheme="minorHAnsi" w:hAnsiTheme="minorHAnsi"/>
        </w:rPr>
      </w:pPr>
    </w:p>
    <w:p w14:paraId="764BFE3A" w14:textId="77777777" w:rsidR="00377D98" w:rsidRDefault="005E0201" w:rsidP="005E0201">
      <w:pPr>
        <w:spacing w:line="276" w:lineRule="auto"/>
        <w:jc w:val="both"/>
        <w:rPr>
          <w:rFonts w:asciiTheme="minorHAnsi" w:hAnsiTheme="minorHAnsi"/>
          <w:sz w:val="22"/>
          <w:szCs w:val="22"/>
        </w:rPr>
      </w:pPr>
      <w:r w:rsidRPr="005E0201">
        <w:rPr>
          <w:rFonts w:asciiTheme="minorHAnsi" w:hAnsiTheme="minorHAnsi"/>
          <w:sz w:val="22"/>
          <w:szCs w:val="22"/>
        </w:rPr>
        <w:t>The history of NHS reorganization</w:t>
      </w:r>
      <w:r w:rsidR="00377D98">
        <w:rPr>
          <w:rFonts w:asciiTheme="minorHAnsi" w:hAnsiTheme="minorHAnsi"/>
          <w:sz w:val="22"/>
          <w:szCs w:val="22"/>
        </w:rPr>
        <w:t>,</w:t>
      </w:r>
      <w:r w:rsidRPr="005E0201">
        <w:rPr>
          <w:rFonts w:asciiTheme="minorHAnsi" w:hAnsiTheme="minorHAnsi"/>
          <w:sz w:val="22"/>
          <w:szCs w:val="22"/>
        </w:rPr>
        <w:t xml:space="preserve"> </w:t>
      </w:r>
      <w:r w:rsidR="00377D98">
        <w:rPr>
          <w:rFonts w:asciiTheme="minorHAnsi" w:hAnsiTheme="minorHAnsi"/>
          <w:sz w:val="22"/>
          <w:szCs w:val="22"/>
        </w:rPr>
        <w:t>with</w:t>
      </w:r>
      <w:r w:rsidRPr="005E0201">
        <w:rPr>
          <w:rFonts w:asciiTheme="minorHAnsi" w:hAnsiTheme="minorHAnsi"/>
          <w:sz w:val="22"/>
          <w:szCs w:val="22"/>
        </w:rPr>
        <w:t xml:space="preserve"> </w:t>
      </w:r>
      <w:r w:rsidR="00377D98">
        <w:rPr>
          <w:rFonts w:asciiTheme="minorHAnsi" w:hAnsiTheme="minorHAnsi"/>
          <w:sz w:val="22"/>
          <w:szCs w:val="22"/>
        </w:rPr>
        <w:t xml:space="preserve">swings in </w:t>
      </w:r>
      <w:r w:rsidRPr="005E0201">
        <w:rPr>
          <w:rFonts w:asciiTheme="minorHAnsi" w:hAnsiTheme="minorHAnsi"/>
          <w:sz w:val="22"/>
          <w:szCs w:val="22"/>
        </w:rPr>
        <w:t>philosophy of provision</w:t>
      </w:r>
      <w:r w:rsidR="00377D98">
        <w:rPr>
          <w:rFonts w:asciiTheme="minorHAnsi" w:hAnsiTheme="minorHAnsi"/>
          <w:sz w:val="22"/>
          <w:szCs w:val="22"/>
        </w:rPr>
        <w:t>,</w:t>
      </w:r>
      <w:r w:rsidRPr="005E0201">
        <w:rPr>
          <w:rFonts w:asciiTheme="minorHAnsi" w:hAnsiTheme="minorHAnsi"/>
          <w:sz w:val="22"/>
          <w:szCs w:val="22"/>
        </w:rPr>
        <w:t xml:space="preserve"> was described briefly in Section 3</w:t>
      </w:r>
      <w:r w:rsidR="00416CEA">
        <w:rPr>
          <w:rFonts w:asciiTheme="minorHAnsi" w:hAnsiTheme="minorHAnsi"/>
          <w:sz w:val="22"/>
          <w:szCs w:val="22"/>
        </w:rPr>
        <w:t xml:space="preserve">, </w:t>
      </w:r>
      <w:r w:rsidR="00377D98">
        <w:rPr>
          <w:rFonts w:asciiTheme="minorHAnsi" w:hAnsiTheme="minorHAnsi"/>
          <w:sz w:val="22"/>
          <w:szCs w:val="22"/>
        </w:rPr>
        <w:t>noting that</w:t>
      </w:r>
      <w:r w:rsidR="00416CEA">
        <w:rPr>
          <w:rFonts w:asciiTheme="minorHAnsi" w:hAnsiTheme="minorHAnsi"/>
          <w:sz w:val="22"/>
          <w:szCs w:val="22"/>
        </w:rPr>
        <w:t xml:space="preserve"> further reform is planned for 2021</w:t>
      </w:r>
      <w:r w:rsidRPr="005E0201">
        <w:rPr>
          <w:rFonts w:asciiTheme="minorHAnsi" w:hAnsiTheme="minorHAnsi"/>
          <w:sz w:val="22"/>
          <w:szCs w:val="22"/>
        </w:rPr>
        <w:t xml:space="preserve">.  A full exploration of the question of the institutional structure of the NHS - the balance between central direction and local autonomy, the best geographic scale for organisation, the extent of vertical integration between primary and secondary care, or with public health and social care in the community - is beyond our scope here. </w:t>
      </w:r>
      <w:r w:rsidR="00377D98">
        <w:rPr>
          <w:rFonts w:asciiTheme="minorHAnsi" w:hAnsiTheme="minorHAnsi"/>
          <w:sz w:val="22"/>
          <w:szCs w:val="22"/>
        </w:rPr>
        <w:t xml:space="preserve">It is worth though highlighting some </w:t>
      </w:r>
      <w:r w:rsidRPr="005E0201">
        <w:rPr>
          <w:rFonts w:asciiTheme="minorHAnsi" w:hAnsiTheme="minorHAnsi"/>
          <w:sz w:val="22"/>
          <w:szCs w:val="22"/>
        </w:rPr>
        <w:t>key issue</w:t>
      </w:r>
      <w:r w:rsidR="00377D98">
        <w:rPr>
          <w:rFonts w:asciiTheme="minorHAnsi" w:hAnsiTheme="minorHAnsi"/>
          <w:sz w:val="22"/>
          <w:szCs w:val="22"/>
        </w:rPr>
        <w:t xml:space="preserve">s with implications for productivity. </w:t>
      </w:r>
    </w:p>
    <w:p w14:paraId="2701FA87" w14:textId="77777777" w:rsidR="00377D98" w:rsidRDefault="00377D98" w:rsidP="005E0201">
      <w:pPr>
        <w:spacing w:line="276" w:lineRule="auto"/>
        <w:jc w:val="both"/>
        <w:rPr>
          <w:rFonts w:asciiTheme="minorHAnsi" w:hAnsiTheme="minorHAnsi"/>
          <w:sz w:val="22"/>
          <w:szCs w:val="22"/>
        </w:rPr>
      </w:pPr>
    </w:p>
    <w:p w14:paraId="678B9A90" w14:textId="5C64EDC1" w:rsidR="005E0201" w:rsidRDefault="00377D98" w:rsidP="005E0201">
      <w:pPr>
        <w:spacing w:line="276" w:lineRule="auto"/>
        <w:jc w:val="both"/>
        <w:rPr>
          <w:rFonts w:asciiTheme="minorHAnsi" w:hAnsiTheme="minorHAnsi"/>
          <w:sz w:val="22"/>
          <w:szCs w:val="22"/>
        </w:rPr>
      </w:pPr>
      <w:r>
        <w:rPr>
          <w:rFonts w:asciiTheme="minorHAnsi" w:hAnsiTheme="minorHAnsi"/>
          <w:sz w:val="22"/>
          <w:szCs w:val="22"/>
        </w:rPr>
        <w:t>One</w:t>
      </w:r>
      <w:r w:rsidR="005E0201" w:rsidRPr="005E0201">
        <w:rPr>
          <w:rFonts w:asciiTheme="minorHAnsi" w:hAnsiTheme="minorHAnsi"/>
          <w:sz w:val="22"/>
          <w:szCs w:val="22"/>
        </w:rPr>
        <w:t xml:space="preserve"> is the </w:t>
      </w:r>
      <w:r w:rsidR="005E0201" w:rsidRPr="00377D98">
        <w:rPr>
          <w:rFonts w:asciiTheme="minorHAnsi" w:hAnsiTheme="minorHAnsi"/>
          <w:i/>
          <w:iCs/>
          <w:sz w:val="22"/>
          <w:szCs w:val="22"/>
        </w:rPr>
        <w:t>balance between central and local decision-making</w:t>
      </w:r>
      <w:r w:rsidR="005E0201" w:rsidRPr="005E0201">
        <w:rPr>
          <w:rFonts w:asciiTheme="minorHAnsi" w:hAnsiTheme="minorHAnsi"/>
          <w:sz w:val="22"/>
          <w:szCs w:val="22"/>
        </w:rPr>
        <w:t xml:space="preserve">. Phillips &amp; Propper (2020) argue that NHS England over-localised procurement and over-centralised track and </w:t>
      </w:r>
      <w:proofErr w:type="gramStart"/>
      <w:r w:rsidR="005E0201" w:rsidRPr="005E0201">
        <w:rPr>
          <w:rFonts w:asciiTheme="minorHAnsi" w:hAnsiTheme="minorHAnsi"/>
          <w:sz w:val="22"/>
          <w:szCs w:val="22"/>
        </w:rPr>
        <w:t>trace, and</w:t>
      </w:r>
      <w:proofErr w:type="gramEnd"/>
      <w:r w:rsidR="005E0201" w:rsidRPr="005E0201">
        <w:rPr>
          <w:rFonts w:asciiTheme="minorHAnsi" w:hAnsiTheme="minorHAnsi"/>
          <w:sz w:val="22"/>
          <w:szCs w:val="22"/>
        </w:rPr>
        <w:t xml:space="preserve"> suggest using </w:t>
      </w:r>
      <w:r w:rsidR="005E0201" w:rsidRPr="005E0201">
        <w:rPr>
          <w:rFonts w:asciiTheme="minorHAnsi" w:hAnsiTheme="minorHAnsi"/>
          <w:sz w:val="22"/>
          <w:szCs w:val="22"/>
        </w:rPr>
        <w:lastRenderedPageBreak/>
        <w:t xml:space="preserve">the need for flexibility and granular information flow to decide what to decentralise. </w:t>
      </w:r>
      <w:r w:rsidR="005E0201">
        <w:rPr>
          <w:rFonts w:asciiTheme="minorHAnsi" w:hAnsiTheme="minorHAnsi"/>
          <w:sz w:val="22"/>
          <w:szCs w:val="22"/>
        </w:rPr>
        <w:t xml:space="preserve">Issues of internal governance </w:t>
      </w:r>
      <w:r>
        <w:rPr>
          <w:rFonts w:asciiTheme="minorHAnsi" w:hAnsiTheme="minorHAnsi"/>
          <w:sz w:val="22"/>
          <w:szCs w:val="22"/>
        </w:rPr>
        <w:t xml:space="preserve">and the difficulty of bringing about productivity-enhancing organizational change </w:t>
      </w:r>
      <w:r w:rsidR="005E0201">
        <w:rPr>
          <w:rFonts w:asciiTheme="minorHAnsi" w:hAnsiTheme="minorHAnsi"/>
          <w:sz w:val="22"/>
          <w:szCs w:val="22"/>
        </w:rPr>
        <w:t>within hospitals also emerged from our interviews as important potential barriers</w:t>
      </w:r>
      <w:r>
        <w:rPr>
          <w:rFonts w:asciiTheme="minorHAnsi" w:hAnsiTheme="minorHAnsi"/>
          <w:sz w:val="22"/>
          <w:szCs w:val="22"/>
        </w:rPr>
        <w:t>;</w:t>
      </w:r>
      <w:r w:rsidR="005E0201">
        <w:rPr>
          <w:rFonts w:asciiTheme="minorHAnsi" w:hAnsiTheme="minorHAnsi"/>
          <w:sz w:val="22"/>
          <w:szCs w:val="22"/>
        </w:rPr>
        <w:t xml:space="preserve"> the imperatives of the crisis led to the suspension of normal hierarchies </w:t>
      </w:r>
      <w:proofErr w:type="gramStart"/>
      <w:r w:rsidR="005E0201">
        <w:rPr>
          <w:rFonts w:asciiTheme="minorHAnsi" w:hAnsiTheme="minorHAnsi"/>
          <w:sz w:val="22"/>
          <w:szCs w:val="22"/>
        </w:rPr>
        <w:t>in order to</w:t>
      </w:r>
      <w:proofErr w:type="gramEnd"/>
      <w:r w:rsidR="005E0201">
        <w:rPr>
          <w:rFonts w:asciiTheme="minorHAnsi" w:hAnsiTheme="minorHAnsi"/>
          <w:sz w:val="22"/>
          <w:szCs w:val="22"/>
        </w:rPr>
        <w:t xml:space="preserve"> </w:t>
      </w:r>
      <w:r>
        <w:rPr>
          <w:rFonts w:asciiTheme="minorHAnsi" w:hAnsiTheme="minorHAnsi"/>
          <w:sz w:val="22"/>
          <w:szCs w:val="22"/>
        </w:rPr>
        <w:t>enable</w:t>
      </w:r>
      <w:r w:rsidR="005E0201">
        <w:rPr>
          <w:rFonts w:asciiTheme="minorHAnsi" w:hAnsiTheme="minorHAnsi"/>
          <w:sz w:val="22"/>
          <w:szCs w:val="22"/>
        </w:rPr>
        <w:t xml:space="preserve"> change. The pandemic experience will offer an extreme natural experiment </w:t>
      </w:r>
      <w:r>
        <w:rPr>
          <w:rFonts w:asciiTheme="minorHAnsi" w:hAnsiTheme="minorHAnsi"/>
          <w:sz w:val="22"/>
          <w:szCs w:val="22"/>
        </w:rPr>
        <w:t>permittin</w:t>
      </w:r>
      <w:r w:rsidR="005E0201">
        <w:rPr>
          <w:rFonts w:asciiTheme="minorHAnsi" w:hAnsiTheme="minorHAnsi"/>
          <w:sz w:val="22"/>
          <w:szCs w:val="22"/>
        </w:rPr>
        <w:t xml:space="preserve">g an assessment of how these classic organizational dilemmas have played out in different health service activities. </w:t>
      </w:r>
    </w:p>
    <w:p w14:paraId="5969C4FB" w14:textId="77777777" w:rsidR="005E0201" w:rsidRDefault="005E0201" w:rsidP="005E0201">
      <w:pPr>
        <w:spacing w:line="276" w:lineRule="auto"/>
        <w:jc w:val="both"/>
        <w:rPr>
          <w:rFonts w:asciiTheme="minorHAnsi" w:hAnsiTheme="minorHAnsi"/>
          <w:sz w:val="22"/>
          <w:szCs w:val="22"/>
        </w:rPr>
      </w:pPr>
    </w:p>
    <w:p w14:paraId="45061D94" w14:textId="5B99E7D9" w:rsidR="005E0201" w:rsidRPr="00F85C0E" w:rsidRDefault="005E0201" w:rsidP="005E0201">
      <w:pPr>
        <w:spacing w:line="276" w:lineRule="auto"/>
        <w:jc w:val="both"/>
        <w:rPr>
          <w:rFonts w:asciiTheme="minorHAnsi" w:hAnsiTheme="minorHAnsi"/>
          <w:sz w:val="22"/>
          <w:szCs w:val="22"/>
        </w:rPr>
      </w:pPr>
      <w:r w:rsidRPr="005E0201">
        <w:rPr>
          <w:rFonts w:asciiTheme="minorHAnsi" w:hAnsiTheme="minorHAnsi"/>
          <w:sz w:val="22"/>
          <w:szCs w:val="22"/>
        </w:rPr>
        <w:t xml:space="preserve">Another important organizational question concerns </w:t>
      </w:r>
      <w:r w:rsidRPr="00377D98">
        <w:rPr>
          <w:rFonts w:asciiTheme="minorHAnsi" w:hAnsiTheme="minorHAnsi"/>
          <w:i/>
          <w:iCs/>
          <w:sz w:val="22"/>
          <w:szCs w:val="22"/>
        </w:rPr>
        <w:t>vertical integration</w:t>
      </w:r>
      <w:r w:rsidRPr="005E0201">
        <w:rPr>
          <w:rFonts w:asciiTheme="minorHAnsi" w:hAnsiTheme="minorHAnsi"/>
          <w:sz w:val="22"/>
          <w:szCs w:val="22"/>
        </w:rPr>
        <w:t xml:space="preserve">. </w:t>
      </w:r>
      <w:r>
        <w:rPr>
          <w:rFonts w:asciiTheme="minorHAnsi" w:hAnsiTheme="minorHAnsi"/>
          <w:sz w:val="22"/>
          <w:szCs w:val="22"/>
        </w:rPr>
        <w:t>Among other staff shortages, the</w:t>
      </w:r>
      <w:r w:rsidRPr="005E0201">
        <w:rPr>
          <w:rFonts w:asciiTheme="minorHAnsi" w:hAnsiTheme="minorHAnsi"/>
          <w:sz w:val="22"/>
          <w:szCs w:val="22"/>
        </w:rPr>
        <w:t xml:space="preserve"> shortage of General Practitioners (GPs), or family doctors, is particularly striking</w:t>
      </w:r>
      <w:r>
        <w:rPr>
          <w:rFonts w:asciiTheme="minorHAnsi" w:hAnsiTheme="minorHAnsi"/>
          <w:sz w:val="22"/>
          <w:szCs w:val="22"/>
        </w:rPr>
        <w:t>, and means that in</w:t>
      </w:r>
      <w:r w:rsidRPr="005E0201">
        <w:rPr>
          <w:rFonts w:asciiTheme="minorHAnsi" w:hAnsiTheme="minorHAnsi"/>
          <w:sz w:val="22"/>
          <w:szCs w:val="22"/>
        </w:rPr>
        <w:t xml:space="preserve"> some cases hospitals have taken over GP practices. This vertical integration can help small GP practices stay open and so maintain local access to primary healthcare. These integrated practices have experienced easier recruitment by offering salaried positions without a small practice having to bear financial risk, and also offer more training and achieve (in principle) administrative synergies. It is likely that GP workforce constraints combined with higher patient demand with make primary care in its current form increasingly unsustainable. However, when multiple GP practices are vertically integrated with a single hospital, this effectively creates horizontal integration and</w:t>
      </w:r>
      <w:r w:rsidRPr="00F85C0E">
        <w:rPr>
          <w:rFonts w:asciiTheme="minorHAnsi" w:hAnsiTheme="minorHAnsi"/>
          <w:sz w:val="22"/>
          <w:szCs w:val="22"/>
        </w:rPr>
        <w:t xml:space="preserve"> limits patient choice of provider, again illustrating collaborative-competitive tensions (Sidhu et al, 2020).</w:t>
      </w:r>
      <w:r w:rsidR="00416CEA">
        <w:rPr>
          <w:rFonts w:asciiTheme="minorHAnsi" w:hAnsiTheme="minorHAnsi"/>
          <w:sz w:val="22"/>
          <w:szCs w:val="22"/>
        </w:rPr>
        <w:t xml:space="preserve"> </w:t>
      </w:r>
    </w:p>
    <w:p w14:paraId="1B163671" w14:textId="16A99E52" w:rsidR="005E0201" w:rsidRDefault="005E0201" w:rsidP="005E0201">
      <w:pPr>
        <w:pStyle w:val="Body"/>
        <w:spacing w:line="288" w:lineRule="auto"/>
        <w:jc w:val="both"/>
      </w:pPr>
      <w:r>
        <w:t xml:space="preserve"> </w:t>
      </w:r>
    </w:p>
    <w:p w14:paraId="297535B3" w14:textId="787F3F12" w:rsidR="00B22741" w:rsidRDefault="005E0201" w:rsidP="005E0201">
      <w:pPr>
        <w:pStyle w:val="Body"/>
        <w:spacing w:line="288" w:lineRule="auto"/>
        <w:jc w:val="both"/>
      </w:pPr>
      <w:r>
        <w:t>There is also</w:t>
      </w:r>
      <w:r w:rsidR="002E0D06">
        <w:t xml:space="preserve"> the issue of </w:t>
      </w:r>
      <w:r w:rsidR="002E0D06" w:rsidRPr="00377D98">
        <w:rPr>
          <w:i/>
          <w:iCs/>
        </w:rPr>
        <w:t>contracting out.</w:t>
      </w:r>
      <w:r w:rsidR="002E0D06">
        <w:t xml:space="preserve"> </w:t>
      </w:r>
      <w:r w:rsidR="008570C4">
        <w:t xml:space="preserve">The NHS effectively took over much of the UK’s private health system at the start of the pandemic (David Hare, Independent Healthcare Providers Network, quoted in Neville, FT, 2020). While this will unwind, there are open questions about the appropriate extent of future NHS contracting to the private secr, including the use of digital services. As noted above, there has been some increase over time in the scope of contracting out to the private sector. This is politically </w:t>
      </w:r>
      <w:proofErr w:type="gramStart"/>
      <w:r w:rsidR="008570C4">
        <w:t>contentious</w:t>
      </w:r>
      <w:proofErr w:type="gramEnd"/>
      <w:r w:rsidR="008570C4">
        <w:t xml:space="preserve"> and its efficacy is challenged. </w:t>
      </w:r>
      <w:r w:rsidR="001260AA">
        <w:t xml:space="preserve">This has been a particular concern during the pandemic, which necessitated a sudden large increase in some </w:t>
      </w:r>
      <w:r>
        <w:t xml:space="preserve">procurement </w:t>
      </w:r>
      <w:r w:rsidR="001260AA">
        <w:t xml:space="preserve">activities. </w:t>
      </w:r>
      <w:r w:rsidR="008570C4">
        <w:t>For example, the National Audit Office was critical of the contracting involved in the new NHS Test &amp; Trace service, spending £4bn to the end of November 2020, many of which were let to private sector contractors (NAO 2020).</w:t>
      </w:r>
      <w:r w:rsidR="00377D98">
        <w:t xml:space="preserve"> </w:t>
      </w:r>
      <w:r w:rsidR="002E0D06">
        <w:t xml:space="preserve">Activities that are straightforward to contract and monitor can be outsourced without an expected loss of quality (Holmstrom &amp; Milgrom 1991, Hart et al 1998), but this economic perspective is not the one successive </w:t>
      </w:r>
      <w:proofErr w:type="gramStart"/>
      <w:r w:rsidR="002E0D06">
        <w:t>governments</w:t>
      </w:r>
      <w:proofErr w:type="gramEnd"/>
      <w:r w:rsidR="002E0D06">
        <w:t xml:space="preserve"> have applied </w:t>
      </w:r>
      <w:r>
        <w:t>to the</w:t>
      </w:r>
      <w:r w:rsidR="002E0D06">
        <w:t xml:space="preserve"> NHS. </w:t>
      </w:r>
      <w:r w:rsidR="008570C4">
        <w:t xml:space="preserve">NHS reorganisation in the 1990s through to 2012 reflected a broad philosophy of mimicking market-like competition. Vertical integration between hospitals and primary care facilities due to the challenges to the viability of the latter have begun to chip away at the commissioner-provider spilt. </w:t>
      </w:r>
      <w:r w:rsidR="002E0D06">
        <w:t xml:space="preserve">There are some major questions for future research concerning outsourcing, </w:t>
      </w:r>
      <w:r w:rsidR="008570C4">
        <w:t>especially</w:t>
      </w:r>
      <w:r w:rsidR="002E0D06">
        <w:t xml:space="preserve"> with regard to technology use, as software supply contracts are notoriously challenging given the asymmetries of information and hard-to-codify character of requirements (</w:t>
      </w:r>
      <w:proofErr w:type="gramStart"/>
      <w:r w:rsidR="002E0D06">
        <w:t>eg</w:t>
      </w:r>
      <w:proofErr w:type="gramEnd"/>
      <w:r w:rsidR="002E0D06">
        <w:t xml:space="preserve"> Keil 2005). Procurement by the NHS must also mandate public service access to all the data collected by the private sector, both for monitoring of service quality and for the flow of information required for productivity of the public service (Coyle et al 2020). </w:t>
      </w:r>
    </w:p>
    <w:p w14:paraId="44A39D89" w14:textId="77777777" w:rsidR="004A1ADC" w:rsidRDefault="004A1ADC" w:rsidP="005E0201">
      <w:pPr>
        <w:pStyle w:val="Body"/>
        <w:spacing w:line="288" w:lineRule="auto"/>
        <w:jc w:val="both"/>
      </w:pPr>
    </w:p>
    <w:p w14:paraId="2CFAC068" w14:textId="2AB420DC" w:rsidR="008570C4" w:rsidRDefault="008570C4" w:rsidP="005E0201">
      <w:pPr>
        <w:pStyle w:val="Body"/>
        <w:spacing w:line="288" w:lineRule="auto"/>
        <w:jc w:val="both"/>
      </w:pPr>
    </w:p>
    <w:p w14:paraId="7A1F4826" w14:textId="1E396BC1" w:rsidR="00B22741" w:rsidRDefault="002E0D06" w:rsidP="005E0201">
      <w:pPr>
        <w:pStyle w:val="Body"/>
        <w:spacing w:line="288" w:lineRule="auto"/>
        <w:jc w:val="both"/>
        <w:rPr>
          <w:i/>
          <w:iCs/>
        </w:rPr>
      </w:pPr>
      <w:r>
        <w:rPr>
          <w:i/>
          <w:iCs/>
        </w:rPr>
        <w:t>Use of digital technology</w:t>
      </w:r>
    </w:p>
    <w:p w14:paraId="1BE78629" w14:textId="77777777" w:rsidR="005E0201" w:rsidRDefault="005E0201" w:rsidP="005E0201">
      <w:pPr>
        <w:pStyle w:val="Body"/>
        <w:spacing w:line="288" w:lineRule="auto"/>
        <w:jc w:val="both"/>
        <w:rPr>
          <w:i/>
          <w:iCs/>
        </w:rPr>
      </w:pPr>
    </w:p>
    <w:p w14:paraId="20B3FD32" w14:textId="50ABF6EB" w:rsidR="008570C4" w:rsidRDefault="002E0D06" w:rsidP="005E0201">
      <w:pPr>
        <w:pStyle w:val="Body"/>
        <w:spacing w:line="288" w:lineRule="auto"/>
        <w:jc w:val="both"/>
      </w:pPr>
      <w:r>
        <w:t xml:space="preserve">Many organisations are grappling with the implications of digital technology use in production, and NHS bodies are no exception. NHSX was created expressly to assess its adoption in the NHS. </w:t>
      </w:r>
      <w:r w:rsidR="005E0201">
        <w:t xml:space="preserve">Their use will have increased significantly in 2020, from a low base. </w:t>
      </w:r>
      <w:r>
        <w:t xml:space="preserve">The pandemic has led to swift uptake </w:t>
      </w:r>
      <w:r>
        <w:lastRenderedPageBreak/>
        <w:t>of technology both for internal organisation and communication purposes and for patient services. Most of our interviewees welcomed the greater use of video consultations, seeing them as more convenient for staff and patients alike</w:t>
      </w:r>
      <w:r w:rsidR="005E0201">
        <w:t>, and anticipated that these new practices would persist</w:t>
      </w:r>
      <w:r>
        <w:t xml:space="preserve">. </w:t>
      </w:r>
    </w:p>
    <w:p w14:paraId="42B678EE" w14:textId="77777777" w:rsidR="008570C4" w:rsidRDefault="008570C4" w:rsidP="005E0201">
      <w:pPr>
        <w:pStyle w:val="Body"/>
        <w:spacing w:line="288" w:lineRule="auto"/>
        <w:jc w:val="both"/>
      </w:pPr>
    </w:p>
    <w:p w14:paraId="3003692C" w14:textId="092375E4" w:rsidR="005E0201" w:rsidRDefault="002E0D06" w:rsidP="005E0201">
      <w:pPr>
        <w:pStyle w:val="Body"/>
        <w:spacing w:line="288" w:lineRule="auto"/>
        <w:jc w:val="both"/>
      </w:pPr>
      <w:r>
        <w:t>However, there has been relatively little evaluation of the impact of digital patient consultations on health outcomes</w:t>
      </w:r>
      <w:r w:rsidR="005E0201">
        <w:t>. To</w:t>
      </w:r>
      <w:r>
        <w:t xml:space="preserve"> the extent </w:t>
      </w:r>
      <w:r w:rsidR="005E0201">
        <w:t xml:space="preserve">that </w:t>
      </w:r>
      <w:r>
        <w:t xml:space="preserve">there has, the organisational structures </w:t>
      </w:r>
      <w:r w:rsidR="001260AA">
        <w:t xml:space="preserve">and regulatory frameworks </w:t>
      </w:r>
      <w:r>
        <w:t xml:space="preserve">seem more important </w:t>
      </w:r>
      <w:r w:rsidR="005E0201">
        <w:t xml:space="preserve">than the use of technology per se </w:t>
      </w:r>
      <w:r>
        <w:t>(Freed et al 2018, Shikegawa et al 2018</w:t>
      </w:r>
      <w:r w:rsidR="001260AA">
        <w:t xml:space="preserve">, Van Reenen et al </w:t>
      </w:r>
      <w:r w:rsidR="005E0201">
        <w:t>2020</w:t>
      </w:r>
      <w:r>
        <w:t xml:space="preserve">). </w:t>
      </w:r>
      <w:r w:rsidR="005E0201">
        <w:t>There is a large economic literature demonstrating that the productivity benefits of new technologies require substantial investments in organizational change, as the benefits of the technology lie in empowering people to use information do things differently (</w:t>
      </w:r>
      <w:proofErr w:type="gramStart"/>
      <w:r w:rsidR="005E0201">
        <w:t>eg</w:t>
      </w:r>
      <w:proofErr w:type="gramEnd"/>
      <w:r w:rsidR="005E0201">
        <w:t xml:space="preserve"> Brynjolfsson, Rock &amp; Syverson 2020; Brynjolfsson &amp; Hitt 2000). While the benefits of some technologies, such as electronic health records, or the enforcement of greater inter-operability in software choices, seem straightforward, broad productivity gains will be related to the questions of organizational structure discussed above. </w:t>
      </w:r>
      <w:r w:rsidR="00793F83">
        <w:t xml:space="preserve">These potential improvements include the flow of information around the system as a whole, which is crucial to determining both productivity (through internal co-ordination and process efficiency) and health outcomes (through joining up information about individuals and delivering co-ordinated services).  </w:t>
      </w:r>
      <w:r w:rsidR="005E0201">
        <w:t>The flow of information and the authority to take decisions – crucial to productivity and outcomes in a knowledge-based sector such as health – cannot be separated from questions of governance and organization.</w:t>
      </w:r>
    </w:p>
    <w:p w14:paraId="61D61297" w14:textId="77777777" w:rsidR="005E0201" w:rsidRDefault="005E0201" w:rsidP="005E0201">
      <w:pPr>
        <w:pStyle w:val="Body"/>
        <w:spacing w:line="288" w:lineRule="auto"/>
        <w:jc w:val="both"/>
      </w:pPr>
    </w:p>
    <w:p w14:paraId="1D1FCB2C" w14:textId="43DAD640" w:rsidR="00B22741" w:rsidRDefault="002E0D06" w:rsidP="005E0201">
      <w:pPr>
        <w:pStyle w:val="Body"/>
        <w:spacing w:line="288" w:lineRule="auto"/>
        <w:jc w:val="both"/>
      </w:pPr>
      <w:r>
        <w:t xml:space="preserve">Nor is it clear that digital delivery </w:t>
      </w:r>
      <w:r w:rsidR="005E0201">
        <w:t xml:space="preserve">always </w:t>
      </w:r>
      <w:r>
        <w:t>saves time, if the outcome of a video call is that the patient still needs an in-person appointment for diagnosis and tests. In time, increased use of individual devices such as smart watches or pulse oxymeters may reduce the need for this double dippin</w:t>
      </w:r>
      <w:r w:rsidR="00377D98">
        <w:t xml:space="preserve">g. However, </w:t>
      </w:r>
      <w:r w:rsidR="008570C4">
        <w:t>given the cost of such devices</w:t>
      </w:r>
      <w:r w:rsidR="00377D98">
        <w:t>,</w:t>
      </w:r>
      <w:r w:rsidR="008570C4">
        <w:t xml:space="preserve"> </w:t>
      </w:r>
      <w:r w:rsidR="00E330F4">
        <w:t xml:space="preserve">reliance on them </w:t>
      </w:r>
      <w:r w:rsidR="008570C4">
        <w:t xml:space="preserve">could </w:t>
      </w:r>
      <w:r>
        <w:t xml:space="preserve">exacerbate already severe health inequalities. Digital may help achieve financial efficiencies at least after initial investment, but it will not be a magic wand for health output and productivity (particularly for the non-quality adjusted measures as lower unit cost procedures will reduce output) or indeed improved </w:t>
      </w:r>
      <w:r w:rsidR="008570C4">
        <w:t xml:space="preserve">broader </w:t>
      </w:r>
      <w:r>
        <w:t xml:space="preserve">health outcomes. </w:t>
      </w:r>
      <w:r w:rsidR="005E0201">
        <w:t xml:space="preserve">It is evident that there has been too little focus on the need for interoperability as different parts of the health service have adopted digital technologies. </w:t>
      </w:r>
      <w:r>
        <w:t xml:space="preserve">Evaluation of outcomes from the year’s substantial increase in telemedicine provision will be an important area of research - and crucially, from the patient </w:t>
      </w:r>
      <w:r w:rsidR="008570C4">
        <w:t>as well as</w:t>
      </w:r>
      <w:r>
        <w:t xml:space="preserve"> the provider perspective.</w:t>
      </w:r>
    </w:p>
    <w:p w14:paraId="67C22A14" w14:textId="77777777" w:rsidR="00B22741" w:rsidRDefault="00B22741" w:rsidP="005E0201">
      <w:pPr>
        <w:pStyle w:val="Body"/>
        <w:spacing w:line="288" w:lineRule="auto"/>
        <w:jc w:val="both"/>
      </w:pPr>
    </w:p>
    <w:p w14:paraId="1ED52BF7" w14:textId="77777777" w:rsidR="00B22741" w:rsidRDefault="002E0D06" w:rsidP="005E0201">
      <w:pPr>
        <w:pStyle w:val="Body"/>
        <w:spacing w:line="288" w:lineRule="auto"/>
        <w:jc w:val="both"/>
        <w:rPr>
          <w:i/>
          <w:iCs/>
        </w:rPr>
      </w:pPr>
      <w:r>
        <w:rPr>
          <w:i/>
          <w:iCs/>
        </w:rPr>
        <w:t xml:space="preserve">Characteristics of the health production function </w:t>
      </w:r>
    </w:p>
    <w:p w14:paraId="3687FEF5" w14:textId="77777777" w:rsidR="005E0201" w:rsidRDefault="005E0201" w:rsidP="005E0201">
      <w:pPr>
        <w:pStyle w:val="Body"/>
        <w:spacing w:line="288" w:lineRule="auto"/>
        <w:jc w:val="both"/>
      </w:pPr>
    </w:p>
    <w:p w14:paraId="7BC44445" w14:textId="40D7FD87" w:rsidR="008570C4" w:rsidRDefault="008570C4" w:rsidP="005E0201">
      <w:pPr>
        <w:pStyle w:val="Body"/>
        <w:spacing w:line="288" w:lineRule="auto"/>
        <w:jc w:val="both"/>
      </w:pPr>
      <w:r>
        <w:t>Our</w:t>
      </w:r>
      <w:r w:rsidR="002E0D06">
        <w:t xml:space="preserve"> interviews </w:t>
      </w:r>
      <w:r w:rsidR="005E0201">
        <w:t xml:space="preserve">(as well as contemporaneous media reports) </w:t>
      </w:r>
      <w:r w:rsidR="002E0D06">
        <w:t>repeatedly pointed to two significant bottlenecks in NHS provision during 2020: staff shortages and bed shortages. After the earliest days of the epidemic there was no shortage of either ventilator equipment or PPE, although oxygen supplies and configuration became problematic again in December</w:t>
      </w:r>
      <w:r w:rsidR="005E0201">
        <w:t>-January</w:t>
      </w:r>
      <w:r w:rsidR="002E0D06">
        <w:t xml:space="preserve">. It is evident that for many health activities, not just treatment of Covid19 patients, there is limited substitutability among staff, equipment and beds, and supplies. </w:t>
      </w:r>
      <w:r>
        <w:t xml:space="preserve">Staff can be reallocated, and staff-patient ratios reduced – up to a point. </w:t>
      </w:r>
      <w:r w:rsidR="002E0D06">
        <w:t>A given procedure on a patient requires minimum ratios of each category</w:t>
      </w:r>
      <w:r>
        <w:t xml:space="preserve">. There is no reason to believe that every hospital is already on the production efficiency frontier, although the experience of 2020 will have pushed more of them much closer. </w:t>
      </w:r>
    </w:p>
    <w:p w14:paraId="3844EDC3" w14:textId="77777777" w:rsidR="008570C4" w:rsidRDefault="008570C4" w:rsidP="005E0201">
      <w:pPr>
        <w:pStyle w:val="Body"/>
        <w:spacing w:line="288" w:lineRule="auto"/>
        <w:jc w:val="both"/>
      </w:pPr>
    </w:p>
    <w:p w14:paraId="73046F61" w14:textId="4E616512" w:rsidR="00B22741" w:rsidRDefault="00793F83" w:rsidP="005E0201">
      <w:pPr>
        <w:pStyle w:val="Body"/>
        <w:spacing w:line="288" w:lineRule="auto"/>
        <w:jc w:val="both"/>
      </w:pPr>
      <w:r>
        <w:t>In</w:t>
      </w:r>
      <w:r w:rsidR="008570C4">
        <w:t xml:space="preserve"> general, </w:t>
      </w:r>
      <w:r w:rsidR="002E0D06">
        <w:t xml:space="preserve">Jones (2005) shows that with low substitutability between inputs, productivity advances will depend on technique changes, or in other words new ideas. There are many examples of </w:t>
      </w:r>
      <w:r w:rsidR="002E0D06">
        <w:lastRenderedPageBreak/>
        <w:t xml:space="preserve">medical innovations that are precisely such technique changes, such as keyhole surgery, or vaccinations. However, in </w:t>
      </w:r>
      <w:r w:rsidR="005E0201">
        <w:t>the short term</w:t>
      </w:r>
      <w:r w:rsidR="002E0D06">
        <w:t xml:space="preserve">, the fixed proportions character of the production function means there will be </w:t>
      </w:r>
      <w:r w:rsidR="008570C4">
        <w:t xml:space="preserve">eventual </w:t>
      </w:r>
      <w:r w:rsidR="002E0D06">
        <w:t xml:space="preserve">limits to the scope for efficiency gains. </w:t>
      </w:r>
      <w:r w:rsidR="008570C4">
        <w:t xml:space="preserve">A further implication is that – in the context of increasing demand pressures – </w:t>
      </w:r>
      <w:r>
        <w:t xml:space="preserve">over the </w:t>
      </w:r>
      <w:proofErr w:type="gramStart"/>
      <w:r>
        <w:t>long term</w:t>
      </w:r>
      <w:proofErr w:type="gramEnd"/>
      <w:r>
        <w:t xml:space="preserve"> </w:t>
      </w:r>
      <w:r w:rsidR="008570C4">
        <w:t>health innovations and their diffusion will continue to be important.</w:t>
      </w:r>
      <w:r>
        <w:t xml:space="preserve"> Adopting new technologies – say the use of robotics for dispensing drugs – will require investment. The use of centralized NHS procurement as a means of both incentivizing innovation by creating a market and then purchasing innovations cost-effectively and diffusing them would represent a change of mind-set from the usual focus on cost-efficient procurement of </w:t>
      </w:r>
      <w:proofErr w:type="gramStart"/>
      <w:r>
        <w:t>currently-standard</w:t>
      </w:r>
      <w:proofErr w:type="gramEnd"/>
      <w:r>
        <w:t xml:space="preserve"> inputs.</w:t>
      </w:r>
    </w:p>
    <w:p w14:paraId="0C31D57A" w14:textId="77777777" w:rsidR="00B22741" w:rsidRDefault="00B22741" w:rsidP="005E0201">
      <w:pPr>
        <w:pStyle w:val="Body"/>
        <w:spacing w:line="288" w:lineRule="auto"/>
        <w:jc w:val="both"/>
      </w:pPr>
    </w:p>
    <w:p w14:paraId="6ED758E6" w14:textId="6AE0457A" w:rsidR="00B22741" w:rsidRDefault="005E0201" w:rsidP="005E0201">
      <w:pPr>
        <w:pStyle w:val="Body"/>
        <w:spacing w:line="288" w:lineRule="auto"/>
        <w:jc w:val="both"/>
        <w:rPr>
          <w:i/>
          <w:iCs/>
        </w:rPr>
      </w:pPr>
      <w:r>
        <w:rPr>
          <w:i/>
          <w:iCs/>
        </w:rPr>
        <w:t>Capacity, demand peaks</w:t>
      </w:r>
      <w:r w:rsidR="002E0D06">
        <w:rPr>
          <w:i/>
          <w:iCs/>
        </w:rPr>
        <w:t xml:space="preserve"> and healthcare as social infrastructure</w:t>
      </w:r>
    </w:p>
    <w:p w14:paraId="38D63BED" w14:textId="77777777" w:rsidR="005E0201" w:rsidRDefault="005E0201" w:rsidP="005E0201">
      <w:pPr>
        <w:pStyle w:val="Body"/>
        <w:spacing w:line="288" w:lineRule="auto"/>
        <w:jc w:val="both"/>
        <w:rPr>
          <w:i/>
          <w:iCs/>
        </w:rPr>
      </w:pPr>
    </w:p>
    <w:p w14:paraId="567A5681" w14:textId="6A38F9E8" w:rsidR="00B22741" w:rsidRDefault="005E0201" w:rsidP="005E0201">
      <w:pPr>
        <w:pStyle w:val="Body"/>
        <w:spacing w:line="288" w:lineRule="auto"/>
        <w:jc w:val="both"/>
      </w:pPr>
      <w:r>
        <w:t xml:space="preserve">Propper et al (2020) </w:t>
      </w:r>
      <w:r w:rsidR="00793F83">
        <w:t>observe</w:t>
      </w:r>
      <w:r>
        <w:t xml:space="preserve"> that the pandemic hit </w:t>
      </w:r>
      <w:r w:rsidR="00793F83">
        <w:t xml:space="preserve">the UK </w:t>
      </w:r>
      <w:r>
        <w:t xml:space="preserve">in the context of pre-existing NHS capacity shortages. </w:t>
      </w:r>
      <w:r w:rsidR="00793F83">
        <w:t>Even with ‘normal’ rising demand</w:t>
      </w:r>
      <w:r w:rsidR="008570C4">
        <w:t xml:space="preserve">, </w:t>
      </w:r>
      <w:r w:rsidR="002E0D06">
        <w:t xml:space="preserve">the health service </w:t>
      </w:r>
      <w:r w:rsidR="00793F83">
        <w:t>hits</w:t>
      </w:r>
      <w:r w:rsidR="002E0D06">
        <w:t xml:space="preserve"> peak loading problems, </w:t>
      </w:r>
      <w:r w:rsidR="00793F83">
        <w:t>and this</w:t>
      </w:r>
      <w:r w:rsidR="002E0D06">
        <w:t xml:space="preserve"> has been amply experienced in 2020. The NHS emphasises the importance of workforce planning</w:t>
      </w:r>
      <w:r w:rsidR="008570C4">
        <w:t>.</w:t>
      </w:r>
      <w:r w:rsidR="002E0D06">
        <w:rPr>
          <w:vertAlign w:val="superscript"/>
        </w:rPr>
        <w:footnoteReference w:id="16"/>
      </w:r>
      <w:r w:rsidR="002E0D06">
        <w:t xml:space="preserve"> However, not only did the NHS enter 2020 with staff shortages, especially </w:t>
      </w:r>
      <w:r w:rsidR="008570C4">
        <w:t xml:space="preserve">of </w:t>
      </w:r>
      <w:r w:rsidR="002E0D06">
        <w:t xml:space="preserve">nurses, the workforce planning guidance does not include consideration of demand peaks - not even standard winter peaks. The implicit assumption is that staff can be ‘run’ more intensively, but the experience of the pandemic vividly illustrates the toll this takes, in terms of the health and wellbeing of individuals and the increased loss of trained staff, as our interviews revealed. There is a large literature on peak load capacity in the context of utilities such as energy generation, where there are large fixed costs of creating new supply units. In general, Williamson (1966) showed that total surplus or economic welfare will be increased by creating supply capacity sufficient to meet effective demand over an entire demand cycle (although in cases such as energy the optimal prices charged will vary between peak and off-peak periods). He notes that the same analysis applies to any public infrastructure, not just energy. </w:t>
      </w:r>
    </w:p>
    <w:p w14:paraId="2E5582E2" w14:textId="77777777" w:rsidR="00B22741" w:rsidRDefault="00B22741" w:rsidP="005E0201">
      <w:pPr>
        <w:pStyle w:val="Body"/>
        <w:spacing w:line="288" w:lineRule="auto"/>
        <w:jc w:val="both"/>
      </w:pPr>
    </w:p>
    <w:p w14:paraId="218AE0C9" w14:textId="750BAB0D" w:rsidR="00B22741" w:rsidRDefault="002E0D06" w:rsidP="005E0201">
      <w:pPr>
        <w:pStyle w:val="Body"/>
        <w:spacing w:line="288" w:lineRule="auto"/>
        <w:jc w:val="both"/>
      </w:pPr>
      <w:r>
        <w:t xml:space="preserve">The analysis of NHS ‘surge capacity’ during 2020 shows that it was </w:t>
      </w:r>
      <w:r w:rsidR="008570C4">
        <w:t xml:space="preserve">ultimately </w:t>
      </w:r>
      <w:r>
        <w:t xml:space="preserve">insufficient to meet Covid19 and prior demand (McCabe et al 2020). Hospitals naturally try to plan for expected demand, and their ability to model Covid19 patient numbers improved over the course of 2020. </w:t>
      </w:r>
      <w:r w:rsidR="00BC06A1">
        <w:t>C</w:t>
      </w:r>
      <w:r>
        <w:t xml:space="preserve">apacity need can be modelled in terms of possible increases in demand traded off against ‘wasted’ capacity such as empty beds, and there are more sophisticated models incorporating queuing. However, the NHS has historically not used these models but instead has adopted ‘demand management’ (NHS England 2016) </w:t>
      </w:r>
      <w:r w:rsidR="00793F83">
        <w:t xml:space="preserve">(that is, limiting demand) </w:t>
      </w:r>
      <w:r>
        <w:t>combined with a ‘just-in-time’ production approach with regard to beds, staffing and supplies (Pandit 2020). Thus, for example, NHS England has operated with far high bed occupancy rates and fewer beds per 1000 people than comparable developed economies.</w:t>
      </w:r>
      <w:r w:rsidR="008570C4" w:rsidRPr="008570C4">
        <w:rPr>
          <w:vertAlign w:val="superscript"/>
        </w:rPr>
        <w:t xml:space="preserve"> </w:t>
      </w:r>
      <w:r w:rsidR="008570C4">
        <w:rPr>
          <w:vertAlign w:val="superscript"/>
        </w:rPr>
        <w:footnoteReference w:id="17"/>
      </w:r>
      <w:r>
        <w:t xml:space="preserve"> The focus on ‘lean production’ efficiency meant the NHS was unable to meet peak demand, and instead had to cease non-Covid19 activities. Surge capacity is further limited by the </w:t>
      </w:r>
      <w:r w:rsidR="00793F83">
        <w:t>quasi-</w:t>
      </w:r>
      <w:r>
        <w:t>fixed-proportions character of the production function.</w:t>
      </w:r>
    </w:p>
    <w:p w14:paraId="67DE39D6" w14:textId="77777777" w:rsidR="00B22741" w:rsidRDefault="00B22741" w:rsidP="005E0201">
      <w:pPr>
        <w:pStyle w:val="Body"/>
        <w:spacing w:line="288" w:lineRule="auto"/>
        <w:jc w:val="both"/>
      </w:pPr>
    </w:p>
    <w:p w14:paraId="6582454B" w14:textId="7C5C24AC" w:rsidR="008570C4" w:rsidRDefault="002E0D06" w:rsidP="005E0201">
      <w:pPr>
        <w:pStyle w:val="Body"/>
        <w:spacing w:line="288" w:lineRule="auto"/>
        <w:jc w:val="both"/>
      </w:pPr>
      <w:r>
        <w:t>The experience of 2020 call</w:t>
      </w:r>
      <w:r w:rsidR="008570C4">
        <w:t>s</w:t>
      </w:r>
      <w:r>
        <w:t xml:space="preserve"> this focus on </w:t>
      </w:r>
      <w:r w:rsidR="00793F83">
        <w:t>minimal spare capacity</w:t>
      </w:r>
      <w:r>
        <w:t xml:space="preserve"> into question</w:t>
      </w:r>
      <w:r w:rsidR="008570C4">
        <w:t>, even though process-type efficiencies have been an important driver of past health productivity growth</w:t>
      </w:r>
      <w:r>
        <w:t xml:space="preserve">. Given the long-term investment required for medical training, which makes its workforce planning </w:t>
      </w:r>
      <w:r>
        <w:lastRenderedPageBreak/>
        <w:t xml:space="preserve">conceptually similar to other long-term public investments, and the fundamental importance of health for human capital and economy-wide productivity, the health service should </w:t>
      </w:r>
      <w:r w:rsidR="00793F83">
        <w:t xml:space="preserve">instead </w:t>
      </w:r>
      <w:r>
        <w:t xml:space="preserve">be regarded as a key component of the UK’s infrastructure. </w:t>
      </w:r>
      <w:r w:rsidR="00793F83">
        <w:t xml:space="preserve">The principles of having capacity to meet anticipated demand peaks would then apply. </w:t>
      </w:r>
      <w:r w:rsidR="008570C4">
        <w:t>Economics has not usually included consideration of ‘social infrastructure’, or the physical assets enabling the delivery of critical collective services such as health (Turner 2020). However, social infrastructure is increasingly seen as a complement to conventional physical infrastructure as an underpinning for productivity and growth</w:t>
      </w:r>
      <w:r w:rsidR="00BC06A1">
        <w:t xml:space="preserve"> (Corrado 2021)</w:t>
      </w:r>
      <w:r w:rsidR="008570C4">
        <w:t xml:space="preserve">. </w:t>
      </w:r>
    </w:p>
    <w:p w14:paraId="6253DB93" w14:textId="77777777" w:rsidR="008570C4" w:rsidRDefault="008570C4" w:rsidP="005E0201">
      <w:pPr>
        <w:pStyle w:val="Body"/>
        <w:spacing w:line="288" w:lineRule="auto"/>
        <w:jc w:val="both"/>
      </w:pPr>
    </w:p>
    <w:p w14:paraId="535DB722" w14:textId="0C8F5245" w:rsidR="00B22741" w:rsidRDefault="002E0D06" w:rsidP="005E0201">
      <w:pPr>
        <w:pStyle w:val="Body"/>
        <w:spacing w:line="288" w:lineRule="auto"/>
        <w:jc w:val="both"/>
      </w:pPr>
      <w:r>
        <w:t xml:space="preserve">This </w:t>
      </w:r>
      <w:r w:rsidR="008570C4">
        <w:t xml:space="preserve">infrastructure </w:t>
      </w:r>
      <w:r>
        <w:t>perspective makes resilience (in th</w:t>
      </w:r>
      <w:r w:rsidR="00793F83">
        <w:t>is specific</w:t>
      </w:r>
      <w:r>
        <w:t xml:space="preserve"> sense of capacity to continue operating in the face of extreme demand loading) </w:t>
      </w:r>
      <w:r w:rsidR="00793F83">
        <w:t>key</w:t>
      </w:r>
      <w:r>
        <w:t xml:space="preserve"> to planning capacity. The Government’s own </w:t>
      </w:r>
      <w:r w:rsidR="008570C4">
        <w:t xml:space="preserve">formal </w:t>
      </w:r>
      <w:r>
        <w:t xml:space="preserve">guidance on infrastructure resilience </w:t>
      </w:r>
      <w:r w:rsidR="008570C4">
        <w:t>–</w:t>
      </w:r>
      <w:r>
        <w:t xml:space="preserve"> </w:t>
      </w:r>
      <w:r w:rsidR="008570C4">
        <w:t xml:space="preserve">albeit </w:t>
      </w:r>
      <w:r>
        <w:t>in the context of its aid spending overseas - quotes the UN International Strategy for Disaster Reduction (2009): “Critical facilities are the primary physical structures, technical facilities and systems which are socially, economically or operationally essential to the functioning of a society or community, both in routine circumstances and in the extreme circumstances of an emergency.”</w:t>
      </w:r>
      <w:r>
        <w:rPr>
          <w:vertAlign w:val="superscript"/>
        </w:rPr>
        <w:footnoteReference w:id="18"/>
      </w:r>
      <w:r>
        <w:t xml:space="preserve"> The UK guidance document notes that health services are generally considered to be part of a country’s critical infrastructure, but also notes that the UK’s National Infrastructure Commission does not include social infrastructure in its planning. </w:t>
      </w:r>
    </w:p>
    <w:p w14:paraId="22A9DEA9" w14:textId="69CFBA5B" w:rsidR="008570C4" w:rsidRDefault="008570C4" w:rsidP="005E0201">
      <w:pPr>
        <w:pStyle w:val="Body"/>
        <w:spacing w:line="288" w:lineRule="auto"/>
        <w:jc w:val="both"/>
      </w:pPr>
    </w:p>
    <w:p w14:paraId="612D2167" w14:textId="044B6DF2" w:rsidR="008570C4" w:rsidRDefault="008570C4" w:rsidP="005E0201">
      <w:pPr>
        <w:pStyle w:val="Body"/>
        <w:spacing w:line="288" w:lineRule="auto"/>
        <w:jc w:val="both"/>
      </w:pPr>
      <w:r>
        <w:t>The perspective of considering some NHS non-capital (on current definitions) spending as investment in peak load capacity for resilience would have implications for health productivity measurement, and one can imagine different approaches. For example, part of health output could be considered a ‘collective’ service, analogous to defence, and therefore measured by the inputs=outputs approach. A contrasting approach would be to regard the real option of a capacity margin as a quality improvement.</w:t>
      </w:r>
    </w:p>
    <w:p w14:paraId="5CC580CE" w14:textId="1FEB38E7" w:rsidR="00E330F4" w:rsidRDefault="00E330F4" w:rsidP="005E0201">
      <w:pPr>
        <w:pStyle w:val="Body"/>
        <w:spacing w:line="288" w:lineRule="auto"/>
        <w:jc w:val="both"/>
      </w:pPr>
    </w:p>
    <w:p w14:paraId="1DF2B622" w14:textId="37045929" w:rsidR="00E330F4" w:rsidRPr="00E330F4" w:rsidRDefault="00E330F4" w:rsidP="00E330F4">
      <w:pPr>
        <w:pStyle w:val="Body"/>
        <w:numPr>
          <w:ilvl w:val="0"/>
          <w:numId w:val="6"/>
        </w:numPr>
        <w:spacing w:line="288" w:lineRule="auto"/>
        <w:jc w:val="both"/>
        <w:rPr>
          <w:b/>
          <w:bCs/>
          <w:sz w:val="28"/>
          <w:szCs w:val="28"/>
        </w:rPr>
      </w:pPr>
      <w:r w:rsidRPr="00E330F4">
        <w:rPr>
          <w:b/>
          <w:bCs/>
          <w:sz w:val="28"/>
          <w:szCs w:val="28"/>
        </w:rPr>
        <w:t>Conclusion</w:t>
      </w:r>
    </w:p>
    <w:p w14:paraId="4D477EE0" w14:textId="77777777" w:rsidR="00B22741" w:rsidRDefault="00B22741" w:rsidP="005E0201">
      <w:pPr>
        <w:pStyle w:val="Body"/>
        <w:spacing w:line="288" w:lineRule="auto"/>
        <w:jc w:val="both"/>
      </w:pPr>
    </w:p>
    <w:p w14:paraId="3CC25AC0" w14:textId="5C3A463A" w:rsidR="008570C4" w:rsidRDefault="008570C4" w:rsidP="005E0201">
      <w:pPr>
        <w:pStyle w:val="Body"/>
        <w:spacing w:line="288" w:lineRule="auto"/>
        <w:jc w:val="both"/>
      </w:pPr>
      <w:r>
        <w:t xml:space="preserve">Although the contrast in performance of health output between the UK and some other European </w:t>
      </w:r>
      <w:r w:rsidR="00E330F4">
        <w:t xml:space="preserve">countries is partly a question of measurement methods and different service structures, the tighter capacity constraints in the UK did involve a large decline in the provision of non-Covid19 services. </w:t>
      </w:r>
      <w:r w:rsidR="00793F83">
        <w:t>The</w:t>
      </w:r>
      <w:r>
        <w:t xml:space="preserve"> UK has under-invested in </w:t>
      </w:r>
      <w:r w:rsidR="00793F83">
        <w:t>capacity</w:t>
      </w:r>
      <w:r w:rsidR="00E330F4">
        <w:t xml:space="preserve"> which provides genuine option value, and the health service could be considered as part of the infrastructure investment needed by the UK</w:t>
      </w:r>
      <w:r w:rsidR="00793F83">
        <w:t>.</w:t>
      </w:r>
      <w:r>
        <w:t xml:space="preserve"> </w:t>
      </w:r>
      <w:r w:rsidR="00E330F4">
        <w:t xml:space="preserve">The experiences of hospitals during the pandemic hold important insights for health provision, and thus both directly and indirectly (via health outcomes and human capital) for wider UK productivity performance. </w:t>
      </w:r>
      <w:r w:rsidR="00793F83">
        <w:t>In addition to capacity investment in staff and facilities, u</w:t>
      </w:r>
      <w:r>
        <w:t xml:space="preserve">sing the opportunity to embed new ways of working </w:t>
      </w:r>
      <w:r w:rsidR="00E330F4">
        <w:t>particularly with the use of technology</w:t>
      </w:r>
      <w:r>
        <w:t xml:space="preserve"> will be important for future </w:t>
      </w:r>
      <w:r w:rsidR="00793F83">
        <w:t xml:space="preserve">NHS </w:t>
      </w:r>
      <w:r>
        <w:t xml:space="preserve">productivity. </w:t>
      </w:r>
    </w:p>
    <w:p w14:paraId="691B6992" w14:textId="77777777" w:rsidR="008570C4" w:rsidRDefault="008570C4" w:rsidP="005E0201">
      <w:pPr>
        <w:pStyle w:val="Body"/>
        <w:spacing w:line="288" w:lineRule="auto"/>
        <w:jc w:val="both"/>
        <w:rPr>
          <w:b/>
          <w:bCs/>
        </w:rPr>
      </w:pPr>
    </w:p>
    <w:p w14:paraId="712F3C8F" w14:textId="77777777" w:rsidR="008570C4" w:rsidRDefault="008570C4">
      <w:pPr>
        <w:rPr>
          <w:rFonts w:ascii="Helvetica Neue" w:hAnsi="Helvetica Neue" w:cs="Arial Unicode MS"/>
          <w:b/>
          <w:bCs/>
          <w:color w:val="000000"/>
          <w:sz w:val="28"/>
          <w:szCs w:val="28"/>
          <w:lang w:eastAsia="en-GB"/>
          <w14:textOutline w14:w="0" w14:cap="flat" w14:cmpd="sng" w14:algn="ctr">
            <w14:noFill/>
            <w14:prstDash w14:val="solid"/>
            <w14:bevel/>
          </w14:textOutline>
        </w:rPr>
      </w:pPr>
      <w:r>
        <w:rPr>
          <w:b/>
          <w:bCs/>
          <w:sz w:val="28"/>
          <w:szCs w:val="28"/>
        </w:rPr>
        <w:br w:type="page"/>
      </w:r>
    </w:p>
    <w:p w14:paraId="11AF512F" w14:textId="26ADB616" w:rsidR="00B22741" w:rsidRPr="008570C4" w:rsidRDefault="002E0D06">
      <w:pPr>
        <w:pStyle w:val="Body"/>
        <w:spacing w:line="288" w:lineRule="auto"/>
        <w:jc w:val="both"/>
        <w:rPr>
          <w:b/>
          <w:bCs/>
          <w:sz w:val="28"/>
          <w:szCs w:val="28"/>
        </w:rPr>
      </w:pPr>
      <w:r w:rsidRPr="008570C4">
        <w:rPr>
          <w:b/>
          <w:bCs/>
          <w:sz w:val="28"/>
          <w:szCs w:val="28"/>
        </w:rPr>
        <w:lastRenderedPageBreak/>
        <w:t>References</w:t>
      </w:r>
    </w:p>
    <w:p w14:paraId="0DCA35AB" w14:textId="77777777" w:rsidR="00B22741" w:rsidRPr="008570C4" w:rsidRDefault="00B22741">
      <w:pPr>
        <w:pStyle w:val="Body"/>
        <w:spacing w:line="288" w:lineRule="auto"/>
        <w:jc w:val="both"/>
        <w:rPr>
          <w:rFonts w:asciiTheme="minorHAnsi" w:hAnsiTheme="minorHAnsi"/>
        </w:rPr>
      </w:pPr>
    </w:p>
    <w:p w14:paraId="00ADD660" w14:textId="77777777" w:rsidR="008570C4" w:rsidRPr="008570C4" w:rsidRDefault="00F85C0E" w:rsidP="00372E47">
      <w:pPr>
        <w:pStyle w:val="FootnoteText"/>
        <w:rPr>
          <w:rFonts w:asciiTheme="minorHAnsi" w:hAnsiTheme="minorHAnsi"/>
          <w:sz w:val="22"/>
          <w:szCs w:val="22"/>
        </w:rPr>
      </w:pPr>
      <w:r w:rsidRPr="008570C4">
        <w:rPr>
          <w:rFonts w:asciiTheme="minorHAnsi" w:hAnsiTheme="minorHAnsi" w:cs="Arial"/>
          <w:color w:val="222222"/>
          <w:sz w:val="22"/>
          <w:szCs w:val="22"/>
          <w:shd w:val="clear" w:color="auto" w:fill="FFFFFF"/>
        </w:rPr>
        <w:t>Alderwick, H., 2020. NHS reorganisation after the pandemic</w:t>
      </w:r>
      <w:r w:rsidR="008570C4" w:rsidRPr="008570C4">
        <w:rPr>
          <w:rFonts w:asciiTheme="minorHAnsi" w:hAnsiTheme="minorHAnsi" w:cs="Arial"/>
          <w:color w:val="222222"/>
          <w:sz w:val="22"/>
          <w:szCs w:val="22"/>
          <w:shd w:val="clear" w:color="auto" w:fill="FFFFFF"/>
        </w:rPr>
        <w:t xml:space="preserve"> </w:t>
      </w:r>
      <w:hyperlink r:id="rId24" w:history="1">
        <w:r w:rsidR="008570C4" w:rsidRPr="008570C4">
          <w:rPr>
            <w:rStyle w:val="Hyperlink"/>
            <w:rFonts w:asciiTheme="minorHAnsi" w:hAnsiTheme="minorHAnsi"/>
            <w:sz w:val="22"/>
            <w:szCs w:val="22"/>
          </w:rPr>
          <w:t>https://www.bmj.com/content/bmj/371/bmj.m4468.full.pdf</w:t>
        </w:r>
      </w:hyperlink>
      <w:r w:rsidR="008570C4" w:rsidRPr="008570C4">
        <w:rPr>
          <w:rFonts w:asciiTheme="minorHAnsi" w:hAnsiTheme="minorHAnsi"/>
          <w:sz w:val="22"/>
          <w:szCs w:val="22"/>
        </w:rPr>
        <w:t xml:space="preserve"> </w:t>
      </w:r>
    </w:p>
    <w:p w14:paraId="3096A8F8" w14:textId="3F573326" w:rsidR="00F85C0E" w:rsidRPr="008570C4" w:rsidRDefault="00F85C0E" w:rsidP="00372E47">
      <w:pPr>
        <w:pStyle w:val="FootnoteText"/>
        <w:rPr>
          <w:rFonts w:asciiTheme="minorHAnsi" w:hAnsiTheme="minorHAnsi"/>
          <w:sz w:val="22"/>
          <w:szCs w:val="22"/>
        </w:rPr>
      </w:pPr>
    </w:p>
    <w:p w14:paraId="2179A070" w14:textId="0E1381D3"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Athow, J, The virus, the vaccine and GDP: Measuring healthcare through the pandemic </w:t>
      </w:r>
      <w:r w:rsidR="008570C4" w:rsidRPr="008570C4">
        <w:rPr>
          <w:rFonts w:asciiTheme="minorHAnsi" w:hAnsiTheme="minorHAnsi"/>
          <w:sz w:val="22"/>
          <w:szCs w:val="22"/>
        </w:rPr>
        <w:t xml:space="preserve">, </w:t>
      </w:r>
      <w:hyperlink r:id="rId25" w:history="1">
        <w:r w:rsidR="008570C4" w:rsidRPr="008570C4">
          <w:rPr>
            <w:rStyle w:val="Hyperlink"/>
            <w:rFonts w:asciiTheme="minorHAnsi" w:hAnsiTheme="minorHAnsi"/>
            <w:sz w:val="22"/>
            <w:szCs w:val="22"/>
          </w:rPr>
          <w:t>https://blog.ons.gov.uk/2020/12/21/the-virus-the-vaccine-and-gdp-measuring-healthcare-through-the-pandemic/</w:t>
        </w:r>
      </w:hyperlink>
      <w:r w:rsidRPr="008570C4">
        <w:rPr>
          <w:rFonts w:asciiTheme="minorHAnsi" w:hAnsiTheme="minorHAnsi"/>
          <w:sz w:val="22"/>
          <w:szCs w:val="22"/>
        </w:rPr>
        <w:t xml:space="preserve"> Accessed 30/12/20 </w:t>
      </w:r>
    </w:p>
    <w:p w14:paraId="520CAED2" w14:textId="77777777" w:rsidR="00B22741" w:rsidRPr="008570C4" w:rsidRDefault="00B22741" w:rsidP="00372E47">
      <w:pPr>
        <w:pStyle w:val="Default"/>
        <w:spacing w:before="0"/>
        <w:jc w:val="both"/>
        <w:rPr>
          <w:rFonts w:asciiTheme="minorHAnsi" w:hAnsiTheme="minorHAnsi"/>
          <w:sz w:val="22"/>
          <w:szCs w:val="22"/>
        </w:rPr>
      </w:pPr>
    </w:p>
    <w:p w14:paraId="4B9B88BA" w14:textId="77876AFF" w:rsidR="00B22741"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Atkinson, A. (2005) </w:t>
      </w:r>
      <w:r w:rsidRPr="008570C4">
        <w:rPr>
          <w:rFonts w:asciiTheme="minorHAnsi" w:hAnsiTheme="minorHAnsi"/>
          <w:sz w:val="22"/>
          <w:szCs w:val="22"/>
          <w:rtl/>
        </w:rPr>
        <w:t>‘</w:t>
      </w:r>
      <w:r w:rsidRPr="008570C4">
        <w:rPr>
          <w:rFonts w:asciiTheme="minorHAnsi" w:hAnsiTheme="minorHAnsi"/>
          <w:sz w:val="22"/>
          <w:szCs w:val="22"/>
        </w:rPr>
        <w:t>Atkinson Review: Final report. Measurement of Government Output and Productivity for the National Accounts</w:t>
      </w:r>
      <w:r w:rsidRPr="008570C4">
        <w:rPr>
          <w:rFonts w:asciiTheme="minorHAnsi" w:hAnsiTheme="minorHAnsi"/>
          <w:sz w:val="22"/>
          <w:szCs w:val="22"/>
          <w:rtl/>
        </w:rPr>
        <w:t>’</w:t>
      </w:r>
      <w:r w:rsidRPr="008570C4">
        <w:rPr>
          <w:rFonts w:asciiTheme="minorHAnsi" w:hAnsiTheme="minorHAnsi"/>
          <w:sz w:val="22"/>
          <w:szCs w:val="22"/>
        </w:rPr>
        <w:t xml:space="preserve">. Available at https://www.ons.gov.uk/ons/guide-method/method-quality/specific/public-sector-methodology/articles/atkinson-review-final-report.pdf </w:t>
      </w:r>
      <w:r w:rsidR="008570C4" w:rsidRPr="008570C4">
        <w:rPr>
          <w:rFonts w:asciiTheme="minorHAnsi" w:hAnsiTheme="minorHAnsi"/>
          <w:sz w:val="22"/>
          <w:szCs w:val="22"/>
        </w:rPr>
        <w:t xml:space="preserve"> </w:t>
      </w:r>
    </w:p>
    <w:p w14:paraId="32EAAC1F" w14:textId="1E8DA065" w:rsidR="00F53BEF" w:rsidRPr="00F53BEF" w:rsidRDefault="00F53BEF" w:rsidP="00F53BE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rPr>
          <w:rFonts w:asciiTheme="minorHAnsi" w:hAnsiTheme="minorHAnsi" w:cs="Calibri"/>
          <w:color w:val="000000"/>
          <w:sz w:val="22"/>
          <w:szCs w:val="22"/>
          <w:lang w:val="en-GB" w:eastAsia="en-GB"/>
        </w:rPr>
      </w:pPr>
      <w:r w:rsidRPr="00F53BEF">
        <w:rPr>
          <w:rFonts w:asciiTheme="minorHAnsi" w:hAnsiTheme="minorHAnsi" w:cs="Calibri"/>
          <w:color w:val="000000"/>
          <w:sz w:val="22"/>
          <w:szCs w:val="22"/>
        </w:rPr>
        <w:t>Baird, B., and Beech, J., (2020). "Primary Care Networks explained"</w:t>
      </w:r>
      <w:r w:rsidRPr="00F53BEF">
        <w:rPr>
          <w:rStyle w:val="apple-converted-space"/>
          <w:rFonts w:asciiTheme="minorHAnsi" w:hAnsiTheme="minorHAnsi" w:cs="Calibri"/>
          <w:color w:val="000000"/>
          <w:sz w:val="22"/>
          <w:szCs w:val="22"/>
        </w:rPr>
        <w:t> </w:t>
      </w:r>
      <w:r w:rsidRPr="00F53BEF">
        <w:rPr>
          <w:rStyle w:val="Emphasis"/>
          <w:rFonts w:asciiTheme="minorHAnsi" w:hAnsiTheme="minorHAnsi" w:cs="Calibri"/>
          <w:color w:val="000000"/>
          <w:sz w:val="22"/>
          <w:szCs w:val="22"/>
        </w:rPr>
        <w:t>The King's Fund</w:t>
      </w:r>
      <w:r w:rsidRPr="00F53BEF">
        <w:rPr>
          <w:rFonts w:asciiTheme="minorHAnsi" w:hAnsiTheme="minorHAnsi" w:cs="Calibri"/>
          <w:color w:val="000000"/>
          <w:sz w:val="22"/>
          <w:szCs w:val="22"/>
        </w:rPr>
        <w:t xml:space="preserve">. November 20. </w:t>
      </w:r>
      <w:hyperlink r:id="rId26" w:history="1">
        <w:r w:rsidRPr="00F53BEF">
          <w:rPr>
            <w:rStyle w:val="Hyperlink"/>
            <w:rFonts w:asciiTheme="minorHAnsi" w:hAnsiTheme="minorHAnsi" w:cs="Calibri"/>
            <w:sz w:val="22"/>
            <w:szCs w:val="22"/>
          </w:rPr>
          <w:t>https://www.kingsfund.org.uk/publications/primary-care-networks-explained</w:t>
        </w:r>
      </w:hyperlink>
      <w:r>
        <w:rPr>
          <w:rFonts w:asciiTheme="minorHAnsi" w:hAnsiTheme="minorHAnsi" w:cs="Calibri"/>
          <w:color w:val="000000"/>
          <w:sz w:val="22"/>
          <w:szCs w:val="22"/>
        </w:rPr>
        <w:t xml:space="preserve"> accessed 28/1/21</w:t>
      </w:r>
    </w:p>
    <w:p w14:paraId="2E451AE9" w14:textId="1AB67FA4"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Banks J, H Karjalainen and C </w:t>
      </w:r>
      <w:r w:rsidR="00CD675D" w:rsidRPr="008570C4">
        <w:rPr>
          <w:rFonts w:asciiTheme="minorHAnsi" w:hAnsiTheme="minorHAnsi"/>
          <w:sz w:val="22"/>
          <w:szCs w:val="22"/>
        </w:rPr>
        <w:t>Propper, Recessions</w:t>
      </w:r>
      <w:r w:rsidRPr="008570C4">
        <w:rPr>
          <w:rFonts w:asciiTheme="minorHAnsi" w:hAnsiTheme="minorHAnsi"/>
          <w:sz w:val="22"/>
          <w:szCs w:val="22"/>
        </w:rPr>
        <w:t xml:space="preserve"> and health: the long-term health consequences of responses to the coronavirus, IFS Briefing Note April 2020, https://www.ifs.org.uk/publications/14799</w:t>
      </w:r>
    </w:p>
    <w:p w14:paraId="2C262DDE" w14:textId="34409300" w:rsidR="00B22741" w:rsidRPr="008570C4" w:rsidRDefault="00B22741" w:rsidP="00372E47">
      <w:pPr>
        <w:pStyle w:val="Default"/>
        <w:spacing w:before="0"/>
        <w:jc w:val="both"/>
        <w:rPr>
          <w:rFonts w:asciiTheme="minorHAnsi" w:hAnsiTheme="minorHAnsi"/>
          <w:sz w:val="22"/>
          <w:szCs w:val="22"/>
        </w:rPr>
      </w:pPr>
    </w:p>
    <w:p w14:paraId="134440CF" w14:textId="509203C7" w:rsidR="00372E47" w:rsidRDefault="00596E17"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Bakhai, M. (2020) ‘The use of online and video consultations during the </w:t>
      </w:r>
      <w:r w:rsidR="003B3C10">
        <w:rPr>
          <w:rFonts w:asciiTheme="minorHAnsi" w:hAnsiTheme="minorHAnsi"/>
          <w:sz w:val="22"/>
          <w:szCs w:val="22"/>
        </w:rPr>
        <w:t>Covid19</w:t>
      </w:r>
      <w:r w:rsidRPr="008570C4">
        <w:rPr>
          <w:rFonts w:asciiTheme="minorHAnsi" w:hAnsiTheme="minorHAnsi"/>
          <w:sz w:val="22"/>
          <w:szCs w:val="22"/>
        </w:rPr>
        <w:t xml:space="preserve"> pandemic - delivering the best care to patients’, NHSX blog, 27 May. https://www.nhsx.nhs.uk/blogs/use-online-and-video-consultations-during-covid-19-pandemic-delivering-best-care-patients/ </w:t>
      </w:r>
    </w:p>
    <w:p w14:paraId="40028997" w14:textId="7D25A890" w:rsidR="00372E47" w:rsidRPr="005E0201" w:rsidRDefault="00372E47" w:rsidP="00372E47">
      <w:pPr>
        <w:pStyle w:val="Heading1"/>
        <w:rPr>
          <w:rFonts w:asciiTheme="minorHAnsi" w:hAnsiTheme="minorHAnsi"/>
          <w:b w:val="0"/>
          <w:bCs w:val="0"/>
          <w:sz w:val="22"/>
          <w:szCs w:val="22"/>
        </w:rPr>
      </w:pPr>
      <w:r w:rsidRPr="00372E47">
        <w:rPr>
          <w:rFonts w:asciiTheme="minorHAnsi" w:hAnsiTheme="minorHAnsi"/>
          <w:b w:val="0"/>
          <w:bCs w:val="0"/>
          <w:sz w:val="22"/>
          <w:szCs w:val="22"/>
        </w:rPr>
        <w:t>Bronsoler A, J Doyle &amp; J Van Reenen (2020). The Impact of New Technology on the Healthcare Workforce</w:t>
      </w:r>
      <w:r>
        <w:rPr>
          <w:rFonts w:asciiTheme="minorHAnsi" w:hAnsiTheme="minorHAnsi"/>
          <w:b w:val="0"/>
          <w:bCs w:val="0"/>
          <w:sz w:val="22"/>
          <w:szCs w:val="22"/>
        </w:rPr>
        <w:t xml:space="preserve">, MIT Policy Brief. </w:t>
      </w:r>
      <w:hyperlink r:id="rId27" w:history="1">
        <w:r w:rsidRPr="005E0201">
          <w:rPr>
            <w:rStyle w:val="Hyperlink"/>
            <w:rFonts w:asciiTheme="minorHAnsi" w:hAnsiTheme="minorHAnsi"/>
            <w:b w:val="0"/>
            <w:bCs w:val="0"/>
            <w:sz w:val="22"/>
            <w:szCs w:val="22"/>
          </w:rPr>
          <w:t>https://workofthefuture.mit.edu/research-post/the-impact-of-new-technology-on-the-healthcare-workforce/</w:t>
        </w:r>
      </w:hyperlink>
      <w:r w:rsidRPr="005E0201">
        <w:rPr>
          <w:rFonts w:asciiTheme="minorHAnsi" w:hAnsiTheme="minorHAnsi"/>
          <w:b w:val="0"/>
          <w:bCs w:val="0"/>
          <w:sz w:val="22"/>
          <w:szCs w:val="22"/>
        </w:rPr>
        <w:t xml:space="preserve"> Accessed 22/1/21</w:t>
      </w:r>
    </w:p>
    <w:p w14:paraId="01435287" w14:textId="7AC682E4" w:rsidR="005E0201" w:rsidRPr="005E0201" w:rsidRDefault="005E0201" w:rsidP="005E0201">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eastAsia="Times New Roman" w:hAnsiTheme="minorHAnsi" w:cs="Arial"/>
          <w:sz w:val="22"/>
          <w:szCs w:val="22"/>
          <w:bdr w:val="none" w:sz="0" w:space="0" w:color="auto"/>
          <w:lang w:val="en-GB" w:eastAsia="en-GB"/>
        </w:rPr>
      </w:pPr>
      <w:r w:rsidRPr="005E0201">
        <w:rPr>
          <w:rFonts w:asciiTheme="minorHAnsi" w:eastAsia="Times New Roman" w:hAnsiTheme="minorHAnsi" w:cs="Arial"/>
          <w:sz w:val="22"/>
          <w:szCs w:val="22"/>
          <w:bdr w:val="none" w:sz="0" w:space="0" w:color="auto"/>
          <w:lang w:val="en-GB" w:eastAsia="en-GB"/>
        </w:rPr>
        <w:t xml:space="preserve">Brynjolfsson, E., </w:t>
      </w:r>
      <w:r>
        <w:rPr>
          <w:rFonts w:asciiTheme="minorHAnsi" w:eastAsia="Times New Roman" w:hAnsiTheme="minorHAnsi" w:cs="Arial"/>
          <w:sz w:val="22"/>
          <w:szCs w:val="22"/>
          <w:bdr w:val="none" w:sz="0" w:space="0" w:color="auto"/>
          <w:lang w:val="en-GB" w:eastAsia="en-GB"/>
        </w:rPr>
        <w:t xml:space="preserve">&amp; </w:t>
      </w:r>
      <w:r w:rsidRPr="005E0201">
        <w:rPr>
          <w:rFonts w:asciiTheme="minorHAnsi" w:eastAsia="Times New Roman" w:hAnsiTheme="minorHAnsi" w:cs="Arial"/>
          <w:sz w:val="22"/>
          <w:szCs w:val="22"/>
          <w:bdr w:val="none" w:sz="0" w:space="0" w:color="auto"/>
          <w:lang w:val="en-GB" w:eastAsia="en-GB"/>
        </w:rPr>
        <w:t xml:space="preserve">Hitt, L. M. (2000). Beyond computation: Information technology, organizational transformation and business </w:t>
      </w:r>
      <w:proofErr w:type="gramStart"/>
      <w:r w:rsidRPr="005E0201">
        <w:rPr>
          <w:rFonts w:asciiTheme="minorHAnsi" w:eastAsia="Times New Roman" w:hAnsiTheme="minorHAnsi" w:cs="Arial"/>
          <w:sz w:val="22"/>
          <w:szCs w:val="22"/>
          <w:bdr w:val="none" w:sz="0" w:space="0" w:color="auto"/>
          <w:lang w:val="en-GB" w:eastAsia="en-GB"/>
        </w:rPr>
        <w:t>performance.Journal</w:t>
      </w:r>
      <w:proofErr w:type="gramEnd"/>
      <w:r w:rsidRPr="005E0201">
        <w:rPr>
          <w:rFonts w:asciiTheme="minorHAnsi" w:eastAsia="Times New Roman" w:hAnsiTheme="minorHAnsi" w:cs="Arial"/>
          <w:sz w:val="22"/>
          <w:szCs w:val="22"/>
          <w:bdr w:val="none" w:sz="0" w:space="0" w:color="auto"/>
          <w:lang w:val="en-GB" w:eastAsia="en-GB"/>
        </w:rPr>
        <w:t xml:space="preserve"> of Economic Perspectives,14(4), 23–48.</w:t>
      </w:r>
    </w:p>
    <w:p w14:paraId="369A5178" w14:textId="77777777" w:rsidR="005E0201" w:rsidRPr="005E0201" w:rsidRDefault="005E0201" w:rsidP="005E0201">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eastAsia="Times New Roman" w:hAnsiTheme="minorHAnsi" w:cs="Arial"/>
          <w:sz w:val="22"/>
          <w:szCs w:val="22"/>
          <w:bdr w:val="none" w:sz="0" w:space="0" w:color="auto"/>
          <w:lang w:val="en-GB" w:eastAsia="en-GB"/>
        </w:rPr>
      </w:pPr>
    </w:p>
    <w:p w14:paraId="3169AF2E" w14:textId="68B946CA" w:rsidR="005E0201" w:rsidRPr="005E0201" w:rsidRDefault="005E0201" w:rsidP="005E0201">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eastAsia="Times New Roman" w:hAnsiTheme="minorHAnsi"/>
          <w:sz w:val="22"/>
          <w:szCs w:val="22"/>
          <w:bdr w:val="none" w:sz="0" w:space="0" w:color="auto"/>
          <w:lang w:val="en-GB" w:eastAsia="en-GB"/>
        </w:rPr>
      </w:pPr>
      <w:r w:rsidRPr="005E0201">
        <w:rPr>
          <w:rFonts w:asciiTheme="minorHAnsi" w:eastAsia="Times New Roman" w:hAnsiTheme="minorHAnsi" w:cs="Arial"/>
          <w:sz w:val="22"/>
          <w:szCs w:val="22"/>
          <w:bdr w:val="none" w:sz="0" w:space="0" w:color="auto"/>
          <w:lang w:val="en-GB" w:eastAsia="en-GB"/>
        </w:rPr>
        <w:t xml:space="preserve">Brynjolfsson, E., </w:t>
      </w:r>
      <w:proofErr w:type="gramStart"/>
      <w:r w:rsidRPr="005E0201">
        <w:rPr>
          <w:rFonts w:asciiTheme="minorHAnsi" w:eastAsia="Times New Roman" w:hAnsiTheme="minorHAnsi" w:cs="Arial"/>
          <w:sz w:val="22"/>
          <w:szCs w:val="22"/>
          <w:bdr w:val="none" w:sz="0" w:space="0" w:color="auto"/>
          <w:lang w:val="en-GB" w:eastAsia="en-GB"/>
        </w:rPr>
        <w:t>Rock,D.</w:t>
      </w:r>
      <w:proofErr w:type="gramEnd"/>
      <w:r w:rsidRPr="005E0201">
        <w:rPr>
          <w:rFonts w:asciiTheme="minorHAnsi" w:eastAsia="Times New Roman" w:hAnsiTheme="minorHAnsi" w:cs="Arial"/>
          <w:sz w:val="22"/>
          <w:szCs w:val="22"/>
          <w:bdr w:val="none" w:sz="0" w:space="0" w:color="auto"/>
          <w:lang w:val="en-GB" w:eastAsia="en-GB"/>
        </w:rPr>
        <w:t>,</w:t>
      </w:r>
      <w:r>
        <w:rPr>
          <w:rFonts w:asciiTheme="minorHAnsi" w:eastAsia="Times New Roman" w:hAnsiTheme="minorHAnsi" w:cs="Arial"/>
          <w:sz w:val="22"/>
          <w:szCs w:val="22"/>
          <w:bdr w:val="none" w:sz="0" w:space="0" w:color="auto"/>
          <w:lang w:val="en-GB" w:eastAsia="en-GB"/>
        </w:rPr>
        <w:t xml:space="preserve"> &amp; </w:t>
      </w:r>
      <w:r w:rsidRPr="005E0201">
        <w:rPr>
          <w:rFonts w:asciiTheme="minorHAnsi" w:eastAsia="Times New Roman" w:hAnsiTheme="minorHAnsi" w:cs="Arial"/>
          <w:sz w:val="22"/>
          <w:szCs w:val="22"/>
          <w:bdr w:val="none" w:sz="0" w:space="0" w:color="auto"/>
          <w:lang w:val="en-GB" w:eastAsia="en-GB"/>
        </w:rPr>
        <w:t>Syverson,C. (2020).The Productivity J-Curve: How Intangibles Complement General Purpose Technologies. American Economic Journal: Macroeconomics</w:t>
      </w:r>
      <w:r w:rsidR="003B3C10">
        <w:rPr>
          <w:rFonts w:asciiTheme="minorHAnsi" w:eastAsia="Times New Roman" w:hAnsiTheme="minorHAnsi" w:cs="Arial"/>
          <w:sz w:val="22"/>
          <w:szCs w:val="22"/>
          <w:bdr w:val="none" w:sz="0" w:space="0" w:color="auto"/>
          <w:lang w:val="en-GB" w:eastAsia="en-GB"/>
        </w:rPr>
        <w:t>, 333-372.</w:t>
      </w:r>
    </w:p>
    <w:p w14:paraId="02B49946" w14:textId="77777777" w:rsidR="005E0201" w:rsidRDefault="005E0201" w:rsidP="00372E47">
      <w:pPr>
        <w:pStyle w:val="Default"/>
        <w:spacing w:before="0"/>
        <w:jc w:val="both"/>
        <w:rPr>
          <w:rFonts w:asciiTheme="minorHAnsi" w:hAnsiTheme="minorHAnsi"/>
          <w:sz w:val="22"/>
          <w:szCs w:val="22"/>
        </w:rPr>
      </w:pPr>
    </w:p>
    <w:p w14:paraId="4FBA7397" w14:textId="43F3498E" w:rsidR="00B22741"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Castelli, A., M. Chalkley and I. R. Santana (2018)</w:t>
      </w:r>
      <w:r w:rsidR="00CD675D" w:rsidRPr="008570C4">
        <w:rPr>
          <w:rFonts w:asciiTheme="minorHAnsi" w:hAnsiTheme="minorHAnsi"/>
          <w:sz w:val="22"/>
          <w:szCs w:val="22"/>
        </w:rPr>
        <w:t>,</w:t>
      </w:r>
      <w:r w:rsidRPr="008570C4">
        <w:rPr>
          <w:rFonts w:asciiTheme="minorHAnsi" w:hAnsiTheme="minorHAnsi"/>
          <w:sz w:val="22"/>
          <w:szCs w:val="22"/>
        </w:rPr>
        <w:t xml:space="preserve"> </w:t>
      </w:r>
      <w:r w:rsidRPr="008570C4">
        <w:rPr>
          <w:rFonts w:asciiTheme="minorHAnsi" w:hAnsiTheme="minorHAnsi"/>
          <w:sz w:val="22"/>
          <w:szCs w:val="22"/>
          <w:rtl/>
        </w:rPr>
        <w:t>‘</w:t>
      </w:r>
      <w:r w:rsidRPr="008570C4">
        <w:rPr>
          <w:rFonts w:asciiTheme="minorHAnsi" w:hAnsiTheme="minorHAnsi"/>
          <w:sz w:val="22"/>
          <w:szCs w:val="22"/>
        </w:rPr>
        <w:t>Productivity of the English National Health Service: 2015/16 Update</w:t>
      </w:r>
      <w:r w:rsidRPr="008570C4">
        <w:rPr>
          <w:rFonts w:asciiTheme="minorHAnsi" w:hAnsiTheme="minorHAnsi"/>
          <w:sz w:val="22"/>
          <w:szCs w:val="22"/>
          <w:rtl/>
        </w:rPr>
        <w:t>’</w:t>
      </w:r>
      <w:r w:rsidRPr="008570C4">
        <w:rPr>
          <w:rFonts w:asciiTheme="minorHAnsi" w:hAnsiTheme="minorHAnsi"/>
          <w:sz w:val="22"/>
          <w:szCs w:val="22"/>
        </w:rPr>
        <w:t xml:space="preserve">, Centre for Health Economics, University of York: York </w:t>
      </w:r>
    </w:p>
    <w:p w14:paraId="6759A2C0" w14:textId="74C59B9B" w:rsidR="00BC06A1" w:rsidRDefault="00BC06A1" w:rsidP="00372E47">
      <w:pPr>
        <w:pStyle w:val="Default"/>
        <w:spacing w:before="0"/>
        <w:jc w:val="both"/>
        <w:rPr>
          <w:rFonts w:asciiTheme="minorHAnsi" w:hAnsiTheme="minorHAnsi"/>
          <w:sz w:val="22"/>
          <w:szCs w:val="22"/>
        </w:rPr>
      </w:pPr>
    </w:p>
    <w:p w14:paraId="5BEF6CD0" w14:textId="1AF5F0D8" w:rsidR="00BC06A1" w:rsidRPr="008570C4" w:rsidRDefault="00BC06A1" w:rsidP="00372E47">
      <w:pPr>
        <w:pStyle w:val="Default"/>
        <w:spacing w:before="0"/>
        <w:jc w:val="both"/>
        <w:rPr>
          <w:rFonts w:asciiTheme="minorHAnsi" w:hAnsiTheme="minorHAnsi"/>
          <w:sz w:val="22"/>
          <w:szCs w:val="22"/>
        </w:rPr>
      </w:pPr>
      <w:r>
        <w:rPr>
          <w:rFonts w:asciiTheme="minorHAnsi" w:hAnsiTheme="minorHAnsi"/>
          <w:sz w:val="22"/>
          <w:szCs w:val="22"/>
        </w:rPr>
        <w:t>Corrado, C (2021), Intangible Capital, chapter in Brookings Institution, forthcoming.</w:t>
      </w:r>
    </w:p>
    <w:p w14:paraId="3EF14ECF" w14:textId="77777777" w:rsidR="00B22741" w:rsidRPr="008570C4" w:rsidRDefault="00B22741" w:rsidP="00372E47">
      <w:pPr>
        <w:pStyle w:val="Default"/>
        <w:spacing w:before="0"/>
        <w:jc w:val="both"/>
        <w:rPr>
          <w:rFonts w:asciiTheme="minorHAnsi" w:hAnsiTheme="minorHAnsi"/>
          <w:sz w:val="22"/>
          <w:szCs w:val="22"/>
        </w:rPr>
      </w:pPr>
    </w:p>
    <w:p w14:paraId="4A6924B4"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Coyle, D (2014), </w:t>
      </w:r>
      <w:r w:rsidRPr="008570C4">
        <w:rPr>
          <w:rFonts w:asciiTheme="minorHAnsi" w:hAnsiTheme="minorHAnsi"/>
          <w:i/>
          <w:iCs/>
          <w:sz w:val="22"/>
          <w:szCs w:val="22"/>
        </w:rPr>
        <w:t xml:space="preserve">GDP: A Brief </w:t>
      </w:r>
      <w:proofErr w:type="gramStart"/>
      <w:r w:rsidRPr="008570C4">
        <w:rPr>
          <w:rFonts w:asciiTheme="minorHAnsi" w:hAnsiTheme="minorHAnsi"/>
          <w:i/>
          <w:iCs/>
          <w:sz w:val="22"/>
          <w:szCs w:val="22"/>
        </w:rPr>
        <w:t>But</w:t>
      </w:r>
      <w:proofErr w:type="gramEnd"/>
      <w:r w:rsidRPr="008570C4">
        <w:rPr>
          <w:rFonts w:asciiTheme="minorHAnsi" w:hAnsiTheme="minorHAnsi"/>
          <w:i/>
          <w:iCs/>
          <w:sz w:val="22"/>
          <w:szCs w:val="22"/>
        </w:rPr>
        <w:t xml:space="preserve"> Affectionate History</w:t>
      </w:r>
      <w:r w:rsidRPr="008570C4">
        <w:rPr>
          <w:rFonts w:asciiTheme="minorHAnsi" w:hAnsiTheme="minorHAnsi"/>
          <w:sz w:val="22"/>
          <w:szCs w:val="22"/>
        </w:rPr>
        <w:t>, Princeton University Press.</w:t>
      </w:r>
    </w:p>
    <w:p w14:paraId="3EB1EE80" w14:textId="77777777" w:rsidR="00B22741" w:rsidRPr="008570C4" w:rsidRDefault="00B22741" w:rsidP="00372E47">
      <w:pPr>
        <w:pStyle w:val="Default"/>
        <w:spacing w:before="0"/>
        <w:jc w:val="both"/>
        <w:rPr>
          <w:rFonts w:asciiTheme="minorHAnsi" w:hAnsiTheme="minorHAnsi"/>
          <w:sz w:val="22"/>
          <w:szCs w:val="22"/>
        </w:rPr>
      </w:pPr>
    </w:p>
    <w:p w14:paraId="4B17678F"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Coyle, D, S Diepeveen,  L Kay and J Tennison (2019), </w:t>
      </w:r>
      <w:r w:rsidRPr="008570C4">
        <w:rPr>
          <w:rFonts w:asciiTheme="minorHAnsi" w:hAnsiTheme="minorHAnsi"/>
          <w:i/>
          <w:iCs/>
          <w:sz w:val="22"/>
          <w:szCs w:val="22"/>
        </w:rPr>
        <w:t>The Value of Data: Policy Implications</w:t>
      </w:r>
      <w:r w:rsidRPr="008570C4">
        <w:rPr>
          <w:rFonts w:asciiTheme="minorHAnsi" w:hAnsiTheme="minorHAnsi"/>
          <w:sz w:val="22"/>
          <w:szCs w:val="22"/>
        </w:rPr>
        <w:t xml:space="preserve">, </w:t>
      </w:r>
      <w:hyperlink r:id="rId28" w:history="1">
        <w:r w:rsidRPr="008570C4">
          <w:rPr>
            <w:rStyle w:val="Hyperlink0"/>
            <w:rFonts w:asciiTheme="minorHAnsi" w:hAnsiTheme="minorHAnsi"/>
            <w:sz w:val="22"/>
            <w:szCs w:val="22"/>
          </w:rPr>
          <w:t>https://www.bennettinstitute.cam.ac.uk/media/uploads/files/Value_of_data_Policy_Implications_Report_26_Feb_ok4noWn.pdf</w:t>
        </w:r>
      </w:hyperlink>
      <w:r w:rsidRPr="008570C4">
        <w:rPr>
          <w:rFonts w:asciiTheme="minorHAnsi" w:hAnsiTheme="minorHAnsi"/>
          <w:sz w:val="22"/>
          <w:szCs w:val="22"/>
        </w:rPr>
        <w:t xml:space="preserve"> </w:t>
      </w:r>
    </w:p>
    <w:p w14:paraId="5BECC897" w14:textId="77777777" w:rsidR="00B22741" w:rsidRPr="008570C4" w:rsidRDefault="00B22741" w:rsidP="00372E47">
      <w:pPr>
        <w:pStyle w:val="Default"/>
        <w:spacing w:before="0"/>
        <w:jc w:val="both"/>
        <w:rPr>
          <w:rFonts w:asciiTheme="minorHAnsi" w:hAnsiTheme="minorHAnsi"/>
          <w:sz w:val="22"/>
          <w:szCs w:val="22"/>
        </w:rPr>
      </w:pPr>
    </w:p>
    <w:p w14:paraId="443C1ABD" w14:textId="77777777" w:rsidR="0007451F" w:rsidRPr="008570C4" w:rsidRDefault="0007451F" w:rsidP="00372E47">
      <w:pPr>
        <w:pStyle w:val="FootnoteText"/>
        <w:rPr>
          <w:rFonts w:asciiTheme="minorHAnsi" w:hAnsiTheme="minorHAnsi" w:cstheme="majorHAnsi"/>
          <w:sz w:val="22"/>
          <w:szCs w:val="22"/>
        </w:rPr>
      </w:pPr>
      <w:r w:rsidRPr="008570C4">
        <w:rPr>
          <w:rFonts w:asciiTheme="minorHAnsi" w:hAnsiTheme="minorHAnsi" w:cstheme="majorHAnsi"/>
          <w:sz w:val="22"/>
          <w:szCs w:val="22"/>
        </w:rPr>
        <w:t xml:space="preserve">Louise Dalingwater, « Post-New Public Management (NPM) and the Reconfiguration of Health Services in </w:t>
      </w:r>
      <w:proofErr w:type="gramStart"/>
      <w:r w:rsidRPr="008570C4">
        <w:rPr>
          <w:rFonts w:asciiTheme="minorHAnsi" w:hAnsiTheme="minorHAnsi" w:cstheme="majorHAnsi"/>
          <w:sz w:val="22"/>
          <w:szCs w:val="22"/>
        </w:rPr>
        <w:t>England  »</w:t>
      </w:r>
      <w:proofErr w:type="gramEnd"/>
      <w:r w:rsidRPr="008570C4">
        <w:rPr>
          <w:rFonts w:asciiTheme="minorHAnsi" w:hAnsiTheme="minorHAnsi" w:cstheme="majorHAnsi"/>
          <w:sz w:val="22"/>
          <w:szCs w:val="22"/>
        </w:rPr>
        <w:t xml:space="preserve">, Observatoire de la société britannique, 16 | 2014, 51-64. </w:t>
      </w:r>
      <w:hyperlink r:id="rId29" w:history="1">
        <w:r w:rsidRPr="008570C4">
          <w:rPr>
            <w:rStyle w:val="Hyperlink"/>
            <w:rFonts w:asciiTheme="minorHAnsi" w:hAnsiTheme="minorHAnsi" w:cstheme="majorHAnsi"/>
            <w:sz w:val="22"/>
            <w:szCs w:val="22"/>
            <w:shd w:val="clear" w:color="auto" w:fill="FFFFFF"/>
          </w:rPr>
          <w:t>http://journals.openedition.org/osb/1714</w:t>
        </w:r>
      </w:hyperlink>
    </w:p>
    <w:p w14:paraId="0509E5F3" w14:textId="77777777" w:rsidR="0007451F" w:rsidRPr="008570C4" w:rsidRDefault="0007451F" w:rsidP="00372E47">
      <w:pPr>
        <w:pStyle w:val="Default"/>
        <w:spacing w:before="0"/>
        <w:jc w:val="both"/>
        <w:rPr>
          <w:rFonts w:asciiTheme="minorHAnsi" w:hAnsiTheme="minorHAnsi"/>
          <w:sz w:val="22"/>
          <w:szCs w:val="22"/>
          <w:lang w:val="de-DE"/>
        </w:rPr>
      </w:pPr>
    </w:p>
    <w:p w14:paraId="25D83B6C" w14:textId="67C75352"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de-DE"/>
        </w:rPr>
        <w:lastRenderedPageBreak/>
        <w:t>W. Erwin Diewert</w:t>
      </w:r>
      <w:r w:rsidRPr="008570C4">
        <w:rPr>
          <w:rFonts w:asciiTheme="minorHAnsi" w:hAnsiTheme="minorHAnsi"/>
          <w:sz w:val="22"/>
          <w:szCs w:val="22"/>
        </w:rPr>
        <w:t xml:space="preserve"> (2018). Productivity Measurement in the Public </w:t>
      </w:r>
      <w:r w:rsidR="00055C0C" w:rsidRPr="008570C4">
        <w:rPr>
          <w:rFonts w:asciiTheme="minorHAnsi" w:hAnsiTheme="minorHAnsi"/>
          <w:sz w:val="22"/>
          <w:szCs w:val="22"/>
        </w:rPr>
        <w:t>Sector in</w:t>
      </w:r>
      <w:r w:rsidRPr="008570C4">
        <w:rPr>
          <w:rFonts w:asciiTheme="minorHAnsi" w:hAnsiTheme="minorHAnsi"/>
          <w:sz w:val="22"/>
          <w:szCs w:val="22"/>
        </w:rPr>
        <w:t xml:space="preserve"> Edited by Emili Grifell-Tatj</w:t>
      </w:r>
      <w:r w:rsidRPr="008570C4">
        <w:rPr>
          <w:rFonts w:asciiTheme="minorHAnsi" w:hAnsiTheme="minorHAnsi"/>
          <w:sz w:val="22"/>
          <w:szCs w:val="22"/>
          <w:lang w:val="fr-FR"/>
        </w:rPr>
        <w:t>é</w:t>
      </w:r>
      <w:r w:rsidRPr="008570C4">
        <w:rPr>
          <w:rFonts w:asciiTheme="minorHAnsi" w:hAnsiTheme="minorHAnsi"/>
          <w:sz w:val="22"/>
          <w:szCs w:val="22"/>
        </w:rPr>
        <w:t xml:space="preserve">, C.A. Knox Lovell, and Robin C. Sickles </w:t>
      </w:r>
      <w:proofErr w:type="gramStart"/>
      <w:r w:rsidRPr="008570C4">
        <w:rPr>
          <w:rFonts w:asciiTheme="minorHAnsi" w:hAnsiTheme="minorHAnsi"/>
          <w:sz w:val="22"/>
          <w:szCs w:val="22"/>
        </w:rPr>
        <w:t>The</w:t>
      </w:r>
      <w:proofErr w:type="gramEnd"/>
      <w:r w:rsidRPr="008570C4">
        <w:rPr>
          <w:rFonts w:asciiTheme="minorHAnsi" w:hAnsiTheme="minorHAnsi"/>
          <w:sz w:val="22"/>
          <w:szCs w:val="22"/>
        </w:rPr>
        <w:t xml:space="preserve"> Oxford Handbook of Productivity Analysis. OUP</w:t>
      </w:r>
    </w:p>
    <w:p w14:paraId="736C6DA8" w14:textId="77777777" w:rsidR="00B22741" w:rsidRPr="008570C4" w:rsidRDefault="00B22741" w:rsidP="00372E47">
      <w:pPr>
        <w:pStyle w:val="Default"/>
        <w:spacing w:before="0"/>
        <w:jc w:val="both"/>
        <w:rPr>
          <w:rFonts w:asciiTheme="minorHAnsi" w:hAnsiTheme="minorHAnsi"/>
          <w:sz w:val="22"/>
          <w:szCs w:val="22"/>
        </w:rPr>
      </w:pPr>
    </w:p>
    <w:p w14:paraId="21B7B48D" w14:textId="5EF70AD3"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de-DE"/>
        </w:rPr>
        <w:t>Diewert, E. &amp; Fox K.J. (2017)</w:t>
      </w:r>
      <w:r w:rsidR="00055C0C" w:rsidRPr="008570C4">
        <w:rPr>
          <w:rFonts w:asciiTheme="minorHAnsi" w:hAnsiTheme="minorHAnsi"/>
          <w:sz w:val="22"/>
          <w:szCs w:val="22"/>
          <w:lang w:val="de-DE"/>
        </w:rPr>
        <w:t>.</w:t>
      </w:r>
      <w:r w:rsidRPr="008570C4">
        <w:rPr>
          <w:rFonts w:asciiTheme="minorHAnsi" w:hAnsiTheme="minorHAnsi"/>
          <w:sz w:val="22"/>
          <w:szCs w:val="22"/>
          <w:lang w:val="de-DE"/>
        </w:rPr>
        <w:t xml:space="preserve"> </w:t>
      </w:r>
      <w:r w:rsidRPr="008570C4">
        <w:rPr>
          <w:rFonts w:asciiTheme="minorHAnsi" w:hAnsiTheme="minorHAnsi"/>
          <w:sz w:val="22"/>
          <w:szCs w:val="22"/>
          <w:rtl/>
        </w:rPr>
        <w:t>‘</w:t>
      </w:r>
      <w:r w:rsidRPr="008570C4">
        <w:rPr>
          <w:rFonts w:asciiTheme="minorHAnsi" w:hAnsiTheme="minorHAnsi"/>
          <w:sz w:val="22"/>
          <w:szCs w:val="22"/>
        </w:rPr>
        <w:t xml:space="preserve">Productivity Measurement in the Public Sector: Theory and </w:t>
      </w:r>
      <w:proofErr w:type="gramStart"/>
      <w:r w:rsidRPr="008570C4">
        <w:rPr>
          <w:rFonts w:asciiTheme="minorHAnsi" w:hAnsiTheme="minorHAnsi"/>
          <w:sz w:val="22"/>
          <w:szCs w:val="22"/>
        </w:rPr>
        <w:t>Practice</w:t>
      </w:r>
      <w:r w:rsidRPr="008570C4">
        <w:rPr>
          <w:rFonts w:asciiTheme="minorHAnsi" w:hAnsiTheme="minorHAnsi"/>
          <w:sz w:val="22"/>
          <w:szCs w:val="22"/>
          <w:rtl/>
        </w:rPr>
        <w:t>’</w:t>
      </w:r>
      <w:r w:rsidRPr="008570C4">
        <w:rPr>
          <w:rFonts w:asciiTheme="minorHAnsi" w:hAnsiTheme="minorHAnsi"/>
          <w:sz w:val="22"/>
          <w:szCs w:val="22"/>
        </w:rPr>
        <w:t>,</w:t>
      </w:r>
      <w:proofErr w:type="gramEnd"/>
      <w:r w:rsidRPr="008570C4">
        <w:rPr>
          <w:rFonts w:asciiTheme="minorHAnsi" w:hAnsiTheme="minorHAnsi"/>
          <w:sz w:val="22"/>
          <w:szCs w:val="22"/>
        </w:rPr>
        <w:t xml:space="preserve"> Vancouver School of Economics, University of British Columbia: Vancouver. Available at </w:t>
      </w:r>
      <w:hyperlink r:id="rId30" w:history="1">
        <w:r w:rsidRPr="008570C4">
          <w:rPr>
            <w:rStyle w:val="Hyperlink0"/>
            <w:rFonts w:asciiTheme="minorHAnsi" w:hAnsiTheme="minorHAnsi"/>
            <w:sz w:val="22"/>
            <w:szCs w:val="22"/>
          </w:rPr>
          <w:t>https://pdfs.semanticscholar.org/634a/0bbf731c4269d865dcdc22358bd8e4283be3.pdf</w:t>
        </w:r>
      </w:hyperlink>
      <w:r w:rsidRPr="008570C4">
        <w:rPr>
          <w:rFonts w:asciiTheme="minorHAnsi" w:hAnsiTheme="minorHAnsi"/>
          <w:sz w:val="22"/>
          <w:szCs w:val="22"/>
        </w:rPr>
        <w:t xml:space="preserve">  </w:t>
      </w:r>
    </w:p>
    <w:p w14:paraId="1F965C11"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 </w:t>
      </w:r>
    </w:p>
    <w:p w14:paraId="6656BFA8" w14:textId="682AC622"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Foxton, F., Grice, J., Heys, </w:t>
      </w:r>
      <w:proofErr w:type="gramStart"/>
      <w:r w:rsidRPr="008570C4">
        <w:rPr>
          <w:rFonts w:asciiTheme="minorHAnsi" w:hAnsiTheme="minorHAnsi"/>
          <w:sz w:val="22"/>
          <w:szCs w:val="22"/>
        </w:rPr>
        <w:t>R,.</w:t>
      </w:r>
      <w:proofErr w:type="gramEnd"/>
      <w:r w:rsidRPr="008570C4">
        <w:rPr>
          <w:rFonts w:asciiTheme="minorHAnsi" w:hAnsiTheme="minorHAnsi"/>
          <w:sz w:val="22"/>
          <w:szCs w:val="22"/>
        </w:rPr>
        <w:t xml:space="preserve"> and Lewis, J. (2019), The measurement of public goods: lessons from 10 years of Atkinson in the United Kingdom, Eurona Issue 2/2019, </w:t>
      </w:r>
      <w:hyperlink r:id="rId31" w:history="1">
        <w:r w:rsidRPr="008570C4">
          <w:rPr>
            <w:rStyle w:val="Hyperlink0"/>
            <w:rFonts w:asciiTheme="minorHAnsi" w:hAnsiTheme="minorHAnsi"/>
            <w:sz w:val="22"/>
            <w:szCs w:val="22"/>
          </w:rPr>
          <w:t>https://ec.europa.eu/eurostat/cros/content/measurement-public-goods-lessons-10-years-atkinson-united-kingdom-fred-foxton-joe-grice-richard-heys-james-lewis_en</w:t>
        </w:r>
      </w:hyperlink>
      <w:r w:rsidRPr="008570C4">
        <w:rPr>
          <w:rFonts w:asciiTheme="minorHAnsi" w:hAnsiTheme="minorHAnsi"/>
          <w:sz w:val="22"/>
          <w:szCs w:val="22"/>
        </w:rPr>
        <w:t xml:space="preserve"> </w:t>
      </w:r>
    </w:p>
    <w:p w14:paraId="290374D0" w14:textId="77777777" w:rsidR="00B22741" w:rsidRPr="008570C4" w:rsidRDefault="00B22741" w:rsidP="00372E47">
      <w:pPr>
        <w:pStyle w:val="Default"/>
        <w:spacing w:before="0"/>
        <w:jc w:val="both"/>
        <w:rPr>
          <w:rFonts w:asciiTheme="minorHAnsi" w:hAnsiTheme="minorHAnsi"/>
          <w:sz w:val="22"/>
          <w:szCs w:val="22"/>
        </w:rPr>
      </w:pPr>
    </w:p>
    <w:p w14:paraId="04A50ECE" w14:textId="77777777"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rPr>
        <w:t>Freed J, Lowe C, Flodgren G, et al (2018) Telemedicine: is it really worth it? A perspective from evidence and experience BMJ Health &amp; Care Informatics 2018;</w:t>
      </w:r>
      <w:proofErr w:type="gramStart"/>
      <w:r w:rsidRPr="008570C4">
        <w:rPr>
          <w:rFonts w:asciiTheme="minorHAnsi" w:hAnsiTheme="minorHAnsi"/>
          <w:sz w:val="22"/>
          <w:szCs w:val="22"/>
        </w:rPr>
        <w:t>25:doi</w:t>
      </w:r>
      <w:proofErr w:type="gramEnd"/>
      <w:r w:rsidRPr="008570C4">
        <w:rPr>
          <w:rFonts w:asciiTheme="minorHAnsi" w:hAnsiTheme="minorHAnsi"/>
          <w:sz w:val="22"/>
          <w:szCs w:val="22"/>
        </w:rPr>
        <w:t xml:space="preserve">: 10.14236/jhi.v25i1.957 </w:t>
      </w:r>
    </w:p>
    <w:p w14:paraId="4B35B400" w14:textId="77777777" w:rsidR="00B22741" w:rsidRPr="008570C4" w:rsidRDefault="00B22741" w:rsidP="00372E47">
      <w:pPr>
        <w:pStyle w:val="Default"/>
        <w:spacing w:before="0"/>
        <w:rPr>
          <w:rFonts w:asciiTheme="minorHAnsi" w:eastAsia="Times Roman" w:hAnsiTheme="minorHAnsi" w:cs="Times Roman"/>
          <w:sz w:val="22"/>
          <w:szCs w:val="22"/>
        </w:rPr>
      </w:pPr>
    </w:p>
    <w:p w14:paraId="6647428F" w14:textId="77243181"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de-DE"/>
        </w:rPr>
        <w:t>Michael Hardie</w:t>
      </w:r>
      <w:r w:rsidRPr="008570C4">
        <w:rPr>
          <w:rFonts w:asciiTheme="minorHAnsi" w:hAnsiTheme="minorHAnsi"/>
          <w:sz w:val="22"/>
          <w:szCs w:val="22"/>
        </w:rPr>
        <w:t>,</w:t>
      </w:r>
      <w:r w:rsidRPr="008570C4">
        <w:rPr>
          <w:rFonts w:asciiTheme="minorHAnsi" w:hAnsiTheme="minorHAnsi"/>
          <w:sz w:val="22"/>
          <w:szCs w:val="22"/>
          <w:lang w:val="it-IT"/>
        </w:rPr>
        <w:t xml:space="preserve"> Maria-Cristina Pe</w:t>
      </w:r>
      <w:r w:rsidRPr="008570C4">
        <w:rPr>
          <w:rFonts w:asciiTheme="minorHAnsi" w:hAnsiTheme="minorHAnsi"/>
          <w:sz w:val="22"/>
          <w:szCs w:val="22"/>
          <w:lang w:val="es-ES_tradnl"/>
        </w:rPr>
        <w:t>ñ</w:t>
      </w:r>
      <w:r w:rsidRPr="008570C4">
        <w:rPr>
          <w:rFonts w:asciiTheme="minorHAnsi" w:hAnsiTheme="minorHAnsi"/>
          <w:sz w:val="22"/>
          <w:szCs w:val="22"/>
        </w:rPr>
        <w:t xml:space="preserve">aloza, </w:t>
      </w:r>
      <w:r w:rsidRPr="008570C4">
        <w:rPr>
          <w:rFonts w:asciiTheme="minorHAnsi" w:hAnsiTheme="minorHAnsi"/>
          <w:sz w:val="22"/>
          <w:szCs w:val="22"/>
          <w:lang w:val="de-DE"/>
        </w:rPr>
        <w:t>Richard Wild</w:t>
      </w:r>
      <w:r w:rsidRPr="008570C4">
        <w:rPr>
          <w:rFonts w:asciiTheme="minorHAnsi" w:hAnsiTheme="minorHAnsi"/>
          <w:sz w:val="22"/>
          <w:szCs w:val="22"/>
        </w:rPr>
        <w:t>, Katherine Mills (</w:t>
      </w:r>
      <w:r w:rsidR="008570C4">
        <w:rPr>
          <w:rFonts w:asciiTheme="minorHAnsi" w:hAnsiTheme="minorHAnsi"/>
          <w:color w:val="000000" w:themeColor="text1"/>
          <w:sz w:val="22"/>
          <w:szCs w:val="22"/>
        </w:rPr>
        <w:t>2010)</w:t>
      </w:r>
      <w:r w:rsidRPr="008570C4">
        <w:rPr>
          <w:rFonts w:asciiTheme="minorHAnsi" w:hAnsiTheme="minorHAnsi"/>
          <w:sz w:val="22"/>
          <w:szCs w:val="22"/>
        </w:rPr>
        <w:t xml:space="preserve"> Public Service Output, Inputs and Productivity: Healthcare - Extended Analysis, UK C</w:t>
      </w:r>
      <w:r w:rsidR="00921810" w:rsidRPr="008570C4">
        <w:rPr>
          <w:rFonts w:asciiTheme="minorHAnsi" w:hAnsiTheme="minorHAnsi"/>
          <w:sz w:val="22"/>
          <w:szCs w:val="22"/>
        </w:rPr>
        <w:t>e</w:t>
      </w:r>
      <w:r w:rsidRPr="008570C4">
        <w:rPr>
          <w:rFonts w:asciiTheme="minorHAnsi" w:hAnsiTheme="minorHAnsi"/>
          <w:sz w:val="22"/>
          <w:szCs w:val="22"/>
        </w:rPr>
        <w:t>MGA</w:t>
      </w:r>
    </w:p>
    <w:p w14:paraId="56D14AA1" w14:textId="77777777" w:rsidR="00B22741" w:rsidRPr="008570C4" w:rsidRDefault="00B22741" w:rsidP="00372E47">
      <w:pPr>
        <w:pStyle w:val="Default"/>
        <w:spacing w:before="0"/>
        <w:jc w:val="both"/>
        <w:rPr>
          <w:rFonts w:asciiTheme="minorHAnsi" w:hAnsiTheme="minorHAnsi"/>
          <w:sz w:val="22"/>
          <w:szCs w:val="22"/>
        </w:rPr>
      </w:pPr>
    </w:p>
    <w:p w14:paraId="3628E4CC" w14:textId="398BF862" w:rsidR="00B22741" w:rsidRDefault="002E0D06" w:rsidP="00372E47">
      <w:pPr>
        <w:pStyle w:val="Default"/>
        <w:spacing w:before="0"/>
        <w:rPr>
          <w:rFonts w:asciiTheme="minorHAnsi" w:hAnsiTheme="minorHAnsi"/>
          <w:sz w:val="22"/>
          <w:szCs w:val="22"/>
        </w:rPr>
      </w:pPr>
      <w:r w:rsidRPr="008570C4">
        <w:rPr>
          <w:rFonts w:asciiTheme="minorHAnsi" w:hAnsiTheme="minorHAnsi"/>
          <w:sz w:val="22"/>
          <w:szCs w:val="22"/>
          <w:lang w:val="de-DE"/>
        </w:rPr>
        <w:t xml:space="preserve">Hart, Oliver, Andrei Shleifer, and Robert W Vishny. 1997. </w:t>
      </w:r>
      <w:r w:rsidRPr="008570C4">
        <w:rPr>
          <w:rFonts w:asciiTheme="minorHAnsi" w:hAnsiTheme="minorHAnsi"/>
          <w:sz w:val="22"/>
          <w:szCs w:val="22"/>
          <w:rtl/>
          <w:lang w:val="ar-SA"/>
        </w:rPr>
        <w:t>“</w:t>
      </w:r>
      <w:hyperlink r:id="rId32" w:history="1">
        <w:r w:rsidRPr="008570C4">
          <w:rPr>
            <w:rStyle w:val="Hyperlink0"/>
            <w:rFonts w:asciiTheme="minorHAnsi" w:hAnsiTheme="minorHAnsi"/>
            <w:color w:val="0000EE"/>
            <w:sz w:val="22"/>
            <w:szCs w:val="22"/>
          </w:rPr>
          <w:t>The Proper Scope of Government: Theory and an Application to Prisons</w:t>
        </w:r>
      </w:hyperlink>
      <w:r w:rsidRPr="008570C4">
        <w:rPr>
          <w:rFonts w:asciiTheme="minorHAnsi" w:hAnsiTheme="minorHAnsi"/>
          <w:sz w:val="22"/>
          <w:szCs w:val="22"/>
        </w:rPr>
        <w:t>.” Quarterly Journal of Economics 112 (4): 1127-1161.</w:t>
      </w:r>
    </w:p>
    <w:p w14:paraId="49C49680" w14:textId="15CE909B" w:rsidR="00416CEA" w:rsidRDefault="00416CEA" w:rsidP="00372E47">
      <w:pPr>
        <w:pStyle w:val="Default"/>
        <w:spacing w:before="0"/>
        <w:rPr>
          <w:rFonts w:asciiTheme="minorHAnsi" w:hAnsiTheme="minorHAnsi"/>
          <w:sz w:val="22"/>
          <w:szCs w:val="22"/>
        </w:rPr>
      </w:pPr>
    </w:p>
    <w:p w14:paraId="308E5790" w14:textId="0972BCD5" w:rsidR="00416CEA" w:rsidRPr="008570C4" w:rsidRDefault="00416CEA" w:rsidP="00372E47">
      <w:pPr>
        <w:pStyle w:val="Default"/>
        <w:spacing w:before="0"/>
        <w:rPr>
          <w:rFonts w:asciiTheme="minorHAnsi" w:hAnsiTheme="minorHAnsi"/>
          <w:sz w:val="22"/>
          <w:szCs w:val="22"/>
        </w:rPr>
      </w:pPr>
      <w:r>
        <w:rPr>
          <w:rFonts w:asciiTheme="minorHAnsi" w:hAnsiTheme="minorHAnsi"/>
          <w:sz w:val="22"/>
          <w:szCs w:val="22"/>
        </w:rPr>
        <w:t xml:space="preserve">Health Policy Insight (2021). Government’s New Health White Paper. 5 February. </w:t>
      </w:r>
      <w:hyperlink r:id="rId33" w:history="1">
        <w:r w:rsidRPr="007D146A">
          <w:rPr>
            <w:rStyle w:val="Hyperlink"/>
            <w:rFonts w:asciiTheme="minorHAnsi" w:hAnsiTheme="minorHAnsi"/>
            <w:sz w:val="22"/>
            <w:szCs w:val="22"/>
          </w:rPr>
          <w:t>www.healthpolicyinsight.com/?q=node/1699</w:t>
        </w:r>
      </w:hyperlink>
      <w:r>
        <w:rPr>
          <w:rFonts w:asciiTheme="minorHAnsi" w:hAnsiTheme="minorHAnsi"/>
          <w:sz w:val="22"/>
          <w:szCs w:val="22"/>
        </w:rPr>
        <w:t xml:space="preserve"> accessed 6/2/21</w:t>
      </w:r>
    </w:p>
    <w:p w14:paraId="59DE2593" w14:textId="77777777" w:rsidR="00B22741" w:rsidRPr="008570C4" w:rsidRDefault="00B22741" w:rsidP="00372E47">
      <w:pPr>
        <w:pStyle w:val="Default"/>
        <w:spacing w:before="0"/>
        <w:rPr>
          <w:rFonts w:asciiTheme="minorHAnsi" w:hAnsiTheme="minorHAnsi"/>
          <w:sz w:val="22"/>
          <w:szCs w:val="22"/>
        </w:rPr>
      </w:pPr>
    </w:p>
    <w:p w14:paraId="3A544C79" w14:textId="0A90BB76"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rPr>
        <w:t>Holmstrom, B. and Milgrom, P. (1991)</w:t>
      </w:r>
      <w:r w:rsidR="00206FCE" w:rsidRPr="008570C4">
        <w:rPr>
          <w:rFonts w:asciiTheme="minorHAnsi" w:hAnsiTheme="minorHAnsi"/>
          <w:sz w:val="22"/>
          <w:szCs w:val="22"/>
        </w:rPr>
        <w:t>,</w:t>
      </w:r>
      <w:r w:rsidRPr="008570C4">
        <w:rPr>
          <w:rFonts w:asciiTheme="minorHAnsi" w:hAnsiTheme="minorHAnsi"/>
          <w:sz w:val="22"/>
          <w:szCs w:val="22"/>
        </w:rPr>
        <w:t xml:space="preserve"> Multitask Principal-Agent Analyses: Incentive Contracts, Asset Ownership, and Job Design. Journal of Law, Economics, and Organization, 7, 24-52. </w:t>
      </w:r>
    </w:p>
    <w:p w14:paraId="4F069027" w14:textId="77777777"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rPr>
        <w:t xml:space="preserve">http://dx.doi.org/10.1093/jleo/7.special_issue.24 </w:t>
      </w:r>
    </w:p>
    <w:p w14:paraId="49D50BF9" w14:textId="77777777" w:rsidR="00B22741" w:rsidRPr="008570C4" w:rsidRDefault="00B22741" w:rsidP="00372E47">
      <w:pPr>
        <w:pStyle w:val="Default"/>
        <w:spacing w:before="0"/>
        <w:rPr>
          <w:rFonts w:asciiTheme="minorHAnsi" w:hAnsiTheme="minorHAnsi"/>
          <w:sz w:val="22"/>
          <w:szCs w:val="22"/>
        </w:rPr>
      </w:pPr>
    </w:p>
    <w:p w14:paraId="0D392734" w14:textId="1D3A66E7"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rPr>
        <w:t xml:space="preserve">Hughes HE, Hughes TC, Morbey R, et al Emergency department use during </w:t>
      </w:r>
      <w:r w:rsidR="003B3C10">
        <w:rPr>
          <w:rFonts w:asciiTheme="minorHAnsi" w:hAnsiTheme="minorHAnsi"/>
          <w:sz w:val="22"/>
          <w:szCs w:val="22"/>
        </w:rPr>
        <w:t>Covid19</w:t>
      </w:r>
      <w:r w:rsidRPr="008570C4">
        <w:rPr>
          <w:rFonts w:asciiTheme="minorHAnsi" w:hAnsiTheme="minorHAnsi"/>
          <w:sz w:val="22"/>
          <w:szCs w:val="22"/>
        </w:rPr>
        <w:t xml:space="preserve"> as described by syndromic surveillance </w:t>
      </w:r>
      <w:r w:rsidRPr="008570C4">
        <w:rPr>
          <w:rFonts w:asciiTheme="minorHAnsi" w:hAnsiTheme="minorHAnsi"/>
          <w:i/>
          <w:iCs/>
          <w:sz w:val="22"/>
          <w:szCs w:val="22"/>
        </w:rPr>
        <w:t>Emergency Medicine Journal</w:t>
      </w:r>
      <w:r w:rsidRPr="008570C4">
        <w:rPr>
          <w:rFonts w:asciiTheme="minorHAnsi" w:hAnsiTheme="minorHAnsi"/>
          <w:sz w:val="22"/>
          <w:szCs w:val="22"/>
        </w:rPr>
        <w:t xml:space="preserve"> 2020;37:600-604. </w:t>
      </w:r>
    </w:p>
    <w:p w14:paraId="64A19DE7" w14:textId="72EFE72E" w:rsidR="00B22741" w:rsidRPr="008570C4" w:rsidRDefault="00B22741" w:rsidP="00372E47">
      <w:pPr>
        <w:pStyle w:val="Default"/>
        <w:spacing w:before="0"/>
        <w:rPr>
          <w:rFonts w:asciiTheme="minorHAnsi" w:hAnsiTheme="minorHAnsi"/>
          <w:sz w:val="22"/>
          <w:szCs w:val="22"/>
        </w:rPr>
      </w:pPr>
    </w:p>
    <w:p w14:paraId="7884CFC3" w14:textId="2D23E439" w:rsidR="00F479C3" w:rsidRPr="008570C4" w:rsidRDefault="00F479C3" w:rsidP="00372E47">
      <w:pPr>
        <w:pStyle w:val="Default"/>
        <w:spacing w:before="0"/>
        <w:rPr>
          <w:rFonts w:asciiTheme="minorHAnsi" w:hAnsiTheme="minorHAnsi"/>
          <w:sz w:val="22"/>
          <w:szCs w:val="22"/>
        </w:rPr>
      </w:pPr>
      <w:r w:rsidRPr="008570C4">
        <w:rPr>
          <w:rFonts w:asciiTheme="minorHAnsi" w:hAnsiTheme="minorHAnsi"/>
          <w:sz w:val="22"/>
          <w:szCs w:val="22"/>
        </w:rPr>
        <w:t xml:space="preserve">Inada-Kim, M., and Donnelly, T. (2020) ‘Tech supported remote monitoring for </w:t>
      </w:r>
      <w:r w:rsidR="003B3C10">
        <w:rPr>
          <w:rFonts w:asciiTheme="minorHAnsi" w:hAnsiTheme="minorHAnsi"/>
          <w:sz w:val="22"/>
          <w:szCs w:val="22"/>
        </w:rPr>
        <w:t>Covid19</w:t>
      </w:r>
      <w:r w:rsidRPr="008570C4">
        <w:rPr>
          <w:rFonts w:asciiTheme="minorHAnsi" w:hAnsiTheme="minorHAnsi"/>
          <w:sz w:val="22"/>
          <w:szCs w:val="22"/>
        </w:rPr>
        <w:t>’, NHSX blog, 11 November. https://www.nhsx.nhs.uk/blogs/tech-supported-remote-monitoring-covid-19/</w:t>
      </w:r>
    </w:p>
    <w:p w14:paraId="58A799C3" w14:textId="77777777" w:rsidR="00F479C3" w:rsidRPr="008570C4" w:rsidRDefault="00F479C3" w:rsidP="00372E47">
      <w:pPr>
        <w:pStyle w:val="Default"/>
        <w:spacing w:before="0"/>
        <w:rPr>
          <w:rFonts w:asciiTheme="minorHAnsi" w:hAnsiTheme="minorHAnsi"/>
          <w:sz w:val="22"/>
          <w:szCs w:val="22"/>
        </w:rPr>
      </w:pPr>
    </w:p>
    <w:p w14:paraId="2733809C"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IPBES Workshop on Biodiversity &amp; Pandemics, </w:t>
      </w:r>
      <w:hyperlink r:id="rId34" w:history="1">
        <w:r w:rsidRPr="008570C4">
          <w:rPr>
            <w:rStyle w:val="Hyperlink0"/>
            <w:rFonts w:asciiTheme="minorHAnsi" w:hAnsiTheme="minorHAnsi"/>
            <w:sz w:val="22"/>
            <w:szCs w:val="22"/>
          </w:rPr>
          <w:t>https://ipbes.net/sites/default/files/2020-10/IPBES%20Pandemics%20Workshop%20Report%20Executive%20Summary%20Final.pdf</w:t>
        </w:r>
      </w:hyperlink>
      <w:r w:rsidRPr="008570C4">
        <w:rPr>
          <w:rFonts w:asciiTheme="minorHAnsi" w:hAnsiTheme="minorHAnsi"/>
          <w:sz w:val="22"/>
          <w:szCs w:val="22"/>
        </w:rPr>
        <w:t xml:space="preserve"> </w:t>
      </w:r>
    </w:p>
    <w:p w14:paraId="7DD9A467" w14:textId="77777777" w:rsidR="00B22741" w:rsidRPr="008570C4" w:rsidRDefault="00B22741" w:rsidP="00372E47">
      <w:pPr>
        <w:pStyle w:val="Default"/>
        <w:spacing w:before="0"/>
        <w:jc w:val="both"/>
        <w:rPr>
          <w:rFonts w:asciiTheme="minorHAnsi" w:hAnsiTheme="minorHAnsi"/>
          <w:sz w:val="22"/>
          <w:szCs w:val="22"/>
        </w:rPr>
      </w:pPr>
    </w:p>
    <w:p w14:paraId="21850B6A" w14:textId="77777777"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lang w:val="fr-FR"/>
        </w:rPr>
        <w:t>Charles I. Jones</w:t>
      </w:r>
      <w:r w:rsidRPr="008570C4">
        <w:rPr>
          <w:rFonts w:asciiTheme="minorHAnsi" w:hAnsiTheme="minorHAnsi"/>
          <w:sz w:val="22"/>
          <w:szCs w:val="22"/>
        </w:rPr>
        <w:t xml:space="preserve"> (2005), The Shape of Production Functions and the Direction of Technical Change, </w:t>
      </w:r>
      <w:r w:rsidRPr="008570C4">
        <w:rPr>
          <w:rFonts w:asciiTheme="minorHAnsi" w:hAnsiTheme="minorHAnsi"/>
          <w:i/>
          <w:iCs/>
          <w:sz w:val="22"/>
          <w:szCs w:val="22"/>
        </w:rPr>
        <w:t>The Quarterly Journal of Economics</w:t>
      </w:r>
      <w:r w:rsidRPr="008570C4">
        <w:rPr>
          <w:rFonts w:asciiTheme="minorHAnsi" w:hAnsiTheme="minorHAnsi"/>
          <w:sz w:val="22"/>
          <w:szCs w:val="22"/>
        </w:rPr>
        <w:t xml:space="preserve">, Volume 120, Issue 2, May, Pages 517–549, </w:t>
      </w:r>
      <w:hyperlink r:id="rId35" w:history="1">
        <w:r w:rsidRPr="008570C4">
          <w:rPr>
            <w:rStyle w:val="Hyperlink1"/>
            <w:rFonts w:asciiTheme="minorHAnsi" w:hAnsiTheme="minorHAnsi"/>
            <w:sz w:val="22"/>
            <w:szCs w:val="22"/>
          </w:rPr>
          <w:t>https://doi.org/10.1093/qje/120.2.517</w:t>
        </w:r>
      </w:hyperlink>
    </w:p>
    <w:p w14:paraId="0813AF10" w14:textId="77777777" w:rsidR="00B22741" w:rsidRPr="008570C4" w:rsidRDefault="00B22741" w:rsidP="00372E47">
      <w:pPr>
        <w:pStyle w:val="Default"/>
        <w:spacing w:before="0"/>
        <w:jc w:val="both"/>
        <w:rPr>
          <w:rFonts w:asciiTheme="minorHAnsi" w:hAnsiTheme="minorHAnsi"/>
          <w:sz w:val="22"/>
          <w:szCs w:val="22"/>
        </w:rPr>
      </w:pPr>
    </w:p>
    <w:p w14:paraId="762FAC36" w14:textId="00E217F7" w:rsidR="00B22741"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Keil, Patrick, (2005). Principal agent theory and its application to analyze outsourcing of software development, </w:t>
      </w:r>
      <w:hyperlink r:id="rId36" w:history="1">
        <w:r w:rsidRPr="008570C4">
          <w:rPr>
            <w:rStyle w:val="Hyperlink0"/>
            <w:rFonts w:asciiTheme="minorHAnsi" w:hAnsiTheme="minorHAnsi"/>
            <w:sz w:val="22"/>
            <w:szCs w:val="22"/>
          </w:rPr>
          <w:t>ACM SIGSOFT Software Engineering Notes</w:t>
        </w:r>
      </w:hyperlink>
      <w:r w:rsidRPr="008570C4">
        <w:rPr>
          <w:rFonts w:asciiTheme="minorHAnsi" w:hAnsiTheme="minorHAnsi"/>
          <w:sz w:val="22"/>
          <w:szCs w:val="22"/>
        </w:rPr>
        <w:t xml:space="preserve"> Vol 30 No 4, May 2005 </w:t>
      </w:r>
      <w:hyperlink r:id="rId37" w:history="1">
        <w:r w:rsidRPr="008570C4">
          <w:rPr>
            <w:rStyle w:val="Hyperlink0"/>
            <w:rFonts w:asciiTheme="minorHAnsi" w:hAnsiTheme="minorHAnsi"/>
            <w:sz w:val="22"/>
            <w:szCs w:val="22"/>
          </w:rPr>
          <w:t>https://doi.org/10.1145/1082983.1083094</w:t>
        </w:r>
      </w:hyperlink>
      <w:r w:rsidRPr="008570C4">
        <w:rPr>
          <w:rFonts w:asciiTheme="minorHAnsi" w:hAnsiTheme="minorHAnsi"/>
          <w:sz w:val="22"/>
          <w:szCs w:val="22"/>
        </w:rPr>
        <w:t xml:space="preserve"> </w:t>
      </w:r>
    </w:p>
    <w:p w14:paraId="7CBE03F7" w14:textId="20AB2580" w:rsidR="00372E47" w:rsidRDefault="00372E47" w:rsidP="00372E47">
      <w:pPr>
        <w:pStyle w:val="Default"/>
        <w:spacing w:before="0"/>
        <w:jc w:val="both"/>
        <w:rPr>
          <w:rFonts w:asciiTheme="minorHAnsi" w:hAnsiTheme="minorHAnsi"/>
          <w:sz w:val="22"/>
          <w:szCs w:val="22"/>
        </w:rPr>
      </w:pPr>
    </w:p>
    <w:p w14:paraId="341F3F6D" w14:textId="75AC1105" w:rsidR="00372E47" w:rsidRPr="008570C4" w:rsidRDefault="00372E47" w:rsidP="00372E47">
      <w:pPr>
        <w:pStyle w:val="Default"/>
        <w:jc w:val="both"/>
        <w:rPr>
          <w:rStyle w:val="None"/>
          <w:rFonts w:asciiTheme="minorHAnsi" w:hAnsiTheme="minorHAnsi"/>
          <w:sz w:val="22"/>
          <w:szCs w:val="22"/>
        </w:rPr>
      </w:pPr>
      <w:r w:rsidRPr="00372E47">
        <w:rPr>
          <w:rStyle w:val="None"/>
          <w:rFonts w:asciiTheme="minorHAnsi" w:hAnsiTheme="minorHAnsi"/>
          <w:sz w:val="22"/>
          <w:szCs w:val="22"/>
        </w:rPr>
        <w:t xml:space="preserve">Kelly, </w:t>
      </w:r>
      <w:r>
        <w:rPr>
          <w:rStyle w:val="None"/>
          <w:rFonts w:asciiTheme="minorHAnsi" w:hAnsiTheme="minorHAnsi"/>
          <w:sz w:val="22"/>
          <w:szCs w:val="22"/>
        </w:rPr>
        <w:t xml:space="preserve">E &amp; </w:t>
      </w:r>
      <w:r w:rsidRPr="00372E47">
        <w:rPr>
          <w:rStyle w:val="None"/>
          <w:rFonts w:asciiTheme="minorHAnsi" w:hAnsiTheme="minorHAnsi"/>
          <w:sz w:val="22"/>
          <w:szCs w:val="22"/>
        </w:rPr>
        <w:t>G Stoye,</w:t>
      </w:r>
      <w:r>
        <w:rPr>
          <w:rStyle w:val="None"/>
          <w:rFonts w:asciiTheme="minorHAnsi" w:hAnsiTheme="minorHAnsi"/>
          <w:sz w:val="22"/>
          <w:szCs w:val="22"/>
        </w:rPr>
        <w:t xml:space="preserve"> (2020). </w:t>
      </w:r>
      <w:r w:rsidRPr="00372E47">
        <w:rPr>
          <w:rStyle w:val="None"/>
          <w:rFonts w:asciiTheme="minorHAnsi" w:hAnsiTheme="minorHAnsi"/>
          <w:sz w:val="22"/>
          <w:szCs w:val="22"/>
        </w:rPr>
        <w:t>The impacts of private hospital entry on the public market for elective care in England,</w:t>
      </w:r>
      <w:r>
        <w:rPr>
          <w:rStyle w:val="None"/>
          <w:rFonts w:asciiTheme="minorHAnsi" w:hAnsiTheme="minorHAnsi"/>
          <w:sz w:val="22"/>
          <w:szCs w:val="22"/>
        </w:rPr>
        <w:t xml:space="preserve"> </w:t>
      </w:r>
      <w:r w:rsidRPr="00372E47">
        <w:rPr>
          <w:rStyle w:val="None"/>
          <w:rFonts w:asciiTheme="minorHAnsi" w:hAnsiTheme="minorHAnsi"/>
          <w:i/>
          <w:iCs/>
          <w:sz w:val="22"/>
          <w:szCs w:val="22"/>
        </w:rPr>
        <w:t>Journal of Health Economics</w:t>
      </w:r>
      <w:r w:rsidRPr="00372E47">
        <w:rPr>
          <w:rStyle w:val="None"/>
          <w:rFonts w:asciiTheme="minorHAnsi" w:hAnsiTheme="minorHAnsi"/>
          <w:sz w:val="22"/>
          <w:szCs w:val="22"/>
        </w:rPr>
        <w:t>,</w:t>
      </w:r>
      <w:r>
        <w:rPr>
          <w:rStyle w:val="None"/>
          <w:rFonts w:asciiTheme="minorHAnsi" w:hAnsiTheme="minorHAnsi"/>
          <w:sz w:val="22"/>
          <w:szCs w:val="22"/>
        </w:rPr>
        <w:t xml:space="preserve"> V</w:t>
      </w:r>
      <w:r w:rsidRPr="00372E47">
        <w:rPr>
          <w:rStyle w:val="None"/>
          <w:rFonts w:asciiTheme="minorHAnsi" w:hAnsiTheme="minorHAnsi"/>
          <w:sz w:val="22"/>
          <w:szCs w:val="22"/>
        </w:rPr>
        <w:t>olume 73,</w:t>
      </w:r>
      <w:r>
        <w:rPr>
          <w:rStyle w:val="None"/>
          <w:rFonts w:asciiTheme="minorHAnsi" w:hAnsiTheme="minorHAnsi"/>
          <w:sz w:val="22"/>
          <w:szCs w:val="22"/>
        </w:rPr>
        <w:t xml:space="preserve"> </w:t>
      </w:r>
      <w:r w:rsidRPr="00372E47">
        <w:rPr>
          <w:rStyle w:val="None"/>
          <w:rFonts w:asciiTheme="minorHAnsi" w:hAnsiTheme="minorHAnsi"/>
          <w:sz w:val="22"/>
          <w:szCs w:val="22"/>
        </w:rPr>
        <w:t>102353,</w:t>
      </w:r>
      <w:r>
        <w:rPr>
          <w:rStyle w:val="None"/>
          <w:rFonts w:asciiTheme="minorHAnsi" w:hAnsiTheme="minorHAnsi"/>
          <w:sz w:val="22"/>
          <w:szCs w:val="22"/>
        </w:rPr>
        <w:t xml:space="preserve"> </w:t>
      </w:r>
      <w:r w:rsidRPr="00372E47">
        <w:rPr>
          <w:rStyle w:val="None"/>
          <w:rFonts w:asciiTheme="minorHAnsi" w:hAnsiTheme="minorHAnsi"/>
          <w:sz w:val="22"/>
          <w:szCs w:val="22"/>
        </w:rPr>
        <w:t>https://doi.org/10.1016/j.jhealeco.2020.102353.</w:t>
      </w:r>
    </w:p>
    <w:p w14:paraId="2DD0FAB0" w14:textId="77777777" w:rsidR="00372E47" w:rsidRPr="008570C4" w:rsidRDefault="00372E47" w:rsidP="00372E47">
      <w:pPr>
        <w:pStyle w:val="Default"/>
        <w:spacing w:before="0"/>
        <w:jc w:val="both"/>
        <w:rPr>
          <w:rFonts w:asciiTheme="minorHAnsi" w:hAnsiTheme="minorHAnsi"/>
          <w:sz w:val="22"/>
          <w:szCs w:val="22"/>
        </w:rPr>
      </w:pPr>
    </w:p>
    <w:p w14:paraId="65E62591" w14:textId="537C597B" w:rsidR="009A4884" w:rsidRPr="008570C4" w:rsidRDefault="009A4884"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Kent, Katherine, How to Compare and Interpret ONS Productivity Measures, (2020). ONS. </w:t>
      </w:r>
      <w:hyperlink r:id="rId38" w:anchor="output" w:history="1">
        <w:r w:rsidR="00F85C0E" w:rsidRPr="008570C4">
          <w:rPr>
            <w:rStyle w:val="Hyperlink"/>
            <w:rFonts w:asciiTheme="minorHAnsi" w:hAnsiTheme="minorHAnsi"/>
            <w:sz w:val="22"/>
            <w:szCs w:val="22"/>
          </w:rPr>
          <w:t>https://www.ons.gov.uk/economy/economicoutputandproductivity/publicservicesproductivity/methodologies/howtocompareandinterpretonsproductivitymeasures#output</w:t>
        </w:r>
      </w:hyperlink>
    </w:p>
    <w:p w14:paraId="03EC8F2E" w14:textId="6481A40A" w:rsidR="00F85C0E" w:rsidRPr="008570C4" w:rsidRDefault="00F85C0E" w:rsidP="00372E47">
      <w:pPr>
        <w:pStyle w:val="Default"/>
        <w:spacing w:before="0"/>
        <w:jc w:val="both"/>
        <w:rPr>
          <w:rFonts w:asciiTheme="minorHAnsi" w:hAnsiTheme="minorHAnsi"/>
          <w:sz w:val="22"/>
          <w:szCs w:val="22"/>
        </w:rPr>
      </w:pPr>
    </w:p>
    <w:p w14:paraId="5C7F0419" w14:textId="0FCD2593" w:rsidR="00F85C0E" w:rsidRPr="008570C4" w:rsidRDefault="00F85C0E" w:rsidP="00372E47">
      <w:pPr>
        <w:pStyle w:val="Default"/>
        <w:spacing w:before="0"/>
        <w:jc w:val="both"/>
        <w:rPr>
          <w:rFonts w:asciiTheme="minorHAnsi" w:hAnsiTheme="minorHAnsi"/>
          <w:sz w:val="22"/>
          <w:szCs w:val="22"/>
        </w:rPr>
      </w:pPr>
      <w:r w:rsidRPr="008570C4">
        <w:rPr>
          <w:rFonts w:asciiTheme="minorHAnsi" w:hAnsiTheme="minorHAnsi"/>
          <w:sz w:val="22"/>
          <w:szCs w:val="22"/>
        </w:rPr>
        <w:lastRenderedPageBreak/>
        <w:t xml:space="preserve">The King’s Fund, 2017. How does the NHS in England work? An alternative guide. </w:t>
      </w:r>
      <w:hyperlink r:id="rId39" w:history="1">
        <w:r w:rsidRPr="008570C4">
          <w:rPr>
            <w:rStyle w:val="Hyperlink"/>
            <w:rFonts w:asciiTheme="minorHAnsi" w:hAnsiTheme="minorHAnsi"/>
            <w:sz w:val="22"/>
            <w:szCs w:val="22"/>
          </w:rPr>
          <w:t>https://www.kingsfund.org.uk/audio-video/how-does-nhs-in-england-work</w:t>
        </w:r>
      </w:hyperlink>
    </w:p>
    <w:p w14:paraId="1F30A4AE" w14:textId="77777777" w:rsidR="009A4884" w:rsidRPr="008570C4" w:rsidRDefault="009A4884" w:rsidP="00372E47">
      <w:pPr>
        <w:pStyle w:val="Default"/>
        <w:spacing w:before="0"/>
        <w:jc w:val="both"/>
        <w:rPr>
          <w:rFonts w:asciiTheme="minorHAnsi" w:hAnsiTheme="minorHAnsi"/>
          <w:sz w:val="22"/>
          <w:szCs w:val="22"/>
        </w:rPr>
      </w:pPr>
    </w:p>
    <w:p w14:paraId="1C811E90" w14:textId="4AE53EEF" w:rsidR="0007451F" w:rsidRPr="008570C4" w:rsidRDefault="0007451F" w:rsidP="00372E47">
      <w:pPr>
        <w:pStyle w:val="Default"/>
        <w:spacing w:before="0"/>
        <w:rPr>
          <w:rFonts w:asciiTheme="minorHAnsi" w:hAnsiTheme="minorHAnsi"/>
          <w:sz w:val="22"/>
          <w:szCs w:val="22"/>
        </w:rPr>
      </w:pPr>
      <w:r w:rsidRPr="008570C4">
        <w:rPr>
          <w:rFonts w:asciiTheme="minorHAnsi" w:hAnsiTheme="minorHAnsi"/>
          <w:sz w:val="22"/>
          <w:szCs w:val="22"/>
        </w:rPr>
        <w:t xml:space="preserve">The King’s Fund, 2019. Is the NHS being privatised? </w:t>
      </w:r>
      <w:hyperlink r:id="rId40" w:history="1">
        <w:r w:rsidRPr="008570C4">
          <w:rPr>
            <w:rStyle w:val="Hyperlink"/>
            <w:rFonts w:asciiTheme="minorHAnsi" w:hAnsiTheme="minorHAnsi"/>
            <w:sz w:val="22"/>
            <w:szCs w:val="22"/>
          </w:rPr>
          <w:t>https://www.kingsfund.org.uk/publications/articles/big-election-questions-nhs-privatised</w:t>
        </w:r>
      </w:hyperlink>
      <w:r w:rsidRPr="008570C4">
        <w:rPr>
          <w:rFonts w:asciiTheme="minorHAnsi" w:hAnsiTheme="minorHAnsi"/>
          <w:sz w:val="22"/>
          <w:szCs w:val="22"/>
        </w:rPr>
        <w:t xml:space="preserve"> </w:t>
      </w:r>
    </w:p>
    <w:p w14:paraId="57AC39F4" w14:textId="05382B66" w:rsidR="00F85C0E" w:rsidRPr="008570C4" w:rsidRDefault="00F85C0E" w:rsidP="00372E47">
      <w:pPr>
        <w:pStyle w:val="Default"/>
        <w:spacing w:before="0"/>
        <w:rPr>
          <w:rFonts w:asciiTheme="minorHAnsi" w:hAnsiTheme="minorHAnsi"/>
          <w:sz w:val="22"/>
          <w:szCs w:val="22"/>
        </w:rPr>
      </w:pPr>
    </w:p>
    <w:p w14:paraId="56E58ECB" w14:textId="3FA3D810" w:rsidR="00F85C0E" w:rsidRPr="008570C4" w:rsidRDefault="00F85C0E" w:rsidP="00372E47">
      <w:pPr>
        <w:pStyle w:val="Default"/>
        <w:spacing w:before="0"/>
        <w:rPr>
          <w:rFonts w:asciiTheme="minorHAnsi" w:hAnsiTheme="minorHAnsi"/>
          <w:sz w:val="22"/>
          <w:szCs w:val="22"/>
        </w:rPr>
      </w:pPr>
      <w:r w:rsidRPr="008570C4">
        <w:rPr>
          <w:rFonts w:asciiTheme="minorHAnsi" w:hAnsiTheme="minorHAnsi"/>
          <w:sz w:val="22"/>
          <w:szCs w:val="22"/>
        </w:rPr>
        <w:t xml:space="preserve">Lovell, T., 2020. “Government denies plans to create new ‘NHS transformation taskforce’” </w:t>
      </w:r>
      <w:r w:rsidRPr="008570C4">
        <w:rPr>
          <w:rFonts w:asciiTheme="minorHAnsi" w:hAnsiTheme="minorHAnsi"/>
          <w:i/>
          <w:iCs/>
          <w:sz w:val="22"/>
          <w:szCs w:val="22"/>
        </w:rPr>
        <w:t>Healthcare IT News</w:t>
      </w:r>
      <w:r w:rsidRPr="008570C4">
        <w:rPr>
          <w:rFonts w:asciiTheme="minorHAnsi" w:hAnsiTheme="minorHAnsi"/>
          <w:sz w:val="22"/>
          <w:szCs w:val="22"/>
        </w:rPr>
        <w:t xml:space="preserve">. 25 November. Available at: </w:t>
      </w:r>
      <w:hyperlink r:id="rId41" w:history="1">
        <w:r w:rsidRPr="008570C4">
          <w:rPr>
            <w:rStyle w:val="Hyperlink"/>
            <w:rFonts w:asciiTheme="minorHAnsi" w:hAnsiTheme="minorHAnsi"/>
            <w:sz w:val="22"/>
            <w:szCs w:val="22"/>
          </w:rPr>
          <w:t>https://www.healthcareitnews.com/news/emea/government-denies-plans-create-new-nhs-transformation-taskforce</w:t>
        </w:r>
      </w:hyperlink>
    </w:p>
    <w:p w14:paraId="2481469E" w14:textId="77777777" w:rsidR="0007451F" w:rsidRPr="008570C4" w:rsidRDefault="0007451F" w:rsidP="00372E47">
      <w:pPr>
        <w:pStyle w:val="Default"/>
        <w:spacing w:before="0"/>
        <w:rPr>
          <w:rFonts w:asciiTheme="minorHAnsi" w:hAnsiTheme="minorHAnsi"/>
          <w:sz w:val="22"/>
          <w:szCs w:val="22"/>
        </w:rPr>
      </w:pPr>
    </w:p>
    <w:p w14:paraId="62650B28" w14:textId="2BC55E95"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lang w:val="de-DE"/>
        </w:rPr>
        <w:t xml:space="preserve">McCabe, R., Schmit, N., Christen, P. </w:t>
      </w:r>
      <w:r w:rsidRPr="008570C4">
        <w:rPr>
          <w:rStyle w:val="None"/>
          <w:rFonts w:asciiTheme="minorHAnsi" w:hAnsiTheme="minorHAnsi"/>
          <w:i/>
          <w:iCs/>
          <w:sz w:val="22"/>
          <w:szCs w:val="22"/>
        </w:rPr>
        <w:t>et al.</w:t>
      </w:r>
      <w:r w:rsidRPr="008570C4">
        <w:rPr>
          <w:rFonts w:asciiTheme="minorHAnsi" w:hAnsiTheme="minorHAnsi"/>
          <w:sz w:val="22"/>
          <w:szCs w:val="22"/>
        </w:rPr>
        <w:t xml:space="preserve"> </w:t>
      </w:r>
      <w:r w:rsidR="00206FCE" w:rsidRPr="008570C4">
        <w:rPr>
          <w:rFonts w:asciiTheme="minorHAnsi" w:hAnsiTheme="minorHAnsi"/>
          <w:sz w:val="22"/>
          <w:szCs w:val="22"/>
        </w:rPr>
        <w:t xml:space="preserve">(2020), </w:t>
      </w:r>
      <w:r w:rsidRPr="008570C4">
        <w:rPr>
          <w:rFonts w:asciiTheme="minorHAnsi" w:hAnsiTheme="minorHAnsi"/>
          <w:sz w:val="22"/>
          <w:szCs w:val="22"/>
        </w:rPr>
        <w:t xml:space="preserve">Adapting hospital capacity to meet changing demands during the </w:t>
      </w:r>
      <w:r w:rsidR="003B3C10">
        <w:rPr>
          <w:rFonts w:asciiTheme="minorHAnsi" w:hAnsiTheme="minorHAnsi"/>
          <w:sz w:val="22"/>
          <w:szCs w:val="22"/>
        </w:rPr>
        <w:t>Covid19</w:t>
      </w:r>
      <w:r w:rsidRPr="008570C4">
        <w:rPr>
          <w:rFonts w:asciiTheme="minorHAnsi" w:hAnsiTheme="minorHAnsi"/>
          <w:sz w:val="22"/>
          <w:szCs w:val="22"/>
        </w:rPr>
        <w:t xml:space="preserve"> pandemic. </w:t>
      </w:r>
      <w:r w:rsidRPr="008570C4">
        <w:rPr>
          <w:rStyle w:val="None"/>
          <w:rFonts w:asciiTheme="minorHAnsi" w:hAnsiTheme="minorHAnsi"/>
          <w:i/>
          <w:iCs/>
          <w:sz w:val="22"/>
          <w:szCs w:val="22"/>
        </w:rPr>
        <w:t>BMC Med</w:t>
      </w:r>
      <w:r w:rsidRPr="008570C4">
        <w:rPr>
          <w:rFonts w:asciiTheme="minorHAnsi" w:hAnsiTheme="minorHAnsi"/>
          <w:sz w:val="22"/>
          <w:szCs w:val="22"/>
        </w:rPr>
        <w:t xml:space="preserve"> </w:t>
      </w:r>
      <w:r w:rsidRPr="008570C4">
        <w:rPr>
          <w:rStyle w:val="None"/>
          <w:rFonts w:asciiTheme="minorHAnsi" w:hAnsiTheme="minorHAnsi"/>
          <w:b/>
          <w:bCs/>
          <w:sz w:val="22"/>
          <w:szCs w:val="22"/>
        </w:rPr>
        <w:t xml:space="preserve">18, </w:t>
      </w:r>
      <w:r w:rsidRPr="008570C4">
        <w:rPr>
          <w:rFonts w:asciiTheme="minorHAnsi" w:hAnsiTheme="minorHAnsi"/>
          <w:sz w:val="22"/>
          <w:szCs w:val="22"/>
        </w:rPr>
        <w:t xml:space="preserve">329. </w:t>
      </w:r>
      <w:hyperlink r:id="rId42" w:history="1">
        <w:r w:rsidR="00F85C0E" w:rsidRPr="008570C4">
          <w:rPr>
            <w:rStyle w:val="Hyperlink"/>
            <w:rFonts w:asciiTheme="minorHAnsi" w:hAnsiTheme="minorHAnsi"/>
            <w:sz w:val="22"/>
            <w:szCs w:val="22"/>
          </w:rPr>
          <w:t>https://doi.org/10.1186/s12916-020-01781-w</w:t>
        </w:r>
      </w:hyperlink>
    </w:p>
    <w:p w14:paraId="2B63C56C" w14:textId="7A14E271" w:rsidR="00F85C0E" w:rsidRPr="008570C4" w:rsidRDefault="00F85C0E" w:rsidP="00372E47">
      <w:pPr>
        <w:pStyle w:val="Default"/>
        <w:spacing w:before="0"/>
        <w:rPr>
          <w:rFonts w:asciiTheme="minorHAnsi" w:hAnsiTheme="minorHAnsi"/>
          <w:sz w:val="22"/>
          <w:szCs w:val="22"/>
        </w:rPr>
      </w:pPr>
    </w:p>
    <w:p w14:paraId="0E40110D" w14:textId="4ADAC6E9" w:rsidR="00F85C0E" w:rsidRPr="008570C4" w:rsidRDefault="00F85C0E" w:rsidP="00372E47">
      <w:pPr>
        <w:pStyle w:val="Default"/>
        <w:spacing w:before="0"/>
        <w:rPr>
          <w:rFonts w:asciiTheme="minorHAnsi" w:hAnsiTheme="minorHAnsi"/>
          <w:sz w:val="22"/>
          <w:szCs w:val="22"/>
        </w:rPr>
      </w:pPr>
      <w:r w:rsidRPr="008570C4">
        <w:rPr>
          <w:rFonts w:asciiTheme="minorHAnsi" w:hAnsiTheme="minorHAnsi"/>
          <w:sz w:val="22"/>
          <w:szCs w:val="22"/>
        </w:rPr>
        <w:t xml:space="preserve">Macdonald, M., and Baker, C., 2020. “Nursing workforce shortage in England.” </w:t>
      </w:r>
      <w:r w:rsidRPr="008570C4">
        <w:rPr>
          <w:rFonts w:asciiTheme="minorHAnsi" w:hAnsiTheme="minorHAnsi"/>
          <w:i/>
          <w:iCs/>
          <w:sz w:val="22"/>
          <w:szCs w:val="22"/>
        </w:rPr>
        <w:t>House of Commons Library</w:t>
      </w:r>
      <w:r w:rsidRPr="008570C4">
        <w:rPr>
          <w:rFonts w:asciiTheme="minorHAnsi" w:hAnsiTheme="minorHAnsi"/>
          <w:sz w:val="22"/>
          <w:szCs w:val="22"/>
        </w:rPr>
        <w:t xml:space="preserve">. 28 February. </w:t>
      </w:r>
      <w:hyperlink r:id="rId43" w:history="1">
        <w:r w:rsidRPr="008570C4">
          <w:rPr>
            <w:rStyle w:val="Hyperlink"/>
            <w:rFonts w:asciiTheme="minorHAnsi" w:hAnsiTheme="minorHAnsi"/>
            <w:sz w:val="22"/>
            <w:szCs w:val="22"/>
          </w:rPr>
          <w:t>http://researchbriefings.files.parliament.uk/documents/CDP-2020-0037/CDP-2020-0037.pdf</w:t>
        </w:r>
      </w:hyperlink>
    </w:p>
    <w:p w14:paraId="5969F8B6" w14:textId="77777777" w:rsidR="00B22741" w:rsidRPr="008570C4" w:rsidRDefault="00B22741" w:rsidP="00372E47">
      <w:pPr>
        <w:pStyle w:val="Default"/>
        <w:spacing w:before="0"/>
        <w:jc w:val="both"/>
        <w:rPr>
          <w:rFonts w:asciiTheme="minorHAnsi" w:hAnsiTheme="minorHAnsi"/>
          <w:sz w:val="22"/>
          <w:szCs w:val="22"/>
        </w:rPr>
      </w:pPr>
    </w:p>
    <w:p w14:paraId="6E6160DE" w14:textId="66491FA9" w:rsidR="0007451F" w:rsidRPr="008570C4" w:rsidRDefault="0007451F" w:rsidP="00372E47">
      <w:pPr>
        <w:pStyle w:val="Default"/>
        <w:spacing w:before="0"/>
        <w:jc w:val="both"/>
        <w:rPr>
          <w:rStyle w:val="Hyperlink"/>
          <w:rFonts w:asciiTheme="minorHAnsi" w:hAnsiTheme="minorHAnsi" w:cs="Arial"/>
          <w:sz w:val="22"/>
          <w:szCs w:val="22"/>
          <w:shd w:val="clear" w:color="auto" w:fill="FFFFFF"/>
        </w:rPr>
      </w:pPr>
      <w:r w:rsidRPr="008570C4">
        <w:rPr>
          <w:rFonts w:asciiTheme="minorHAnsi" w:hAnsiTheme="minorHAnsi" w:cs="Arial"/>
          <w:color w:val="222222"/>
          <w:sz w:val="22"/>
          <w:szCs w:val="22"/>
          <w:shd w:val="clear" w:color="auto" w:fill="FFFFFF"/>
        </w:rPr>
        <w:t xml:space="preserve">Majeed, A., Maile, E.J. and Bindman, A.B., 2020. The primary care response to </w:t>
      </w:r>
      <w:r w:rsidR="003B3C10">
        <w:rPr>
          <w:rFonts w:asciiTheme="minorHAnsi" w:hAnsiTheme="minorHAnsi" w:cs="Arial"/>
          <w:color w:val="222222"/>
          <w:sz w:val="22"/>
          <w:szCs w:val="22"/>
          <w:shd w:val="clear" w:color="auto" w:fill="FFFFFF"/>
        </w:rPr>
        <w:t>Covid19</w:t>
      </w:r>
      <w:r w:rsidRPr="008570C4">
        <w:rPr>
          <w:rFonts w:asciiTheme="minorHAnsi" w:hAnsiTheme="minorHAnsi" w:cs="Arial"/>
          <w:color w:val="222222"/>
          <w:sz w:val="22"/>
          <w:szCs w:val="22"/>
          <w:shd w:val="clear" w:color="auto" w:fill="FFFFFF"/>
        </w:rPr>
        <w:t xml:space="preserve"> in England's National Health Service. </w:t>
      </w:r>
      <w:r w:rsidRPr="008570C4">
        <w:rPr>
          <w:rFonts w:asciiTheme="minorHAnsi" w:hAnsiTheme="minorHAnsi" w:cs="Arial"/>
          <w:i/>
          <w:iCs/>
          <w:color w:val="222222"/>
          <w:sz w:val="22"/>
          <w:szCs w:val="22"/>
          <w:shd w:val="clear" w:color="auto" w:fill="FFFFFF"/>
        </w:rPr>
        <w:t>Journal of the Royal Society of Medicine</w:t>
      </w:r>
      <w:r w:rsidRPr="008570C4">
        <w:rPr>
          <w:rFonts w:asciiTheme="minorHAnsi" w:hAnsiTheme="minorHAnsi" w:cs="Arial"/>
          <w:color w:val="222222"/>
          <w:sz w:val="22"/>
          <w:szCs w:val="22"/>
          <w:shd w:val="clear" w:color="auto" w:fill="FFFFFF"/>
        </w:rPr>
        <w:t>, </w:t>
      </w:r>
      <w:r w:rsidRPr="008570C4">
        <w:rPr>
          <w:rFonts w:asciiTheme="minorHAnsi" w:hAnsiTheme="minorHAnsi" w:cs="Arial"/>
          <w:i/>
          <w:iCs/>
          <w:color w:val="222222"/>
          <w:sz w:val="22"/>
          <w:szCs w:val="22"/>
          <w:shd w:val="clear" w:color="auto" w:fill="FFFFFF"/>
        </w:rPr>
        <w:t>113</w:t>
      </w:r>
      <w:r w:rsidRPr="008570C4">
        <w:rPr>
          <w:rFonts w:asciiTheme="minorHAnsi" w:hAnsiTheme="minorHAnsi" w:cs="Arial"/>
          <w:color w:val="222222"/>
          <w:sz w:val="22"/>
          <w:szCs w:val="22"/>
          <w:shd w:val="clear" w:color="auto" w:fill="FFFFFF"/>
        </w:rPr>
        <w:t xml:space="preserve">(6), pp.208-210. </w:t>
      </w:r>
      <w:hyperlink r:id="rId44" w:history="1">
        <w:r w:rsidRPr="008570C4">
          <w:rPr>
            <w:rStyle w:val="Hyperlink"/>
            <w:rFonts w:asciiTheme="minorHAnsi" w:hAnsiTheme="minorHAnsi" w:cs="Arial"/>
            <w:sz w:val="22"/>
            <w:szCs w:val="22"/>
            <w:shd w:val="clear" w:color="auto" w:fill="FFFFFF"/>
          </w:rPr>
          <w:t>https://journals.sagepub.com/doi/pdf/10.1177/0141076820931452</w:t>
        </w:r>
      </w:hyperlink>
    </w:p>
    <w:p w14:paraId="03D67A12" w14:textId="77777777" w:rsidR="0007451F" w:rsidRPr="008570C4" w:rsidRDefault="0007451F" w:rsidP="00372E47">
      <w:pPr>
        <w:pStyle w:val="Default"/>
        <w:spacing w:before="0"/>
        <w:jc w:val="both"/>
        <w:rPr>
          <w:rStyle w:val="Hyperlink"/>
          <w:rFonts w:asciiTheme="minorHAnsi" w:hAnsiTheme="minorHAnsi" w:cs="Arial"/>
          <w:sz w:val="22"/>
          <w:szCs w:val="22"/>
          <w:shd w:val="clear" w:color="auto" w:fill="FFFFFF"/>
        </w:rPr>
      </w:pPr>
    </w:p>
    <w:p w14:paraId="23B41075" w14:textId="77777777" w:rsidR="00372E47" w:rsidRPr="00372E47" w:rsidRDefault="00372E47" w:rsidP="00372E47">
      <w:pPr>
        <w:rPr>
          <w:rFonts w:asciiTheme="minorHAnsi" w:eastAsia="Times New Roman" w:hAnsiTheme="minorHAnsi"/>
          <w:sz w:val="22"/>
          <w:szCs w:val="22"/>
          <w:bdr w:val="none" w:sz="0" w:space="0" w:color="auto"/>
          <w:lang w:val="en-GB" w:eastAsia="en-GB"/>
        </w:rPr>
      </w:pPr>
      <w:r w:rsidRPr="00372E47">
        <w:rPr>
          <w:rFonts w:asciiTheme="minorHAnsi" w:hAnsiTheme="minorHAnsi"/>
          <w:color w:val="000000" w:themeColor="text1"/>
          <w:sz w:val="22"/>
          <w:szCs w:val="22"/>
        </w:rPr>
        <w:t xml:space="preserve">Miles D, M Stedman &amp; A Heald (2020), Living </w:t>
      </w:r>
      <w:proofErr w:type="gramStart"/>
      <w:r w:rsidRPr="00372E47">
        <w:rPr>
          <w:rFonts w:asciiTheme="minorHAnsi" w:hAnsiTheme="minorHAnsi"/>
          <w:color w:val="000000" w:themeColor="text1"/>
          <w:sz w:val="22"/>
          <w:szCs w:val="22"/>
        </w:rPr>
        <w:t>With</w:t>
      </w:r>
      <w:proofErr w:type="gramEnd"/>
      <w:r w:rsidRPr="00372E47">
        <w:rPr>
          <w:rFonts w:asciiTheme="minorHAnsi" w:hAnsiTheme="minorHAnsi"/>
          <w:color w:val="000000" w:themeColor="text1"/>
          <w:sz w:val="22"/>
          <w:szCs w:val="22"/>
        </w:rPr>
        <w:t xml:space="preserve"> Covid19: balancing costs against benefits in the face of the virus, </w:t>
      </w:r>
      <w:r w:rsidRPr="00372E47">
        <w:rPr>
          <w:rFonts w:asciiTheme="minorHAnsi" w:eastAsia="Times New Roman" w:hAnsiTheme="minorHAnsi"/>
          <w:i/>
          <w:iCs/>
          <w:sz w:val="22"/>
          <w:szCs w:val="22"/>
          <w:bdr w:val="none" w:sz="0" w:space="0" w:color="auto"/>
          <w:lang w:val="en-GB" w:eastAsia="en-GB"/>
        </w:rPr>
        <w:t>National Institute Economic Review</w:t>
      </w:r>
      <w:r w:rsidRPr="00372E47">
        <w:rPr>
          <w:rFonts w:asciiTheme="minorHAnsi" w:eastAsia="Times New Roman" w:hAnsiTheme="minorHAnsi"/>
          <w:sz w:val="22"/>
          <w:szCs w:val="22"/>
          <w:bdr w:val="none" w:sz="0" w:space="0" w:color="auto"/>
          <w:lang w:val="en-GB" w:eastAsia="en-GB"/>
        </w:rPr>
        <w:t xml:space="preserve">, </w:t>
      </w:r>
      <w:r w:rsidRPr="00372E47">
        <w:rPr>
          <w:rFonts w:asciiTheme="minorHAnsi" w:eastAsia="Times New Roman" w:hAnsiTheme="minorHAnsi"/>
          <w:i/>
          <w:iCs/>
          <w:sz w:val="22"/>
          <w:szCs w:val="22"/>
          <w:bdr w:val="none" w:sz="0" w:space="0" w:color="auto"/>
          <w:lang w:val="en-GB" w:eastAsia="en-GB"/>
        </w:rPr>
        <w:t>253</w:t>
      </w:r>
      <w:r w:rsidRPr="00372E47">
        <w:rPr>
          <w:rFonts w:asciiTheme="minorHAnsi" w:eastAsia="Times New Roman" w:hAnsiTheme="minorHAnsi"/>
          <w:sz w:val="22"/>
          <w:szCs w:val="22"/>
          <w:bdr w:val="none" w:sz="0" w:space="0" w:color="auto"/>
          <w:lang w:val="en-GB" w:eastAsia="en-GB"/>
        </w:rPr>
        <w:t>, R60-R76. doi:10.1017/nie.2020.30</w:t>
      </w:r>
    </w:p>
    <w:p w14:paraId="3D3FFED2" w14:textId="5E464245" w:rsidR="00372E47" w:rsidRDefault="00372E47" w:rsidP="00372E47">
      <w:pPr>
        <w:pStyle w:val="Heading2"/>
        <w:rPr>
          <w:rFonts w:asciiTheme="minorHAnsi" w:hAnsiTheme="minorHAnsi"/>
          <w:color w:val="000000" w:themeColor="text1"/>
          <w:sz w:val="22"/>
          <w:szCs w:val="22"/>
        </w:rPr>
      </w:pPr>
    </w:p>
    <w:p w14:paraId="2DF82F62" w14:textId="5B1F9787" w:rsidR="008570C4" w:rsidRPr="008570C4" w:rsidRDefault="008570C4" w:rsidP="00372E47">
      <w:pPr>
        <w:pStyle w:val="Heading2"/>
        <w:rPr>
          <w:rFonts w:asciiTheme="minorHAnsi" w:hAnsiTheme="minorHAnsi"/>
          <w:color w:val="000000" w:themeColor="text1"/>
          <w:sz w:val="22"/>
          <w:szCs w:val="22"/>
          <w:lang w:val="en-GB" w:eastAsia="en-GB"/>
        </w:rPr>
      </w:pPr>
      <w:r w:rsidRPr="008570C4">
        <w:rPr>
          <w:rFonts w:asciiTheme="minorHAnsi" w:hAnsiTheme="minorHAnsi"/>
          <w:color w:val="000000" w:themeColor="text1"/>
          <w:sz w:val="22"/>
          <w:szCs w:val="22"/>
        </w:rPr>
        <w:t>National Audit Office (2020), The government’s approach to test and trace in England – interim report https://www.nao.org.uk/report/the-governments-approach-to-test-and-trace-in-england-interim-report/</w:t>
      </w:r>
    </w:p>
    <w:p w14:paraId="2F0C806D" w14:textId="77777777" w:rsidR="008570C4" w:rsidRPr="008570C4" w:rsidRDefault="008570C4" w:rsidP="00372E47">
      <w:pPr>
        <w:pStyle w:val="Default"/>
        <w:spacing w:before="0"/>
        <w:jc w:val="both"/>
        <w:rPr>
          <w:rFonts w:asciiTheme="minorHAnsi" w:hAnsiTheme="minorHAnsi"/>
          <w:sz w:val="22"/>
          <w:szCs w:val="22"/>
        </w:rPr>
      </w:pPr>
    </w:p>
    <w:p w14:paraId="51774FA2" w14:textId="5BA0488F"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Neville, Sarah, Over the Rainbow: What Next for the </w:t>
      </w:r>
      <w:proofErr w:type="gramStart"/>
      <w:r w:rsidRPr="008570C4">
        <w:rPr>
          <w:rFonts w:asciiTheme="minorHAnsi" w:hAnsiTheme="minorHAnsi"/>
          <w:sz w:val="22"/>
          <w:szCs w:val="22"/>
        </w:rPr>
        <w:t>NHS?,</w:t>
      </w:r>
      <w:proofErr w:type="gramEnd"/>
      <w:r w:rsidRPr="008570C4">
        <w:rPr>
          <w:rFonts w:asciiTheme="minorHAnsi" w:hAnsiTheme="minorHAnsi"/>
          <w:sz w:val="22"/>
          <w:szCs w:val="22"/>
        </w:rPr>
        <w:t xml:space="preserve"> Financial Times 19/20 September 2020. </w:t>
      </w:r>
    </w:p>
    <w:p w14:paraId="6936DACE" w14:textId="77777777" w:rsidR="00B22741" w:rsidRPr="008570C4" w:rsidRDefault="00B22741" w:rsidP="00372E47">
      <w:pPr>
        <w:pStyle w:val="Default"/>
        <w:spacing w:before="0"/>
        <w:jc w:val="both"/>
        <w:rPr>
          <w:rFonts w:asciiTheme="minorHAnsi" w:hAnsiTheme="minorHAnsi"/>
          <w:sz w:val="22"/>
          <w:szCs w:val="22"/>
        </w:rPr>
      </w:pPr>
    </w:p>
    <w:p w14:paraId="787512AF" w14:textId="3A4F0228" w:rsidR="00B22741"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NHS England (2016). Demand Management Good Practice Guide. </w:t>
      </w:r>
      <w:hyperlink r:id="rId45" w:history="1">
        <w:r w:rsidRPr="008570C4">
          <w:rPr>
            <w:rStyle w:val="Hyperlink0"/>
            <w:rFonts w:asciiTheme="minorHAnsi" w:hAnsiTheme="minorHAnsi"/>
            <w:sz w:val="22"/>
            <w:szCs w:val="22"/>
          </w:rPr>
          <w:t>https://www.england.nhs.uk/wp-content/uploads/2016/12/demand-mgnt-good-practice-guid.pdf</w:t>
        </w:r>
      </w:hyperlink>
      <w:r w:rsidRPr="008570C4">
        <w:rPr>
          <w:rFonts w:asciiTheme="minorHAnsi" w:hAnsiTheme="minorHAnsi"/>
          <w:sz w:val="22"/>
          <w:szCs w:val="22"/>
        </w:rPr>
        <w:t xml:space="preserve"> </w:t>
      </w:r>
    </w:p>
    <w:p w14:paraId="3E5ABB76" w14:textId="1EAD8954" w:rsidR="00B22741" w:rsidRPr="00F53BEF" w:rsidRDefault="00F53BEF" w:rsidP="00F53BEF">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rPr>
          <w:rFonts w:asciiTheme="minorHAnsi" w:hAnsiTheme="minorHAnsi" w:cs="Calibri"/>
          <w:color w:val="000000"/>
          <w:sz w:val="22"/>
          <w:szCs w:val="22"/>
          <w:lang w:val="en-GB" w:eastAsia="en-GB"/>
        </w:rPr>
      </w:pPr>
      <w:r w:rsidRPr="00F53BEF">
        <w:rPr>
          <w:rFonts w:asciiTheme="minorHAnsi" w:hAnsiTheme="minorHAnsi" w:cs="Calibri"/>
          <w:color w:val="000000"/>
          <w:sz w:val="22"/>
          <w:szCs w:val="22"/>
        </w:rPr>
        <w:t>NHS Confederation (2020). "One year on and one pandemic later: what's happened to primary care networks and other forms of primary and community care collaboration?"</w:t>
      </w:r>
      <w:r w:rsidRPr="00F53BEF">
        <w:rPr>
          <w:rStyle w:val="apple-converted-space"/>
          <w:rFonts w:asciiTheme="minorHAnsi" w:hAnsiTheme="minorHAnsi" w:cs="Calibri"/>
          <w:color w:val="000000"/>
          <w:sz w:val="22"/>
          <w:szCs w:val="22"/>
        </w:rPr>
        <w:t> </w:t>
      </w:r>
      <w:r w:rsidRPr="00F53BEF">
        <w:rPr>
          <w:rStyle w:val="Emphasis"/>
          <w:rFonts w:asciiTheme="minorHAnsi" w:hAnsiTheme="minorHAnsi" w:cs="Calibri"/>
          <w:color w:val="000000"/>
          <w:sz w:val="22"/>
          <w:szCs w:val="22"/>
        </w:rPr>
        <w:t>NHS Confederation</w:t>
      </w:r>
      <w:r w:rsidRPr="00F53BEF">
        <w:rPr>
          <w:rFonts w:asciiTheme="minorHAnsi" w:hAnsiTheme="minorHAnsi" w:cs="Calibri"/>
          <w:color w:val="000000"/>
          <w:sz w:val="22"/>
          <w:szCs w:val="22"/>
        </w:rPr>
        <w:t>. July 13. Available at:</w:t>
      </w:r>
      <w:r w:rsidRPr="00F53BEF">
        <w:rPr>
          <w:rStyle w:val="apple-converted-space"/>
          <w:rFonts w:asciiTheme="minorHAnsi" w:hAnsiTheme="minorHAnsi" w:cs="Calibri"/>
          <w:color w:val="000000"/>
          <w:sz w:val="22"/>
          <w:szCs w:val="22"/>
        </w:rPr>
        <w:t> </w:t>
      </w:r>
      <w:hyperlink r:id="rId46" w:history="1">
        <w:r w:rsidRPr="00F53BEF">
          <w:rPr>
            <w:rStyle w:val="Hyperlink"/>
            <w:rFonts w:asciiTheme="minorHAnsi" w:hAnsiTheme="minorHAnsi" w:cs="Calibri"/>
            <w:sz w:val="22"/>
            <w:szCs w:val="22"/>
          </w:rPr>
          <w:t>nhsconfed.org/resources/2020/07/one-year-on-and-one-pandemic-later</w:t>
        </w:r>
      </w:hyperlink>
      <w:r w:rsidRPr="00F53BEF">
        <w:rPr>
          <w:rFonts w:asciiTheme="minorHAnsi" w:hAnsiTheme="minorHAnsi" w:cs="Calibri"/>
          <w:color w:val="000000"/>
          <w:sz w:val="22"/>
          <w:szCs w:val="22"/>
        </w:rPr>
        <w:t xml:space="preserve"> 28/1/21</w:t>
      </w:r>
    </w:p>
    <w:p w14:paraId="669365AA" w14:textId="7EDE11AC" w:rsidR="00372E47" w:rsidRDefault="00F85C0E" w:rsidP="00372E47">
      <w:pPr>
        <w:pStyle w:val="Default"/>
        <w:spacing w:before="0"/>
        <w:jc w:val="both"/>
        <w:rPr>
          <w:rFonts w:asciiTheme="minorHAnsi" w:hAnsiTheme="minorHAnsi"/>
          <w:sz w:val="22"/>
          <w:szCs w:val="22"/>
        </w:rPr>
      </w:pPr>
      <w:r w:rsidRPr="008570C4">
        <w:rPr>
          <w:rFonts w:asciiTheme="minorHAnsi" w:hAnsiTheme="minorHAnsi"/>
          <w:sz w:val="22"/>
          <w:szCs w:val="22"/>
        </w:rPr>
        <w:t>Nuffield Trust, 2020. The NHS workforce in numbers.</w:t>
      </w:r>
    </w:p>
    <w:p w14:paraId="561E54BC" w14:textId="2584BC1C" w:rsidR="00F85C0E" w:rsidRPr="008570C4" w:rsidRDefault="00CC0112" w:rsidP="00372E47">
      <w:pPr>
        <w:pStyle w:val="Default"/>
        <w:spacing w:before="0"/>
        <w:jc w:val="both"/>
        <w:rPr>
          <w:rFonts w:asciiTheme="minorHAnsi" w:hAnsiTheme="minorHAnsi"/>
          <w:sz w:val="22"/>
          <w:szCs w:val="22"/>
        </w:rPr>
      </w:pPr>
      <w:hyperlink r:id="rId47" w:anchor="8-what-is-the-outlook-for-the-future" w:history="1">
        <w:r w:rsidR="00372E47" w:rsidRPr="007D146A">
          <w:rPr>
            <w:rStyle w:val="Hyperlink"/>
            <w:rFonts w:asciiTheme="minorHAnsi" w:hAnsiTheme="minorHAnsi"/>
            <w:sz w:val="22"/>
            <w:szCs w:val="22"/>
          </w:rPr>
          <w:t>https://www.nuffieldtrust.org.uk/resource/the-nhs-workforce-in-numbers#8-what-is-the-outlook-for-the-future</w:t>
        </w:r>
      </w:hyperlink>
    </w:p>
    <w:p w14:paraId="7468EBD9" w14:textId="77777777" w:rsidR="008570C4" w:rsidRPr="008570C4" w:rsidRDefault="008570C4" w:rsidP="00372E4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rPr>
          <w:rFonts w:asciiTheme="minorHAnsi" w:hAnsiTheme="minorHAnsi" w:cs="Calibri"/>
          <w:color w:val="000000"/>
          <w:sz w:val="22"/>
          <w:szCs w:val="22"/>
          <w:lang w:val="en-GB" w:eastAsia="en-GB"/>
        </w:rPr>
      </w:pPr>
      <w:r w:rsidRPr="008570C4">
        <w:rPr>
          <w:rFonts w:asciiTheme="minorHAnsi" w:hAnsiTheme="minorHAnsi" w:cs="Calibri"/>
          <w:color w:val="000000"/>
          <w:sz w:val="22"/>
          <w:szCs w:val="22"/>
        </w:rPr>
        <w:t>OECD (2019), “Doctors (overall number)”, in Health at a Glance 2019: OECD Indicators, OECD Publishing, Paris. DOI:</w:t>
      </w:r>
      <w:r w:rsidRPr="008570C4">
        <w:rPr>
          <w:rStyle w:val="apple-converted-space"/>
          <w:rFonts w:asciiTheme="minorHAnsi" w:hAnsiTheme="minorHAnsi" w:cs="Calibri"/>
          <w:color w:val="000000"/>
          <w:sz w:val="22"/>
          <w:szCs w:val="22"/>
        </w:rPr>
        <w:t> </w:t>
      </w:r>
      <w:hyperlink r:id="rId48" w:history="1">
        <w:r w:rsidRPr="008570C4">
          <w:rPr>
            <w:rStyle w:val="Hyperlink"/>
            <w:rFonts w:asciiTheme="minorHAnsi" w:hAnsiTheme="minorHAnsi" w:cs="Calibri"/>
            <w:sz w:val="22"/>
            <w:szCs w:val="22"/>
          </w:rPr>
          <w:t>https://doi.org/10.1787/b33ab4c1-en</w:t>
        </w:r>
      </w:hyperlink>
    </w:p>
    <w:p w14:paraId="39D66952" w14:textId="64A583D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ONS (2020) UK Health Accounts: 2018, Office for National Statistics. Available at: </w:t>
      </w:r>
      <w:hyperlink r:id="rId49" w:history="1">
        <w:r w:rsidRPr="008570C4">
          <w:rPr>
            <w:rStyle w:val="Hyperlink0"/>
            <w:rFonts w:asciiTheme="minorHAnsi" w:hAnsiTheme="minorHAnsi"/>
            <w:sz w:val="22"/>
            <w:szCs w:val="22"/>
          </w:rPr>
          <w:t>https://www.ons.gov.uk/peoplepopulationandcommunity/healthandsocialcare/healthcaresystem/bulletins/ukhealthaccounts/2018</w:t>
        </w:r>
      </w:hyperlink>
    </w:p>
    <w:p w14:paraId="71934541" w14:textId="77777777" w:rsidR="00B22741" w:rsidRPr="008570C4" w:rsidRDefault="00B22741" w:rsidP="00372E47">
      <w:pPr>
        <w:pStyle w:val="Default"/>
        <w:spacing w:before="0"/>
        <w:jc w:val="both"/>
        <w:rPr>
          <w:rFonts w:asciiTheme="minorHAnsi" w:hAnsiTheme="minorHAnsi"/>
          <w:sz w:val="22"/>
          <w:szCs w:val="22"/>
        </w:rPr>
      </w:pPr>
    </w:p>
    <w:p w14:paraId="39D4BFFB"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ONS (2020) Public service productivity, healthcare, England: financial year ending 2018, </w:t>
      </w:r>
      <w:hyperlink r:id="rId50" w:history="1">
        <w:r w:rsidRPr="008570C4">
          <w:rPr>
            <w:rStyle w:val="Hyperlink0"/>
            <w:rFonts w:asciiTheme="minorHAnsi" w:hAnsiTheme="minorHAnsi"/>
            <w:sz w:val="22"/>
            <w:szCs w:val="22"/>
          </w:rPr>
          <w:t>https://www.ons.gov.uk/economy/economicoutputandproductivity/publicservicesproductivity/articles/publicservicesproductivityestimateshealthcare/financialyearending2018</w:t>
        </w:r>
      </w:hyperlink>
      <w:r w:rsidRPr="008570C4">
        <w:rPr>
          <w:rFonts w:asciiTheme="minorHAnsi" w:hAnsiTheme="minorHAnsi"/>
          <w:sz w:val="22"/>
          <w:szCs w:val="22"/>
        </w:rPr>
        <w:t xml:space="preserve"> </w:t>
      </w:r>
    </w:p>
    <w:p w14:paraId="31D5D348" w14:textId="77777777" w:rsidR="00B22741" w:rsidRPr="008570C4" w:rsidRDefault="00B22741" w:rsidP="00372E47">
      <w:pPr>
        <w:pStyle w:val="Default"/>
        <w:spacing w:before="0"/>
        <w:jc w:val="both"/>
        <w:rPr>
          <w:rFonts w:asciiTheme="minorHAnsi" w:hAnsiTheme="minorHAnsi"/>
          <w:sz w:val="22"/>
          <w:szCs w:val="22"/>
        </w:rPr>
      </w:pPr>
    </w:p>
    <w:p w14:paraId="7317357D" w14:textId="10A60356"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it-IT"/>
        </w:rPr>
        <w:t>Maria-Cristina Pe</w:t>
      </w:r>
      <w:r w:rsidRPr="008570C4">
        <w:rPr>
          <w:rFonts w:asciiTheme="minorHAnsi" w:hAnsiTheme="minorHAnsi"/>
          <w:sz w:val="22"/>
          <w:szCs w:val="22"/>
          <w:lang w:val="es-ES_tradnl"/>
        </w:rPr>
        <w:t>ñ</w:t>
      </w:r>
      <w:r w:rsidRPr="008570C4">
        <w:rPr>
          <w:rFonts w:asciiTheme="minorHAnsi" w:hAnsiTheme="minorHAnsi"/>
          <w:sz w:val="22"/>
          <w:szCs w:val="22"/>
        </w:rPr>
        <w:t xml:space="preserve">aloza, </w:t>
      </w:r>
      <w:r w:rsidRPr="008570C4">
        <w:rPr>
          <w:rFonts w:asciiTheme="minorHAnsi" w:hAnsiTheme="minorHAnsi"/>
          <w:sz w:val="22"/>
          <w:szCs w:val="22"/>
          <w:lang w:val="de-DE"/>
        </w:rPr>
        <w:t>Michael Hardie</w:t>
      </w:r>
      <w:r w:rsidRPr="008570C4">
        <w:rPr>
          <w:rFonts w:asciiTheme="minorHAnsi" w:hAnsiTheme="minorHAnsi"/>
          <w:sz w:val="22"/>
          <w:szCs w:val="22"/>
        </w:rPr>
        <w:t xml:space="preserve">, </w:t>
      </w:r>
      <w:r w:rsidRPr="008570C4">
        <w:rPr>
          <w:rFonts w:asciiTheme="minorHAnsi" w:hAnsiTheme="minorHAnsi"/>
          <w:sz w:val="22"/>
          <w:szCs w:val="22"/>
          <w:lang w:val="de-DE"/>
        </w:rPr>
        <w:t>Richard Wild</w:t>
      </w:r>
      <w:r w:rsidRPr="008570C4">
        <w:rPr>
          <w:rFonts w:asciiTheme="minorHAnsi" w:hAnsiTheme="minorHAnsi"/>
          <w:sz w:val="22"/>
          <w:szCs w:val="22"/>
        </w:rPr>
        <w:t xml:space="preserve">, Katherine Mills </w:t>
      </w:r>
      <w:r w:rsidRPr="00D51EC8">
        <w:rPr>
          <w:rFonts w:asciiTheme="minorHAnsi" w:hAnsiTheme="minorHAnsi"/>
          <w:color w:val="000000" w:themeColor="text1"/>
          <w:sz w:val="22"/>
          <w:szCs w:val="22"/>
        </w:rPr>
        <w:t>(</w:t>
      </w:r>
      <w:r w:rsidR="00921810" w:rsidRPr="00D51EC8">
        <w:rPr>
          <w:rStyle w:val="None"/>
          <w:rFonts w:asciiTheme="minorHAnsi" w:hAnsiTheme="minorHAnsi"/>
          <w:color w:val="000000" w:themeColor="text1"/>
          <w:sz w:val="22"/>
          <w:szCs w:val="22"/>
        </w:rPr>
        <w:t>2010</w:t>
      </w:r>
      <w:r w:rsidRPr="00D51EC8">
        <w:rPr>
          <w:rStyle w:val="None"/>
          <w:rFonts w:asciiTheme="minorHAnsi" w:hAnsiTheme="minorHAnsi"/>
          <w:color w:val="000000" w:themeColor="text1"/>
          <w:sz w:val="22"/>
          <w:szCs w:val="22"/>
        </w:rPr>
        <w:t>)</w:t>
      </w:r>
      <w:r w:rsidR="00921810" w:rsidRPr="00D51EC8">
        <w:rPr>
          <w:rStyle w:val="None"/>
          <w:rFonts w:asciiTheme="minorHAnsi" w:hAnsiTheme="minorHAnsi"/>
          <w:color w:val="000000" w:themeColor="text1"/>
          <w:sz w:val="22"/>
          <w:szCs w:val="22"/>
        </w:rPr>
        <w:t>.</w:t>
      </w:r>
      <w:r w:rsidRPr="00D51EC8">
        <w:rPr>
          <w:rFonts w:asciiTheme="minorHAnsi" w:hAnsiTheme="minorHAnsi"/>
          <w:color w:val="000000" w:themeColor="text1"/>
          <w:sz w:val="22"/>
          <w:szCs w:val="22"/>
        </w:rPr>
        <w:t xml:space="preserve"> Public </w:t>
      </w:r>
      <w:r w:rsidRPr="008570C4">
        <w:rPr>
          <w:rFonts w:asciiTheme="minorHAnsi" w:hAnsiTheme="minorHAnsi"/>
          <w:sz w:val="22"/>
          <w:szCs w:val="22"/>
        </w:rPr>
        <w:t>Service Output, Inputs and Productivity: Healthcare, UK-</w:t>
      </w:r>
      <w:r w:rsidR="00921810" w:rsidRPr="008570C4">
        <w:rPr>
          <w:rFonts w:asciiTheme="minorHAnsi" w:hAnsiTheme="minorHAnsi"/>
          <w:sz w:val="22"/>
          <w:szCs w:val="22"/>
        </w:rPr>
        <w:t>Ce</w:t>
      </w:r>
      <w:r w:rsidRPr="008570C4">
        <w:rPr>
          <w:rFonts w:asciiTheme="minorHAnsi" w:hAnsiTheme="minorHAnsi"/>
          <w:sz w:val="22"/>
          <w:szCs w:val="22"/>
        </w:rPr>
        <w:t>MGA</w:t>
      </w:r>
    </w:p>
    <w:p w14:paraId="5C6BEF6C" w14:textId="77777777" w:rsidR="00B22741" w:rsidRPr="008570C4" w:rsidRDefault="00B22741" w:rsidP="00372E47">
      <w:pPr>
        <w:pStyle w:val="Default"/>
        <w:spacing w:before="0"/>
        <w:jc w:val="both"/>
        <w:rPr>
          <w:rFonts w:asciiTheme="minorHAnsi" w:hAnsiTheme="minorHAnsi"/>
          <w:sz w:val="22"/>
          <w:szCs w:val="22"/>
        </w:rPr>
      </w:pPr>
    </w:p>
    <w:p w14:paraId="33CCFB8B" w14:textId="39C2E3D2" w:rsidR="00B22741"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Mike G Phelps (2010) Comparing different estimates of productivity produced by the Office for National Statistics, Economic &amp; Labour Market Review | Vol 4 | No 5 | May 2010</w:t>
      </w:r>
    </w:p>
    <w:p w14:paraId="04AAB8F3" w14:textId="2485E499" w:rsidR="001260AA" w:rsidRDefault="001260AA" w:rsidP="00372E47">
      <w:pPr>
        <w:pStyle w:val="Default"/>
        <w:spacing w:before="0"/>
        <w:jc w:val="both"/>
        <w:rPr>
          <w:rFonts w:asciiTheme="minorHAnsi" w:hAnsiTheme="minorHAnsi"/>
          <w:sz w:val="22"/>
          <w:szCs w:val="22"/>
        </w:rPr>
      </w:pPr>
    </w:p>
    <w:p w14:paraId="3F9F7C67" w14:textId="27CCC742" w:rsidR="001260AA" w:rsidRPr="008570C4" w:rsidRDefault="001260AA" w:rsidP="00372E47">
      <w:pPr>
        <w:pStyle w:val="Default"/>
        <w:spacing w:before="0"/>
        <w:jc w:val="both"/>
        <w:rPr>
          <w:rFonts w:asciiTheme="minorHAnsi" w:hAnsiTheme="minorHAnsi"/>
          <w:sz w:val="22"/>
          <w:szCs w:val="22"/>
        </w:rPr>
      </w:pPr>
      <w:r>
        <w:rPr>
          <w:rFonts w:asciiTheme="minorHAnsi" w:hAnsiTheme="minorHAnsi"/>
          <w:sz w:val="22"/>
          <w:szCs w:val="22"/>
        </w:rPr>
        <w:t xml:space="preserve">Phillips N &amp; C Propper (2020), Centralisation vs Decentralistion: </w:t>
      </w:r>
      <w:hyperlink r:id="rId51" w:history="1">
        <w:r w:rsidRPr="007D146A">
          <w:rPr>
            <w:rStyle w:val="Hyperlink"/>
            <w:rFonts w:asciiTheme="minorHAnsi" w:hAnsiTheme="minorHAnsi"/>
            <w:sz w:val="22"/>
            <w:szCs w:val="22"/>
          </w:rPr>
          <w:t>https://www.imperial.ac.uk/business-school/ib-knowledge/management/centralisation-vs-decentralisation-the-disastrous-confusion-the-heart</w:t>
        </w:r>
      </w:hyperlink>
      <w:r>
        <w:rPr>
          <w:rFonts w:asciiTheme="minorHAnsi" w:hAnsiTheme="minorHAnsi"/>
          <w:sz w:val="22"/>
          <w:szCs w:val="22"/>
        </w:rPr>
        <w:t xml:space="preserve"> accessed 22/1/21</w:t>
      </w:r>
    </w:p>
    <w:p w14:paraId="59DAE042" w14:textId="77777777" w:rsidR="00B22741" w:rsidRPr="008570C4" w:rsidRDefault="00B22741" w:rsidP="00372E47">
      <w:pPr>
        <w:pStyle w:val="Default"/>
        <w:spacing w:before="0"/>
        <w:jc w:val="both"/>
        <w:rPr>
          <w:rFonts w:asciiTheme="minorHAnsi" w:hAnsiTheme="minorHAnsi"/>
          <w:sz w:val="22"/>
          <w:szCs w:val="22"/>
        </w:rPr>
      </w:pPr>
    </w:p>
    <w:p w14:paraId="0404F70A" w14:textId="77777777" w:rsidR="00F85C0E" w:rsidRPr="008570C4" w:rsidRDefault="00F85C0E"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Powell, T., 2018. The structure of the NHS in England. </w:t>
      </w:r>
      <w:r w:rsidRPr="008570C4">
        <w:rPr>
          <w:rFonts w:asciiTheme="minorHAnsi" w:hAnsiTheme="minorHAnsi"/>
          <w:i/>
          <w:iCs/>
          <w:sz w:val="22"/>
          <w:szCs w:val="22"/>
        </w:rPr>
        <w:t>House of Commons Library</w:t>
      </w:r>
      <w:r w:rsidRPr="008570C4">
        <w:rPr>
          <w:rFonts w:asciiTheme="minorHAnsi" w:hAnsiTheme="minorHAnsi"/>
          <w:sz w:val="22"/>
          <w:szCs w:val="22"/>
        </w:rPr>
        <w:t xml:space="preserve">. </w:t>
      </w:r>
      <w:hyperlink r:id="rId52" w:history="1">
        <w:r w:rsidRPr="008570C4">
          <w:rPr>
            <w:rStyle w:val="Hyperlink"/>
            <w:rFonts w:asciiTheme="minorHAnsi" w:hAnsiTheme="minorHAnsi"/>
            <w:sz w:val="22"/>
            <w:szCs w:val="22"/>
          </w:rPr>
          <w:t>https://commonslibrary.parliament.uk/research-briefings/cbp-7206/</w:t>
        </w:r>
      </w:hyperlink>
      <w:r w:rsidRPr="008570C4">
        <w:rPr>
          <w:rFonts w:asciiTheme="minorHAnsi" w:hAnsiTheme="minorHAnsi"/>
          <w:sz w:val="22"/>
          <w:szCs w:val="22"/>
        </w:rPr>
        <w:t xml:space="preserve"> </w:t>
      </w:r>
    </w:p>
    <w:p w14:paraId="342C590F" w14:textId="2CD5A3CD" w:rsidR="008570C4" w:rsidRPr="008570C4" w:rsidRDefault="008570C4" w:rsidP="00372E47">
      <w:pPr>
        <w:pStyle w:val="NormalWeb"/>
        <w:rPr>
          <w:rFonts w:asciiTheme="minorHAnsi" w:hAnsiTheme="minorHAnsi"/>
          <w:sz w:val="22"/>
          <w:szCs w:val="22"/>
        </w:rPr>
      </w:pPr>
      <w:r w:rsidRPr="008570C4">
        <w:rPr>
          <w:rFonts w:asciiTheme="minorHAnsi" w:hAnsiTheme="minorHAnsi"/>
          <w:sz w:val="22"/>
          <w:szCs w:val="22"/>
        </w:rPr>
        <w:t xml:space="preserve">Colin Price, William Green, Olga Suhomlinova, </w:t>
      </w:r>
      <w:proofErr w:type="gramStart"/>
      <w:r w:rsidRPr="008570C4">
        <w:rPr>
          <w:rFonts w:asciiTheme="minorHAnsi" w:hAnsiTheme="minorHAnsi"/>
          <w:sz w:val="22"/>
          <w:szCs w:val="22"/>
        </w:rPr>
        <w:t>Twenty-five</w:t>
      </w:r>
      <w:proofErr w:type="gramEnd"/>
      <w:r w:rsidRPr="008570C4">
        <w:rPr>
          <w:rFonts w:asciiTheme="minorHAnsi" w:hAnsiTheme="minorHAnsi"/>
          <w:sz w:val="22"/>
          <w:szCs w:val="22"/>
        </w:rPr>
        <w:t xml:space="preserve"> years of national health IT: exploring strategy, structure, and systems in the English NHS, </w:t>
      </w:r>
      <w:r w:rsidRPr="008570C4">
        <w:rPr>
          <w:rStyle w:val="Emphasis"/>
          <w:rFonts w:asciiTheme="minorHAnsi" w:hAnsiTheme="minorHAnsi"/>
          <w:sz w:val="22"/>
          <w:szCs w:val="22"/>
        </w:rPr>
        <w:t>Journal of the American Medical Informatics Association</w:t>
      </w:r>
      <w:r w:rsidRPr="008570C4">
        <w:rPr>
          <w:rFonts w:asciiTheme="minorHAnsi" w:hAnsiTheme="minorHAnsi"/>
          <w:sz w:val="22"/>
          <w:szCs w:val="22"/>
        </w:rPr>
        <w:t xml:space="preserve">, Volume 26, Issue 3, March 2019, Pages 188–197, </w:t>
      </w:r>
      <w:hyperlink r:id="rId53" w:history="1">
        <w:r w:rsidRPr="008570C4">
          <w:rPr>
            <w:rStyle w:val="Hyperlink"/>
            <w:rFonts w:asciiTheme="minorHAnsi" w:hAnsiTheme="minorHAnsi"/>
            <w:sz w:val="22"/>
            <w:szCs w:val="22"/>
          </w:rPr>
          <w:t>https://doi.org/10.1093/jamia/ocy162</w:t>
        </w:r>
      </w:hyperlink>
    </w:p>
    <w:p w14:paraId="63AD3334" w14:textId="77777777" w:rsidR="008570C4" w:rsidRPr="008570C4" w:rsidRDefault="008570C4" w:rsidP="00372E47">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imes New Roman" w:hAnsiTheme="minorHAnsi" w:cs="Courier New"/>
          <w:sz w:val="22"/>
          <w:szCs w:val="22"/>
          <w:bdr w:val="none" w:sz="0" w:space="0" w:color="auto"/>
          <w:lang w:val="en-GB" w:eastAsia="en-GB"/>
        </w:rPr>
      </w:pPr>
      <w:r w:rsidRPr="008570C4">
        <w:rPr>
          <w:rFonts w:asciiTheme="minorHAnsi" w:eastAsia="Times New Roman" w:hAnsiTheme="minorHAnsi" w:cs="Courier New"/>
          <w:sz w:val="22"/>
          <w:szCs w:val="22"/>
          <w:bdr w:val="none" w:sz="0" w:space="0" w:color="auto"/>
          <w:lang w:val="en-GB" w:eastAsia="en-GB"/>
        </w:rPr>
        <w:t xml:space="preserve">Propper, C (2018). Competition in health care: Lessons from the English experience, </w:t>
      </w:r>
      <w:r w:rsidRPr="008570C4">
        <w:rPr>
          <w:rFonts w:asciiTheme="minorHAnsi" w:eastAsia="Times New Roman" w:hAnsiTheme="minorHAnsi" w:cs="Courier New"/>
          <w:i/>
          <w:iCs/>
          <w:sz w:val="22"/>
          <w:szCs w:val="22"/>
          <w:bdr w:val="none" w:sz="0" w:space="0" w:color="auto"/>
          <w:lang w:val="en-GB" w:eastAsia="en-GB"/>
        </w:rPr>
        <w:t>Health Economics, Policy and Law</w:t>
      </w:r>
      <w:r w:rsidRPr="008570C4">
        <w:rPr>
          <w:rFonts w:asciiTheme="minorHAnsi" w:eastAsia="Times New Roman" w:hAnsiTheme="minorHAnsi" w:cs="Courier New"/>
          <w:sz w:val="22"/>
          <w:szCs w:val="22"/>
          <w:bdr w:val="none" w:sz="0" w:space="0" w:color="auto"/>
          <w:lang w:val="en-GB" w:eastAsia="en-GB"/>
        </w:rPr>
        <w:t>, Vol 13, pp 492-508, doi 10.1017/S1744133117000494</w:t>
      </w:r>
    </w:p>
    <w:p w14:paraId="1A88C222" w14:textId="65380074" w:rsidR="008570C4" w:rsidRDefault="008570C4" w:rsidP="00372E47">
      <w:pPr>
        <w:pStyle w:val="Heading1"/>
        <w:rPr>
          <w:rFonts w:asciiTheme="minorHAnsi" w:hAnsiTheme="minorHAnsi"/>
          <w:b w:val="0"/>
          <w:bCs w:val="0"/>
          <w:sz w:val="22"/>
          <w:szCs w:val="22"/>
        </w:rPr>
      </w:pPr>
      <w:r w:rsidRPr="008570C4">
        <w:rPr>
          <w:rFonts w:asciiTheme="minorHAnsi" w:hAnsiTheme="minorHAnsi"/>
          <w:b w:val="0"/>
          <w:bCs w:val="0"/>
          <w:sz w:val="22"/>
          <w:szCs w:val="22"/>
          <w:lang w:val="de-DE"/>
        </w:rPr>
        <w:t xml:space="preserve">Propper, C, G Stoye and B Zaranko, (2020). </w:t>
      </w:r>
      <w:r w:rsidRPr="008570C4">
        <w:rPr>
          <w:rFonts w:asciiTheme="minorHAnsi" w:hAnsiTheme="minorHAnsi"/>
          <w:b w:val="0"/>
          <w:bCs w:val="0"/>
          <w:sz w:val="22"/>
          <w:szCs w:val="22"/>
        </w:rPr>
        <w:t xml:space="preserve">The wider impacts of the coronavirus pandemic on the NHS, IFS Briefing Note, April. </w:t>
      </w:r>
      <w:hyperlink r:id="rId54" w:history="1">
        <w:r w:rsidR="00273F75" w:rsidRPr="004F572C">
          <w:rPr>
            <w:rStyle w:val="Hyperlink"/>
            <w:rFonts w:asciiTheme="minorHAnsi" w:hAnsiTheme="minorHAnsi"/>
            <w:b w:val="0"/>
            <w:bCs w:val="0"/>
            <w:sz w:val="22"/>
            <w:szCs w:val="22"/>
          </w:rPr>
          <w:t>https://www.ifs.org.uk/publications/14798</w:t>
        </w:r>
      </w:hyperlink>
    </w:p>
    <w:p w14:paraId="51CD92E8" w14:textId="15DBA039" w:rsidR="00273F75" w:rsidRPr="008570C4" w:rsidRDefault="00D51EC8" w:rsidP="00372E47">
      <w:pPr>
        <w:pStyle w:val="Heading1"/>
        <w:rPr>
          <w:rFonts w:asciiTheme="minorHAnsi" w:hAnsiTheme="minorHAnsi"/>
          <w:b w:val="0"/>
          <w:bCs w:val="0"/>
          <w:sz w:val="22"/>
          <w:szCs w:val="22"/>
        </w:rPr>
      </w:pPr>
      <w:r>
        <w:rPr>
          <w:rFonts w:asciiTheme="minorHAnsi" w:hAnsiTheme="minorHAnsi"/>
          <w:b w:val="0"/>
          <w:bCs w:val="0"/>
          <w:sz w:val="22"/>
          <w:szCs w:val="22"/>
        </w:rPr>
        <w:t xml:space="preserve">PAC </w:t>
      </w:r>
      <w:r w:rsidR="00273F75">
        <w:rPr>
          <w:rFonts w:asciiTheme="minorHAnsi" w:hAnsiTheme="minorHAnsi"/>
          <w:b w:val="0"/>
          <w:bCs w:val="0"/>
          <w:sz w:val="22"/>
          <w:szCs w:val="22"/>
        </w:rPr>
        <w:t xml:space="preserve">Public Accounts Committee (2020). </w:t>
      </w:r>
      <w:r>
        <w:rPr>
          <w:rFonts w:asciiTheme="minorHAnsi" w:hAnsiTheme="minorHAnsi"/>
          <w:b w:val="0"/>
          <w:bCs w:val="0"/>
          <w:sz w:val="22"/>
          <w:szCs w:val="22"/>
        </w:rPr>
        <w:t xml:space="preserve">NHS capital expenditure and financial management. Eighth report of session 2019/21. </w:t>
      </w:r>
      <w:r w:rsidRPr="00D51EC8">
        <w:rPr>
          <w:rFonts w:asciiTheme="minorHAnsi" w:hAnsiTheme="minorHAnsi"/>
          <w:b w:val="0"/>
          <w:bCs w:val="0"/>
          <w:sz w:val="22"/>
          <w:szCs w:val="22"/>
        </w:rPr>
        <w:t>https://committees.parliament.uk/publications/1779/documents/17455/default/</w:t>
      </w:r>
    </w:p>
    <w:p w14:paraId="3CDA18DF" w14:textId="376801B0"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de-DE"/>
        </w:rPr>
        <w:t xml:space="preserve">Schreyer, </w:t>
      </w:r>
      <w:r w:rsidR="00273F75" w:rsidRPr="008570C4">
        <w:rPr>
          <w:rFonts w:asciiTheme="minorHAnsi" w:hAnsiTheme="minorHAnsi"/>
          <w:sz w:val="22"/>
          <w:szCs w:val="22"/>
          <w:lang w:val="de-DE"/>
        </w:rPr>
        <w:t>Paul</w:t>
      </w:r>
      <w:r w:rsidR="00273F75">
        <w:rPr>
          <w:rFonts w:asciiTheme="minorHAnsi" w:hAnsiTheme="minorHAnsi"/>
          <w:sz w:val="22"/>
          <w:szCs w:val="22"/>
          <w:lang w:val="de-DE"/>
        </w:rPr>
        <w:t xml:space="preserve">, </w:t>
      </w:r>
      <w:r w:rsidRPr="008570C4">
        <w:rPr>
          <w:rFonts w:asciiTheme="minorHAnsi" w:hAnsiTheme="minorHAnsi"/>
          <w:sz w:val="22"/>
          <w:szCs w:val="22"/>
          <w:lang w:val="de-DE"/>
        </w:rPr>
        <w:t>Matilde Mas</w:t>
      </w:r>
      <w:r w:rsidRPr="008570C4">
        <w:rPr>
          <w:rFonts w:asciiTheme="minorHAnsi" w:hAnsiTheme="minorHAnsi"/>
          <w:sz w:val="22"/>
          <w:szCs w:val="22"/>
        </w:rPr>
        <w:t>. (2018) Measuring Health Services in the National Accounts: An</w:t>
      </w:r>
    </w:p>
    <w:p w14:paraId="15F8F523"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lang w:val="fr-FR"/>
        </w:rPr>
        <w:t>International Perspective</w:t>
      </w:r>
      <w:r w:rsidRPr="008570C4">
        <w:rPr>
          <w:rFonts w:asciiTheme="minorHAnsi" w:hAnsiTheme="minorHAnsi"/>
          <w:sz w:val="22"/>
          <w:szCs w:val="22"/>
        </w:rPr>
        <w:t xml:space="preserve">, in eds </w:t>
      </w:r>
      <w:r w:rsidRPr="008570C4">
        <w:rPr>
          <w:rFonts w:asciiTheme="minorHAnsi" w:hAnsiTheme="minorHAnsi"/>
          <w:sz w:val="22"/>
          <w:szCs w:val="22"/>
          <w:lang w:val="nl-NL"/>
        </w:rPr>
        <w:t>Ana Aizcorbe, Colin Baker, Ernst R. Berndt, and</w:t>
      </w:r>
    </w:p>
    <w:p w14:paraId="0AE0F631" w14:textId="77777777" w:rsidR="00B22741" w:rsidRPr="008570C4" w:rsidRDefault="002E0D06"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David M. Cutler, Measuring and Modeling Health Care Costs, University of Chicago Press for NBER, </w:t>
      </w:r>
      <w:hyperlink r:id="rId55" w:history="1">
        <w:r w:rsidRPr="008570C4">
          <w:rPr>
            <w:rStyle w:val="Hyperlink"/>
            <w:rFonts w:asciiTheme="minorHAnsi" w:hAnsiTheme="minorHAnsi"/>
            <w:sz w:val="22"/>
            <w:szCs w:val="22"/>
          </w:rPr>
          <w:t>http://www.nber.org/chapters/c13116</w:t>
        </w:r>
      </w:hyperlink>
      <w:r w:rsidRPr="008570C4">
        <w:rPr>
          <w:rFonts w:asciiTheme="minorHAnsi" w:hAnsiTheme="minorHAnsi"/>
          <w:sz w:val="22"/>
          <w:szCs w:val="22"/>
        </w:rPr>
        <w:t xml:space="preserve"> </w:t>
      </w:r>
    </w:p>
    <w:p w14:paraId="73516B4C" w14:textId="77777777" w:rsidR="00B22741" w:rsidRPr="008570C4" w:rsidRDefault="00B22741" w:rsidP="00372E47">
      <w:pPr>
        <w:pStyle w:val="Default"/>
        <w:spacing w:before="0"/>
        <w:jc w:val="both"/>
        <w:rPr>
          <w:rFonts w:asciiTheme="minorHAnsi" w:hAnsiTheme="minorHAnsi"/>
          <w:i/>
          <w:iCs/>
          <w:sz w:val="22"/>
          <w:szCs w:val="22"/>
        </w:rPr>
      </w:pPr>
    </w:p>
    <w:p w14:paraId="158E36FA" w14:textId="77777777" w:rsidR="00B22741" w:rsidRPr="008570C4" w:rsidRDefault="002E0D06" w:rsidP="00372E47">
      <w:pPr>
        <w:pStyle w:val="Default"/>
        <w:spacing w:before="0"/>
        <w:rPr>
          <w:rFonts w:asciiTheme="minorHAnsi" w:hAnsiTheme="minorHAnsi"/>
          <w:sz w:val="22"/>
          <w:szCs w:val="22"/>
        </w:rPr>
      </w:pPr>
      <w:r w:rsidRPr="008570C4">
        <w:rPr>
          <w:rFonts w:asciiTheme="minorHAnsi" w:hAnsiTheme="minorHAnsi"/>
          <w:sz w:val="22"/>
          <w:szCs w:val="22"/>
          <w:lang w:val="de-DE"/>
        </w:rPr>
        <w:t>Erin Shigekawa, Margaret Fix, Garen Corbett, Dylan H. Roby, and Janet Coffman</w:t>
      </w:r>
      <w:r w:rsidRPr="008570C4">
        <w:rPr>
          <w:rFonts w:asciiTheme="minorHAnsi" w:hAnsiTheme="minorHAnsi"/>
          <w:sz w:val="22"/>
          <w:szCs w:val="22"/>
        </w:rPr>
        <w:t xml:space="preserve"> (2018). </w:t>
      </w:r>
      <w:hyperlink r:id="rId56" w:history="1">
        <w:r w:rsidRPr="008570C4">
          <w:rPr>
            <w:rFonts w:asciiTheme="minorHAnsi" w:hAnsiTheme="minorHAnsi"/>
            <w:sz w:val="22"/>
            <w:szCs w:val="22"/>
          </w:rPr>
          <w:t xml:space="preserve">The Current State </w:t>
        </w:r>
        <w:proofErr w:type="gramStart"/>
        <w:r w:rsidRPr="008570C4">
          <w:rPr>
            <w:rFonts w:asciiTheme="minorHAnsi" w:hAnsiTheme="minorHAnsi"/>
            <w:sz w:val="22"/>
            <w:szCs w:val="22"/>
          </w:rPr>
          <w:t>Of</w:t>
        </w:r>
        <w:proofErr w:type="gramEnd"/>
        <w:r w:rsidRPr="008570C4">
          <w:rPr>
            <w:rFonts w:asciiTheme="minorHAnsi" w:hAnsiTheme="minorHAnsi"/>
            <w:sz w:val="22"/>
            <w:szCs w:val="22"/>
          </w:rPr>
          <w:t xml:space="preserve"> Telehealth Evidence: A Rapid Review</w:t>
        </w:r>
      </w:hyperlink>
      <w:r w:rsidRPr="008570C4">
        <w:rPr>
          <w:rFonts w:asciiTheme="minorHAnsi" w:hAnsiTheme="minorHAnsi"/>
          <w:sz w:val="22"/>
          <w:szCs w:val="22"/>
        </w:rPr>
        <w:t xml:space="preserve"> Health Affairs 2018 37:12, 1975-1982 </w:t>
      </w:r>
    </w:p>
    <w:p w14:paraId="0BDFCBBF" w14:textId="77777777" w:rsidR="00B22741" w:rsidRPr="008570C4" w:rsidRDefault="00B22741" w:rsidP="00372E47">
      <w:pPr>
        <w:pStyle w:val="Default"/>
        <w:spacing w:before="0"/>
        <w:jc w:val="both"/>
        <w:rPr>
          <w:rFonts w:asciiTheme="minorHAnsi" w:hAnsiTheme="minorHAnsi"/>
          <w:i/>
          <w:iCs/>
          <w:sz w:val="22"/>
          <w:szCs w:val="22"/>
        </w:rPr>
      </w:pPr>
    </w:p>
    <w:p w14:paraId="732717CD" w14:textId="114A2450" w:rsidR="00F85C0E" w:rsidRPr="008570C4" w:rsidRDefault="00F85C0E" w:rsidP="00372E47">
      <w:pPr>
        <w:pStyle w:val="Default"/>
        <w:spacing w:before="0"/>
        <w:jc w:val="both"/>
        <w:rPr>
          <w:rFonts w:asciiTheme="minorHAnsi" w:hAnsiTheme="minorHAnsi"/>
          <w:sz w:val="22"/>
          <w:szCs w:val="22"/>
        </w:rPr>
      </w:pPr>
      <w:r w:rsidRPr="008570C4">
        <w:rPr>
          <w:rFonts w:asciiTheme="minorHAnsi" w:hAnsiTheme="minorHAnsi"/>
          <w:sz w:val="22"/>
          <w:szCs w:val="22"/>
        </w:rPr>
        <w:t xml:space="preserve">Shembavnekar, N., 2020. “Going into </w:t>
      </w:r>
      <w:r w:rsidR="003B3C10">
        <w:rPr>
          <w:rFonts w:asciiTheme="minorHAnsi" w:hAnsiTheme="minorHAnsi"/>
          <w:sz w:val="22"/>
          <w:szCs w:val="22"/>
        </w:rPr>
        <w:t>Covid19</w:t>
      </w:r>
      <w:r w:rsidRPr="008570C4">
        <w:rPr>
          <w:rFonts w:asciiTheme="minorHAnsi" w:hAnsiTheme="minorHAnsi"/>
          <w:sz w:val="22"/>
          <w:szCs w:val="22"/>
        </w:rPr>
        <w:t xml:space="preserve">, the health and social care workforce faced concerning shortages.” </w:t>
      </w:r>
      <w:r w:rsidRPr="008570C4">
        <w:rPr>
          <w:rFonts w:asciiTheme="minorHAnsi" w:hAnsiTheme="minorHAnsi"/>
          <w:i/>
          <w:iCs/>
          <w:sz w:val="22"/>
          <w:szCs w:val="22"/>
        </w:rPr>
        <w:t>The Health Foundation</w:t>
      </w:r>
      <w:r w:rsidRPr="008570C4">
        <w:rPr>
          <w:rFonts w:asciiTheme="minorHAnsi" w:hAnsiTheme="minorHAnsi"/>
          <w:sz w:val="22"/>
          <w:szCs w:val="22"/>
        </w:rPr>
        <w:t xml:space="preserve">. 20 May. </w:t>
      </w:r>
      <w:hyperlink r:id="rId57" w:history="1">
        <w:r w:rsidRPr="008570C4">
          <w:rPr>
            <w:rStyle w:val="Hyperlink"/>
            <w:rFonts w:asciiTheme="minorHAnsi" w:hAnsiTheme="minorHAnsi"/>
            <w:sz w:val="22"/>
            <w:szCs w:val="22"/>
          </w:rPr>
          <w:t>https://www.health.org.uk/news-and-comment/charts-and-infographics/going-into-covid-19-the-health-and-social-care-workforce-faced-concerning-shortages</w:t>
        </w:r>
      </w:hyperlink>
      <w:r w:rsidRPr="008570C4">
        <w:rPr>
          <w:rFonts w:asciiTheme="minorHAnsi" w:hAnsiTheme="minorHAnsi"/>
          <w:sz w:val="22"/>
          <w:szCs w:val="22"/>
        </w:rPr>
        <w:t xml:space="preserve"> </w:t>
      </w:r>
    </w:p>
    <w:p w14:paraId="65C2887E" w14:textId="77777777" w:rsidR="00F85C0E" w:rsidRPr="008570C4" w:rsidRDefault="00F85C0E" w:rsidP="00372E47">
      <w:pPr>
        <w:pStyle w:val="Default"/>
        <w:spacing w:before="0"/>
        <w:jc w:val="both"/>
        <w:rPr>
          <w:rFonts w:asciiTheme="minorHAnsi" w:hAnsiTheme="minorHAnsi"/>
          <w:sz w:val="22"/>
          <w:szCs w:val="22"/>
        </w:rPr>
      </w:pPr>
    </w:p>
    <w:p w14:paraId="23981756" w14:textId="286A018C" w:rsidR="00B22741" w:rsidRDefault="002E0D06" w:rsidP="00372E47">
      <w:pPr>
        <w:pStyle w:val="Default"/>
        <w:spacing w:before="0"/>
        <w:jc w:val="both"/>
        <w:rPr>
          <w:rStyle w:val="None"/>
          <w:rFonts w:asciiTheme="minorHAnsi" w:hAnsiTheme="minorHAnsi"/>
          <w:sz w:val="22"/>
          <w:szCs w:val="22"/>
        </w:rPr>
      </w:pPr>
      <w:r w:rsidRPr="008570C4">
        <w:rPr>
          <w:rStyle w:val="None"/>
          <w:rFonts w:asciiTheme="minorHAnsi" w:hAnsiTheme="minorHAnsi"/>
          <w:sz w:val="22"/>
          <w:szCs w:val="22"/>
        </w:rPr>
        <w:t>Sidhu M, Pollard J, Sussex J</w:t>
      </w:r>
      <w:r w:rsidRPr="008570C4">
        <w:rPr>
          <w:rFonts w:asciiTheme="minorHAnsi" w:hAnsiTheme="minorHAnsi"/>
          <w:i/>
          <w:iCs/>
          <w:sz w:val="22"/>
          <w:szCs w:val="22"/>
        </w:rPr>
        <w:t>.</w:t>
      </w:r>
      <w:r w:rsidRPr="008570C4">
        <w:rPr>
          <w:rStyle w:val="None"/>
          <w:rFonts w:asciiTheme="minorHAnsi" w:hAnsiTheme="minorHAnsi"/>
          <w:sz w:val="22"/>
          <w:szCs w:val="22"/>
        </w:rPr>
        <w:t xml:space="preserve"> (2020) </w:t>
      </w:r>
      <w:r w:rsidRPr="008570C4">
        <w:rPr>
          <w:rFonts w:asciiTheme="minorHAnsi" w:hAnsiTheme="minorHAnsi"/>
          <w:i/>
          <w:iCs/>
          <w:sz w:val="22"/>
          <w:szCs w:val="22"/>
        </w:rPr>
        <w:t xml:space="preserve">Vertical integration of GP practices with acute hospitals in England and Wales: rapid evaluation. </w:t>
      </w:r>
      <w:r w:rsidRPr="008570C4">
        <w:rPr>
          <w:rStyle w:val="None"/>
          <w:rFonts w:asciiTheme="minorHAnsi" w:hAnsiTheme="minorHAnsi"/>
          <w:sz w:val="22"/>
          <w:szCs w:val="22"/>
        </w:rPr>
        <w:t xml:space="preserve">Southampton: NIHR Health Services and Delivery Research Topic Report; 2020. DOI: https://doi.org/10.3310/hsdr-tr-131295 </w:t>
      </w:r>
    </w:p>
    <w:p w14:paraId="05CA287C" w14:textId="377FE19B" w:rsidR="00372E47" w:rsidRDefault="00372E47" w:rsidP="00372E47">
      <w:pPr>
        <w:pStyle w:val="Default"/>
        <w:spacing w:before="0"/>
        <w:jc w:val="both"/>
        <w:rPr>
          <w:rStyle w:val="None"/>
          <w:rFonts w:asciiTheme="minorHAnsi" w:hAnsiTheme="minorHAnsi"/>
          <w:sz w:val="22"/>
          <w:szCs w:val="22"/>
        </w:rPr>
      </w:pPr>
    </w:p>
    <w:p w14:paraId="059C1D91" w14:textId="789EBF2B" w:rsidR="008570C4" w:rsidRPr="008570C4" w:rsidRDefault="008570C4" w:rsidP="00372E47">
      <w:pPr>
        <w:pStyle w:val="Default"/>
        <w:spacing w:before="0"/>
        <w:jc w:val="both"/>
        <w:rPr>
          <w:rStyle w:val="None"/>
          <w:rFonts w:asciiTheme="minorHAnsi" w:hAnsiTheme="minorHAnsi"/>
          <w:sz w:val="22"/>
          <w:szCs w:val="22"/>
        </w:rPr>
      </w:pPr>
      <w:r w:rsidRPr="008570C4">
        <w:rPr>
          <w:rStyle w:val="None"/>
          <w:rFonts w:asciiTheme="minorHAnsi" w:hAnsiTheme="minorHAnsi"/>
          <w:sz w:val="22"/>
          <w:szCs w:val="22"/>
        </w:rPr>
        <w:t>Stoy</w:t>
      </w:r>
      <w:r w:rsidR="00372E47">
        <w:rPr>
          <w:rStyle w:val="None"/>
          <w:rFonts w:asciiTheme="minorHAnsi" w:hAnsiTheme="minorHAnsi"/>
          <w:sz w:val="22"/>
          <w:szCs w:val="22"/>
        </w:rPr>
        <w:t>e</w:t>
      </w:r>
      <w:r w:rsidRPr="008570C4">
        <w:rPr>
          <w:rStyle w:val="None"/>
          <w:rFonts w:asciiTheme="minorHAnsi" w:hAnsiTheme="minorHAnsi"/>
          <w:sz w:val="22"/>
          <w:szCs w:val="22"/>
        </w:rPr>
        <w:t xml:space="preserve">, G &amp; B Zaranko, </w:t>
      </w:r>
      <w:r w:rsidRPr="003B3C10">
        <w:rPr>
          <w:rStyle w:val="None"/>
          <w:rFonts w:asciiTheme="minorHAnsi" w:hAnsiTheme="minorHAnsi"/>
          <w:sz w:val="22"/>
          <w:szCs w:val="22"/>
        </w:rPr>
        <w:t>(2019),</w:t>
      </w:r>
      <w:r w:rsidRPr="008570C4">
        <w:rPr>
          <w:rStyle w:val="None"/>
          <w:rFonts w:asciiTheme="minorHAnsi" w:hAnsiTheme="minorHAnsi"/>
          <w:sz w:val="22"/>
          <w:szCs w:val="22"/>
        </w:rPr>
        <w:t xml:space="preserve"> UK Health Spending, IFS.</w:t>
      </w:r>
    </w:p>
    <w:p w14:paraId="5EB666E8" w14:textId="77777777" w:rsidR="008570C4" w:rsidRPr="008570C4" w:rsidRDefault="008570C4" w:rsidP="00372E47">
      <w:pPr>
        <w:pStyle w:val="Default"/>
        <w:spacing w:before="0"/>
        <w:jc w:val="both"/>
        <w:rPr>
          <w:rStyle w:val="None"/>
          <w:rFonts w:asciiTheme="minorHAnsi" w:hAnsiTheme="minorHAnsi"/>
          <w:sz w:val="22"/>
          <w:szCs w:val="22"/>
        </w:rPr>
      </w:pPr>
    </w:p>
    <w:p w14:paraId="02CEF332" w14:textId="4B7C175A" w:rsidR="00ED0444" w:rsidRPr="008570C4" w:rsidRDefault="002E0D06" w:rsidP="00372E47">
      <w:pPr>
        <w:pStyle w:val="Default"/>
        <w:spacing w:before="0"/>
        <w:jc w:val="both"/>
        <w:rPr>
          <w:rStyle w:val="None"/>
          <w:rFonts w:asciiTheme="minorHAnsi" w:hAnsiTheme="minorHAnsi"/>
          <w:sz w:val="22"/>
          <w:szCs w:val="22"/>
        </w:rPr>
      </w:pPr>
      <w:r w:rsidRPr="008570C4">
        <w:rPr>
          <w:rStyle w:val="None"/>
          <w:rFonts w:asciiTheme="minorHAnsi" w:hAnsiTheme="minorHAnsi"/>
          <w:sz w:val="22"/>
          <w:szCs w:val="22"/>
        </w:rPr>
        <w:t xml:space="preserve">Thorlby R, A Tinson, J Craindler, </w:t>
      </w:r>
      <w:r w:rsidR="003B3C10">
        <w:rPr>
          <w:rStyle w:val="None"/>
          <w:rFonts w:asciiTheme="minorHAnsi" w:hAnsiTheme="minorHAnsi"/>
          <w:sz w:val="22"/>
          <w:szCs w:val="22"/>
        </w:rPr>
        <w:t>Covid19</w:t>
      </w:r>
      <w:r w:rsidRPr="008570C4">
        <w:rPr>
          <w:rStyle w:val="None"/>
          <w:rFonts w:asciiTheme="minorHAnsi" w:hAnsiTheme="minorHAnsi"/>
          <w:sz w:val="22"/>
          <w:szCs w:val="22"/>
        </w:rPr>
        <w:t xml:space="preserve">: Five dimensions of impact, Health Foundation, </w:t>
      </w:r>
    </w:p>
    <w:p w14:paraId="76658619" w14:textId="27DE2C91" w:rsidR="008570C4" w:rsidRPr="008570C4" w:rsidRDefault="00CC0112" w:rsidP="00372E47">
      <w:pPr>
        <w:pStyle w:val="Default"/>
        <w:spacing w:before="0"/>
        <w:jc w:val="both"/>
        <w:rPr>
          <w:rStyle w:val="None"/>
          <w:rFonts w:asciiTheme="minorHAnsi" w:hAnsiTheme="minorHAnsi"/>
          <w:i/>
          <w:iCs/>
          <w:sz w:val="22"/>
          <w:szCs w:val="22"/>
          <w:u w:val="single"/>
        </w:rPr>
      </w:pPr>
      <w:hyperlink r:id="rId58" w:history="1">
        <w:r w:rsidR="00ED0444" w:rsidRPr="008570C4">
          <w:rPr>
            <w:rStyle w:val="Hyperlink"/>
            <w:rFonts w:asciiTheme="minorHAnsi" w:hAnsiTheme="minorHAnsi"/>
            <w:i/>
            <w:iCs/>
            <w:sz w:val="22"/>
            <w:szCs w:val="22"/>
          </w:rPr>
          <w:t>https://www.health.org.uk/news-and-comment/blogs/covid-19-five-dimensions-of-impact</w:t>
        </w:r>
        <w:r w:rsidR="00ED0444" w:rsidRPr="008570C4">
          <w:rPr>
            <w:rStyle w:val="Hyperlink"/>
            <w:rFonts w:asciiTheme="minorHAnsi" w:hAnsiTheme="minorHAnsi"/>
            <w:sz w:val="22"/>
            <w:szCs w:val="22"/>
          </w:rPr>
          <w:t xml:space="preserve"> accessed 30/12/20</w:t>
        </w:r>
      </w:hyperlink>
    </w:p>
    <w:p w14:paraId="4CBD5795" w14:textId="77777777" w:rsidR="00ED0444" w:rsidRPr="008570C4" w:rsidRDefault="00ED0444" w:rsidP="00372E47">
      <w:pPr>
        <w:pStyle w:val="Default"/>
        <w:spacing w:before="0"/>
        <w:jc w:val="both"/>
        <w:rPr>
          <w:rStyle w:val="None"/>
          <w:rFonts w:asciiTheme="minorHAnsi" w:hAnsiTheme="minorHAnsi"/>
          <w:sz w:val="22"/>
          <w:szCs w:val="22"/>
        </w:rPr>
      </w:pPr>
    </w:p>
    <w:p w14:paraId="7D4B9B25" w14:textId="376254DB" w:rsidR="008570C4" w:rsidRPr="008570C4" w:rsidRDefault="008570C4" w:rsidP="00372E47">
      <w:pPr>
        <w:rPr>
          <w:rFonts w:asciiTheme="minorHAnsi" w:hAnsiTheme="minorHAnsi"/>
          <w:sz w:val="22"/>
          <w:szCs w:val="22"/>
          <w:lang w:val="en-GB" w:eastAsia="en-GB"/>
        </w:rPr>
      </w:pPr>
      <w:r w:rsidRPr="008570C4">
        <w:rPr>
          <w:rFonts w:asciiTheme="minorHAnsi" w:hAnsiTheme="minorHAnsi" w:cs="Arial"/>
          <w:color w:val="222222"/>
          <w:sz w:val="22"/>
          <w:szCs w:val="22"/>
          <w:shd w:val="clear" w:color="auto" w:fill="FFFFFF"/>
        </w:rPr>
        <w:t xml:space="preserve">Turner, C (2020). </w:t>
      </w:r>
      <w:r w:rsidRPr="008570C4">
        <w:rPr>
          <w:rFonts w:asciiTheme="minorHAnsi" w:hAnsiTheme="minorHAnsi"/>
          <w:sz w:val="22"/>
          <w:szCs w:val="22"/>
        </w:rPr>
        <w:t xml:space="preserve">Social Infrastructure, </w:t>
      </w:r>
      <w:r w:rsidRPr="008570C4">
        <w:rPr>
          <w:rFonts w:asciiTheme="minorHAnsi" w:hAnsiTheme="minorHAnsi"/>
          <w:color w:val="000000" w:themeColor="text1"/>
          <w:sz w:val="22"/>
          <w:szCs w:val="22"/>
        </w:rPr>
        <w:t xml:space="preserve">chapter </w:t>
      </w:r>
      <w:r w:rsidRPr="008570C4">
        <w:rPr>
          <w:rFonts w:asciiTheme="minorHAnsi" w:hAnsiTheme="minorHAnsi"/>
          <w:sz w:val="22"/>
          <w:szCs w:val="22"/>
        </w:rPr>
        <w:t xml:space="preserve">7, pages 152-171, </w:t>
      </w:r>
      <w:r>
        <w:rPr>
          <w:rFonts w:asciiTheme="minorHAnsi" w:hAnsiTheme="minorHAnsi"/>
          <w:i/>
          <w:iCs/>
          <w:sz w:val="22"/>
          <w:szCs w:val="22"/>
        </w:rPr>
        <w:t xml:space="preserve">The Infrastructured State. </w:t>
      </w:r>
      <w:r w:rsidRPr="008570C4">
        <w:rPr>
          <w:rFonts w:asciiTheme="minorHAnsi" w:hAnsiTheme="minorHAnsi"/>
          <w:sz w:val="22"/>
          <w:szCs w:val="22"/>
        </w:rPr>
        <w:t xml:space="preserve">Edward Elgar Publishing. </w:t>
      </w:r>
    </w:p>
    <w:p w14:paraId="5ECB302E" w14:textId="77777777" w:rsidR="008570C4" w:rsidRPr="008570C4" w:rsidRDefault="008570C4" w:rsidP="00372E47">
      <w:pPr>
        <w:pStyle w:val="FootnoteText"/>
        <w:rPr>
          <w:rFonts w:asciiTheme="minorHAnsi" w:hAnsiTheme="minorHAnsi" w:cs="Arial"/>
          <w:color w:val="222222"/>
          <w:sz w:val="22"/>
          <w:szCs w:val="22"/>
          <w:shd w:val="clear" w:color="auto" w:fill="FFFFFF"/>
        </w:rPr>
      </w:pPr>
    </w:p>
    <w:p w14:paraId="64426688" w14:textId="66D39A16" w:rsidR="00ED0444" w:rsidRPr="008570C4" w:rsidRDefault="00ED0444" w:rsidP="00372E47">
      <w:pPr>
        <w:pStyle w:val="FootnoteText"/>
        <w:rPr>
          <w:rFonts w:asciiTheme="minorHAnsi" w:hAnsiTheme="minorHAnsi"/>
          <w:sz w:val="22"/>
          <w:szCs w:val="22"/>
        </w:rPr>
      </w:pPr>
      <w:r w:rsidRPr="008570C4">
        <w:rPr>
          <w:rFonts w:asciiTheme="minorHAnsi" w:hAnsiTheme="minorHAnsi" w:cs="Arial"/>
          <w:color w:val="222222"/>
          <w:sz w:val="22"/>
          <w:szCs w:val="22"/>
          <w:shd w:val="clear" w:color="auto" w:fill="FFFFFF"/>
        </w:rPr>
        <w:lastRenderedPageBreak/>
        <w:t>Walshe, K., Lorne, C., McDonald, R., Coleman, A. and Turner, A., 2018. Devolving health and social care: learning from Greater Manchester. </w:t>
      </w:r>
      <w:r w:rsidRPr="008570C4">
        <w:rPr>
          <w:rFonts w:asciiTheme="minorHAnsi" w:hAnsiTheme="minorHAnsi" w:cs="Arial"/>
          <w:i/>
          <w:iCs/>
          <w:color w:val="222222"/>
          <w:sz w:val="22"/>
          <w:szCs w:val="22"/>
          <w:shd w:val="clear" w:color="auto" w:fill="FFFFFF"/>
        </w:rPr>
        <w:t>Devolving Health and Social Care: Learning from Greater Manchester</w:t>
      </w:r>
      <w:r w:rsidRPr="008570C4">
        <w:rPr>
          <w:rFonts w:asciiTheme="minorHAnsi" w:hAnsiTheme="minorHAnsi" w:cs="Arial"/>
          <w:color w:val="222222"/>
          <w:sz w:val="22"/>
          <w:szCs w:val="22"/>
          <w:shd w:val="clear" w:color="auto" w:fill="FFFFFF"/>
        </w:rPr>
        <w:t>.</w:t>
      </w:r>
      <w:r w:rsidRPr="008570C4">
        <w:rPr>
          <w:rFonts w:asciiTheme="minorHAnsi" w:hAnsiTheme="minorHAnsi"/>
          <w:sz w:val="22"/>
          <w:szCs w:val="22"/>
        </w:rPr>
        <w:t xml:space="preserve">  </w:t>
      </w:r>
      <w:hyperlink r:id="rId59" w:history="1">
        <w:r w:rsidRPr="008570C4">
          <w:rPr>
            <w:rStyle w:val="Hyperlink"/>
            <w:rFonts w:asciiTheme="minorHAnsi" w:hAnsiTheme="minorHAnsi" w:cs="Arial"/>
            <w:sz w:val="22"/>
            <w:szCs w:val="22"/>
            <w:shd w:val="clear" w:color="auto" w:fill="FFFFFF"/>
          </w:rPr>
          <w:t>https://www.alliancembs.manchester.ac.uk/media/ambs/content-assets/documents/news/devolving-health-and-social-care-learning-from-greater-manchester.pdf</w:t>
        </w:r>
      </w:hyperlink>
      <w:r w:rsidRPr="008570C4">
        <w:rPr>
          <w:rFonts w:asciiTheme="minorHAnsi" w:hAnsiTheme="minorHAnsi" w:cs="Arial"/>
          <w:color w:val="222222"/>
          <w:sz w:val="22"/>
          <w:szCs w:val="22"/>
          <w:shd w:val="clear" w:color="auto" w:fill="FFFFFF"/>
        </w:rPr>
        <w:t xml:space="preserve"> </w:t>
      </w:r>
    </w:p>
    <w:p w14:paraId="5C041BB8" w14:textId="7981E5B8" w:rsidR="00B22741" w:rsidRPr="008570C4" w:rsidRDefault="00B22741" w:rsidP="00372E47">
      <w:pPr>
        <w:pStyle w:val="Default"/>
        <w:spacing w:before="0"/>
        <w:jc w:val="both"/>
        <w:rPr>
          <w:rStyle w:val="None"/>
          <w:rFonts w:asciiTheme="minorHAnsi" w:hAnsiTheme="minorHAnsi"/>
          <w:sz w:val="22"/>
          <w:szCs w:val="22"/>
        </w:rPr>
      </w:pPr>
    </w:p>
    <w:p w14:paraId="0756B477" w14:textId="5FB87C0B" w:rsidR="00ED0444" w:rsidRPr="008570C4" w:rsidRDefault="00ED0444" w:rsidP="00372E47">
      <w:pPr>
        <w:pStyle w:val="Default"/>
        <w:spacing w:before="0"/>
        <w:jc w:val="both"/>
        <w:rPr>
          <w:rStyle w:val="None"/>
          <w:rFonts w:asciiTheme="minorHAnsi" w:hAnsiTheme="minorHAnsi"/>
          <w:sz w:val="22"/>
          <w:szCs w:val="22"/>
        </w:rPr>
      </w:pPr>
      <w:r w:rsidRPr="008570C4">
        <w:rPr>
          <w:rFonts w:asciiTheme="minorHAnsi" w:hAnsiTheme="minorHAnsi"/>
          <w:sz w:val="22"/>
          <w:szCs w:val="22"/>
        </w:rPr>
        <w:t xml:space="preserve">Watson, K., and Komashie, M., 2020. </w:t>
      </w:r>
      <w:r w:rsidRPr="008570C4">
        <w:rPr>
          <w:rFonts w:asciiTheme="minorHAnsi" w:hAnsiTheme="minorHAnsi"/>
          <w:i/>
          <w:iCs/>
          <w:sz w:val="22"/>
          <w:szCs w:val="22"/>
        </w:rPr>
        <w:t>Improving Health Systems IHS1 Organisation of Health Systems.</w:t>
      </w:r>
      <w:r w:rsidRPr="008570C4">
        <w:rPr>
          <w:rFonts w:asciiTheme="minorHAnsi" w:hAnsiTheme="minorHAnsi"/>
          <w:sz w:val="22"/>
          <w:szCs w:val="22"/>
        </w:rPr>
        <w:t xml:space="preserve"> Lecture. University of Cambridge. 21</w:t>
      </w:r>
      <w:r w:rsidRPr="008570C4">
        <w:rPr>
          <w:rFonts w:asciiTheme="minorHAnsi" w:hAnsiTheme="minorHAnsi"/>
          <w:sz w:val="22"/>
          <w:szCs w:val="22"/>
          <w:vertAlign w:val="superscript"/>
        </w:rPr>
        <w:t xml:space="preserve"> </w:t>
      </w:r>
      <w:r w:rsidRPr="008570C4">
        <w:rPr>
          <w:rFonts w:asciiTheme="minorHAnsi" w:hAnsiTheme="minorHAnsi"/>
          <w:sz w:val="22"/>
          <w:szCs w:val="22"/>
        </w:rPr>
        <w:t>October.</w:t>
      </w:r>
    </w:p>
    <w:p w14:paraId="286A2148" w14:textId="77777777" w:rsidR="00ED0444" w:rsidRPr="008570C4" w:rsidRDefault="00ED0444" w:rsidP="00372E47">
      <w:pPr>
        <w:pStyle w:val="Default"/>
        <w:spacing w:before="0"/>
        <w:jc w:val="both"/>
        <w:rPr>
          <w:rStyle w:val="None"/>
          <w:rFonts w:asciiTheme="minorHAnsi" w:hAnsiTheme="minorHAnsi"/>
          <w:sz w:val="22"/>
          <w:szCs w:val="22"/>
        </w:rPr>
      </w:pPr>
    </w:p>
    <w:p w14:paraId="6F2F13F3" w14:textId="637773B4" w:rsidR="008570C4" w:rsidRDefault="002E0D06" w:rsidP="003B3C10">
      <w:pPr>
        <w:pStyle w:val="Default"/>
        <w:spacing w:before="0"/>
        <w:rPr>
          <w:rFonts w:asciiTheme="minorHAnsi" w:hAnsiTheme="minorHAnsi"/>
          <w:sz w:val="22"/>
          <w:szCs w:val="22"/>
        </w:rPr>
      </w:pPr>
      <w:r w:rsidRPr="008570C4">
        <w:rPr>
          <w:rFonts w:asciiTheme="minorHAnsi" w:hAnsiTheme="minorHAnsi"/>
          <w:sz w:val="22"/>
          <w:szCs w:val="22"/>
        </w:rPr>
        <w:t xml:space="preserve">Williamson, O. (1966). Peak-Load Pricing and Optimal Capacity under Indivisibility Constraints. </w:t>
      </w:r>
      <w:r w:rsidRPr="008570C4">
        <w:rPr>
          <w:rStyle w:val="None"/>
          <w:rFonts w:asciiTheme="minorHAnsi" w:hAnsiTheme="minorHAnsi"/>
          <w:i/>
          <w:iCs/>
          <w:sz w:val="22"/>
          <w:szCs w:val="22"/>
        </w:rPr>
        <w:t>The American Economic Review,</w:t>
      </w:r>
      <w:r w:rsidRPr="008570C4">
        <w:rPr>
          <w:rFonts w:asciiTheme="minorHAnsi" w:hAnsiTheme="minorHAnsi"/>
          <w:sz w:val="22"/>
          <w:szCs w:val="22"/>
        </w:rPr>
        <w:t xml:space="preserve"> </w:t>
      </w:r>
      <w:r w:rsidRPr="008570C4">
        <w:rPr>
          <w:rStyle w:val="None"/>
          <w:rFonts w:asciiTheme="minorHAnsi" w:hAnsiTheme="minorHAnsi"/>
          <w:i/>
          <w:iCs/>
          <w:sz w:val="22"/>
          <w:szCs w:val="22"/>
        </w:rPr>
        <w:t>56</w:t>
      </w:r>
      <w:r w:rsidRPr="008570C4">
        <w:rPr>
          <w:rFonts w:asciiTheme="minorHAnsi" w:hAnsiTheme="minorHAnsi"/>
          <w:sz w:val="22"/>
          <w:szCs w:val="22"/>
        </w:rPr>
        <w:t>(4), 810-827. Retrieved December 31, 2020.</w:t>
      </w:r>
      <w:r w:rsidR="008570C4">
        <w:rPr>
          <w:rFonts w:asciiTheme="minorHAnsi" w:hAnsiTheme="minorHAnsi"/>
          <w:sz w:val="22"/>
          <w:szCs w:val="22"/>
        </w:rPr>
        <w:br w:type="page"/>
      </w:r>
    </w:p>
    <w:p w14:paraId="59D03C34" w14:textId="0D842251" w:rsidR="00921810" w:rsidRDefault="00921810" w:rsidP="00921810">
      <w:pPr>
        <w:spacing w:line="288" w:lineRule="auto"/>
        <w:jc w:val="both"/>
        <w:rPr>
          <w:rFonts w:ascii="Helvetica" w:hAnsi="Helvetica"/>
          <w:b/>
          <w:bCs/>
          <w:sz w:val="22"/>
          <w:szCs w:val="22"/>
          <w:lang w:val="en-GB"/>
        </w:rPr>
      </w:pPr>
      <w:r>
        <w:rPr>
          <w:rFonts w:ascii="Helvetica" w:hAnsi="Helvetica"/>
          <w:b/>
          <w:bCs/>
          <w:sz w:val="22"/>
          <w:szCs w:val="22"/>
          <w:lang w:val="en-GB"/>
        </w:rPr>
        <w:lastRenderedPageBreak/>
        <w:t xml:space="preserve">Appendix: </w:t>
      </w:r>
      <w:r w:rsidR="003D1EB8">
        <w:rPr>
          <w:rFonts w:ascii="Helvetica" w:hAnsi="Helvetica"/>
          <w:b/>
          <w:bCs/>
          <w:sz w:val="22"/>
          <w:szCs w:val="22"/>
          <w:lang w:val="en-GB"/>
        </w:rPr>
        <w:t xml:space="preserve">Interview </w:t>
      </w:r>
      <w:r w:rsidRPr="00BA72E2">
        <w:rPr>
          <w:rFonts w:ascii="Helvetica" w:hAnsi="Helvetica"/>
          <w:b/>
          <w:bCs/>
          <w:sz w:val="22"/>
          <w:szCs w:val="22"/>
          <w:lang w:val="en-GB"/>
        </w:rPr>
        <w:t>Methodology</w:t>
      </w:r>
    </w:p>
    <w:p w14:paraId="24A28AA8" w14:textId="77777777" w:rsidR="00921810" w:rsidRDefault="00921810" w:rsidP="00921810">
      <w:pPr>
        <w:spacing w:line="288" w:lineRule="auto"/>
        <w:jc w:val="both"/>
        <w:rPr>
          <w:rFonts w:ascii="Helvetica" w:hAnsi="Helvetica"/>
          <w:sz w:val="22"/>
          <w:szCs w:val="22"/>
          <w:lang w:val="en-GB"/>
        </w:rPr>
      </w:pPr>
    </w:p>
    <w:p w14:paraId="0AAE1ADD" w14:textId="5F4CD0E6" w:rsidR="00921810" w:rsidRDefault="00921810" w:rsidP="00921810">
      <w:pPr>
        <w:spacing w:line="288" w:lineRule="auto"/>
        <w:jc w:val="both"/>
        <w:rPr>
          <w:rFonts w:ascii="Helvetica" w:hAnsi="Helvetica"/>
          <w:sz w:val="22"/>
          <w:szCs w:val="22"/>
          <w:lang w:val="en-GB"/>
        </w:rPr>
      </w:pPr>
      <w:r>
        <w:rPr>
          <w:rFonts w:ascii="Helvetica" w:hAnsi="Helvetica"/>
          <w:sz w:val="22"/>
          <w:szCs w:val="22"/>
          <w:lang w:val="en-GB"/>
        </w:rPr>
        <w:t xml:space="preserve">Qualitative interviews with </w:t>
      </w:r>
      <w:r w:rsidR="00FD35CD">
        <w:rPr>
          <w:rFonts w:ascii="Helvetica" w:hAnsi="Helvetica"/>
          <w:sz w:val="22"/>
          <w:szCs w:val="22"/>
          <w:lang w:val="en-GB"/>
        </w:rPr>
        <w:t xml:space="preserve">senior clinical </w:t>
      </w:r>
      <w:r>
        <w:rPr>
          <w:rFonts w:ascii="Helvetica" w:hAnsi="Helvetica"/>
          <w:sz w:val="22"/>
          <w:szCs w:val="22"/>
          <w:lang w:val="en-GB"/>
        </w:rPr>
        <w:t xml:space="preserve">employees of NHS trusts Addenbrooke’s hospital in Cambridge and Manchester </w:t>
      </w:r>
      <w:r w:rsidR="00FD35CD">
        <w:rPr>
          <w:rFonts w:ascii="Helvetica" w:hAnsi="Helvetica"/>
          <w:sz w:val="22"/>
          <w:szCs w:val="22"/>
          <w:lang w:val="en-GB"/>
        </w:rPr>
        <w:t>Foundation Trust</w:t>
      </w:r>
      <w:r>
        <w:rPr>
          <w:rFonts w:ascii="Helvetica" w:hAnsi="Helvetica"/>
          <w:sz w:val="22"/>
          <w:szCs w:val="22"/>
          <w:lang w:val="en-GB"/>
        </w:rPr>
        <w:t xml:space="preserve"> were designed in a semi-structured format. </w:t>
      </w:r>
      <w:r w:rsidR="00361CDF">
        <w:rPr>
          <w:rFonts w:ascii="Helvetica" w:hAnsi="Helvetica"/>
          <w:sz w:val="22"/>
          <w:szCs w:val="22"/>
          <w:lang w:val="en-GB"/>
        </w:rPr>
        <w:t xml:space="preserve">Eight interviewees were all senior clinical staff involved in the reorganisation and provision of services during the pandemic, in areas such as critical care, cancer care, emergency care and nursing; four were managers. </w:t>
      </w:r>
      <w:r>
        <w:rPr>
          <w:rFonts w:ascii="Helvetica" w:hAnsi="Helvetica"/>
          <w:sz w:val="22"/>
          <w:szCs w:val="22"/>
          <w:lang w:val="en-GB"/>
        </w:rPr>
        <w:t xml:space="preserve">A semi-structured interview schedule was developed beforehand to generate the required data in an open and flexible way. This approach allowed the researcher to opportunistically probe a particular reply or topic further, as their interests were kindled (Rubin &amp; Rubin 2005, Yin 2003). In sum, a total of 12 interviews were conducted, 3 of which were conducted by the first author with employees of </w:t>
      </w:r>
      <w:r w:rsidR="00FD35CD">
        <w:rPr>
          <w:rFonts w:ascii="Helvetica" w:hAnsi="Helvetica"/>
          <w:sz w:val="22"/>
          <w:szCs w:val="22"/>
          <w:lang w:val="en-GB"/>
        </w:rPr>
        <w:t>Manchester Foundation Trust</w:t>
      </w:r>
      <w:r>
        <w:rPr>
          <w:rFonts w:ascii="Helvetica" w:hAnsi="Helvetica"/>
          <w:sz w:val="22"/>
          <w:szCs w:val="22"/>
          <w:lang w:val="en-GB"/>
        </w:rPr>
        <w:t xml:space="preserve"> and the remaining 9 interviews were conducted by the second author with employees of Addenbrooke’s hospital, Cambridge. Table 1 provides an overview on the composition of interview partners. All interviews were conducted using videoconferencing software Zoom and Microsoft Teams. </w:t>
      </w:r>
    </w:p>
    <w:p w14:paraId="32A31403" w14:textId="77777777" w:rsidR="00921810" w:rsidRDefault="00921810" w:rsidP="00921810">
      <w:pPr>
        <w:spacing w:line="288" w:lineRule="auto"/>
        <w:rPr>
          <w:rFonts w:ascii="Helvetica" w:hAnsi="Helvetica"/>
          <w:sz w:val="22"/>
          <w:szCs w:val="22"/>
          <w:lang w:val="en-GB"/>
        </w:rPr>
      </w:pPr>
    </w:p>
    <w:p w14:paraId="18B0ED6A" w14:textId="00114C27" w:rsidR="00921810" w:rsidRPr="006C0867" w:rsidRDefault="00921810" w:rsidP="00921810">
      <w:pPr>
        <w:spacing w:line="288" w:lineRule="auto"/>
        <w:rPr>
          <w:rFonts w:ascii="Helvetica" w:hAnsi="Helvetica"/>
          <w:i/>
          <w:iCs/>
          <w:sz w:val="22"/>
          <w:szCs w:val="22"/>
          <w:lang w:val="en-GB"/>
        </w:rPr>
      </w:pPr>
      <w:r>
        <w:rPr>
          <w:rFonts w:ascii="Helvetica" w:hAnsi="Helvetica"/>
          <w:i/>
          <w:iCs/>
          <w:sz w:val="22"/>
          <w:szCs w:val="22"/>
          <w:lang w:val="en-GB"/>
        </w:rPr>
        <w:t>Overview of interview partners at Addenbrooke’s hospital and Manchester Royal Infirmary</w:t>
      </w:r>
    </w:p>
    <w:tbl>
      <w:tblPr>
        <w:tblStyle w:val="TableGrid"/>
        <w:tblW w:w="0" w:type="auto"/>
        <w:tblLook w:val="04A0" w:firstRow="1" w:lastRow="0" w:firstColumn="1" w:lastColumn="0" w:noHBand="0" w:noVBand="1"/>
      </w:tblPr>
      <w:tblGrid>
        <w:gridCol w:w="2972"/>
        <w:gridCol w:w="2218"/>
        <w:gridCol w:w="2219"/>
        <w:gridCol w:w="2219"/>
      </w:tblGrid>
      <w:tr w:rsidR="00921810" w14:paraId="4AE30814" w14:textId="77777777" w:rsidTr="002D3963">
        <w:tc>
          <w:tcPr>
            <w:tcW w:w="2972" w:type="dxa"/>
          </w:tcPr>
          <w:p w14:paraId="5690AA0A"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p>
        </w:tc>
        <w:tc>
          <w:tcPr>
            <w:tcW w:w="2218" w:type="dxa"/>
          </w:tcPr>
          <w:p w14:paraId="06D813C2"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Clinical</w:t>
            </w:r>
          </w:p>
        </w:tc>
        <w:tc>
          <w:tcPr>
            <w:tcW w:w="2219" w:type="dxa"/>
          </w:tcPr>
          <w:p w14:paraId="2A7AAFF3"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Nursing</w:t>
            </w:r>
          </w:p>
        </w:tc>
        <w:tc>
          <w:tcPr>
            <w:tcW w:w="2219" w:type="dxa"/>
          </w:tcPr>
          <w:p w14:paraId="3FBCD924"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Management</w:t>
            </w:r>
          </w:p>
        </w:tc>
      </w:tr>
      <w:tr w:rsidR="00921810" w14:paraId="7D4526A4" w14:textId="77777777" w:rsidTr="002D3963">
        <w:tc>
          <w:tcPr>
            <w:tcW w:w="2972" w:type="dxa"/>
          </w:tcPr>
          <w:p w14:paraId="02B9C47B"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Addenbrooke’s hospital</w:t>
            </w:r>
          </w:p>
        </w:tc>
        <w:tc>
          <w:tcPr>
            <w:tcW w:w="2218" w:type="dxa"/>
          </w:tcPr>
          <w:p w14:paraId="2BB354AA"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3</w:t>
            </w:r>
          </w:p>
        </w:tc>
        <w:tc>
          <w:tcPr>
            <w:tcW w:w="2219" w:type="dxa"/>
          </w:tcPr>
          <w:p w14:paraId="19C3B728"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2</w:t>
            </w:r>
          </w:p>
        </w:tc>
        <w:tc>
          <w:tcPr>
            <w:tcW w:w="2219" w:type="dxa"/>
          </w:tcPr>
          <w:p w14:paraId="04564942"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4</w:t>
            </w:r>
          </w:p>
        </w:tc>
      </w:tr>
      <w:tr w:rsidR="00921810" w14:paraId="5F00A826" w14:textId="77777777" w:rsidTr="002D3963">
        <w:tc>
          <w:tcPr>
            <w:tcW w:w="2972" w:type="dxa"/>
          </w:tcPr>
          <w:p w14:paraId="60E84E39" w14:textId="4B177412"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 xml:space="preserve">Manchester </w:t>
            </w:r>
            <w:r w:rsidR="00273F75">
              <w:rPr>
                <w:rFonts w:ascii="Helvetica" w:hAnsi="Helvetica"/>
                <w:sz w:val="22"/>
                <w:szCs w:val="22"/>
                <w:lang w:val="en-GB"/>
              </w:rPr>
              <w:t>Foundation Trust</w:t>
            </w:r>
          </w:p>
        </w:tc>
        <w:tc>
          <w:tcPr>
            <w:tcW w:w="2218" w:type="dxa"/>
          </w:tcPr>
          <w:p w14:paraId="4B0DC93B"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3</w:t>
            </w:r>
          </w:p>
        </w:tc>
        <w:tc>
          <w:tcPr>
            <w:tcW w:w="2219" w:type="dxa"/>
          </w:tcPr>
          <w:p w14:paraId="6AEDC52E"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w:t>
            </w:r>
          </w:p>
        </w:tc>
        <w:tc>
          <w:tcPr>
            <w:tcW w:w="2219" w:type="dxa"/>
          </w:tcPr>
          <w:p w14:paraId="3EB2735E" w14:textId="77777777" w:rsidR="00921810" w:rsidRDefault="00921810" w:rsidP="002D3963">
            <w:pPr>
              <w:pBdr>
                <w:top w:val="none" w:sz="0" w:space="0" w:color="auto"/>
                <w:left w:val="none" w:sz="0" w:space="0" w:color="auto"/>
                <w:bottom w:val="none" w:sz="0" w:space="0" w:color="auto"/>
                <w:right w:val="none" w:sz="0" w:space="0" w:color="auto"/>
                <w:between w:val="none" w:sz="0" w:space="0" w:color="auto"/>
                <w:bar w:val="none" w:sz="0" w:color="auto"/>
              </w:pBdr>
              <w:spacing w:line="288" w:lineRule="auto"/>
              <w:jc w:val="both"/>
              <w:rPr>
                <w:rFonts w:ascii="Helvetica" w:hAnsi="Helvetica"/>
                <w:sz w:val="22"/>
                <w:szCs w:val="22"/>
                <w:lang w:val="en-GB"/>
              </w:rPr>
            </w:pPr>
            <w:r>
              <w:rPr>
                <w:rFonts w:ascii="Helvetica" w:hAnsi="Helvetica"/>
                <w:sz w:val="22"/>
                <w:szCs w:val="22"/>
                <w:lang w:val="en-GB"/>
              </w:rPr>
              <w:t>-</w:t>
            </w:r>
          </w:p>
        </w:tc>
      </w:tr>
    </w:tbl>
    <w:p w14:paraId="373FB330" w14:textId="77777777" w:rsidR="00921810" w:rsidRDefault="00921810" w:rsidP="00921810">
      <w:pPr>
        <w:spacing w:line="288" w:lineRule="auto"/>
        <w:jc w:val="both"/>
        <w:rPr>
          <w:rFonts w:ascii="Helvetica" w:hAnsi="Helvetica"/>
          <w:sz w:val="22"/>
          <w:szCs w:val="22"/>
          <w:lang w:val="en-GB"/>
        </w:rPr>
      </w:pPr>
    </w:p>
    <w:p w14:paraId="21CA1C2B" w14:textId="420A396F" w:rsidR="00921810" w:rsidRPr="00BF198C" w:rsidRDefault="00921810" w:rsidP="00921810">
      <w:pPr>
        <w:spacing w:line="288" w:lineRule="auto"/>
        <w:jc w:val="both"/>
        <w:rPr>
          <w:rFonts w:ascii="Helvetica" w:hAnsi="Helvetica"/>
          <w:sz w:val="22"/>
          <w:szCs w:val="22"/>
          <w:lang w:val="en-GB"/>
        </w:rPr>
      </w:pPr>
      <w:r>
        <w:rPr>
          <w:rFonts w:ascii="Helvetica" w:hAnsi="Helvetica"/>
          <w:sz w:val="22"/>
          <w:szCs w:val="22"/>
          <w:lang w:val="en-GB"/>
        </w:rPr>
        <w:t>T</w:t>
      </w:r>
      <w:r>
        <w:rPr>
          <w:rFonts w:ascii="Helvetica" w:hAnsi="Helvetica"/>
          <w:sz w:val="22"/>
          <w:szCs w:val="22"/>
        </w:rPr>
        <w:t xml:space="preserve">he recorded interviews were transcribed by help of software and then checked by the researchers. Copies of the transcripts were sent to interviewees for them to review and amend if necessary. </w:t>
      </w:r>
      <w:r>
        <w:rPr>
          <w:rFonts w:ascii="Helvetica" w:hAnsi="Helvetica"/>
          <w:sz w:val="22"/>
          <w:szCs w:val="22"/>
          <w:lang w:val="en-GB"/>
        </w:rPr>
        <w:t xml:space="preserve">Each interviewee was informed about the general purpose of the study and asked to sign the consent form in advance. To enable an open dialogue, all participants were promised anonymity and the opportunity to refuse any of the questions without any consequences. Four employees were not able to take part in the study due to operational pressures. The principle of saturation was </w:t>
      </w:r>
      <w:r w:rsidR="00273F75">
        <w:rPr>
          <w:rFonts w:ascii="Helvetica" w:hAnsi="Helvetica"/>
          <w:sz w:val="22"/>
          <w:szCs w:val="22"/>
          <w:lang w:val="en-GB"/>
        </w:rPr>
        <w:t>f</w:t>
      </w:r>
      <w:r>
        <w:rPr>
          <w:rFonts w:ascii="Helvetica" w:hAnsi="Helvetica"/>
          <w:sz w:val="22"/>
          <w:szCs w:val="22"/>
          <w:lang w:val="en-GB"/>
        </w:rPr>
        <w:t xml:space="preserve">ollowed in deciding how many interviews to conduct: Interviews were conducted until </w:t>
      </w:r>
      <w:proofErr w:type="gramStart"/>
      <w:r>
        <w:rPr>
          <w:rFonts w:ascii="Helvetica" w:hAnsi="Helvetica"/>
          <w:sz w:val="22"/>
          <w:szCs w:val="22"/>
          <w:lang w:val="en-GB"/>
        </w:rPr>
        <w:t>novel,</w:t>
      </w:r>
      <w:proofErr w:type="gramEnd"/>
      <w:r>
        <w:rPr>
          <w:rFonts w:ascii="Helvetica" w:hAnsi="Helvetica"/>
          <w:sz w:val="22"/>
          <w:szCs w:val="22"/>
          <w:lang w:val="en-GB"/>
        </w:rPr>
        <w:t xml:space="preserve"> additional information was </w:t>
      </w:r>
      <w:r w:rsidR="00FD35CD">
        <w:rPr>
          <w:rFonts w:ascii="Helvetica" w:hAnsi="Helvetica"/>
          <w:sz w:val="22"/>
          <w:szCs w:val="22"/>
          <w:lang w:val="en-GB"/>
        </w:rPr>
        <w:t xml:space="preserve">no longer </w:t>
      </w:r>
      <w:r>
        <w:rPr>
          <w:rFonts w:ascii="Helvetica" w:hAnsi="Helvetica"/>
          <w:sz w:val="22"/>
          <w:szCs w:val="22"/>
          <w:lang w:val="en-GB"/>
        </w:rPr>
        <w:t xml:space="preserve">elicited (Glaser &amp; Strauss 1967). </w:t>
      </w:r>
    </w:p>
    <w:p w14:paraId="61A76E64" w14:textId="77777777" w:rsidR="00921810" w:rsidRDefault="00921810" w:rsidP="00921810">
      <w:pPr>
        <w:spacing w:line="288" w:lineRule="auto"/>
        <w:jc w:val="both"/>
        <w:rPr>
          <w:rFonts w:ascii="Helvetica" w:hAnsi="Helvetica"/>
          <w:sz w:val="22"/>
          <w:szCs w:val="22"/>
        </w:rPr>
      </w:pPr>
    </w:p>
    <w:p w14:paraId="6F42EB2F" w14:textId="77777777" w:rsidR="00921810" w:rsidRDefault="00921810" w:rsidP="00921810">
      <w:pPr>
        <w:spacing w:line="288" w:lineRule="auto"/>
        <w:jc w:val="both"/>
        <w:rPr>
          <w:rFonts w:ascii="Helvetica" w:hAnsi="Helvetica"/>
          <w:sz w:val="22"/>
          <w:szCs w:val="22"/>
        </w:rPr>
      </w:pPr>
      <w:r>
        <w:rPr>
          <w:rFonts w:ascii="Helvetica" w:hAnsi="Helvetica"/>
          <w:sz w:val="22"/>
          <w:szCs w:val="22"/>
        </w:rPr>
        <w:t xml:space="preserve">For coding of the interview data, the qualitative data analysis software, </w:t>
      </w:r>
      <w:r w:rsidRPr="00A147F1">
        <w:rPr>
          <w:rFonts w:ascii="Helvetica" w:hAnsi="Helvetica"/>
          <w:i/>
          <w:iCs/>
          <w:sz w:val="22"/>
          <w:szCs w:val="22"/>
        </w:rPr>
        <w:t>MAXQDA</w:t>
      </w:r>
      <w:r>
        <w:rPr>
          <w:rFonts w:ascii="Helvetica" w:hAnsi="Helvetica"/>
          <w:sz w:val="22"/>
          <w:szCs w:val="22"/>
        </w:rPr>
        <w:t xml:space="preserve">, was used. An initial set of categories was prepared by the second author based on observations as a research assistant at Addenbrooke’s hospital since the onset of the first wave. Further codes were added as they emerged from the transcripts (Strauss &amp; Corbin 1990). </w:t>
      </w:r>
    </w:p>
    <w:p w14:paraId="754569C0" w14:textId="77777777" w:rsidR="00921810" w:rsidRDefault="00921810" w:rsidP="00921810">
      <w:pPr>
        <w:spacing w:line="288" w:lineRule="auto"/>
        <w:jc w:val="both"/>
        <w:rPr>
          <w:rFonts w:ascii="Helvetica" w:hAnsi="Helvetica"/>
          <w:sz w:val="22"/>
          <w:szCs w:val="22"/>
        </w:rPr>
      </w:pPr>
    </w:p>
    <w:p w14:paraId="02F6D860" w14:textId="77777777" w:rsidR="00921810" w:rsidRDefault="00921810" w:rsidP="00921810">
      <w:pPr>
        <w:spacing w:line="288" w:lineRule="auto"/>
        <w:jc w:val="both"/>
        <w:rPr>
          <w:rFonts w:ascii="Helvetica" w:hAnsi="Helvetica"/>
          <w:sz w:val="22"/>
          <w:szCs w:val="22"/>
        </w:rPr>
      </w:pPr>
    </w:p>
    <w:p w14:paraId="31017571" w14:textId="7D3E2CB4" w:rsidR="00921810" w:rsidRPr="00E156FB" w:rsidRDefault="00921810" w:rsidP="00921810">
      <w:pPr>
        <w:rPr>
          <w:rFonts w:ascii="Helvetica" w:hAnsi="Helvetica"/>
          <w:b/>
          <w:bCs/>
          <w:sz w:val="22"/>
          <w:szCs w:val="22"/>
        </w:rPr>
      </w:pPr>
      <w:r w:rsidRPr="00E156FB">
        <w:rPr>
          <w:rFonts w:ascii="Helvetica" w:hAnsi="Helvetica"/>
          <w:b/>
          <w:bCs/>
          <w:sz w:val="22"/>
          <w:szCs w:val="22"/>
        </w:rPr>
        <w:t>Interview Guideline</w:t>
      </w:r>
    </w:p>
    <w:p w14:paraId="200340FA" w14:textId="4F86BADD" w:rsidR="00921810" w:rsidRPr="00670395" w:rsidRDefault="00921810" w:rsidP="00921810">
      <w:pPr>
        <w:spacing w:line="288" w:lineRule="auto"/>
        <w:jc w:val="both"/>
        <w:rPr>
          <w:rFonts w:ascii="Helvetica" w:hAnsi="Helvetica"/>
          <w:sz w:val="22"/>
          <w:szCs w:val="22"/>
        </w:rPr>
      </w:pPr>
      <w:r>
        <w:rPr>
          <w:rFonts w:ascii="Helvetica" w:hAnsi="Helvetica"/>
          <w:sz w:val="22"/>
          <w:szCs w:val="22"/>
        </w:rPr>
        <w:t>The following line of questioning was used during interviews with employees of two hospital</w:t>
      </w:r>
      <w:r w:rsidR="00273F75">
        <w:rPr>
          <w:rFonts w:ascii="Helvetica" w:hAnsi="Helvetica"/>
          <w:sz w:val="22"/>
          <w:szCs w:val="22"/>
        </w:rPr>
        <w:t xml:space="preserve"> trust</w:t>
      </w:r>
      <w:r>
        <w:rPr>
          <w:rFonts w:ascii="Helvetica" w:hAnsi="Helvetica"/>
          <w:sz w:val="22"/>
          <w:szCs w:val="22"/>
        </w:rPr>
        <w:t xml:space="preserve">s in Manchester and Cambridge. Note that the concept of </w:t>
      </w:r>
      <w:r>
        <w:rPr>
          <w:rFonts w:ascii="Helvetica" w:hAnsi="Helvetica"/>
          <w:i/>
          <w:iCs/>
          <w:sz w:val="22"/>
          <w:szCs w:val="22"/>
        </w:rPr>
        <w:t>productivity</w:t>
      </w:r>
      <w:r>
        <w:rPr>
          <w:rFonts w:ascii="Helvetica" w:hAnsi="Helvetica"/>
          <w:sz w:val="22"/>
          <w:szCs w:val="22"/>
        </w:rPr>
        <w:t xml:space="preserve"> was shortly described as the ratio of inputs and outputs with inputs being people, medical equipment, beds and outputs the delivery of healthcare services. </w:t>
      </w:r>
    </w:p>
    <w:p w14:paraId="37E070E4" w14:textId="77777777" w:rsidR="00921810" w:rsidRDefault="00921810" w:rsidP="00921810">
      <w:pPr>
        <w:jc w:val="both"/>
        <w:rPr>
          <w:rFonts w:ascii="Helvetica" w:hAnsi="Helvetica"/>
          <w:b/>
          <w:bCs/>
          <w:sz w:val="22"/>
          <w:szCs w:val="22"/>
        </w:rPr>
      </w:pPr>
    </w:p>
    <w:p w14:paraId="3857ABE7" w14:textId="1DB657DB"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Can you describe which key measures were taken to manage and organise processes (e.g., clinical workflows or resource allocation) in your area of responsibility with the onset of </w:t>
      </w:r>
      <w:r w:rsidR="003B3C10">
        <w:rPr>
          <w:rFonts w:ascii="Helvetica" w:hAnsi="Helvetica"/>
          <w:sz w:val="22"/>
          <w:szCs w:val="22"/>
        </w:rPr>
        <w:t>Covid19</w:t>
      </w:r>
      <w:r w:rsidRPr="00B7642F">
        <w:rPr>
          <w:rFonts w:ascii="Helvetica" w:hAnsi="Helvetica"/>
          <w:sz w:val="22"/>
          <w:szCs w:val="22"/>
        </w:rPr>
        <w:t xml:space="preserve">? </w:t>
      </w:r>
    </w:p>
    <w:p w14:paraId="166A84ED"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What was the primary goal of these measures?</w:t>
      </w:r>
    </w:p>
    <w:p w14:paraId="0F7A40EE"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lastRenderedPageBreak/>
        <w:t xml:space="preserve">By whom or what group was/were these changes designed and governed? </w:t>
      </w:r>
    </w:p>
    <w:p w14:paraId="6019B337" w14:textId="18E2DDA0"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I would like to understand more about the time horizons of these measures. When was the first time </w:t>
      </w:r>
      <w:r w:rsidR="003B3C10">
        <w:rPr>
          <w:rFonts w:ascii="Helvetica" w:hAnsi="Helvetica"/>
          <w:sz w:val="22"/>
          <w:szCs w:val="22"/>
        </w:rPr>
        <w:t>Covid19</w:t>
      </w:r>
      <w:r w:rsidRPr="00B7642F">
        <w:rPr>
          <w:rFonts w:ascii="Helvetica" w:hAnsi="Helvetica"/>
          <w:sz w:val="22"/>
          <w:szCs w:val="22"/>
        </w:rPr>
        <w:t xml:space="preserve"> measures evolved? Were policies and processes stable or were they constantly changing? </w:t>
      </w:r>
    </w:p>
    <w:p w14:paraId="54FD2D21"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Which difficulties did you encounter when implementing the changes?</w:t>
      </w:r>
    </w:p>
    <w:p w14:paraId="0FB93743"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Did some measures turn out more effective than others and why?</w:t>
      </w:r>
    </w:p>
    <w:p w14:paraId="4F89CADF"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Were some policies relaxed over time and if so, what drove these relaxations?</w:t>
      </w:r>
    </w:p>
    <w:p w14:paraId="7438BC6D"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What was the role of digital technology in the changes for the hospital and for patients? </w:t>
      </w:r>
    </w:p>
    <w:p w14:paraId="3FA1A59F" w14:textId="10D7E578"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Do you think that, in general, digital technology or IT systems helped to manage the </w:t>
      </w:r>
      <w:r w:rsidR="003B3C10">
        <w:rPr>
          <w:rFonts w:ascii="Helvetica" w:hAnsi="Helvetica"/>
          <w:sz w:val="22"/>
          <w:szCs w:val="22"/>
        </w:rPr>
        <w:t>Covid19</w:t>
      </w:r>
      <w:r w:rsidRPr="00B7642F">
        <w:rPr>
          <w:rFonts w:ascii="Helvetica" w:hAnsi="Helvetica"/>
          <w:sz w:val="22"/>
          <w:szCs w:val="22"/>
        </w:rPr>
        <w:t xml:space="preserve"> crisis in a more effective way? Can you give an exam</w:t>
      </w:r>
      <w:r w:rsidR="003B3C10">
        <w:rPr>
          <w:rFonts w:ascii="Helvetica" w:hAnsi="Helvetica"/>
          <w:sz w:val="22"/>
          <w:szCs w:val="22"/>
        </w:rPr>
        <w:t>p</w:t>
      </w:r>
      <w:r w:rsidRPr="00B7642F">
        <w:rPr>
          <w:rFonts w:ascii="Helvetica" w:hAnsi="Helvetica"/>
          <w:sz w:val="22"/>
          <w:szCs w:val="22"/>
        </w:rPr>
        <w:t xml:space="preserve">le? </w:t>
      </w:r>
    </w:p>
    <w:p w14:paraId="375BA0B3"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From the measures we discussed, which of them do you expect to persist in the longer term?</w:t>
      </w:r>
    </w:p>
    <w:p w14:paraId="5130C7FF" w14:textId="0E4074E8"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In your opinion, how do you think </w:t>
      </w:r>
      <w:r w:rsidR="003B3C10">
        <w:rPr>
          <w:rFonts w:ascii="Helvetica" w:hAnsi="Helvetica"/>
          <w:sz w:val="22"/>
          <w:szCs w:val="22"/>
        </w:rPr>
        <w:t>Covid19</w:t>
      </w:r>
      <w:r w:rsidRPr="00B7642F">
        <w:rPr>
          <w:rFonts w:ascii="Helvetica" w:hAnsi="Helvetica"/>
          <w:sz w:val="22"/>
          <w:szCs w:val="22"/>
        </w:rPr>
        <w:t xml:space="preserve"> has impacted productivity for </w:t>
      </w:r>
      <w:r w:rsidR="003B3C10">
        <w:rPr>
          <w:rFonts w:ascii="Helvetica" w:hAnsi="Helvetica"/>
          <w:sz w:val="22"/>
          <w:szCs w:val="22"/>
        </w:rPr>
        <w:t>Covid19</w:t>
      </w:r>
      <w:r w:rsidRPr="00B7642F">
        <w:rPr>
          <w:rFonts w:ascii="Helvetica" w:hAnsi="Helvetica"/>
          <w:sz w:val="22"/>
          <w:szCs w:val="22"/>
        </w:rPr>
        <w:t xml:space="preserve"> and non-</w:t>
      </w:r>
      <w:r w:rsidR="003B3C10">
        <w:rPr>
          <w:rFonts w:ascii="Helvetica" w:hAnsi="Helvetica"/>
          <w:sz w:val="22"/>
          <w:szCs w:val="22"/>
        </w:rPr>
        <w:t>Covid19</w:t>
      </w:r>
      <w:r w:rsidRPr="00B7642F">
        <w:rPr>
          <w:rFonts w:ascii="Helvetica" w:hAnsi="Helvetica"/>
          <w:sz w:val="22"/>
          <w:szCs w:val="22"/>
        </w:rPr>
        <w:t xml:space="preserve"> care at your hospital during the first wave as compared to the previous year? </w:t>
      </w:r>
    </w:p>
    <w:p w14:paraId="57755ABA" w14:textId="5A036B21"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Do you have any idea of what could help maintaining or enhancing productivity as we now face a second and maybe subsequent waves of </w:t>
      </w:r>
      <w:r w:rsidR="003B3C10">
        <w:rPr>
          <w:rFonts w:ascii="Helvetica" w:hAnsi="Helvetica"/>
          <w:sz w:val="22"/>
          <w:szCs w:val="22"/>
        </w:rPr>
        <w:t>Covid19</w:t>
      </w:r>
      <w:r w:rsidRPr="00B7642F">
        <w:rPr>
          <w:rFonts w:ascii="Helvetica" w:hAnsi="Helvetica"/>
          <w:sz w:val="22"/>
          <w:szCs w:val="22"/>
        </w:rPr>
        <w:t xml:space="preserve">? </w:t>
      </w:r>
    </w:p>
    <w:p w14:paraId="4C266A49" w14:textId="77777777" w:rsidR="00921810" w:rsidRPr="00B7642F" w:rsidRDefault="00921810" w:rsidP="00921810">
      <w:pPr>
        <w:pStyle w:val="ListParagraph"/>
        <w:numPr>
          <w:ilvl w:val="0"/>
          <w:numId w:val="5"/>
        </w:numPr>
        <w:spacing w:line="288" w:lineRule="auto"/>
        <w:jc w:val="both"/>
        <w:rPr>
          <w:rFonts w:ascii="Helvetica" w:hAnsi="Helvetica"/>
          <w:sz w:val="22"/>
          <w:szCs w:val="22"/>
        </w:rPr>
      </w:pPr>
      <w:r w:rsidRPr="00B7642F">
        <w:rPr>
          <w:rFonts w:ascii="Helvetica" w:hAnsi="Helvetica"/>
          <w:sz w:val="22"/>
          <w:szCs w:val="22"/>
        </w:rPr>
        <w:t xml:space="preserve">Is there any additional information you would like to share? </w:t>
      </w:r>
    </w:p>
    <w:p w14:paraId="78C84EC1" w14:textId="77777777" w:rsidR="00921810" w:rsidRDefault="00921810" w:rsidP="00921810">
      <w:pPr>
        <w:spacing w:line="288" w:lineRule="auto"/>
        <w:jc w:val="both"/>
        <w:rPr>
          <w:rFonts w:ascii="Helvetica" w:hAnsi="Helvetica"/>
          <w:sz w:val="22"/>
          <w:szCs w:val="22"/>
        </w:rPr>
      </w:pPr>
    </w:p>
    <w:p w14:paraId="378232F5" w14:textId="03D0D480" w:rsidR="00921810" w:rsidRDefault="00921810" w:rsidP="00921810">
      <w:pPr>
        <w:spacing w:line="288" w:lineRule="auto"/>
        <w:jc w:val="both"/>
        <w:rPr>
          <w:rFonts w:ascii="Helvetica" w:hAnsi="Helvetica"/>
          <w:b/>
          <w:bCs/>
          <w:sz w:val="22"/>
          <w:szCs w:val="22"/>
        </w:rPr>
      </w:pPr>
      <w:r>
        <w:rPr>
          <w:rFonts w:ascii="Helvetica" w:hAnsi="Helvetica"/>
          <w:b/>
          <w:bCs/>
          <w:sz w:val="22"/>
          <w:szCs w:val="22"/>
        </w:rPr>
        <w:t>Interview coding</w:t>
      </w:r>
    </w:p>
    <w:p w14:paraId="7D74E8F8" w14:textId="091A7453" w:rsidR="00921810" w:rsidRDefault="00921810" w:rsidP="00921810">
      <w:pPr>
        <w:spacing w:line="288" w:lineRule="auto"/>
        <w:jc w:val="both"/>
        <w:rPr>
          <w:rFonts w:ascii="Helvetica" w:hAnsi="Helvetica"/>
          <w:b/>
          <w:bCs/>
          <w:sz w:val="22"/>
          <w:szCs w:val="22"/>
        </w:rPr>
      </w:pPr>
    </w:p>
    <w:tbl>
      <w:tblPr>
        <w:tblW w:w="0" w:type="auto"/>
        <w:tblInd w:w="-30" w:type="dxa"/>
        <w:tblLayout w:type="fixed"/>
        <w:tblCellMar>
          <w:left w:w="30" w:type="dxa"/>
          <w:right w:w="30" w:type="dxa"/>
        </w:tblCellMar>
        <w:tblLook w:val="0000" w:firstRow="0" w:lastRow="0" w:firstColumn="0" w:lastColumn="0" w:noHBand="0" w:noVBand="0"/>
      </w:tblPr>
      <w:tblGrid>
        <w:gridCol w:w="1520"/>
        <w:gridCol w:w="1520"/>
        <w:gridCol w:w="6080"/>
        <w:gridCol w:w="920"/>
        <w:gridCol w:w="2720"/>
      </w:tblGrid>
      <w:tr w:rsidR="0007451F" w14:paraId="75652447" w14:textId="77777777" w:rsidTr="0007451F">
        <w:trPr>
          <w:trHeight w:val="280"/>
        </w:trPr>
        <w:tc>
          <w:tcPr>
            <w:tcW w:w="3040" w:type="dxa"/>
            <w:gridSpan w:val="2"/>
            <w:tcBorders>
              <w:top w:val="nil"/>
              <w:left w:val="nil"/>
              <w:bottom w:val="single" w:sz="6" w:space="0" w:color="969696"/>
              <w:right w:val="nil"/>
            </w:tcBorders>
            <w:shd w:val="solid" w:color="C0C0C0" w:fill="FFFFFF"/>
          </w:tcPr>
          <w:p w14:paraId="46A9065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b/>
                <w:bCs/>
                <w:color w:val="000000"/>
                <w:sz w:val="20"/>
                <w:szCs w:val="20"/>
                <w:lang w:val="en-GB" w:eastAsia="en-GB"/>
              </w:rPr>
            </w:pPr>
            <w:r>
              <w:rPr>
                <w:rFonts w:ascii="Calibri" w:hAnsi="Calibri" w:cs="Calibri"/>
                <w:b/>
                <w:bCs/>
                <w:color w:val="000000"/>
                <w:sz w:val="20"/>
                <w:szCs w:val="20"/>
                <w:lang w:val="en-GB" w:eastAsia="en-GB"/>
              </w:rPr>
              <w:t>Code System</w:t>
            </w:r>
          </w:p>
        </w:tc>
        <w:tc>
          <w:tcPr>
            <w:tcW w:w="6080" w:type="dxa"/>
            <w:tcBorders>
              <w:top w:val="nil"/>
              <w:left w:val="nil"/>
              <w:bottom w:val="single" w:sz="6" w:space="0" w:color="969696"/>
              <w:right w:val="nil"/>
            </w:tcBorders>
            <w:shd w:val="solid" w:color="C0C0C0" w:fill="FFFFFF"/>
          </w:tcPr>
          <w:p w14:paraId="79AB68C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b/>
                <w:bCs/>
                <w:color w:val="000000"/>
                <w:sz w:val="20"/>
                <w:szCs w:val="20"/>
                <w:lang w:val="en-GB" w:eastAsia="en-GB"/>
              </w:rPr>
            </w:pPr>
          </w:p>
        </w:tc>
        <w:tc>
          <w:tcPr>
            <w:tcW w:w="920" w:type="dxa"/>
            <w:tcBorders>
              <w:top w:val="nil"/>
              <w:left w:val="nil"/>
              <w:bottom w:val="single" w:sz="6" w:space="0" w:color="969696"/>
              <w:right w:val="nil"/>
            </w:tcBorders>
            <w:shd w:val="solid" w:color="C0C0C0" w:fill="FFFFFF"/>
          </w:tcPr>
          <w:p w14:paraId="3FDE902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b/>
                <w:bCs/>
                <w:color w:val="000000"/>
                <w:sz w:val="20"/>
                <w:szCs w:val="20"/>
                <w:lang w:val="en-GB" w:eastAsia="en-GB"/>
              </w:rPr>
            </w:pPr>
            <w:r>
              <w:rPr>
                <w:rFonts w:ascii="Calibri" w:hAnsi="Calibri" w:cs="Calibri"/>
                <w:b/>
                <w:bCs/>
                <w:color w:val="000000"/>
                <w:sz w:val="20"/>
                <w:szCs w:val="20"/>
                <w:lang w:val="en-GB" w:eastAsia="en-GB"/>
              </w:rPr>
              <w:t>Memo</w:t>
            </w:r>
          </w:p>
        </w:tc>
        <w:tc>
          <w:tcPr>
            <w:tcW w:w="2720" w:type="dxa"/>
            <w:tcBorders>
              <w:top w:val="nil"/>
              <w:left w:val="nil"/>
              <w:bottom w:val="single" w:sz="6" w:space="0" w:color="969696"/>
              <w:right w:val="nil"/>
            </w:tcBorders>
            <w:shd w:val="solid" w:color="C0C0C0" w:fill="FFFFFF"/>
          </w:tcPr>
          <w:p w14:paraId="584BF79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b/>
                <w:bCs/>
                <w:color w:val="000000"/>
                <w:sz w:val="20"/>
                <w:szCs w:val="20"/>
                <w:lang w:val="en-GB" w:eastAsia="en-GB"/>
              </w:rPr>
            </w:pPr>
            <w:r>
              <w:rPr>
                <w:rFonts w:ascii="Calibri" w:hAnsi="Calibri" w:cs="Calibri"/>
                <w:b/>
                <w:bCs/>
                <w:color w:val="000000"/>
                <w:sz w:val="20"/>
                <w:szCs w:val="20"/>
                <w:lang w:val="en-GB" w:eastAsia="en-GB"/>
              </w:rPr>
              <w:t>Frequency</w:t>
            </w:r>
          </w:p>
        </w:tc>
      </w:tr>
      <w:tr w:rsidR="00921810" w14:paraId="0FC2CA63" w14:textId="77777777">
        <w:trPr>
          <w:trHeight w:val="280"/>
        </w:trPr>
        <w:tc>
          <w:tcPr>
            <w:tcW w:w="1520" w:type="dxa"/>
            <w:tcBorders>
              <w:top w:val="nil"/>
              <w:left w:val="nil"/>
              <w:bottom w:val="single" w:sz="6" w:space="0" w:color="969696"/>
              <w:right w:val="nil"/>
            </w:tcBorders>
            <w:shd w:val="solid" w:color="FFFFFF" w:fill="FFFFFF"/>
          </w:tcPr>
          <w:p w14:paraId="442DB73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Code System</w:t>
            </w:r>
          </w:p>
        </w:tc>
        <w:tc>
          <w:tcPr>
            <w:tcW w:w="1520" w:type="dxa"/>
            <w:tcBorders>
              <w:top w:val="nil"/>
              <w:left w:val="nil"/>
              <w:bottom w:val="single" w:sz="6" w:space="0" w:color="969696"/>
              <w:right w:val="nil"/>
            </w:tcBorders>
            <w:shd w:val="solid" w:color="FFFFFF" w:fill="FFFFFF"/>
          </w:tcPr>
          <w:p w14:paraId="28DBC4A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6080" w:type="dxa"/>
            <w:tcBorders>
              <w:top w:val="nil"/>
              <w:left w:val="nil"/>
              <w:bottom w:val="single" w:sz="6" w:space="0" w:color="969696"/>
              <w:right w:val="nil"/>
            </w:tcBorders>
            <w:shd w:val="solid" w:color="FFFFFF" w:fill="FFFFFF"/>
          </w:tcPr>
          <w:p w14:paraId="1215040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4B49537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2720" w:type="dxa"/>
            <w:tcBorders>
              <w:top w:val="nil"/>
              <w:left w:val="nil"/>
              <w:bottom w:val="single" w:sz="6" w:space="0" w:color="969696"/>
              <w:right w:val="nil"/>
            </w:tcBorders>
            <w:shd w:val="solid" w:color="FFFFFF" w:fill="FFFFFF"/>
          </w:tcPr>
          <w:p w14:paraId="5713056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591</w:t>
            </w:r>
          </w:p>
        </w:tc>
      </w:tr>
      <w:tr w:rsidR="00921810" w14:paraId="4FA4E7F8" w14:textId="77777777">
        <w:trPr>
          <w:trHeight w:val="280"/>
        </w:trPr>
        <w:tc>
          <w:tcPr>
            <w:tcW w:w="1520" w:type="dxa"/>
            <w:tcBorders>
              <w:top w:val="nil"/>
              <w:left w:val="nil"/>
              <w:bottom w:val="single" w:sz="6" w:space="0" w:color="969696"/>
              <w:right w:val="nil"/>
            </w:tcBorders>
            <w:shd w:val="solid" w:color="FFFFFF" w:fill="FFFFFF"/>
          </w:tcPr>
          <w:p w14:paraId="3EDAF18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06FF53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real estate</w:t>
            </w:r>
          </w:p>
        </w:tc>
        <w:tc>
          <w:tcPr>
            <w:tcW w:w="6080" w:type="dxa"/>
            <w:tcBorders>
              <w:top w:val="nil"/>
              <w:left w:val="nil"/>
              <w:bottom w:val="single" w:sz="6" w:space="0" w:color="969696"/>
              <w:right w:val="nil"/>
            </w:tcBorders>
            <w:shd w:val="solid" w:color="FFFFFF" w:fill="FFFFFF"/>
          </w:tcPr>
          <w:p w14:paraId="122056B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7DAC7D6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D52E19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13</w:t>
            </w:r>
          </w:p>
        </w:tc>
      </w:tr>
      <w:tr w:rsidR="00921810" w14:paraId="69718B49" w14:textId="77777777">
        <w:trPr>
          <w:trHeight w:val="280"/>
        </w:trPr>
        <w:tc>
          <w:tcPr>
            <w:tcW w:w="1520" w:type="dxa"/>
            <w:tcBorders>
              <w:top w:val="nil"/>
              <w:left w:val="nil"/>
              <w:bottom w:val="single" w:sz="6" w:space="0" w:color="969696"/>
              <w:right w:val="nil"/>
            </w:tcBorders>
            <w:shd w:val="solid" w:color="FFFFFF" w:fill="FFFFFF"/>
          </w:tcPr>
          <w:p w14:paraId="046402F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BD195F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gap analysis</w:t>
            </w:r>
          </w:p>
        </w:tc>
        <w:tc>
          <w:tcPr>
            <w:tcW w:w="6080" w:type="dxa"/>
            <w:tcBorders>
              <w:top w:val="nil"/>
              <w:left w:val="nil"/>
              <w:bottom w:val="single" w:sz="6" w:space="0" w:color="969696"/>
              <w:right w:val="nil"/>
            </w:tcBorders>
            <w:shd w:val="solid" w:color="FFFFFF" w:fill="FFFFFF"/>
          </w:tcPr>
          <w:p w14:paraId="02730A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1260446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22D285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10</w:t>
            </w:r>
          </w:p>
        </w:tc>
      </w:tr>
      <w:tr w:rsidR="00921810" w14:paraId="1EE02806" w14:textId="77777777">
        <w:trPr>
          <w:trHeight w:val="280"/>
        </w:trPr>
        <w:tc>
          <w:tcPr>
            <w:tcW w:w="1520" w:type="dxa"/>
            <w:tcBorders>
              <w:top w:val="nil"/>
              <w:left w:val="nil"/>
              <w:bottom w:val="single" w:sz="6" w:space="0" w:color="969696"/>
              <w:right w:val="nil"/>
            </w:tcBorders>
            <w:shd w:val="solid" w:color="FFFFFF" w:fill="FFFFFF"/>
          </w:tcPr>
          <w:p w14:paraId="43F96F1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328DEE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1FC8B0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surge capacity</w:t>
            </w:r>
          </w:p>
        </w:tc>
        <w:tc>
          <w:tcPr>
            <w:tcW w:w="920" w:type="dxa"/>
            <w:tcBorders>
              <w:top w:val="nil"/>
              <w:left w:val="nil"/>
              <w:bottom w:val="single" w:sz="6" w:space="0" w:color="969696"/>
              <w:right w:val="nil"/>
            </w:tcBorders>
            <w:shd w:val="solid" w:color="FFFFFF" w:fill="FFFFFF"/>
          </w:tcPr>
          <w:p w14:paraId="306D709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18538C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921810" w14:paraId="4D591F5D" w14:textId="77777777">
        <w:trPr>
          <w:trHeight w:val="280"/>
        </w:trPr>
        <w:tc>
          <w:tcPr>
            <w:tcW w:w="1520" w:type="dxa"/>
            <w:tcBorders>
              <w:top w:val="nil"/>
              <w:left w:val="nil"/>
              <w:bottom w:val="single" w:sz="6" w:space="0" w:color="969696"/>
              <w:right w:val="nil"/>
            </w:tcBorders>
            <w:shd w:val="solid" w:color="FFFFFF" w:fill="FFFFFF"/>
          </w:tcPr>
          <w:p w14:paraId="186C403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BE8C6F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C24C52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intensive care surge</w:t>
            </w:r>
          </w:p>
        </w:tc>
        <w:tc>
          <w:tcPr>
            <w:tcW w:w="920" w:type="dxa"/>
            <w:tcBorders>
              <w:top w:val="nil"/>
              <w:left w:val="nil"/>
              <w:bottom w:val="single" w:sz="6" w:space="0" w:color="969696"/>
              <w:right w:val="nil"/>
            </w:tcBorders>
            <w:shd w:val="solid" w:color="FFFFFF" w:fill="FFFFFF"/>
          </w:tcPr>
          <w:p w14:paraId="29ACF69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B7D9F6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07451F" w14:paraId="3AD5684C" w14:textId="77777777" w:rsidTr="0007451F">
        <w:trPr>
          <w:trHeight w:val="280"/>
        </w:trPr>
        <w:tc>
          <w:tcPr>
            <w:tcW w:w="1520" w:type="dxa"/>
            <w:tcBorders>
              <w:top w:val="nil"/>
              <w:left w:val="nil"/>
              <w:bottom w:val="single" w:sz="6" w:space="0" w:color="969696"/>
              <w:right w:val="nil"/>
            </w:tcBorders>
            <w:shd w:val="solid" w:color="FFFFFF" w:fill="FFFFFF"/>
          </w:tcPr>
          <w:p w14:paraId="6F1510D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633208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operationalisation issues</w:t>
            </w:r>
          </w:p>
        </w:tc>
        <w:tc>
          <w:tcPr>
            <w:tcW w:w="920" w:type="dxa"/>
            <w:tcBorders>
              <w:top w:val="nil"/>
              <w:left w:val="nil"/>
              <w:bottom w:val="single" w:sz="6" w:space="0" w:color="969696"/>
              <w:right w:val="nil"/>
            </w:tcBorders>
            <w:shd w:val="solid" w:color="FFFFFF" w:fill="FFFFFF"/>
          </w:tcPr>
          <w:p w14:paraId="140AC5D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C53EDC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33</w:t>
            </w:r>
          </w:p>
        </w:tc>
      </w:tr>
      <w:tr w:rsidR="00921810" w14:paraId="6C1AE944" w14:textId="77777777">
        <w:trPr>
          <w:trHeight w:val="280"/>
        </w:trPr>
        <w:tc>
          <w:tcPr>
            <w:tcW w:w="1520" w:type="dxa"/>
            <w:tcBorders>
              <w:top w:val="nil"/>
              <w:left w:val="nil"/>
              <w:bottom w:val="single" w:sz="6" w:space="0" w:color="969696"/>
              <w:right w:val="nil"/>
            </w:tcBorders>
            <w:shd w:val="solid" w:color="FFFFFF" w:fill="FFFFFF"/>
          </w:tcPr>
          <w:p w14:paraId="280EFB4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1C9F00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B0A7A0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Delayed communication</w:t>
            </w:r>
          </w:p>
        </w:tc>
        <w:tc>
          <w:tcPr>
            <w:tcW w:w="920" w:type="dxa"/>
            <w:tcBorders>
              <w:top w:val="nil"/>
              <w:left w:val="nil"/>
              <w:bottom w:val="single" w:sz="6" w:space="0" w:color="969696"/>
              <w:right w:val="nil"/>
            </w:tcBorders>
            <w:shd w:val="solid" w:color="FFFFFF" w:fill="FFFFFF"/>
          </w:tcPr>
          <w:p w14:paraId="7BF8934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A369C6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21DB05A6" w14:textId="77777777">
        <w:trPr>
          <w:trHeight w:val="280"/>
        </w:trPr>
        <w:tc>
          <w:tcPr>
            <w:tcW w:w="1520" w:type="dxa"/>
            <w:tcBorders>
              <w:top w:val="nil"/>
              <w:left w:val="nil"/>
              <w:bottom w:val="single" w:sz="6" w:space="0" w:color="969696"/>
              <w:right w:val="nil"/>
            </w:tcBorders>
            <w:shd w:val="solid" w:color="FFFFFF" w:fill="FFFFFF"/>
          </w:tcPr>
          <w:p w14:paraId="5F73CB5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84CA9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009353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local solutions</w:t>
            </w:r>
          </w:p>
        </w:tc>
        <w:tc>
          <w:tcPr>
            <w:tcW w:w="920" w:type="dxa"/>
            <w:tcBorders>
              <w:top w:val="nil"/>
              <w:left w:val="nil"/>
              <w:bottom w:val="single" w:sz="6" w:space="0" w:color="969696"/>
              <w:right w:val="nil"/>
            </w:tcBorders>
            <w:shd w:val="solid" w:color="FFFFFF" w:fill="FFFFFF"/>
          </w:tcPr>
          <w:p w14:paraId="6C4A507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9FE0A3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8</w:t>
            </w:r>
          </w:p>
        </w:tc>
      </w:tr>
      <w:tr w:rsidR="00921810" w14:paraId="69B1ACF8" w14:textId="77777777">
        <w:trPr>
          <w:trHeight w:val="280"/>
        </w:trPr>
        <w:tc>
          <w:tcPr>
            <w:tcW w:w="1520" w:type="dxa"/>
            <w:tcBorders>
              <w:top w:val="nil"/>
              <w:left w:val="nil"/>
              <w:bottom w:val="single" w:sz="6" w:space="0" w:color="969696"/>
              <w:right w:val="nil"/>
            </w:tcBorders>
            <w:shd w:val="solid" w:color="FFFFFF" w:fill="FFFFFF"/>
          </w:tcPr>
          <w:p w14:paraId="6A747C2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1CBF5F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8A863C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conflicting recommendations</w:t>
            </w:r>
          </w:p>
        </w:tc>
        <w:tc>
          <w:tcPr>
            <w:tcW w:w="920" w:type="dxa"/>
            <w:tcBorders>
              <w:top w:val="nil"/>
              <w:left w:val="nil"/>
              <w:bottom w:val="single" w:sz="6" w:space="0" w:color="969696"/>
              <w:right w:val="nil"/>
            </w:tcBorders>
            <w:shd w:val="solid" w:color="FFFFFF" w:fill="FFFFFF"/>
          </w:tcPr>
          <w:p w14:paraId="4F0932C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EED891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3094D752" w14:textId="77777777">
        <w:trPr>
          <w:trHeight w:val="280"/>
        </w:trPr>
        <w:tc>
          <w:tcPr>
            <w:tcW w:w="1520" w:type="dxa"/>
            <w:tcBorders>
              <w:top w:val="nil"/>
              <w:left w:val="nil"/>
              <w:bottom w:val="single" w:sz="6" w:space="0" w:color="969696"/>
              <w:right w:val="nil"/>
            </w:tcBorders>
            <w:shd w:val="solid" w:color="FFFFFF" w:fill="FFFFFF"/>
          </w:tcPr>
          <w:p w14:paraId="60458FF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7B0E9D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906F72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implications for patients</w:t>
            </w:r>
          </w:p>
        </w:tc>
        <w:tc>
          <w:tcPr>
            <w:tcW w:w="920" w:type="dxa"/>
            <w:tcBorders>
              <w:top w:val="nil"/>
              <w:left w:val="nil"/>
              <w:bottom w:val="single" w:sz="6" w:space="0" w:color="969696"/>
              <w:right w:val="nil"/>
            </w:tcBorders>
            <w:shd w:val="solid" w:color="FFFFFF" w:fill="FFFFFF"/>
          </w:tcPr>
          <w:p w14:paraId="6B437EA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75EF2C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9</w:t>
            </w:r>
          </w:p>
        </w:tc>
      </w:tr>
      <w:tr w:rsidR="00921810" w14:paraId="048057F3" w14:textId="77777777">
        <w:trPr>
          <w:trHeight w:val="280"/>
        </w:trPr>
        <w:tc>
          <w:tcPr>
            <w:tcW w:w="1520" w:type="dxa"/>
            <w:tcBorders>
              <w:top w:val="nil"/>
              <w:left w:val="nil"/>
              <w:bottom w:val="single" w:sz="6" w:space="0" w:color="969696"/>
              <w:right w:val="nil"/>
            </w:tcBorders>
            <w:shd w:val="solid" w:color="FFFFFF" w:fill="FFFFFF"/>
          </w:tcPr>
          <w:p w14:paraId="5915378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DFF647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9BD4AA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performance indicators</w:t>
            </w:r>
          </w:p>
        </w:tc>
        <w:tc>
          <w:tcPr>
            <w:tcW w:w="920" w:type="dxa"/>
            <w:tcBorders>
              <w:top w:val="nil"/>
              <w:left w:val="nil"/>
              <w:bottom w:val="single" w:sz="6" w:space="0" w:color="969696"/>
              <w:right w:val="nil"/>
            </w:tcBorders>
            <w:shd w:val="solid" w:color="FFFFFF" w:fill="FFFFFF"/>
          </w:tcPr>
          <w:p w14:paraId="1DE6797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DCF4B1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5B01D6A1" w14:textId="77777777">
        <w:trPr>
          <w:trHeight w:val="280"/>
        </w:trPr>
        <w:tc>
          <w:tcPr>
            <w:tcW w:w="1520" w:type="dxa"/>
            <w:tcBorders>
              <w:top w:val="nil"/>
              <w:left w:val="nil"/>
              <w:bottom w:val="single" w:sz="6" w:space="0" w:color="969696"/>
              <w:right w:val="nil"/>
            </w:tcBorders>
            <w:shd w:val="solid" w:color="FFFFFF" w:fill="FFFFFF"/>
          </w:tcPr>
          <w:p w14:paraId="4ABAA74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5B0D3E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BBEB8E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triage</w:t>
            </w:r>
          </w:p>
        </w:tc>
        <w:tc>
          <w:tcPr>
            <w:tcW w:w="920" w:type="dxa"/>
            <w:tcBorders>
              <w:top w:val="nil"/>
              <w:left w:val="nil"/>
              <w:bottom w:val="single" w:sz="6" w:space="0" w:color="969696"/>
              <w:right w:val="nil"/>
            </w:tcBorders>
            <w:shd w:val="solid" w:color="FFFFFF" w:fill="FFFFFF"/>
          </w:tcPr>
          <w:p w14:paraId="7EC7A01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B56C64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3AE9A1AC" w14:textId="77777777">
        <w:trPr>
          <w:trHeight w:val="280"/>
        </w:trPr>
        <w:tc>
          <w:tcPr>
            <w:tcW w:w="1520" w:type="dxa"/>
            <w:tcBorders>
              <w:top w:val="nil"/>
              <w:left w:val="nil"/>
              <w:bottom w:val="single" w:sz="6" w:space="0" w:color="969696"/>
              <w:right w:val="nil"/>
            </w:tcBorders>
            <w:shd w:val="solid" w:color="FFFFFF" w:fill="FFFFFF"/>
          </w:tcPr>
          <w:p w14:paraId="7093BED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F0D54E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D80476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test failure</w:t>
            </w:r>
          </w:p>
        </w:tc>
        <w:tc>
          <w:tcPr>
            <w:tcW w:w="920" w:type="dxa"/>
            <w:tcBorders>
              <w:top w:val="nil"/>
              <w:left w:val="nil"/>
              <w:bottom w:val="single" w:sz="6" w:space="0" w:color="969696"/>
              <w:right w:val="nil"/>
            </w:tcBorders>
            <w:shd w:val="solid" w:color="FFFFFF" w:fill="FFFFFF"/>
          </w:tcPr>
          <w:p w14:paraId="6D3F96D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B8A123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07451F" w14:paraId="340EF572" w14:textId="77777777" w:rsidTr="0007451F">
        <w:trPr>
          <w:trHeight w:val="280"/>
        </w:trPr>
        <w:tc>
          <w:tcPr>
            <w:tcW w:w="1520" w:type="dxa"/>
            <w:tcBorders>
              <w:top w:val="nil"/>
              <w:left w:val="nil"/>
              <w:bottom w:val="single" w:sz="6" w:space="0" w:color="969696"/>
              <w:right w:val="nil"/>
            </w:tcBorders>
            <w:shd w:val="solid" w:color="FFFFFF" w:fill="FFFFFF"/>
          </w:tcPr>
          <w:p w14:paraId="2FEC073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0CDDD0F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shift in external demand</w:t>
            </w:r>
          </w:p>
        </w:tc>
        <w:tc>
          <w:tcPr>
            <w:tcW w:w="920" w:type="dxa"/>
            <w:tcBorders>
              <w:top w:val="nil"/>
              <w:left w:val="nil"/>
              <w:bottom w:val="single" w:sz="6" w:space="0" w:color="969696"/>
              <w:right w:val="nil"/>
            </w:tcBorders>
            <w:shd w:val="solid" w:color="FFFFFF" w:fill="FFFFFF"/>
          </w:tcPr>
          <w:p w14:paraId="7F2B3A6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86C769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30</w:t>
            </w:r>
          </w:p>
        </w:tc>
      </w:tr>
      <w:tr w:rsidR="00921810" w14:paraId="235974A0" w14:textId="77777777">
        <w:trPr>
          <w:trHeight w:val="280"/>
        </w:trPr>
        <w:tc>
          <w:tcPr>
            <w:tcW w:w="1520" w:type="dxa"/>
            <w:tcBorders>
              <w:top w:val="nil"/>
              <w:left w:val="nil"/>
              <w:bottom w:val="single" w:sz="6" w:space="0" w:color="969696"/>
              <w:right w:val="nil"/>
            </w:tcBorders>
            <w:shd w:val="solid" w:color="FFFFFF" w:fill="FFFFFF"/>
          </w:tcPr>
          <w:p w14:paraId="3CEAE7C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ACAEDE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6156F4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discharges</w:t>
            </w:r>
          </w:p>
        </w:tc>
        <w:tc>
          <w:tcPr>
            <w:tcW w:w="920" w:type="dxa"/>
            <w:tcBorders>
              <w:top w:val="nil"/>
              <w:left w:val="nil"/>
              <w:bottom w:val="single" w:sz="6" w:space="0" w:color="969696"/>
              <w:right w:val="nil"/>
            </w:tcBorders>
            <w:shd w:val="solid" w:color="FFFFFF" w:fill="FFFFFF"/>
          </w:tcPr>
          <w:p w14:paraId="2F5A4DF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66D8A2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921810" w14:paraId="4EB4D7D1" w14:textId="77777777">
        <w:trPr>
          <w:trHeight w:val="280"/>
        </w:trPr>
        <w:tc>
          <w:tcPr>
            <w:tcW w:w="1520" w:type="dxa"/>
            <w:tcBorders>
              <w:top w:val="nil"/>
              <w:left w:val="nil"/>
              <w:bottom w:val="single" w:sz="6" w:space="0" w:color="969696"/>
              <w:right w:val="nil"/>
            </w:tcBorders>
            <w:shd w:val="solid" w:color="FFFFFF" w:fill="FFFFFF"/>
          </w:tcPr>
          <w:p w14:paraId="39DBE70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43AED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3BB1D8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access to treatment</w:t>
            </w:r>
          </w:p>
        </w:tc>
        <w:tc>
          <w:tcPr>
            <w:tcW w:w="920" w:type="dxa"/>
            <w:tcBorders>
              <w:top w:val="nil"/>
              <w:left w:val="nil"/>
              <w:bottom w:val="single" w:sz="6" w:space="0" w:color="969696"/>
              <w:right w:val="nil"/>
            </w:tcBorders>
            <w:shd w:val="solid" w:color="FFFFFF" w:fill="FFFFFF"/>
          </w:tcPr>
          <w:p w14:paraId="5C683D9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60FFEF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48514559" w14:textId="77777777">
        <w:trPr>
          <w:trHeight w:val="280"/>
        </w:trPr>
        <w:tc>
          <w:tcPr>
            <w:tcW w:w="1520" w:type="dxa"/>
            <w:tcBorders>
              <w:top w:val="nil"/>
              <w:left w:val="nil"/>
              <w:bottom w:val="single" w:sz="6" w:space="0" w:color="969696"/>
              <w:right w:val="nil"/>
            </w:tcBorders>
            <w:shd w:val="solid" w:color="FFFFFF" w:fill="FFFFFF"/>
          </w:tcPr>
          <w:p w14:paraId="0AC84C7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12A150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676407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shift in case mix</w:t>
            </w:r>
          </w:p>
        </w:tc>
        <w:tc>
          <w:tcPr>
            <w:tcW w:w="920" w:type="dxa"/>
            <w:tcBorders>
              <w:top w:val="nil"/>
              <w:left w:val="nil"/>
              <w:bottom w:val="single" w:sz="6" w:space="0" w:color="969696"/>
              <w:right w:val="nil"/>
            </w:tcBorders>
            <w:shd w:val="solid" w:color="FFFFFF" w:fill="FFFFFF"/>
          </w:tcPr>
          <w:p w14:paraId="01938CD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48EE0C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9</w:t>
            </w:r>
          </w:p>
        </w:tc>
      </w:tr>
      <w:tr w:rsidR="0007451F" w14:paraId="31F2079E" w14:textId="77777777" w:rsidTr="0007451F">
        <w:trPr>
          <w:trHeight w:val="280"/>
        </w:trPr>
        <w:tc>
          <w:tcPr>
            <w:tcW w:w="1520" w:type="dxa"/>
            <w:tcBorders>
              <w:top w:val="nil"/>
              <w:left w:val="nil"/>
              <w:bottom w:val="single" w:sz="6" w:space="0" w:color="969696"/>
              <w:right w:val="nil"/>
            </w:tcBorders>
            <w:shd w:val="solid" w:color="FFFFFF" w:fill="FFFFFF"/>
          </w:tcPr>
          <w:p w14:paraId="70DE48A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A9509D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lack of project management capabilities</w:t>
            </w:r>
          </w:p>
        </w:tc>
        <w:tc>
          <w:tcPr>
            <w:tcW w:w="920" w:type="dxa"/>
            <w:tcBorders>
              <w:top w:val="nil"/>
              <w:left w:val="nil"/>
              <w:bottom w:val="single" w:sz="6" w:space="0" w:color="969696"/>
              <w:right w:val="nil"/>
            </w:tcBorders>
            <w:shd w:val="solid" w:color="FFFFFF" w:fill="FFFFFF"/>
          </w:tcPr>
          <w:p w14:paraId="33FF429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2AA14E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9</w:t>
            </w:r>
          </w:p>
        </w:tc>
      </w:tr>
      <w:tr w:rsidR="00921810" w14:paraId="1CF3D42D" w14:textId="77777777">
        <w:trPr>
          <w:trHeight w:val="280"/>
        </w:trPr>
        <w:tc>
          <w:tcPr>
            <w:tcW w:w="1520" w:type="dxa"/>
            <w:tcBorders>
              <w:top w:val="nil"/>
              <w:left w:val="nil"/>
              <w:bottom w:val="single" w:sz="6" w:space="0" w:color="969696"/>
              <w:right w:val="nil"/>
            </w:tcBorders>
            <w:shd w:val="solid" w:color="FFFFFF" w:fill="FFFFFF"/>
          </w:tcPr>
          <w:p w14:paraId="2D1AF65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E6A2FF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ABE087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system failure</w:t>
            </w:r>
          </w:p>
        </w:tc>
        <w:tc>
          <w:tcPr>
            <w:tcW w:w="920" w:type="dxa"/>
            <w:tcBorders>
              <w:top w:val="nil"/>
              <w:left w:val="nil"/>
              <w:bottom w:val="single" w:sz="6" w:space="0" w:color="969696"/>
              <w:right w:val="nil"/>
            </w:tcBorders>
            <w:shd w:val="solid" w:color="FFFFFF" w:fill="FFFFFF"/>
          </w:tcPr>
          <w:p w14:paraId="7756B36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42EA81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07451F" w14:paraId="786AE8F0" w14:textId="77777777" w:rsidTr="0007451F">
        <w:trPr>
          <w:trHeight w:val="280"/>
        </w:trPr>
        <w:tc>
          <w:tcPr>
            <w:tcW w:w="1520" w:type="dxa"/>
            <w:tcBorders>
              <w:top w:val="nil"/>
              <w:left w:val="nil"/>
              <w:bottom w:val="single" w:sz="6" w:space="0" w:color="969696"/>
              <w:right w:val="nil"/>
            </w:tcBorders>
            <w:shd w:val="solid" w:color="FFFFFF" w:fill="FFFFFF"/>
          </w:tcPr>
          <w:p w14:paraId="511F76F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3F230F62" w14:textId="03EA7DE3" w:rsidR="00921810" w:rsidRDefault="003B3C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Covid19</w:t>
            </w:r>
            <w:r w:rsidR="00921810">
              <w:rPr>
                <w:rFonts w:ascii="Calibri" w:hAnsi="Calibri" w:cs="Calibri"/>
                <w:color w:val="000000"/>
                <w:sz w:val="20"/>
                <w:szCs w:val="20"/>
                <w:lang w:val="en-GB" w:eastAsia="en-GB"/>
              </w:rPr>
              <w:t xml:space="preserve"> prevalance</w:t>
            </w:r>
          </w:p>
        </w:tc>
        <w:tc>
          <w:tcPr>
            <w:tcW w:w="920" w:type="dxa"/>
            <w:tcBorders>
              <w:top w:val="nil"/>
              <w:left w:val="nil"/>
              <w:bottom w:val="single" w:sz="6" w:space="0" w:color="969696"/>
              <w:right w:val="nil"/>
            </w:tcBorders>
            <w:shd w:val="solid" w:color="FFFFFF" w:fill="FFFFFF"/>
          </w:tcPr>
          <w:p w14:paraId="323913C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2B8037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071CB78E" w14:textId="77777777">
        <w:trPr>
          <w:trHeight w:val="280"/>
        </w:trPr>
        <w:tc>
          <w:tcPr>
            <w:tcW w:w="1520" w:type="dxa"/>
            <w:tcBorders>
              <w:top w:val="nil"/>
              <w:left w:val="nil"/>
              <w:bottom w:val="single" w:sz="6" w:space="0" w:color="969696"/>
              <w:right w:val="nil"/>
            </w:tcBorders>
            <w:shd w:val="solid" w:color="FFFFFF" w:fill="FFFFFF"/>
          </w:tcPr>
          <w:p w14:paraId="38773C2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14C168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F0A5D1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transfers</w:t>
            </w:r>
          </w:p>
        </w:tc>
        <w:tc>
          <w:tcPr>
            <w:tcW w:w="920" w:type="dxa"/>
            <w:tcBorders>
              <w:top w:val="nil"/>
              <w:left w:val="nil"/>
              <w:bottom w:val="single" w:sz="6" w:space="0" w:color="969696"/>
              <w:right w:val="nil"/>
            </w:tcBorders>
            <w:shd w:val="solid" w:color="FFFFFF" w:fill="FFFFFF"/>
          </w:tcPr>
          <w:p w14:paraId="7BA21FD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5AC1E8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2A367D71" w14:textId="77777777">
        <w:trPr>
          <w:trHeight w:val="280"/>
        </w:trPr>
        <w:tc>
          <w:tcPr>
            <w:tcW w:w="1520" w:type="dxa"/>
            <w:tcBorders>
              <w:top w:val="nil"/>
              <w:left w:val="nil"/>
              <w:bottom w:val="single" w:sz="6" w:space="0" w:color="969696"/>
              <w:right w:val="nil"/>
            </w:tcBorders>
            <w:shd w:val="solid" w:color="FFFFFF" w:fill="FFFFFF"/>
          </w:tcPr>
          <w:p w14:paraId="73BA7C2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438EB0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leadership</w:t>
            </w:r>
          </w:p>
        </w:tc>
        <w:tc>
          <w:tcPr>
            <w:tcW w:w="6080" w:type="dxa"/>
            <w:tcBorders>
              <w:top w:val="nil"/>
              <w:left w:val="nil"/>
              <w:bottom w:val="single" w:sz="6" w:space="0" w:color="969696"/>
              <w:right w:val="nil"/>
            </w:tcBorders>
            <w:shd w:val="solid" w:color="FFFFFF" w:fill="FFFFFF"/>
          </w:tcPr>
          <w:p w14:paraId="269C90A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5F664A3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239B08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11</w:t>
            </w:r>
          </w:p>
        </w:tc>
      </w:tr>
      <w:tr w:rsidR="00921810" w14:paraId="69595322" w14:textId="77777777">
        <w:trPr>
          <w:trHeight w:val="280"/>
        </w:trPr>
        <w:tc>
          <w:tcPr>
            <w:tcW w:w="1520" w:type="dxa"/>
            <w:tcBorders>
              <w:top w:val="nil"/>
              <w:left w:val="nil"/>
              <w:bottom w:val="single" w:sz="6" w:space="0" w:color="969696"/>
              <w:right w:val="nil"/>
            </w:tcBorders>
            <w:shd w:val="solid" w:color="FFFFFF" w:fill="FFFFFF"/>
          </w:tcPr>
          <w:p w14:paraId="077733B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306C66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5F5FA4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recognition for services</w:t>
            </w:r>
          </w:p>
        </w:tc>
        <w:tc>
          <w:tcPr>
            <w:tcW w:w="920" w:type="dxa"/>
            <w:tcBorders>
              <w:top w:val="nil"/>
              <w:left w:val="nil"/>
              <w:bottom w:val="single" w:sz="6" w:space="0" w:color="969696"/>
              <w:right w:val="nil"/>
            </w:tcBorders>
            <w:shd w:val="solid" w:color="FFFFFF" w:fill="FFFFFF"/>
          </w:tcPr>
          <w:p w14:paraId="388ED9E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B4B0DB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3A64B450" w14:textId="77777777">
        <w:trPr>
          <w:trHeight w:val="280"/>
        </w:trPr>
        <w:tc>
          <w:tcPr>
            <w:tcW w:w="1520" w:type="dxa"/>
            <w:tcBorders>
              <w:top w:val="nil"/>
              <w:left w:val="nil"/>
              <w:bottom w:val="single" w:sz="6" w:space="0" w:color="969696"/>
              <w:right w:val="nil"/>
            </w:tcBorders>
            <w:shd w:val="solid" w:color="FFFFFF" w:fill="FFFFFF"/>
          </w:tcPr>
          <w:p w14:paraId="22D727A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319058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1F5563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reflection</w:t>
            </w:r>
          </w:p>
        </w:tc>
        <w:tc>
          <w:tcPr>
            <w:tcW w:w="920" w:type="dxa"/>
            <w:tcBorders>
              <w:top w:val="nil"/>
              <w:left w:val="nil"/>
              <w:bottom w:val="single" w:sz="6" w:space="0" w:color="969696"/>
              <w:right w:val="nil"/>
            </w:tcBorders>
            <w:shd w:val="solid" w:color="FFFFFF" w:fill="FFFFFF"/>
          </w:tcPr>
          <w:p w14:paraId="1BFA78B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2F4F4E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07451F" w14:paraId="635FDB92" w14:textId="77777777" w:rsidTr="0007451F">
        <w:trPr>
          <w:trHeight w:val="280"/>
        </w:trPr>
        <w:tc>
          <w:tcPr>
            <w:tcW w:w="1520" w:type="dxa"/>
            <w:tcBorders>
              <w:top w:val="nil"/>
              <w:left w:val="nil"/>
              <w:bottom w:val="single" w:sz="6" w:space="0" w:color="969696"/>
              <w:right w:val="nil"/>
            </w:tcBorders>
            <w:shd w:val="solid" w:color="FFFFFF" w:fill="FFFFFF"/>
          </w:tcPr>
          <w:p w14:paraId="44662BE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EAF9B7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rethinking the service</w:t>
            </w:r>
          </w:p>
        </w:tc>
        <w:tc>
          <w:tcPr>
            <w:tcW w:w="920" w:type="dxa"/>
            <w:tcBorders>
              <w:top w:val="nil"/>
              <w:left w:val="nil"/>
              <w:bottom w:val="single" w:sz="6" w:space="0" w:color="969696"/>
              <w:right w:val="nil"/>
            </w:tcBorders>
            <w:shd w:val="solid" w:color="FFFFFF" w:fill="FFFFFF"/>
          </w:tcPr>
          <w:p w14:paraId="56F7318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435147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921810" w14:paraId="0676844A" w14:textId="77777777">
        <w:trPr>
          <w:trHeight w:val="280"/>
        </w:trPr>
        <w:tc>
          <w:tcPr>
            <w:tcW w:w="1520" w:type="dxa"/>
            <w:tcBorders>
              <w:top w:val="nil"/>
              <w:left w:val="nil"/>
              <w:bottom w:val="single" w:sz="6" w:space="0" w:color="969696"/>
              <w:right w:val="nil"/>
            </w:tcBorders>
            <w:shd w:val="solid" w:color="FFFFFF" w:fill="FFFFFF"/>
          </w:tcPr>
          <w:p w14:paraId="6F7759E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0C132B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EC4302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potential for improvement</w:t>
            </w:r>
          </w:p>
        </w:tc>
        <w:tc>
          <w:tcPr>
            <w:tcW w:w="920" w:type="dxa"/>
            <w:tcBorders>
              <w:top w:val="nil"/>
              <w:left w:val="nil"/>
              <w:bottom w:val="single" w:sz="6" w:space="0" w:color="969696"/>
              <w:right w:val="nil"/>
            </w:tcBorders>
            <w:shd w:val="solid" w:color="FFFFFF" w:fill="FFFFFF"/>
          </w:tcPr>
          <w:p w14:paraId="6777806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E852F5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273F9DC4" w14:textId="77777777">
        <w:trPr>
          <w:trHeight w:val="280"/>
        </w:trPr>
        <w:tc>
          <w:tcPr>
            <w:tcW w:w="1520" w:type="dxa"/>
            <w:tcBorders>
              <w:top w:val="nil"/>
              <w:left w:val="nil"/>
              <w:bottom w:val="single" w:sz="6" w:space="0" w:color="969696"/>
              <w:right w:val="nil"/>
            </w:tcBorders>
            <w:shd w:val="solid" w:color="FFFFFF" w:fill="FFFFFF"/>
          </w:tcPr>
          <w:p w14:paraId="0BBDB04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720396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A472BA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seeking long-term approach </w:t>
            </w:r>
          </w:p>
        </w:tc>
        <w:tc>
          <w:tcPr>
            <w:tcW w:w="920" w:type="dxa"/>
            <w:tcBorders>
              <w:top w:val="nil"/>
              <w:left w:val="nil"/>
              <w:bottom w:val="single" w:sz="6" w:space="0" w:color="969696"/>
              <w:right w:val="nil"/>
            </w:tcBorders>
            <w:shd w:val="solid" w:color="FFFFFF" w:fill="FFFFFF"/>
          </w:tcPr>
          <w:p w14:paraId="1762ED4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935927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3C63B300" w14:textId="77777777">
        <w:trPr>
          <w:trHeight w:val="280"/>
        </w:trPr>
        <w:tc>
          <w:tcPr>
            <w:tcW w:w="1520" w:type="dxa"/>
            <w:tcBorders>
              <w:top w:val="nil"/>
              <w:left w:val="nil"/>
              <w:bottom w:val="single" w:sz="6" w:space="0" w:color="969696"/>
              <w:right w:val="nil"/>
            </w:tcBorders>
            <w:shd w:val="solid" w:color="FFFFFF" w:fill="FFFFFF"/>
          </w:tcPr>
          <w:p w14:paraId="4E9442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lastRenderedPageBreak/>
              <w:t xml:space="preserve"> </w:t>
            </w:r>
          </w:p>
        </w:tc>
        <w:tc>
          <w:tcPr>
            <w:tcW w:w="1520" w:type="dxa"/>
            <w:tcBorders>
              <w:top w:val="nil"/>
              <w:left w:val="nil"/>
              <w:bottom w:val="single" w:sz="6" w:space="0" w:color="969696"/>
              <w:right w:val="nil"/>
            </w:tcBorders>
            <w:shd w:val="solid" w:color="FFFFFF" w:fill="FFFFFF"/>
          </w:tcPr>
          <w:p w14:paraId="28BC316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6C05A4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patient-centred care</w:t>
            </w:r>
          </w:p>
        </w:tc>
        <w:tc>
          <w:tcPr>
            <w:tcW w:w="920" w:type="dxa"/>
            <w:tcBorders>
              <w:top w:val="nil"/>
              <w:left w:val="nil"/>
              <w:bottom w:val="single" w:sz="6" w:space="0" w:color="969696"/>
              <w:right w:val="nil"/>
            </w:tcBorders>
            <w:shd w:val="solid" w:color="FFFFFF" w:fill="FFFFFF"/>
          </w:tcPr>
          <w:p w14:paraId="2C54BE3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A12556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0D58EC57" w14:textId="77777777">
        <w:trPr>
          <w:trHeight w:val="280"/>
        </w:trPr>
        <w:tc>
          <w:tcPr>
            <w:tcW w:w="1520" w:type="dxa"/>
            <w:tcBorders>
              <w:top w:val="nil"/>
              <w:left w:val="nil"/>
              <w:bottom w:val="single" w:sz="6" w:space="0" w:color="969696"/>
              <w:right w:val="nil"/>
            </w:tcBorders>
            <w:shd w:val="solid" w:color="FFFFFF" w:fill="FFFFFF"/>
          </w:tcPr>
          <w:p w14:paraId="57D6EB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B1A572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adapting to change</w:t>
            </w:r>
          </w:p>
        </w:tc>
        <w:tc>
          <w:tcPr>
            <w:tcW w:w="6080" w:type="dxa"/>
            <w:tcBorders>
              <w:top w:val="nil"/>
              <w:left w:val="nil"/>
              <w:bottom w:val="single" w:sz="6" w:space="0" w:color="969696"/>
              <w:right w:val="nil"/>
            </w:tcBorders>
            <w:shd w:val="solid" w:color="FFFFFF" w:fill="FFFFFF"/>
          </w:tcPr>
          <w:p w14:paraId="6C8E60E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2D29B51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414644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13</w:t>
            </w:r>
          </w:p>
        </w:tc>
      </w:tr>
      <w:tr w:rsidR="00921810" w14:paraId="43FE91B9" w14:textId="77777777">
        <w:trPr>
          <w:trHeight w:val="280"/>
        </w:trPr>
        <w:tc>
          <w:tcPr>
            <w:tcW w:w="1520" w:type="dxa"/>
            <w:tcBorders>
              <w:top w:val="nil"/>
              <w:left w:val="nil"/>
              <w:bottom w:val="single" w:sz="6" w:space="0" w:color="969696"/>
              <w:right w:val="nil"/>
            </w:tcBorders>
            <w:shd w:val="solid" w:color="FFFFFF" w:fill="FFFFFF"/>
          </w:tcPr>
          <w:p w14:paraId="276F7D9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B31648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0EAF0CE" w14:textId="1E5642F7" w:rsidR="00921810" w:rsidRDefault="003B3C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Covid19</w:t>
            </w:r>
            <w:r w:rsidR="00921810">
              <w:rPr>
                <w:rFonts w:ascii="Calibri" w:hAnsi="Calibri" w:cs="Calibri"/>
                <w:color w:val="000000"/>
                <w:sz w:val="20"/>
                <w:szCs w:val="20"/>
                <w:lang w:val="en-GB" w:eastAsia="en-GB"/>
              </w:rPr>
              <w:t>-enabled change</w:t>
            </w:r>
          </w:p>
        </w:tc>
        <w:tc>
          <w:tcPr>
            <w:tcW w:w="920" w:type="dxa"/>
            <w:tcBorders>
              <w:top w:val="nil"/>
              <w:left w:val="nil"/>
              <w:bottom w:val="single" w:sz="6" w:space="0" w:color="969696"/>
              <w:right w:val="nil"/>
            </w:tcBorders>
            <w:shd w:val="solid" w:color="FFFFFF" w:fill="FFFFFF"/>
          </w:tcPr>
          <w:p w14:paraId="4024CD4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EE2F5D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6F59FF84" w14:textId="77777777">
        <w:trPr>
          <w:trHeight w:val="280"/>
        </w:trPr>
        <w:tc>
          <w:tcPr>
            <w:tcW w:w="1520" w:type="dxa"/>
            <w:tcBorders>
              <w:top w:val="nil"/>
              <w:left w:val="nil"/>
              <w:bottom w:val="single" w:sz="6" w:space="0" w:color="969696"/>
              <w:right w:val="nil"/>
            </w:tcBorders>
            <w:shd w:val="solid" w:color="FFFFFF" w:fill="FFFFFF"/>
          </w:tcPr>
          <w:p w14:paraId="182944C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23FF5E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AC8C16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science-based changes</w:t>
            </w:r>
          </w:p>
        </w:tc>
        <w:tc>
          <w:tcPr>
            <w:tcW w:w="920" w:type="dxa"/>
            <w:tcBorders>
              <w:top w:val="nil"/>
              <w:left w:val="nil"/>
              <w:bottom w:val="single" w:sz="6" w:space="0" w:color="969696"/>
              <w:right w:val="nil"/>
            </w:tcBorders>
            <w:shd w:val="solid" w:color="FFFFFF" w:fill="FFFFFF"/>
          </w:tcPr>
          <w:p w14:paraId="32B0989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BDB83B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07451F" w14:paraId="0B0A069F" w14:textId="77777777" w:rsidTr="0007451F">
        <w:trPr>
          <w:trHeight w:val="280"/>
        </w:trPr>
        <w:tc>
          <w:tcPr>
            <w:tcW w:w="1520" w:type="dxa"/>
            <w:tcBorders>
              <w:top w:val="nil"/>
              <w:left w:val="nil"/>
              <w:bottom w:val="single" w:sz="6" w:space="0" w:color="969696"/>
              <w:right w:val="nil"/>
            </w:tcBorders>
            <w:shd w:val="solid" w:color="FFFFFF" w:fill="FFFFFF"/>
          </w:tcPr>
          <w:p w14:paraId="6AAC4F9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6F75DEDE" w14:textId="1B6BD3CF" w:rsidR="00921810" w:rsidRDefault="003B3C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Covid19</w:t>
            </w:r>
            <w:r w:rsidR="00921810">
              <w:rPr>
                <w:rFonts w:ascii="Calibri" w:hAnsi="Calibri" w:cs="Calibri"/>
                <w:color w:val="000000"/>
                <w:sz w:val="20"/>
                <w:szCs w:val="20"/>
                <w:lang w:val="en-GB" w:eastAsia="en-GB"/>
              </w:rPr>
              <w:t xml:space="preserve"> overruling continous improvement</w:t>
            </w:r>
          </w:p>
        </w:tc>
        <w:tc>
          <w:tcPr>
            <w:tcW w:w="920" w:type="dxa"/>
            <w:tcBorders>
              <w:top w:val="nil"/>
              <w:left w:val="nil"/>
              <w:bottom w:val="single" w:sz="6" w:space="0" w:color="969696"/>
              <w:right w:val="nil"/>
            </w:tcBorders>
            <w:shd w:val="solid" w:color="FFFFFF" w:fill="FFFFFF"/>
          </w:tcPr>
          <w:p w14:paraId="01CDB2C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B515A8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921810" w14:paraId="7BCCAE25" w14:textId="77777777">
        <w:trPr>
          <w:trHeight w:val="280"/>
        </w:trPr>
        <w:tc>
          <w:tcPr>
            <w:tcW w:w="1520" w:type="dxa"/>
            <w:tcBorders>
              <w:top w:val="nil"/>
              <w:left w:val="nil"/>
              <w:bottom w:val="single" w:sz="6" w:space="0" w:color="969696"/>
              <w:right w:val="nil"/>
            </w:tcBorders>
            <w:shd w:val="solid" w:color="FFFFFF" w:fill="FFFFFF"/>
          </w:tcPr>
          <w:p w14:paraId="1AACC0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066A32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C8EC227" w14:textId="07FEB38E"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return to pre-</w:t>
            </w:r>
            <w:r w:rsidR="003B3C10">
              <w:rPr>
                <w:rFonts w:ascii="Calibri" w:hAnsi="Calibri" w:cs="Calibri"/>
                <w:color w:val="000000"/>
                <w:sz w:val="20"/>
                <w:szCs w:val="20"/>
                <w:lang w:val="en-GB" w:eastAsia="en-GB"/>
              </w:rPr>
              <w:t>Covid19</w:t>
            </w:r>
          </w:p>
        </w:tc>
        <w:tc>
          <w:tcPr>
            <w:tcW w:w="920" w:type="dxa"/>
            <w:tcBorders>
              <w:top w:val="nil"/>
              <w:left w:val="nil"/>
              <w:bottom w:val="single" w:sz="6" w:space="0" w:color="969696"/>
              <w:right w:val="nil"/>
            </w:tcBorders>
            <w:shd w:val="solid" w:color="FFFFFF" w:fill="FFFFFF"/>
          </w:tcPr>
          <w:p w14:paraId="7BBB0CA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1E2907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07451F" w14:paraId="7F73E920" w14:textId="77777777" w:rsidTr="0007451F">
        <w:trPr>
          <w:trHeight w:val="280"/>
        </w:trPr>
        <w:tc>
          <w:tcPr>
            <w:tcW w:w="1520" w:type="dxa"/>
            <w:tcBorders>
              <w:top w:val="nil"/>
              <w:left w:val="nil"/>
              <w:bottom w:val="single" w:sz="6" w:space="0" w:color="969696"/>
              <w:right w:val="nil"/>
            </w:tcBorders>
            <w:shd w:val="solid" w:color="FFFFFF" w:fill="FFFFFF"/>
          </w:tcPr>
          <w:p w14:paraId="7641B2E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5178623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hospital reconfiguration</w:t>
            </w:r>
          </w:p>
        </w:tc>
        <w:tc>
          <w:tcPr>
            <w:tcW w:w="920" w:type="dxa"/>
            <w:tcBorders>
              <w:top w:val="nil"/>
              <w:left w:val="nil"/>
              <w:bottom w:val="single" w:sz="6" w:space="0" w:color="969696"/>
              <w:right w:val="nil"/>
            </w:tcBorders>
            <w:shd w:val="solid" w:color="FFFFFF" w:fill="FFFFFF"/>
          </w:tcPr>
          <w:p w14:paraId="2E93E78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B26180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31</w:t>
            </w:r>
          </w:p>
        </w:tc>
      </w:tr>
      <w:tr w:rsidR="00921810" w14:paraId="415D418E" w14:textId="77777777">
        <w:trPr>
          <w:trHeight w:val="280"/>
        </w:trPr>
        <w:tc>
          <w:tcPr>
            <w:tcW w:w="1520" w:type="dxa"/>
            <w:tcBorders>
              <w:top w:val="nil"/>
              <w:left w:val="nil"/>
              <w:bottom w:val="single" w:sz="6" w:space="0" w:color="969696"/>
              <w:right w:val="nil"/>
            </w:tcBorders>
            <w:shd w:val="solid" w:color="FFFFFF" w:fill="FFFFFF"/>
          </w:tcPr>
          <w:p w14:paraId="1CC3801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316AC6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7DFE8E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set-up of new units</w:t>
            </w:r>
          </w:p>
        </w:tc>
        <w:tc>
          <w:tcPr>
            <w:tcW w:w="920" w:type="dxa"/>
            <w:tcBorders>
              <w:top w:val="nil"/>
              <w:left w:val="nil"/>
              <w:bottom w:val="single" w:sz="6" w:space="0" w:color="969696"/>
              <w:right w:val="nil"/>
            </w:tcBorders>
            <w:shd w:val="solid" w:color="FFFFFF" w:fill="FFFFFF"/>
          </w:tcPr>
          <w:p w14:paraId="13F6630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E40A74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4D9E06A0" w14:textId="77777777">
        <w:trPr>
          <w:trHeight w:val="280"/>
        </w:trPr>
        <w:tc>
          <w:tcPr>
            <w:tcW w:w="1520" w:type="dxa"/>
            <w:tcBorders>
              <w:top w:val="nil"/>
              <w:left w:val="nil"/>
              <w:bottom w:val="single" w:sz="6" w:space="0" w:color="969696"/>
              <w:right w:val="nil"/>
            </w:tcBorders>
            <w:shd w:val="solid" w:color="FFFFFF" w:fill="FFFFFF"/>
          </w:tcPr>
          <w:p w14:paraId="31A8AF7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F5F472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538CF5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ward closure</w:t>
            </w:r>
          </w:p>
        </w:tc>
        <w:tc>
          <w:tcPr>
            <w:tcW w:w="920" w:type="dxa"/>
            <w:tcBorders>
              <w:top w:val="nil"/>
              <w:left w:val="nil"/>
              <w:bottom w:val="single" w:sz="6" w:space="0" w:color="969696"/>
              <w:right w:val="nil"/>
            </w:tcBorders>
            <w:shd w:val="solid" w:color="FFFFFF" w:fill="FFFFFF"/>
          </w:tcPr>
          <w:p w14:paraId="1F76732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E2D5EE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6FCA18A6" w14:textId="77777777">
        <w:trPr>
          <w:trHeight w:val="280"/>
        </w:trPr>
        <w:tc>
          <w:tcPr>
            <w:tcW w:w="1520" w:type="dxa"/>
            <w:tcBorders>
              <w:top w:val="nil"/>
              <w:left w:val="nil"/>
              <w:bottom w:val="single" w:sz="6" w:space="0" w:color="969696"/>
              <w:right w:val="nil"/>
            </w:tcBorders>
            <w:shd w:val="solid" w:color="FFFFFF" w:fill="FFFFFF"/>
          </w:tcPr>
          <w:p w14:paraId="4271120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6CC56B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827F76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patient segregation</w:t>
            </w:r>
          </w:p>
        </w:tc>
        <w:tc>
          <w:tcPr>
            <w:tcW w:w="920" w:type="dxa"/>
            <w:tcBorders>
              <w:top w:val="nil"/>
              <w:left w:val="nil"/>
              <w:bottom w:val="single" w:sz="6" w:space="0" w:color="969696"/>
              <w:right w:val="nil"/>
            </w:tcBorders>
            <w:shd w:val="solid" w:color="FFFFFF" w:fill="FFFFFF"/>
          </w:tcPr>
          <w:p w14:paraId="604B48D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33553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9</w:t>
            </w:r>
          </w:p>
        </w:tc>
      </w:tr>
      <w:tr w:rsidR="00921810" w14:paraId="38F92619" w14:textId="77777777">
        <w:trPr>
          <w:trHeight w:val="280"/>
        </w:trPr>
        <w:tc>
          <w:tcPr>
            <w:tcW w:w="1520" w:type="dxa"/>
            <w:tcBorders>
              <w:top w:val="nil"/>
              <w:left w:val="nil"/>
              <w:bottom w:val="single" w:sz="6" w:space="0" w:color="969696"/>
              <w:right w:val="nil"/>
            </w:tcBorders>
            <w:shd w:val="solid" w:color="FFFFFF" w:fill="FFFFFF"/>
          </w:tcPr>
          <w:p w14:paraId="37208A6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66B1D4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64F616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Ringfencing capacity</w:t>
            </w:r>
          </w:p>
        </w:tc>
        <w:tc>
          <w:tcPr>
            <w:tcW w:w="920" w:type="dxa"/>
            <w:tcBorders>
              <w:top w:val="nil"/>
              <w:left w:val="nil"/>
              <w:bottom w:val="single" w:sz="6" w:space="0" w:color="969696"/>
              <w:right w:val="nil"/>
            </w:tcBorders>
            <w:shd w:val="solid" w:color="FFFFFF" w:fill="FFFFFF"/>
          </w:tcPr>
          <w:p w14:paraId="2E574A1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5C1056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5494D118" w14:textId="77777777">
        <w:trPr>
          <w:trHeight w:val="280"/>
        </w:trPr>
        <w:tc>
          <w:tcPr>
            <w:tcW w:w="1520" w:type="dxa"/>
            <w:tcBorders>
              <w:top w:val="nil"/>
              <w:left w:val="nil"/>
              <w:bottom w:val="single" w:sz="6" w:space="0" w:color="969696"/>
              <w:right w:val="nil"/>
            </w:tcBorders>
            <w:shd w:val="solid" w:color="FFFFFF" w:fill="FFFFFF"/>
          </w:tcPr>
          <w:p w14:paraId="4937533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A803F6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50DCEE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reconfiguration</w:t>
            </w:r>
          </w:p>
        </w:tc>
        <w:tc>
          <w:tcPr>
            <w:tcW w:w="920" w:type="dxa"/>
            <w:tcBorders>
              <w:top w:val="nil"/>
              <w:left w:val="nil"/>
              <w:bottom w:val="single" w:sz="6" w:space="0" w:color="969696"/>
              <w:right w:val="nil"/>
            </w:tcBorders>
            <w:shd w:val="solid" w:color="FFFFFF" w:fill="FFFFFF"/>
          </w:tcPr>
          <w:p w14:paraId="0DC838E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53B075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07451F" w14:paraId="6E757D38" w14:textId="77777777" w:rsidTr="0007451F">
        <w:trPr>
          <w:trHeight w:val="280"/>
        </w:trPr>
        <w:tc>
          <w:tcPr>
            <w:tcW w:w="1520" w:type="dxa"/>
            <w:tcBorders>
              <w:top w:val="nil"/>
              <w:left w:val="nil"/>
              <w:bottom w:val="single" w:sz="6" w:space="0" w:color="969696"/>
              <w:right w:val="nil"/>
            </w:tcBorders>
            <w:shd w:val="solid" w:color="FFFFFF" w:fill="FFFFFF"/>
          </w:tcPr>
          <w:p w14:paraId="6C266CA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923CBF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external governance</w:t>
            </w:r>
          </w:p>
        </w:tc>
        <w:tc>
          <w:tcPr>
            <w:tcW w:w="920" w:type="dxa"/>
            <w:tcBorders>
              <w:top w:val="nil"/>
              <w:left w:val="nil"/>
              <w:bottom w:val="single" w:sz="6" w:space="0" w:color="969696"/>
              <w:right w:val="nil"/>
            </w:tcBorders>
            <w:shd w:val="solid" w:color="FFFFFF" w:fill="FFFFFF"/>
          </w:tcPr>
          <w:p w14:paraId="259F84C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3B47EE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12</w:t>
            </w:r>
          </w:p>
        </w:tc>
      </w:tr>
      <w:tr w:rsidR="00921810" w14:paraId="3652D033" w14:textId="77777777">
        <w:trPr>
          <w:trHeight w:val="280"/>
        </w:trPr>
        <w:tc>
          <w:tcPr>
            <w:tcW w:w="1520" w:type="dxa"/>
            <w:tcBorders>
              <w:top w:val="nil"/>
              <w:left w:val="nil"/>
              <w:bottom w:val="single" w:sz="6" w:space="0" w:color="969696"/>
              <w:right w:val="nil"/>
            </w:tcBorders>
            <w:shd w:val="solid" w:color="FFFFFF" w:fill="FFFFFF"/>
          </w:tcPr>
          <w:p w14:paraId="2C51BFC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7365D6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BAA0FC8" w14:textId="7AB1D07E"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politi</w:t>
            </w:r>
            <w:r w:rsidR="003B3C10">
              <w:rPr>
                <w:rFonts w:ascii="Calibri" w:hAnsi="Calibri" w:cs="Calibri"/>
                <w:color w:val="000000"/>
                <w:sz w:val="20"/>
                <w:szCs w:val="20"/>
                <w:lang w:val="en-GB" w:eastAsia="en-GB"/>
              </w:rPr>
              <w:t>ci</w:t>
            </w:r>
            <w:r>
              <w:rPr>
                <w:rFonts w:ascii="Calibri" w:hAnsi="Calibri" w:cs="Calibri"/>
                <w:color w:val="000000"/>
                <w:sz w:val="20"/>
                <w:szCs w:val="20"/>
                <w:lang w:val="en-GB" w:eastAsia="en-GB"/>
              </w:rPr>
              <w:t>sation</w:t>
            </w:r>
          </w:p>
        </w:tc>
        <w:tc>
          <w:tcPr>
            <w:tcW w:w="920" w:type="dxa"/>
            <w:tcBorders>
              <w:top w:val="nil"/>
              <w:left w:val="nil"/>
              <w:bottom w:val="single" w:sz="6" w:space="0" w:color="969696"/>
              <w:right w:val="nil"/>
            </w:tcBorders>
            <w:shd w:val="solid" w:color="FFFFFF" w:fill="FFFFFF"/>
          </w:tcPr>
          <w:p w14:paraId="262C63E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001F64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07451F" w14:paraId="78011336" w14:textId="77777777" w:rsidTr="0007451F">
        <w:trPr>
          <w:trHeight w:val="280"/>
        </w:trPr>
        <w:tc>
          <w:tcPr>
            <w:tcW w:w="1520" w:type="dxa"/>
            <w:tcBorders>
              <w:top w:val="nil"/>
              <w:left w:val="nil"/>
              <w:bottom w:val="single" w:sz="6" w:space="0" w:color="969696"/>
              <w:right w:val="nil"/>
            </w:tcBorders>
            <w:shd w:val="solid" w:color="FFFFFF" w:fill="FFFFFF"/>
          </w:tcPr>
          <w:p w14:paraId="220A016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74E4B4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different requirements across services</w:t>
            </w:r>
          </w:p>
        </w:tc>
        <w:tc>
          <w:tcPr>
            <w:tcW w:w="920" w:type="dxa"/>
            <w:tcBorders>
              <w:top w:val="nil"/>
              <w:left w:val="nil"/>
              <w:bottom w:val="single" w:sz="6" w:space="0" w:color="969696"/>
              <w:right w:val="nil"/>
            </w:tcBorders>
            <w:shd w:val="solid" w:color="FFFFFF" w:fill="FFFFFF"/>
          </w:tcPr>
          <w:p w14:paraId="6080C05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660509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9</w:t>
            </w:r>
          </w:p>
        </w:tc>
      </w:tr>
      <w:tr w:rsidR="00921810" w14:paraId="38BACD0D" w14:textId="77777777">
        <w:trPr>
          <w:trHeight w:val="280"/>
        </w:trPr>
        <w:tc>
          <w:tcPr>
            <w:tcW w:w="1520" w:type="dxa"/>
            <w:tcBorders>
              <w:top w:val="nil"/>
              <w:left w:val="nil"/>
              <w:bottom w:val="single" w:sz="6" w:space="0" w:color="969696"/>
              <w:right w:val="nil"/>
            </w:tcBorders>
            <w:shd w:val="solid" w:color="FFFFFF" w:fill="FFFFFF"/>
          </w:tcPr>
          <w:p w14:paraId="5C4AF4B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29A816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C63D28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different dynamics of paediatrics</w:t>
            </w:r>
          </w:p>
        </w:tc>
        <w:tc>
          <w:tcPr>
            <w:tcW w:w="920" w:type="dxa"/>
            <w:tcBorders>
              <w:top w:val="nil"/>
              <w:left w:val="nil"/>
              <w:bottom w:val="single" w:sz="6" w:space="0" w:color="969696"/>
              <w:right w:val="nil"/>
            </w:tcBorders>
            <w:shd w:val="solid" w:color="FFFFFF" w:fill="FFFFFF"/>
          </w:tcPr>
          <w:p w14:paraId="5C8FFA5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A83435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1BC6CC14" w14:textId="77777777">
        <w:trPr>
          <w:trHeight w:val="280"/>
        </w:trPr>
        <w:tc>
          <w:tcPr>
            <w:tcW w:w="1520" w:type="dxa"/>
            <w:tcBorders>
              <w:top w:val="nil"/>
              <w:left w:val="nil"/>
              <w:bottom w:val="single" w:sz="6" w:space="0" w:color="969696"/>
              <w:right w:val="nil"/>
            </w:tcBorders>
            <w:shd w:val="solid" w:color="FFFFFF" w:fill="FFFFFF"/>
          </w:tcPr>
          <w:p w14:paraId="715935E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675B20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backlog of patients</w:t>
            </w:r>
          </w:p>
        </w:tc>
        <w:tc>
          <w:tcPr>
            <w:tcW w:w="6080" w:type="dxa"/>
            <w:tcBorders>
              <w:top w:val="nil"/>
              <w:left w:val="nil"/>
              <w:bottom w:val="single" w:sz="6" w:space="0" w:color="969696"/>
              <w:right w:val="nil"/>
            </w:tcBorders>
            <w:shd w:val="solid" w:color="FFFFFF" w:fill="FFFFFF"/>
          </w:tcPr>
          <w:p w14:paraId="6C3B07D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2FA97CE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4299F0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20</w:t>
            </w:r>
          </w:p>
        </w:tc>
      </w:tr>
      <w:tr w:rsidR="00921810" w14:paraId="7E4ABA53" w14:textId="77777777">
        <w:trPr>
          <w:trHeight w:val="280"/>
        </w:trPr>
        <w:tc>
          <w:tcPr>
            <w:tcW w:w="1520" w:type="dxa"/>
            <w:tcBorders>
              <w:top w:val="nil"/>
              <w:left w:val="nil"/>
              <w:bottom w:val="single" w:sz="6" w:space="0" w:color="969696"/>
              <w:right w:val="nil"/>
            </w:tcBorders>
            <w:shd w:val="solid" w:color="FFFFFF" w:fill="FFFFFF"/>
          </w:tcPr>
          <w:p w14:paraId="348FCA6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B54683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02E286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prioritisation</w:t>
            </w:r>
          </w:p>
        </w:tc>
        <w:tc>
          <w:tcPr>
            <w:tcW w:w="920" w:type="dxa"/>
            <w:tcBorders>
              <w:top w:val="nil"/>
              <w:left w:val="nil"/>
              <w:bottom w:val="single" w:sz="6" w:space="0" w:color="969696"/>
              <w:right w:val="nil"/>
            </w:tcBorders>
            <w:shd w:val="solid" w:color="FFFFFF" w:fill="FFFFFF"/>
          </w:tcPr>
          <w:p w14:paraId="45D0898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C39BE6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10</w:t>
            </w:r>
          </w:p>
        </w:tc>
      </w:tr>
      <w:tr w:rsidR="0007451F" w14:paraId="3839D9C8" w14:textId="77777777" w:rsidTr="0007451F">
        <w:trPr>
          <w:trHeight w:val="280"/>
        </w:trPr>
        <w:tc>
          <w:tcPr>
            <w:tcW w:w="1520" w:type="dxa"/>
            <w:tcBorders>
              <w:top w:val="nil"/>
              <w:left w:val="nil"/>
              <w:bottom w:val="single" w:sz="6" w:space="0" w:color="969696"/>
              <w:right w:val="nil"/>
            </w:tcBorders>
            <w:shd w:val="solid" w:color="FFFFFF" w:fill="FFFFFF"/>
          </w:tcPr>
          <w:p w14:paraId="13DB0FD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55FB978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investment in technology</w:t>
            </w:r>
          </w:p>
        </w:tc>
        <w:tc>
          <w:tcPr>
            <w:tcW w:w="920" w:type="dxa"/>
            <w:tcBorders>
              <w:top w:val="nil"/>
              <w:left w:val="nil"/>
              <w:bottom w:val="single" w:sz="6" w:space="0" w:color="969696"/>
              <w:right w:val="nil"/>
            </w:tcBorders>
            <w:shd w:val="solid" w:color="FFFFFF" w:fill="FFFFFF"/>
          </w:tcPr>
          <w:p w14:paraId="483B2DC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157969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47</w:t>
            </w:r>
          </w:p>
        </w:tc>
      </w:tr>
      <w:tr w:rsidR="00921810" w14:paraId="476FA17D" w14:textId="77777777">
        <w:trPr>
          <w:trHeight w:val="280"/>
        </w:trPr>
        <w:tc>
          <w:tcPr>
            <w:tcW w:w="1520" w:type="dxa"/>
            <w:tcBorders>
              <w:top w:val="nil"/>
              <w:left w:val="nil"/>
              <w:bottom w:val="single" w:sz="6" w:space="0" w:color="969696"/>
              <w:right w:val="nil"/>
            </w:tcBorders>
            <w:shd w:val="solid" w:color="FFFFFF" w:fill="FFFFFF"/>
          </w:tcPr>
          <w:p w14:paraId="1E6491D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33BCA3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7C8482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failure of email</w:t>
            </w:r>
          </w:p>
        </w:tc>
        <w:tc>
          <w:tcPr>
            <w:tcW w:w="920" w:type="dxa"/>
            <w:tcBorders>
              <w:top w:val="nil"/>
              <w:left w:val="nil"/>
              <w:bottom w:val="single" w:sz="6" w:space="0" w:color="969696"/>
              <w:right w:val="nil"/>
            </w:tcBorders>
            <w:shd w:val="solid" w:color="FFFFFF" w:fill="FFFFFF"/>
          </w:tcPr>
          <w:p w14:paraId="59862E7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BB204D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173A25F1" w14:textId="77777777">
        <w:trPr>
          <w:trHeight w:val="280"/>
        </w:trPr>
        <w:tc>
          <w:tcPr>
            <w:tcW w:w="1520" w:type="dxa"/>
            <w:tcBorders>
              <w:top w:val="nil"/>
              <w:left w:val="nil"/>
              <w:bottom w:val="single" w:sz="6" w:space="0" w:color="969696"/>
              <w:right w:val="nil"/>
            </w:tcBorders>
            <w:shd w:val="solid" w:color="FFFFFF" w:fill="FFFFFF"/>
          </w:tcPr>
          <w:p w14:paraId="209310E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4FC354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A93AF1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efficiency losses from technology</w:t>
            </w:r>
          </w:p>
        </w:tc>
        <w:tc>
          <w:tcPr>
            <w:tcW w:w="920" w:type="dxa"/>
            <w:tcBorders>
              <w:top w:val="nil"/>
              <w:left w:val="nil"/>
              <w:bottom w:val="single" w:sz="6" w:space="0" w:color="969696"/>
              <w:right w:val="nil"/>
            </w:tcBorders>
            <w:shd w:val="solid" w:color="FFFFFF" w:fill="FFFFFF"/>
          </w:tcPr>
          <w:p w14:paraId="2EB0F33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56ED04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1896CB1B" w14:textId="77777777">
        <w:trPr>
          <w:trHeight w:val="280"/>
        </w:trPr>
        <w:tc>
          <w:tcPr>
            <w:tcW w:w="1520" w:type="dxa"/>
            <w:tcBorders>
              <w:top w:val="nil"/>
              <w:left w:val="nil"/>
              <w:bottom w:val="single" w:sz="6" w:space="0" w:color="969696"/>
              <w:right w:val="nil"/>
            </w:tcBorders>
            <w:shd w:val="solid" w:color="FFFFFF" w:fill="FFFFFF"/>
          </w:tcPr>
          <w:p w14:paraId="2CCE4DB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188440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3A7165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face-to-face preference</w:t>
            </w:r>
          </w:p>
        </w:tc>
        <w:tc>
          <w:tcPr>
            <w:tcW w:w="920" w:type="dxa"/>
            <w:tcBorders>
              <w:top w:val="nil"/>
              <w:left w:val="nil"/>
              <w:bottom w:val="single" w:sz="6" w:space="0" w:color="969696"/>
              <w:right w:val="nil"/>
            </w:tcBorders>
            <w:shd w:val="solid" w:color="FFFFFF" w:fill="FFFFFF"/>
          </w:tcPr>
          <w:p w14:paraId="1C0FDD5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7AC507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0D9DAA4C" w14:textId="77777777">
        <w:trPr>
          <w:trHeight w:val="280"/>
        </w:trPr>
        <w:tc>
          <w:tcPr>
            <w:tcW w:w="1520" w:type="dxa"/>
            <w:tcBorders>
              <w:top w:val="nil"/>
              <w:left w:val="nil"/>
              <w:bottom w:val="single" w:sz="6" w:space="0" w:color="969696"/>
              <w:right w:val="nil"/>
            </w:tcBorders>
            <w:shd w:val="solid" w:color="FFFFFF" w:fill="FFFFFF"/>
          </w:tcPr>
          <w:p w14:paraId="6BFA8C4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5E5100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FA3F2D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differences in technology</w:t>
            </w:r>
          </w:p>
        </w:tc>
        <w:tc>
          <w:tcPr>
            <w:tcW w:w="920" w:type="dxa"/>
            <w:tcBorders>
              <w:top w:val="nil"/>
              <w:left w:val="nil"/>
              <w:bottom w:val="single" w:sz="6" w:space="0" w:color="969696"/>
              <w:right w:val="nil"/>
            </w:tcBorders>
            <w:shd w:val="solid" w:color="FFFFFF" w:fill="FFFFFF"/>
          </w:tcPr>
          <w:p w14:paraId="0FA730D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C0883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56E74B98" w14:textId="77777777">
        <w:trPr>
          <w:trHeight w:val="280"/>
        </w:trPr>
        <w:tc>
          <w:tcPr>
            <w:tcW w:w="1520" w:type="dxa"/>
            <w:tcBorders>
              <w:top w:val="nil"/>
              <w:left w:val="nil"/>
              <w:bottom w:val="single" w:sz="6" w:space="0" w:color="969696"/>
              <w:right w:val="nil"/>
            </w:tcBorders>
            <w:shd w:val="solid" w:color="FFFFFF" w:fill="FFFFFF"/>
          </w:tcPr>
          <w:p w14:paraId="749AE1A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4CEA3E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67364A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more capacity through technology</w:t>
            </w:r>
          </w:p>
        </w:tc>
        <w:tc>
          <w:tcPr>
            <w:tcW w:w="920" w:type="dxa"/>
            <w:tcBorders>
              <w:top w:val="nil"/>
              <w:left w:val="nil"/>
              <w:bottom w:val="single" w:sz="6" w:space="0" w:color="969696"/>
              <w:right w:val="nil"/>
            </w:tcBorders>
            <w:shd w:val="solid" w:color="FFFFFF" w:fill="FFFFFF"/>
          </w:tcPr>
          <w:p w14:paraId="03EA603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17A2B9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112C0DEF" w14:textId="77777777">
        <w:trPr>
          <w:trHeight w:val="280"/>
        </w:trPr>
        <w:tc>
          <w:tcPr>
            <w:tcW w:w="1520" w:type="dxa"/>
            <w:tcBorders>
              <w:top w:val="nil"/>
              <w:left w:val="nil"/>
              <w:bottom w:val="single" w:sz="6" w:space="0" w:color="969696"/>
              <w:right w:val="nil"/>
            </w:tcBorders>
            <w:shd w:val="solid" w:color="FFFFFF" w:fill="FFFFFF"/>
          </w:tcPr>
          <w:p w14:paraId="024BFD3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83D9ED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F02731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Set up of remote consultation</w:t>
            </w:r>
          </w:p>
        </w:tc>
        <w:tc>
          <w:tcPr>
            <w:tcW w:w="920" w:type="dxa"/>
            <w:tcBorders>
              <w:top w:val="nil"/>
              <w:left w:val="nil"/>
              <w:bottom w:val="single" w:sz="6" w:space="0" w:color="969696"/>
              <w:right w:val="nil"/>
            </w:tcBorders>
            <w:shd w:val="solid" w:color="FFFFFF" w:fill="FFFFFF"/>
          </w:tcPr>
          <w:p w14:paraId="0C0749C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EA5FEC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509B86AF" w14:textId="77777777">
        <w:trPr>
          <w:trHeight w:val="280"/>
        </w:trPr>
        <w:tc>
          <w:tcPr>
            <w:tcW w:w="1520" w:type="dxa"/>
            <w:tcBorders>
              <w:top w:val="nil"/>
              <w:left w:val="nil"/>
              <w:bottom w:val="single" w:sz="6" w:space="0" w:color="969696"/>
              <w:right w:val="nil"/>
            </w:tcBorders>
            <w:shd w:val="solid" w:color="FFFFFF" w:fill="FFFFFF"/>
          </w:tcPr>
          <w:p w14:paraId="621F440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482390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2D1C17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Long-term impact of technology</w:t>
            </w:r>
          </w:p>
        </w:tc>
        <w:tc>
          <w:tcPr>
            <w:tcW w:w="920" w:type="dxa"/>
            <w:tcBorders>
              <w:top w:val="nil"/>
              <w:left w:val="nil"/>
              <w:bottom w:val="single" w:sz="6" w:space="0" w:color="969696"/>
              <w:right w:val="nil"/>
            </w:tcBorders>
            <w:shd w:val="solid" w:color="FFFFFF" w:fill="FFFFFF"/>
          </w:tcPr>
          <w:p w14:paraId="73F8C85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A2B0CE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8</w:t>
            </w:r>
          </w:p>
        </w:tc>
      </w:tr>
      <w:tr w:rsidR="00921810" w14:paraId="13A6173D" w14:textId="77777777">
        <w:trPr>
          <w:trHeight w:val="280"/>
        </w:trPr>
        <w:tc>
          <w:tcPr>
            <w:tcW w:w="1520" w:type="dxa"/>
            <w:tcBorders>
              <w:top w:val="nil"/>
              <w:left w:val="nil"/>
              <w:bottom w:val="single" w:sz="6" w:space="0" w:color="969696"/>
              <w:right w:val="nil"/>
            </w:tcBorders>
            <w:shd w:val="solid" w:color="FFFFFF" w:fill="FFFFFF"/>
          </w:tcPr>
          <w:p w14:paraId="798AD6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E4CCD1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36512A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flexibility through technology</w:t>
            </w:r>
          </w:p>
        </w:tc>
        <w:tc>
          <w:tcPr>
            <w:tcW w:w="920" w:type="dxa"/>
            <w:tcBorders>
              <w:top w:val="nil"/>
              <w:left w:val="nil"/>
              <w:bottom w:val="single" w:sz="6" w:space="0" w:color="969696"/>
              <w:right w:val="nil"/>
            </w:tcBorders>
            <w:shd w:val="solid" w:color="FFFFFF" w:fill="FFFFFF"/>
          </w:tcPr>
          <w:p w14:paraId="178A1B1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83EFE1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41D631AA" w14:textId="77777777">
        <w:trPr>
          <w:trHeight w:val="280"/>
        </w:trPr>
        <w:tc>
          <w:tcPr>
            <w:tcW w:w="1520" w:type="dxa"/>
            <w:tcBorders>
              <w:top w:val="nil"/>
              <w:left w:val="nil"/>
              <w:bottom w:val="single" w:sz="6" w:space="0" w:color="969696"/>
              <w:right w:val="nil"/>
            </w:tcBorders>
            <w:shd w:val="solid" w:color="FFFFFF" w:fill="FFFFFF"/>
          </w:tcPr>
          <w:p w14:paraId="65D64E0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97D798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DAD09D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facilitation of communication through technology</w:t>
            </w:r>
          </w:p>
        </w:tc>
        <w:tc>
          <w:tcPr>
            <w:tcW w:w="920" w:type="dxa"/>
            <w:tcBorders>
              <w:top w:val="nil"/>
              <w:left w:val="nil"/>
              <w:bottom w:val="single" w:sz="6" w:space="0" w:color="969696"/>
              <w:right w:val="nil"/>
            </w:tcBorders>
            <w:shd w:val="solid" w:color="FFFFFF" w:fill="FFFFFF"/>
          </w:tcPr>
          <w:p w14:paraId="425F3AF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A6723D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12</w:t>
            </w:r>
          </w:p>
        </w:tc>
      </w:tr>
      <w:tr w:rsidR="00921810" w14:paraId="2623D008" w14:textId="77777777">
        <w:trPr>
          <w:trHeight w:val="280"/>
        </w:trPr>
        <w:tc>
          <w:tcPr>
            <w:tcW w:w="1520" w:type="dxa"/>
            <w:tcBorders>
              <w:top w:val="nil"/>
              <w:left w:val="nil"/>
              <w:bottom w:val="single" w:sz="6" w:space="0" w:color="969696"/>
              <w:right w:val="nil"/>
            </w:tcBorders>
            <w:shd w:val="solid" w:color="FFFFFF" w:fill="FFFFFF"/>
          </w:tcPr>
          <w:p w14:paraId="513C22B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0B0BDBA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0F5AEF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efficiency gains from technology</w:t>
            </w:r>
          </w:p>
        </w:tc>
        <w:tc>
          <w:tcPr>
            <w:tcW w:w="920" w:type="dxa"/>
            <w:tcBorders>
              <w:top w:val="nil"/>
              <w:left w:val="nil"/>
              <w:bottom w:val="single" w:sz="6" w:space="0" w:color="969696"/>
              <w:right w:val="nil"/>
            </w:tcBorders>
            <w:shd w:val="solid" w:color="FFFFFF" w:fill="FFFFFF"/>
          </w:tcPr>
          <w:p w14:paraId="4C452C4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4C008F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12</w:t>
            </w:r>
          </w:p>
        </w:tc>
      </w:tr>
      <w:tr w:rsidR="0007451F" w14:paraId="3A2B3959" w14:textId="77777777" w:rsidTr="0007451F">
        <w:trPr>
          <w:trHeight w:val="280"/>
        </w:trPr>
        <w:tc>
          <w:tcPr>
            <w:tcW w:w="1520" w:type="dxa"/>
            <w:tcBorders>
              <w:top w:val="nil"/>
              <w:left w:val="nil"/>
              <w:bottom w:val="single" w:sz="6" w:space="0" w:color="969696"/>
              <w:right w:val="nil"/>
            </w:tcBorders>
            <w:shd w:val="solid" w:color="FFFFFF" w:fill="FFFFFF"/>
          </w:tcPr>
          <w:p w14:paraId="46F08B8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524FAC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constancy of change</w:t>
            </w:r>
          </w:p>
        </w:tc>
        <w:tc>
          <w:tcPr>
            <w:tcW w:w="920" w:type="dxa"/>
            <w:tcBorders>
              <w:top w:val="nil"/>
              <w:left w:val="nil"/>
              <w:bottom w:val="single" w:sz="6" w:space="0" w:color="969696"/>
              <w:right w:val="nil"/>
            </w:tcBorders>
            <w:shd w:val="solid" w:color="FFFFFF" w:fill="FFFFFF"/>
          </w:tcPr>
          <w:p w14:paraId="623274B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4B3A0C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33</w:t>
            </w:r>
          </w:p>
        </w:tc>
      </w:tr>
      <w:tr w:rsidR="00921810" w14:paraId="281B92E0" w14:textId="77777777">
        <w:trPr>
          <w:trHeight w:val="280"/>
        </w:trPr>
        <w:tc>
          <w:tcPr>
            <w:tcW w:w="1520" w:type="dxa"/>
            <w:tcBorders>
              <w:top w:val="nil"/>
              <w:left w:val="nil"/>
              <w:bottom w:val="single" w:sz="6" w:space="0" w:color="969696"/>
              <w:right w:val="nil"/>
            </w:tcBorders>
            <w:shd w:val="solid" w:color="FFFFFF" w:fill="FFFFFF"/>
          </w:tcPr>
          <w:p w14:paraId="2743E36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2769DC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B8F0B0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change in team and working structures</w:t>
            </w:r>
          </w:p>
        </w:tc>
        <w:tc>
          <w:tcPr>
            <w:tcW w:w="920" w:type="dxa"/>
            <w:tcBorders>
              <w:top w:val="nil"/>
              <w:left w:val="nil"/>
              <w:bottom w:val="single" w:sz="6" w:space="0" w:color="969696"/>
              <w:right w:val="nil"/>
            </w:tcBorders>
            <w:shd w:val="solid" w:color="FFFFFF" w:fill="FFFFFF"/>
          </w:tcPr>
          <w:p w14:paraId="49A790A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C65CAA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18</w:t>
            </w:r>
          </w:p>
        </w:tc>
      </w:tr>
      <w:tr w:rsidR="00921810" w14:paraId="3C29BCE5" w14:textId="77777777">
        <w:trPr>
          <w:trHeight w:val="280"/>
        </w:trPr>
        <w:tc>
          <w:tcPr>
            <w:tcW w:w="1520" w:type="dxa"/>
            <w:tcBorders>
              <w:top w:val="nil"/>
              <w:left w:val="nil"/>
              <w:bottom w:val="single" w:sz="6" w:space="0" w:color="969696"/>
              <w:right w:val="nil"/>
            </w:tcBorders>
            <w:shd w:val="solid" w:color="FFFFFF" w:fill="FFFFFF"/>
          </w:tcPr>
          <w:p w14:paraId="44DE760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5632F3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917BCD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tiredness of change</w:t>
            </w:r>
          </w:p>
        </w:tc>
        <w:tc>
          <w:tcPr>
            <w:tcW w:w="920" w:type="dxa"/>
            <w:tcBorders>
              <w:top w:val="nil"/>
              <w:left w:val="nil"/>
              <w:bottom w:val="single" w:sz="6" w:space="0" w:color="969696"/>
              <w:right w:val="nil"/>
            </w:tcBorders>
            <w:shd w:val="solid" w:color="FFFFFF" w:fill="FFFFFF"/>
          </w:tcPr>
          <w:p w14:paraId="4EB4EFE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E6462A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921810" w14:paraId="76C4A7C9" w14:textId="77777777">
        <w:trPr>
          <w:trHeight w:val="280"/>
        </w:trPr>
        <w:tc>
          <w:tcPr>
            <w:tcW w:w="1520" w:type="dxa"/>
            <w:tcBorders>
              <w:top w:val="nil"/>
              <w:left w:val="nil"/>
              <w:bottom w:val="single" w:sz="6" w:space="0" w:color="969696"/>
              <w:right w:val="nil"/>
            </w:tcBorders>
            <w:shd w:val="solid" w:color="FFFFFF" w:fill="FFFFFF"/>
          </w:tcPr>
          <w:p w14:paraId="28406C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A88321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5F5C3C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wish for stability </w:t>
            </w:r>
          </w:p>
        </w:tc>
        <w:tc>
          <w:tcPr>
            <w:tcW w:w="920" w:type="dxa"/>
            <w:tcBorders>
              <w:top w:val="nil"/>
              <w:left w:val="nil"/>
              <w:bottom w:val="single" w:sz="6" w:space="0" w:color="969696"/>
              <w:right w:val="nil"/>
            </w:tcBorders>
            <w:shd w:val="solid" w:color="FFFFFF" w:fill="FFFFFF"/>
          </w:tcPr>
          <w:p w14:paraId="206501C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E01667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921810" w14:paraId="368AF214" w14:textId="77777777">
        <w:trPr>
          <w:trHeight w:val="280"/>
        </w:trPr>
        <w:tc>
          <w:tcPr>
            <w:tcW w:w="1520" w:type="dxa"/>
            <w:tcBorders>
              <w:top w:val="nil"/>
              <w:left w:val="nil"/>
              <w:bottom w:val="single" w:sz="6" w:space="0" w:color="969696"/>
              <w:right w:val="nil"/>
            </w:tcBorders>
            <w:shd w:val="solid" w:color="FFFFFF" w:fill="FFFFFF"/>
          </w:tcPr>
          <w:p w14:paraId="7165D1F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A33D13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well-being</w:t>
            </w:r>
          </w:p>
        </w:tc>
        <w:tc>
          <w:tcPr>
            <w:tcW w:w="6080" w:type="dxa"/>
            <w:tcBorders>
              <w:top w:val="nil"/>
              <w:left w:val="nil"/>
              <w:bottom w:val="single" w:sz="6" w:space="0" w:color="969696"/>
              <w:right w:val="nil"/>
            </w:tcBorders>
            <w:shd w:val="solid" w:color="FFFFFF" w:fill="FFFFFF"/>
          </w:tcPr>
          <w:p w14:paraId="60EDC32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1C65AF4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401078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22</w:t>
            </w:r>
          </w:p>
        </w:tc>
      </w:tr>
      <w:tr w:rsidR="00921810" w14:paraId="3599AED5" w14:textId="77777777">
        <w:trPr>
          <w:trHeight w:val="280"/>
        </w:trPr>
        <w:tc>
          <w:tcPr>
            <w:tcW w:w="1520" w:type="dxa"/>
            <w:tcBorders>
              <w:top w:val="nil"/>
              <w:left w:val="nil"/>
              <w:bottom w:val="single" w:sz="6" w:space="0" w:color="969696"/>
              <w:right w:val="nil"/>
            </w:tcBorders>
            <w:shd w:val="solid" w:color="FFFFFF" w:fill="FFFFFF"/>
          </w:tcPr>
          <w:p w14:paraId="0B75C4E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00FB16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514997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buy-in of people</w:t>
            </w:r>
          </w:p>
        </w:tc>
        <w:tc>
          <w:tcPr>
            <w:tcW w:w="920" w:type="dxa"/>
            <w:tcBorders>
              <w:top w:val="nil"/>
              <w:left w:val="nil"/>
              <w:bottom w:val="single" w:sz="6" w:space="0" w:color="969696"/>
              <w:right w:val="nil"/>
            </w:tcBorders>
            <w:shd w:val="solid" w:color="FFFFFF" w:fill="FFFFFF"/>
          </w:tcPr>
          <w:p w14:paraId="724FA7F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4ECA59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07451F" w14:paraId="5A1663D1" w14:textId="77777777" w:rsidTr="0007451F">
        <w:trPr>
          <w:trHeight w:val="280"/>
        </w:trPr>
        <w:tc>
          <w:tcPr>
            <w:tcW w:w="1520" w:type="dxa"/>
            <w:tcBorders>
              <w:top w:val="nil"/>
              <w:left w:val="nil"/>
              <w:bottom w:val="single" w:sz="6" w:space="0" w:color="969696"/>
              <w:right w:val="nil"/>
            </w:tcBorders>
            <w:shd w:val="solid" w:color="FFFFFF" w:fill="FFFFFF"/>
          </w:tcPr>
          <w:p w14:paraId="63D4E98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7A10038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cancellation of services</w:t>
            </w:r>
          </w:p>
        </w:tc>
        <w:tc>
          <w:tcPr>
            <w:tcW w:w="920" w:type="dxa"/>
            <w:tcBorders>
              <w:top w:val="nil"/>
              <w:left w:val="nil"/>
              <w:bottom w:val="single" w:sz="6" w:space="0" w:color="969696"/>
              <w:right w:val="nil"/>
            </w:tcBorders>
            <w:shd w:val="solid" w:color="FFFFFF" w:fill="FFFFFF"/>
          </w:tcPr>
          <w:p w14:paraId="5267F3E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905443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22</w:t>
            </w:r>
          </w:p>
        </w:tc>
      </w:tr>
      <w:tr w:rsidR="00921810" w14:paraId="2DA5FC5A" w14:textId="77777777">
        <w:trPr>
          <w:trHeight w:val="280"/>
        </w:trPr>
        <w:tc>
          <w:tcPr>
            <w:tcW w:w="1520" w:type="dxa"/>
            <w:tcBorders>
              <w:top w:val="nil"/>
              <w:left w:val="nil"/>
              <w:bottom w:val="single" w:sz="6" w:space="0" w:color="969696"/>
              <w:right w:val="nil"/>
            </w:tcBorders>
            <w:shd w:val="solid" w:color="FFFFFF" w:fill="FFFFFF"/>
          </w:tcPr>
          <w:p w14:paraId="28003C8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C1F5E6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A74D72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continuity of care</w:t>
            </w:r>
          </w:p>
        </w:tc>
        <w:tc>
          <w:tcPr>
            <w:tcW w:w="920" w:type="dxa"/>
            <w:tcBorders>
              <w:top w:val="nil"/>
              <w:left w:val="nil"/>
              <w:bottom w:val="single" w:sz="6" w:space="0" w:color="969696"/>
              <w:right w:val="nil"/>
            </w:tcBorders>
            <w:shd w:val="solid" w:color="FFFFFF" w:fill="FFFFFF"/>
          </w:tcPr>
          <w:p w14:paraId="7F6ECF2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90EF3A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51002AF9" w14:textId="77777777">
        <w:trPr>
          <w:trHeight w:val="280"/>
        </w:trPr>
        <w:tc>
          <w:tcPr>
            <w:tcW w:w="1520" w:type="dxa"/>
            <w:tcBorders>
              <w:top w:val="nil"/>
              <w:left w:val="nil"/>
              <w:bottom w:val="single" w:sz="6" w:space="0" w:color="969696"/>
              <w:right w:val="nil"/>
            </w:tcBorders>
            <w:shd w:val="solid" w:color="FFFFFF" w:fill="FFFFFF"/>
          </w:tcPr>
          <w:p w14:paraId="53CEC26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E044AE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5BB1C5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restart of services</w:t>
            </w:r>
          </w:p>
        </w:tc>
        <w:tc>
          <w:tcPr>
            <w:tcW w:w="920" w:type="dxa"/>
            <w:tcBorders>
              <w:top w:val="nil"/>
              <w:left w:val="nil"/>
              <w:bottom w:val="single" w:sz="6" w:space="0" w:color="969696"/>
              <w:right w:val="nil"/>
            </w:tcBorders>
            <w:shd w:val="solid" w:color="FFFFFF" w:fill="FFFFFF"/>
          </w:tcPr>
          <w:p w14:paraId="363B494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B77764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10</w:t>
            </w:r>
          </w:p>
        </w:tc>
      </w:tr>
      <w:tr w:rsidR="00921810" w14:paraId="5F8B7AF9" w14:textId="77777777">
        <w:trPr>
          <w:trHeight w:val="280"/>
        </w:trPr>
        <w:tc>
          <w:tcPr>
            <w:tcW w:w="1520" w:type="dxa"/>
            <w:tcBorders>
              <w:top w:val="nil"/>
              <w:left w:val="nil"/>
              <w:bottom w:val="single" w:sz="6" w:space="0" w:color="969696"/>
              <w:right w:val="nil"/>
            </w:tcBorders>
            <w:shd w:val="solid" w:color="FFFFFF" w:fill="FFFFFF"/>
          </w:tcPr>
          <w:p w14:paraId="0E7D755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E0C41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Trade-offs</w:t>
            </w:r>
          </w:p>
        </w:tc>
        <w:tc>
          <w:tcPr>
            <w:tcW w:w="6080" w:type="dxa"/>
            <w:tcBorders>
              <w:top w:val="nil"/>
              <w:left w:val="nil"/>
              <w:bottom w:val="single" w:sz="6" w:space="0" w:color="969696"/>
              <w:right w:val="nil"/>
            </w:tcBorders>
            <w:shd w:val="solid" w:color="FFFFFF" w:fill="FFFFFF"/>
          </w:tcPr>
          <w:p w14:paraId="373EBD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7CF1A1C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CD7D82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22</w:t>
            </w:r>
          </w:p>
        </w:tc>
      </w:tr>
      <w:tr w:rsidR="00921810" w14:paraId="305559C8" w14:textId="77777777">
        <w:trPr>
          <w:trHeight w:val="280"/>
        </w:trPr>
        <w:tc>
          <w:tcPr>
            <w:tcW w:w="1520" w:type="dxa"/>
            <w:tcBorders>
              <w:top w:val="nil"/>
              <w:left w:val="nil"/>
              <w:bottom w:val="single" w:sz="6" w:space="0" w:color="969696"/>
              <w:right w:val="nil"/>
            </w:tcBorders>
            <w:shd w:val="solid" w:color="FFFFFF" w:fill="FFFFFF"/>
          </w:tcPr>
          <w:p w14:paraId="04F98E8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4DCC1D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405C3F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hospital type</w:t>
            </w:r>
          </w:p>
        </w:tc>
        <w:tc>
          <w:tcPr>
            <w:tcW w:w="920" w:type="dxa"/>
            <w:tcBorders>
              <w:top w:val="nil"/>
              <w:left w:val="nil"/>
              <w:bottom w:val="single" w:sz="6" w:space="0" w:color="969696"/>
              <w:right w:val="nil"/>
            </w:tcBorders>
            <w:shd w:val="solid" w:color="FFFFFF" w:fill="FFFFFF"/>
          </w:tcPr>
          <w:p w14:paraId="7C3C2A5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B31CB6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75511EBD" w14:textId="77777777">
        <w:trPr>
          <w:trHeight w:val="280"/>
        </w:trPr>
        <w:tc>
          <w:tcPr>
            <w:tcW w:w="1520" w:type="dxa"/>
            <w:tcBorders>
              <w:top w:val="nil"/>
              <w:left w:val="nil"/>
              <w:bottom w:val="single" w:sz="6" w:space="0" w:color="969696"/>
              <w:right w:val="nil"/>
            </w:tcBorders>
            <w:shd w:val="solid" w:color="FFFFFF" w:fill="FFFFFF"/>
          </w:tcPr>
          <w:p w14:paraId="556210F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E30CBB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104D18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trade-off in running different services</w:t>
            </w:r>
          </w:p>
        </w:tc>
        <w:tc>
          <w:tcPr>
            <w:tcW w:w="920" w:type="dxa"/>
            <w:tcBorders>
              <w:top w:val="nil"/>
              <w:left w:val="nil"/>
              <w:bottom w:val="single" w:sz="6" w:space="0" w:color="969696"/>
              <w:right w:val="nil"/>
            </w:tcBorders>
            <w:shd w:val="solid" w:color="FFFFFF" w:fill="FFFFFF"/>
          </w:tcPr>
          <w:p w14:paraId="50E5EC0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F9D6C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14</w:t>
            </w:r>
          </w:p>
        </w:tc>
      </w:tr>
      <w:tr w:rsidR="0007451F" w14:paraId="3977FCFE" w14:textId="77777777" w:rsidTr="0007451F">
        <w:trPr>
          <w:trHeight w:val="280"/>
        </w:trPr>
        <w:tc>
          <w:tcPr>
            <w:tcW w:w="1520" w:type="dxa"/>
            <w:tcBorders>
              <w:top w:val="nil"/>
              <w:left w:val="nil"/>
              <w:bottom w:val="single" w:sz="6" w:space="0" w:color="969696"/>
              <w:right w:val="nil"/>
            </w:tcBorders>
            <w:shd w:val="solid" w:color="FFFFFF" w:fill="FFFFFF"/>
          </w:tcPr>
          <w:p w14:paraId="4415252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7A3F49F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new reporting structures</w:t>
            </w:r>
          </w:p>
        </w:tc>
        <w:tc>
          <w:tcPr>
            <w:tcW w:w="920" w:type="dxa"/>
            <w:tcBorders>
              <w:top w:val="nil"/>
              <w:left w:val="nil"/>
              <w:bottom w:val="single" w:sz="6" w:space="0" w:color="969696"/>
              <w:right w:val="nil"/>
            </w:tcBorders>
            <w:shd w:val="solid" w:color="FFFFFF" w:fill="FFFFFF"/>
          </w:tcPr>
          <w:p w14:paraId="15C49AB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27123D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8</w:t>
            </w:r>
          </w:p>
        </w:tc>
      </w:tr>
      <w:tr w:rsidR="00921810" w14:paraId="76FA2371" w14:textId="77777777">
        <w:trPr>
          <w:trHeight w:val="280"/>
        </w:trPr>
        <w:tc>
          <w:tcPr>
            <w:tcW w:w="1520" w:type="dxa"/>
            <w:tcBorders>
              <w:top w:val="nil"/>
              <w:left w:val="nil"/>
              <w:bottom w:val="single" w:sz="6" w:space="0" w:color="969696"/>
              <w:right w:val="nil"/>
            </w:tcBorders>
            <w:shd w:val="solid" w:color="FFFFFF" w:fill="FFFFFF"/>
          </w:tcPr>
          <w:p w14:paraId="4B315D9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FE1127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88F706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funding provision</w:t>
            </w:r>
          </w:p>
        </w:tc>
        <w:tc>
          <w:tcPr>
            <w:tcW w:w="920" w:type="dxa"/>
            <w:tcBorders>
              <w:top w:val="nil"/>
              <w:left w:val="nil"/>
              <w:bottom w:val="single" w:sz="6" w:space="0" w:color="969696"/>
              <w:right w:val="nil"/>
            </w:tcBorders>
            <w:shd w:val="solid" w:color="FFFFFF" w:fill="FFFFFF"/>
          </w:tcPr>
          <w:p w14:paraId="71D7BFD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CE84DB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07451F" w14:paraId="537C0846" w14:textId="77777777" w:rsidTr="0007451F">
        <w:trPr>
          <w:trHeight w:val="280"/>
        </w:trPr>
        <w:tc>
          <w:tcPr>
            <w:tcW w:w="1520" w:type="dxa"/>
            <w:tcBorders>
              <w:top w:val="nil"/>
              <w:left w:val="nil"/>
              <w:bottom w:val="single" w:sz="6" w:space="0" w:color="969696"/>
              <w:right w:val="nil"/>
            </w:tcBorders>
            <w:shd w:val="solid" w:color="FFFFFF" w:fill="FFFFFF"/>
          </w:tcPr>
          <w:p w14:paraId="752EAEA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1AEECEE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novelty of the disease</w:t>
            </w:r>
          </w:p>
        </w:tc>
        <w:tc>
          <w:tcPr>
            <w:tcW w:w="920" w:type="dxa"/>
            <w:tcBorders>
              <w:top w:val="nil"/>
              <w:left w:val="nil"/>
              <w:bottom w:val="single" w:sz="6" w:space="0" w:color="969696"/>
              <w:right w:val="nil"/>
            </w:tcBorders>
            <w:shd w:val="solid" w:color="FFFFFF" w:fill="FFFFFF"/>
          </w:tcPr>
          <w:p w14:paraId="0538A35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8DF242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38</w:t>
            </w:r>
          </w:p>
        </w:tc>
      </w:tr>
      <w:tr w:rsidR="00921810" w14:paraId="54A2C0A7" w14:textId="77777777">
        <w:trPr>
          <w:trHeight w:val="280"/>
        </w:trPr>
        <w:tc>
          <w:tcPr>
            <w:tcW w:w="1520" w:type="dxa"/>
            <w:tcBorders>
              <w:top w:val="nil"/>
              <w:left w:val="nil"/>
              <w:bottom w:val="single" w:sz="6" w:space="0" w:color="969696"/>
              <w:right w:val="nil"/>
            </w:tcBorders>
            <w:shd w:val="solid" w:color="FFFFFF" w:fill="FFFFFF"/>
          </w:tcPr>
          <w:p w14:paraId="5856402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FE88A2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70A21B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trial and error</w:t>
            </w:r>
          </w:p>
        </w:tc>
        <w:tc>
          <w:tcPr>
            <w:tcW w:w="920" w:type="dxa"/>
            <w:tcBorders>
              <w:top w:val="nil"/>
              <w:left w:val="nil"/>
              <w:bottom w:val="single" w:sz="6" w:space="0" w:color="969696"/>
              <w:right w:val="nil"/>
            </w:tcBorders>
            <w:shd w:val="solid" w:color="FFFFFF" w:fill="FFFFFF"/>
          </w:tcPr>
          <w:p w14:paraId="7ABD227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4DFB15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6220E340" w14:textId="77777777">
        <w:trPr>
          <w:trHeight w:val="280"/>
        </w:trPr>
        <w:tc>
          <w:tcPr>
            <w:tcW w:w="1520" w:type="dxa"/>
            <w:tcBorders>
              <w:top w:val="nil"/>
              <w:left w:val="nil"/>
              <w:bottom w:val="single" w:sz="6" w:space="0" w:color="969696"/>
              <w:right w:val="nil"/>
            </w:tcBorders>
            <w:shd w:val="solid" w:color="FFFFFF" w:fill="FFFFFF"/>
          </w:tcPr>
          <w:p w14:paraId="02C5980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1669B8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868CF4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learning processes</w:t>
            </w:r>
          </w:p>
        </w:tc>
        <w:tc>
          <w:tcPr>
            <w:tcW w:w="920" w:type="dxa"/>
            <w:tcBorders>
              <w:top w:val="nil"/>
              <w:left w:val="nil"/>
              <w:bottom w:val="single" w:sz="6" w:space="0" w:color="969696"/>
              <w:right w:val="nil"/>
            </w:tcBorders>
            <w:shd w:val="solid" w:color="FFFFFF" w:fill="FFFFFF"/>
          </w:tcPr>
          <w:p w14:paraId="37E59E4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EF6EE4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8</w:t>
            </w:r>
          </w:p>
        </w:tc>
      </w:tr>
      <w:tr w:rsidR="00921810" w14:paraId="25F48DD2" w14:textId="77777777">
        <w:trPr>
          <w:trHeight w:val="280"/>
        </w:trPr>
        <w:tc>
          <w:tcPr>
            <w:tcW w:w="1520" w:type="dxa"/>
            <w:tcBorders>
              <w:top w:val="nil"/>
              <w:left w:val="nil"/>
              <w:bottom w:val="single" w:sz="6" w:space="0" w:color="969696"/>
              <w:right w:val="nil"/>
            </w:tcBorders>
            <w:shd w:val="solid" w:color="FFFFFF" w:fill="FFFFFF"/>
          </w:tcPr>
          <w:p w14:paraId="22BB020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B491F4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F41E01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impressions from other countries</w:t>
            </w:r>
          </w:p>
        </w:tc>
        <w:tc>
          <w:tcPr>
            <w:tcW w:w="920" w:type="dxa"/>
            <w:tcBorders>
              <w:top w:val="nil"/>
              <w:left w:val="nil"/>
              <w:bottom w:val="single" w:sz="6" w:space="0" w:color="969696"/>
              <w:right w:val="nil"/>
            </w:tcBorders>
            <w:shd w:val="solid" w:color="FFFFFF" w:fill="FFFFFF"/>
          </w:tcPr>
          <w:p w14:paraId="5D3F224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A13000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5B07F13F" w14:textId="77777777">
        <w:trPr>
          <w:trHeight w:val="280"/>
        </w:trPr>
        <w:tc>
          <w:tcPr>
            <w:tcW w:w="1520" w:type="dxa"/>
            <w:tcBorders>
              <w:top w:val="nil"/>
              <w:left w:val="nil"/>
              <w:bottom w:val="single" w:sz="6" w:space="0" w:color="969696"/>
              <w:right w:val="nil"/>
            </w:tcBorders>
            <w:shd w:val="solid" w:color="FFFFFF" w:fill="FFFFFF"/>
          </w:tcPr>
          <w:p w14:paraId="31F1682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lastRenderedPageBreak/>
              <w:t xml:space="preserve"> </w:t>
            </w:r>
          </w:p>
        </w:tc>
        <w:tc>
          <w:tcPr>
            <w:tcW w:w="1520" w:type="dxa"/>
            <w:tcBorders>
              <w:top w:val="nil"/>
              <w:left w:val="nil"/>
              <w:bottom w:val="single" w:sz="6" w:space="0" w:color="969696"/>
              <w:right w:val="nil"/>
            </w:tcBorders>
            <w:shd w:val="solid" w:color="FFFFFF" w:fill="FFFFFF"/>
          </w:tcPr>
          <w:p w14:paraId="1534DF0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85DFBD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Ambiguity of timelines</w:t>
            </w:r>
          </w:p>
        </w:tc>
        <w:tc>
          <w:tcPr>
            <w:tcW w:w="920" w:type="dxa"/>
            <w:tcBorders>
              <w:top w:val="nil"/>
              <w:left w:val="nil"/>
              <w:bottom w:val="single" w:sz="6" w:space="0" w:color="969696"/>
              <w:right w:val="nil"/>
            </w:tcBorders>
            <w:shd w:val="solid" w:color="FFFFFF" w:fill="FFFFFF"/>
          </w:tcPr>
          <w:p w14:paraId="38936C8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AB84A5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06C73AF6" w14:textId="77777777">
        <w:trPr>
          <w:trHeight w:val="280"/>
        </w:trPr>
        <w:tc>
          <w:tcPr>
            <w:tcW w:w="1520" w:type="dxa"/>
            <w:tcBorders>
              <w:top w:val="nil"/>
              <w:left w:val="nil"/>
              <w:bottom w:val="single" w:sz="6" w:space="0" w:color="969696"/>
              <w:right w:val="nil"/>
            </w:tcBorders>
            <w:shd w:val="solid" w:color="FFFFFF" w:fill="FFFFFF"/>
          </w:tcPr>
          <w:p w14:paraId="5ABEE6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897530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058E89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Uncertainty about future development</w:t>
            </w:r>
          </w:p>
        </w:tc>
        <w:tc>
          <w:tcPr>
            <w:tcW w:w="920" w:type="dxa"/>
            <w:tcBorders>
              <w:top w:val="nil"/>
              <w:left w:val="nil"/>
              <w:bottom w:val="single" w:sz="6" w:space="0" w:color="969696"/>
              <w:right w:val="nil"/>
            </w:tcBorders>
            <w:shd w:val="solid" w:color="FFFFFF" w:fill="FFFFFF"/>
          </w:tcPr>
          <w:p w14:paraId="3DDFD9C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FB2508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07451F" w14:paraId="31B0E01A" w14:textId="77777777" w:rsidTr="0007451F">
        <w:trPr>
          <w:trHeight w:val="280"/>
        </w:trPr>
        <w:tc>
          <w:tcPr>
            <w:tcW w:w="1520" w:type="dxa"/>
            <w:tcBorders>
              <w:top w:val="nil"/>
              <w:left w:val="nil"/>
              <w:bottom w:val="single" w:sz="6" w:space="0" w:color="969696"/>
              <w:right w:val="nil"/>
            </w:tcBorders>
            <w:shd w:val="solid" w:color="FFFFFF" w:fill="FFFFFF"/>
          </w:tcPr>
          <w:p w14:paraId="242D978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041AFDA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Infection control in focus</w:t>
            </w:r>
          </w:p>
        </w:tc>
        <w:tc>
          <w:tcPr>
            <w:tcW w:w="920" w:type="dxa"/>
            <w:tcBorders>
              <w:top w:val="nil"/>
              <w:left w:val="nil"/>
              <w:bottom w:val="single" w:sz="6" w:space="0" w:color="969696"/>
              <w:right w:val="nil"/>
            </w:tcBorders>
            <w:shd w:val="solid" w:color="FFFFFF" w:fill="FFFFFF"/>
          </w:tcPr>
          <w:p w14:paraId="184EDB3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43C205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13</w:t>
            </w:r>
          </w:p>
        </w:tc>
      </w:tr>
      <w:tr w:rsidR="00921810" w14:paraId="467B2DA9" w14:textId="77777777">
        <w:trPr>
          <w:trHeight w:val="280"/>
        </w:trPr>
        <w:tc>
          <w:tcPr>
            <w:tcW w:w="1520" w:type="dxa"/>
            <w:tcBorders>
              <w:top w:val="nil"/>
              <w:left w:val="nil"/>
              <w:bottom w:val="single" w:sz="6" w:space="0" w:color="969696"/>
              <w:right w:val="nil"/>
            </w:tcBorders>
            <w:shd w:val="solid" w:color="FFFFFF" w:fill="FFFFFF"/>
          </w:tcPr>
          <w:p w14:paraId="6992180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4B031B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670E2C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donning and doffing protocols</w:t>
            </w:r>
          </w:p>
        </w:tc>
        <w:tc>
          <w:tcPr>
            <w:tcW w:w="920" w:type="dxa"/>
            <w:tcBorders>
              <w:top w:val="nil"/>
              <w:left w:val="nil"/>
              <w:bottom w:val="single" w:sz="6" w:space="0" w:color="969696"/>
              <w:right w:val="nil"/>
            </w:tcBorders>
            <w:shd w:val="solid" w:color="FFFFFF" w:fill="FFFFFF"/>
          </w:tcPr>
          <w:p w14:paraId="03B97C5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DE49D8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5571D113" w14:textId="77777777">
        <w:trPr>
          <w:trHeight w:val="280"/>
        </w:trPr>
        <w:tc>
          <w:tcPr>
            <w:tcW w:w="1520" w:type="dxa"/>
            <w:tcBorders>
              <w:top w:val="nil"/>
              <w:left w:val="nil"/>
              <w:bottom w:val="single" w:sz="6" w:space="0" w:color="969696"/>
              <w:right w:val="nil"/>
            </w:tcBorders>
            <w:shd w:val="solid" w:color="FFFFFF" w:fill="FFFFFF"/>
          </w:tcPr>
          <w:p w14:paraId="7E93977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F269FB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7CA60D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Extensive fit testing requirement</w:t>
            </w:r>
          </w:p>
        </w:tc>
        <w:tc>
          <w:tcPr>
            <w:tcW w:w="920" w:type="dxa"/>
            <w:tcBorders>
              <w:top w:val="nil"/>
              <w:left w:val="nil"/>
              <w:bottom w:val="single" w:sz="6" w:space="0" w:color="969696"/>
              <w:right w:val="nil"/>
            </w:tcBorders>
            <w:shd w:val="solid" w:color="FFFFFF" w:fill="FFFFFF"/>
          </w:tcPr>
          <w:p w14:paraId="79F1C97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BCB686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r w:rsidR="0007451F" w14:paraId="40AEE31A" w14:textId="77777777" w:rsidTr="0007451F">
        <w:trPr>
          <w:trHeight w:val="280"/>
        </w:trPr>
        <w:tc>
          <w:tcPr>
            <w:tcW w:w="1520" w:type="dxa"/>
            <w:tcBorders>
              <w:top w:val="nil"/>
              <w:left w:val="nil"/>
              <w:bottom w:val="single" w:sz="6" w:space="0" w:color="969696"/>
              <w:right w:val="nil"/>
            </w:tcBorders>
            <w:shd w:val="solid" w:color="FFFFFF" w:fill="FFFFFF"/>
          </w:tcPr>
          <w:p w14:paraId="0A6E979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4FB9BBC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Set up of command structure</w:t>
            </w:r>
          </w:p>
        </w:tc>
        <w:tc>
          <w:tcPr>
            <w:tcW w:w="920" w:type="dxa"/>
            <w:tcBorders>
              <w:top w:val="nil"/>
              <w:left w:val="nil"/>
              <w:bottom w:val="single" w:sz="6" w:space="0" w:color="969696"/>
              <w:right w:val="nil"/>
            </w:tcBorders>
            <w:shd w:val="solid" w:color="FFFFFF" w:fill="FFFFFF"/>
          </w:tcPr>
          <w:p w14:paraId="213EA43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B2E779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44</w:t>
            </w:r>
          </w:p>
        </w:tc>
      </w:tr>
      <w:tr w:rsidR="00921810" w14:paraId="518846E0" w14:textId="77777777">
        <w:trPr>
          <w:trHeight w:val="280"/>
        </w:trPr>
        <w:tc>
          <w:tcPr>
            <w:tcW w:w="1520" w:type="dxa"/>
            <w:tcBorders>
              <w:top w:val="nil"/>
              <w:left w:val="nil"/>
              <w:bottom w:val="single" w:sz="6" w:space="0" w:color="969696"/>
              <w:right w:val="nil"/>
            </w:tcBorders>
            <w:shd w:val="solid" w:color="FFFFFF" w:fill="FFFFFF"/>
          </w:tcPr>
          <w:p w14:paraId="104B310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FA5293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6E2C1CD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Lacking responsibility and accountability</w:t>
            </w:r>
          </w:p>
        </w:tc>
        <w:tc>
          <w:tcPr>
            <w:tcW w:w="920" w:type="dxa"/>
            <w:tcBorders>
              <w:top w:val="nil"/>
              <w:left w:val="nil"/>
              <w:bottom w:val="single" w:sz="6" w:space="0" w:color="969696"/>
              <w:right w:val="nil"/>
            </w:tcBorders>
            <w:shd w:val="solid" w:color="FFFFFF" w:fill="FFFFFF"/>
          </w:tcPr>
          <w:p w14:paraId="2D5B64D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6381B9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4248248A" w14:textId="77777777">
        <w:trPr>
          <w:trHeight w:val="280"/>
        </w:trPr>
        <w:tc>
          <w:tcPr>
            <w:tcW w:w="1520" w:type="dxa"/>
            <w:tcBorders>
              <w:top w:val="nil"/>
              <w:left w:val="nil"/>
              <w:bottom w:val="single" w:sz="6" w:space="0" w:color="969696"/>
              <w:right w:val="nil"/>
            </w:tcBorders>
            <w:shd w:val="solid" w:color="FFFFFF" w:fill="FFFFFF"/>
          </w:tcPr>
          <w:p w14:paraId="7413EE5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BAB802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D61593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hierarchical decision-making</w:t>
            </w:r>
          </w:p>
        </w:tc>
        <w:tc>
          <w:tcPr>
            <w:tcW w:w="920" w:type="dxa"/>
            <w:tcBorders>
              <w:top w:val="nil"/>
              <w:left w:val="nil"/>
              <w:bottom w:val="single" w:sz="6" w:space="0" w:color="969696"/>
              <w:right w:val="nil"/>
            </w:tcBorders>
            <w:shd w:val="solid" w:color="FFFFFF" w:fill="FFFFFF"/>
          </w:tcPr>
          <w:p w14:paraId="5AA8CAD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87B03A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11</w:t>
            </w:r>
          </w:p>
        </w:tc>
      </w:tr>
      <w:tr w:rsidR="00921810" w14:paraId="4034F0C5" w14:textId="77777777">
        <w:trPr>
          <w:trHeight w:val="280"/>
        </w:trPr>
        <w:tc>
          <w:tcPr>
            <w:tcW w:w="1520" w:type="dxa"/>
            <w:tcBorders>
              <w:top w:val="nil"/>
              <w:left w:val="nil"/>
              <w:bottom w:val="single" w:sz="6" w:space="0" w:color="969696"/>
              <w:right w:val="nil"/>
            </w:tcBorders>
            <w:shd w:val="solid" w:color="FFFFFF" w:fill="FFFFFF"/>
          </w:tcPr>
          <w:p w14:paraId="64AE9A2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95D743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140EB0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medical lead in decision-making</w:t>
            </w:r>
          </w:p>
        </w:tc>
        <w:tc>
          <w:tcPr>
            <w:tcW w:w="920" w:type="dxa"/>
            <w:tcBorders>
              <w:top w:val="nil"/>
              <w:left w:val="nil"/>
              <w:bottom w:val="single" w:sz="6" w:space="0" w:color="969696"/>
              <w:right w:val="nil"/>
            </w:tcBorders>
            <w:shd w:val="solid" w:color="FFFFFF" w:fill="FFFFFF"/>
          </w:tcPr>
          <w:p w14:paraId="22844A9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82EA32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921810" w14:paraId="0CE7A9BA" w14:textId="77777777">
        <w:trPr>
          <w:trHeight w:val="280"/>
        </w:trPr>
        <w:tc>
          <w:tcPr>
            <w:tcW w:w="1520" w:type="dxa"/>
            <w:tcBorders>
              <w:top w:val="nil"/>
              <w:left w:val="nil"/>
              <w:bottom w:val="single" w:sz="6" w:space="0" w:color="969696"/>
              <w:right w:val="nil"/>
            </w:tcBorders>
            <w:shd w:val="solid" w:color="FFFFFF" w:fill="FFFFFF"/>
          </w:tcPr>
          <w:p w14:paraId="4A058FD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26C99A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B5068E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insufficient communication across teams</w:t>
            </w:r>
          </w:p>
        </w:tc>
        <w:tc>
          <w:tcPr>
            <w:tcW w:w="920" w:type="dxa"/>
            <w:tcBorders>
              <w:top w:val="nil"/>
              <w:left w:val="nil"/>
              <w:bottom w:val="single" w:sz="6" w:space="0" w:color="969696"/>
              <w:right w:val="nil"/>
            </w:tcBorders>
            <w:shd w:val="solid" w:color="FFFFFF" w:fill="FFFFFF"/>
          </w:tcPr>
          <w:p w14:paraId="46D429D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45646D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16782D4A" w14:textId="77777777">
        <w:trPr>
          <w:trHeight w:val="280"/>
        </w:trPr>
        <w:tc>
          <w:tcPr>
            <w:tcW w:w="1520" w:type="dxa"/>
            <w:tcBorders>
              <w:top w:val="nil"/>
              <w:left w:val="nil"/>
              <w:bottom w:val="single" w:sz="6" w:space="0" w:color="969696"/>
              <w:right w:val="nil"/>
            </w:tcBorders>
            <w:shd w:val="solid" w:color="FFFFFF" w:fill="FFFFFF"/>
          </w:tcPr>
          <w:p w14:paraId="2E670A5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204167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1DF179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Interdisciplinary coordination</w:t>
            </w:r>
          </w:p>
        </w:tc>
        <w:tc>
          <w:tcPr>
            <w:tcW w:w="920" w:type="dxa"/>
            <w:tcBorders>
              <w:top w:val="nil"/>
              <w:left w:val="nil"/>
              <w:bottom w:val="single" w:sz="6" w:space="0" w:color="969696"/>
              <w:right w:val="nil"/>
            </w:tcBorders>
            <w:shd w:val="solid" w:color="FFFFFF" w:fill="FFFFFF"/>
          </w:tcPr>
          <w:p w14:paraId="5699E54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8FEEA8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14</w:t>
            </w:r>
          </w:p>
        </w:tc>
      </w:tr>
      <w:tr w:rsidR="0007451F" w14:paraId="1B11BC64" w14:textId="77777777" w:rsidTr="0007451F">
        <w:trPr>
          <w:trHeight w:val="280"/>
        </w:trPr>
        <w:tc>
          <w:tcPr>
            <w:tcW w:w="1520" w:type="dxa"/>
            <w:tcBorders>
              <w:top w:val="nil"/>
              <w:left w:val="nil"/>
              <w:bottom w:val="single" w:sz="6" w:space="0" w:color="969696"/>
              <w:right w:val="nil"/>
            </w:tcBorders>
            <w:shd w:val="solid" w:color="FFFFFF" w:fill="FFFFFF"/>
          </w:tcPr>
          <w:p w14:paraId="1B6E271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6BDF0BA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quick organisational change</w:t>
            </w:r>
          </w:p>
        </w:tc>
        <w:tc>
          <w:tcPr>
            <w:tcW w:w="920" w:type="dxa"/>
            <w:tcBorders>
              <w:top w:val="nil"/>
              <w:left w:val="nil"/>
              <w:bottom w:val="single" w:sz="6" w:space="0" w:color="969696"/>
              <w:right w:val="nil"/>
            </w:tcBorders>
            <w:shd w:val="solid" w:color="FFFFFF" w:fill="FFFFFF"/>
          </w:tcPr>
          <w:p w14:paraId="04AF769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A66212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20</w:t>
            </w:r>
          </w:p>
        </w:tc>
      </w:tr>
      <w:tr w:rsidR="00921810" w14:paraId="3A6B4B4F" w14:textId="77777777">
        <w:trPr>
          <w:trHeight w:val="280"/>
        </w:trPr>
        <w:tc>
          <w:tcPr>
            <w:tcW w:w="1520" w:type="dxa"/>
            <w:tcBorders>
              <w:top w:val="nil"/>
              <w:left w:val="nil"/>
              <w:bottom w:val="single" w:sz="6" w:space="0" w:color="969696"/>
              <w:right w:val="nil"/>
            </w:tcBorders>
            <w:shd w:val="solid" w:color="FFFFFF" w:fill="FFFFFF"/>
          </w:tcPr>
          <w:p w14:paraId="1275142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093157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5ABC61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ease in governance processes</w:t>
            </w:r>
          </w:p>
        </w:tc>
        <w:tc>
          <w:tcPr>
            <w:tcW w:w="920" w:type="dxa"/>
            <w:tcBorders>
              <w:top w:val="nil"/>
              <w:left w:val="nil"/>
              <w:bottom w:val="single" w:sz="6" w:space="0" w:color="969696"/>
              <w:right w:val="nil"/>
            </w:tcBorders>
            <w:shd w:val="solid" w:color="FFFFFF" w:fill="FFFFFF"/>
          </w:tcPr>
          <w:p w14:paraId="79DAE88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E172EC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17DC1E3D" w14:textId="77777777">
        <w:trPr>
          <w:trHeight w:val="280"/>
        </w:trPr>
        <w:tc>
          <w:tcPr>
            <w:tcW w:w="1520" w:type="dxa"/>
            <w:tcBorders>
              <w:top w:val="nil"/>
              <w:left w:val="nil"/>
              <w:bottom w:val="single" w:sz="6" w:space="0" w:color="969696"/>
              <w:right w:val="nil"/>
            </w:tcBorders>
            <w:shd w:val="solid" w:color="FFFFFF" w:fill="FFFFFF"/>
          </w:tcPr>
          <w:p w14:paraId="4134F19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723EF5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8A0AD4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shared responsibility</w:t>
            </w:r>
          </w:p>
        </w:tc>
        <w:tc>
          <w:tcPr>
            <w:tcW w:w="920" w:type="dxa"/>
            <w:tcBorders>
              <w:top w:val="nil"/>
              <w:left w:val="nil"/>
              <w:bottom w:val="single" w:sz="6" w:space="0" w:color="969696"/>
              <w:right w:val="nil"/>
            </w:tcBorders>
            <w:shd w:val="solid" w:color="FFFFFF" w:fill="FFFFFF"/>
          </w:tcPr>
          <w:p w14:paraId="37242EC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2231B5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921810" w14:paraId="59BD4A8C" w14:textId="77777777">
        <w:trPr>
          <w:trHeight w:val="280"/>
        </w:trPr>
        <w:tc>
          <w:tcPr>
            <w:tcW w:w="1520" w:type="dxa"/>
            <w:tcBorders>
              <w:top w:val="nil"/>
              <w:left w:val="nil"/>
              <w:bottom w:val="single" w:sz="6" w:space="0" w:color="969696"/>
              <w:right w:val="nil"/>
            </w:tcBorders>
            <w:shd w:val="solid" w:color="FFFFFF" w:fill="FFFFFF"/>
          </w:tcPr>
          <w:p w14:paraId="7280D0E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2DABDA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CAA8F3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shared purpose</w:t>
            </w:r>
          </w:p>
        </w:tc>
        <w:tc>
          <w:tcPr>
            <w:tcW w:w="920" w:type="dxa"/>
            <w:tcBorders>
              <w:top w:val="nil"/>
              <w:left w:val="nil"/>
              <w:bottom w:val="single" w:sz="6" w:space="0" w:color="969696"/>
              <w:right w:val="nil"/>
            </w:tcBorders>
            <w:shd w:val="solid" w:color="FFFFFF" w:fill="FFFFFF"/>
          </w:tcPr>
          <w:p w14:paraId="2644881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E24EDA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4EA5C72D" w14:textId="77777777">
        <w:trPr>
          <w:trHeight w:val="280"/>
        </w:trPr>
        <w:tc>
          <w:tcPr>
            <w:tcW w:w="1520" w:type="dxa"/>
            <w:tcBorders>
              <w:top w:val="nil"/>
              <w:left w:val="nil"/>
              <w:bottom w:val="single" w:sz="6" w:space="0" w:color="969696"/>
              <w:right w:val="nil"/>
            </w:tcBorders>
            <w:shd w:val="solid" w:color="FFFFFF" w:fill="FFFFFF"/>
          </w:tcPr>
          <w:p w14:paraId="4DE1CFE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AF0973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AE721A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considerate spending</w:t>
            </w:r>
          </w:p>
        </w:tc>
        <w:tc>
          <w:tcPr>
            <w:tcW w:w="920" w:type="dxa"/>
            <w:tcBorders>
              <w:top w:val="nil"/>
              <w:left w:val="nil"/>
              <w:bottom w:val="single" w:sz="6" w:space="0" w:color="969696"/>
              <w:right w:val="nil"/>
            </w:tcBorders>
            <w:shd w:val="solid" w:color="FFFFFF" w:fill="FFFFFF"/>
          </w:tcPr>
          <w:p w14:paraId="0003E94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11A07B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07451F" w14:paraId="5B2A026F" w14:textId="77777777" w:rsidTr="0007451F">
        <w:trPr>
          <w:trHeight w:val="280"/>
        </w:trPr>
        <w:tc>
          <w:tcPr>
            <w:tcW w:w="1520" w:type="dxa"/>
            <w:tcBorders>
              <w:top w:val="nil"/>
              <w:left w:val="nil"/>
              <w:bottom w:val="single" w:sz="6" w:space="0" w:color="969696"/>
              <w:right w:val="nil"/>
            </w:tcBorders>
            <w:shd w:val="solid" w:color="FFFFFF" w:fill="FFFFFF"/>
          </w:tcPr>
          <w:p w14:paraId="48D6E1A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769B8CC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non-availability of resources</w:t>
            </w:r>
          </w:p>
        </w:tc>
        <w:tc>
          <w:tcPr>
            <w:tcW w:w="920" w:type="dxa"/>
            <w:tcBorders>
              <w:top w:val="nil"/>
              <w:left w:val="nil"/>
              <w:bottom w:val="single" w:sz="6" w:space="0" w:color="969696"/>
              <w:right w:val="nil"/>
            </w:tcBorders>
            <w:shd w:val="solid" w:color="FFFFFF" w:fill="FFFFFF"/>
          </w:tcPr>
          <w:p w14:paraId="57F3F46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4F3E1C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38</w:t>
            </w:r>
          </w:p>
        </w:tc>
      </w:tr>
      <w:tr w:rsidR="00921810" w14:paraId="105E62AF" w14:textId="77777777">
        <w:trPr>
          <w:trHeight w:val="280"/>
        </w:trPr>
        <w:tc>
          <w:tcPr>
            <w:tcW w:w="1520" w:type="dxa"/>
            <w:tcBorders>
              <w:top w:val="nil"/>
              <w:left w:val="nil"/>
              <w:bottom w:val="single" w:sz="6" w:space="0" w:color="969696"/>
              <w:right w:val="nil"/>
            </w:tcBorders>
            <w:shd w:val="solid" w:color="FFFFFF" w:fill="FFFFFF"/>
          </w:tcPr>
          <w:p w14:paraId="75AC466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D167ED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30DD83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fluctuation of capacity availability</w:t>
            </w:r>
          </w:p>
        </w:tc>
        <w:tc>
          <w:tcPr>
            <w:tcW w:w="920" w:type="dxa"/>
            <w:tcBorders>
              <w:top w:val="nil"/>
              <w:left w:val="nil"/>
              <w:bottom w:val="single" w:sz="6" w:space="0" w:color="969696"/>
              <w:right w:val="nil"/>
            </w:tcBorders>
            <w:shd w:val="solid" w:color="FFFFFF" w:fill="FFFFFF"/>
          </w:tcPr>
          <w:p w14:paraId="152BF65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29745D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10</w:t>
            </w:r>
          </w:p>
        </w:tc>
      </w:tr>
      <w:tr w:rsidR="00921810" w14:paraId="5F3E058A" w14:textId="77777777">
        <w:trPr>
          <w:trHeight w:val="280"/>
        </w:trPr>
        <w:tc>
          <w:tcPr>
            <w:tcW w:w="1520" w:type="dxa"/>
            <w:tcBorders>
              <w:top w:val="nil"/>
              <w:left w:val="nil"/>
              <w:bottom w:val="single" w:sz="6" w:space="0" w:color="969696"/>
              <w:right w:val="nil"/>
            </w:tcBorders>
            <w:shd w:val="solid" w:color="FFFFFF" w:fill="FFFFFF"/>
          </w:tcPr>
          <w:p w14:paraId="0FFC7B7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418437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11E0120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Increased procurement of supplies and equipment</w:t>
            </w:r>
          </w:p>
        </w:tc>
        <w:tc>
          <w:tcPr>
            <w:tcW w:w="920" w:type="dxa"/>
            <w:tcBorders>
              <w:top w:val="nil"/>
              <w:left w:val="nil"/>
              <w:bottom w:val="single" w:sz="6" w:space="0" w:color="969696"/>
              <w:right w:val="nil"/>
            </w:tcBorders>
            <w:shd w:val="solid" w:color="FFFFFF" w:fill="FFFFFF"/>
          </w:tcPr>
          <w:p w14:paraId="5C20776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492651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921810" w14:paraId="1F72830E" w14:textId="77777777">
        <w:trPr>
          <w:trHeight w:val="280"/>
        </w:trPr>
        <w:tc>
          <w:tcPr>
            <w:tcW w:w="1520" w:type="dxa"/>
            <w:tcBorders>
              <w:top w:val="nil"/>
              <w:left w:val="nil"/>
              <w:bottom w:val="single" w:sz="6" w:space="0" w:color="969696"/>
              <w:right w:val="nil"/>
            </w:tcBorders>
            <w:shd w:val="solid" w:color="FFFFFF" w:fill="FFFFFF"/>
          </w:tcPr>
          <w:p w14:paraId="6967709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056916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41488F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suboptimal use of available resources </w:t>
            </w:r>
          </w:p>
        </w:tc>
        <w:tc>
          <w:tcPr>
            <w:tcW w:w="920" w:type="dxa"/>
            <w:tcBorders>
              <w:top w:val="nil"/>
              <w:left w:val="nil"/>
              <w:bottom w:val="single" w:sz="6" w:space="0" w:color="969696"/>
              <w:right w:val="nil"/>
            </w:tcBorders>
            <w:shd w:val="solid" w:color="FFFFFF" w:fill="FFFFFF"/>
          </w:tcPr>
          <w:p w14:paraId="32D630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E09223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493C4926" w14:textId="77777777">
        <w:trPr>
          <w:trHeight w:val="280"/>
        </w:trPr>
        <w:tc>
          <w:tcPr>
            <w:tcW w:w="1520" w:type="dxa"/>
            <w:tcBorders>
              <w:top w:val="nil"/>
              <w:left w:val="nil"/>
              <w:bottom w:val="single" w:sz="6" w:space="0" w:color="969696"/>
              <w:right w:val="nil"/>
            </w:tcBorders>
            <w:shd w:val="solid" w:color="FFFFFF" w:fill="FFFFFF"/>
          </w:tcPr>
          <w:p w14:paraId="071A793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DA9179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AFB93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capacity becoming available</w:t>
            </w:r>
          </w:p>
        </w:tc>
        <w:tc>
          <w:tcPr>
            <w:tcW w:w="920" w:type="dxa"/>
            <w:tcBorders>
              <w:top w:val="nil"/>
              <w:left w:val="nil"/>
              <w:bottom w:val="single" w:sz="6" w:space="0" w:color="969696"/>
              <w:right w:val="nil"/>
            </w:tcBorders>
            <w:shd w:val="solid" w:color="FFFFFF" w:fill="FFFFFF"/>
          </w:tcPr>
          <w:p w14:paraId="2050380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081A8F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10C6A0C8" w14:textId="77777777">
        <w:trPr>
          <w:trHeight w:val="280"/>
        </w:trPr>
        <w:tc>
          <w:tcPr>
            <w:tcW w:w="1520" w:type="dxa"/>
            <w:tcBorders>
              <w:top w:val="nil"/>
              <w:left w:val="nil"/>
              <w:bottom w:val="single" w:sz="6" w:space="0" w:color="969696"/>
              <w:right w:val="nil"/>
            </w:tcBorders>
            <w:shd w:val="solid" w:color="FFFFFF" w:fill="FFFFFF"/>
          </w:tcPr>
          <w:p w14:paraId="28CF17D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BD24F3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E3524E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more capacity through routine testing</w:t>
            </w:r>
          </w:p>
        </w:tc>
        <w:tc>
          <w:tcPr>
            <w:tcW w:w="920" w:type="dxa"/>
            <w:tcBorders>
              <w:top w:val="nil"/>
              <w:left w:val="nil"/>
              <w:bottom w:val="single" w:sz="6" w:space="0" w:color="969696"/>
              <w:right w:val="nil"/>
            </w:tcBorders>
            <w:shd w:val="solid" w:color="FFFFFF" w:fill="FFFFFF"/>
          </w:tcPr>
          <w:p w14:paraId="17D68A4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1C840BD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3</w:t>
            </w:r>
          </w:p>
        </w:tc>
      </w:tr>
      <w:tr w:rsidR="00921810" w14:paraId="64B112B2" w14:textId="77777777">
        <w:trPr>
          <w:trHeight w:val="280"/>
        </w:trPr>
        <w:tc>
          <w:tcPr>
            <w:tcW w:w="1520" w:type="dxa"/>
            <w:tcBorders>
              <w:top w:val="nil"/>
              <w:left w:val="nil"/>
              <w:bottom w:val="single" w:sz="6" w:space="0" w:color="969696"/>
              <w:right w:val="nil"/>
            </w:tcBorders>
            <w:shd w:val="solid" w:color="FFFFFF" w:fill="FFFFFF"/>
          </w:tcPr>
          <w:p w14:paraId="2F12C73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7E704E8E"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3582A0C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ambiguity in resource scarcity</w:t>
            </w:r>
          </w:p>
        </w:tc>
        <w:tc>
          <w:tcPr>
            <w:tcW w:w="920" w:type="dxa"/>
            <w:tcBorders>
              <w:top w:val="nil"/>
              <w:left w:val="nil"/>
              <w:bottom w:val="single" w:sz="6" w:space="0" w:color="969696"/>
              <w:right w:val="nil"/>
            </w:tcBorders>
            <w:shd w:val="solid" w:color="FFFFFF" w:fill="FFFFFF"/>
          </w:tcPr>
          <w:p w14:paraId="6F5F1AF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E99FDF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2</w:t>
            </w:r>
          </w:p>
        </w:tc>
      </w:tr>
      <w:tr w:rsidR="0007451F" w14:paraId="21EE10A4" w14:textId="77777777" w:rsidTr="0007451F">
        <w:trPr>
          <w:trHeight w:val="280"/>
        </w:trPr>
        <w:tc>
          <w:tcPr>
            <w:tcW w:w="1520" w:type="dxa"/>
            <w:tcBorders>
              <w:top w:val="nil"/>
              <w:left w:val="nil"/>
              <w:bottom w:val="single" w:sz="6" w:space="0" w:color="969696"/>
              <w:right w:val="nil"/>
            </w:tcBorders>
            <w:shd w:val="solid" w:color="FFFFFF" w:fill="FFFFFF"/>
          </w:tcPr>
          <w:p w14:paraId="78271D5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0F9C806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redeployment</w:t>
            </w:r>
          </w:p>
        </w:tc>
        <w:tc>
          <w:tcPr>
            <w:tcW w:w="920" w:type="dxa"/>
            <w:tcBorders>
              <w:top w:val="nil"/>
              <w:left w:val="nil"/>
              <w:bottom w:val="single" w:sz="6" w:space="0" w:color="969696"/>
              <w:right w:val="nil"/>
            </w:tcBorders>
            <w:shd w:val="solid" w:color="FFFFFF" w:fill="FFFFFF"/>
          </w:tcPr>
          <w:p w14:paraId="0E24C8A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3432F502"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41</w:t>
            </w:r>
          </w:p>
        </w:tc>
      </w:tr>
      <w:tr w:rsidR="00921810" w14:paraId="77C20624" w14:textId="77777777">
        <w:trPr>
          <w:trHeight w:val="280"/>
        </w:trPr>
        <w:tc>
          <w:tcPr>
            <w:tcW w:w="1520" w:type="dxa"/>
            <w:tcBorders>
              <w:top w:val="nil"/>
              <w:left w:val="nil"/>
              <w:bottom w:val="single" w:sz="6" w:space="0" w:color="969696"/>
              <w:right w:val="nil"/>
            </w:tcBorders>
            <w:shd w:val="solid" w:color="FFFFFF" w:fill="FFFFFF"/>
          </w:tcPr>
          <w:p w14:paraId="45011EE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70C182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6086B6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upskilling</w:t>
            </w:r>
          </w:p>
        </w:tc>
        <w:tc>
          <w:tcPr>
            <w:tcW w:w="920" w:type="dxa"/>
            <w:tcBorders>
              <w:top w:val="nil"/>
              <w:left w:val="nil"/>
              <w:bottom w:val="single" w:sz="6" w:space="0" w:color="969696"/>
              <w:right w:val="nil"/>
            </w:tcBorders>
            <w:shd w:val="solid" w:color="FFFFFF" w:fill="FFFFFF"/>
          </w:tcPr>
          <w:p w14:paraId="0C0C842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73718D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7</w:t>
            </w:r>
          </w:p>
        </w:tc>
      </w:tr>
      <w:tr w:rsidR="00921810" w14:paraId="3BC97B5F" w14:textId="77777777">
        <w:trPr>
          <w:trHeight w:val="280"/>
        </w:trPr>
        <w:tc>
          <w:tcPr>
            <w:tcW w:w="1520" w:type="dxa"/>
            <w:tcBorders>
              <w:top w:val="nil"/>
              <w:left w:val="nil"/>
              <w:bottom w:val="single" w:sz="6" w:space="0" w:color="969696"/>
              <w:right w:val="nil"/>
            </w:tcBorders>
            <w:shd w:val="solid" w:color="FFFFFF" w:fill="FFFFFF"/>
          </w:tcPr>
          <w:p w14:paraId="697278D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79250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32C14B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shortage</w:t>
            </w:r>
          </w:p>
        </w:tc>
        <w:tc>
          <w:tcPr>
            <w:tcW w:w="920" w:type="dxa"/>
            <w:tcBorders>
              <w:top w:val="nil"/>
              <w:left w:val="nil"/>
              <w:bottom w:val="single" w:sz="6" w:space="0" w:color="969696"/>
              <w:right w:val="nil"/>
            </w:tcBorders>
            <w:shd w:val="solid" w:color="FFFFFF" w:fill="FFFFFF"/>
          </w:tcPr>
          <w:p w14:paraId="7D249835"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7FF02BB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6</w:t>
            </w:r>
          </w:p>
        </w:tc>
      </w:tr>
      <w:tr w:rsidR="00921810" w14:paraId="6A865FA5" w14:textId="77777777">
        <w:trPr>
          <w:trHeight w:val="280"/>
        </w:trPr>
        <w:tc>
          <w:tcPr>
            <w:tcW w:w="1520" w:type="dxa"/>
            <w:tcBorders>
              <w:top w:val="nil"/>
              <w:left w:val="nil"/>
              <w:bottom w:val="single" w:sz="6" w:space="0" w:color="969696"/>
              <w:right w:val="nil"/>
            </w:tcBorders>
            <w:shd w:val="solid" w:color="FFFFFF" w:fill="FFFFFF"/>
          </w:tcPr>
          <w:p w14:paraId="3B8EC36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6EEB22B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DA0316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change in staff rotas</w:t>
            </w:r>
          </w:p>
        </w:tc>
        <w:tc>
          <w:tcPr>
            <w:tcW w:w="920" w:type="dxa"/>
            <w:tcBorders>
              <w:top w:val="nil"/>
              <w:left w:val="nil"/>
              <w:bottom w:val="single" w:sz="6" w:space="0" w:color="969696"/>
              <w:right w:val="nil"/>
            </w:tcBorders>
            <w:shd w:val="solid" w:color="FFFFFF" w:fill="FFFFFF"/>
          </w:tcPr>
          <w:p w14:paraId="1593412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4D37A37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8</w:t>
            </w:r>
          </w:p>
        </w:tc>
      </w:tr>
      <w:tr w:rsidR="00921810" w14:paraId="05DD8AE9" w14:textId="77777777">
        <w:trPr>
          <w:trHeight w:val="280"/>
        </w:trPr>
        <w:tc>
          <w:tcPr>
            <w:tcW w:w="1520" w:type="dxa"/>
            <w:tcBorders>
              <w:top w:val="nil"/>
              <w:left w:val="nil"/>
              <w:bottom w:val="single" w:sz="6" w:space="0" w:color="969696"/>
              <w:right w:val="nil"/>
            </w:tcBorders>
            <w:shd w:val="solid" w:color="FFFFFF" w:fill="FFFFFF"/>
          </w:tcPr>
          <w:p w14:paraId="40103A3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49966B2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2A99BE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remuneration</w:t>
            </w:r>
          </w:p>
        </w:tc>
        <w:tc>
          <w:tcPr>
            <w:tcW w:w="920" w:type="dxa"/>
            <w:tcBorders>
              <w:top w:val="nil"/>
              <w:left w:val="nil"/>
              <w:bottom w:val="single" w:sz="6" w:space="0" w:color="969696"/>
              <w:right w:val="nil"/>
            </w:tcBorders>
            <w:shd w:val="solid" w:color="FFFFFF" w:fill="FFFFFF"/>
          </w:tcPr>
          <w:p w14:paraId="67221D6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22CF4D84"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0E86D533" w14:textId="77777777">
        <w:trPr>
          <w:trHeight w:val="280"/>
        </w:trPr>
        <w:tc>
          <w:tcPr>
            <w:tcW w:w="1520" w:type="dxa"/>
            <w:tcBorders>
              <w:top w:val="nil"/>
              <w:left w:val="nil"/>
              <w:bottom w:val="single" w:sz="6" w:space="0" w:color="969696"/>
              <w:right w:val="nil"/>
            </w:tcBorders>
            <w:shd w:val="solid" w:color="FFFFFF" w:fill="FFFFFF"/>
          </w:tcPr>
          <w:p w14:paraId="1F26CAD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2E40447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728E6E9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staff risk assessment</w:t>
            </w:r>
          </w:p>
        </w:tc>
        <w:tc>
          <w:tcPr>
            <w:tcW w:w="920" w:type="dxa"/>
            <w:tcBorders>
              <w:top w:val="nil"/>
              <w:left w:val="nil"/>
              <w:bottom w:val="single" w:sz="6" w:space="0" w:color="969696"/>
              <w:right w:val="nil"/>
            </w:tcBorders>
            <w:shd w:val="solid" w:color="FFFFFF" w:fill="FFFFFF"/>
          </w:tcPr>
          <w:p w14:paraId="5D35013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57BEED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4</w:t>
            </w:r>
          </w:p>
        </w:tc>
      </w:tr>
      <w:tr w:rsidR="00921810" w14:paraId="0EB6CE34" w14:textId="77777777">
        <w:trPr>
          <w:trHeight w:val="280"/>
        </w:trPr>
        <w:tc>
          <w:tcPr>
            <w:tcW w:w="1520" w:type="dxa"/>
            <w:tcBorders>
              <w:top w:val="nil"/>
              <w:left w:val="nil"/>
              <w:bottom w:val="single" w:sz="6" w:space="0" w:color="969696"/>
              <w:right w:val="nil"/>
            </w:tcBorders>
            <w:shd w:val="solid" w:color="FFFFFF" w:fill="FFFFFF"/>
          </w:tcPr>
          <w:p w14:paraId="65ADBB4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54F5692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Modelling</w:t>
            </w:r>
          </w:p>
        </w:tc>
        <w:tc>
          <w:tcPr>
            <w:tcW w:w="6080" w:type="dxa"/>
            <w:tcBorders>
              <w:top w:val="nil"/>
              <w:left w:val="nil"/>
              <w:bottom w:val="single" w:sz="6" w:space="0" w:color="969696"/>
              <w:right w:val="nil"/>
            </w:tcBorders>
            <w:shd w:val="solid" w:color="FFFFFF" w:fill="FFFFFF"/>
          </w:tcPr>
          <w:p w14:paraId="65CFF460"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920" w:type="dxa"/>
            <w:tcBorders>
              <w:top w:val="nil"/>
              <w:left w:val="nil"/>
              <w:bottom w:val="single" w:sz="6" w:space="0" w:color="969696"/>
              <w:right w:val="nil"/>
            </w:tcBorders>
            <w:shd w:val="solid" w:color="FFFFFF" w:fill="FFFFFF"/>
          </w:tcPr>
          <w:p w14:paraId="75DF06B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810FC9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16</w:t>
            </w:r>
          </w:p>
        </w:tc>
      </w:tr>
      <w:tr w:rsidR="00921810" w14:paraId="207F5B2C" w14:textId="77777777">
        <w:trPr>
          <w:trHeight w:val="280"/>
        </w:trPr>
        <w:tc>
          <w:tcPr>
            <w:tcW w:w="1520" w:type="dxa"/>
            <w:tcBorders>
              <w:top w:val="nil"/>
              <w:left w:val="nil"/>
              <w:bottom w:val="single" w:sz="6" w:space="0" w:color="969696"/>
              <w:right w:val="nil"/>
            </w:tcBorders>
            <w:shd w:val="solid" w:color="FFFFFF" w:fill="FFFFFF"/>
          </w:tcPr>
          <w:p w14:paraId="16114DDA"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0E45713"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42ED34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insufficient use of data</w:t>
            </w:r>
          </w:p>
        </w:tc>
        <w:tc>
          <w:tcPr>
            <w:tcW w:w="920" w:type="dxa"/>
            <w:tcBorders>
              <w:top w:val="nil"/>
              <w:left w:val="nil"/>
              <w:bottom w:val="single" w:sz="6" w:space="0" w:color="969696"/>
              <w:right w:val="nil"/>
            </w:tcBorders>
            <w:shd w:val="solid" w:color="FFFFFF" w:fill="FFFFFF"/>
          </w:tcPr>
          <w:p w14:paraId="20F80FC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6782D05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921810" w14:paraId="7208BC55" w14:textId="77777777">
        <w:trPr>
          <w:trHeight w:val="280"/>
        </w:trPr>
        <w:tc>
          <w:tcPr>
            <w:tcW w:w="1520" w:type="dxa"/>
            <w:tcBorders>
              <w:top w:val="nil"/>
              <w:left w:val="nil"/>
              <w:bottom w:val="single" w:sz="6" w:space="0" w:color="969696"/>
              <w:right w:val="nil"/>
            </w:tcBorders>
            <w:shd w:val="solid" w:color="FFFFFF" w:fill="FFFFFF"/>
          </w:tcPr>
          <w:p w14:paraId="50D957FD"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3D1156CF"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5D3C0B2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Modelling</w:t>
            </w:r>
          </w:p>
        </w:tc>
        <w:tc>
          <w:tcPr>
            <w:tcW w:w="920" w:type="dxa"/>
            <w:tcBorders>
              <w:top w:val="nil"/>
              <w:left w:val="nil"/>
              <w:bottom w:val="single" w:sz="6" w:space="0" w:color="969696"/>
              <w:right w:val="nil"/>
            </w:tcBorders>
            <w:shd w:val="solid" w:color="FFFFFF" w:fill="FFFFFF"/>
          </w:tcPr>
          <w:p w14:paraId="6383D936"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430DFDB"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5</w:t>
            </w:r>
          </w:p>
        </w:tc>
      </w:tr>
      <w:tr w:rsidR="0007451F" w14:paraId="2FE3053C" w14:textId="77777777" w:rsidTr="0007451F">
        <w:trPr>
          <w:trHeight w:val="280"/>
        </w:trPr>
        <w:tc>
          <w:tcPr>
            <w:tcW w:w="1520" w:type="dxa"/>
            <w:tcBorders>
              <w:top w:val="nil"/>
              <w:left w:val="nil"/>
              <w:bottom w:val="single" w:sz="6" w:space="0" w:color="969696"/>
              <w:right w:val="nil"/>
            </w:tcBorders>
            <w:shd w:val="solid" w:color="FFFFFF" w:fill="FFFFFF"/>
          </w:tcPr>
          <w:p w14:paraId="542DF8A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7600" w:type="dxa"/>
            <w:gridSpan w:val="2"/>
            <w:tcBorders>
              <w:top w:val="nil"/>
              <w:left w:val="nil"/>
              <w:bottom w:val="single" w:sz="6" w:space="0" w:color="969696"/>
              <w:right w:val="nil"/>
            </w:tcBorders>
            <w:shd w:val="solid" w:color="FFFFFF" w:fill="FFFFFF"/>
          </w:tcPr>
          <w:p w14:paraId="02A9B8A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external cooperation</w:t>
            </w:r>
          </w:p>
        </w:tc>
        <w:tc>
          <w:tcPr>
            <w:tcW w:w="920" w:type="dxa"/>
            <w:tcBorders>
              <w:top w:val="nil"/>
              <w:left w:val="nil"/>
              <w:bottom w:val="single" w:sz="6" w:space="0" w:color="969696"/>
              <w:right w:val="nil"/>
            </w:tcBorders>
            <w:shd w:val="solid" w:color="FFFFFF" w:fill="FFFFFF"/>
          </w:tcPr>
          <w:p w14:paraId="1832349C"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59190509"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18</w:t>
            </w:r>
          </w:p>
        </w:tc>
      </w:tr>
      <w:tr w:rsidR="00921810" w14:paraId="7518714B" w14:textId="77777777">
        <w:trPr>
          <w:trHeight w:val="280"/>
        </w:trPr>
        <w:tc>
          <w:tcPr>
            <w:tcW w:w="1520" w:type="dxa"/>
            <w:tcBorders>
              <w:top w:val="nil"/>
              <w:left w:val="nil"/>
              <w:bottom w:val="single" w:sz="6" w:space="0" w:color="969696"/>
              <w:right w:val="nil"/>
            </w:tcBorders>
            <w:shd w:val="solid" w:color="FFFFFF" w:fill="FFFFFF"/>
          </w:tcPr>
          <w:p w14:paraId="334C95E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1520" w:type="dxa"/>
            <w:tcBorders>
              <w:top w:val="nil"/>
              <w:left w:val="nil"/>
              <w:bottom w:val="single" w:sz="6" w:space="0" w:color="969696"/>
              <w:right w:val="nil"/>
            </w:tcBorders>
            <w:shd w:val="solid" w:color="FFFFFF" w:fill="FFFFFF"/>
          </w:tcPr>
          <w:p w14:paraId="1C1FA73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 xml:space="preserve"> </w:t>
            </w:r>
          </w:p>
        </w:tc>
        <w:tc>
          <w:tcPr>
            <w:tcW w:w="6080" w:type="dxa"/>
            <w:tcBorders>
              <w:top w:val="nil"/>
              <w:left w:val="nil"/>
              <w:bottom w:val="single" w:sz="6" w:space="0" w:color="969696"/>
              <w:right w:val="nil"/>
            </w:tcBorders>
            <w:shd w:val="solid" w:color="FFFFFF" w:fill="FFFFFF"/>
          </w:tcPr>
          <w:p w14:paraId="055EE331"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use of the independent sector</w:t>
            </w:r>
          </w:p>
        </w:tc>
        <w:tc>
          <w:tcPr>
            <w:tcW w:w="920" w:type="dxa"/>
            <w:tcBorders>
              <w:top w:val="nil"/>
              <w:left w:val="nil"/>
              <w:bottom w:val="single" w:sz="6" w:space="0" w:color="969696"/>
              <w:right w:val="nil"/>
            </w:tcBorders>
            <w:shd w:val="solid" w:color="FFFFFF" w:fill="FFFFFF"/>
          </w:tcPr>
          <w:p w14:paraId="243E8C18"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p>
        </w:tc>
        <w:tc>
          <w:tcPr>
            <w:tcW w:w="2720" w:type="dxa"/>
            <w:tcBorders>
              <w:top w:val="nil"/>
              <w:left w:val="nil"/>
              <w:bottom w:val="single" w:sz="6" w:space="0" w:color="969696"/>
              <w:right w:val="nil"/>
            </w:tcBorders>
            <w:shd w:val="solid" w:color="FFFFFF" w:fill="FFFFFF"/>
          </w:tcPr>
          <w:p w14:paraId="0E913E87" w14:textId="77777777" w:rsidR="00921810" w:rsidRDefault="0092181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Calibri" w:hAnsi="Calibri" w:cs="Calibri"/>
                <w:color w:val="000000"/>
                <w:sz w:val="20"/>
                <w:szCs w:val="20"/>
                <w:lang w:val="en-GB" w:eastAsia="en-GB"/>
              </w:rPr>
            </w:pPr>
            <w:r>
              <w:rPr>
                <w:rFonts w:ascii="Calibri" w:hAnsi="Calibri" w:cs="Calibri"/>
                <w:color w:val="000000"/>
                <w:sz w:val="20"/>
                <w:szCs w:val="20"/>
                <w:lang w:val="en-GB" w:eastAsia="en-GB"/>
              </w:rPr>
              <w:t>1</w:t>
            </w:r>
          </w:p>
        </w:tc>
      </w:tr>
    </w:tbl>
    <w:p w14:paraId="56ED3BF0" w14:textId="77777777" w:rsidR="00921810" w:rsidRPr="00921810" w:rsidRDefault="00921810" w:rsidP="00921810">
      <w:pPr>
        <w:spacing w:line="288" w:lineRule="auto"/>
        <w:jc w:val="both"/>
        <w:rPr>
          <w:rFonts w:ascii="Helvetica" w:hAnsi="Helvetica"/>
          <w:b/>
          <w:bCs/>
          <w:sz w:val="22"/>
          <w:szCs w:val="22"/>
        </w:rPr>
      </w:pPr>
    </w:p>
    <w:p w14:paraId="16ACF956" w14:textId="04E610AB" w:rsidR="00FD35CD" w:rsidRDefault="00FD35CD" w:rsidP="00921810">
      <w:pPr>
        <w:rPr>
          <w:rFonts w:ascii="Helvetica" w:hAnsi="Helvetica"/>
          <w:sz w:val="22"/>
          <w:szCs w:val="22"/>
        </w:rPr>
      </w:pPr>
    </w:p>
    <w:p w14:paraId="1CC73397" w14:textId="790DECD3" w:rsidR="00921810" w:rsidRPr="003A310C" w:rsidRDefault="00921810" w:rsidP="00921810">
      <w:pPr>
        <w:rPr>
          <w:rFonts w:ascii="Helvetica" w:hAnsi="Helvetica"/>
          <w:b/>
          <w:bCs/>
          <w:sz w:val="22"/>
          <w:szCs w:val="22"/>
        </w:rPr>
      </w:pPr>
      <w:r w:rsidRPr="003A310C">
        <w:rPr>
          <w:rFonts w:ascii="Helvetica" w:hAnsi="Helvetica"/>
          <w:b/>
          <w:bCs/>
          <w:sz w:val="22"/>
          <w:szCs w:val="22"/>
        </w:rPr>
        <w:t>References</w:t>
      </w:r>
    </w:p>
    <w:p w14:paraId="2112F0EA" w14:textId="77777777" w:rsidR="00921810" w:rsidRDefault="00921810" w:rsidP="00921810">
      <w:pPr>
        <w:spacing w:line="288" w:lineRule="auto"/>
        <w:jc w:val="both"/>
        <w:rPr>
          <w:rFonts w:ascii="Helvetica" w:hAnsi="Helvetica"/>
          <w:sz w:val="22"/>
          <w:szCs w:val="22"/>
        </w:rPr>
      </w:pPr>
    </w:p>
    <w:p w14:paraId="6EB0F84D" w14:textId="77777777" w:rsidR="00921810" w:rsidRPr="00F22DEF" w:rsidRDefault="00921810" w:rsidP="00921810">
      <w:pPr>
        <w:spacing w:line="288" w:lineRule="auto"/>
        <w:jc w:val="both"/>
        <w:rPr>
          <w:rFonts w:ascii="Helvetica" w:hAnsi="Helvetica"/>
          <w:sz w:val="22"/>
          <w:szCs w:val="22"/>
        </w:rPr>
      </w:pPr>
      <w:r w:rsidRPr="00F22DEF">
        <w:rPr>
          <w:rFonts w:ascii="Helvetica" w:hAnsi="Helvetica"/>
          <w:sz w:val="22"/>
          <w:szCs w:val="22"/>
          <w:lang w:val="de-DE"/>
        </w:rPr>
        <w:t xml:space="preserve">Glaser, B. G. and Strauss, A. L. (1967). </w:t>
      </w:r>
      <w:r w:rsidRPr="00F22DEF">
        <w:rPr>
          <w:rFonts w:ascii="Helvetica" w:hAnsi="Helvetica"/>
          <w:sz w:val="22"/>
          <w:szCs w:val="22"/>
        </w:rPr>
        <w:t xml:space="preserve">The Discovery of Grounded Theory: Strategies for Qualitative Research. Aldine, Chicago, 1st edition. </w:t>
      </w:r>
    </w:p>
    <w:p w14:paraId="1632A420" w14:textId="77777777" w:rsidR="00921810" w:rsidRDefault="00921810" w:rsidP="00921810">
      <w:pPr>
        <w:spacing w:line="288" w:lineRule="auto"/>
        <w:jc w:val="both"/>
        <w:rPr>
          <w:rFonts w:ascii="Helvetica" w:hAnsi="Helvetica"/>
          <w:sz w:val="22"/>
          <w:szCs w:val="22"/>
        </w:rPr>
      </w:pPr>
    </w:p>
    <w:p w14:paraId="2FCF26BC" w14:textId="77777777" w:rsidR="00921810" w:rsidRDefault="00921810" w:rsidP="00921810">
      <w:pPr>
        <w:spacing w:line="288" w:lineRule="auto"/>
        <w:jc w:val="both"/>
        <w:rPr>
          <w:rFonts w:ascii="Helvetica" w:hAnsi="Helvetica"/>
          <w:sz w:val="22"/>
          <w:szCs w:val="22"/>
        </w:rPr>
      </w:pPr>
      <w:r w:rsidRPr="00F22DEF">
        <w:rPr>
          <w:rFonts w:ascii="Helvetica" w:hAnsi="Helvetica"/>
          <w:sz w:val="22"/>
          <w:szCs w:val="22"/>
        </w:rPr>
        <w:t xml:space="preserve">Rubin, H. J. and Rubin, I. S. (2005). Qualitative Interviewing: The Art of Hearing Data. SAGE, Thousand Oaks, CA, 2nd edition. </w:t>
      </w:r>
    </w:p>
    <w:p w14:paraId="390DBC3C" w14:textId="77777777" w:rsidR="00921810" w:rsidRDefault="00921810" w:rsidP="00921810">
      <w:pPr>
        <w:spacing w:line="288" w:lineRule="auto"/>
        <w:jc w:val="both"/>
        <w:rPr>
          <w:rFonts w:ascii="Helvetica" w:hAnsi="Helvetica"/>
          <w:sz w:val="22"/>
          <w:szCs w:val="22"/>
        </w:rPr>
      </w:pPr>
    </w:p>
    <w:p w14:paraId="5EFB1DA4" w14:textId="77777777" w:rsidR="00921810" w:rsidRPr="00F22DEF" w:rsidRDefault="00921810" w:rsidP="00921810">
      <w:pPr>
        <w:spacing w:line="288" w:lineRule="auto"/>
        <w:jc w:val="both"/>
        <w:rPr>
          <w:rFonts w:ascii="Helvetica" w:hAnsi="Helvetica"/>
          <w:sz w:val="22"/>
          <w:szCs w:val="22"/>
        </w:rPr>
      </w:pPr>
      <w:r w:rsidRPr="00F22DEF">
        <w:rPr>
          <w:rFonts w:ascii="Helvetica" w:hAnsi="Helvetica"/>
          <w:sz w:val="22"/>
          <w:szCs w:val="22"/>
        </w:rPr>
        <w:t xml:space="preserve">Strauss, A. L. and Corbin, J. M. (1998). Basics of Qualitative Research: Techniques and Procedures for Developing Grounded Theory. SAGE, Thousand Oaks, CA. </w:t>
      </w:r>
    </w:p>
    <w:p w14:paraId="62AD003B" w14:textId="77777777" w:rsidR="00921810" w:rsidRPr="00F22DEF" w:rsidRDefault="00921810" w:rsidP="00921810">
      <w:pPr>
        <w:spacing w:line="288" w:lineRule="auto"/>
        <w:jc w:val="both"/>
        <w:rPr>
          <w:rFonts w:ascii="Helvetica" w:hAnsi="Helvetica"/>
          <w:sz w:val="22"/>
          <w:szCs w:val="22"/>
        </w:rPr>
      </w:pPr>
    </w:p>
    <w:p w14:paraId="572FA4C0" w14:textId="0049B8E4" w:rsidR="00921810" w:rsidRPr="0007451F" w:rsidRDefault="00921810" w:rsidP="0007451F">
      <w:pPr>
        <w:spacing w:line="288" w:lineRule="auto"/>
        <w:jc w:val="both"/>
        <w:rPr>
          <w:rFonts w:ascii="Helvetica" w:hAnsi="Helvetica"/>
          <w:sz w:val="22"/>
          <w:szCs w:val="22"/>
        </w:rPr>
      </w:pPr>
      <w:r w:rsidRPr="00F22DEF">
        <w:rPr>
          <w:rFonts w:ascii="Helvetica" w:hAnsi="Helvetica"/>
          <w:sz w:val="22"/>
          <w:szCs w:val="22"/>
        </w:rPr>
        <w:lastRenderedPageBreak/>
        <w:t xml:space="preserve">Yin, R. K. (2003). Case Study Research: Design and Methods. SAGE, Thousand Oaks, CA, 3rd edition. </w:t>
      </w:r>
    </w:p>
    <w:sectPr w:rsidR="00921810" w:rsidRPr="0007451F" w:rsidSect="003D1EB8">
      <w:headerReference w:type="default" r:id="rId60"/>
      <w:footerReference w:type="default" r:id="rId61"/>
      <w:type w:val="continuous"/>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036913" w14:textId="77777777" w:rsidR="00CC0112" w:rsidRDefault="00CC0112">
      <w:r>
        <w:separator/>
      </w:r>
    </w:p>
  </w:endnote>
  <w:endnote w:type="continuationSeparator" w:id="0">
    <w:p w14:paraId="73550250" w14:textId="77777777" w:rsidR="00CC0112" w:rsidRDefault="00CC0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
    <w:panose1 w:val="020005030000000200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Roman">
    <w:altName w:val="Times New Roman"/>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553AA1" w14:textId="77777777" w:rsidR="00372E47" w:rsidRDefault="00372E47">
    <w:pPr>
      <w:pStyle w:val="HeaderFooter"/>
      <w:tabs>
        <w:tab w:val="clear" w:pos="9020"/>
        <w:tab w:val="center" w:pos="4819"/>
        <w:tab w:val="right" w:pos="9638"/>
      </w:tabs>
    </w:pPr>
    <w:r>
      <w:rPr>
        <w:color w:val="A9A9A9"/>
        <w:sz w:val="20"/>
        <w:szCs w:val="20"/>
      </w:rPr>
      <w:tab/>
    </w:r>
    <w:r>
      <w:rPr>
        <w:color w:val="A9A9A9"/>
        <w:sz w:val="20"/>
        <w:szCs w:val="20"/>
        <w:lang w:val="en-US"/>
      </w:rPr>
      <w:t xml:space="preserve">Page </w:t>
    </w:r>
    <w:r>
      <w:rPr>
        <w:color w:val="A9A9A9"/>
        <w:sz w:val="20"/>
        <w:szCs w:val="20"/>
      </w:rPr>
      <w:fldChar w:fldCharType="begin"/>
    </w:r>
    <w:r>
      <w:rPr>
        <w:color w:val="A9A9A9"/>
        <w:sz w:val="20"/>
        <w:szCs w:val="20"/>
      </w:rPr>
      <w:instrText xml:space="preserve"> PAGE </w:instrText>
    </w:r>
    <w:r>
      <w:rPr>
        <w:color w:val="A9A9A9"/>
        <w:sz w:val="20"/>
        <w:szCs w:val="20"/>
      </w:rPr>
      <w:fldChar w:fldCharType="separate"/>
    </w:r>
    <w:r>
      <w:rPr>
        <w:noProof/>
        <w:color w:val="A9A9A9"/>
        <w:sz w:val="20"/>
        <w:szCs w:val="20"/>
      </w:rPr>
      <w:t>1</w:t>
    </w:r>
    <w:r>
      <w:rPr>
        <w:color w:val="A9A9A9"/>
        <w:sz w:val="20"/>
        <w:szCs w:val="20"/>
      </w:rPr>
      <w:fldChar w:fldCharType="end"/>
    </w:r>
    <w:r>
      <w:rPr>
        <w:color w:val="A9A9A9"/>
        <w:sz w:val="20"/>
        <w:szCs w:val="20"/>
        <w:lang w:val="en-US"/>
      </w:rPr>
      <w:t xml:space="preserve"> of </w:t>
    </w:r>
    <w:r>
      <w:rPr>
        <w:color w:val="A9A9A9"/>
        <w:sz w:val="20"/>
        <w:szCs w:val="20"/>
      </w:rPr>
      <w:fldChar w:fldCharType="begin"/>
    </w:r>
    <w:r>
      <w:rPr>
        <w:color w:val="A9A9A9"/>
        <w:sz w:val="20"/>
        <w:szCs w:val="20"/>
      </w:rPr>
      <w:instrText xml:space="preserve"> NUMPAGES </w:instrText>
    </w:r>
    <w:r>
      <w:rPr>
        <w:color w:val="A9A9A9"/>
        <w:sz w:val="20"/>
        <w:szCs w:val="20"/>
      </w:rPr>
      <w:fldChar w:fldCharType="separate"/>
    </w:r>
    <w:r>
      <w:rPr>
        <w:noProof/>
        <w:color w:val="A9A9A9"/>
        <w:sz w:val="20"/>
        <w:szCs w:val="20"/>
      </w:rPr>
      <w:t>1</w:t>
    </w:r>
    <w:r>
      <w:rPr>
        <w:color w:val="A9A9A9"/>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1401D5" w14:textId="77777777" w:rsidR="00B22741" w:rsidRDefault="002E0D06">
    <w:pPr>
      <w:pStyle w:val="HeaderFooter"/>
      <w:tabs>
        <w:tab w:val="clear" w:pos="9020"/>
        <w:tab w:val="center" w:pos="4819"/>
        <w:tab w:val="right" w:pos="9638"/>
      </w:tabs>
    </w:pPr>
    <w:r>
      <w:rPr>
        <w:color w:val="A9A9A9"/>
        <w:sz w:val="20"/>
        <w:szCs w:val="20"/>
      </w:rPr>
      <w:tab/>
    </w:r>
    <w:r>
      <w:rPr>
        <w:color w:val="A9A9A9"/>
        <w:sz w:val="20"/>
        <w:szCs w:val="20"/>
        <w:lang w:val="en-US"/>
      </w:rPr>
      <w:t xml:space="preserve">Page </w:t>
    </w:r>
    <w:r>
      <w:rPr>
        <w:color w:val="A9A9A9"/>
        <w:sz w:val="20"/>
        <w:szCs w:val="20"/>
      </w:rPr>
      <w:fldChar w:fldCharType="begin"/>
    </w:r>
    <w:r>
      <w:rPr>
        <w:color w:val="A9A9A9"/>
        <w:sz w:val="20"/>
        <w:szCs w:val="20"/>
      </w:rPr>
      <w:instrText xml:space="preserve"> PAGE </w:instrText>
    </w:r>
    <w:r>
      <w:rPr>
        <w:color w:val="A9A9A9"/>
        <w:sz w:val="20"/>
        <w:szCs w:val="20"/>
      </w:rPr>
      <w:fldChar w:fldCharType="separate"/>
    </w:r>
    <w:r w:rsidR="00D20E33">
      <w:rPr>
        <w:noProof/>
        <w:color w:val="A9A9A9"/>
        <w:sz w:val="20"/>
        <w:szCs w:val="20"/>
      </w:rPr>
      <w:t>1</w:t>
    </w:r>
    <w:r>
      <w:rPr>
        <w:color w:val="A9A9A9"/>
        <w:sz w:val="20"/>
        <w:szCs w:val="20"/>
      </w:rPr>
      <w:fldChar w:fldCharType="end"/>
    </w:r>
    <w:r>
      <w:rPr>
        <w:color w:val="A9A9A9"/>
        <w:sz w:val="20"/>
        <w:szCs w:val="20"/>
        <w:lang w:val="en-US"/>
      </w:rPr>
      <w:t xml:space="preserve"> of </w:t>
    </w:r>
    <w:r>
      <w:rPr>
        <w:color w:val="A9A9A9"/>
        <w:sz w:val="20"/>
        <w:szCs w:val="20"/>
      </w:rPr>
      <w:fldChar w:fldCharType="begin"/>
    </w:r>
    <w:r>
      <w:rPr>
        <w:color w:val="A9A9A9"/>
        <w:sz w:val="20"/>
        <w:szCs w:val="20"/>
      </w:rPr>
      <w:instrText xml:space="preserve"> NUMPAGES </w:instrText>
    </w:r>
    <w:r>
      <w:rPr>
        <w:color w:val="A9A9A9"/>
        <w:sz w:val="20"/>
        <w:szCs w:val="20"/>
      </w:rPr>
      <w:fldChar w:fldCharType="separate"/>
    </w:r>
    <w:r w:rsidR="00D20E33">
      <w:rPr>
        <w:noProof/>
        <w:color w:val="A9A9A9"/>
        <w:sz w:val="20"/>
        <w:szCs w:val="20"/>
      </w:rPr>
      <w:t>1</w:t>
    </w:r>
    <w:r>
      <w:rPr>
        <w:color w:val="A9A9A9"/>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BEB52F" w14:textId="77777777" w:rsidR="00CC0112" w:rsidRDefault="00CC0112">
      <w:r>
        <w:separator/>
      </w:r>
    </w:p>
  </w:footnote>
  <w:footnote w:type="continuationSeparator" w:id="0">
    <w:p w14:paraId="2461FF55" w14:textId="77777777" w:rsidR="00CC0112" w:rsidRDefault="00CC0112">
      <w:r>
        <w:continuationSeparator/>
      </w:r>
    </w:p>
  </w:footnote>
  <w:footnote w:type="continuationNotice" w:id="1">
    <w:p w14:paraId="6734A452" w14:textId="77777777" w:rsidR="00CC0112" w:rsidRDefault="00CC0112"/>
  </w:footnote>
  <w:footnote w:id="2">
    <w:p w14:paraId="317E2BCE" w14:textId="77777777" w:rsidR="00CE4E1B" w:rsidRPr="0005421D" w:rsidRDefault="00CE4E1B" w:rsidP="00CE4E1B">
      <w:pPr>
        <w:rPr>
          <w:rFonts w:asciiTheme="minorHAnsi" w:eastAsia="Times New Roman" w:hAnsiTheme="minorHAnsi"/>
          <w:sz w:val="20"/>
          <w:szCs w:val="20"/>
          <w:bdr w:val="none" w:sz="0" w:space="0" w:color="auto"/>
          <w:lang w:val="en-GB" w:eastAsia="en-GB"/>
        </w:rPr>
      </w:pPr>
      <w:r w:rsidRPr="0005421D">
        <w:rPr>
          <w:rStyle w:val="FootnoteReference"/>
          <w:rFonts w:asciiTheme="minorHAnsi" w:hAnsiTheme="minorHAnsi"/>
          <w:sz w:val="20"/>
          <w:szCs w:val="20"/>
        </w:rPr>
        <w:footnoteRef/>
      </w:r>
      <w:r w:rsidRPr="0005421D">
        <w:rPr>
          <w:rFonts w:asciiTheme="minorHAnsi" w:hAnsiTheme="minorHAnsi"/>
          <w:sz w:val="20"/>
          <w:szCs w:val="20"/>
        </w:rPr>
        <w:t xml:space="preserve"> </w:t>
      </w:r>
      <w:r w:rsidRPr="0005421D">
        <w:rPr>
          <w:rFonts w:asciiTheme="minorHAnsi" w:hAnsiTheme="minorHAnsi"/>
          <w:sz w:val="20"/>
          <w:szCs w:val="20"/>
          <w:lang w:val="en-GB"/>
        </w:rPr>
        <w:t xml:space="preserve">Bennett Institute, University of Cambridge. This research was funded by the ESRC’s Productivity Institute, grant number </w:t>
      </w:r>
      <w:r w:rsidRPr="0005421D">
        <w:rPr>
          <w:rFonts w:asciiTheme="minorHAnsi" w:eastAsia="Times New Roman" w:hAnsiTheme="minorHAnsi"/>
          <w:color w:val="000000" w:themeColor="text1"/>
          <w:sz w:val="20"/>
          <w:szCs w:val="20"/>
          <w:bdr w:val="none" w:sz="0" w:space="0" w:color="auto"/>
          <w:lang w:val="en-GB" w:eastAsia="en-GB"/>
        </w:rPr>
        <w:t>ES/V002740/1</w:t>
      </w:r>
    </w:p>
    <w:p w14:paraId="50635188" w14:textId="77777777" w:rsidR="00CE4E1B" w:rsidRPr="0005421D" w:rsidRDefault="00CE4E1B" w:rsidP="00CE4E1B">
      <w:pPr>
        <w:pStyle w:val="FootnoteText"/>
        <w:rPr>
          <w:rFonts w:asciiTheme="minorHAnsi" w:hAnsiTheme="minorHAnsi"/>
          <w:lang w:val="en-GB"/>
        </w:rPr>
      </w:pPr>
      <w:r w:rsidRPr="0005421D">
        <w:rPr>
          <w:rFonts w:asciiTheme="minorHAnsi" w:hAnsiTheme="minorHAnsi"/>
          <w:lang w:val="en-GB"/>
        </w:rPr>
        <w:t xml:space="preserve">We are very grateful to Office for National Statistics colleagues for their help, </w:t>
      </w:r>
      <w:proofErr w:type="gramStart"/>
      <w:r w:rsidRPr="0005421D">
        <w:rPr>
          <w:rFonts w:asciiTheme="minorHAnsi" w:hAnsiTheme="minorHAnsi"/>
          <w:lang w:val="en-GB"/>
        </w:rPr>
        <w:t>and also</w:t>
      </w:r>
      <w:proofErr w:type="gramEnd"/>
      <w:r w:rsidRPr="0005421D">
        <w:rPr>
          <w:rFonts w:asciiTheme="minorHAnsi" w:hAnsiTheme="minorHAnsi"/>
          <w:lang w:val="en-GB"/>
        </w:rPr>
        <w:t xml:space="preserve"> to Huw Dixon, Carol Propper, </w:t>
      </w:r>
      <w:r>
        <w:rPr>
          <w:rFonts w:asciiTheme="minorHAnsi" w:hAnsiTheme="minorHAnsi"/>
          <w:lang w:val="en-GB"/>
        </w:rPr>
        <w:t xml:space="preserve">Paul Schreyer, </w:t>
      </w:r>
      <w:r w:rsidRPr="0005421D">
        <w:rPr>
          <w:rFonts w:asciiTheme="minorHAnsi" w:hAnsiTheme="minorHAnsi"/>
          <w:lang w:val="en-GB"/>
        </w:rPr>
        <w:t>Bart Van Ark</w:t>
      </w:r>
      <w:r>
        <w:rPr>
          <w:rFonts w:asciiTheme="minorHAnsi" w:hAnsiTheme="minorHAnsi"/>
          <w:lang w:val="en-GB"/>
        </w:rPr>
        <w:t xml:space="preserve">, </w:t>
      </w:r>
      <w:r w:rsidRPr="0005421D">
        <w:rPr>
          <w:rFonts w:asciiTheme="minorHAnsi" w:hAnsiTheme="minorHAnsi"/>
          <w:lang w:val="en-GB"/>
        </w:rPr>
        <w:t xml:space="preserve">Tony Venables </w:t>
      </w:r>
      <w:r>
        <w:rPr>
          <w:rFonts w:asciiTheme="minorHAnsi" w:hAnsiTheme="minorHAnsi"/>
          <w:lang w:val="en-GB"/>
        </w:rPr>
        <w:t xml:space="preserve">and Martin Weale. We </w:t>
      </w:r>
      <w:proofErr w:type="gramStart"/>
      <w:r>
        <w:rPr>
          <w:rFonts w:asciiTheme="minorHAnsi" w:hAnsiTheme="minorHAnsi"/>
          <w:lang w:val="en-GB"/>
        </w:rPr>
        <w:t>thank also</w:t>
      </w:r>
      <w:proofErr w:type="gramEnd"/>
      <w:r>
        <w:rPr>
          <w:rFonts w:asciiTheme="minorHAnsi" w:hAnsiTheme="minorHAnsi"/>
          <w:lang w:val="en-GB"/>
        </w:rPr>
        <w:t xml:space="preserve"> the anonymous referees</w:t>
      </w:r>
      <w:r w:rsidRPr="0005421D">
        <w:rPr>
          <w:rFonts w:asciiTheme="minorHAnsi" w:hAnsiTheme="minorHAnsi"/>
          <w:lang w:val="en-GB"/>
        </w:rPr>
        <w:t xml:space="preserve">. </w:t>
      </w:r>
    </w:p>
  </w:footnote>
  <w:footnote w:id="3">
    <w:p w14:paraId="6CE29393" w14:textId="77777777" w:rsidR="00D20E33" w:rsidRPr="0005421D" w:rsidRDefault="00D20E33">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w:t>
      </w:r>
      <w:r w:rsidRPr="0005421D">
        <w:rPr>
          <w:rFonts w:asciiTheme="minorHAnsi" w:hAnsiTheme="minorHAnsi" w:cs="Arial Unicode MS"/>
          <w:color w:val="000000"/>
          <w:lang w:eastAsia="en-GB"/>
          <w14:textOutline w14:w="0" w14:cap="flat" w14:cmpd="sng" w14:algn="ctr">
            <w14:noFill/>
            <w14:prstDash w14:val="solid"/>
            <w14:bevel/>
          </w14:textOutline>
        </w:rPr>
        <w:t>New Zealand, Malaysia and a small number of others are noticeable exceptions who have also moved this agenda forward.</w:t>
      </w:r>
    </w:p>
  </w:footnote>
  <w:footnote w:id="4">
    <w:p w14:paraId="5C99AC0D" w14:textId="77777777" w:rsidR="00507E8B" w:rsidRPr="0005421D" w:rsidRDefault="00507E8B" w:rsidP="00507E8B">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https://www.ons.gov.uk/economy/grossdomesticproductgdp/articles/internationalcomparisonsofgdpduringthecoronaviruscovid19pandemic/2021-02-01</w:t>
      </w:r>
    </w:p>
  </w:footnote>
  <w:footnote w:id="5">
    <w:p w14:paraId="4B446251" w14:textId="2CF862A7" w:rsidR="00B22741" w:rsidRPr="0005421D" w:rsidRDefault="002E0D06">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eastAsia="Arial Unicode MS" w:hAnsiTheme="minorHAnsi" w:cs="Arial Unicode MS"/>
          <w:sz w:val="20"/>
          <w:szCs w:val="20"/>
        </w:rPr>
        <w:t xml:space="preserve"> </w:t>
      </w:r>
      <w:r w:rsidR="00A619A1" w:rsidRPr="0005421D">
        <w:rPr>
          <w:rFonts w:asciiTheme="minorHAnsi" w:eastAsia="Arial Unicode MS" w:hAnsiTheme="minorHAnsi" w:cs="Arial Unicode MS"/>
          <w:sz w:val="20"/>
          <w:szCs w:val="20"/>
          <w:lang w:val="en-US"/>
        </w:rPr>
        <w:t xml:space="preserve">In other words, the direct marginal contribution of activity to output. Phelps (2010) notes though that the </w:t>
      </w:r>
      <w:r w:rsidRPr="0005421D">
        <w:rPr>
          <w:rFonts w:asciiTheme="minorHAnsi" w:eastAsia="Arial Unicode MS" w:hAnsiTheme="minorHAnsi" w:cs="Arial Unicode MS"/>
          <w:sz w:val="20"/>
          <w:szCs w:val="20"/>
          <w:lang w:val="en-US"/>
        </w:rPr>
        <w:t xml:space="preserve">public service output measures do not net off intermediate purchases. </w:t>
      </w:r>
    </w:p>
  </w:footnote>
  <w:footnote w:id="6">
    <w:p w14:paraId="6BDBF5B5" w14:textId="77777777" w:rsidR="00372E47" w:rsidRPr="0005421D" w:rsidRDefault="00372E47" w:rsidP="00372E47">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eastAsia="Arial Unicode MS" w:hAnsiTheme="minorHAnsi" w:cs="Arial Unicode MS"/>
          <w:sz w:val="20"/>
          <w:szCs w:val="20"/>
        </w:rPr>
        <w:t xml:space="preserve"> </w:t>
      </w:r>
      <w:r w:rsidRPr="0005421D">
        <w:rPr>
          <w:rFonts w:asciiTheme="minorHAnsi" w:hAnsiTheme="minorHAnsi"/>
          <w:sz w:val="20"/>
          <w:szCs w:val="20"/>
        </w:rPr>
        <w:t>In calculating the separate public service productivity figures, just under one fifth (17.7% of the total in 2015, 9.8% of healthcare) is derived using the cost-weighted activity index in B. The remaining just over two-fifths (44.5% in 2015, 80.1% of healthcare) quality adjusts the ‘quantity output’ measures to address this issue</w:t>
      </w:r>
      <w:r w:rsidRPr="0005421D">
        <w:rPr>
          <w:rStyle w:val="FootnoteReference"/>
          <w:rFonts w:asciiTheme="minorHAnsi" w:hAnsiTheme="minorHAnsi"/>
          <w:sz w:val="20"/>
          <w:szCs w:val="20"/>
        </w:rPr>
        <w:footnoteRef/>
      </w:r>
      <w:r w:rsidRPr="0005421D">
        <w:rPr>
          <w:rFonts w:asciiTheme="minorHAnsi" w:hAnsiTheme="minorHAnsi"/>
          <w:sz w:val="20"/>
          <w:szCs w:val="20"/>
        </w:rPr>
        <w:t>. Specific, complex and model-based, quality metrics are used to adjust the volume of output initially constructed by the quantity output approach (B) (Castelli et al 2018, Hardie et al 2010, Pe</w:t>
      </w:r>
      <w:r w:rsidRPr="0005421D">
        <w:rPr>
          <w:rFonts w:asciiTheme="minorHAnsi" w:hAnsiTheme="minorHAnsi"/>
          <w:sz w:val="20"/>
          <w:szCs w:val="20"/>
          <w:lang w:val="es-ES_tradnl"/>
        </w:rPr>
        <w:t>ñ</w:t>
      </w:r>
      <w:r w:rsidRPr="0005421D">
        <w:rPr>
          <w:rFonts w:asciiTheme="minorHAnsi" w:hAnsiTheme="minorHAnsi"/>
          <w:sz w:val="20"/>
          <w:szCs w:val="20"/>
        </w:rPr>
        <w:t xml:space="preserve">aloza et al 2010). In principle the quality adjustments take the implied deflator closer to the valuations users place on the different activities rather than using the costs to producers (Diewert 2018, Diewert &amp; Fox 2017). These quality-adjusted statistics are used in the ONS’s stand-alone public service productivity measures, but they are </w:t>
      </w:r>
      <w:r w:rsidRPr="0005421D">
        <w:rPr>
          <w:rFonts w:asciiTheme="minorHAnsi" w:hAnsiTheme="minorHAnsi"/>
          <w:i/>
          <w:iCs/>
          <w:sz w:val="20"/>
          <w:szCs w:val="20"/>
        </w:rPr>
        <w:t>not</w:t>
      </w:r>
      <w:r w:rsidRPr="0005421D">
        <w:rPr>
          <w:rFonts w:asciiTheme="minorHAnsi" w:hAnsiTheme="minorHAnsi"/>
          <w:sz w:val="20"/>
          <w:szCs w:val="20"/>
        </w:rPr>
        <w:t xml:space="preserve"> currently used in constructing GDP or the whole economy productivity statistics</w:t>
      </w:r>
    </w:p>
  </w:footnote>
  <w:footnote w:id="7">
    <w:p w14:paraId="25EF84D0" w14:textId="4B5A613F" w:rsidR="00B079F2" w:rsidRPr="0005421D" w:rsidRDefault="00B079F2">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w:t>
      </w:r>
      <w:r w:rsidRPr="0005421D">
        <w:rPr>
          <w:rFonts w:asciiTheme="minorHAnsi" w:hAnsiTheme="minorHAnsi"/>
          <w:lang w:val="en-GB"/>
        </w:rPr>
        <w:t>The UK also uses a more detailed categorisation of activities</w:t>
      </w:r>
      <w:r w:rsidR="00372E47" w:rsidRPr="0005421D">
        <w:rPr>
          <w:rFonts w:asciiTheme="minorHAnsi" w:hAnsiTheme="minorHAnsi"/>
          <w:lang w:val="en-GB"/>
        </w:rPr>
        <w:t xml:space="preserve"> </w:t>
      </w:r>
      <w:r w:rsidR="00576089" w:rsidRPr="0005421D">
        <w:rPr>
          <w:rFonts w:asciiTheme="minorHAnsi" w:hAnsiTheme="minorHAnsi"/>
          <w:lang w:val="en-GB"/>
        </w:rPr>
        <w:t xml:space="preserve">(Healthcare Resource Group classifications) </w:t>
      </w:r>
      <w:r w:rsidR="00372E47" w:rsidRPr="0005421D">
        <w:rPr>
          <w:rFonts w:asciiTheme="minorHAnsi" w:hAnsiTheme="minorHAnsi"/>
          <w:lang w:val="en-GB"/>
        </w:rPr>
        <w:t>in its full year health output figures</w:t>
      </w:r>
      <w:r w:rsidRPr="0005421D">
        <w:rPr>
          <w:rFonts w:asciiTheme="minorHAnsi" w:hAnsiTheme="minorHAnsi"/>
          <w:lang w:val="en-GB"/>
        </w:rPr>
        <w:t xml:space="preserve"> than some other OECD countries</w:t>
      </w:r>
      <w:r w:rsidR="00576089" w:rsidRPr="0005421D">
        <w:rPr>
          <w:rFonts w:asciiTheme="minorHAnsi" w:hAnsiTheme="minorHAnsi"/>
          <w:lang w:val="en-GB"/>
        </w:rPr>
        <w:t xml:space="preserve"> (typically using Diagnostic Related Group classifications)</w:t>
      </w:r>
      <w:r w:rsidR="00372E47" w:rsidRPr="0005421D">
        <w:rPr>
          <w:rFonts w:asciiTheme="minorHAnsi" w:hAnsiTheme="minorHAnsi"/>
          <w:lang w:val="en-GB"/>
        </w:rPr>
        <w:t>, so compositional changes may play a bigger role for this reason too</w:t>
      </w:r>
      <w:r w:rsidRPr="0005421D">
        <w:rPr>
          <w:rFonts w:asciiTheme="minorHAnsi" w:hAnsiTheme="minorHAnsi"/>
          <w:lang w:val="en-GB"/>
        </w:rPr>
        <w:t>.</w:t>
      </w:r>
    </w:p>
  </w:footnote>
  <w:footnote w:id="8">
    <w:p w14:paraId="12FC03F9" w14:textId="77777777" w:rsidR="00372E47" w:rsidRPr="0005421D" w:rsidRDefault="00372E47" w:rsidP="00372E47">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hAnsiTheme="minorHAnsi"/>
          <w:sz w:val="20"/>
          <w:szCs w:val="20"/>
        </w:rPr>
        <w:t xml:space="preserve"> </w:t>
      </w:r>
      <w:r w:rsidRPr="0005421D">
        <w:rPr>
          <w:rFonts w:asciiTheme="minorHAnsi" w:hAnsiTheme="minorHAnsi"/>
          <w:sz w:val="20"/>
          <w:szCs w:val="20"/>
          <w:lang w:val="en-US"/>
        </w:rPr>
        <w:t>A&amp;E visits also declined sharply, including paediatric visits (Hughes et al 2020)</w:t>
      </w:r>
    </w:p>
  </w:footnote>
  <w:footnote w:id="9">
    <w:p w14:paraId="6931123E" w14:textId="77777777" w:rsidR="00372E47" w:rsidRPr="0005421D" w:rsidRDefault="00372E47" w:rsidP="00372E47">
      <w:pPr>
        <w:pStyle w:val="CommentText"/>
        <w:rPr>
          <w:rFonts w:asciiTheme="minorHAnsi" w:hAnsiTheme="minorHAnsi"/>
        </w:rPr>
      </w:pPr>
      <w:r w:rsidRPr="0005421D">
        <w:rPr>
          <w:rStyle w:val="FootnoteReference"/>
          <w:rFonts w:asciiTheme="minorHAnsi" w:hAnsiTheme="minorHAnsi"/>
        </w:rPr>
        <w:footnoteRef/>
      </w:r>
      <w:r w:rsidRPr="0005421D">
        <w:rPr>
          <w:rFonts w:asciiTheme="minorHAnsi" w:hAnsiTheme="minorHAnsi"/>
        </w:rPr>
        <w:t xml:space="preserve"> There are additional services in the annual healthcare output measure for which data are not available quarterly or on a timely enough basis to include in quarterly GDP (inc. mental health, community and ambulance services), so the listed services account for a smaller portion of final annual healthcare output “benchmark”.</w:t>
      </w:r>
    </w:p>
  </w:footnote>
  <w:footnote w:id="10">
    <w:p w14:paraId="20C40B04" w14:textId="6D90F55C" w:rsidR="00BD184A" w:rsidRPr="00BD184A" w:rsidRDefault="00BD184A">
      <w:pPr>
        <w:pStyle w:val="FootnoteText"/>
        <w:rPr>
          <w:lang w:val="en-GB"/>
        </w:rPr>
      </w:pPr>
      <w:r>
        <w:rPr>
          <w:rStyle w:val="FootnoteReference"/>
        </w:rPr>
        <w:footnoteRef/>
      </w:r>
      <w:r>
        <w:t xml:space="preserve"> </w:t>
      </w:r>
      <w:hyperlink r:id="rId1" w:anchor="expenditure" w:history="1">
        <w:r w:rsidRPr="00D12894">
          <w:rPr>
            <w:rStyle w:val="Hyperlink"/>
            <w:rFonts w:asciiTheme="minorHAnsi" w:hAnsiTheme="minorHAnsi"/>
          </w:rPr>
          <w:t>https://www.ons.gov.uk/economy/grossdomesticproductgdp/bulletins/gdpfirstquarterlyestimateuk/octobertodecember2020#expenditure</w:t>
        </w:r>
      </w:hyperlink>
      <w:r>
        <w:rPr>
          <w:rFonts w:asciiTheme="minorHAnsi" w:hAnsiTheme="minorHAnsi"/>
        </w:rPr>
        <w:t xml:space="preserve"> The data on the new activities are likely to be revised through 2021 as new data sources and enhanced methods become available.</w:t>
      </w:r>
    </w:p>
  </w:footnote>
  <w:footnote w:id="11">
    <w:p w14:paraId="6E06EE97" w14:textId="32647EEF" w:rsidR="008208F4" w:rsidRPr="008208F4" w:rsidRDefault="008208F4">
      <w:pPr>
        <w:pStyle w:val="FootnoteText"/>
        <w:rPr>
          <w:lang w:val="en-GB"/>
        </w:rPr>
      </w:pPr>
      <w:r>
        <w:rPr>
          <w:rStyle w:val="FootnoteReference"/>
        </w:rPr>
        <w:footnoteRef/>
      </w:r>
      <w:r>
        <w:t xml:space="preserve"> </w:t>
      </w:r>
      <w:hyperlink r:id="rId2" w:history="1">
        <w:r w:rsidRPr="008208F4">
          <w:rPr>
            <w:rStyle w:val="Hyperlink"/>
            <w:rFonts w:asciiTheme="minorHAnsi" w:hAnsiTheme="minorHAnsi" w:cs="Calibri"/>
          </w:rPr>
          <w:t>https://www.england.nhs.uk/statistics/statistical-work-areas/rtt-waiting-times/</w:t>
        </w:r>
      </w:hyperlink>
      <w:r>
        <w:t xml:space="preserve"> </w:t>
      </w:r>
    </w:p>
  </w:footnote>
  <w:footnote w:id="12">
    <w:p w14:paraId="64B13052" w14:textId="60093722" w:rsidR="008208F4" w:rsidRPr="008208F4" w:rsidRDefault="008208F4">
      <w:pPr>
        <w:pStyle w:val="FootnoteText"/>
        <w:rPr>
          <w:rFonts w:asciiTheme="minorHAnsi" w:hAnsiTheme="minorHAnsi"/>
          <w:lang w:val="en-GB"/>
        </w:rPr>
      </w:pPr>
      <w:r w:rsidRPr="008208F4">
        <w:rPr>
          <w:rStyle w:val="FootnoteReference"/>
          <w:rFonts w:asciiTheme="minorHAnsi" w:hAnsiTheme="minorHAnsi"/>
        </w:rPr>
        <w:footnoteRef/>
      </w:r>
      <w:r w:rsidRPr="008208F4">
        <w:rPr>
          <w:rFonts w:asciiTheme="minorHAnsi" w:hAnsiTheme="minorHAnsi"/>
        </w:rPr>
        <w:t xml:space="preserve"> https://www.england.nhs.uk/statistics/statistical-work-areas/rtt-waiting-times/rtt-data-2020-21/</w:t>
      </w:r>
    </w:p>
  </w:footnote>
  <w:footnote w:id="13">
    <w:p w14:paraId="39C6A07B" w14:textId="77777777" w:rsidR="004A1ADC" w:rsidRPr="0005421D" w:rsidRDefault="004A1ADC" w:rsidP="004A1ADC">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Eg https://www.euro.who.int/__data/assets/pdf_file/0008/255932/HiT-Germany.pdf</w:t>
      </w:r>
    </w:p>
  </w:footnote>
  <w:footnote w:id="14">
    <w:p w14:paraId="63DDCE54" w14:textId="7A817F9D" w:rsidR="0005421D" w:rsidRPr="0005421D" w:rsidRDefault="0005421D">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https://www.gov.uk/government/publications/working-together-to-improve-health-and-social-care-for-all</w:t>
      </w:r>
    </w:p>
  </w:footnote>
  <w:footnote w:id="15">
    <w:p w14:paraId="4C203CDB" w14:textId="20C53814" w:rsidR="00ED0444" w:rsidRPr="0005421D" w:rsidRDefault="00ED0444">
      <w:pPr>
        <w:pStyle w:val="FootnoteText"/>
        <w:rPr>
          <w:rFonts w:asciiTheme="minorHAnsi" w:hAnsiTheme="minorHAnsi"/>
          <w:lang w:val="en-GB"/>
        </w:rPr>
      </w:pPr>
      <w:r w:rsidRPr="0005421D">
        <w:rPr>
          <w:rStyle w:val="FootnoteReference"/>
          <w:rFonts w:asciiTheme="minorHAnsi" w:hAnsiTheme="minorHAnsi"/>
        </w:rPr>
        <w:footnoteRef/>
      </w:r>
      <w:r w:rsidRPr="0005421D">
        <w:rPr>
          <w:rFonts w:asciiTheme="minorHAnsi" w:hAnsiTheme="minorHAnsi"/>
        </w:rPr>
        <w:t xml:space="preserve"> </w:t>
      </w:r>
      <w:r w:rsidRPr="0005421D">
        <w:rPr>
          <w:rFonts w:asciiTheme="minorHAnsi" w:hAnsiTheme="minorHAnsi"/>
          <w:lang w:val="en-GB"/>
        </w:rPr>
        <w:t xml:space="preserve">Nosocomial transmissions are those </w:t>
      </w:r>
      <w:r w:rsidR="00921810" w:rsidRPr="0005421D">
        <w:rPr>
          <w:rFonts w:asciiTheme="minorHAnsi" w:hAnsiTheme="minorHAnsi"/>
          <w:lang w:val="en-GB"/>
        </w:rPr>
        <w:t>resulting from a visit to or stay in hospital.</w:t>
      </w:r>
    </w:p>
  </w:footnote>
  <w:footnote w:id="16">
    <w:p w14:paraId="04108545" w14:textId="77777777" w:rsidR="00B22741" w:rsidRPr="0005421D" w:rsidRDefault="002E0D06">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hAnsiTheme="minorHAnsi"/>
          <w:sz w:val="20"/>
          <w:szCs w:val="20"/>
        </w:rPr>
        <w:t xml:space="preserve"> </w:t>
      </w:r>
      <w:hyperlink r:id="rId3" w:history="1">
        <w:r w:rsidRPr="0005421D">
          <w:rPr>
            <w:rStyle w:val="Hyperlink0"/>
            <w:rFonts w:asciiTheme="minorHAnsi" w:hAnsiTheme="minorHAnsi"/>
            <w:sz w:val="20"/>
            <w:szCs w:val="20"/>
            <w:lang w:val="en-US"/>
          </w:rPr>
          <w:t>https://improvement.nhs.uk/resources/best-practice-workforce-planning/</w:t>
        </w:r>
      </w:hyperlink>
      <w:r w:rsidRPr="0005421D">
        <w:rPr>
          <w:rFonts w:asciiTheme="minorHAnsi" w:hAnsiTheme="minorHAnsi"/>
          <w:sz w:val="20"/>
          <w:szCs w:val="20"/>
          <w:lang w:val="en-US"/>
        </w:rPr>
        <w:t xml:space="preserve">; </w:t>
      </w:r>
      <w:hyperlink r:id="rId4" w:history="1">
        <w:r w:rsidRPr="0005421D">
          <w:rPr>
            <w:rStyle w:val="Hyperlink0"/>
            <w:rFonts w:asciiTheme="minorHAnsi" w:hAnsiTheme="minorHAnsi"/>
            <w:sz w:val="20"/>
            <w:szCs w:val="20"/>
            <w:lang w:val="en-US"/>
          </w:rPr>
          <w:t>https://www.hee.nhs.uk/sites/default/files/documents/180522MedPlanningGuidance201819V1.1.pdf</w:t>
        </w:r>
      </w:hyperlink>
      <w:r w:rsidRPr="0005421D">
        <w:rPr>
          <w:rFonts w:asciiTheme="minorHAnsi" w:hAnsiTheme="minorHAnsi"/>
          <w:sz w:val="20"/>
          <w:szCs w:val="20"/>
          <w:lang w:val="en-US"/>
        </w:rPr>
        <w:t xml:space="preserve"> </w:t>
      </w:r>
    </w:p>
  </w:footnote>
  <w:footnote w:id="17">
    <w:p w14:paraId="5ED7494C" w14:textId="2FF62975" w:rsidR="008570C4" w:rsidRPr="0005421D" w:rsidRDefault="008570C4" w:rsidP="008570C4">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eastAsia="Arial Unicode MS" w:hAnsiTheme="minorHAnsi" w:cs="Arial Unicode MS"/>
          <w:sz w:val="20"/>
          <w:szCs w:val="20"/>
        </w:rPr>
        <w:t xml:space="preserve"> </w:t>
      </w:r>
      <w:r w:rsidRPr="0005421D">
        <w:rPr>
          <w:rFonts w:asciiTheme="minorHAnsi" w:hAnsiTheme="minorHAnsi"/>
          <w:sz w:val="20"/>
          <w:szCs w:val="20"/>
          <w:lang w:val="en-US"/>
        </w:rPr>
        <w:t>https://data.oecd.org/healtheqt/hospital-beds.htm</w:t>
      </w:r>
    </w:p>
  </w:footnote>
  <w:footnote w:id="18">
    <w:p w14:paraId="0901EEF6" w14:textId="77777777" w:rsidR="00B22741" w:rsidRPr="0005421D" w:rsidRDefault="002E0D06">
      <w:pPr>
        <w:pStyle w:val="Footnote"/>
        <w:rPr>
          <w:rFonts w:asciiTheme="minorHAnsi" w:hAnsiTheme="minorHAnsi"/>
          <w:sz w:val="20"/>
          <w:szCs w:val="20"/>
        </w:rPr>
      </w:pPr>
      <w:r w:rsidRPr="0005421D">
        <w:rPr>
          <w:rFonts w:asciiTheme="minorHAnsi" w:hAnsiTheme="minorHAnsi"/>
          <w:sz w:val="20"/>
          <w:szCs w:val="20"/>
          <w:vertAlign w:val="superscript"/>
        </w:rPr>
        <w:footnoteRef/>
      </w:r>
      <w:r w:rsidRPr="0005421D">
        <w:rPr>
          <w:rFonts w:asciiTheme="minorHAnsi" w:hAnsiTheme="minorHAnsi"/>
          <w:sz w:val="20"/>
          <w:szCs w:val="20"/>
        </w:rPr>
        <w:t xml:space="preserve"> </w:t>
      </w:r>
      <w:hyperlink r:id="rId5" w:history="1">
        <w:r w:rsidRPr="0005421D">
          <w:rPr>
            <w:rStyle w:val="Hyperlink0"/>
            <w:rFonts w:asciiTheme="minorHAnsi" w:hAnsiTheme="minorHAnsi"/>
            <w:sz w:val="20"/>
            <w:szCs w:val="20"/>
            <w:lang w:val="en-US"/>
          </w:rPr>
          <w:t>https://assets.publishing.service.gov.uk/media/57d6bc17e5274a34de000040/Introducing_Infrastructure_Resilience_25May16_rev_external.pdf</w:t>
        </w:r>
      </w:hyperlink>
      <w:r w:rsidRPr="0005421D">
        <w:rPr>
          <w:rFonts w:asciiTheme="minorHAnsi" w:hAnsiTheme="minorHAnsi"/>
          <w:sz w:val="20"/>
          <w:szCs w:val="20"/>
          <w:lang w:val="en-US"/>
        </w:rPr>
        <w:t xml:space="preserve">; </w:t>
      </w:r>
      <w:hyperlink r:id="rId6" w:history="1">
        <w:r w:rsidRPr="0005421D">
          <w:rPr>
            <w:rStyle w:val="Hyperlink0"/>
            <w:rFonts w:asciiTheme="minorHAnsi" w:hAnsiTheme="minorHAnsi"/>
            <w:sz w:val="20"/>
            <w:szCs w:val="20"/>
            <w:lang w:val="en-US"/>
          </w:rPr>
          <w:t>https://www.unisdr.org/files/7817_UNISDRTerminologyEnglish.pdf</w:t>
        </w:r>
      </w:hyperlink>
      <w:r w:rsidRPr="0005421D">
        <w:rPr>
          <w:rFonts w:asciiTheme="minorHAnsi" w:hAnsiTheme="minorHAnsi"/>
          <w:sz w:val="20"/>
          <w:szCs w:val="20"/>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8CD393" w14:textId="77777777" w:rsidR="00372E47" w:rsidRDefault="00372E4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1EA5F5" w14:textId="77777777" w:rsidR="00B22741" w:rsidRDefault="00B2274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A519E2"/>
    <w:multiLevelType w:val="hybridMultilevel"/>
    <w:tmpl w:val="B8E6F0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535293"/>
    <w:multiLevelType w:val="multilevel"/>
    <w:tmpl w:val="3FD40E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ADA62AC"/>
    <w:multiLevelType w:val="multilevel"/>
    <w:tmpl w:val="7AD47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8750A1"/>
    <w:multiLevelType w:val="hybridMultilevel"/>
    <w:tmpl w:val="793696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ABF2B80"/>
    <w:multiLevelType w:val="hybridMultilevel"/>
    <w:tmpl w:val="3E9C53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0A0D15"/>
    <w:multiLevelType w:val="hybridMultilevel"/>
    <w:tmpl w:val="EA94D39C"/>
    <w:numStyleLink w:val="Lettered"/>
  </w:abstractNum>
  <w:abstractNum w:abstractNumId="6" w15:restartNumberingAfterBreak="0">
    <w:nsid w:val="600F716A"/>
    <w:multiLevelType w:val="multilevel"/>
    <w:tmpl w:val="8EF01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3F86781"/>
    <w:multiLevelType w:val="hybridMultilevel"/>
    <w:tmpl w:val="2FA655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DCD22FD"/>
    <w:multiLevelType w:val="hybridMultilevel"/>
    <w:tmpl w:val="EA94D39C"/>
    <w:styleLink w:val="Lettered"/>
    <w:lvl w:ilvl="0" w:tplc="7F5A3264">
      <w:start w:val="1"/>
      <w:numFmt w:val="upp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4B8FCFE">
      <w:start w:val="1"/>
      <w:numFmt w:val="upperLetter"/>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90EB85A">
      <w:start w:val="1"/>
      <w:numFmt w:val="upp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EF24BE74">
      <w:start w:val="1"/>
      <w:numFmt w:val="upperLetter"/>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7A208BE">
      <w:start w:val="1"/>
      <w:numFmt w:val="upperLetter"/>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3B4B402">
      <w:start w:val="1"/>
      <w:numFmt w:val="upperLetter"/>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4D09E7E">
      <w:start w:val="1"/>
      <w:numFmt w:val="upperLetter"/>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F5A1520">
      <w:start w:val="1"/>
      <w:numFmt w:val="upp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09A08E6">
      <w:start w:val="1"/>
      <w:numFmt w:val="upperLetter"/>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77972B63"/>
    <w:multiLevelType w:val="hybridMultilevel"/>
    <w:tmpl w:val="7032A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4"/>
  </w:num>
  <w:num w:numId="4">
    <w:abstractNumId w:val="0"/>
  </w:num>
  <w:num w:numId="5">
    <w:abstractNumId w:val="7"/>
  </w:num>
  <w:num w:numId="6">
    <w:abstractNumId w:val="3"/>
  </w:num>
  <w:num w:numId="7">
    <w:abstractNumId w:val="9"/>
  </w:num>
  <w:num w:numId="8">
    <w:abstractNumId w:val="1"/>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2"/>
  <w:displayBackgroundShape/>
  <w:proofState w:grammar="clean"/>
  <w:defaultTabStop w:val="720"/>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741"/>
    <w:rsid w:val="00001683"/>
    <w:rsid w:val="00025154"/>
    <w:rsid w:val="000514D7"/>
    <w:rsid w:val="0005421D"/>
    <w:rsid w:val="0005430D"/>
    <w:rsid w:val="00055C0C"/>
    <w:rsid w:val="000741BD"/>
    <w:rsid w:val="0007451F"/>
    <w:rsid w:val="00081B2F"/>
    <w:rsid w:val="00083227"/>
    <w:rsid w:val="000942FF"/>
    <w:rsid w:val="000A60B7"/>
    <w:rsid w:val="00104685"/>
    <w:rsid w:val="00123AC6"/>
    <w:rsid w:val="001260AA"/>
    <w:rsid w:val="00133862"/>
    <w:rsid w:val="001C71BE"/>
    <w:rsid w:val="00206FCE"/>
    <w:rsid w:val="00227B41"/>
    <w:rsid w:val="0023161B"/>
    <w:rsid w:val="00273F75"/>
    <w:rsid w:val="002D1D4D"/>
    <w:rsid w:val="002E0D06"/>
    <w:rsid w:val="002F47D6"/>
    <w:rsid w:val="002F5145"/>
    <w:rsid w:val="003071C4"/>
    <w:rsid w:val="00341B69"/>
    <w:rsid w:val="00350158"/>
    <w:rsid w:val="00360377"/>
    <w:rsid w:val="00361CDF"/>
    <w:rsid w:val="00363D1B"/>
    <w:rsid w:val="00372E47"/>
    <w:rsid w:val="00377D98"/>
    <w:rsid w:val="003B3C10"/>
    <w:rsid w:val="003B44A7"/>
    <w:rsid w:val="003C1DA8"/>
    <w:rsid w:val="003D1EB8"/>
    <w:rsid w:val="003E0DDD"/>
    <w:rsid w:val="00413C4B"/>
    <w:rsid w:val="00416CEA"/>
    <w:rsid w:val="00450694"/>
    <w:rsid w:val="00455710"/>
    <w:rsid w:val="00455F6A"/>
    <w:rsid w:val="004A1ADC"/>
    <w:rsid w:val="004D0DD5"/>
    <w:rsid w:val="00507E8B"/>
    <w:rsid w:val="00512857"/>
    <w:rsid w:val="00523DE7"/>
    <w:rsid w:val="00540C53"/>
    <w:rsid w:val="00576089"/>
    <w:rsid w:val="00583033"/>
    <w:rsid w:val="00591F89"/>
    <w:rsid w:val="00593D6E"/>
    <w:rsid w:val="00596E17"/>
    <w:rsid w:val="005B0D13"/>
    <w:rsid w:val="005E0201"/>
    <w:rsid w:val="0061393D"/>
    <w:rsid w:val="00614C6C"/>
    <w:rsid w:val="00655202"/>
    <w:rsid w:val="00657AEB"/>
    <w:rsid w:val="00666961"/>
    <w:rsid w:val="0069274E"/>
    <w:rsid w:val="006974E0"/>
    <w:rsid w:val="006D555E"/>
    <w:rsid w:val="007430D7"/>
    <w:rsid w:val="00751371"/>
    <w:rsid w:val="00756173"/>
    <w:rsid w:val="00760C9F"/>
    <w:rsid w:val="00780769"/>
    <w:rsid w:val="00793F83"/>
    <w:rsid w:val="007B1122"/>
    <w:rsid w:val="007B729B"/>
    <w:rsid w:val="007F6408"/>
    <w:rsid w:val="008208F4"/>
    <w:rsid w:val="008248D7"/>
    <w:rsid w:val="0083550C"/>
    <w:rsid w:val="00851F3D"/>
    <w:rsid w:val="008558C0"/>
    <w:rsid w:val="008570C4"/>
    <w:rsid w:val="008C08A4"/>
    <w:rsid w:val="008D5D72"/>
    <w:rsid w:val="00906180"/>
    <w:rsid w:val="00921810"/>
    <w:rsid w:val="009218F2"/>
    <w:rsid w:val="0093716D"/>
    <w:rsid w:val="00940770"/>
    <w:rsid w:val="009757B7"/>
    <w:rsid w:val="009A4884"/>
    <w:rsid w:val="009D512C"/>
    <w:rsid w:val="009E4608"/>
    <w:rsid w:val="009F3536"/>
    <w:rsid w:val="00A177F6"/>
    <w:rsid w:val="00A26F7C"/>
    <w:rsid w:val="00A27145"/>
    <w:rsid w:val="00A354C8"/>
    <w:rsid w:val="00A41D52"/>
    <w:rsid w:val="00A619A1"/>
    <w:rsid w:val="00A931DD"/>
    <w:rsid w:val="00B079F2"/>
    <w:rsid w:val="00B11F94"/>
    <w:rsid w:val="00B21B3A"/>
    <w:rsid w:val="00B22741"/>
    <w:rsid w:val="00B65C77"/>
    <w:rsid w:val="00B87378"/>
    <w:rsid w:val="00BA0EE4"/>
    <w:rsid w:val="00BC06A1"/>
    <w:rsid w:val="00BD11CA"/>
    <w:rsid w:val="00BD184A"/>
    <w:rsid w:val="00BF7D45"/>
    <w:rsid w:val="00C02D3A"/>
    <w:rsid w:val="00C07558"/>
    <w:rsid w:val="00C52BB1"/>
    <w:rsid w:val="00C54309"/>
    <w:rsid w:val="00C600CD"/>
    <w:rsid w:val="00C60FC4"/>
    <w:rsid w:val="00C632F6"/>
    <w:rsid w:val="00C70688"/>
    <w:rsid w:val="00C75F6E"/>
    <w:rsid w:val="00C832FB"/>
    <w:rsid w:val="00CA2746"/>
    <w:rsid w:val="00CC0112"/>
    <w:rsid w:val="00CD675D"/>
    <w:rsid w:val="00CE4E1B"/>
    <w:rsid w:val="00D20E33"/>
    <w:rsid w:val="00D25D39"/>
    <w:rsid w:val="00D304EC"/>
    <w:rsid w:val="00D51EC8"/>
    <w:rsid w:val="00D77EF9"/>
    <w:rsid w:val="00DA61BA"/>
    <w:rsid w:val="00DE4FA5"/>
    <w:rsid w:val="00DF582B"/>
    <w:rsid w:val="00E1114C"/>
    <w:rsid w:val="00E330F4"/>
    <w:rsid w:val="00E44E27"/>
    <w:rsid w:val="00E478EB"/>
    <w:rsid w:val="00E5034F"/>
    <w:rsid w:val="00E55FA9"/>
    <w:rsid w:val="00E75D63"/>
    <w:rsid w:val="00ED0444"/>
    <w:rsid w:val="00EE7582"/>
    <w:rsid w:val="00F141B1"/>
    <w:rsid w:val="00F1596D"/>
    <w:rsid w:val="00F45EF0"/>
    <w:rsid w:val="00F479C3"/>
    <w:rsid w:val="00F53BEF"/>
    <w:rsid w:val="00F85C0E"/>
    <w:rsid w:val="00F911E5"/>
    <w:rsid w:val="00F965BB"/>
    <w:rsid w:val="00FD0912"/>
    <w:rsid w:val="00FD35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32990"/>
  <w15:docId w15:val="{3B6DCE16-CC5B-4701-AA57-CC80478FC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1">
    <w:name w:val="heading 1"/>
    <w:basedOn w:val="Normal"/>
    <w:link w:val="Heading1Char"/>
    <w:uiPriority w:val="9"/>
    <w:qFormat/>
    <w:rsid w:val="0058303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b/>
      <w:bCs/>
      <w:kern w:val="36"/>
      <w:sz w:val="48"/>
      <w:szCs w:val="48"/>
      <w:bdr w:val="none" w:sz="0" w:space="0" w:color="auto"/>
      <w:lang w:val="en-GB" w:eastAsia="en-GB"/>
    </w:rPr>
  </w:style>
  <w:style w:type="paragraph" w:styleId="Heading2">
    <w:name w:val="heading 2"/>
    <w:basedOn w:val="Normal"/>
    <w:next w:val="Normal"/>
    <w:link w:val="Heading2Char"/>
    <w:uiPriority w:val="9"/>
    <w:semiHidden/>
    <w:unhideWhenUsed/>
    <w:qFormat/>
    <w:rsid w:val="008570C4"/>
    <w:pPr>
      <w:keepNext/>
      <w:keepLines/>
      <w:spacing w:before="40"/>
      <w:outlineLvl w:val="1"/>
    </w:pPr>
    <w:rPr>
      <w:rFonts w:asciiTheme="majorHAnsi" w:eastAsiaTheme="majorEastAsia" w:hAnsiTheme="majorHAnsi" w:cstheme="majorBidi"/>
      <w:color w:val="0079BF"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 w:type="paragraph" w:customStyle="1" w:styleId="Footnote">
    <w:name w:val="Footnote"/>
    <w:rPr>
      <w:rFonts w:ascii="Helvetica Neue" w:eastAsia="Helvetica Neue" w:hAnsi="Helvetica Neue" w:cs="Helvetica Neue"/>
      <w:color w:val="000000"/>
      <w:sz w:val="22"/>
      <w:szCs w:val="22"/>
      <w14:textOutline w14:w="0" w14:cap="flat" w14:cmpd="sng" w14:algn="ctr">
        <w14:noFill/>
        <w14:prstDash w14:val="solid"/>
        <w14:bevel/>
      </w14:textOutline>
    </w:rPr>
  </w:style>
  <w:style w:type="numbering" w:customStyle="1" w:styleId="Lettered">
    <w:name w:val="Lettered"/>
    <w:pPr>
      <w:numPr>
        <w:numId w:val="1"/>
      </w:numPr>
    </w:pPr>
  </w:style>
  <w:style w:type="character" w:customStyle="1" w:styleId="Hyperlink0">
    <w:name w:val="Hyperlink.0"/>
    <w:basedOn w:val="Hyperlink"/>
    <w:rPr>
      <w:u w:val="single"/>
    </w:rPr>
  </w:style>
  <w:style w:type="paragraph" w:customStyle="1" w:styleId="Default">
    <w:name w:val="Default"/>
    <w:pPr>
      <w:spacing w:before="160"/>
    </w:pPr>
    <w:rPr>
      <w:rFonts w:ascii="Helvetica Neue" w:hAnsi="Helvetica Neue" w:cs="Arial Unicode MS"/>
      <w:color w:val="000000"/>
      <w:sz w:val="24"/>
      <w:szCs w:val="24"/>
      <w:lang w:val="en-US"/>
      <w14:textOutline w14:w="0" w14:cap="flat" w14:cmpd="sng" w14:algn="ctr">
        <w14:noFill/>
        <w14:prstDash w14:val="solid"/>
        <w14:bevel/>
      </w14:textOutline>
    </w:rPr>
  </w:style>
  <w:style w:type="character" w:customStyle="1" w:styleId="None">
    <w:name w:val="None"/>
  </w:style>
  <w:style w:type="character" w:customStyle="1" w:styleId="Hyperlink1">
    <w:name w:val="Hyperlink.1"/>
    <w:basedOn w:val="None"/>
    <w:rPr>
      <w:outline w:val="0"/>
      <w:color w:val="0000EE"/>
      <w:u w:val="single"/>
    </w:rPr>
  </w:style>
  <w:style w:type="character" w:styleId="CommentReference">
    <w:name w:val="annotation reference"/>
    <w:basedOn w:val="DefaultParagraphFont"/>
    <w:uiPriority w:val="99"/>
    <w:semiHidden/>
    <w:unhideWhenUsed/>
    <w:rsid w:val="00D20E33"/>
    <w:rPr>
      <w:sz w:val="16"/>
      <w:szCs w:val="16"/>
    </w:rPr>
  </w:style>
  <w:style w:type="paragraph" w:styleId="CommentText">
    <w:name w:val="annotation text"/>
    <w:basedOn w:val="Normal"/>
    <w:link w:val="CommentTextChar"/>
    <w:uiPriority w:val="99"/>
    <w:unhideWhenUsed/>
    <w:rsid w:val="00D20E33"/>
    <w:rPr>
      <w:sz w:val="20"/>
      <w:szCs w:val="20"/>
    </w:rPr>
  </w:style>
  <w:style w:type="character" w:customStyle="1" w:styleId="CommentTextChar">
    <w:name w:val="Comment Text Char"/>
    <w:basedOn w:val="DefaultParagraphFont"/>
    <w:link w:val="CommentText"/>
    <w:uiPriority w:val="99"/>
    <w:rsid w:val="00D20E33"/>
    <w:rPr>
      <w:lang w:val="en-US" w:eastAsia="en-US"/>
    </w:rPr>
  </w:style>
  <w:style w:type="paragraph" w:styleId="CommentSubject">
    <w:name w:val="annotation subject"/>
    <w:basedOn w:val="CommentText"/>
    <w:next w:val="CommentText"/>
    <w:link w:val="CommentSubjectChar"/>
    <w:uiPriority w:val="99"/>
    <w:semiHidden/>
    <w:unhideWhenUsed/>
    <w:rsid w:val="00D20E33"/>
    <w:rPr>
      <w:b/>
      <w:bCs/>
    </w:rPr>
  </w:style>
  <w:style w:type="character" w:customStyle="1" w:styleId="CommentSubjectChar">
    <w:name w:val="Comment Subject Char"/>
    <w:basedOn w:val="CommentTextChar"/>
    <w:link w:val="CommentSubject"/>
    <w:uiPriority w:val="99"/>
    <w:semiHidden/>
    <w:rsid w:val="00D20E33"/>
    <w:rPr>
      <w:b/>
      <w:bCs/>
      <w:lang w:val="en-US" w:eastAsia="en-US"/>
    </w:rPr>
  </w:style>
  <w:style w:type="paragraph" w:styleId="BalloonText">
    <w:name w:val="Balloon Text"/>
    <w:basedOn w:val="Normal"/>
    <w:link w:val="BalloonTextChar"/>
    <w:uiPriority w:val="99"/>
    <w:semiHidden/>
    <w:unhideWhenUsed/>
    <w:rsid w:val="00D20E3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0E33"/>
    <w:rPr>
      <w:rFonts w:ascii="Segoe UI" w:hAnsi="Segoe UI" w:cs="Segoe UI"/>
      <w:sz w:val="18"/>
      <w:szCs w:val="18"/>
      <w:lang w:val="en-US" w:eastAsia="en-US"/>
    </w:rPr>
  </w:style>
  <w:style w:type="paragraph" w:styleId="FootnoteText">
    <w:name w:val="footnote text"/>
    <w:basedOn w:val="Normal"/>
    <w:link w:val="FootnoteTextChar"/>
    <w:uiPriority w:val="99"/>
    <w:unhideWhenUsed/>
    <w:rsid w:val="00D20E33"/>
    <w:rPr>
      <w:sz w:val="20"/>
      <w:szCs w:val="20"/>
    </w:rPr>
  </w:style>
  <w:style w:type="character" w:customStyle="1" w:styleId="FootnoteTextChar">
    <w:name w:val="Footnote Text Char"/>
    <w:basedOn w:val="DefaultParagraphFont"/>
    <w:link w:val="FootnoteText"/>
    <w:uiPriority w:val="99"/>
    <w:rsid w:val="00D20E33"/>
    <w:rPr>
      <w:lang w:val="en-US" w:eastAsia="en-US"/>
    </w:rPr>
  </w:style>
  <w:style w:type="character" w:styleId="FootnoteReference">
    <w:name w:val="footnote reference"/>
    <w:basedOn w:val="DefaultParagraphFont"/>
    <w:uiPriority w:val="99"/>
    <w:semiHidden/>
    <w:unhideWhenUsed/>
    <w:rsid w:val="00D20E33"/>
    <w:rPr>
      <w:vertAlign w:val="superscript"/>
    </w:rPr>
  </w:style>
  <w:style w:type="character" w:styleId="UnresolvedMention">
    <w:name w:val="Unresolved Mention"/>
    <w:basedOn w:val="DefaultParagraphFont"/>
    <w:uiPriority w:val="99"/>
    <w:semiHidden/>
    <w:unhideWhenUsed/>
    <w:rsid w:val="002E0D06"/>
    <w:rPr>
      <w:color w:val="605E5C"/>
      <w:shd w:val="clear" w:color="auto" w:fill="E1DFDD"/>
    </w:rPr>
  </w:style>
  <w:style w:type="paragraph" w:styleId="Revision">
    <w:name w:val="Revision"/>
    <w:hidden/>
    <w:uiPriority w:val="99"/>
    <w:semiHidden/>
    <w:rsid w:val="00591F8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FollowedHyperlink">
    <w:name w:val="FollowedHyperlink"/>
    <w:basedOn w:val="DefaultParagraphFont"/>
    <w:uiPriority w:val="99"/>
    <w:semiHidden/>
    <w:unhideWhenUsed/>
    <w:rsid w:val="00C832FB"/>
    <w:rPr>
      <w:color w:val="FF00FF" w:themeColor="followedHyperlink"/>
      <w:u w:val="single"/>
    </w:rPr>
  </w:style>
  <w:style w:type="character" w:customStyle="1" w:styleId="Heading1Char">
    <w:name w:val="Heading 1 Char"/>
    <w:basedOn w:val="DefaultParagraphFont"/>
    <w:link w:val="Heading1"/>
    <w:uiPriority w:val="9"/>
    <w:rsid w:val="00583033"/>
    <w:rPr>
      <w:rFonts w:eastAsia="Times New Roman"/>
      <w:b/>
      <w:bCs/>
      <w:kern w:val="36"/>
      <w:sz w:val="48"/>
      <w:szCs w:val="48"/>
      <w:bdr w:val="none" w:sz="0" w:space="0" w:color="auto"/>
    </w:rPr>
  </w:style>
  <w:style w:type="paragraph" w:styleId="ListParagraph">
    <w:name w:val="List Paragraph"/>
    <w:basedOn w:val="Normal"/>
    <w:uiPriority w:val="34"/>
    <w:qFormat/>
    <w:rsid w:val="00ED0444"/>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pPr>
    <w:rPr>
      <w:rFonts w:asciiTheme="minorHAnsi" w:eastAsiaTheme="minorHAnsi" w:hAnsiTheme="minorHAnsi" w:cstheme="minorBidi"/>
      <w:bdr w:val="none" w:sz="0" w:space="0" w:color="auto"/>
      <w:lang w:val="en-GB"/>
    </w:rPr>
  </w:style>
  <w:style w:type="table" w:styleId="TableGrid">
    <w:name w:val="Table Grid"/>
    <w:basedOn w:val="TableNormal"/>
    <w:uiPriority w:val="39"/>
    <w:rsid w:val="009218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570C4"/>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Emphasis">
    <w:name w:val="Emphasis"/>
    <w:basedOn w:val="DefaultParagraphFont"/>
    <w:uiPriority w:val="20"/>
    <w:qFormat/>
    <w:rsid w:val="008570C4"/>
    <w:rPr>
      <w:i/>
      <w:iCs/>
    </w:rPr>
  </w:style>
  <w:style w:type="paragraph" w:styleId="z-TopofForm">
    <w:name w:val="HTML Top of Form"/>
    <w:basedOn w:val="Normal"/>
    <w:next w:val="Normal"/>
    <w:link w:val="z-TopofFormChar"/>
    <w:hidden/>
    <w:uiPriority w:val="99"/>
    <w:unhideWhenUsed/>
    <w:rsid w:val="008570C4"/>
    <w:pPr>
      <w:pBdr>
        <w:top w:val="none" w:sz="0" w:space="0" w:color="auto"/>
        <w:left w:val="none" w:sz="0" w:space="0" w:color="auto"/>
        <w:bottom w:val="single" w:sz="6" w:space="1" w:color="auto"/>
        <w:right w:val="none" w:sz="0" w:space="0" w:color="auto"/>
        <w:between w:val="none" w:sz="0" w:space="0" w:color="auto"/>
        <w:bar w:val="none" w:sz="0" w:color="auto"/>
      </w:pBdr>
      <w:jc w:val="center"/>
    </w:pPr>
    <w:rPr>
      <w:rFonts w:ascii="Arial" w:eastAsia="Times New Roman" w:hAnsi="Arial" w:cs="Arial"/>
      <w:vanish/>
      <w:sz w:val="16"/>
      <w:szCs w:val="16"/>
      <w:bdr w:val="none" w:sz="0" w:space="0" w:color="auto"/>
      <w:lang w:val="en-GB" w:eastAsia="en-GB"/>
    </w:rPr>
  </w:style>
  <w:style w:type="character" w:customStyle="1" w:styleId="z-TopofFormChar">
    <w:name w:val="z-Top of Form Char"/>
    <w:basedOn w:val="DefaultParagraphFont"/>
    <w:link w:val="z-TopofForm"/>
    <w:uiPriority w:val="99"/>
    <w:rsid w:val="008570C4"/>
    <w:rPr>
      <w:rFonts w:ascii="Arial" w:eastAsia="Times New Roman" w:hAnsi="Arial" w:cs="Arial"/>
      <w:vanish/>
      <w:sz w:val="16"/>
      <w:szCs w:val="16"/>
      <w:bdr w:val="none" w:sz="0" w:space="0" w:color="auto"/>
    </w:rPr>
  </w:style>
  <w:style w:type="paragraph" w:styleId="z-BottomofForm">
    <w:name w:val="HTML Bottom of Form"/>
    <w:basedOn w:val="Normal"/>
    <w:next w:val="Normal"/>
    <w:link w:val="z-BottomofFormChar"/>
    <w:hidden/>
    <w:uiPriority w:val="99"/>
    <w:semiHidden/>
    <w:unhideWhenUsed/>
    <w:rsid w:val="008570C4"/>
    <w:pPr>
      <w:pBdr>
        <w:top w:val="single" w:sz="6" w:space="1" w:color="auto"/>
        <w:left w:val="none" w:sz="0" w:space="0" w:color="auto"/>
        <w:bottom w:val="none" w:sz="0" w:space="0" w:color="auto"/>
        <w:right w:val="none" w:sz="0" w:space="0" w:color="auto"/>
        <w:between w:val="none" w:sz="0" w:space="0" w:color="auto"/>
        <w:bar w:val="none" w:sz="0" w:color="auto"/>
      </w:pBdr>
      <w:jc w:val="center"/>
    </w:pPr>
    <w:rPr>
      <w:rFonts w:ascii="Arial" w:eastAsia="Times New Roman" w:hAnsi="Arial" w:cs="Arial"/>
      <w:vanish/>
      <w:sz w:val="16"/>
      <w:szCs w:val="16"/>
      <w:bdr w:val="none" w:sz="0" w:space="0" w:color="auto"/>
      <w:lang w:val="en-GB" w:eastAsia="en-GB"/>
    </w:rPr>
  </w:style>
  <w:style w:type="character" w:customStyle="1" w:styleId="z-BottomofFormChar">
    <w:name w:val="z-Bottom of Form Char"/>
    <w:basedOn w:val="DefaultParagraphFont"/>
    <w:link w:val="z-BottomofForm"/>
    <w:uiPriority w:val="99"/>
    <w:semiHidden/>
    <w:rsid w:val="008570C4"/>
    <w:rPr>
      <w:rFonts w:ascii="Arial" w:eastAsia="Times New Roman" w:hAnsi="Arial" w:cs="Arial"/>
      <w:vanish/>
      <w:sz w:val="16"/>
      <w:szCs w:val="16"/>
      <w:bdr w:val="none" w:sz="0" w:space="0" w:color="auto"/>
    </w:rPr>
  </w:style>
  <w:style w:type="character" w:customStyle="1" w:styleId="Heading2Char">
    <w:name w:val="Heading 2 Char"/>
    <w:basedOn w:val="DefaultParagraphFont"/>
    <w:link w:val="Heading2"/>
    <w:uiPriority w:val="9"/>
    <w:semiHidden/>
    <w:rsid w:val="008570C4"/>
    <w:rPr>
      <w:rFonts w:asciiTheme="majorHAnsi" w:eastAsiaTheme="majorEastAsia" w:hAnsiTheme="majorHAnsi" w:cstheme="majorBidi"/>
      <w:color w:val="0079BF" w:themeColor="accent1" w:themeShade="BF"/>
      <w:sz w:val="26"/>
      <w:szCs w:val="26"/>
      <w:lang w:val="en-US" w:eastAsia="en-US"/>
    </w:rPr>
  </w:style>
  <w:style w:type="paragraph" w:styleId="HTMLPreformatted">
    <w:name w:val="HTML Preformatted"/>
    <w:basedOn w:val="Normal"/>
    <w:link w:val="HTMLPreformattedChar"/>
    <w:uiPriority w:val="99"/>
    <w:semiHidden/>
    <w:unhideWhenUsed/>
    <w:rsid w:val="008570C4"/>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bdr w:val="none" w:sz="0" w:space="0" w:color="auto"/>
      <w:lang w:val="en-GB" w:eastAsia="en-GB"/>
    </w:rPr>
  </w:style>
  <w:style w:type="character" w:customStyle="1" w:styleId="HTMLPreformattedChar">
    <w:name w:val="HTML Preformatted Char"/>
    <w:basedOn w:val="DefaultParagraphFont"/>
    <w:link w:val="HTMLPreformatted"/>
    <w:uiPriority w:val="99"/>
    <w:semiHidden/>
    <w:rsid w:val="008570C4"/>
    <w:rPr>
      <w:rFonts w:ascii="Courier New" w:eastAsia="Times New Roman" w:hAnsi="Courier New" w:cs="Courier New"/>
      <w:bdr w:val="none" w:sz="0" w:space="0" w:color="auto"/>
    </w:rPr>
  </w:style>
  <w:style w:type="character" w:customStyle="1" w:styleId="apple-converted-space">
    <w:name w:val="apple-converted-space"/>
    <w:basedOn w:val="DefaultParagraphFont"/>
    <w:rsid w:val="008570C4"/>
  </w:style>
  <w:style w:type="character" w:styleId="PlaceholderText">
    <w:name w:val="Placeholder Text"/>
    <w:basedOn w:val="DefaultParagraphFont"/>
    <w:uiPriority w:val="99"/>
    <w:semiHidden/>
    <w:rsid w:val="00B079F2"/>
    <w:rPr>
      <w:color w:val="808080"/>
    </w:rPr>
  </w:style>
  <w:style w:type="table" w:styleId="TableGridLight">
    <w:name w:val="Grid Table Light"/>
    <w:basedOn w:val="TableNormal"/>
    <w:uiPriority w:val="40"/>
    <w:rsid w:val="00372E4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912214">
      <w:bodyDiv w:val="1"/>
      <w:marLeft w:val="0"/>
      <w:marRight w:val="0"/>
      <w:marTop w:val="0"/>
      <w:marBottom w:val="0"/>
      <w:divBdr>
        <w:top w:val="none" w:sz="0" w:space="0" w:color="auto"/>
        <w:left w:val="none" w:sz="0" w:space="0" w:color="auto"/>
        <w:bottom w:val="none" w:sz="0" w:space="0" w:color="auto"/>
        <w:right w:val="none" w:sz="0" w:space="0" w:color="auto"/>
      </w:divBdr>
    </w:div>
    <w:div w:id="269314525">
      <w:bodyDiv w:val="1"/>
      <w:marLeft w:val="0"/>
      <w:marRight w:val="0"/>
      <w:marTop w:val="0"/>
      <w:marBottom w:val="0"/>
      <w:divBdr>
        <w:top w:val="none" w:sz="0" w:space="0" w:color="auto"/>
        <w:left w:val="none" w:sz="0" w:space="0" w:color="auto"/>
        <w:bottom w:val="none" w:sz="0" w:space="0" w:color="auto"/>
        <w:right w:val="none" w:sz="0" w:space="0" w:color="auto"/>
      </w:divBdr>
    </w:div>
    <w:div w:id="312954657">
      <w:bodyDiv w:val="1"/>
      <w:marLeft w:val="0"/>
      <w:marRight w:val="0"/>
      <w:marTop w:val="0"/>
      <w:marBottom w:val="0"/>
      <w:divBdr>
        <w:top w:val="none" w:sz="0" w:space="0" w:color="auto"/>
        <w:left w:val="none" w:sz="0" w:space="0" w:color="auto"/>
        <w:bottom w:val="none" w:sz="0" w:space="0" w:color="auto"/>
        <w:right w:val="none" w:sz="0" w:space="0" w:color="auto"/>
      </w:divBdr>
    </w:div>
    <w:div w:id="502165031">
      <w:bodyDiv w:val="1"/>
      <w:marLeft w:val="0"/>
      <w:marRight w:val="0"/>
      <w:marTop w:val="0"/>
      <w:marBottom w:val="0"/>
      <w:divBdr>
        <w:top w:val="none" w:sz="0" w:space="0" w:color="auto"/>
        <w:left w:val="none" w:sz="0" w:space="0" w:color="auto"/>
        <w:bottom w:val="none" w:sz="0" w:space="0" w:color="auto"/>
        <w:right w:val="none" w:sz="0" w:space="0" w:color="auto"/>
      </w:divBdr>
    </w:div>
    <w:div w:id="558903336">
      <w:bodyDiv w:val="1"/>
      <w:marLeft w:val="0"/>
      <w:marRight w:val="0"/>
      <w:marTop w:val="0"/>
      <w:marBottom w:val="0"/>
      <w:divBdr>
        <w:top w:val="none" w:sz="0" w:space="0" w:color="auto"/>
        <w:left w:val="none" w:sz="0" w:space="0" w:color="auto"/>
        <w:bottom w:val="none" w:sz="0" w:space="0" w:color="auto"/>
        <w:right w:val="none" w:sz="0" w:space="0" w:color="auto"/>
      </w:divBdr>
    </w:div>
    <w:div w:id="669794179">
      <w:bodyDiv w:val="1"/>
      <w:marLeft w:val="0"/>
      <w:marRight w:val="0"/>
      <w:marTop w:val="0"/>
      <w:marBottom w:val="0"/>
      <w:divBdr>
        <w:top w:val="none" w:sz="0" w:space="0" w:color="auto"/>
        <w:left w:val="none" w:sz="0" w:space="0" w:color="auto"/>
        <w:bottom w:val="none" w:sz="0" w:space="0" w:color="auto"/>
        <w:right w:val="none" w:sz="0" w:space="0" w:color="auto"/>
      </w:divBdr>
    </w:div>
    <w:div w:id="671690334">
      <w:bodyDiv w:val="1"/>
      <w:marLeft w:val="0"/>
      <w:marRight w:val="0"/>
      <w:marTop w:val="0"/>
      <w:marBottom w:val="0"/>
      <w:divBdr>
        <w:top w:val="none" w:sz="0" w:space="0" w:color="auto"/>
        <w:left w:val="none" w:sz="0" w:space="0" w:color="auto"/>
        <w:bottom w:val="none" w:sz="0" w:space="0" w:color="auto"/>
        <w:right w:val="none" w:sz="0" w:space="0" w:color="auto"/>
      </w:divBdr>
    </w:div>
    <w:div w:id="756944860">
      <w:bodyDiv w:val="1"/>
      <w:marLeft w:val="0"/>
      <w:marRight w:val="0"/>
      <w:marTop w:val="0"/>
      <w:marBottom w:val="0"/>
      <w:divBdr>
        <w:top w:val="none" w:sz="0" w:space="0" w:color="auto"/>
        <w:left w:val="none" w:sz="0" w:space="0" w:color="auto"/>
        <w:bottom w:val="none" w:sz="0" w:space="0" w:color="auto"/>
        <w:right w:val="none" w:sz="0" w:space="0" w:color="auto"/>
      </w:divBdr>
    </w:div>
    <w:div w:id="821388728">
      <w:bodyDiv w:val="1"/>
      <w:marLeft w:val="0"/>
      <w:marRight w:val="0"/>
      <w:marTop w:val="0"/>
      <w:marBottom w:val="0"/>
      <w:divBdr>
        <w:top w:val="none" w:sz="0" w:space="0" w:color="auto"/>
        <w:left w:val="none" w:sz="0" w:space="0" w:color="auto"/>
        <w:bottom w:val="none" w:sz="0" w:space="0" w:color="auto"/>
        <w:right w:val="none" w:sz="0" w:space="0" w:color="auto"/>
      </w:divBdr>
    </w:div>
    <w:div w:id="895701503">
      <w:bodyDiv w:val="1"/>
      <w:marLeft w:val="0"/>
      <w:marRight w:val="0"/>
      <w:marTop w:val="0"/>
      <w:marBottom w:val="0"/>
      <w:divBdr>
        <w:top w:val="none" w:sz="0" w:space="0" w:color="auto"/>
        <w:left w:val="none" w:sz="0" w:space="0" w:color="auto"/>
        <w:bottom w:val="none" w:sz="0" w:space="0" w:color="auto"/>
        <w:right w:val="none" w:sz="0" w:space="0" w:color="auto"/>
      </w:divBdr>
    </w:div>
    <w:div w:id="939070838">
      <w:bodyDiv w:val="1"/>
      <w:marLeft w:val="0"/>
      <w:marRight w:val="0"/>
      <w:marTop w:val="0"/>
      <w:marBottom w:val="0"/>
      <w:divBdr>
        <w:top w:val="none" w:sz="0" w:space="0" w:color="auto"/>
        <w:left w:val="none" w:sz="0" w:space="0" w:color="auto"/>
        <w:bottom w:val="none" w:sz="0" w:space="0" w:color="auto"/>
        <w:right w:val="none" w:sz="0" w:space="0" w:color="auto"/>
      </w:divBdr>
    </w:div>
    <w:div w:id="1101536848">
      <w:bodyDiv w:val="1"/>
      <w:marLeft w:val="0"/>
      <w:marRight w:val="0"/>
      <w:marTop w:val="0"/>
      <w:marBottom w:val="0"/>
      <w:divBdr>
        <w:top w:val="none" w:sz="0" w:space="0" w:color="auto"/>
        <w:left w:val="none" w:sz="0" w:space="0" w:color="auto"/>
        <w:bottom w:val="none" w:sz="0" w:space="0" w:color="auto"/>
        <w:right w:val="none" w:sz="0" w:space="0" w:color="auto"/>
      </w:divBdr>
    </w:div>
    <w:div w:id="1141077367">
      <w:bodyDiv w:val="1"/>
      <w:marLeft w:val="0"/>
      <w:marRight w:val="0"/>
      <w:marTop w:val="0"/>
      <w:marBottom w:val="0"/>
      <w:divBdr>
        <w:top w:val="none" w:sz="0" w:space="0" w:color="auto"/>
        <w:left w:val="none" w:sz="0" w:space="0" w:color="auto"/>
        <w:bottom w:val="none" w:sz="0" w:space="0" w:color="auto"/>
        <w:right w:val="none" w:sz="0" w:space="0" w:color="auto"/>
      </w:divBdr>
    </w:div>
    <w:div w:id="1183279206">
      <w:bodyDiv w:val="1"/>
      <w:marLeft w:val="0"/>
      <w:marRight w:val="0"/>
      <w:marTop w:val="0"/>
      <w:marBottom w:val="0"/>
      <w:divBdr>
        <w:top w:val="none" w:sz="0" w:space="0" w:color="auto"/>
        <w:left w:val="none" w:sz="0" w:space="0" w:color="auto"/>
        <w:bottom w:val="none" w:sz="0" w:space="0" w:color="auto"/>
        <w:right w:val="none" w:sz="0" w:space="0" w:color="auto"/>
      </w:divBdr>
    </w:div>
    <w:div w:id="1187331653">
      <w:bodyDiv w:val="1"/>
      <w:marLeft w:val="0"/>
      <w:marRight w:val="0"/>
      <w:marTop w:val="0"/>
      <w:marBottom w:val="0"/>
      <w:divBdr>
        <w:top w:val="none" w:sz="0" w:space="0" w:color="auto"/>
        <w:left w:val="none" w:sz="0" w:space="0" w:color="auto"/>
        <w:bottom w:val="none" w:sz="0" w:space="0" w:color="auto"/>
        <w:right w:val="none" w:sz="0" w:space="0" w:color="auto"/>
      </w:divBdr>
    </w:div>
    <w:div w:id="1464034330">
      <w:bodyDiv w:val="1"/>
      <w:marLeft w:val="0"/>
      <w:marRight w:val="0"/>
      <w:marTop w:val="0"/>
      <w:marBottom w:val="0"/>
      <w:divBdr>
        <w:top w:val="none" w:sz="0" w:space="0" w:color="auto"/>
        <w:left w:val="none" w:sz="0" w:space="0" w:color="auto"/>
        <w:bottom w:val="none" w:sz="0" w:space="0" w:color="auto"/>
        <w:right w:val="none" w:sz="0" w:space="0" w:color="auto"/>
      </w:divBdr>
    </w:div>
    <w:div w:id="1533689809">
      <w:bodyDiv w:val="1"/>
      <w:marLeft w:val="0"/>
      <w:marRight w:val="0"/>
      <w:marTop w:val="0"/>
      <w:marBottom w:val="0"/>
      <w:divBdr>
        <w:top w:val="none" w:sz="0" w:space="0" w:color="auto"/>
        <w:left w:val="none" w:sz="0" w:space="0" w:color="auto"/>
        <w:bottom w:val="none" w:sz="0" w:space="0" w:color="auto"/>
        <w:right w:val="none" w:sz="0" w:space="0" w:color="auto"/>
      </w:divBdr>
    </w:div>
    <w:div w:id="1610695221">
      <w:bodyDiv w:val="1"/>
      <w:marLeft w:val="0"/>
      <w:marRight w:val="0"/>
      <w:marTop w:val="0"/>
      <w:marBottom w:val="0"/>
      <w:divBdr>
        <w:top w:val="none" w:sz="0" w:space="0" w:color="auto"/>
        <w:left w:val="none" w:sz="0" w:space="0" w:color="auto"/>
        <w:bottom w:val="none" w:sz="0" w:space="0" w:color="auto"/>
        <w:right w:val="none" w:sz="0" w:space="0" w:color="auto"/>
      </w:divBdr>
    </w:div>
    <w:div w:id="1774207795">
      <w:bodyDiv w:val="1"/>
      <w:marLeft w:val="0"/>
      <w:marRight w:val="0"/>
      <w:marTop w:val="0"/>
      <w:marBottom w:val="0"/>
      <w:divBdr>
        <w:top w:val="none" w:sz="0" w:space="0" w:color="auto"/>
        <w:left w:val="none" w:sz="0" w:space="0" w:color="auto"/>
        <w:bottom w:val="none" w:sz="0" w:space="0" w:color="auto"/>
        <w:right w:val="none" w:sz="0" w:space="0" w:color="auto"/>
      </w:divBdr>
    </w:div>
    <w:div w:id="2010214396">
      <w:bodyDiv w:val="1"/>
      <w:marLeft w:val="0"/>
      <w:marRight w:val="0"/>
      <w:marTop w:val="0"/>
      <w:marBottom w:val="0"/>
      <w:divBdr>
        <w:top w:val="none" w:sz="0" w:space="0" w:color="auto"/>
        <w:left w:val="none" w:sz="0" w:space="0" w:color="auto"/>
        <w:bottom w:val="none" w:sz="0" w:space="0" w:color="auto"/>
        <w:right w:val="none" w:sz="0" w:space="0" w:color="auto"/>
      </w:divBdr>
      <w:divsChild>
        <w:div w:id="518815199">
          <w:marLeft w:val="0"/>
          <w:marRight w:val="0"/>
          <w:marTop w:val="0"/>
          <w:marBottom w:val="0"/>
          <w:divBdr>
            <w:top w:val="none" w:sz="0" w:space="0" w:color="auto"/>
            <w:left w:val="none" w:sz="0" w:space="0" w:color="auto"/>
            <w:bottom w:val="none" w:sz="0" w:space="0" w:color="auto"/>
            <w:right w:val="none" w:sz="0" w:space="0" w:color="auto"/>
          </w:divBdr>
        </w:div>
        <w:div w:id="205065837">
          <w:marLeft w:val="0"/>
          <w:marRight w:val="0"/>
          <w:marTop w:val="0"/>
          <w:marBottom w:val="0"/>
          <w:divBdr>
            <w:top w:val="none" w:sz="0" w:space="0" w:color="auto"/>
            <w:left w:val="none" w:sz="0" w:space="0" w:color="auto"/>
            <w:bottom w:val="none" w:sz="0" w:space="0" w:color="auto"/>
            <w:right w:val="none" w:sz="0" w:space="0" w:color="auto"/>
          </w:divBdr>
        </w:div>
      </w:divsChild>
    </w:div>
    <w:div w:id="2016572847">
      <w:bodyDiv w:val="1"/>
      <w:marLeft w:val="0"/>
      <w:marRight w:val="0"/>
      <w:marTop w:val="0"/>
      <w:marBottom w:val="0"/>
      <w:divBdr>
        <w:top w:val="none" w:sz="0" w:space="0" w:color="auto"/>
        <w:left w:val="none" w:sz="0" w:space="0" w:color="auto"/>
        <w:bottom w:val="none" w:sz="0" w:space="0" w:color="auto"/>
        <w:right w:val="none" w:sz="0" w:space="0" w:color="auto"/>
      </w:divBdr>
    </w:div>
    <w:div w:id="2087530551">
      <w:bodyDiv w:val="1"/>
      <w:marLeft w:val="0"/>
      <w:marRight w:val="0"/>
      <w:marTop w:val="0"/>
      <w:marBottom w:val="0"/>
      <w:divBdr>
        <w:top w:val="none" w:sz="0" w:space="0" w:color="auto"/>
        <w:left w:val="none" w:sz="0" w:space="0" w:color="auto"/>
        <w:bottom w:val="none" w:sz="0" w:space="0" w:color="auto"/>
        <w:right w:val="none" w:sz="0" w:space="0" w:color="auto"/>
      </w:divBdr>
    </w:div>
    <w:div w:id="21423063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https://www.kingsfund.org.uk/publications/primary-care-networks-explained" TargetMode="External"/><Relationship Id="rId39" Type="http://schemas.openxmlformats.org/officeDocument/2006/relationships/hyperlink" Target="https://www.kingsfund.org.uk/audio-video/how-does-nhs-in-england-work" TargetMode="External"/><Relationship Id="rId21" Type="http://schemas.openxmlformats.org/officeDocument/2006/relationships/hyperlink" Target="https://www.nao.org.uk/wp-content/uploads/2017/09/2017-Short-Guide-to-the-Department-of-Health-and-NHS-England.pdf" TargetMode="External"/><Relationship Id="rId34" Type="http://schemas.openxmlformats.org/officeDocument/2006/relationships/hyperlink" Target="https://ipbes.net/sites/default/files/2020-10/IPBES%20Pandemics%20Workshop%20Report%20Executive%20Summary%20Final.pdf" TargetMode="External"/><Relationship Id="rId42" Type="http://schemas.openxmlformats.org/officeDocument/2006/relationships/hyperlink" Target="https://doi.org/10.1186/s12916-020-01781-w" TargetMode="External"/><Relationship Id="rId47" Type="http://schemas.openxmlformats.org/officeDocument/2006/relationships/hyperlink" Target="https://www.nuffieldtrust.org.uk/resource/the-nhs-workforce-in-numbers" TargetMode="External"/><Relationship Id="rId50" Type="http://schemas.openxmlformats.org/officeDocument/2006/relationships/hyperlink" Target="https://www.ons.gov.uk/economy/economicoutputandproductivity/publicservicesproductivity/articles/publicservicesproductivityestimateshealthcare/financialyearending2018" TargetMode="External"/><Relationship Id="rId55" Type="http://schemas.openxmlformats.org/officeDocument/2006/relationships/hyperlink" Target="http://www.nber.org/chapters/c13116" TargetMode="External"/><Relationship Id="rId63"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ww.ons.gov.uk/economy/nationalaccounts/uksectoraccounts/datasets/unitedkingdomeconomicaccountsmainaggregates" TargetMode="External"/><Relationship Id="rId29" Type="http://schemas.openxmlformats.org/officeDocument/2006/relationships/hyperlink" Target="http://journals.openedition.org/osb/1714" TargetMode="External"/><Relationship Id="rId11" Type="http://schemas.openxmlformats.org/officeDocument/2006/relationships/webSettings" Target="webSettings.xml"/><Relationship Id="rId24" Type="http://schemas.openxmlformats.org/officeDocument/2006/relationships/hyperlink" Target="https://www.bmj.com/content/bmj/371/bmj.m4468.full.pdf" TargetMode="External"/><Relationship Id="rId32" Type="http://schemas.openxmlformats.org/officeDocument/2006/relationships/hyperlink" Target="https://scholar.harvard.edu/shleifer/publications/proper-scope-government-theory-and-application-prisons" TargetMode="External"/><Relationship Id="rId37" Type="http://schemas.openxmlformats.org/officeDocument/2006/relationships/hyperlink" Target="https://doi.org/10.1145/1082983.1083094" TargetMode="External"/><Relationship Id="rId40" Type="http://schemas.openxmlformats.org/officeDocument/2006/relationships/hyperlink" Target="https://www.kingsfund.org.uk/publications/articles/big-election-questions-nhs-privatised" TargetMode="External"/><Relationship Id="rId45" Type="http://schemas.openxmlformats.org/officeDocument/2006/relationships/hyperlink" Target="https://www.england.nhs.uk/wp-content/uploads/2016/12/demand-mgnt-good-practice-guid.pdf" TargetMode="External"/><Relationship Id="rId53" Type="http://schemas.openxmlformats.org/officeDocument/2006/relationships/hyperlink" Target="https://doi.org/10.1093/jamia/ocy162" TargetMode="External"/><Relationship Id="rId58" Type="http://schemas.openxmlformats.org/officeDocument/2006/relationships/hyperlink" Target="https://www.health.org.uk/news-and-comment/blogs/covid-19-five-dimensions-of-impact%20accessed%2030/12/20" TargetMode="External"/><Relationship Id="rId5" Type="http://schemas.openxmlformats.org/officeDocument/2006/relationships/customXml" Target="../customXml/item5.xml"/><Relationship Id="rId61" Type="http://schemas.openxmlformats.org/officeDocument/2006/relationships/footer" Target="footer2.xml"/><Relationship Id="rId19" Type="http://schemas.openxmlformats.org/officeDocument/2006/relationships/image" Target="media/image2.png"/><Relationship Id="rId14" Type="http://schemas.openxmlformats.org/officeDocument/2006/relationships/image" Target="media/image1.png"/><Relationship Id="rId22" Type="http://schemas.openxmlformats.org/officeDocument/2006/relationships/chart" Target="charts/chart1.xml"/><Relationship Id="rId27" Type="http://schemas.openxmlformats.org/officeDocument/2006/relationships/hyperlink" Target="https://workofthefuture.mit.edu/research-post/the-impact-of-new-technology-on-the-healthcare-workforce/" TargetMode="External"/><Relationship Id="rId30" Type="http://schemas.openxmlformats.org/officeDocument/2006/relationships/hyperlink" Target="https://pdfs.semanticscholar.org/634a/0bbf731c4269d865dcdc22358bd8e4283be3.pdf" TargetMode="External"/><Relationship Id="rId35" Type="http://schemas.openxmlformats.org/officeDocument/2006/relationships/hyperlink" Target="https://doi.org/10.1093/qje/120.2.517" TargetMode="External"/><Relationship Id="rId43" Type="http://schemas.openxmlformats.org/officeDocument/2006/relationships/hyperlink" Target="http://researchbriefings.files.parliament.uk/documents/CDP-2020-0037/CDP-2020-0037.pdf" TargetMode="External"/><Relationship Id="rId48" Type="http://schemas.openxmlformats.org/officeDocument/2006/relationships/hyperlink" Target="https://doi.org/10.1787/b33ab4c1-en" TargetMode="External"/><Relationship Id="rId56" Type="http://schemas.openxmlformats.org/officeDocument/2006/relationships/hyperlink" Target="https://www.healthaffairs.org/doi/abs/10.1377/hlthaff.2018.05132" TargetMode="External"/><Relationship Id="rId8" Type="http://schemas.openxmlformats.org/officeDocument/2006/relationships/numbering" Target="numbering.xml"/><Relationship Id="rId51" Type="http://schemas.openxmlformats.org/officeDocument/2006/relationships/hyperlink" Target="https://www.imperial.ac.uk/business-school/ib-knowledge/management/centralisation-vs-decentralisation-the-disastrous-confusion-the-heart"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eader" Target="header1.xml"/><Relationship Id="rId25" Type="http://schemas.openxmlformats.org/officeDocument/2006/relationships/hyperlink" Target="https://blog.ons.gov.uk/2020/12/21/the-virus-the-vaccine-and-gdp-measuring-healthcare-through-the-pandemic/" TargetMode="External"/><Relationship Id="rId33" Type="http://schemas.openxmlformats.org/officeDocument/2006/relationships/hyperlink" Target="http://www.healthpolicyinsight.com/?q=node/1699" TargetMode="External"/><Relationship Id="rId38" Type="http://schemas.openxmlformats.org/officeDocument/2006/relationships/hyperlink" Target="https://www.ons.gov.uk/economy/economicoutputandproductivity/publicservicesproductivity/methodologies/howtocompareandinterpretonsproductivitymeasures" TargetMode="External"/><Relationship Id="rId46" Type="http://schemas.openxmlformats.org/officeDocument/2006/relationships/hyperlink" Target="http://nhsconfed.org/resources/2020/07/one-year-on-and-one-pandemic-later" TargetMode="External"/><Relationship Id="rId59" Type="http://schemas.openxmlformats.org/officeDocument/2006/relationships/hyperlink" Target="https://www.alliancembs.manchester.ac.uk/media/ambs/content-assets/documents/news/devolving-health-and-social-care-learning-from-greater-manchester.pdf" TargetMode="External"/><Relationship Id="rId20" Type="http://schemas.openxmlformats.org/officeDocument/2006/relationships/image" Target="media/image3.png"/><Relationship Id="rId41" Type="http://schemas.openxmlformats.org/officeDocument/2006/relationships/hyperlink" Target="https://www.healthcareitnews.com/news/emea/government-denies-plans-create-new-nhs-transformation-taskforce" TargetMode="External"/><Relationship Id="rId54" Type="http://schemas.openxmlformats.org/officeDocument/2006/relationships/hyperlink" Target="https://www.ifs.org.uk/publications/14798"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ec.europa.eu/eurostat/databrowser/view/teina031/default/table?lang=en" TargetMode="External"/><Relationship Id="rId23" Type="http://schemas.openxmlformats.org/officeDocument/2006/relationships/image" Target="media/image4.png"/><Relationship Id="rId28" Type="http://schemas.openxmlformats.org/officeDocument/2006/relationships/hyperlink" Target="https://www.bennettinstitute.cam.ac.uk/media/uploads/files/Value_of_data_Policy_Implications_Report_26_Feb_ok4noWn.pdf" TargetMode="External"/><Relationship Id="rId36" Type="http://schemas.openxmlformats.org/officeDocument/2006/relationships/hyperlink" Target="https://dl.acm.org/newsletter/sigsoft" TargetMode="External"/><Relationship Id="rId49" Type="http://schemas.openxmlformats.org/officeDocument/2006/relationships/hyperlink" Target="https://www.ons.gov.uk/peoplepopulationandcommunity/healthandsocialcare/healthcaresystem/bulletins/ukhealthaccounts/2018" TargetMode="External"/><Relationship Id="rId57" Type="http://schemas.openxmlformats.org/officeDocument/2006/relationships/hyperlink" Target="https://www.health.org.uk/news-and-comment/charts-and-infographics/going-into-covid-19-the-health-and-social-care-workforce-faced-concerning-shortages" TargetMode="External"/><Relationship Id="rId10" Type="http://schemas.openxmlformats.org/officeDocument/2006/relationships/settings" Target="settings.xml"/><Relationship Id="rId31" Type="http://schemas.openxmlformats.org/officeDocument/2006/relationships/hyperlink" Target="https://ec.europa.eu/eurostat/cros/content/measurement-public-goods-lessons-10-years-atkinson-united-kingdom-fred-foxton-joe-grice-richard-heys-james-lewis_en" TargetMode="External"/><Relationship Id="rId44" Type="http://schemas.openxmlformats.org/officeDocument/2006/relationships/hyperlink" Target="https://journals.sagepub.com/doi/pdf/10.1177/0141076820931452" TargetMode="External"/><Relationship Id="rId52" Type="http://schemas.openxmlformats.org/officeDocument/2006/relationships/hyperlink" Target="https://commonslibrary.parliament.uk/research-briefings/cbp-7206/" TargetMode="External"/><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improvement.nhs.uk/resources/best-practice-workforce-planning/" TargetMode="External"/><Relationship Id="rId2" Type="http://schemas.openxmlformats.org/officeDocument/2006/relationships/hyperlink" Target="https://www.england.nhs.uk/statistics/statistical-work-areas/rtt-waiting-times/" TargetMode="External"/><Relationship Id="rId1" Type="http://schemas.openxmlformats.org/officeDocument/2006/relationships/hyperlink" Target="https://www.ons.gov.uk/economy/grossdomesticproductgdp/bulletins/gdpfirstquarterlyestimateuk/octobertodecember2020" TargetMode="External"/><Relationship Id="rId6" Type="http://schemas.openxmlformats.org/officeDocument/2006/relationships/hyperlink" Target="https://www.unisdr.org/files/7817_UNISDRTerminologyEnglish.pdf" TargetMode="External"/><Relationship Id="rId5" Type="http://schemas.openxmlformats.org/officeDocument/2006/relationships/hyperlink" Target="https://assets.publishing.service.gov.uk/media/57d6bc17e5274a34de000040/Introducing_Infrastructure_Resilience_25May16_rev_external.pdf" TargetMode="External"/><Relationship Id="rId4" Type="http://schemas.openxmlformats.org/officeDocument/2006/relationships/hyperlink" Target="https://www.hee.nhs.uk/sites/default/files/documents/180522MedPlanningGuidance201819V1.1.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kayadreesbeimdiek/Documents/PhD%20Year%201/Productivity_Case_Study/Emergency.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ED Attendances</c:v>
                </c:pt>
              </c:strCache>
            </c:strRef>
          </c:tx>
          <c:spPr>
            <a:ln w="28575" cap="rnd">
              <a:solidFill>
                <a:srgbClr val="002060"/>
              </a:solidFill>
              <a:round/>
            </a:ln>
            <a:effectLst/>
          </c:spPr>
          <c:marker>
            <c:symbol val="none"/>
          </c:marker>
          <c:cat>
            <c:numRef>
              <c:f>Sheet1!$A$2:$A$20</c:f>
              <c:numCache>
                <c:formatCode>mmm\-yy</c:formatCode>
                <c:ptCount val="19"/>
                <c:pt idx="0">
                  <c:v>43525</c:v>
                </c:pt>
                <c:pt idx="1">
                  <c:v>43556</c:v>
                </c:pt>
                <c:pt idx="2">
                  <c:v>43586</c:v>
                </c:pt>
                <c:pt idx="3">
                  <c:v>43617</c:v>
                </c:pt>
                <c:pt idx="4">
                  <c:v>43647</c:v>
                </c:pt>
                <c:pt idx="5">
                  <c:v>43678</c:v>
                </c:pt>
                <c:pt idx="6">
                  <c:v>43709</c:v>
                </c:pt>
                <c:pt idx="7">
                  <c:v>43739</c:v>
                </c:pt>
                <c:pt idx="8">
                  <c:v>43770</c:v>
                </c:pt>
                <c:pt idx="9">
                  <c:v>43800</c:v>
                </c:pt>
                <c:pt idx="10">
                  <c:v>43831</c:v>
                </c:pt>
                <c:pt idx="11">
                  <c:v>43862</c:v>
                </c:pt>
                <c:pt idx="12">
                  <c:v>43891</c:v>
                </c:pt>
                <c:pt idx="13">
                  <c:v>43922</c:v>
                </c:pt>
                <c:pt idx="14">
                  <c:v>43952</c:v>
                </c:pt>
                <c:pt idx="15">
                  <c:v>43983</c:v>
                </c:pt>
                <c:pt idx="16">
                  <c:v>44013</c:v>
                </c:pt>
                <c:pt idx="17">
                  <c:v>44044</c:v>
                </c:pt>
                <c:pt idx="18">
                  <c:v>44075</c:v>
                </c:pt>
              </c:numCache>
            </c:numRef>
          </c:cat>
          <c:val>
            <c:numRef>
              <c:f>Sheet1!$B$2:$B$20</c:f>
              <c:numCache>
                <c:formatCode>General</c:formatCode>
                <c:ptCount val="19"/>
                <c:pt idx="0">
                  <c:v>10996</c:v>
                </c:pt>
                <c:pt idx="1">
                  <c:v>10408</c:v>
                </c:pt>
                <c:pt idx="2">
                  <c:v>10788</c:v>
                </c:pt>
                <c:pt idx="3">
                  <c:v>10593</c:v>
                </c:pt>
                <c:pt idx="4">
                  <c:v>11379</c:v>
                </c:pt>
                <c:pt idx="5">
                  <c:v>10460</c:v>
                </c:pt>
                <c:pt idx="6">
                  <c:v>10626</c:v>
                </c:pt>
                <c:pt idx="7">
                  <c:v>11149</c:v>
                </c:pt>
                <c:pt idx="8">
                  <c:v>11246</c:v>
                </c:pt>
                <c:pt idx="9">
                  <c:v>10892</c:v>
                </c:pt>
                <c:pt idx="10">
                  <c:v>10489</c:v>
                </c:pt>
                <c:pt idx="11">
                  <c:v>10104</c:v>
                </c:pt>
                <c:pt idx="12">
                  <c:v>7860</c:v>
                </c:pt>
                <c:pt idx="13">
                  <c:v>5368</c:v>
                </c:pt>
                <c:pt idx="14">
                  <c:v>7505</c:v>
                </c:pt>
                <c:pt idx="15">
                  <c:v>8027</c:v>
                </c:pt>
                <c:pt idx="16">
                  <c:v>8858</c:v>
                </c:pt>
                <c:pt idx="17">
                  <c:v>9490</c:v>
                </c:pt>
                <c:pt idx="18">
                  <c:v>9304</c:v>
                </c:pt>
              </c:numCache>
            </c:numRef>
          </c:val>
          <c:smooth val="0"/>
          <c:extLst>
            <c:ext xmlns:c16="http://schemas.microsoft.com/office/drawing/2014/chart" uri="{C3380CC4-5D6E-409C-BE32-E72D297353CC}">
              <c16:uniqueId val="{00000000-FCE0-2043-AE79-7CA4124ECC31}"/>
            </c:ext>
          </c:extLst>
        </c:ser>
        <c:dLbls>
          <c:showLegendKey val="0"/>
          <c:showVal val="0"/>
          <c:showCatName val="0"/>
          <c:showSerName val="0"/>
          <c:showPercent val="0"/>
          <c:showBubbleSize val="0"/>
        </c:dLbls>
        <c:smooth val="0"/>
        <c:axId val="123436399"/>
        <c:axId val="123418095"/>
      </c:lineChart>
      <c:dateAx>
        <c:axId val="12343639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Helvetica" pitchFamily="2" charset="0"/>
                <a:ea typeface="+mn-ea"/>
                <a:cs typeface="+mn-cs"/>
              </a:defRPr>
            </a:pPr>
            <a:endParaRPr lang="en-US"/>
          </a:p>
        </c:txPr>
        <c:crossAx val="123418095"/>
        <c:crosses val="autoZero"/>
        <c:auto val="1"/>
        <c:lblOffset val="100"/>
        <c:baseTimeUnit val="months"/>
      </c:dateAx>
      <c:valAx>
        <c:axId val="1234180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Helvetica" pitchFamily="2" charset="0"/>
                <a:ea typeface="+mn-ea"/>
                <a:cs typeface="+mn-cs"/>
              </a:defRPr>
            </a:pPr>
            <a:endParaRPr lang="en-US"/>
          </a:p>
        </c:txPr>
        <c:crossAx val="1234363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Helvetica" pitchFamily="2"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p:Policy xmlns:p="office.server.policy" id="" local="true">
  <p:Name>ONS Presentation</p:Name>
  <p:Description/>
  <p:Statement/>
  <p:PolicyItems>
    <p:PolicyItem featureId="Microsoft.Office.RecordsManagement.PolicyFeatures.Expiration" staticId="0x010100633886D3C3E6E14084C370D144EF4987|2057524105" UniqueId="3b356aab-fec3-42ac-b014-24801bc423cb">
      <p:Name>Retention</p:Name>
      <p:Description>Automatic scheduling of content for processing, and performing a retention action on content that has reached its due date.</p:Description>
      <p:CustomData>
        <Schedules nextStageId="2">
          <Schedule type="Default">
            <stages>
              <data stageId="1">
                <formula id="Microsoft.Office.RecordsManagement.PolicyFeatures.Expiration.Formula.BuiltIn">
                  <number>100</number>
                  <property>Retention_x0020_Date</property>
                  <period>years</period>
                </formula>
                <action type="action" id="ONS-RetentionAction"/>
              </data>
            </stages>
          </Schedule>
        </Schedules>
      </p:CustomData>
    </p:PolicyItem>
  </p:PolicyItems>
</p:Policy>
</file>

<file path=customXml/item4.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Version=15.0.0.0,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ONS Presentation" ma:contentTypeID="0x010100633886D3C3E6E14084C370D144EF498700A525881038C63347BC762AEDB5BB1FAB" ma:contentTypeVersion="66" ma:contentTypeDescription="Create a new presentation." ma:contentTypeScope="" ma:versionID="faa712af95d22827b95d6fed33f24e15">
  <xsd:schema xmlns:xsd="http://www.w3.org/2001/XMLSchema" xmlns:xs="http://www.w3.org/2001/XMLSchema" xmlns:p="http://schemas.microsoft.com/office/2006/metadata/properties" xmlns:ns1="http://schemas.microsoft.com/sharepoint/v3" xmlns:ns3="e14115de-03ae-49b5-af01-31035404c456" xmlns:ns4="a05f5cac-fcbc-4ca4-bdd1-ff8638f72fc9" xmlns:ns6="39b8a52d-d8b9-47ff-a8c3-c8931ddf8d60" targetNamespace="http://schemas.microsoft.com/office/2006/metadata/properties" ma:root="true" ma:fieldsID="5597ae5acaded8d45d73c9735a83e39c" ns1:_="" ns3:_="" ns4:_="" ns6:_="">
    <xsd:import namespace="http://schemas.microsoft.com/sharepoint/v3"/>
    <xsd:import namespace="e14115de-03ae-49b5-af01-31035404c456"/>
    <xsd:import namespace="a05f5cac-fcbc-4ca4-bdd1-ff8638f72fc9"/>
    <xsd:import namespace="39b8a52d-d8b9-47ff-a8c3-c8931ddf8d60"/>
    <xsd:element name="properties">
      <xsd:complexType>
        <xsd:sequence>
          <xsd:element name="documentManagement">
            <xsd:complexType>
              <xsd:all>
                <xsd:element ref="ns3:o5359087ad404c199aee74686ab194d3" minOccurs="0"/>
                <xsd:element ref="ns4:RetentionDate" minOccurs="0"/>
                <xsd:element ref="ns4:Retention" minOccurs="0"/>
                <xsd:element ref="ns4:EDRMSOwner" minOccurs="0"/>
                <xsd:element ref="ns4:RetentionType" minOccurs="0"/>
                <xsd:element ref="ns3:TaxKeywordTaxHTField" minOccurs="0"/>
                <xsd:element ref="ns1:_dlc_Exempt" minOccurs="0"/>
                <xsd:element ref="ns1:_dlc_ExpireDateSaved" minOccurs="0"/>
                <xsd:element ref="ns1:_dlc_ExpireDate" minOccurs="0"/>
                <xsd:element ref="ns6:_dlc_DocId" minOccurs="0"/>
                <xsd:element ref="ns6:_dlc_DocIdUrl" minOccurs="0"/>
                <xsd:element ref="ns6: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7" nillable="true" ma:displayName="Exempt from Policy" ma:hidden="true" ma:internalName="_dlc_Exempt" ma:readOnly="true">
      <xsd:simpleType>
        <xsd:restriction base="dms:Unknown"/>
      </xsd:simpleType>
    </xsd:element>
    <xsd:element name="_dlc_ExpireDateSaved" ma:index="18" nillable="true" ma:displayName="Original Expiration Date" ma:hidden="true" ma:internalName="_dlc_ExpireDateSaved" ma:readOnly="true">
      <xsd:simpleType>
        <xsd:restriction base="dms:DateTime"/>
      </xsd:simpleType>
    </xsd:element>
    <xsd:element name="_dlc_ExpireDate" ma:index="19"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e14115de-03ae-49b5-af01-31035404c456" elementFormDefault="qualified">
    <xsd:import namespace="http://schemas.microsoft.com/office/2006/documentManagement/types"/>
    <xsd:import namespace="http://schemas.microsoft.com/office/infopath/2007/PartnerControls"/>
    <xsd:element name="o5359087ad404c199aee74686ab194d3" ma:index="7" ma:taxonomy="true" ma:internalName="o5359087ad404c199aee74686ab194d3" ma:taxonomyFieldName="RecordType" ma:displayName="Record Type" ma:readOnly="false" ma:default="" ma:fieldId="{85359087-ad40-4c19-9aee-74686ab194d3}" ma:sspId="a7dd7a64-f5c5-4f30-b8c4-f5626f639d1b" ma:termSetId="b7884471-767e-4886-9e04-df700fa96fc2" ma:anchorId="00000000-0000-0000-0000-000000000000" ma:open="false" ma:isKeyword="false">
      <xsd:complexType>
        <xsd:sequence>
          <xsd:element ref="pc:Terms" minOccurs="0" maxOccurs="1"/>
        </xsd:sequence>
      </xsd:complexType>
    </xsd:element>
    <xsd:element name="TaxKeywordTaxHTField" ma:index="14" nillable="true" ma:taxonomy="true" ma:internalName="TaxKeywordTaxHTField" ma:taxonomyFieldName="TaxKeyword" ma:displayName="Enterprise Keywords" ma:fieldId="{23f27201-bee3-471e-b2e7-b64fd8b7ca38}" ma:taxonomyMulti="true" ma:sspId="a7dd7a64-f5c5-4f30-b8c4-f5626f639d1b"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05f5cac-fcbc-4ca4-bdd1-ff8638f72fc9" elementFormDefault="qualified">
    <xsd:import namespace="http://schemas.microsoft.com/office/2006/documentManagement/types"/>
    <xsd:import namespace="http://schemas.microsoft.com/office/infopath/2007/PartnerControls"/>
    <xsd:element name="RetentionDate" ma:index="10" nillable="true" ma:displayName="Retention Date" ma:format="DateOnly" ma:internalName="Retention_x0020_Date" ma:readOnly="false">
      <xsd:simpleType>
        <xsd:restriction base="dms:DateTime"/>
      </xsd:simpleType>
    </xsd:element>
    <xsd:element name="Retention" ma:index="11" nillable="true" ma:displayName="Retention" ma:default="0" ma:internalName="Retention" ma:readOnly="false">
      <xsd:simpleType>
        <xsd:restriction base="dms:Number"/>
      </xsd:simpleType>
    </xsd:element>
    <xsd:element name="EDRMSOwner" ma:index="12" nillable="true" ma:displayName="EDRMSOwner" ma:hidden="true" ma:internalName="EDRMSOwner" ma:readOnly="false">
      <xsd:simpleType>
        <xsd:restriction base="dms:Text"/>
      </xsd:simpleType>
    </xsd:element>
    <xsd:element name="RetentionType" ma:index="13" nillable="true" ma:displayName="Retention Type" ma:default="Notify" ma:internalName="Retention_x0020_Type" ma:readOnly="false">
      <xsd:simpleType>
        <xsd:restriction base="dms:Choice">
          <xsd:enumeration value="Notify"/>
          <xsd:enumeration value="Delete"/>
          <xsd:enumeration value="Declare"/>
        </xsd:restriction>
      </xsd:simpleType>
    </xsd:element>
  </xsd:schema>
  <xsd:schema xmlns:xsd="http://www.w3.org/2001/XMLSchema" xmlns:xs="http://www.w3.org/2001/XMLSchema" xmlns:dms="http://schemas.microsoft.com/office/2006/documentManagement/types" xmlns:pc="http://schemas.microsoft.com/office/infopath/2007/PartnerControls" targetNamespace="39b8a52d-d8b9-47ff-a8c3-c8931ddf8d60" elementFormDefault="qualified">
    <xsd:import namespace="http://schemas.microsoft.com/office/2006/documentManagement/types"/>
    <xsd:import namespace="http://schemas.microsoft.com/office/infopath/2007/PartnerControls"/>
    <xsd:element name="_dlc_DocId" ma:index="20" nillable="true" ma:displayName="Document ID Value" ma:description="The value of the document ID assigned to this item." ma:internalName="_dlc_DocId" ma:readOnly="true">
      <xsd:simpleType>
        <xsd:restriction base="dms:Text"/>
      </xsd:simpleType>
    </xsd:element>
    <xsd:element name="_dlc_DocIdUrl" ma:index="2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2"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SharedContentType xmlns="Microsoft.SharePoint.Taxonomy.ContentTypeSync" SourceId="a7dd7a64-f5c5-4f30-b8c4-f5626f639d1b" ContentTypeId="0x010100633886D3C3E6E14084C370D144EF4987" PreviousValue="false"/>
</file>

<file path=customXml/item7.xml><?xml version="1.0" encoding="utf-8"?>
<p:properties xmlns:p="http://schemas.microsoft.com/office/2006/metadata/properties" xmlns:xsi="http://www.w3.org/2001/XMLSchema-instance" xmlns:pc="http://schemas.microsoft.com/office/infopath/2007/PartnerControls">
  <documentManagement>
    <RetentionType xmlns="a05f5cac-fcbc-4ca4-bdd1-ff8638f72fc9">Notify</RetentionType>
    <o5359087ad404c199aee74686ab194d3 xmlns="e14115de-03ae-49b5-af01-31035404c456">
      <Terms xmlns="http://schemas.microsoft.com/office/infopath/2007/PartnerControls">
        <TermInfo xmlns="http://schemas.microsoft.com/office/infopath/2007/PartnerControls">
          <TermName xmlns="http://schemas.microsoft.com/office/infopath/2007/PartnerControls">Statistical</TermName>
          <TermId xmlns="http://schemas.microsoft.com/office/infopath/2007/PartnerControls">5729cdfc-ed55-47a7-934b-6d10a24cc839</TermId>
        </TermInfo>
      </Terms>
    </o5359087ad404c199aee74686ab194d3>
    <Retention xmlns="a05f5cac-fcbc-4ca4-bdd1-ff8638f72fc9">0</Retention>
    <TaxKeywordTaxHTField xmlns="e14115de-03ae-49b5-af01-31035404c456">
      <Terms xmlns="http://schemas.microsoft.com/office/infopath/2007/PartnerControls"/>
    </TaxKeywordTaxHTField>
    <RetentionDate xmlns="a05f5cac-fcbc-4ca4-bdd1-ff8638f72fc9" xsi:nil="true"/>
    <EDRMSOwner xmlns="a05f5cac-fcbc-4ca4-bdd1-ff8638f72fc9" xsi:nil="true"/>
    <_dlc_DocId xmlns="39b8a52d-d8b9-47ff-a8c3-c8931ddf8d60">D5PZWENCX5VS-1366971537-1843</_dlc_DocId>
    <_dlc_DocIdUrl xmlns="39b8a52d-d8b9-47ff-a8c3-c8931ddf8d60">
      <Url>https://share.sp.ons.statistics.gov.uk/sites/ESPIER/BSpt/_layouts/15/DocIdRedir.aspx?ID=D5PZWENCX5VS-1366971537-1843</Url>
      <Description>D5PZWENCX5VS-1366971537-1843</Description>
    </_dlc_DocIdUrl>
  </documentManagement>
</p:properties>
</file>

<file path=customXml/itemProps1.xml><?xml version="1.0" encoding="utf-8"?>
<ds:datastoreItem xmlns:ds="http://schemas.openxmlformats.org/officeDocument/2006/customXml" ds:itemID="{37C594F1-E081-4784-B192-EEA42C235E03}">
  <ds:schemaRefs>
    <ds:schemaRef ds:uri="http://schemas.openxmlformats.org/officeDocument/2006/bibliography"/>
  </ds:schemaRefs>
</ds:datastoreItem>
</file>

<file path=customXml/itemProps2.xml><?xml version="1.0" encoding="utf-8"?>
<ds:datastoreItem xmlns:ds="http://schemas.openxmlformats.org/officeDocument/2006/customXml" ds:itemID="{187883D1-A910-474A-96BF-2236DE739242}">
  <ds:schemaRefs>
    <ds:schemaRef ds:uri="http://schemas.microsoft.com/sharepoint/v3/contenttype/forms"/>
  </ds:schemaRefs>
</ds:datastoreItem>
</file>

<file path=customXml/itemProps3.xml><?xml version="1.0" encoding="utf-8"?>
<ds:datastoreItem xmlns:ds="http://schemas.openxmlformats.org/officeDocument/2006/customXml" ds:itemID="{C8580ACA-FD1F-42CA-8F0C-D9013EC7ED6C}">
  <ds:schemaRefs>
    <ds:schemaRef ds:uri="office.server.policy"/>
  </ds:schemaRefs>
</ds:datastoreItem>
</file>

<file path=customXml/itemProps4.xml><?xml version="1.0" encoding="utf-8"?>
<ds:datastoreItem xmlns:ds="http://schemas.openxmlformats.org/officeDocument/2006/customXml" ds:itemID="{54E29BF8-ED9B-43A3-BD03-D3899EA54D25}">
  <ds:schemaRefs>
    <ds:schemaRef ds:uri="http://schemas.microsoft.com/sharepoint/events"/>
  </ds:schemaRefs>
</ds:datastoreItem>
</file>

<file path=customXml/itemProps5.xml><?xml version="1.0" encoding="utf-8"?>
<ds:datastoreItem xmlns:ds="http://schemas.openxmlformats.org/officeDocument/2006/customXml" ds:itemID="{138F57C9-A54E-4689-8C7F-089DB828DC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4115de-03ae-49b5-af01-31035404c456"/>
    <ds:schemaRef ds:uri="a05f5cac-fcbc-4ca4-bdd1-ff8638f72fc9"/>
    <ds:schemaRef ds:uri="39b8a52d-d8b9-47ff-a8c3-c8931ddf8d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1FFB43DC-2FF2-48F2-9325-40B0656B127D}">
  <ds:schemaRefs>
    <ds:schemaRef ds:uri="Microsoft.SharePoint.Taxonomy.ContentTypeSync"/>
  </ds:schemaRefs>
</ds:datastoreItem>
</file>

<file path=customXml/itemProps7.xml><?xml version="1.0" encoding="utf-8"?>
<ds:datastoreItem xmlns:ds="http://schemas.openxmlformats.org/officeDocument/2006/customXml" ds:itemID="{F017A4A5-754C-4F23-9227-7A64359AD595}">
  <ds:schemaRefs>
    <ds:schemaRef ds:uri="http://schemas.microsoft.com/office/2006/metadata/properties"/>
    <ds:schemaRef ds:uri="http://schemas.microsoft.com/office/infopath/2007/PartnerControls"/>
    <ds:schemaRef ds:uri="a05f5cac-fcbc-4ca4-bdd1-ff8638f72fc9"/>
    <ds:schemaRef ds:uri="e14115de-03ae-49b5-af01-31035404c456"/>
    <ds:schemaRef ds:uri="39b8a52d-d8b9-47ff-a8c3-c8931ddf8d60"/>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33</Pages>
  <Words>13636</Words>
  <Characters>77730</Characters>
  <Application>Microsoft Office Word</Application>
  <DocSecurity>0</DocSecurity>
  <Lines>647</Lines>
  <Paragraphs>182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91184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dc700</dc:creator>
  <cp:keywords/>
  <dc:description/>
  <cp:lastModifiedBy>dc700</cp:lastModifiedBy>
  <cp:revision>10</cp:revision>
  <dcterms:created xsi:type="dcterms:W3CDTF">2021-06-14T11:24:00Z</dcterms:created>
  <dcterms:modified xsi:type="dcterms:W3CDTF">2021-08-03T07:46:00Z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0x010100633886D3C3E6E14084C370D144EF498700A525881038C63347BC762AEDB5BB1FAB</vt:lpwstr>
  </property>
  <property fmtid="{D5CDD505-2E9C-101B-9397-08002B2CF9AE}" pid="3" name="TaxKeyword">
    <vt:lpwstr/>
  </property>
  <property fmtid="{D5CDD505-2E9C-101B-9397-08002B2CF9AE}" pid="4" name="TaxCatchAll">
    <vt:lpwstr>19;#Statistical|5729cdfc-ed55-47a7-934b-6d10a24cc839</vt:lpwstr>
  </property>
  <property fmtid="{D5CDD505-2E9C-101B-9397-08002B2CF9AE}" pid="5" name="RecordType">
    <vt:lpwstr>19;#Statistical|5729cdfc-ed55-47a7-934b-6d10a24cc839</vt:lpwstr>
  </property>
  <property fmtid="{D5CDD505-2E9C-101B-9397-08002B2CF9AE}" pid="6" name="_dlc_policyId">
    <vt:lpwstr>0x010100633886D3C3E6E14084C370D144EF4987|2057524105</vt:lpwstr>
  </property>
  <property fmtid="{D5CDD505-2E9C-101B-9397-08002B2CF9AE}" pid="7" name="ItemRetentionFormula">
    <vt:lpwstr>&lt;formula id="Microsoft.Office.RecordsManagement.PolicyFeatures.Expiration.Formula.BuiltIn"&gt;&lt;number&gt;100&lt;/number&gt;&lt;property&gt;Retention_x005f_x0020_Date&lt;/property&gt;&lt;period&gt;years&lt;/period&gt;&lt;/formula&gt;</vt:lpwstr>
  </property>
  <property fmtid="{D5CDD505-2E9C-101B-9397-08002B2CF9AE}" pid="8" name="_dlc_DocIdItemGuid">
    <vt:lpwstr>24baf4fa-2967-4a94-8e77-2895a86ee599</vt:lpwstr>
  </property>
</Properties>
</file>