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479D78" w14:textId="0BD4B3F2" w:rsidR="004B6117" w:rsidRPr="003C2033" w:rsidRDefault="0042159B" w:rsidP="00471368">
      <w:pPr>
        <w:jc w:val="both"/>
        <w:rPr>
          <w:b/>
          <w:sz w:val="24"/>
          <w:szCs w:val="24"/>
        </w:rPr>
      </w:pPr>
      <w:r w:rsidRPr="003C2033">
        <w:rPr>
          <w:rStyle w:val="Strong"/>
          <w:color w:val="000000"/>
          <w:sz w:val="24"/>
          <w:szCs w:val="24"/>
        </w:rPr>
        <w:t>Gluconeogenic precursor availability regulates flux through the glyoxylate shunt in </w:t>
      </w:r>
      <w:r w:rsidRPr="003C2033">
        <w:rPr>
          <w:rStyle w:val="Emphasis"/>
          <w:b/>
          <w:bCs/>
          <w:color w:val="000000"/>
          <w:sz w:val="24"/>
          <w:szCs w:val="24"/>
        </w:rPr>
        <w:t>Pseudomonas aeruginosa</w:t>
      </w:r>
      <w:r w:rsidRPr="003C2033">
        <w:rPr>
          <w:rStyle w:val="Strong"/>
          <w:color w:val="000000"/>
          <w:sz w:val="24"/>
          <w:szCs w:val="24"/>
        </w:rPr>
        <w:t>.</w:t>
      </w:r>
    </w:p>
    <w:p w14:paraId="4270D956" w14:textId="7A080F52" w:rsidR="006E75FB" w:rsidRPr="006E75FB" w:rsidRDefault="006E75FB" w:rsidP="00471368">
      <w:pPr>
        <w:jc w:val="both"/>
      </w:pPr>
      <w:r w:rsidRPr="006E75FB">
        <w:t>Audrey Crousilles</w:t>
      </w:r>
      <w:r w:rsidRPr="006E75FB">
        <w:rPr>
          <w:vertAlign w:val="superscript"/>
        </w:rPr>
        <w:t>1</w:t>
      </w:r>
      <w:r w:rsidRPr="006E75FB">
        <w:t>, Stephen K. Dolan</w:t>
      </w:r>
      <w:r w:rsidRPr="006E75FB">
        <w:rPr>
          <w:vertAlign w:val="superscript"/>
        </w:rPr>
        <w:t>1</w:t>
      </w:r>
      <w:r w:rsidRPr="006E75FB">
        <w:t>, Paul Brear</w:t>
      </w:r>
      <w:r w:rsidRPr="006E75FB">
        <w:rPr>
          <w:vertAlign w:val="superscript"/>
        </w:rPr>
        <w:t>1</w:t>
      </w:r>
      <w:r>
        <w:t>, Dim</w:t>
      </w:r>
      <w:r w:rsidR="006D6A29">
        <w:t>itri Y.</w:t>
      </w:r>
      <w:r>
        <w:t xml:space="preserve"> Chirgadze</w:t>
      </w:r>
      <w:r w:rsidRPr="006E75FB">
        <w:rPr>
          <w:vertAlign w:val="superscript"/>
        </w:rPr>
        <w:t>1</w:t>
      </w:r>
      <w:r>
        <w:t xml:space="preserve"> </w:t>
      </w:r>
      <w:r w:rsidRPr="006E75FB">
        <w:t>and Martin Welch</w:t>
      </w:r>
      <w:r w:rsidRPr="006E75FB">
        <w:rPr>
          <w:vertAlign w:val="superscript"/>
        </w:rPr>
        <w:t>1</w:t>
      </w:r>
      <w:r w:rsidRPr="006E75FB">
        <w:t>*</w:t>
      </w:r>
    </w:p>
    <w:p w14:paraId="7E4EA2C9" w14:textId="77777777" w:rsidR="006E75FB" w:rsidRPr="006E75FB" w:rsidRDefault="006E75FB" w:rsidP="00471368">
      <w:pPr>
        <w:jc w:val="both"/>
      </w:pPr>
      <w:r w:rsidRPr="006E75FB">
        <w:rPr>
          <w:vertAlign w:val="superscript"/>
        </w:rPr>
        <w:t>1</w:t>
      </w:r>
      <w:r w:rsidRPr="006E75FB">
        <w:t>Department of Biochemistry, Tennis Court Road, Cambridge, CB2</w:t>
      </w:r>
      <w:r w:rsidR="008A608D">
        <w:t xml:space="preserve"> </w:t>
      </w:r>
      <w:r w:rsidRPr="006E75FB">
        <w:t>1QW, United Kingdom.</w:t>
      </w:r>
    </w:p>
    <w:p w14:paraId="29C80476" w14:textId="77777777" w:rsidR="006E75FB" w:rsidRPr="006E75FB" w:rsidRDefault="006E75FB" w:rsidP="00471368">
      <w:pPr>
        <w:jc w:val="both"/>
      </w:pPr>
      <w:r w:rsidRPr="006E75FB">
        <w:t>*To whom correspondence should be addressed.</w:t>
      </w:r>
    </w:p>
    <w:p w14:paraId="795FFE0D" w14:textId="77777777" w:rsidR="006E75FB" w:rsidRPr="00A80188" w:rsidRDefault="006E75FB" w:rsidP="00471368">
      <w:pPr>
        <w:jc w:val="both"/>
        <w:rPr>
          <w:lang w:val="fr-FR"/>
        </w:rPr>
      </w:pPr>
      <w:r w:rsidRPr="00A80188">
        <w:rPr>
          <w:lang w:val="fr-FR"/>
        </w:rPr>
        <w:t xml:space="preserve">e-mail: </w:t>
      </w:r>
      <w:hyperlink r:id="rId5" w:history="1">
        <w:r w:rsidRPr="00A80188">
          <w:rPr>
            <w:rStyle w:val="Hyperlink"/>
            <w:lang w:val="fr-FR"/>
          </w:rPr>
          <w:t>mw240@cam.ac.uk</w:t>
        </w:r>
      </w:hyperlink>
    </w:p>
    <w:p w14:paraId="72A23B18" w14:textId="77777777" w:rsidR="006E75FB" w:rsidRPr="001521C5" w:rsidRDefault="006E75FB" w:rsidP="00471368">
      <w:pPr>
        <w:jc w:val="both"/>
        <w:rPr>
          <w:lang w:val="fr-FR"/>
        </w:rPr>
      </w:pPr>
      <w:r w:rsidRPr="001521C5">
        <w:rPr>
          <w:lang w:val="fr-FR"/>
        </w:rPr>
        <w:t>Tel: 0044 (0)1223 333 653</w:t>
      </w:r>
    </w:p>
    <w:p w14:paraId="14FB42B9" w14:textId="77777777" w:rsidR="009E0421" w:rsidRDefault="009E0421" w:rsidP="00471368">
      <w:pPr>
        <w:jc w:val="both"/>
        <w:rPr>
          <w:b/>
          <w:lang w:val="fr-FR"/>
        </w:rPr>
      </w:pPr>
    </w:p>
    <w:p w14:paraId="32DE96B8" w14:textId="0EE76E0D" w:rsidR="009E0421" w:rsidRPr="003C2033" w:rsidRDefault="009E0421" w:rsidP="00471368">
      <w:pPr>
        <w:jc w:val="both"/>
        <w:rPr>
          <w:lang w:val="fr-FR"/>
        </w:rPr>
      </w:pPr>
      <w:r>
        <w:rPr>
          <w:b/>
          <w:lang w:val="fr-FR"/>
        </w:rPr>
        <w:t>Running title :</w:t>
      </w:r>
      <w:r>
        <w:rPr>
          <w:lang w:val="fr-FR"/>
        </w:rPr>
        <w:t xml:space="preserve"> Enzymology of the glyoxylate shunt in </w:t>
      </w:r>
      <w:r w:rsidRPr="003C2033">
        <w:rPr>
          <w:i/>
          <w:lang w:val="fr-FR"/>
        </w:rPr>
        <w:t>P. aeruginosa</w:t>
      </w:r>
    </w:p>
    <w:p w14:paraId="063B7AB1" w14:textId="77777777" w:rsidR="009E0421" w:rsidRDefault="009E0421" w:rsidP="00471368">
      <w:pPr>
        <w:jc w:val="both"/>
        <w:rPr>
          <w:b/>
          <w:lang w:val="fr-FR"/>
        </w:rPr>
      </w:pPr>
    </w:p>
    <w:p w14:paraId="5B273CDF" w14:textId="7A7FDF7E" w:rsidR="00633181" w:rsidRPr="00C5171B" w:rsidRDefault="006E75FB" w:rsidP="00FB3137">
      <w:pPr>
        <w:jc w:val="both"/>
        <w:outlineLvl w:val="0"/>
        <w:rPr>
          <w:b/>
        </w:rPr>
      </w:pPr>
      <w:r w:rsidRPr="001521C5">
        <w:rPr>
          <w:b/>
          <w:lang w:val="fr-FR"/>
        </w:rPr>
        <w:t>Keywords</w:t>
      </w:r>
      <w:r w:rsidRPr="001521C5">
        <w:rPr>
          <w:lang w:val="fr-FR"/>
        </w:rPr>
        <w:t xml:space="preserve">: </w:t>
      </w:r>
      <w:r w:rsidR="00C5171B" w:rsidRPr="003C2033">
        <w:rPr>
          <w:rFonts w:eastAsia="TT15Bt00" w:cs="Arial"/>
          <w:color w:val="000000"/>
        </w:rPr>
        <w:t>Pseudomonas aeruginosa</w:t>
      </w:r>
      <w:r w:rsidR="00C5171B" w:rsidRPr="003C2033">
        <w:rPr>
          <w:rFonts w:eastAsia="TT159t00" w:cs="Arial"/>
          <w:color w:val="000000"/>
        </w:rPr>
        <w:t xml:space="preserve">, glyoxylate shunt, </w:t>
      </w:r>
      <w:r w:rsidR="00C5171B" w:rsidRPr="003C2033">
        <w:rPr>
          <w:rFonts w:eastAsia="TT15Bt00" w:cs="Arial"/>
          <w:color w:val="000000"/>
        </w:rPr>
        <w:t>iso</w:t>
      </w:r>
      <w:r w:rsidR="00C5171B" w:rsidRPr="003C2033">
        <w:rPr>
          <w:rFonts w:eastAsia="TT159t00" w:cs="Arial"/>
          <w:color w:val="000000"/>
        </w:rPr>
        <w:t xml:space="preserve">citrate dehydrogenase, </w:t>
      </w:r>
      <w:r w:rsidR="00C5171B" w:rsidRPr="003C2033">
        <w:rPr>
          <w:rFonts w:eastAsia="TT15Bt00" w:cs="Arial"/>
          <w:color w:val="000000"/>
        </w:rPr>
        <w:t>iso</w:t>
      </w:r>
      <w:r w:rsidR="00C5171B" w:rsidRPr="003C2033">
        <w:rPr>
          <w:rFonts w:eastAsia="TT159t00" w:cs="Arial"/>
          <w:color w:val="000000"/>
        </w:rPr>
        <w:t>citrate lyase, TCA cycle, enzyme regulation, gluconeogenesis, bacterial virulence, metabolic adaptation</w:t>
      </w:r>
      <w:r w:rsidR="00C5171B">
        <w:rPr>
          <w:b/>
        </w:rPr>
        <w:t>.</w:t>
      </w:r>
    </w:p>
    <w:p w14:paraId="0B5725D6" w14:textId="77777777" w:rsidR="00633181" w:rsidRDefault="00633181" w:rsidP="00FB3137">
      <w:pPr>
        <w:jc w:val="both"/>
        <w:outlineLvl w:val="0"/>
        <w:rPr>
          <w:b/>
        </w:rPr>
      </w:pPr>
    </w:p>
    <w:p w14:paraId="295328A8" w14:textId="77777777" w:rsidR="00633181" w:rsidRDefault="00633181" w:rsidP="00FB3137">
      <w:pPr>
        <w:jc w:val="both"/>
        <w:outlineLvl w:val="0"/>
        <w:rPr>
          <w:b/>
        </w:rPr>
      </w:pPr>
    </w:p>
    <w:p w14:paraId="764B8B6C" w14:textId="77777777" w:rsidR="00633181" w:rsidRDefault="00633181" w:rsidP="00FB3137">
      <w:pPr>
        <w:jc w:val="both"/>
        <w:outlineLvl w:val="0"/>
        <w:rPr>
          <w:b/>
        </w:rPr>
      </w:pPr>
    </w:p>
    <w:p w14:paraId="4B3098A2" w14:textId="77777777" w:rsidR="00633181" w:rsidRDefault="00633181" w:rsidP="00FB3137">
      <w:pPr>
        <w:jc w:val="both"/>
        <w:outlineLvl w:val="0"/>
        <w:rPr>
          <w:b/>
        </w:rPr>
      </w:pPr>
    </w:p>
    <w:p w14:paraId="225C55FF" w14:textId="77777777" w:rsidR="00633181" w:rsidRDefault="00633181" w:rsidP="00FB3137">
      <w:pPr>
        <w:jc w:val="both"/>
        <w:outlineLvl w:val="0"/>
        <w:rPr>
          <w:b/>
        </w:rPr>
      </w:pPr>
    </w:p>
    <w:p w14:paraId="4B5BD4A1" w14:textId="77777777" w:rsidR="00633181" w:rsidRDefault="00633181" w:rsidP="00FB3137">
      <w:pPr>
        <w:jc w:val="both"/>
        <w:outlineLvl w:val="0"/>
        <w:rPr>
          <w:b/>
        </w:rPr>
      </w:pPr>
    </w:p>
    <w:p w14:paraId="1CF8F8C9" w14:textId="77777777" w:rsidR="00633181" w:rsidRDefault="00633181" w:rsidP="00FB3137">
      <w:pPr>
        <w:jc w:val="both"/>
        <w:outlineLvl w:val="0"/>
        <w:rPr>
          <w:b/>
        </w:rPr>
      </w:pPr>
    </w:p>
    <w:p w14:paraId="166CF7C3" w14:textId="77777777" w:rsidR="00633181" w:rsidRDefault="00633181" w:rsidP="00FB3137">
      <w:pPr>
        <w:jc w:val="both"/>
        <w:outlineLvl w:val="0"/>
        <w:rPr>
          <w:b/>
        </w:rPr>
      </w:pPr>
    </w:p>
    <w:p w14:paraId="6D69A4EA" w14:textId="77777777" w:rsidR="00633181" w:rsidRDefault="00633181" w:rsidP="00FB3137">
      <w:pPr>
        <w:jc w:val="both"/>
        <w:outlineLvl w:val="0"/>
        <w:rPr>
          <w:b/>
        </w:rPr>
      </w:pPr>
    </w:p>
    <w:p w14:paraId="08E8A43D" w14:textId="77777777" w:rsidR="00633181" w:rsidRDefault="00633181" w:rsidP="00FB3137">
      <w:pPr>
        <w:jc w:val="both"/>
        <w:outlineLvl w:val="0"/>
        <w:rPr>
          <w:b/>
        </w:rPr>
      </w:pPr>
    </w:p>
    <w:p w14:paraId="5FF17C1E" w14:textId="77777777" w:rsidR="00633181" w:rsidRDefault="00633181" w:rsidP="00FB3137">
      <w:pPr>
        <w:jc w:val="both"/>
        <w:outlineLvl w:val="0"/>
        <w:rPr>
          <w:b/>
        </w:rPr>
      </w:pPr>
    </w:p>
    <w:p w14:paraId="4E33816F" w14:textId="77777777" w:rsidR="00633181" w:rsidRDefault="00633181" w:rsidP="00FB3137">
      <w:pPr>
        <w:jc w:val="both"/>
        <w:outlineLvl w:val="0"/>
        <w:rPr>
          <w:b/>
        </w:rPr>
      </w:pPr>
    </w:p>
    <w:p w14:paraId="28F966CD" w14:textId="77777777" w:rsidR="00633181" w:rsidRDefault="00633181" w:rsidP="00FB3137">
      <w:pPr>
        <w:jc w:val="both"/>
        <w:outlineLvl w:val="0"/>
        <w:rPr>
          <w:b/>
        </w:rPr>
      </w:pPr>
    </w:p>
    <w:p w14:paraId="02E99A65" w14:textId="77777777" w:rsidR="00633181" w:rsidRDefault="00633181" w:rsidP="00FB3137">
      <w:pPr>
        <w:jc w:val="both"/>
        <w:outlineLvl w:val="0"/>
        <w:rPr>
          <w:b/>
        </w:rPr>
      </w:pPr>
    </w:p>
    <w:p w14:paraId="56D4D8F3" w14:textId="77777777" w:rsidR="00633181" w:rsidRDefault="00633181" w:rsidP="00FB3137">
      <w:pPr>
        <w:jc w:val="both"/>
        <w:outlineLvl w:val="0"/>
        <w:rPr>
          <w:b/>
        </w:rPr>
      </w:pPr>
    </w:p>
    <w:p w14:paraId="3E93CE54" w14:textId="77777777" w:rsidR="00633181" w:rsidRDefault="00633181" w:rsidP="00FB3137">
      <w:pPr>
        <w:jc w:val="both"/>
        <w:outlineLvl w:val="0"/>
        <w:rPr>
          <w:b/>
        </w:rPr>
      </w:pPr>
    </w:p>
    <w:p w14:paraId="475F3426" w14:textId="77777777" w:rsidR="00633181" w:rsidRDefault="00633181" w:rsidP="00FB3137">
      <w:pPr>
        <w:jc w:val="both"/>
        <w:outlineLvl w:val="0"/>
        <w:rPr>
          <w:b/>
        </w:rPr>
      </w:pPr>
    </w:p>
    <w:p w14:paraId="2A606229" w14:textId="77777777" w:rsidR="00633181" w:rsidRDefault="00633181" w:rsidP="00FB3137">
      <w:pPr>
        <w:jc w:val="both"/>
        <w:outlineLvl w:val="0"/>
        <w:rPr>
          <w:b/>
        </w:rPr>
      </w:pPr>
    </w:p>
    <w:p w14:paraId="2EF45AC3" w14:textId="77777777" w:rsidR="00C5171B" w:rsidRDefault="00C5171B" w:rsidP="00FB3137">
      <w:pPr>
        <w:jc w:val="both"/>
        <w:outlineLvl w:val="0"/>
        <w:rPr>
          <w:b/>
        </w:rPr>
      </w:pPr>
    </w:p>
    <w:p w14:paraId="4EA275E4" w14:textId="77777777" w:rsidR="00633181" w:rsidRDefault="00633181" w:rsidP="00FB3137">
      <w:pPr>
        <w:jc w:val="both"/>
        <w:outlineLvl w:val="0"/>
        <w:rPr>
          <w:b/>
        </w:rPr>
      </w:pPr>
    </w:p>
    <w:p w14:paraId="330736DC" w14:textId="77777777" w:rsidR="00471368" w:rsidRPr="00C5171B" w:rsidRDefault="00625738">
      <w:pPr>
        <w:jc w:val="both"/>
        <w:outlineLvl w:val="0"/>
        <w:rPr>
          <w:b/>
        </w:rPr>
      </w:pPr>
      <w:r w:rsidRPr="00C5171B">
        <w:rPr>
          <w:b/>
        </w:rPr>
        <w:lastRenderedPageBreak/>
        <w:t>Abstract</w:t>
      </w:r>
    </w:p>
    <w:p w14:paraId="3DF75F3E" w14:textId="44ABABF2" w:rsidR="00C5171B" w:rsidRPr="003C2033" w:rsidRDefault="00C5171B" w:rsidP="003C2033">
      <w:pPr>
        <w:jc w:val="both"/>
        <w:rPr>
          <w:rFonts w:cs="Arial"/>
        </w:rPr>
      </w:pPr>
      <w:r w:rsidRPr="003C2033">
        <w:rPr>
          <w:rFonts w:eastAsia="TT15Bt00" w:cs="Arial"/>
          <w:highlight w:val="yellow"/>
        </w:rPr>
        <w:t xml:space="preserve">The glyoxylate shunt bypasses the oxidative decarboxylation steps of the tricarboxylic acid (TCA) cycle, thereby conserving carbon skeletons for gluconeogenesis and biomass production. In </w:t>
      </w:r>
      <w:r w:rsidRPr="003C2033">
        <w:rPr>
          <w:rFonts w:eastAsia="TT15Bt00" w:cs="Arial"/>
          <w:i/>
          <w:highlight w:val="yellow"/>
        </w:rPr>
        <w:t>Escherichia coli</w:t>
      </w:r>
      <w:r w:rsidRPr="003C2033">
        <w:rPr>
          <w:rFonts w:eastAsia="TT15Bt00" w:cs="Arial"/>
          <w:highlight w:val="yellow"/>
        </w:rPr>
        <w:t xml:space="preserve">, carbon flux is redirected through the first enzyme of the glyoxylate shunt, </w:t>
      </w:r>
      <w:r w:rsidRPr="003C2033">
        <w:rPr>
          <w:rFonts w:eastAsia="TT15Bt00" w:cs="Arial"/>
          <w:i/>
          <w:highlight w:val="yellow"/>
        </w:rPr>
        <w:t>iso</w:t>
      </w:r>
      <w:r w:rsidRPr="003C2033">
        <w:rPr>
          <w:rFonts w:eastAsia="TT15Bt00" w:cs="Arial"/>
          <w:highlight w:val="yellow"/>
        </w:rPr>
        <w:t xml:space="preserve">citrate lyase (ICL), following phosphorylation and inactivation of the TCA cycle enzyme, </w:t>
      </w:r>
      <w:r w:rsidRPr="003C2033">
        <w:rPr>
          <w:rFonts w:eastAsia="TT15Bt00" w:cs="Arial"/>
          <w:i/>
          <w:highlight w:val="yellow"/>
        </w:rPr>
        <w:t>iso</w:t>
      </w:r>
      <w:r w:rsidRPr="003C2033">
        <w:rPr>
          <w:rFonts w:eastAsia="TT15Bt00" w:cs="Arial"/>
          <w:highlight w:val="yellow"/>
        </w:rPr>
        <w:t xml:space="preserve">citrate dehydrogenase (ICD), by the kinase/phosphatase, AceK. In contrast, mycobacterial species lack AceK and employ a phosphorylation-insensitive </w:t>
      </w:r>
      <w:r w:rsidRPr="003C2033">
        <w:rPr>
          <w:rFonts w:eastAsia="TT15Bt00" w:cs="Arial"/>
          <w:i/>
          <w:highlight w:val="yellow"/>
        </w:rPr>
        <w:t>iso</w:t>
      </w:r>
      <w:r w:rsidRPr="003C2033">
        <w:rPr>
          <w:rFonts w:eastAsia="TT15Bt00" w:cs="Arial"/>
          <w:highlight w:val="yellow"/>
        </w:rPr>
        <w:t xml:space="preserve">citrate dehydrogenase (IDH), which is allosterically activated by the product of ICL activity, glyoxylate. However, </w:t>
      </w:r>
      <w:r w:rsidRPr="003C2033">
        <w:rPr>
          <w:rFonts w:eastAsia="TT15Bt00" w:cs="Arial"/>
          <w:i/>
          <w:highlight w:val="yellow"/>
        </w:rPr>
        <w:t>Pseudomonas aeruginosa</w:t>
      </w:r>
      <w:r w:rsidRPr="003C2033">
        <w:rPr>
          <w:rFonts w:eastAsia="TT15Bt00" w:cs="Arial"/>
          <w:highlight w:val="yellow"/>
        </w:rPr>
        <w:t xml:space="preserve">, expresses IDH, ICD, ICL, and AceK, raising the question of how these enzymes are regulated to ensure proper flux distribution between the competing pathways. Here, we present the structure, kinetics, and regulation of ICL, IDH, and ICD from </w:t>
      </w:r>
      <w:r w:rsidRPr="003C2033">
        <w:rPr>
          <w:rFonts w:eastAsia="TT15Bt00" w:cs="Arial"/>
          <w:i/>
          <w:highlight w:val="yellow"/>
        </w:rPr>
        <w:t>P. aeruginosa</w:t>
      </w:r>
      <w:r w:rsidRPr="003C2033">
        <w:rPr>
          <w:rFonts w:eastAsia="TT15Bt00" w:cs="Arial"/>
          <w:highlight w:val="yellow"/>
        </w:rPr>
        <w:t xml:space="preserve">. We found that flux partitioning is coordinated through reciprocal regulation of these enzymes, linking </w:t>
      </w:r>
      <w:r w:rsidR="003359F7" w:rsidRPr="003C2033">
        <w:rPr>
          <w:rFonts w:eastAsia="TT15Bt00" w:cs="Arial"/>
          <w:highlight w:val="yellow"/>
        </w:rPr>
        <w:t xml:space="preserve">distribution of </w:t>
      </w:r>
      <w:r w:rsidRPr="003C2033">
        <w:rPr>
          <w:rFonts w:eastAsia="TT15Bt00" w:cs="Arial"/>
          <w:highlight w:val="yellow"/>
        </w:rPr>
        <w:t xml:space="preserve">carbon flux to availability of the key gluconeogenic precursors, </w:t>
      </w:r>
      <w:r w:rsidRPr="003C2033">
        <w:rPr>
          <w:rFonts w:cs="Arial"/>
          <w:highlight w:val="yellow"/>
        </w:rPr>
        <w:t>oxaloacetate and pyruvate</w:t>
      </w:r>
      <w:r w:rsidRPr="003C2033">
        <w:rPr>
          <w:rFonts w:eastAsia="TT15Bt00" w:cs="Arial"/>
          <w:highlight w:val="yellow"/>
        </w:rPr>
        <w:t>.</w:t>
      </w:r>
      <w:r w:rsidRPr="003C2033">
        <w:rPr>
          <w:rFonts w:cs="Arial"/>
          <w:highlight w:val="yellow"/>
        </w:rPr>
        <w:t xml:space="preserve"> Specifically, a greater abundance of these metabolites activated IDH and inhibited ICL, leading to </w:t>
      </w:r>
      <w:r w:rsidR="00BC74B4" w:rsidRPr="003C2033">
        <w:rPr>
          <w:rFonts w:cs="Arial"/>
          <w:highlight w:val="yellow"/>
        </w:rPr>
        <w:t>increased</w:t>
      </w:r>
      <w:r w:rsidRPr="003C2033">
        <w:rPr>
          <w:rFonts w:cs="Arial"/>
          <w:highlight w:val="yellow"/>
        </w:rPr>
        <w:t xml:space="preserve"> TCA cycle flux. Regulation was also exerted through AceK-dependent phosphorylation of ICD; high levels of acetyl-CoA (which would be expected to accumulate </w:t>
      </w:r>
      <w:r w:rsidR="00BC74B4" w:rsidRPr="003C2033">
        <w:rPr>
          <w:rFonts w:cs="Arial"/>
          <w:highlight w:val="yellow"/>
        </w:rPr>
        <w:t>when</w:t>
      </w:r>
      <w:r w:rsidRPr="003C2033">
        <w:rPr>
          <w:rFonts w:cs="Arial"/>
          <w:highlight w:val="yellow"/>
        </w:rPr>
        <w:t xml:space="preserve"> oxaloacetate</w:t>
      </w:r>
      <w:r w:rsidR="00BC74B4" w:rsidRPr="003C2033">
        <w:rPr>
          <w:rFonts w:cs="Arial"/>
          <w:highlight w:val="yellow"/>
        </w:rPr>
        <w:t xml:space="preserve"> is limiting</w:t>
      </w:r>
      <w:r w:rsidRPr="003C2033">
        <w:rPr>
          <w:rFonts w:cs="Arial"/>
          <w:highlight w:val="yellow"/>
        </w:rPr>
        <w:t xml:space="preserve">) stimulated the kinase activity of AceK, whereas high levels of oxaloacetate stimulated its phosphatase activity. In summary, the TCA cycle–glyoxylate shunt branch-point in </w:t>
      </w:r>
      <w:r w:rsidRPr="003C2033">
        <w:rPr>
          <w:rFonts w:cs="Arial"/>
          <w:i/>
          <w:highlight w:val="yellow"/>
        </w:rPr>
        <w:t>P. aeruginosa</w:t>
      </w:r>
      <w:r w:rsidRPr="003C2033">
        <w:rPr>
          <w:rFonts w:cs="Arial"/>
          <w:highlight w:val="yellow"/>
        </w:rPr>
        <w:t xml:space="preserve"> has a complex enzymology which is profoundly different to that in other species characterized to date. Presumably, this reflects its predilection for consuming fatty acids, especially during infection scenarios.</w:t>
      </w:r>
    </w:p>
    <w:p w14:paraId="203BEFCA" w14:textId="77777777" w:rsidR="00633181" w:rsidRDefault="00633181" w:rsidP="00F610FC">
      <w:pPr>
        <w:jc w:val="both"/>
        <w:rPr>
          <w:b/>
        </w:rPr>
      </w:pPr>
    </w:p>
    <w:p w14:paraId="3D6E6250" w14:textId="77777777" w:rsidR="00633181" w:rsidRDefault="00633181" w:rsidP="00F610FC">
      <w:pPr>
        <w:jc w:val="both"/>
        <w:rPr>
          <w:b/>
        </w:rPr>
      </w:pPr>
    </w:p>
    <w:p w14:paraId="4D845782" w14:textId="77777777" w:rsidR="00795FAA" w:rsidRDefault="00795FAA" w:rsidP="00F610FC">
      <w:pPr>
        <w:jc w:val="both"/>
        <w:rPr>
          <w:b/>
        </w:rPr>
      </w:pPr>
    </w:p>
    <w:p w14:paraId="691DF8FB" w14:textId="77777777" w:rsidR="00795FAA" w:rsidRDefault="00795FAA" w:rsidP="00F610FC">
      <w:pPr>
        <w:jc w:val="both"/>
        <w:rPr>
          <w:b/>
        </w:rPr>
      </w:pPr>
    </w:p>
    <w:p w14:paraId="3DE59E75" w14:textId="77777777" w:rsidR="00795FAA" w:rsidRDefault="00795FAA" w:rsidP="00F610FC">
      <w:pPr>
        <w:jc w:val="both"/>
        <w:rPr>
          <w:b/>
        </w:rPr>
      </w:pPr>
    </w:p>
    <w:p w14:paraId="2CFCD036" w14:textId="77777777" w:rsidR="00795FAA" w:rsidRDefault="00795FAA" w:rsidP="00F610FC">
      <w:pPr>
        <w:jc w:val="both"/>
        <w:rPr>
          <w:b/>
        </w:rPr>
      </w:pPr>
    </w:p>
    <w:p w14:paraId="79CC7C0F" w14:textId="77777777" w:rsidR="00795FAA" w:rsidRDefault="00795FAA" w:rsidP="00F610FC">
      <w:pPr>
        <w:jc w:val="both"/>
        <w:rPr>
          <w:b/>
        </w:rPr>
      </w:pPr>
    </w:p>
    <w:p w14:paraId="34C0407D" w14:textId="77777777" w:rsidR="00795FAA" w:rsidRDefault="00795FAA" w:rsidP="00F610FC">
      <w:pPr>
        <w:jc w:val="both"/>
        <w:rPr>
          <w:b/>
        </w:rPr>
      </w:pPr>
    </w:p>
    <w:p w14:paraId="4EBE783E" w14:textId="77777777" w:rsidR="00633181" w:rsidRDefault="00633181" w:rsidP="00F610FC">
      <w:pPr>
        <w:jc w:val="both"/>
        <w:rPr>
          <w:b/>
        </w:rPr>
      </w:pPr>
    </w:p>
    <w:p w14:paraId="7C17D2EA" w14:textId="77777777" w:rsidR="00633181" w:rsidRDefault="00633181" w:rsidP="00F610FC">
      <w:pPr>
        <w:jc w:val="both"/>
        <w:rPr>
          <w:b/>
        </w:rPr>
      </w:pPr>
    </w:p>
    <w:p w14:paraId="39034688" w14:textId="77777777" w:rsidR="00633181" w:rsidRDefault="00633181" w:rsidP="00F610FC">
      <w:pPr>
        <w:jc w:val="both"/>
        <w:rPr>
          <w:b/>
        </w:rPr>
      </w:pPr>
    </w:p>
    <w:p w14:paraId="4459A6BD" w14:textId="77777777" w:rsidR="00C5171B" w:rsidRDefault="00C5171B" w:rsidP="00F610FC">
      <w:pPr>
        <w:jc w:val="both"/>
        <w:rPr>
          <w:b/>
        </w:rPr>
      </w:pPr>
    </w:p>
    <w:p w14:paraId="3E5E8032" w14:textId="77777777" w:rsidR="00C5171B" w:rsidRDefault="00C5171B" w:rsidP="00F610FC">
      <w:pPr>
        <w:jc w:val="both"/>
        <w:rPr>
          <w:b/>
        </w:rPr>
      </w:pPr>
    </w:p>
    <w:p w14:paraId="4A68C858" w14:textId="77777777" w:rsidR="00C5171B" w:rsidRDefault="00C5171B" w:rsidP="00F610FC">
      <w:pPr>
        <w:jc w:val="both"/>
        <w:rPr>
          <w:b/>
        </w:rPr>
      </w:pPr>
    </w:p>
    <w:p w14:paraId="4DB59C0F" w14:textId="77777777" w:rsidR="00633181" w:rsidRDefault="00633181" w:rsidP="00F610FC">
      <w:pPr>
        <w:jc w:val="both"/>
        <w:rPr>
          <w:b/>
        </w:rPr>
      </w:pPr>
    </w:p>
    <w:p w14:paraId="4B30BE52" w14:textId="77777777" w:rsidR="00633181" w:rsidRDefault="00633181" w:rsidP="00F610FC">
      <w:pPr>
        <w:jc w:val="both"/>
        <w:rPr>
          <w:b/>
        </w:rPr>
      </w:pPr>
    </w:p>
    <w:p w14:paraId="28022595" w14:textId="77777777" w:rsidR="00633181" w:rsidRDefault="00633181" w:rsidP="00F610FC">
      <w:pPr>
        <w:jc w:val="both"/>
        <w:rPr>
          <w:b/>
        </w:rPr>
      </w:pPr>
    </w:p>
    <w:p w14:paraId="4FA3ACA3" w14:textId="77777777" w:rsidR="00D06987" w:rsidRPr="003C2033" w:rsidRDefault="00D06987" w:rsidP="00F610FC">
      <w:pPr>
        <w:jc w:val="both"/>
        <w:rPr>
          <w:b/>
        </w:rPr>
      </w:pPr>
      <w:r w:rsidRPr="003C2033">
        <w:rPr>
          <w:b/>
        </w:rPr>
        <w:lastRenderedPageBreak/>
        <w:t>Introduction</w:t>
      </w:r>
    </w:p>
    <w:p w14:paraId="764AF2C6" w14:textId="64AC9F2D" w:rsidR="0066265D" w:rsidRDefault="00B7635E" w:rsidP="00F610FC">
      <w:pPr>
        <w:jc w:val="both"/>
      </w:pPr>
      <w:r>
        <w:t>The glyoxylate shunt</w:t>
      </w:r>
      <w:r w:rsidR="00C850D4">
        <w:t xml:space="preserve"> </w:t>
      </w:r>
      <w:r w:rsidR="0005503E">
        <w:t>is an anaplerotic pathway</w:t>
      </w:r>
      <w:r w:rsidR="009E46A6">
        <w:t xml:space="preserve"> which </w:t>
      </w:r>
      <w:r w:rsidR="00C850D4">
        <w:t>bypass</w:t>
      </w:r>
      <w:r w:rsidR="009864CD">
        <w:t>es</w:t>
      </w:r>
      <w:r w:rsidR="00C850D4">
        <w:t xml:space="preserve"> the oxidative decarboxylation steps of the </w:t>
      </w:r>
      <w:r w:rsidR="007F48DD">
        <w:t>TCA</w:t>
      </w:r>
      <w:r w:rsidR="00C850D4">
        <w:t xml:space="preserve"> cycle</w:t>
      </w:r>
      <w:r w:rsidR="00854E5D">
        <w:t xml:space="preserve">, thereby conserving </w:t>
      </w:r>
      <w:r w:rsidR="009864CD">
        <w:t>carbon</w:t>
      </w:r>
      <w:r w:rsidR="00854E5D">
        <w:t xml:space="preserve"> </w:t>
      </w:r>
      <w:r w:rsidR="00C978EB">
        <w:t xml:space="preserve">skeletons </w:t>
      </w:r>
      <w:r w:rsidR="00854E5D">
        <w:t>for gluconeogenesis</w:t>
      </w:r>
      <w:r w:rsidR="0043569A">
        <w:t xml:space="preserve"> and biomass production</w:t>
      </w:r>
      <w:r w:rsidR="00C276D6">
        <w:t xml:space="preserve"> </w:t>
      </w:r>
      <w:r w:rsidR="0067470E">
        <w:fldChar w:fldCharType="begin" w:fldLock="1"/>
      </w:r>
      <w:r w:rsidR="00167E6B">
        <w:instrText>ADDIN CSL_CITATION { "citationItems" : [ { "id" : "ITEM-1", "itemData" : { "ISBN" : "0264-6021 (Print) 0264-6021 (Linking)", "ISSN" : "0264-6021", "PMID" : "5337756", "abstract" : "Images: p[1]-b2-a:", "author" : [ { "dropping-particle" : "", "family" : "Kornberg", "given" : "H L", "non-dropping-particle" : "", "parse-names" : false, "suffix" : "" } ], "container-title" : "The Biochemical journal", "id" : "ITEM-1", "issue" : "1", "issued" : { "date-parts" : [ [ "1966" ] ] }, "page" : "1-11", "title" : "The role and control of the glyoxylate cycle in Escherichia coli", "type" : "article-journal", "volume" : "99" }, "uris" : [ "http://www.mendeley.com/documents/?uuid=fd4d6fd2-1fad-4904-94c0-47ddd459b25a", "http://www.mendeley.com/documents/?uuid=ddb7f2a0-9f78-4520-a95a-11f2d9416c67" ] } ], "mendeley" : { "formattedCitation" : "(H. L. Kornberg, 1966)", "manualFormatting" : "(Kornberg, 1966)", "plainTextFormattedCitation" : "(H. L. Kornberg, 1966)", "previouslyFormattedCitation" : "(H. L. Kornberg, 1966)" }, "properties" : { "noteIndex" : 0 }, "schema" : "https://github.com/citation-style-language/schema/raw/master/csl-citation.json" }</w:instrText>
      </w:r>
      <w:r w:rsidR="0067470E">
        <w:fldChar w:fldCharType="separate"/>
      </w:r>
      <w:r w:rsidR="003915CC" w:rsidRPr="003915CC">
        <w:rPr>
          <w:noProof/>
        </w:rPr>
        <w:t>(Kornberg, 1966)</w:t>
      </w:r>
      <w:r w:rsidR="0067470E">
        <w:fldChar w:fldCharType="end"/>
      </w:r>
      <w:r w:rsidR="00854E5D">
        <w:t xml:space="preserve">. </w:t>
      </w:r>
      <w:r w:rsidR="007A0BA3">
        <w:t xml:space="preserve">The mechanisms controlling carbon flux partitioning between the TCA cycle and glyoxylate shunt were largely worked out </w:t>
      </w:r>
      <w:r w:rsidR="0074142C">
        <w:t xml:space="preserve">in the </w:t>
      </w:r>
      <w:r w:rsidR="0074142C" w:rsidRPr="00B50EC3">
        <w:rPr>
          <w:i/>
        </w:rPr>
        <w:t>Escherichia coli</w:t>
      </w:r>
      <w:r w:rsidR="0074142C">
        <w:t xml:space="preserve"> model </w:t>
      </w:r>
      <w:r w:rsidR="007A0BA3">
        <w:t>in the 1980s</w:t>
      </w:r>
      <w:r w:rsidR="009E46A6">
        <w:t xml:space="preserve">. </w:t>
      </w:r>
      <w:r w:rsidR="00B50EC3">
        <w:t>Here</w:t>
      </w:r>
      <w:r w:rsidR="009864CD">
        <w:t xml:space="preserve">, </w:t>
      </w:r>
      <w:r w:rsidR="007A0BA3">
        <w:t xml:space="preserve">the TCA cycle enzyme, </w:t>
      </w:r>
      <w:r w:rsidR="009864CD" w:rsidRPr="009864CD">
        <w:rPr>
          <w:i/>
        </w:rPr>
        <w:t>iso</w:t>
      </w:r>
      <w:r w:rsidR="009864CD">
        <w:t>citrate dehydrogenase (ICD</w:t>
      </w:r>
      <w:r w:rsidR="00085C9B">
        <w:t xml:space="preserve">, encoded by </w:t>
      </w:r>
      <w:r w:rsidR="00085C9B" w:rsidRPr="00085C9B">
        <w:rPr>
          <w:i/>
        </w:rPr>
        <w:t>icd</w:t>
      </w:r>
      <w:r w:rsidR="00C33F65">
        <w:t>)</w:t>
      </w:r>
      <w:r w:rsidR="007A0BA3">
        <w:t>,</w:t>
      </w:r>
      <w:r w:rsidR="00583250">
        <w:t xml:space="preserve"> </w:t>
      </w:r>
      <w:r w:rsidR="009864CD">
        <w:t>and</w:t>
      </w:r>
      <w:r w:rsidR="007A0BA3">
        <w:t xml:space="preserve"> the glyoxylate shunt enzyme,</w:t>
      </w:r>
      <w:r w:rsidR="00583250">
        <w:t xml:space="preserve"> </w:t>
      </w:r>
      <w:r w:rsidR="009864CD" w:rsidRPr="009864CD">
        <w:rPr>
          <w:i/>
        </w:rPr>
        <w:t>iso</w:t>
      </w:r>
      <w:r w:rsidR="009864CD">
        <w:t>citrate lyase (ICL</w:t>
      </w:r>
      <w:r w:rsidR="00085C9B">
        <w:t xml:space="preserve">, encoded by </w:t>
      </w:r>
      <w:r w:rsidR="00085C9B" w:rsidRPr="00085C9B">
        <w:rPr>
          <w:i/>
        </w:rPr>
        <w:t>aceA</w:t>
      </w:r>
      <w:r w:rsidR="00583250">
        <w:t>)</w:t>
      </w:r>
      <w:r w:rsidR="007A0BA3">
        <w:t xml:space="preserve"> compete for available </w:t>
      </w:r>
      <w:r w:rsidR="007A0BA3" w:rsidRPr="007A0BA3">
        <w:rPr>
          <w:i/>
        </w:rPr>
        <w:t>iso</w:t>
      </w:r>
      <w:r w:rsidR="007A0BA3">
        <w:t>citrate</w:t>
      </w:r>
      <w:r w:rsidR="009864CD">
        <w:t>.</w:t>
      </w:r>
      <w:r w:rsidR="00297C85">
        <w:t xml:space="preserve"> </w:t>
      </w:r>
      <w:r w:rsidR="00C978EB">
        <w:t>ICD has a much lower K</w:t>
      </w:r>
      <w:r w:rsidR="00C978EB" w:rsidRPr="00C978EB">
        <w:rPr>
          <w:vertAlign w:val="subscript"/>
        </w:rPr>
        <w:t>M</w:t>
      </w:r>
      <w:r w:rsidR="00C978EB">
        <w:t xml:space="preserve"> for </w:t>
      </w:r>
      <w:r w:rsidR="00C978EB" w:rsidRPr="00C978EB">
        <w:rPr>
          <w:i/>
        </w:rPr>
        <w:t>iso</w:t>
      </w:r>
      <w:r w:rsidR="00C978EB">
        <w:t xml:space="preserve">citrate </w:t>
      </w:r>
      <w:r w:rsidR="00BC772A">
        <w:t>(K</w:t>
      </w:r>
      <w:r w:rsidR="00BC772A" w:rsidRPr="00C978EB">
        <w:rPr>
          <w:vertAlign w:val="subscript"/>
        </w:rPr>
        <w:t>M</w:t>
      </w:r>
      <w:r w:rsidR="00BC772A">
        <w:t xml:space="preserve"> </w:t>
      </w:r>
      <w:r w:rsidR="004B6117">
        <w:t xml:space="preserve">8 </w:t>
      </w:r>
      <w:r w:rsidR="004B6117" w:rsidRPr="00AB6E30">
        <w:rPr>
          <w:rFonts w:ascii="Symbol" w:hAnsi="Symbol"/>
        </w:rPr>
        <w:t></w:t>
      </w:r>
      <w:r w:rsidR="004B6117">
        <w:t>M</w:t>
      </w:r>
      <w:r w:rsidR="00C276D6">
        <w:t xml:space="preserve"> </w:t>
      </w:r>
      <w:r w:rsidR="001521C5">
        <w:fldChar w:fldCharType="begin" w:fldLock="1"/>
      </w:r>
      <w:r w:rsidR="003915CC">
        <w:instrText>ADDIN CSL_CITATION { "citationItems" : [ { "id" : "ITEM-1", "itemData" : { "abstract" : "The interdependence of the activities of branch point enzymes which compete for a common substrate can yield ultrasensitivity or subsensitivity to control, even if the competing enzymes follow Michaelis-Menten ki-netics. The nature of this \" branch point effect \" for a particular system depends on the kinetic parameters of the competing enzymes, the rate of substrate pro-duction leading into the branch point and the type of regulatory mechanism involved. With physiologically reasonable parameter values, the branch point effect can give ultrasensitivity equivalent to an allosteric enzyme with a Hill coefficient of 8 or higher. An experimental example of this ultrasensitivity was provided by the branch point between isocitrate lyase (of the glyoxylate bypass) and isocitrate dehydrogen-ase in Escherichia coli. The glyoxylate bypass is very active during growth on acetate but its flux decreases by a factor of approximately 150 upon addition of glucose. This inhibition is brought about by two rela-tively modest events: a 4-fold increase in the maximum velocity of isocitrate dehydrogenase and a factor of 5.5 decrease in the rate of isocitrate production. The mech-anism which underlies this sensitivity amplification is discussed. An essential feature of any regulatory system is the sensi-tivity of the response to the stimulus. In some cases, such as allosteric proteins, insight can be gained into regulatory sen-sitivity simply by studying the characteristics of the isolated components. In others, however, the relationship of the com-ponents in the regulatory network have a profound effect on the behavior of the system. Examples of such complex systems have included futile cycles (l), covalent modification cascades (2-5), and pathways regulated by feedback inhibition (6, 7). Perhaps the most pervasive type of cellular control is the metering of flux between competing pathways. In this paper, we have analyzed theoretically the regulatory sensitivity of a branch point at which enzymes compete for a common sub-strate. In order to determine if the results of the theoretical", "author" : [ { "dropping-particle" : "", "family" : "Laporte", "given" : "David C", "non-dropping-particle" : "", "parse-names" : false, "suffix" : "" }, { "dropping-particle" : "", "family" : "Walsh", "given" : "Kenneth", "non-dropping-particle" : "", "parse-names" : false, "suffix" : "" }, { "dropping-particle" : "", "family" : "Koshland", "given" : "D E", "non-dropping-particle" : "", "parse-names" : false, "suffix" : "" } ], "container-title" : "The Journal of Biological Chemistry", "id" : "ITEM-1", "issue" : "22", "issued" : { "date-parts" : [ [ "1984" ] ] }, "page" : "14068-14075", "title" : "The branch point effect ultrasensitivity and subsensitivity to metabolic control", "type" : "article-journal", "volume" : "259" }, "uris" : [ "http://www.mendeley.com/documents/?uuid=60840230-b503-4d70-b7b7-9bb0601fe275", "http://www.mendeley.com/documents/?uuid=0f71a632-0d3b-44e1-866b-a57e50796ee4" ] } ], "mendeley" : { "formattedCitation" : "(Laporte, Walsh, &amp; Koshland, 1984)", "plainTextFormattedCitation" : "(Laporte, Walsh, &amp; Koshland, 1984)", "previouslyFormattedCitation" : "(Laporte, Walsh, &amp; Koshland, 1984)" }, "properties" : { "noteIndex" : 0 }, "schema" : "https://github.com/citation-style-language/schema/raw/master/csl-citation.json" }</w:instrText>
      </w:r>
      <w:r w:rsidR="001521C5">
        <w:fldChar w:fldCharType="separate"/>
      </w:r>
      <w:r w:rsidR="003915CC" w:rsidRPr="003915CC">
        <w:rPr>
          <w:noProof/>
        </w:rPr>
        <w:t>(Laporte, Walsh, &amp; Koshland, 1984)</w:t>
      </w:r>
      <w:r w:rsidR="001521C5">
        <w:fldChar w:fldCharType="end"/>
      </w:r>
      <w:r w:rsidR="00BC772A">
        <w:t xml:space="preserve">) </w:t>
      </w:r>
      <w:r w:rsidR="00C978EB">
        <w:t xml:space="preserve">than ICL </w:t>
      </w:r>
      <w:r w:rsidR="00BC772A" w:rsidRPr="00BC772A">
        <w:t>(</w:t>
      </w:r>
      <w:r w:rsidR="00BC772A">
        <w:t>K</w:t>
      </w:r>
      <w:r w:rsidR="00BC772A" w:rsidRPr="00C978EB">
        <w:rPr>
          <w:vertAlign w:val="subscript"/>
        </w:rPr>
        <w:t>M</w:t>
      </w:r>
      <w:r w:rsidR="00BC772A">
        <w:t xml:space="preserve"> </w:t>
      </w:r>
      <w:r w:rsidR="004B6117">
        <w:t xml:space="preserve">604 </w:t>
      </w:r>
      <w:r w:rsidR="004B6117" w:rsidRPr="00AB6E30">
        <w:rPr>
          <w:rFonts w:ascii="Symbol" w:hAnsi="Symbol"/>
        </w:rPr>
        <w:t></w:t>
      </w:r>
      <w:r w:rsidR="004B6117">
        <w:t>M</w:t>
      </w:r>
      <w:r w:rsidR="00C276D6">
        <w:t xml:space="preserve"> </w:t>
      </w:r>
      <w:r w:rsidR="001521C5">
        <w:fldChar w:fldCharType="begin" w:fldLock="1"/>
      </w:r>
      <w:r w:rsidR="003915CC">
        <w:instrText>ADDIN CSL_CITATION { "citationItems" : [ { "id" : "ITEM-1", "itemData" : { "abstract" : "The branch point of the tricarboxylic acid and gly-oxylate shunt has been characterized in the intact or-ganism by a multidimensional approach. Theory and methodology have been developed to determine veloc-ities for the net flow of carbon through the major steps in acetate metabolism in Escherichia coli. Rates were assigned based on the 13C NMR spectrum of intracel-lular glutamate, measured rates of substrate incorpo-ration into end products, the constituent composition of E. coli, and a series of conservation equations which described the system at steady state. The in vivo fluxes through the branch point of the tricarboxylic acid and glyoxylate cycles were compared to rates calculated from the kinetic constants of the branch point enzymes and the intracellular concentrations of their sub-strates. As the study of cellular metabolism progresses, it is becom-ing increasingly apparent that regulatory processes must be understood in the context of their cellular environment. His-torically, our understanding of metabolic regulation has been developed through in vitro studies with purified enzymes. The results of these studies can be misleading since enzyme assays are generally performed under nonphysiological conditions such as low enzyme levels or high concentrations of substrates and putative regulators. Thus, a combination of in vivo and in vitro data is needed and ideally these should be applied to a critical regulatory step. In bacteria, a key metabolic branch point exists between the tricarboxylic acid and glyoxylate cycles when cells are grown on acetate as the sole carbon source. The substrate at this branch point, isocitrate, can react with isocitrate dehy-drogenase leading into the energy-producing steps of the tricarboxylic acid cycle, or isocitrate lyase which leads into the glyoxylate cycle (1) (Fig. 1). The latter cycle is essential to the bacteria during growth on acetate since without it both carbons would be burned to COz with no net formation of intermediates which are required for the synthesis of cellular materials. It was discovered some years ago by Holms and Bennett (2) that isocitrate dehydrogenase is regulated. Re-cently it has been established by Garnak and Reeves (3) and in our laboratory (4, 5) that this regulation is achieved by reversible phosphorylation. The kinase/phosphatase which acts on isocitric dehydrogenase has been purified and some", "author" : [ { "dropping-particle" : "", "family" : "Walsh", "given" : "Kenneth", "non-dropping-particle" : "", "parse-names" : false, "suffix" : "" }, { "dropping-particle" : "", "family" : "Koshland", "given" : "D E", "non-dropping-particle" : "", "parse-names" : false, "suffix" : "" } ], "container-title" : "The Journal of Biological Chemistry", "id" : "ITEM-1", "issue" : "15", "issued" : { "date-parts" : [ [ "1984" ] ] }, "page" : "9646-9654", "title" : "Determination of flux through the branch point of two metabolic cycles. The tricarboxylic acid cycle and the glyoxylate shunt", "type" : "article-journal", "volume" : "259" }, "uris" : [ "http://www.mendeley.com/documents/?uuid=33566af3-2251-331d-ba3c-3d3a90995db1", "http://www.mendeley.com/documents/?uuid=6db89656-f204-40fc-b91b-eb95b805b2fe" ] } ], "mendeley" : { "formattedCitation" : "(Walsh &amp; Koshland, 1984)", "plainTextFormattedCitation" : "(Walsh &amp; Koshland, 1984)", "previouslyFormattedCitation" : "(Walsh &amp; Koshland, 1984)" }, "properties" : { "noteIndex" : 0 }, "schema" : "https://github.com/citation-style-language/schema/raw/master/csl-citation.json" }</w:instrText>
      </w:r>
      <w:r w:rsidR="001521C5">
        <w:fldChar w:fldCharType="separate"/>
      </w:r>
      <w:r w:rsidR="003915CC" w:rsidRPr="003915CC">
        <w:rPr>
          <w:noProof/>
        </w:rPr>
        <w:t>(Walsh &amp; Koshland, 1984)</w:t>
      </w:r>
      <w:r w:rsidR="001521C5">
        <w:fldChar w:fldCharType="end"/>
      </w:r>
      <w:r w:rsidR="00D65EE5">
        <w:rPr>
          <w:rFonts w:cs="Arial"/>
        </w:rPr>
        <w:t>)</w:t>
      </w:r>
      <w:r w:rsidR="001B455B">
        <w:t xml:space="preserve">, </w:t>
      </w:r>
      <w:r w:rsidR="007A0BA3">
        <w:t>so</w:t>
      </w:r>
      <w:r w:rsidR="00C33F65">
        <w:t xml:space="preserve"> </w:t>
      </w:r>
      <w:r w:rsidR="00604EF1">
        <w:t xml:space="preserve">in order to get </w:t>
      </w:r>
      <w:r w:rsidR="00C33F65">
        <w:t xml:space="preserve">significant </w:t>
      </w:r>
      <w:r w:rsidR="00604EF1">
        <w:t xml:space="preserve">flux through the glyoxylate shunt, ICD needs to be inactivated. This is accomplished by </w:t>
      </w:r>
      <w:r w:rsidR="002772E0">
        <w:t xml:space="preserve">reversible </w:t>
      </w:r>
      <w:r w:rsidR="00BC772A">
        <w:t>phosphorylation of</w:t>
      </w:r>
      <w:r w:rsidR="00604EF1">
        <w:t xml:space="preserve"> </w:t>
      </w:r>
      <w:r w:rsidR="001B455B">
        <w:t xml:space="preserve">ICD on </w:t>
      </w:r>
      <w:r w:rsidR="00804A72">
        <w:t>Ser</w:t>
      </w:r>
      <w:r w:rsidR="001B455B">
        <w:t xml:space="preserve"> 113</w:t>
      </w:r>
      <w:r w:rsidR="00C33F65">
        <w:t xml:space="preserve">, </w:t>
      </w:r>
      <w:r w:rsidR="000F194F">
        <w:t xml:space="preserve">mediated by a </w:t>
      </w:r>
      <w:r w:rsidR="001B455B">
        <w:t xml:space="preserve">dual function </w:t>
      </w:r>
      <w:r w:rsidR="007A0BA3">
        <w:t xml:space="preserve">kinase/phosphatase, </w:t>
      </w:r>
      <w:r w:rsidR="000F194F">
        <w:t>AceK</w:t>
      </w:r>
      <w:r w:rsidR="00C276D6">
        <w:t xml:space="preserve"> </w:t>
      </w:r>
      <w:r w:rsidR="004D4249">
        <w:fldChar w:fldCharType="begin" w:fldLock="1"/>
      </w:r>
      <w:r w:rsidR="003915CC">
        <w:instrText>ADDIN CSL_CITATION { "citationItems" : [ { "id" : "ITEM-1", "itemData" : { "abstract" : "To understand how enzymatic pathways respond to changing external conditions, the fluxes through the tricarboxylic acid cycle and ancillary reactions were determined under three different growth conditions in Escherichia coli. The velocities through the major steps in each pathway were measured (a) for growth on acetate alone, (b) for growth on acetate plus glucose, and (c) during the transition caused by addition of glucose to cells growing on acetate. During the transi-tion, the carbon flow through the Krebs cycle de-creased by a factor of 5 despite an increase in the growth rate of the culture. Under these conditions, the dephosphorylation of isocitrate dehydrogenase caused a 4-fold increase in its activity. This, together with the decreased rate of substrate production and the kinetic parameters of the branch point enzymes, led to a ces-sation of the flux through the glyoxylate shunt. The decreased rate of acetyl-coA turnover, not an inhibi-tion of acetate transport, caused a slower rate of ace-tate uptake in the presence of glucose. The modulation of protein phosphorylation and metabolite levels is one of the regulatory mechanisms which enables the bac-terium to make dramatic shifts between metabolic pathways within a fraction of a doubling time. Many regulatory mechanisms in biological systems have been elucidated; however, the specific interactions within the network of metabolic pathways remain to be clarified (1-3). For example, the interplay between hormones, second mes-senger systems, and cellular metabolism has not been defined at a biochemical level (4-6). To elucidate the principles which may be pertinent to understanding the sensitivity of these systems to regulatory control, it is desirable to investigate a system which is well understood and can be subject to a variety of experimental manipulations. To this end, we have been examining the branch point of the Krebs and glyoxylate cycles in Escherichia coli which is controlled, at least in part, by the reversible phosphorylation of isocitrate dehydrogenase (7-9). Metabolite fluxes and levels can be accurately measured in E. coli because this organism lacks subcellular compartments, and a homogeneous population can be consistently grown from a single cell. Also, there are a number of specific features", "author" : [ { "dropping-particle" : "", "family" : "Walsh", "given" : "Kenneth", "non-dropping-particle" : "", "parse-names" : false, "suffix" : "" }, { "dropping-particle" : "", "family" : "Koshland", "given" : "Daniel E", "non-dropping-particle" : "", "parse-names" : false, "suffix" : "" } ], "container-title" : "The Journal of Biological Chemistry", "id" : "ITEM-1", "issue" : "14", "issued" : { "date-parts" : [ [ "1985" ] ] }, "page" : "8430-8437", "title" : "Branch point control by the phosphorylation state of isocitrate dehydrogenase: A quantitative examination of fluxes during a regulatory transition", "type" : "article-journal", "volume" : "260" }, "uris" : [ "http://www.mendeley.com/documents/?uuid=7d7406c3-17f2-38e7-91b1-95716d37df41", "http://www.mendeley.com/documents/?uuid=31246546-72de-4d54-96c1-2ab4dd0a99eb" ] } ], "mendeley" : { "formattedCitation" : "(Walsh &amp; Koshland, 1985)", "plainTextFormattedCitation" : "(Walsh &amp; Koshland, 1985)", "previouslyFormattedCitation" : "(Walsh &amp; Koshland, 1985)" }, "properties" : { "noteIndex" : 0 }, "schema" : "https://github.com/citation-style-language/schema/raw/master/csl-citation.json" }</w:instrText>
      </w:r>
      <w:r w:rsidR="004D4249">
        <w:fldChar w:fldCharType="separate"/>
      </w:r>
      <w:r w:rsidR="003915CC" w:rsidRPr="003915CC">
        <w:rPr>
          <w:noProof/>
        </w:rPr>
        <w:t>(Walsh &amp; Koshland, 1985)</w:t>
      </w:r>
      <w:r w:rsidR="004D4249">
        <w:fldChar w:fldCharType="end"/>
      </w:r>
      <w:r w:rsidR="007F48DD">
        <w:t>.</w:t>
      </w:r>
      <w:r w:rsidR="00604EF1">
        <w:t xml:space="preserve"> </w:t>
      </w:r>
      <w:r w:rsidR="007A0BA3">
        <w:t>Phospho</w:t>
      </w:r>
      <w:r w:rsidR="005120D7">
        <w:t>serine</w:t>
      </w:r>
      <w:r w:rsidR="00C33F65">
        <w:t xml:space="preserve"> 113</w:t>
      </w:r>
      <w:r w:rsidR="00AE29B0">
        <w:t xml:space="preserve"> is thought to </w:t>
      </w:r>
      <w:r w:rsidR="00C33F65">
        <w:t>electrostatic</w:t>
      </w:r>
      <w:r w:rsidR="00AE29B0">
        <w:t>ally repulse</w:t>
      </w:r>
      <w:r w:rsidR="00C33F65">
        <w:t xml:space="preserve"> </w:t>
      </w:r>
      <w:r w:rsidR="00C33F65" w:rsidRPr="00C33F65">
        <w:rPr>
          <w:i/>
        </w:rPr>
        <w:t>iso</w:t>
      </w:r>
      <w:r w:rsidR="00C33F65">
        <w:t>citrate, thereby preventing substrate binding</w:t>
      </w:r>
      <w:r w:rsidR="00C276D6">
        <w:t xml:space="preserve"> </w:t>
      </w:r>
      <w:r w:rsidR="00D84F74">
        <w:fldChar w:fldCharType="begin" w:fldLock="1"/>
      </w:r>
      <w:r w:rsidR="003915CC">
        <w:instrText>ADDIN CSL_CITATION { "citationItems" : [ { "id" : "ITEM-1", "itemData" : { "abstract" : "Equilibrium binding studies demonstrate that puri-fied Escherichia coli isocitrate dehydrogenase binds isocitrate, a-ketoglutarate, NADP, and NADPH at 1 : l ratios of substrate to enzyme monomer. The phosphor-ylated enzyme, which is completely inactive, is unable to bind isocitrate but retains the ability to bind NADP and NADPH. Replacement of serine 113, which is the site of phosphorylation, by aspartate results in an in-active enzyme that is unable to bind isocitrate. Re-placement of the same serine with other amino acids (lysine, threonine, cysteine, tyrosine, and alanine) pro-duces active enzymes that bind both substrates. Hence, the negative charge of an aspartate or a phosphory-lated serine at site 113 inactivates the enzyme by pre-venting the binding of isocitrate.", "author" : [ { "dropping-particle" : "", "family" : "Dean", "given" : "Antony M", "non-dropping-particle" : "", "parse-names" : false, "suffix" : "" }, { "dropping-particle" : "", "family" : "Lee", "given" : "Melissa H I", "non-dropping-particle" : "", "parse-names" : false, "suffix" : "" }, { "dropping-particle" : "", "family" : "Koshland", "given" : "Daniel E", "non-dropping-particle" : "", "parse-names" : false, "suffix" : "" } ], "container-title" : "The Journal of Biological Chemistry", "id" : "ITEM-1", "issue" : "34", "issued" : { "date-parts" : [ [ "1989" ] ] }, "page" : "20482-20486", "title" : "Phosphorylation inactivates Escherichia coli isocitrate dehydrogenase by preventing isocitrate binding", "type" : "article-journal", "volume" : "264" }, "uris" : [ "http://www.mendeley.com/documents/?uuid=bc82c611-806d-3dc3-8b9f-edbd1ade0b3d", "http://www.mendeley.com/documents/?uuid=e3c7b78e-39c4-4a24-a0c1-3ceee63b00c7" ] } ], "mendeley" : { "formattedCitation" : "(Dean, Lee, &amp; Koshland, 1989)", "plainTextFormattedCitation" : "(Dean, Lee, &amp; Koshland, 1989)", "previouslyFormattedCitation" : "(Dean, Lee, &amp; Koshland, 1989)" }, "properties" : { "noteIndex" : 0 }, "schema" : "https://github.com/citation-style-language/schema/raw/master/csl-citation.json" }</w:instrText>
      </w:r>
      <w:r w:rsidR="00D84F74">
        <w:fldChar w:fldCharType="separate"/>
      </w:r>
      <w:r w:rsidR="003915CC" w:rsidRPr="003915CC">
        <w:rPr>
          <w:noProof/>
        </w:rPr>
        <w:t>(Dean, Lee, &amp; Koshland, 1989)</w:t>
      </w:r>
      <w:r w:rsidR="00D84F74">
        <w:fldChar w:fldCharType="end"/>
      </w:r>
      <w:r w:rsidR="00C33F65">
        <w:t xml:space="preserve">. </w:t>
      </w:r>
      <w:r w:rsidR="00423B86">
        <w:t>Consequently, w</w:t>
      </w:r>
      <w:r w:rsidR="00AE29B0">
        <w:t>hen</w:t>
      </w:r>
      <w:r w:rsidR="00BC772A">
        <w:t xml:space="preserve"> the kinase activity of AceK </w:t>
      </w:r>
      <w:r w:rsidR="00423B86">
        <w:t>is dominant</w:t>
      </w:r>
      <w:r w:rsidR="00BC772A">
        <w:t>, ICD becomes phosphorylated and inactivated</w:t>
      </w:r>
      <w:r w:rsidR="009E46A6">
        <w:t xml:space="preserve">, </w:t>
      </w:r>
      <w:r w:rsidR="004B6117">
        <w:t>allowing</w:t>
      </w:r>
      <w:r w:rsidR="007F48DD">
        <w:t xml:space="preserve"> carbon flux</w:t>
      </w:r>
      <w:r w:rsidR="002772E0">
        <w:t xml:space="preserve"> </w:t>
      </w:r>
      <w:r w:rsidR="004B6117">
        <w:t xml:space="preserve">to be redirected </w:t>
      </w:r>
      <w:r w:rsidR="002772E0">
        <w:t xml:space="preserve">through the glyoxylate shunt. </w:t>
      </w:r>
      <w:r w:rsidR="00887007">
        <w:t>In contrast, w</w:t>
      </w:r>
      <w:r w:rsidR="00BC772A">
        <w:t xml:space="preserve">hen the phosphatase activity of AceK dominates, flux is restored through the TCA cycle. </w:t>
      </w:r>
      <w:r w:rsidR="002772E0">
        <w:t xml:space="preserve">The </w:t>
      </w:r>
      <w:r w:rsidR="00BC772A">
        <w:t>ratio of kinase:</w:t>
      </w:r>
      <w:r w:rsidR="002772E0">
        <w:t xml:space="preserve">phosphatase activity </w:t>
      </w:r>
      <w:r w:rsidR="009E46A6">
        <w:t xml:space="preserve">in </w:t>
      </w:r>
      <w:r w:rsidR="002772E0">
        <w:t>AceK is controlled by allosteric regulators</w:t>
      </w:r>
      <w:r w:rsidR="004750EE">
        <w:t xml:space="preserve"> </w:t>
      </w:r>
      <w:r w:rsidR="004750EE">
        <w:fldChar w:fldCharType="begin" w:fldLock="1"/>
      </w:r>
      <w:r w:rsidR="00B23662">
        <w:instrText>ADDIN CSL_CITATION { "citationItems" : [ { "id" : "ITEM-1", "itemData" : { "DOI" : "10.1111/j.1432-1033.1984.tb08206.x", "author" : [ { "dropping-particle" : "", "family" : "Nimmo", "given" : "Gillian A.", "non-dropping-particle" : "", "parse-names" : false, "suffix" : "" }, { "dropping-particle" : "", "family" : "Nimmo", "given" : "Hugh G.", "non-dropping-particle" : "", "parse-names" : false, "suffix" : "" } ], "container-title" : "European Journal of Biochemistry", "id" : "ITEM-1", "issue" : "2", "issued" : { "date-parts" : [ [ "1984" ] ] }, "page" : "409-414", "publisher" : "Wiley/Blackwell (10.1111)", "title" : "The regulatory properties of isocitrate dehydrogenase kinase and isocitrate dehydrogenase phosphatase from Escherichia coli ML308 and the roles of these activities in the control of isocitrate dehydrogenase", "type" : "article-journal", "volume" : "141" }, "uris" : [ "http://www.mendeley.com/documents/?uuid=e10511ad-fde8-3216-8760-df9a990d0300" ] } ], "mendeley" : { "formattedCitation" : "(G. A. Nimmo &amp; Nimmo, 1984)", "manualFormatting" : "(Nimmo &amp; Nimmo, 1984)", "plainTextFormattedCitation" : "(G. A. Nimmo &amp; Nimmo, 1984)", "previouslyFormattedCitation" : "(G. A. Nimmo &amp; Nimmo, 1984)" }, "properties" : { "noteIndex" : 0 }, "schema" : "https://github.com/citation-style-language/schema/raw/master/csl-citation.json" }</w:instrText>
      </w:r>
      <w:r w:rsidR="004750EE">
        <w:fldChar w:fldCharType="separate"/>
      </w:r>
      <w:r w:rsidR="004750EE" w:rsidRPr="004750EE">
        <w:rPr>
          <w:noProof/>
        </w:rPr>
        <w:t>(Nimmo &amp; Nimmo, 1984)</w:t>
      </w:r>
      <w:r w:rsidR="004750EE">
        <w:fldChar w:fldCharType="end"/>
      </w:r>
      <w:r w:rsidR="000D6A3E">
        <w:t>.</w:t>
      </w:r>
    </w:p>
    <w:p w14:paraId="345098E8" w14:textId="0CAEA42F" w:rsidR="0066265D" w:rsidRDefault="005120D7" w:rsidP="0066265D">
      <w:pPr>
        <w:jc w:val="both"/>
      </w:pPr>
      <w:r>
        <w:t xml:space="preserve">Not all bacteria </w:t>
      </w:r>
      <w:r w:rsidR="00F93297">
        <w:t>share</w:t>
      </w:r>
      <w:r>
        <w:t xml:space="preserve"> the same enzymology </w:t>
      </w:r>
      <w:r w:rsidR="0066265D">
        <w:t xml:space="preserve">as </w:t>
      </w:r>
      <w:r w:rsidR="0066265D" w:rsidRPr="005120D7">
        <w:rPr>
          <w:i/>
        </w:rPr>
        <w:t>E. coli</w:t>
      </w:r>
      <w:r w:rsidR="0066265D">
        <w:t xml:space="preserve"> </w:t>
      </w:r>
      <w:r>
        <w:t>at the TCA cycle-glyoxylate s</w:t>
      </w:r>
      <w:r w:rsidR="00C50F49">
        <w:t>hunt branchpoint (“TGB”); s</w:t>
      </w:r>
      <w:r w:rsidR="00B0481F">
        <w:t xml:space="preserve">ome bacteria encode a second, AceK-insensitive </w:t>
      </w:r>
      <w:r w:rsidR="00B0481F" w:rsidRPr="00B0481F">
        <w:rPr>
          <w:i/>
        </w:rPr>
        <w:t>iso</w:t>
      </w:r>
      <w:r w:rsidR="00B0481F">
        <w:t xml:space="preserve">citrate dehydrogenase isozyme, IDH. </w:t>
      </w:r>
      <w:r w:rsidR="009744B5">
        <w:rPr>
          <w:rFonts w:ascii="Calibri" w:hAnsi="Calibri" w:cs="Arial"/>
        </w:rPr>
        <w:t>G</w:t>
      </w:r>
      <w:r w:rsidR="0066265D">
        <w:rPr>
          <w:rFonts w:ascii="Calibri" w:hAnsi="Calibri" w:cs="Arial"/>
        </w:rPr>
        <w:t xml:space="preserve">enome sequencing efforts have revealed that </w:t>
      </w:r>
      <w:r w:rsidR="00085C9B">
        <w:rPr>
          <w:rFonts w:ascii="Calibri" w:hAnsi="Calibri" w:cs="Arial"/>
        </w:rPr>
        <w:t>s</w:t>
      </w:r>
      <w:r w:rsidR="0066265D">
        <w:rPr>
          <w:rFonts w:ascii="Calibri" w:hAnsi="Calibri" w:cs="Arial"/>
        </w:rPr>
        <w:t xml:space="preserve">ome species, such as the industrially-important fermenter </w:t>
      </w:r>
      <w:r w:rsidR="0066265D" w:rsidRPr="00580D01">
        <w:rPr>
          <w:rFonts w:ascii="Calibri" w:hAnsi="Calibri" w:cs="Arial"/>
          <w:i/>
        </w:rPr>
        <w:t>Corynebacterium glutamicum</w:t>
      </w:r>
      <w:r w:rsidR="00085C9B">
        <w:rPr>
          <w:rFonts w:ascii="Calibri" w:hAnsi="Calibri" w:cs="Arial"/>
        </w:rPr>
        <w:t xml:space="preserve">, </w:t>
      </w:r>
      <w:r w:rsidR="0066265D">
        <w:rPr>
          <w:rFonts w:ascii="Calibri" w:hAnsi="Calibri" w:cs="Arial"/>
        </w:rPr>
        <w:t xml:space="preserve">contain only </w:t>
      </w:r>
      <w:r w:rsidR="0066265D">
        <w:rPr>
          <w:rFonts w:ascii="Calibri" w:hAnsi="Calibri" w:cs="Arial"/>
          <w:i/>
        </w:rPr>
        <w:t>idh</w:t>
      </w:r>
      <w:r w:rsidR="0066265D">
        <w:rPr>
          <w:rFonts w:ascii="Calibri" w:hAnsi="Calibri" w:cs="Arial"/>
        </w:rPr>
        <w:t xml:space="preserve">, whereas others contain only </w:t>
      </w:r>
      <w:r w:rsidR="0066265D" w:rsidRPr="00D62AC1">
        <w:rPr>
          <w:rFonts w:ascii="Calibri" w:hAnsi="Calibri" w:cs="Arial"/>
          <w:i/>
        </w:rPr>
        <w:t>icd</w:t>
      </w:r>
      <w:r w:rsidR="0066265D">
        <w:rPr>
          <w:rFonts w:ascii="Calibri" w:hAnsi="Calibri" w:cs="Arial"/>
        </w:rPr>
        <w:t xml:space="preserve"> (e.g., </w:t>
      </w:r>
      <w:r w:rsidR="0066265D" w:rsidRPr="00091A7D">
        <w:rPr>
          <w:rFonts w:ascii="Calibri" w:hAnsi="Calibri" w:cs="Arial"/>
          <w:i/>
        </w:rPr>
        <w:t>E. coli</w:t>
      </w:r>
      <w:r w:rsidR="0066265D">
        <w:rPr>
          <w:rFonts w:ascii="Calibri" w:hAnsi="Calibri" w:cs="Arial"/>
        </w:rPr>
        <w:t xml:space="preserve">). Generally, </w:t>
      </w:r>
      <w:r w:rsidR="00085C9B">
        <w:rPr>
          <w:rFonts w:ascii="Calibri" w:hAnsi="Calibri" w:cs="Arial"/>
        </w:rPr>
        <w:t xml:space="preserve">and as might be expected, </w:t>
      </w:r>
      <w:r w:rsidR="0066265D">
        <w:rPr>
          <w:rFonts w:ascii="Calibri" w:hAnsi="Calibri" w:cs="Arial"/>
        </w:rPr>
        <w:t>there is a strong correlation between the presence of</w:t>
      </w:r>
      <w:r w:rsidR="00A71F96">
        <w:rPr>
          <w:rFonts w:ascii="Calibri" w:hAnsi="Calibri" w:cs="Arial"/>
        </w:rPr>
        <w:t xml:space="preserve"> genes encoding</w:t>
      </w:r>
      <w:r w:rsidR="0066265D">
        <w:rPr>
          <w:rFonts w:ascii="Calibri" w:hAnsi="Calibri" w:cs="Arial"/>
        </w:rPr>
        <w:t xml:space="preserve"> </w:t>
      </w:r>
      <w:r w:rsidR="00A71F96">
        <w:rPr>
          <w:rFonts w:ascii="Calibri" w:hAnsi="Calibri" w:cs="Arial"/>
        </w:rPr>
        <w:t>ICD</w:t>
      </w:r>
      <w:r w:rsidR="00085C9B">
        <w:rPr>
          <w:rFonts w:ascii="Calibri" w:hAnsi="Calibri" w:cs="Arial"/>
        </w:rPr>
        <w:t xml:space="preserve">, </w:t>
      </w:r>
      <w:r w:rsidR="00A71F96">
        <w:rPr>
          <w:rFonts w:ascii="Calibri" w:hAnsi="Calibri" w:cs="Arial"/>
        </w:rPr>
        <w:t xml:space="preserve">ICL </w:t>
      </w:r>
      <w:r w:rsidR="00085C9B">
        <w:rPr>
          <w:rFonts w:ascii="Calibri" w:hAnsi="Calibri" w:cs="Arial"/>
        </w:rPr>
        <w:t>and</w:t>
      </w:r>
      <w:r w:rsidR="0066265D">
        <w:rPr>
          <w:rFonts w:ascii="Calibri" w:hAnsi="Calibri" w:cs="Arial"/>
        </w:rPr>
        <w:t xml:space="preserve"> </w:t>
      </w:r>
      <w:r w:rsidR="00A71F96">
        <w:rPr>
          <w:rFonts w:ascii="Calibri" w:hAnsi="Calibri" w:cs="Arial"/>
        </w:rPr>
        <w:t xml:space="preserve">AceK </w:t>
      </w:r>
      <w:r w:rsidR="00085C9B">
        <w:rPr>
          <w:rFonts w:ascii="Calibri" w:hAnsi="Calibri" w:cs="Arial"/>
        </w:rPr>
        <w:t>in a genome.</w:t>
      </w:r>
      <w:r w:rsidR="0066265D">
        <w:rPr>
          <w:rFonts w:ascii="Calibri" w:hAnsi="Calibri" w:cs="Arial"/>
        </w:rPr>
        <w:t xml:space="preserve"> </w:t>
      </w:r>
      <w:r w:rsidR="00831711">
        <w:rPr>
          <w:rFonts w:ascii="Calibri" w:hAnsi="Calibri" w:cs="Arial"/>
        </w:rPr>
        <w:t>T</w:t>
      </w:r>
      <w:r w:rsidR="0066265D">
        <w:rPr>
          <w:rFonts w:ascii="Calibri" w:hAnsi="Calibri" w:cs="Arial"/>
        </w:rPr>
        <w:t>here are exceptions to this</w:t>
      </w:r>
      <w:r w:rsidR="00831711">
        <w:rPr>
          <w:rFonts w:ascii="Calibri" w:hAnsi="Calibri" w:cs="Arial"/>
        </w:rPr>
        <w:t xml:space="preserve"> though</w:t>
      </w:r>
      <w:r w:rsidR="0066265D">
        <w:rPr>
          <w:rFonts w:ascii="Calibri" w:hAnsi="Calibri" w:cs="Arial"/>
        </w:rPr>
        <w:t xml:space="preserve">. For example, </w:t>
      </w:r>
      <w:r w:rsidR="00ED7915">
        <w:rPr>
          <w:rFonts w:ascii="Calibri" w:hAnsi="Calibri" w:cs="Arial"/>
          <w:i/>
        </w:rPr>
        <w:t>Mycobacterium</w:t>
      </w:r>
      <w:r w:rsidR="00FB55DE" w:rsidRPr="003C2033">
        <w:rPr>
          <w:rFonts w:ascii="Calibri" w:hAnsi="Calibri" w:cs="Arial"/>
          <w:i/>
        </w:rPr>
        <w:t xml:space="preserve"> tuberculosis</w:t>
      </w:r>
      <w:r w:rsidR="00FB55DE">
        <w:rPr>
          <w:rFonts w:ascii="Calibri" w:hAnsi="Calibri" w:cs="Arial"/>
        </w:rPr>
        <w:t xml:space="preserve"> </w:t>
      </w:r>
      <w:r w:rsidR="00ED7915">
        <w:rPr>
          <w:rFonts w:ascii="Calibri" w:hAnsi="Calibri" w:cs="Arial"/>
        </w:rPr>
        <w:t>encodes ICL, ICD and IDH</w:t>
      </w:r>
      <w:r w:rsidR="00FB55DE">
        <w:rPr>
          <w:rFonts w:ascii="Calibri" w:hAnsi="Calibri" w:cs="Arial"/>
        </w:rPr>
        <w:t xml:space="preserve">, </w:t>
      </w:r>
      <w:r w:rsidR="00ED7915">
        <w:rPr>
          <w:rFonts w:ascii="Calibri" w:hAnsi="Calibri" w:cs="Arial"/>
        </w:rPr>
        <w:t>but lacks AceK. Without a mechanis</w:t>
      </w:r>
      <w:r w:rsidR="00831711">
        <w:rPr>
          <w:rFonts w:ascii="Calibri" w:hAnsi="Calibri" w:cs="Arial"/>
        </w:rPr>
        <w:t>m to inactivate ICD, this raises</w:t>
      </w:r>
      <w:r w:rsidR="00ED7915">
        <w:rPr>
          <w:rFonts w:ascii="Calibri" w:hAnsi="Calibri" w:cs="Arial"/>
        </w:rPr>
        <w:t xml:space="preserve"> the question of how flux is redirected through the glyoxylate shunt in this organism. This was partially resolved by the finding that </w:t>
      </w:r>
      <w:r w:rsidR="00FB55DE">
        <w:rPr>
          <w:rFonts w:ascii="Calibri" w:hAnsi="Calibri" w:cs="Arial"/>
        </w:rPr>
        <w:t>ICD appears to be fully dispensable for flux through the TCA cycle</w:t>
      </w:r>
      <w:r w:rsidR="00ED7915">
        <w:rPr>
          <w:rFonts w:ascii="Calibri" w:hAnsi="Calibri" w:cs="Arial"/>
        </w:rPr>
        <w:t xml:space="preserve"> in </w:t>
      </w:r>
      <w:r w:rsidR="00ED7915">
        <w:rPr>
          <w:rFonts w:ascii="Calibri" w:hAnsi="Calibri" w:cs="Arial"/>
          <w:i/>
        </w:rPr>
        <w:t xml:space="preserve">M. </w:t>
      </w:r>
      <w:r w:rsidR="00ED7915" w:rsidRPr="00ED7915">
        <w:rPr>
          <w:rFonts w:ascii="Calibri" w:hAnsi="Calibri" w:cs="Arial"/>
          <w:i/>
        </w:rPr>
        <w:t>tu</w:t>
      </w:r>
      <w:r w:rsidR="00ED7915" w:rsidRPr="003C2033">
        <w:rPr>
          <w:rFonts w:ascii="Calibri" w:hAnsi="Calibri" w:cs="Arial"/>
          <w:i/>
        </w:rPr>
        <w:t>berculosis</w:t>
      </w:r>
      <w:r w:rsidR="00796174">
        <w:rPr>
          <w:rFonts w:ascii="Calibri" w:hAnsi="Calibri" w:cs="Arial"/>
          <w:i/>
        </w:rPr>
        <w:t xml:space="preserve"> </w:t>
      </w:r>
      <w:r w:rsidR="00D15FF8" w:rsidRPr="003C2033">
        <w:rPr>
          <w:rFonts w:ascii="Calibri" w:hAnsi="Calibri" w:cs="Arial"/>
          <w:i/>
        </w:rPr>
        <w:fldChar w:fldCharType="begin" w:fldLock="1"/>
      </w:r>
      <w:r w:rsidR="003915CC">
        <w:rPr>
          <w:rFonts w:ascii="Calibri" w:hAnsi="Calibri" w:cs="Arial"/>
          <w:i/>
        </w:rPr>
        <w:instrText>ADDIN CSL_CITATION { "citationItems" : [ { "id" : "ITEM-1", "itemData" : { "DOI" : "10.1038/ncomms12527", "abstract" : "Fatty acid metabolism is an important feature of the pathogenicity of Mycobacterium tuberculosis during infection. Consumption of fatty acids requires regulation of carbon flux bifurcation between the oxidative TCA cycle and the glyoxylate shunt. In Escherichia coli, flux bifurcation is regulated by phosphorylation-mediated inhibition of isocitrate dehydrogenase (ICD), a paradigmatic example of post-translational mechanisms governing metabolic fluxes. Here, we demonstrate that, in contrast to E. coli, carbon flux bifurcation in mycobacteria is regulated not by phosphorylation but through metabolic cross-activation of ICD by glyoxylate, which is produced by the glyoxylate shunt enzyme isocitrate lyase (ICL). This regulatory circuit maintains stable partitioning of fluxes, thus ensuring a balance between anaplerosis, energy production, and precursor biosynthesis. The rheostat-like mechanism of metabolite-mediated control of flux partitioning demonstrates the importance of allosteric regulation during metabolic steady-state. The sensitivity of this regulatory mechanism to perturbations presents a potentially attractive target for chemotherapy.", "author" : [ { "dropping-particle" : "", "family" : "Murima", "given" : "Paul", "non-dropping-particle" : "", "parse-names" : false, "suffix" : "" }, { "dropping-particle" : "", "family" : "Zimmermann", "given" : "Michael", "non-dropping-particle" : "", "parse-names" : false, "suffix" : "" }, { "dropping-particle" : "", "family" : "Chopra", "given" : "Tarun", "non-dropping-particle" : "", "parse-names" : false, "suffix" : "" }, { "dropping-particle" : "", "family" : "Pojer", "given" : "Florence", "non-dropping-particle" : "", "parse-names" : false, "suffix" : "" }, { "dropping-particle" : "", "family" : "Fonti", "given" : "Giulia", "non-dropping-particle" : "", "parse-names" : false, "suffix" : "" }, { "dropping-particle" : "", "family" : "Dal Peraro", "given" : "Matteo", "non-dropping-particle" : "", "parse-names" : false, "suffix" : "" }, { "dropping-particle" : "", "family" : "Alonso", "given" : "Sylvie", "non-dropping-particle" : "", "parse-names" : false, "suffix" : "" }, { "dropping-particle" : "", "family" : "Sauer", "given" : "Uwe", "non-dropping-particle" : "", "parse-names" : false, "suffix" : "" }, { "dropping-particle" : "", "family" : "Pethe", "given" : "Kevin", "non-dropping-particle" : "", "parse-names" : false, "suffix" : "" }, { "dropping-particle" : "", "family" : "Mckinney", "given" : "John D", "non-dropping-particle" : "", "parse-names" : false, "suffix" : "" } ], "container-title" : "Nature Communications", "id" : "ITEM-1", "issue" : "1", "issued" : { "date-parts" : [ [ "2016" ] ] }, "page" : "12527", "title" : "A rheostat mechanism governs the bifurcation of carbon flux in mycobacteria", "type" : "article-journal", "volume" : "7" }, "uris" : [ "http://www.mendeley.com/documents/?uuid=c6117043-3514-356c-8139-42470887bff0" ] } ], "mendeley" : { "formattedCitation" : "(Murima et al., 2016)", "plainTextFormattedCitation" : "(Murima et al., 2016)", "previouslyFormattedCitation" : "(Murima et al., 2016)" }, "properties" : { "noteIndex" : 0 }, "schema" : "https://github.com/citation-style-language/schema/raw/master/csl-citation.json" }</w:instrText>
      </w:r>
      <w:r w:rsidR="00D15FF8" w:rsidRPr="003C2033">
        <w:rPr>
          <w:rFonts w:ascii="Calibri" w:hAnsi="Calibri" w:cs="Arial"/>
          <w:i/>
        </w:rPr>
        <w:fldChar w:fldCharType="separate"/>
      </w:r>
      <w:r w:rsidR="003915CC" w:rsidRPr="003915CC">
        <w:rPr>
          <w:rFonts w:ascii="Calibri" w:hAnsi="Calibri" w:cs="Arial"/>
          <w:noProof/>
        </w:rPr>
        <w:t>(Murima et al., 2016)</w:t>
      </w:r>
      <w:r w:rsidR="00D15FF8" w:rsidRPr="003C2033">
        <w:rPr>
          <w:rFonts w:ascii="Calibri" w:hAnsi="Calibri" w:cs="Arial"/>
        </w:rPr>
        <w:fldChar w:fldCharType="end"/>
      </w:r>
      <w:r w:rsidR="00C97254" w:rsidRPr="00D15FF8">
        <w:rPr>
          <w:rFonts w:ascii="Calibri" w:hAnsi="Calibri" w:cs="Arial"/>
        </w:rPr>
        <w:t>,</w:t>
      </w:r>
      <w:r w:rsidR="00C97254">
        <w:rPr>
          <w:rFonts w:ascii="Calibri" w:hAnsi="Calibri" w:cs="Arial"/>
        </w:rPr>
        <w:t xml:space="preserve"> so only ICL and IDH compete for the pool of </w:t>
      </w:r>
      <w:r w:rsidR="00C97254" w:rsidRPr="003C2033">
        <w:rPr>
          <w:rFonts w:ascii="Calibri" w:hAnsi="Calibri" w:cs="Arial"/>
          <w:i/>
        </w:rPr>
        <w:t>iso</w:t>
      </w:r>
      <w:r w:rsidR="00C97254">
        <w:rPr>
          <w:rFonts w:ascii="Calibri" w:hAnsi="Calibri" w:cs="Arial"/>
        </w:rPr>
        <w:t>citrate.</w:t>
      </w:r>
      <w:r w:rsidR="00FB55DE">
        <w:rPr>
          <w:rFonts w:ascii="Calibri" w:hAnsi="Calibri" w:cs="Arial"/>
        </w:rPr>
        <w:t xml:space="preserve"> </w:t>
      </w:r>
      <w:r w:rsidR="0030037E" w:rsidRPr="007D4719">
        <w:rPr>
          <w:rFonts w:ascii="Calibri" w:hAnsi="Calibri" w:cs="Arial"/>
        </w:rPr>
        <w:t xml:space="preserve">Recent work </w:t>
      </w:r>
      <w:r w:rsidR="007D4719">
        <w:rPr>
          <w:rFonts w:ascii="Calibri" w:hAnsi="Calibri" w:cs="Arial"/>
        </w:rPr>
        <w:t>done in a related species of mycobacteria (</w:t>
      </w:r>
      <w:r w:rsidR="007D4719" w:rsidRPr="003C2033">
        <w:rPr>
          <w:rFonts w:ascii="Calibri" w:hAnsi="Calibri" w:cs="Arial"/>
          <w:i/>
        </w:rPr>
        <w:t>M. smegmatis</w:t>
      </w:r>
      <w:r w:rsidR="007D4719">
        <w:rPr>
          <w:rFonts w:ascii="Calibri" w:hAnsi="Calibri" w:cs="Arial"/>
        </w:rPr>
        <w:t xml:space="preserve">) </w:t>
      </w:r>
      <w:r w:rsidR="0030037E" w:rsidRPr="007D4719">
        <w:rPr>
          <w:rFonts w:ascii="Calibri" w:hAnsi="Calibri" w:cs="Arial"/>
        </w:rPr>
        <w:t>indicates that</w:t>
      </w:r>
      <w:r w:rsidR="00085C9B" w:rsidRPr="007D4719">
        <w:rPr>
          <w:rFonts w:ascii="Calibri" w:hAnsi="Calibri" w:cs="Arial"/>
        </w:rPr>
        <w:t xml:space="preserve"> </w:t>
      </w:r>
      <w:r w:rsidR="00B0481F" w:rsidRPr="007D4719">
        <w:rPr>
          <w:rFonts w:ascii="Calibri" w:hAnsi="Calibri" w:cs="Arial"/>
        </w:rPr>
        <w:t xml:space="preserve">flux partitioning </w:t>
      </w:r>
      <w:r w:rsidR="00085C9B" w:rsidRPr="007D4719">
        <w:rPr>
          <w:rFonts w:ascii="Calibri" w:hAnsi="Calibri" w:cs="Arial"/>
        </w:rPr>
        <w:t xml:space="preserve">at the TGB </w:t>
      </w:r>
      <w:r w:rsidR="00B0481F" w:rsidRPr="007D4719">
        <w:rPr>
          <w:rFonts w:ascii="Calibri" w:hAnsi="Calibri" w:cs="Arial"/>
        </w:rPr>
        <w:t xml:space="preserve">is </w:t>
      </w:r>
      <w:r w:rsidR="00EA02EE" w:rsidRPr="007D4719">
        <w:rPr>
          <w:rFonts w:ascii="Calibri" w:hAnsi="Calibri" w:cs="Arial"/>
        </w:rPr>
        <w:t>determined</w:t>
      </w:r>
      <w:r w:rsidR="00B0481F" w:rsidRPr="007D4719">
        <w:rPr>
          <w:rFonts w:ascii="Calibri" w:hAnsi="Calibri" w:cs="Arial"/>
        </w:rPr>
        <w:t xml:space="preserve"> primarily </w:t>
      </w:r>
      <w:r w:rsidR="00EA02EE" w:rsidRPr="007D4719">
        <w:rPr>
          <w:rFonts w:ascii="Calibri" w:hAnsi="Calibri" w:cs="Arial"/>
        </w:rPr>
        <w:t>by</w:t>
      </w:r>
      <w:r w:rsidR="00B0481F" w:rsidRPr="007D4719">
        <w:rPr>
          <w:rFonts w:ascii="Calibri" w:hAnsi="Calibri" w:cs="Arial"/>
        </w:rPr>
        <w:t xml:space="preserve"> allosteric activation of IDH by </w:t>
      </w:r>
      <w:r w:rsidR="00EA02EE" w:rsidRPr="007D4719">
        <w:rPr>
          <w:rFonts w:ascii="Calibri" w:hAnsi="Calibri" w:cs="Arial"/>
        </w:rPr>
        <w:t xml:space="preserve">ICL-derived </w:t>
      </w:r>
      <w:r w:rsidR="00B0481F" w:rsidRPr="007D4719">
        <w:rPr>
          <w:rFonts w:ascii="Calibri" w:hAnsi="Calibri" w:cs="Arial"/>
        </w:rPr>
        <w:t>glyoxylate</w:t>
      </w:r>
      <w:r w:rsidR="00796174">
        <w:rPr>
          <w:rFonts w:ascii="Calibri" w:hAnsi="Calibri" w:cs="Arial"/>
        </w:rPr>
        <w:t xml:space="preserve"> </w:t>
      </w:r>
      <w:r w:rsidR="00E42C9B" w:rsidRPr="00501E8D">
        <w:rPr>
          <w:rFonts w:ascii="Calibri" w:hAnsi="Calibri" w:cs="Arial"/>
        </w:rPr>
        <w:fldChar w:fldCharType="begin" w:fldLock="1"/>
      </w:r>
      <w:r w:rsidR="003915CC">
        <w:rPr>
          <w:rFonts w:ascii="Calibri" w:hAnsi="Calibri" w:cs="Arial"/>
        </w:rPr>
        <w:instrText>ADDIN CSL_CITATION { "citationItems" : [ { "id" : "ITEM-1", "itemData" : { "DOI" : "10.1038/ncomms12527", "abstract" : "Fatty acid metabolism is an important feature of the pathogenicity of Mycobacterium tuberculosis during infection. Consumption of fatty acids requires regulation of carbon flux bifurcation between the oxidative TCA cycle and the glyoxylate shunt. In Escherichia coli, flux bifurcation is regulated by phosphorylation-mediated inhibition of isocitrate dehydrogenase (ICD), a paradigmatic example of post-translational mechanisms governing metabolic fluxes. Here, we demonstrate that, in contrast to E. coli, carbon flux bifurcation in mycobacteria is regulated not by phosphorylation but through metabolic cross-activation of ICD by glyoxylate, which is produced by the glyoxylate shunt enzyme isocitrate lyase (ICL). This regulatory circuit maintains stable partitioning of fluxes, thus ensuring a balance between anaplerosis, energy production, and precursor biosynthesis. The rheostat-like mechanism of metabolite-mediated control of flux partitioning demonstrates the importance of allosteric regulation during metabolic steady-state. The sensitivity of this regulatory mechanism to perturbations presents a potentially attractive target for chemotherapy.", "author" : [ { "dropping-particle" : "", "family" : "Murima", "given" : "Paul", "non-dropping-particle" : "", "parse-names" : false, "suffix" : "" }, { "dropping-particle" : "", "family" : "Zimmermann", "given" : "Michael", "non-dropping-particle" : "", "parse-names" : false, "suffix" : "" }, { "dropping-particle" : "", "family" : "Chopra", "given" : "Tarun", "non-dropping-particle" : "", "parse-names" : false, "suffix" : "" }, { "dropping-particle" : "", "family" : "Pojer", "given" : "Florence", "non-dropping-particle" : "", "parse-names" : false, "suffix" : "" }, { "dropping-particle" : "", "family" : "Fonti", "given" : "Giulia", "non-dropping-particle" : "", "parse-names" : false, "suffix" : "" }, { "dropping-particle" : "", "family" : "Dal Peraro", "given" : "Matteo", "non-dropping-particle" : "", "parse-names" : false, "suffix" : "" }, { "dropping-particle" : "", "family" : "Alonso", "given" : "Sylvie", "non-dropping-particle" : "", "parse-names" : false, "suffix" : "" }, { "dropping-particle" : "", "family" : "Sauer", "given" : "Uwe", "non-dropping-particle" : "", "parse-names" : false, "suffix" : "" }, { "dropping-particle" : "", "family" : "Pethe", "given" : "Kevin", "non-dropping-particle" : "", "parse-names" : false, "suffix" : "" }, { "dropping-particle" : "", "family" : "Mckinney", "given" : "John D", "non-dropping-particle" : "", "parse-names" : false, "suffix" : "" } ], "container-title" : "Nature Communications", "id" : "ITEM-1", "issue" : "1", "issued" : { "date-parts" : [ [ "2016" ] ] }, "page" : "12527", "title" : "A rheostat mechanism governs the bifurcation of carbon flux in mycobacteria", "type" : "article-journal", "volume" : "7" }, "uris" : [ "http://www.mendeley.com/documents/?uuid=c6117043-3514-356c-8139-42470887bff0" ] } ], "mendeley" : { "formattedCitation" : "(Murima et al., 2016)", "plainTextFormattedCitation" : "(Murima et al., 2016)", "previouslyFormattedCitation" : "(Murima et al., 2016)" }, "properties" : { "noteIndex" : 0 }, "schema" : "https://github.com/citation-style-language/schema/raw/master/csl-citation.json" }</w:instrText>
      </w:r>
      <w:r w:rsidR="00E42C9B" w:rsidRPr="00501E8D">
        <w:rPr>
          <w:rFonts w:ascii="Calibri" w:hAnsi="Calibri" w:cs="Arial"/>
        </w:rPr>
        <w:fldChar w:fldCharType="separate"/>
      </w:r>
      <w:r w:rsidR="003915CC" w:rsidRPr="003915CC">
        <w:rPr>
          <w:rFonts w:ascii="Calibri" w:hAnsi="Calibri" w:cs="Arial"/>
          <w:noProof/>
        </w:rPr>
        <w:t>(Murima et al., 2016)</w:t>
      </w:r>
      <w:r w:rsidR="00E42C9B" w:rsidRPr="00501E8D">
        <w:rPr>
          <w:rFonts w:ascii="Calibri" w:hAnsi="Calibri" w:cs="Arial"/>
        </w:rPr>
        <w:fldChar w:fldCharType="end"/>
      </w:r>
      <w:r w:rsidR="007B7124" w:rsidRPr="007D4719">
        <w:rPr>
          <w:rFonts w:ascii="Calibri" w:hAnsi="Calibri" w:cs="Arial"/>
        </w:rPr>
        <w:t>.</w:t>
      </w:r>
    </w:p>
    <w:p w14:paraId="22FB5A18" w14:textId="479BC4C9" w:rsidR="00D06987" w:rsidRDefault="007A0BA3" w:rsidP="000A03E0">
      <w:pPr>
        <w:jc w:val="both"/>
      </w:pPr>
      <w:r w:rsidRPr="00FD0DFC">
        <w:t>An additional layer of unexplored complexity is seen in the</w:t>
      </w:r>
      <w:r w:rsidR="00085C9B" w:rsidRPr="00FD0DFC">
        <w:t xml:space="preserve"> opportunistic human pathogen,</w:t>
      </w:r>
      <w:r w:rsidR="00085C9B" w:rsidRPr="00085C9B">
        <w:t xml:space="preserve"> </w:t>
      </w:r>
      <w:r w:rsidR="005028C4">
        <w:rPr>
          <w:i/>
        </w:rPr>
        <w:t xml:space="preserve">Pseudomonas aeruginosa. </w:t>
      </w:r>
      <w:r w:rsidR="005028C4" w:rsidRPr="005028C4">
        <w:t xml:space="preserve">Here, </w:t>
      </w:r>
      <w:r w:rsidR="005028C4" w:rsidRPr="003C2033">
        <w:rPr>
          <w:u w:val="single"/>
        </w:rPr>
        <w:t>three</w:t>
      </w:r>
      <w:r w:rsidR="005028C4">
        <w:t xml:space="preserve"> enzymes compete for </w:t>
      </w:r>
      <w:r w:rsidR="005028C4" w:rsidRPr="00A071C3">
        <w:rPr>
          <w:i/>
        </w:rPr>
        <w:t>iso</w:t>
      </w:r>
      <w:r w:rsidR="005028C4">
        <w:t xml:space="preserve">citrate; ICD, IDH and ICL. Moreover, </w:t>
      </w:r>
      <w:r w:rsidR="005028C4" w:rsidRPr="005028C4">
        <w:rPr>
          <w:i/>
        </w:rPr>
        <w:t>P. aeruginosa</w:t>
      </w:r>
      <w:r w:rsidR="005028C4">
        <w:t xml:space="preserve"> also encodes</w:t>
      </w:r>
      <w:r w:rsidR="005028C4" w:rsidRPr="005028C4">
        <w:t xml:space="preserve"> </w:t>
      </w:r>
      <w:r w:rsidR="005028C4">
        <w:t>the ICD kinase/phosphatase, AceK.</w:t>
      </w:r>
      <w:r w:rsidR="00085C9B" w:rsidRPr="005028C4">
        <w:t xml:space="preserve"> </w:t>
      </w:r>
      <w:r>
        <w:t xml:space="preserve">This raises the question of how AceK-mediated </w:t>
      </w:r>
      <w:r w:rsidR="00FD0DFC">
        <w:t xml:space="preserve">post-translational </w:t>
      </w:r>
      <w:r>
        <w:t xml:space="preserve">regulation of ICD activity is integrated with the activities of ICL and IDH. </w:t>
      </w:r>
      <w:r w:rsidR="005028C4">
        <w:t>The lack of clarity here</w:t>
      </w:r>
      <w:r w:rsidR="004B65A3" w:rsidRPr="002E260D">
        <w:t xml:space="preserve"> is ironic, </w:t>
      </w:r>
      <w:r w:rsidR="001B0F0D">
        <w:t xml:space="preserve">especially </w:t>
      </w:r>
      <w:r w:rsidR="004B65A3" w:rsidRPr="002E260D">
        <w:t xml:space="preserve">given that Kornberg and Krebs originally elucidated the glyoxylate shunt in a </w:t>
      </w:r>
      <w:r w:rsidR="004B65A3" w:rsidRPr="002E260D">
        <w:rPr>
          <w:i/>
        </w:rPr>
        <w:t>Pseudomonas</w:t>
      </w:r>
      <w:r w:rsidR="004B65A3" w:rsidRPr="002E260D">
        <w:t xml:space="preserve"> strain, KB1</w:t>
      </w:r>
      <w:r w:rsidR="00796174">
        <w:t xml:space="preserve"> </w:t>
      </w:r>
      <w:r w:rsidR="00564CDC">
        <w:fldChar w:fldCharType="begin" w:fldLock="1"/>
      </w:r>
      <w:r w:rsidR="00B23662">
        <w:instrText>ADDIN CSL_CITATION { "citationItems" : [ { "id" : "ITEM-1", "itemData" : { "DOI" : "10.1016/0006-3002(57)90268-8", "ISBN" : "0006-3002 (Print)", "ISSN" : "0006-3002", "PMID" : "2673375", "author" : [ { "dropping-particle" : "", "family" : "Kornberg", "given" : "B.", "non-dropping-particle" : "", "parse-names" : false, "suffix" : "" }, { "dropping-particle" : "", "family" : "Madsen", "given" : "N. B.", "non-dropping-particle" : "", "parse-names" : false, "suffix" : "" } ], "container-title" : "Biochimica et Biophysica Acta", "id" : "ITEM-1", "issued" : { "date-parts" : [ [ "1957" ] ] }, "page" : "651-653", "title" : "Synthesis of C4-dicarboxylic acids from acetate by a \"glyoxylate bypass\" of the tricarboxylic acid cycle", "type" : "article-journal", "volume" : "24" }, "uris" : [ "http://www.mendeley.com/documents/?uuid=cd5d0c62-4af9-4e26-b8c2-8bfbc2cae48e", "http://www.mendeley.com/documents/?uuid=926ecf1f-07cd-44f9-9712-577d776c3008" ] } ], "mendeley" : { "formattedCitation" : "(B. Kornberg &amp; Madsen, 1957)", "manualFormatting" : "(Kornberg &amp; Madsen, 1957)", "plainTextFormattedCitation" : "(B. Kornberg &amp; Madsen, 1957)", "previouslyFormattedCitation" : "(B. Kornberg &amp; Madsen, 1957)" }, "properties" : { "noteIndex" : 0 }, "schema" : "https://github.com/citation-style-language/schema/raw/master/csl-citation.json" }</w:instrText>
      </w:r>
      <w:r w:rsidR="00564CDC">
        <w:fldChar w:fldCharType="separate"/>
      </w:r>
      <w:r w:rsidR="003915CC" w:rsidRPr="003915CC">
        <w:rPr>
          <w:noProof/>
        </w:rPr>
        <w:t>(Kornberg &amp; Madsen, 1957)</w:t>
      </w:r>
      <w:r w:rsidR="00564CDC">
        <w:fldChar w:fldCharType="end"/>
      </w:r>
      <w:r w:rsidR="004B65A3" w:rsidRPr="002E260D">
        <w:t>.</w:t>
      </w:r>
      <w:r w:rsidR="004B65A3">
        <w:t xml:space="preserve"> </w:t>
      </w:r>
    </w:p>
    <w:p w14:paraId="1FBC1D5E" w14:textId="77777777" w:rsidR="00D06987" w:rsidRPr="003C2033" w:rsidRDefault="00D06987" w:rsidP="000A03E0">
      <w:pPr>
        <w:jc w:val="both"/>
        <w:rPr>
          <w:b/>
        </w:rPr>
      </w:pPr>
      <w:r w:rsidRPr="003C2033">
        <w:rPr>
          <w:b/>
        </w:rPr>
        <w:t>Results</w:t>
      </w:r>
    </w:p>
    <w:p w14:paraId="1306C33E" w14:textId="5805215E" w:rsidR="009744B5" w:rsidRDefault="00D06987" w:rsidP="000A03E0">
      <w:pPr>
        <w:jc w:val="both"/>
      </w:pPr>
      <w:r>
        <w:t>To</w:t>
      </w:r>
      <w:r w:rsidR="008E364D">
        <w:t xml:space="preserve"> investigate </w:t>
      </w:r>
      <w:r w:rsidR="001307D6">
        <w:t xml:space="preserve">the enzymology of </w:t>
      </w:r>
      <w:r>
        <w:t xml:space="preserve">flux partitioning in </w:t>
      </w:r>
      <w:r w:rsidRPr="003C2033">
        <w:rPr>
          <w:i/>
        </w:rPr>
        <w:t>P. aeruginosa</w:t>
      </w:r>
      <w:r>
        <w:t xml:space="preserve"> </w:t>
      </w:r>
      <w:r w:rsidR="00B852AD">
        <w:t>TGB</w:t>
      </w:r>
      <w:r w:rsidR="001307D6">
        <w:t xml:space="preserve"> </w:t>
      </w:r>
      <w:r w:rsidR="009419B4">
        <w:t>further</w:t>
      </w:r>
      <w:r w:rsidR="008E364D">
        <w:t xml:space="preserve">, we </w:t>
      </w:r>
      <w:r w:rsidR="00B852AD">
        <w:t xml:space="preserve">cloned </w:t>
      </w:r>
      <w:r w:rsidR="00C5061C">
        <w:t xml:space="preserve">and </w:t>
      </w:r>
      <w:r w:rsidR="008E364D">
        <w:t xml:space="preserve">purified ICL, ICD, IDH and AceK </w:t>
      </w:r>
      <w:r>
        <w:t>from this organism</w:t>
      </w:r>
      <w:r w:rsidR="008E364D">
        <w:t>.</w:t>
      </w:r>
      <w:r w:rsidR="000A03E0">
        <w:t xml:space="preserve"> </w:t>
      </w:r>
      <w:r w:rsidR="00B852AD">
        <w:t>Kinetic analysi</w:t>
      </w:r>
      <w:r w:rsidR="001307D6">
        <w:t xml:space="preserve">s </w:t>
      </w:r>
      <w:r w:rsidR="0034463A">
        <w:t xml:space="preserve">of the purified enzymes </w:t>
      </w:r>
      <w:r w:rsidR="001307D6">
        <w:t xml:space="preserve">revealed that </w:t>
      </w:r>
      <w:r w:rsidR="00675FE9">
        <w:t xml:space="preserve">in </w:t>
      </w:r>
      <w:r w:rsidR="00D96D6F">
        <w:t>striking</w:t>
      </w:r>
      <w:r w:rsidR="00675FE9">
        <w:t xml:space="preserve"> contrast with </w:t>
      </w:r>
      <w:r w:rsidR="00675FE9" w:rsidRPr="00675FE9">
        <w:rPr>
          <w:i/>
        </w:rPr>
        <w:t>E. coli</w:t>
      </w:r>
      <w:r w:rsidR="0085170F">
        <w:t xml:space="preserve"> and </w:t>
      </w:r>
      <w:r w:rsidR="0085170F" w:rsidRPr="0085170F">
        <w:rPr>
          <w:i/>
        </w:rPr>
        <w:t>M. smegmatis</w:t>
      </w:r>
      <w:r w:rsidR="0085170F">
        <w:t>,</w:t>
      </w:r>
      <w:r w:rsidR="00675FE9">
        <w:t xml:space="preserve"> </w:t>
      </w:r>
      <w:r w:rsidR="00675FE9" w:rsidRPr="00675FE9">
        <w:rPr>
          <w:i/>
        </w:rPr>
        <w:t>P. aeruginosa</w:t>
      </w:r>
      <w:r w:rsidR="00675FE9">
        <w:t xml:space="preserve"> </w:t>
      </w:r>
      <w:r w:rsidR="001307D6">
        <w:t xml:space="preserve">ICL has a </w:t>
      </w:r>
      <w:r w:rsidR="001307D6" w:rsidRPr="00A071C3">
        <w:rPr>
          <w:i/>
        </w:rPr>
        <w:t>higher</w:t>
      </w:r>
      <w:r w:rsidR="001307D6">
        <w:t xml:space="preserve"> affinity for </w:t>
      </w:r>
      <w:r w:rsidR="001307D6" w:rsidRPr="001307D6">
        <w:rPr>
          <w:i/>
        </w:rPr>
        <w:t>iso</w:t>
      </w:r>
      <w:r w:rsidR="001307D6">
        <w:t>citrate (K</w:t>
      </w:r>
      <w:r w:rsidR="001307D6" w:rsidRPr="001307D6">
        <w:rPr>
          <w:vertAlign w:val="subscript"/>
        </w:rPr>
        <w:t>M</w:t>
      </w:r>
      <w:r w:rsidR="001307D6">
        <w:t xml:space="preserve"> 12 </w:t>
      </w:r>
      <w:r w:rsidR="001307D6" w:rsidRPr="001307D6">
        <w:rPr>
          <w:rFonts w:ascii="Symbol" w:hAnsi="Symbol"/>
        </w:rPr>
        <w:t></w:t>
      </w:r>
      <w:r w:rsidR="001307D6">
        <w:t xml:space="preserve">M) compared with </w:t>
      </w:r>
      <w:r w:rsidR="00675FE9">
        <w:t xml:space="preserve">the </w:t>
      </w:r>
      <w:r w:rsidR="00BC1A09">
        <w:t xml:space="preserve">competing </w:t>
      </w:r>
      <w:r w:rsidR="00675FE9">
        <w:t xml:space="preserve">dehydrogenases, </w:t>
      </w:r>
      <w:r w:rsidR="001307D6">
        <w:t>ICD (K</w:t>
      </w:r>
      <w:r w:rsidR="001307D6" w:rsidRPr="001307D6">
        <w:rPr>
          <w:vertAlign w:val="subscript"/>
        </w:rPr>
        <w:t>M</w:t>
      </w:r>
      <w:r w:rsidR="001307D6">
        <w:t xml:space="preserve"> 2</w:t>
      </w:r>
      <w:r w:rsidR="00801354">
        <w:t>6</w:t>
      </w:r>
      <w:r w:rsidR="001307D6">
        <w:t xml:space="preserve"> </w:t>
      </w:r>
      <w:r w:rsidR="001307D6" w:rsidRPr="001307D6">
        <w:rPr>
          <w:rFonts w:ascii="Symbol" w:hAnsi="Symbol"/>
        </w:rPr>
        <w:t></w:t>
      </w:r>
      <w:r w:rsidR="001307D6">
        <w:t>M</w:t>
      </w:r>
      <w:r w:rsidR="00675FE9">
        <w:t>) and IDH (K</w:t>
      </w:r>
      <w:r w:rsidR="00675FE9" w:rsidRPr="001307D6">
        <w:rPr>
          <w:vertAlign w:val="subscript"/>
        </w:rPr>
        <w:t>M</w:t>
      </w:r>
      <w:r w:rsidR="00675FE9">
        <w:t xml:space="preserve"> </w:t>
      </w:r>
      <w:r w:rsidR="001307D6">
        <w:t xml:space="preserve">18 </w:t>
      </w:r>
      <w:r w:rsidR="001307D6" w:rsidRPr="001307D6">
        <w:rPr>
          <w:rFonts w:ascii="Symbol" w:hAnsi="Symbol"/>
        </w:rPr>
        <w:t></w:t>
      </w:r>
      <w:r w:rsidR="00675FE9">
        <w:t>M</w:t>
      </w:r>
      <w:r w:rsidR="001307D6">
        <w:t>)</w:t>
      </w:r>
      <w:r w:rsidR="00D96D6F">
        <w:t xml:space="preserve">; </w:t>
      </w:r>
      <w:r w:rsidR="00D96D6F" w:rsidRPr="00D96D6F">
        <w:rPr>
          <w:b/>
        </w:rPr>
        <w:t>Table I</w:t>
      </w:r>
      <w:r w:rsidR="00D96D6F">
        <w:t xml:space="preserve"> and </w:t>
      </w:r>
      <w:r w:rsidR="00D96D6F" w:rsidRPr="00D96D6F">
        <w:rPr>
          <w:b/>
        </w:rPr>
        <w:t>Figure S1</w:t>
      </w:r>
      <w:r w:rsidR="00D96D6F">
        <w:t>.</w:t>
      </w:r>
      <w:r w:rsidR="00D65EE5">
        <w:t xml:space="preserve"> </w:t>
      </w:r>
      <w:r w:rsidR="00801354">
        <w:t xml:space="preserve">ICD and IDH </w:t>
      </w:r>
      <w:r w:rsidR="009249B0">
        <w:t>shared</w:t>
      </w:r>
      <w:r w:rsidR="00801354">
        <w:t xml:space="preserve"> </w:t>
      </w:r>
      <w:r w:rsidR="009249B0">
        <w:t>similar</w:t>
      </w:r>
      <w:r w:rsidR="00801354">
        <w:t xml:space="preserve"> K</w:t>
      </w:r>
      <w:r w:rsidR="00801354" w:rsidRPr="00801354">
        <w:rPr>
          <w:vertAlign w:val="subscript"/>
        </w:rPr>
        <w:t>M</w:t>
      </w:r>
      <w:r w:rsidR="00801354">
        <w:t xml:space="preserve"> values for </w:t>
      </w:r>
      <w:r w:rsidR="00B240A7">
        <w:t xml:space="preserve">their other substrate, </w:t>
      </w:r>
      <w:r w:rsidR="00801354">
        <w:t xml:space="preserve">NADPH (32 </w:t>
      </w:r>
      <w:r w:rsidR="00801354" w:rsidRPr="00801354">
        <w:rPr>
          <w:rFonts w:ascii="Symbol" w:hAnsi="Symbol"/>
        </w:rPr>
        <w:t></w:t>
      </w:r>
      <w:r w:rsidR="00801354">
        <w:t xml:space="preserve">M and 34 </w:t>
      </w:r>
      <w:r w:rsidR="00801354" w:rsidRPr="00801354">
        <w:rPr>
          <w:rFonts w:ascii="Symbol" w:hAnsi="Symbol"/>
        </w:rPr>
        <w:t></w:t>
      </w:r>
      <w:r w:rsidR="00801354">
        <w:t xml:space="preserve">M, respectively). </w:t>
      </w:r>
      <w:r w:rsidR="005F431C">
        <w:t>ICD and IDH were expressed at comparable levels during growth on either glucose or acetate (</w:t>
      </w:r>
      <w:r w:rsidR="005F431C" w:rsidRPr="005F431C">
        <w:rPr>
          <w:b/>
        </w:rPr>
        <w:t>Figure S1E</w:t>
      </w:r>
      <w:r w:rsidR="005F431C">
        <w:t xml:space="preserve">). </w:t>
      </w:r>
      <w:r w:rsidR="009B067E">
        <w:t>C</w:t>
      </w:r>
      <w:r w:rsidR="009249B0">
        <w:t xml:space="preserve">ommensurate with earlier observations that there is significant flux through the glyoxylate shunt </w:t>
      </w:r>
      <w:r w:rsidR="009B067E">
        <w:t xml:space="preserve">even </w:t>
      </w:r>
      <w:r w:rsidR="009249B0">
        <w:t xml:space="preserve">during growth on </w:t>
      </w:r>
      <w:r w:rsidR="009B067E">
        <w:t>glucose</w:t>
      </w:r>
      <w:r w:rsidR="00796174">
        <w:t xml:space="preserve"> </w:t>
      </w:r>
      <w:r w:rsidR="00DD5DF7">
        <w:fldChar w:fldCharType="begin" w:fldLock="1"/>
      </w:r>
      <w:r w:rsidR="003915CC">
        <w:instrText>ADDIN CSL_CITATION { "citationItems" : [ { "id" : "ITEM-1", "itemData" : { "DOI" : "10.1371/journal.pone.0088368", "author" : [ { "dropping-particle" : "", "family" : "Berger", "given" : "Antje", "non-dropping-particle" : "", "parse-names" : false, "suffix" : "" }, { "dropping-particle" : "", "family" : "Dohnt", "given" : "Katrin", "non-dropping-particle" : "", "parse-names" : false, "suffix" : "" }, { "dropping-particle" : "", "family" : "Tielen", "given" : "Petra", "non-dropping-particle" : "", "parse-names" : false, "suffix" : "" }, { "dropping-particle" : "", "family" : "Jahn", "given" : "Dieter", "non-dropping-particle" : "", "parse-names" : false, "suffix" : "" }, { "dropping-particle" : "", "family" : "Becker", "given" : "Judith", "non-dropping-particle" : "", "parse-names" : false, "suffix" : "" }, { "dropping-particle" : "", "family" : "Wittmann", "given" : "Christoph", "non-dropping-particle" : "", "parse-names" : false, "suffix" : "" } ], "container-title" : "PLoS ONE", "editor" : [ { "dropping-particle" : "", "family" : "Fong", "given" : "Stephen S.", "non-dropping-particle" : "", "parse-names" : false, "suffix" : "" } ], "id" : "ITEM-1", "issue" : "4", "issued" : { "date-parts" : [ [ "2014" ] ] }, "page" : "e88368", "publisher" : "Public Library of Science", "title" : "Robustness and plasticity of metabolic pathway flux among uropathogenic isolates of Pseudomonas aeruginosa", "type" : "article-journal", "volume" : "9" }, "uris" : [ "http://www.mendeley.com/documents/?uuid=915cab4c-650d-3d37-97d2-aa559d4d5a5e", "http://www.mendeley.com/documents/?uuid=70019c22-a8dc-4c44-853f-39f9cfcf607c" ] } ], "mendeley" : { "formattedCitation" : "(Berger et al., 2014)", "plainTextFormattedCitation" : "(Berger et al., 2014)", "previouslyFormattedCitation" : "(Berger et al., 2014)" }, "properties" : { "noteIndex" : 0 }, "schema" : "https://github.com/citation-style-language/schema/raw/master/csl-citation.json" }</w:instrText>
      </w:r>
      <w:r w:rsidR="00DD5DF7">
        <w:fldChar w:fldCharType="separate"/>
      </w:r>
      <w:r w:rsidR="003915CC" w:rsidRPr="003915CC">
        <w:rPr>
          <w:noProof/>
        </w:rPr>
        <w:t>(Berger et al., 2014)</w:t>
      </w:r>
      <w:r w:rsidR="00DD5DF7">
        <w:fldChar w:fldCharType="end"/>
      </w:r>
      <w:r w:rsidR="009B067E">
        <w:t xml:space="preserve">, ICL was expressed </w:t>
      </w:r>
      <w:r w:rsidR="005028C4">
        <w:t xml:space="preserve">(albeit </w:t>
      </w:r>
      <w:r w:rsidR="009B067E">
        <w:t>at low levels</w:t>
      </w:r>
      <w:r w:rsidR="005028C4">
        <w:t>)</w:t>
      </w:r>
      <w:r w:rsidR="009B067E">
        <w:t xml:space="preserve"> on this substrate</w:t>
      </w:r>
      <w:r w:rsidR="009249B0">
        <w:t xml:space="preserve">. </w:t>
      </w:r>
      <w:r w:rsidR="009B067E">
        <w:t xml:space="preserve">However, </w:t>
      </w:r>
      <w:r w:rsidR="009249B0">
        <w:t xml:space="preserve">ICL expression increased during growth on acetate. Again, this </w:t>
      </w:r>
      <w:r w:rsidR="009249B0">
        <w:lastRenderedPageBreak/>
        <w:t xml:space="preserve">is consistent with earlier observations that acetate induces expression of the ICL-encoding gene, </w:t>
      </w:r>
      <w:r w:rsidR="009249B0" w:rsidRPr="009249B0">
        <w:rPr>
          <w:i/>
        </w:rPr>
        <w:t>aceA</w:t>
      </w:r>
      <w:r w:rsidR="00796174">
        <w:rPr>
          <w:i/>
        </w:rPr>
        <w:t xml:space="preserve"> </w:t>
      </w:r>
      <w:r w:rsidR="00D14151">
        <w:rPr>
          <w:i/>
        </w:rPr>
        <w:fldChar w:fldCharType="begin" w:fldLock="1"/>
      </w:r>
      <w:r w:rsidR="003915CC">
        <w:rPr>
          <w:i/>
        </w:rPr>
        <w:instrText>ADDIN CSL_CITATION { "citationItems" : [ { "id" : "ITEM-1", "itemData" : { "DOI" : "10.1111/j.1574-6968.2007.00654.x", "ISBN" : "0378-1097", "ISSN" : "03781097", "PMID" : "17319879", "abstract" : "Pseudomonas aeruginosa PAO1 mutants affected in acyclic monoterpenes, n-octanol, and acetate assimilation were isolated using transposon mutagenesis. The isocitrate lyase gene (aceA) corresponding to ORF PA2634 of the PAO1 strain genome was identified in one of these mutants. The aceA gene encodes a protein that is 72% identical to the isocitrate lyase (ICL) characterized from Colwellia maris, but is less than 30% identical to their homologues from pseudomonads. The genetic arrangement of aceA suggests that it is a monocistronic gene, and no adjacent related genes were found. The ICL protein was detected as a 60-kDa band in sodium dodecyl sulfate polyacrylamide gel electrophoresis from cultures grown on acetate, but not in glucose-grown PAO1 cultures. Genetic complementation further confirmed that the aceA gene encodes the ICL enzyme. The ICL enzyme activity in crude extracts from cultures of the PAO1 strain was induced by acetate, citronellol and leucine, and repressed by growth on glucose or citrate. These results suggest that ICL is involved in the assimilation of acetate, acyclic monoterpenes of the citronellol family, alkanols, and leucine, in which the final intermediary acetyl-coenzyme A may be channelled to the glyoxylate shunt.", "author" : [ { "dropping-particle" : "", "family" : "Diaz-Perez", "given" : "Alma Laura", "non-dropping-particle" : "", "parse-names" : false, "suffix" : "" }, { "dropping-particle" : "", "family" : "Roman-Doval", "given" : "Celinda", "non-dropping-particle" : "", "parse-names" : false, "suffix" : "" }, { "dropping-particle" : "", "family" : "Diaz-Perez", "given" : "Cesar", "non-dropping-particle" : "", "parse-names" : false, "suffix" : "" }, { "dropping-particle" : "", "family" : "Cervantes", "given" : "Carlos", "non-dropping-particle" : "", "parse-names" : false, "suffix" : "" }, { "dropping-particle" : "", "family" : "Sosa-Aguirre", "given" : "Carlos R.", "non-dropping-particle" : "", "parse-names" : false, "suffix" : "" }, { "dropping-particle" : "", "family" : "Lopez-Meza", "given" : "Joel E.", "non-dropping-particle" : "", "parse-names" : false, "suffix" : "" }, { "dropping-particle" : "", "family" : "Campos-Garcia", "given" : "Jesus", "non-dropping-particle" : "", "parse-names" : false, "suffix" : "" } ], "container-title" : "FEMS Microbiology Letters", "id" : "ITEM-1", "issue" : "2", "issued" : { "date-parts" : [ [ "2007" ] ] }, "page" : "309-316", "title" : "Identification of the aceA gene encoding isocitrate lyase required for the growth of Pseudomonas aeruginosa on acetate, acyclic terpenes and leucine", "type" : "article-journal", "volume" : "269" }, "uris" : [ "http://www.mendeley.com/documents/?uuid=739fa168-2d44-47ca-b886-330d13ffd74a", "http://www.mendeley.com/documents/?uuid=d02b18b3-c474-401c-9f80-d6a8927e880c" ] } ], "mendeley" : { "formattedCitation" : "(Diaz-Perez et al., 2007)", "plainTextFormattedCitation" : "(Diaz-Perez et al., 2007)", "previouslyFormattedCitation" : "(Diaz-Perez et al., 2007)" }, "properties" : { "noteIndex" : 0 }, "schema" : "https://github.com/citation-style-language/schema/raw/master/csl-citation.json" }</w:instrText>
      </w:r>
      <w:r w:rsidR="00D14151">
        <w:rPr>
          <w:i/>
        </w:rPr>
        <w:fldChar w:fldCharType="separate"/>
      </w:r>
      <w:r w:rsidR="003915CC" w:rsidRPr="003915CC">
        <w:rPr>
          <w:noProof/>
        </w:rPr>
        <w:t>(Diaz-Perez et al., 2007)</w:t>
      </w:r>
      <w:r w:rsidR="00D14151">
        <w:rPr>
          <w:i/>
        </w:rPr>
        <w:fldChar w:fldCharType="end"/>
      </w:r>
      <w:r w:rsidR="00D14151">
        <w:t>.</w:t>
      </w:r>
    </w:p>
    <w:p w14:paraId="05425632" w14:textId="57DDE977" w:rsidR="002738AD" w:rsidRDefault="007301CA" w:rsidP="00AF0DAA">
      <w:pPr>
        <w:jc w:val="both"/>
      </w:pPr>
      <w:r w:rsidRPr="007301CA">
        <w:rPr>
          <w:b/>
        </w:rPr>
        <w:t xml:space="preserve">Structure and regulation of </w:t>
      </w:r>
      <w:r w:rsidRPr="007301CA">
        <w:rPr>
          <w:b/>
          <w:i/>
        </w:rPr>
        <w:t>P. aeruginosa</w:t>
      </w:r>
      <w:r w:rsidR="00AF0DAA">
        <w:rPr>
          <w:b/>
        </w:rPr>
        <w:t xml:space="preserve"> ICL</w:t>
      </w:r>
      <w:r>
        <w:t xml:space="preserve">. </w:t>
      </w:r>
      <w:r w:rsidR="007B7124">
        <w:t xml:space="preserve">At 531 amino acids, </w:t>
      </w:r>
      <w:r w:rsidR="00AF0DAA" w:rsidRPr="00934B84">
        <w:rPr>
          <w:i/>
        </w:rPr>
        <w:t>P. aeruginosa</w:t>
      </w:r>
      <w:r w:rsidR="00AF0DAA">
        <w:t xml:space="preserve"> ICL is longer than </w:t>
      </w:r>
      <w:r w:rsidR="00AF0DAA" w:rsidRPr="008D42DF">
        <w:rPr>
          <w:i/>
        </w:rPr>
        <w:t>E. coli</w:t>
      </w:r>
      <w:r w:rsidR="00AF0DAA">
        <w:t xml:space="preserve"> ICL (434 amino acids) and</w:t>
      </w:r>
      <w:r w:rsidR="00AF0DAA" w:rsidRPr="008D42DF">
        <w:t xml:space="preserve"> </w:t>
      </w:r>
      <w:r w:rsidR="00AF0DAA">
        <w:t xml:space="preserve">shares only 27% amino acid sequence identity with the latter. </w:t>
      </w:r>
      <w:r w:rsidR="008054F5">
        <w:t>It also lies on a distinct branch of the evolutionary tree for this enzyme</w:t>
      </w:r>
      <w:r w:rsidR="00496E2B">
        <w:t xml:space="preserve"> (which also includes ICL from pathogens such as </w:t>
      </w:r>
      <w:r w:rsidR="00496E2B" w:rsidRPr="00496E2B">
        <w:rPr>
          <w:i/>
        </w:rPr>
        <w:t>Burkholderia cepacia</w:t>
      </w:r>
      <w:r w:rsidR="00496E2B">
        <w:t xml:space="preserve"> and </w:t>
      </w:r>
      <w:r w:rsidR="00496E2B" w:rsidRPr="00496E2B">
        <w:rPr>
          <w:i/>
        </w:rPr>
        <w:t>Acinetobacter baumanii</w:t>
      </w:r>
      <w:r w:rsidR="00496E2B">
        <w:t>)</w:t>
      </w:r>
      <w:r w:rsidR="008054F5">
        <w:t>, with no structurally-characterised homologues to date (</w:t>
      </w:r>
      <w:r w:rsidR="008054F5" w:rsidRPr="008054F5">
        <w:rPr>
          <w:b/>
        </w:rPr>
        <w:t>Figure S2</w:t>
      </w:r>
      <w:r w:rsidR="008054F5">
        <w:t xml:space="preserve">). </w:t>
      </w:r>
      <w:r w:rsidR="00F5179D">
        <w:t xml:space="preserve">To investigate </w:t>
      </w:r>
      <w:r w:rsidR="007B7124">
        <w:t>this</w:t>
      </w:r>
      <w:r w:rsidR="00F5179D">
        <w:t xml:space="preserve"> further, we solved the</w:t>
      </w:r>
      <w:r w:rsidR="009B292C">
        <w:t xml:space="preserve"> x-ray crystal structure of </w:t>
      </w:r>
      <w:r w:rsidR="009B292C" w:rsidRPr="00E21BC2">
        <w:rPr>
          <w:i/>
        </w:rPr>
        <w:t>P. aeruginosa</w:t>
      </w:r>
      <w:r w:rsidR="009D44A5">
        <w:t xml:space="preserve"> ICL </w:t>
      </w:r>
      <w:r w:rsidR="009B292C">
        <w:t xml:space="preserve">to </w:t>
      </w:r>
      <w:r w:rsidR="0086497C">
        <w:t>1.</w:t>
      </w:r>
      <w:r w:rsidR="00F51803">
        <w:t>9</w:t>
      </w:r>
      <w:r w:rsidR="009B292C">
        <w:t>Å resolution</w:t>
      </w:r>
      <w:r w:rsidR="005530E3">
        <w:t xml:space="preserve"> (PDB; 6G1O)</w:t>
      </w:r>
      <w:r w:rsidR="00982D4F">
        <w:t>, with Ca</w:t>
      </w:r>
      <w:r w:rsidR="00982D4F" w:rsidRPr="00982D4F">
        <w:rPr>
          <w:vertAlign w:val="superscript"/>
        </w:rPr>
        <w:t>2+</w:t>
      </w:r>
      <w:r w:rsidR="00982D4F">
        <w:t xml:space="preserve"> and glyoxylate embedded in the active site</w:t>
      </w:r>
      <w:r w:rsidR="002738AD">
        <w:t xml:space="preserve"> (</w:t>
      </w:r>
      <w:r w:rsidR="002738AD" w:rsidRPr="003C2033">
        <w:rPr>
          <w:b/>
        </w:rPr>
        <w:t>Figure 1</w:t>
      </w:r>
      <w:r w:rsidR="002738AD">
        <w:t>)</w:t>
      </w:r>
      <w:r w:rsidR="009D44A5">
        <w:t>.</w:t>
      </w:r>
      <w:r w:rsidR="002738AD" w:rsidRPr="002738AD">
        <w:t xml:space="preserve"> </w:t>
      </w:r>
      <w:r w:rsidR="002738AD">
        <w:t xml:space="preserve">Crystallographic statistics are given in </w:t>
      </w:r>
      <w:r w:rsidR="002738AD" w:rsidRPr="00C2710D">
        <w:rPr>
          <w:b/>
        </w:rPr>
        <w:t>Table S1</w:t>
      </w:r>
      <w:r w:rsidR="002738AD">
        <w:t>.</w:t>
      </w:r>
    </w:p>
    <w:p w14:paraId="057CD587" w14:textId="7CC6B4F7" w:rsidR="00DD57AE" w:rsidRDefault="007575AE" w:rsidP="00AF0DAA">
      <w:pPr>
        <w:jc w:val="both"/>
      </w:pPr>
      <w:r w:rsidRPr="00E0518E">
        <w:t>The presence of a Ca</w:t>
      </w:r>
      <w:r w:rsidRPr="00E0518E">
        <w:rPr>
          <w:vertAlign w:val="superscript"/>
        </w:rPr>
        <w:t>2+</w:t>
      </w:r>
      <w:r w:rsidRPr="00E0518E">
        <w:t xml:space="preserve"> (which was coordinated with the glyoxylate ligand and three water molecules) </w:t>
      </w:r>
      <w:r w:rsidR="00795FAA">
        <w:t xml:space="preserve">in the ICL active site </w:t>
      </w:r>
      <w:r w:rsidRPr="00E0518E">
        <w:t xml:space="preserve">was confirmed using </w:t>
      </w:r>
      <w:r w:rsidR="0005443B" w:rsidRPr="00E0518E">
        <w:t xml:space="preserve">Checkmymetal. </w:t>
      </w:r>
      <w:r w:rsidR="009D44A5" w:rsidRPr="00E0518E">
        <w:t>I</w:t>
      </w:r>
      <w:r w:rsidR="001A0E46" w:rsidRPr="00E0518E">
        <w:t>n the crystal structure</w:t>
      </w:r>
      <w:r w:rsidR="00E21BC2" w:rsidRPr="00E0518E">
        <w:t xml:space="preserve">, </w:t>
      </w:r>
      <w:r w:rsidR="009D44A5" w:rsidRPr="00E0518E">
        <w:t xml:space="preserve">there is one ICL polypeptide per asymmetric </w:t>
      </w:r>
      <w:r w:rsidR="006D6A29" w:rsidRPr="00E0518E">
        <w:t>portion of the unit cell</w:t>
      </w:r>
      <w:r w:rsidR="00E0518E">
        <w:t>, which</w:t>
      </w:r>
      <w:r w:rsidR="006D6A29" w:rsidRPr="00E0518E">
        <w:t xml:space="preserve"> belong</w:t>
      </w:r>
      <w:r w:rsidR="00E0518E">
        <w:t>ed</w:t>
      </w:r>
      <w:r w:rsidR="006D6A29" w:rsidRPr="00E0518E">
        <w:t xml:space="preserve"> to </w:t>
      </w:r>
      <w:r w:rsidR="00E0518E">
        <w:t xml:space="preserve">the </w:t>
      </w:r>
      <w:r w:rsidR="006D6A29" w:rsidRPr="00E0518E">
        <w:t>I222 space</w:t>
      </w:r>
      <w:r w:rsidR="00E0518E">
        <w:t xml:space="preserve"> </w:t>
      </w:r>
      <w:r w:rsidR="006D6A29" w:rsidRPr="00E0518E">
        <w:t>group</w:t>
      </w:r>
      <w:r w:rsidR="00982D4F" w:rsidRPr="00E0518E">
        <w:t xml:space="preserve"> (</w:t>
      </w:r>
      <w:r w:rsidR="0054764D" w:rsidRPr="00E0518E">
        <w:rPr>
          <w:b/>
        </w:rPr>
        <w:t>Figure 1</w:t>
      </w:r>
      <w:r w:rsidR="00982D4F" w:rsidRPr="00E0518E">
        <w:rPr>
          <w:b/>
        </w:rPr>
        <w:t>A</w:t>
      </w:r>
      <w:r w:rsidR="00982D4F" w:rsidRPr="00E0518E">
        <w:t>)</w:t>
      </w:r>
      <w:r w:rsidR="009D44A5" w:rsidRPr="00E0518E">
        <w:t xml:space="preserve">. </w:t>
      </w:r>
      <w:r w:rsidR="00982D4F" w:rsidRPr="00E0518E">
        <w:t>T</w:t>
      </w:r>
      <w:r w:rsidR="009D44A5" w:rsidRPr="00E0518E">
        <w:t>hese polypeptides are re</w:t>
      </w:r>
      <w:r w:rsidR="00532933" w:rsidRPr="00E0518E">
        <w:t xml:space="preserve">lated by a </w:t>
      </w:r>
      <w:r w:rsidR="00E34F6F" w:rsidRPr="00E0518E">
        <w:t>c</w:t>
      </w:r>
      <w:r w:rsidR="009D44A5" w:rsidRPr="00E0518E">
        <w:t>rystallographic two-fold axis to yield a tetrameric structure (</w:t>
      </w:r>
      <w:r w:rsidR="0054764D" w:rsidRPr="00E0518E">
        <w:rPr>
          <w:b/>
        </w:rPr>
        <w:t>Figure 1</w:t>
      </w:r>
      <w:r w:rsidR="00982D4F" w:rsidRPr="00E0518E">
        <w:rPr>
          <w:b/>
        </w:rPr>
        <w:t>B</w:t>
      </w:r>
      <w:r w:rsidR="009D44A5" w:rsidRPr="00E0518E">
        <w:t>)</w:t>
      </w:r>
      <w:r w:rsidR="00B906A9" w:rsidRPr="00E0518E">
        <w:t xml:space="preserve"> with extensive contacts made between each protomer (</w:t>
      </w:r>
      <w:r w:rsidR="008054F5" w:rsidRPr="00E0518E">
        <w:rPr>
          <w:b/>
        </w:rPr>
        <w:t>Figure S3</w:t>
      </w:r>
      <w:r w:rsidR="00B906A9" w:rsidRPr="00E0518E">
        <w:t>)</w:t>
      </w:r>
      <w:r w:rsidR="009D44A5" w:rsidRPr="00E0518E">
        <w:t>.</w:t>
      </w:r>
      <w:r w:rsidR="009D44A5">
        <w:t xml:space="preserve"> This</w:t>
      </w:r>
      <w:r w:rsidR="00E21BC2">
        <w:t xml:space="preserve"> is consistent with</w:t>
      </w:r>
      <w:r w:rsidR="001A0E46">
        <w:t xml:space="preserve"> gel filtration/multi-angle light scattering (GFC/MALS) and analytical ultracentrifugation (AUC) data </w:t>
      </w:r>
      <w:r w:rsidR="009D44A5">
        <w:t xml:space="preserve">indicating that ICL </w:t>
      </w:r>
      <w:r w:rsidR="006D6A29">
        <w:t>behaves as</w:t>
      </w:r>
      <w:r w:rsidR="009D44A5">
        <w:t xml:space="preserve"> a </w:t>
      </w:r>
      <w:r w:rsidR="00B240A7">
        <w:t xml:space="preserve">231 kDa </w:t>
      </w:r>
      <w:r w:rsidR="009D44A5">
        <w:t>tetramer</w:t>
      </w:r>
      <w:r w:rsidR="00B240A7">
        <w:t xml:space="preserve"> </w:t>
      </w:r>
      <w:r w:rsidR="009D44A5">
        <w:t xml:space="preserve">in solution </w:t>
      </w:r>
      <w:r w:rsidR="001A0E46">
        <w:t>(</w:t>
      </w:r>
      <w:r w:rsidR="008054F5">
        <w:rPr>
          <w:b/>
        </w:rPr>
        <w:t>Figure S4</w:t>
      </w:r>
      <w:r w:rsidR="001A0E46">
        <w:t>).</w:t>
      </w:r>
      <w:r w:rsidR="00982D4F">
        <w:t xml:space="preserve"> </w:t>
      </w:r>
      <w:r w:rsidR="00811759">
        <w:t>E</w:t>
      </w:r>
      <w:r w:rsidR="00982D4F">
        <w:t xml:space="preserve">ach protomer in </w:t>
      </w:r>
      <w:r w:rsidR="00982D4F" w:rsidRPr="00982D4F">
        <w:rPr>
          <w:i/>
        </w:rPr>
        <w:t>P. aeruginosa</w:t>
      </w:r>
      <w:r w:rsidR="00982D4F">
        <w:t xml:space="preserve"> ICL is comprised of 17 </w:t>
      </w:r>
      <w:r w:rsidR="00982D4F" w:rsidRPr="00982D4F">
        <w:rPr>
          <w:rFonts w:ascii="Symbol" w:hAnsi="Symbol"/>
        </w:rPr>
        <w:t></w:t>
      </w:r>
      <w:r w:rsidR="00982D4F">
        <w:t xml:space="preserve">-helices and 14 </w:t>
      </w:r>
      <w:r w:rsidR="00982D4F" w:rsidRPr="00982D4F">
        <w:rPr>
          <w:rFonts w:ascii="Symbol" w:hAnsi="Symbol"/>
        </w:rPr>
        <w:t></w:t>
      </w:r>
      <w:r w:rsidR="00982D4F">
        <w:t xml:space="preserve">-strands </w:t>
      </w:r>
      <w:r w:rsidR="00811759">
        <w:t>arranged</w:t>
      </w:r>
      <w:r w:rsidR="00982D4F">
        <w:t xml:space="preserve"> around a central TIM barrel-like core</w:t>
      </w:r>
      <w:r w:rsidR="008A3C9C">
        <w:t xml:space="preserve"> (secondary structure </w:t>
      </w:r>
      <w:r w:rsidR="00F5179D">
        <w:t>assignments are</w:t>
      </w:r>
      <w:r w:rsidR="008A3C9C">
        <w:t xml:space="preserve"> shown in </w:t>
      </w:r>
      <w:r w:rsidR="008054F5">
        <w:rPr>
          <w:b/>
        </w:rPr>
        <w:t>Figure S5</w:t>
      </w:r>
      <w:r w:rsidR="008A3C9C">
        <w:t>)</w:t>
      </w:r>
      <w:r w:rsidR="00982D4F">
        <w:t>.</w:t>
      </w:r>
      <w:r w:rsidR="00811759">
        <w:t xml:space="preserve"> However, the overall fold of each protomer is distinct when compared with ICL from </w:t>
      </w:r>
      <w:r w:rsidR="00B906A9" w:rsidRPr="006956E7">
        <w:rPr>
          <w:i/>
        </w:rPr>
        <w:t>E. coli</w:t>
      </w:r>
      <w:r w:rsidR="00B906A9">
        <w:t xml:space="preserve"> and </w:t>
      </w:r>
      <w:r w:rsidR="007B7124">
        <w:rPr>
          <w:i/>
        </w:rPr>
        <w:t>Mycobacterium</w:t>
      </w:r>
      <w:r w:rsidR="00B906A9" w:rsidRPr="006956E7">
        <w:rPr>
          <w:i/>
        </w:rPr>
        <w:t xml:space="preserve"> tuberculosis</w:t>
      </w:r>
      <w:r w:rsidR="00B906A9">
        <w:t xml:space="preserve"> </w:t>
      </w:r>
      <w:r w:rsidR="00811759">
        <w:t>(</w:t>
      </w:r>
      <w:r w:rsidR="0054764D">
        <w:rPr>
          <w:b/>
        </w:rPr>
        <w:t>Figure 1</w:t>
      </w:r>
      <w:r w:rsidR="00811759" w:rsidRPr="00811759">
        <w:rPr>
          <w:b/>
        </w:rPr>
        <w:t>C</w:t>
      </w:r>
      <w:r w:rsidR="00811759">
        <w:t xml:space="preserve">). In particular, helices </w:t>
      </w:r>
      <w:r w:rsidR="00811759" w:rsidRPr="006956E7">
        <w:rPr>
          <w:rFonts w:ascii="Symbol" w:hAnsi="Symbol"/>
        </w:rPr>
        <w:t></w:t>
      </w:r>
      <w:r w:rsidR="00811759">
        <w:t xml:space="preserve">1 and </w:t>
      </w:r>
      <w:r w:rsidR="00811759" w:rsidRPr="006956E7">
        <w:rPr>
          <w:rFonts w:ascii="Symbol" w:hAnsi="Symbol" w:cs="Times New Roman"/>
        </w:rPr>
        <w:t></w:t>
      </w:r>
      <w:r w:rsidR="00811759">
        <w:t xml:space="preserve">2 </w:t>
      </w:r>
      <w:r w:rsidR="006956E7">
        <w:t xml:space="preserve">of </w:t>
      </w:r>
      <w:r w:rsidR="006956E7" w:rsidRPr="006956E7">
        <w:rPr>
          <w:i/>
        </w:rPr>
        <w:t>P. aeruginosa</w:t>
      </w:r>
      <w:r w:rsidR="006956E7">
        <w:t xml:space="preserve"> ICL </w:t>
      </w:r>
      <w:r w:rsidR="00811759">
        <w:t xml:space="preserve">are </w:t>
      </w:r>
      <w:r w:rsidR="006956E7">
        <w:t>flipped as a unit</w:t>
      </w:r>
      <w:r w:rsidR="00811759">
        <w:t xml:space="preserve"> </w:t>
      </w:r>
      <w:r w:rsidR="006956E7">
        <w:t xml:space="preserve">by almost 180° relative to the axis of </w:t>
      </w:r>
      <w:r w:rsidR="006956E7" w:rsidRPr="006956E7">
        <w:rPr>
          <w:rFonts w:ascii="Symbol" w:hAnsi="Symbol"/>
        </w:rPr>
        <w:t></w:t>
      </w:r>
      <w:r w:rsidR="006956E7">
        <w:t xml:space="preserve">3, and </w:t>
      </w:r>
      <w:r w:rsidR="00811759" w:rsidRPr="00811759">
        <w:rPr>
          <w:rFonts w:ascii="Symbol" w:hAnsi="Symbol"/>
        </w:rPr>
        <w:t></w:t>
      </w:r>
      <w:r w:rsidR="00811759">
        <w:t>6 is extended</w:t>
      </w:r>
      <w:r w:rsidR="006956E7">
        <w:t xml:space="preserve"> by an additional 4 </w:t>
      </w:r>
      <w:r w:rsidR="00D372CC">
        <w:t xml:space="preserve">helical </w:t>
      </w:r>
      <w:r w:rsidR="006956E7">
        <w:t>turns.</w:t>
      </w:r>
      <w:r w:rsidR="00811759">
        <w:t xml:space="preserve"> </w:t>
      </w:r>
      <w:r w:rsidR="006956E7">
        <w:t xml:space="preserve">In addition, </w:t>
      </w:r>
      <w:r w:rsidR="00210867" w:rsidRPr="00210867">
        <w:rPr>
          <w:rFonts w:ascii="Symbol" w:hAnsi="Symbol"/>
        </w:rPr>
        <w:t></w:t>
      </w:r>
      <w:r w:rsidR="00210867">
        <w:t xml:space="preserve">13 and </w:t>
      </w:r>
      <w:r w:rsidR="00210867" w:rsidRPr="00210867">
        <w:rPr>
          <w:rFonts w:ascii="Symbol" w:hAnsi="Symbol"/>
        </w:rPr>
        <w:t></w:t>
      </w:r>
      <w:r w:rsidR="00210867">
        <w:t>14</w:t>
      </w:r>
      <w:r w:rsidR="00A333C1" w:rsidRPr="00A333C1">
        <w:t xml:space="preserve"> extend away from the globular core of the </w:t>
      </w:r>
      <w:r w:rsidR="00A333C1">
        <w:t xml:space="preserve">protein, generating </w:t>
      </w:r>
      <w:r w:rsidR="00DD57AE">
        <w:t>structural</w:t>
      </w:r>
      <w:r w:rsidR="00A333C1">
        <w:t xml:space="preserve"> projections which give the tetramer a distinctly rugged, star-like profile</w:t>
      </w:r>
      <w:r w:rsidR="006956E7">
        <w:t>. The most obvious difference though</w:t>
      </w:r>
      <w:r w:rsidR="00A333C1">
        <w:t>,</w:t>
      </w:r>
      <w:r w:rsidR="006956E7">
        <w:t xml:space="preserve"> is the presence of a relatively unstructured “head</w:t>
      </w:r>
      <w:r w:rsidR="00DC24C8">
        <w:t>-</w:t>
      </w:r>
      <w:r w:rsidR="006956E7">
        <w:t xml:space="preserve">domain” spanning </w:t>
      </w:r>
      <w:r w:rsidR="00DD57AE">
        <w:t xml:space="preserve">the region between </w:t>
      </w:r>
      <w:r w:rsidR="006956E7">
        <w:t xml:space="preserve">Ile272 </w:t>
      </w:r>
      <w:r w:rsidR="00DD57AE">
        <w:t>and</w:t>
      </w:r>
      <w:r w:rsidR="006956E7">
        <w:t xml:space="preserve"> Ile306.</w:t>
      </w:r>
      <w:r w:rsidR="00811759">
        <w:t xml:space="preserve"> </w:t>
      </w:r>
      <w:r w:rsidR="00B906A9">
        <w:t>The head domains of adjacent protomers form some of the more intimate contacts underpinning tetramer formation (</w:t>
      </w:r>
      <w:r w:rsidR="0054764D">
        <w:rPr>
          <w:b/>
        </w:rPr>
        <w:t>Figure 1</w:t>
      </w:r>
      <w:r w:rsidR="00B906A9" w:rsidRPr="00B906A9">
        <w:rPr>
          <w:b/>
        </w:rPr>
        <w:t>B</w:t>
      </w:r>
      <w:r w:rsidR="00B906A9">
        <w:t xml:space="preserve"> and </w:t>
      </w:r>
      <w:r w:rsidR="00B906A9" w:rsidRPr="00B906A9">
        <w:rPr>
          <w:b/>
        </w:rPr>
        <w:t xml:space="preserve">Figure </w:t>
      </w:r>
      <w:r w:rsidR="008054F5">
        <w:rPr>
          <w:b/>
        </w:rPr>
        <w:t>S3</w:t>
      </w:r>
      <w:r w:rsidR="00B906A9">
        <w:t>).</w:t>
      </w:r>
      <w:r w:rsidR="0024083A">
        <w:t xml:space="preserve"> Interestingly, ICL from the fungus </w:t>
      </w:r>
      <w:r w:rsidR="0024083A" w:rsidRPr="0024083A">
        <w:rPr>
          <w:i/>
        </w:rPr>
        <w:t>Aspergillus nidulans</w:t>
      </w:r>
      <w:r w:rsidR="0024083A">
        <w:t xml:space="preserve"> also has a head</w:t>
      </w:r>
      <w:r w:rsidR="00A333C1">
        <w:t>-like</w:t>
      </w:r>
      <w:r w:rsidR="0024083A">
        <w:t xml:space="preserve"> domain, although this is rich in </w:t>
      </w:r>
      <w:r w:rsidR="0024083A" w:rsidRPr="0024083A">
        <w:rPr>
          <w:rFonts w:ascii="Symbol" w:hAnsi="Symbol"/>
        </w:rPr>
        <w:t></w:t>
      </w:r>
      <w:r w:rsidR="00FE082B">
        <w:t>-</w:t>
      </w:r>
      <w:r w:rsidR="0024083A">
        <w:t>helices</w:t>
      </w:r>
      <w:r w:rsidR="00FE082B">
        <w:t xml:space="preserve"> and does not appear to play a significant role in inter-protomer interactions</w:t>
      </w:r>
      <w:r w:rsidR="00796174">
        <w:t xml:space="preserve"> </w:t>
      </w:r>
      <w:r w:rsidR="00561588">
        <w:fldChar w:fldCharType="begin" w:fldLock="1"/>
      </w:r>
      <w:r w:rsidR="003915CC">
        <w:instrText>ADDIN CSL_CITATION { "citationItems" : [ { "id" : "ITEM-1", "itemData" : { "DOI" : "10.1016/S0969-2126(00)00117-9", "ISBN" : "0969-2126", "ISSN" : "0969-2126", "PMID" : "10801489", "abstract" : "BACKGROUND: Isocitrate lyase catalyses the first committed step of the carbon-conserving glyoxylate bypass, the Mg(2+)-dependent reversible cleavage of isocitrate into succinate and glyoxylate. This metabolic pathway is an inviting target for the control of a number of diseases, because the enzymes involved in this cycle have been identified in many pathogens including Mycobacterium leprae and Leishmania. RESULTS: As part of a programme of rational drug design the structure of the tetrameric Aspergillus nidulans isocitrate lyase and its complex with glyoxylate and a divalent cation have been solved to 2.8 A resolution using X-ray diffraction. Each subunit comprises two domains, one of which adopts a folding pattern highly reminiscent of the triose phosphate isomerase (TIM) barrel. A 'knot' between subunits observed in the three-dimensional structure, involving residues towards the C terminus, implies that tetramer assembly involves considerable flexibility in this part of the protein. CONCLUSIONS: Difference Fourier analysis together with the pattern of sequence conservation has led to the identification of both the glyoxylate and metal binding sites and implicates the C-terminal end of the TIM barrel as the active site, which is consistent with studies of other enzymes with this fold. Two disordered regions of the polypeptide chain lie close to the active site, one of which includes a critical cysteine residue suggesting that conformational rearrangements are essential for catalysis. Structural similarities between isocitrate lyase and both PEP mutase and enzymes belonging to the enolase superfamily suggest possible relationships in aspects of the mechanism.", "author" : [ { "dropping-particle" : "", "family" : "Britton", "given" : "K.L.", "non-dropping-particle" : "", "parse-names" : false, "suffix" : "" }, { "dropping-particle" : "", "family" : "Langridge", "given" : "S.J.", "non-dropping-particle" : "", "parse-names" : false, "suffix" : "" }, { "dropping-particle" : "", "family" : "Baker", "given" : "P.J.", "non-dropping-particle" : "", "parse-names" : false, "suffix" : "" }, { "dropping-particle" : "", "family" : "Weeradechapon", "given" : "K.", "non-dropping-particle" : "", "parse-names" : false, "suffix" : "" }, { "dropping-particle" : "", "family" : "Sedelnikova", "given" : "S.E.", "non-dropping-particle" : "", "parse-names" : false, "suffix" : "" }, { "dropping-particle" : "", "family" : "Lucas", "given" : "J.R.", "non-dropping-particle" : "De", "parse-names" : false, "suffix" : "" }, { "dropping-particle" : "", "family" : "Rice", "given" : "D.W.", "non-dropping-particle" : "", "parse-names" : false, "suffix" : "" }, { "dropping-particle" : "", "family" : "Turner", "given" : "G.", "non-dropping-particle" : "", "parse-names" : false, "suffix" : "" } ], "container-title" : "Structure", "id" : "ITEM-1", "issue" : "4", "issued" : { "date-parts" : [ [ "2000", "4" ] ] }, "page" : "349-362", "title" : "The crystal structure and active site location of isocitrate lyase from the fungus Aspergillus nidulans", "type" : "article-journal", "volume" : "8" }, "uris" : [ "http://www.mendeley.com/documents/?uuid=5922c9ab-80eb-4306-9ea9-dc959f4ce4e1", "http://www.mendeley.com/documents/?uuid=efeec89c-41a1-4b53-a93f-d3fc655a4136" ] } ], "mendeley" : { "formattedCitation" : "(Britton et al., 2000)", "plainTextFormattedCitation" : "(Britton et al., 2000)", "previouslyFormattedCitation" : "(Britton et al., 2000)" }, "properties" : { "noteIndex" : 0 }, "schema" : "https://github.com/citation-style-language/schema/raw/master/csl-citation.json" }</w:instrText>
      </w:r>
      <w:r w:rsidR="00561588">
        <w:fldChar w:fldCharType="separate"/>
      </w:r>
      <w:r w:rsidR="003915CC" w:rsidRPr="003915CC">
        <w:rPr>
          <w:noProof/>
        </w:rPr>
        <w:t>(Britton et al., 2000)</w:t>
      </w:r>
      <w:r w:rsidR="00561588">
        <w:fldChar w:fldCharType="end"/>
      </w:r>
      <w:r w:rsidR="00FE082B">
        <w:t>.</w:t>
      </w:r>
    </w:p>
    <w:p w14:paraId="73952CF9" w14:textId="77777777" w:rsidR="002738AD" w:rsidRDefault="002738AD" w:rsidP="002738AD">
      <w:pPr>
        <w:jc w:val="both"/>
      </w:pPr>
      <w:r>
        <w:t xml:space="preserve">The catalytic core of the enzyme is conserved. The active site of ICL is comprised of two distinct parts; those residues associated with the </w:t>
      </w:r>
      <w:r w:rsidRPr="000E7B69">
        <w:rPr>
          <w:rFonts w:ascii="Symbol" w:hAnsi="Symbol"/>
        </w:rPr>
        <w:t></w:t>
      </w:r>
      <w:r>
        <w:t xml:space="preserve">-strands and loops around the rim of the TIM barrel, and a flexible loop of structure between </w:t>
      </w:r>
      <w:r w:rsidRPr="000E7B69">
        <w:rPr>
          <w:rFonts w:ascii="Symbol" w:hAnsi="Symbol"/>
        </w:rPr>
        <w:t></w:t>
      </w:r>
      <w:r>
        <w:t xml:space="preserve">4 and </w:t>
      </w:r>
      <w:r w:rsidRPr="000E7B69">
        <w:rPr>
          <w:rFonts w:ascii="Symbol" w:hAnsi="Symbol"/>
        </w:rPr>
        <w:t></w:t>
      </w:r>
      <w:r>
        <w:t xml:space="preserve">5 </w:t>
      </w:r>
      <w:r>
        <w:fldChar w:fldCharType="begin" w:fldLock="1"/>
      </w:r>
      <w:r>
        <w:instrText>ADDIN CSL_CITATION { "citationItems" : [ { "id" : "ITEM-1", "itemData" : { "DOI" : "10.1107/S0907444901008642", "ISSN" : "09074449", "PMID" : "11526312", "abstract" : "Enzymes of the glyoxylate-bypass pathway are potential targets for the control of many human diseases caused by such pathogens as Mycobacteria and Leishmania. Isocitrate lyase catalyses the first committed step in this pathway and the structure of this tetrameric enzyme from Escherichia coli has been determined at 2.1 A resolution. E. coli isocitrate lyase, like the enzyme from other prokaryotes, is located in the cytoplasm, whereas in plants, protozoa, algae and fungi this enzyme is found localized in glyoxysomes. Comparison of the structure of the prokaryotic isocitrate lyase with that from the eukaryote Aspergillus nidulans reveals a different domain structure following the deletion of approximately 100 residues from the larger eukaryotic enzyme. Despite this, the active sites of the prokaryotic and eukaryotic enzymes are very closely related, including the apparent disorder of two equivalent segments of the protein that are known to be involved in a conformational change as part of the enzyme's catalytic cycle.", "author" : [ { "dropping-particle" : "", "family" : "Britton", "given" : "K. L.", "non-dropping-particle" : "", "parse-names" : false, "suffix" : "" }, { "dropping-particle" : "", "family" : "Abeysinghe", "given" : "I. S B", "non-dropping-particle" : "", "parse-names" : false, "suffix" : "" }, { "dropping-particle" : "", "family" : "Baker", "given" : "P. J.", "non-dropping-particle" : "", "parse-names" : false, "suffix" : "" }, { "dropping-particle" : "", "family" : "Barynin", "given" : "V.", "non-dropping-particle" : "", "parse-names" : false, "suffix" : "" }, { "dropping-particle" : "", "family" : "Diehl", "given" : "P.", "non-dropping-particle" : "", "parse-names" : false, "suffix" : "" }, { "dropping-particle" : "", "family" : "Langridge", "given" : "S. J.", "non-dropping-particle" : "", "parse-names" : false, "suffix" : "" }, { "dropping-particle" : "", "family" : "McFadden", "given" : "Bruce A.", "non-dropping-particle" : "", "parse-names" : false, "suffix" : "" }, { "dropping-particle" : "", "family" : "Sedelnikova", "given" : "S. E.", "non-dropping-particle" : "", "parse-names" : false, "suffix" : "" }, { "dropping-particle" : "", "family" : "Stillman", "given" : "T. J.", "non-dropping-particle" : "", "parse-names" : false, "suffix" : "" }, { "dropping-particle" : "", "family" : "Weeradechapon", "given" : "K.", "non-dropping-particle" : "", "parse-names" : false, "suffix" : "" }, { "dropping-particle" : "", "family" : "Rice", "given" : "D. W.", "non-dropping-particle" : "", "parse-names" : false, "suffix" : "" } ], "container-title" : "Acta Crystallographica Section D: Biological Crystallography", "id" : "ITEM-1", "issue" : "9", "issued" : { "date-parts" : [ [ "2001" ] ] }, "page" : "1209-1218", "publisher" : "International Union of Crystallography", "title" : "The structure and domain organization of Escherichia coli isocitrate lyase", "type" : "article-journal", "volume" : "57" }, "uris" : [ "http://www.mendeley.com/documents/?uuid=80e89b1a-1b39-42a9-934c-cbb47c4629a9", "http://www.mendeley.com/documents/?uuid=f0ad8bca-ba64-4358-8dd8-a664152e8319" ] } ], "mendeley" : { "formattedCitation" : "(Britton et al., 2001)", "plainTextFormattedCitation" : "(Britton et al., 2001)", "previouslyFormattedCitation" : "(Britton et al., 2001)" }, "properties" : { "noteIndex" : 0 }, "schema" : "https://github.com/citation-style-language/schema/raw/master/csl-citation.json" }</w:instrText>
      </w:r>
      <w:r>
        <w:fldChar w:fldCharType="separate"/>
      </w:r>
      <w:r w:rsidRPr="003915CC">
        <w:rPr>
          <w:noProof/>
        </w:rPr>
        <w:t>(Britton et al., 2001)</w:t>
      </w:r>
      <w:r>
        <w:fldChar w:fldCharType="end"/>
      </w:r>
      <w:r>
        <w:t>. The latter contains the catalytic general base, Cys222 (</w:t>
      </w:r>
      <w:r w:rsidRPr="001824E8">
        <w:rPr>
          <w:i/>
        </w:rPr>
        <w:t>P. aeruginosa</w:t>
      </w:r>
      <w:r>
        <w:t xml:space="preserve"> numbering). In our structure, this </w:t>
      </w:r>
      <w:r w:rsidRPr="00737FEC">
        <w:rPr>
          <w:rFonts w:ascii="Symbol" w:hAnsi="Symbol"/>
        </w:rPr>
        <w:t></w:t>
      </w:r>
      <w:r>
        <w:t>4-</w:t>
      </w:r>
      <w:r w:rsidRPr="00737FEC">
        <w:rPr>
          <w:rFonts w:ascii="Symbol" w:hAnsi="Symbol"/>
        </w:rPr>
        <w:t></w:t>
      </w:r>
      <w:r>
        <w:t xml:space="preserve">5 loop points away from the active site. Presumably, in the presence of </w:t>
      </w:r>
      <w:r w:rsidRPr="001824E8">
        <w:rPr>
          <w:i/>
        </w:rPr>
        <w:t>iso</w:t>
      </w:r>
      <w:r>
        <w:t xml:space="preserve">citrate, this loop swings inwards to cap the active site, as it does in ICL from </w:t>
      </w:r>
      <w:r w:rsidRPr="00737FEC">
        <w:rPr>
          <w:i/>
        </w:rPr>
        <w:t>M. tuberculosis</w:t>
      </w:r>
      <w:r>
        <w:rPr>
          <w:i/>
        </w:rPr>
        <w:t xml:space="preserve"> </w:t>
      </w:r>
      <w:r>
        <w:rPr>
          <w:i/>
        </w:rPr>
        <w:fldChar w:fldCharType="begin" w:fldLock="1"/>
      </w:r>
      <w:r>
        <w:rPr>
          <w:i/>
        </w:rPr>
        <w:instrText>ADDIN CSL_CITATION { "citationItems" : [ { "id" : "ITEM-1", "itemData" : { "DOI" : "10.1038/77964", "ISBN" : "1072-8368 (Print)\\r1072-8368 (Linking)", "ISSN" : "1072-8368", "PMID" : "10932251", "abstract" : "Isocitrate lyase (ICL) plays a pivotal role in the persistence of Mycobacterium tuberculosis in mice by sustaining intracellular infection in inflammatory macrophages. The enzyme allows net carbon gain by diverting acetyl-CoA from beta-oxidation of fatty acids into the glyoxylate shunt pathway. Given its potential as a drug target against persistent infections, we solved its structure without ligand and in complex with two inhibitors. Covalent modification of an active site residue, Cys 191, by the inhibitor 3-bromopyruvate traps the enzyme in a catalytic conformation with the active site completely inaccessible to solvent. The structure of a C191S mutant of the enzyme with the inhibitor 3-nitropropionate provides further insight into the reaction mechanism.", "author" : [ { "dropping-particle" : "", "family" : "Sharma", "given" : "V.", "non-dropping-particle" : "", "parse-names" : false, "suffix" : "" }, { "dropping-particle" : "", "family" : "Sharma", "given" : "S.", "non-dropping-particle" : "", "parse-names" : false, "suffix" : "" }, { "dropping-particle" : "", "family" : "Hoener zu Bentrup", "given" : "Kerstin", "non-dropping-particle" : "", "parse-names" : false, "suffix" : "" }, { "dropping-particle" : "", "family" : "McKinney", "given" : "John D.", "non-dropping-particle" : "", "parse-names" : false, "suffix" : "" }, { "dropping-particle" : "", "family" : "Russell", "given" : "David G.", "non-dropping-particle" : "", "parse-names" : false, "suffix" : "" }, { "dropping-particle" : "", "family" : "Jacobs", "given" : "William R.", "non-dropping-particle" : "", "parse-names" : false, "suffix" : "" }, { "dropping-particle" : "", "family" : "Sacchettini", "given" : "James C.", "non-dropping-particle" : "", "parse-names" : false, "suffix" : "" } ], "container-title" : "Nature Structural Biology", "id" : "ITEM-1", "issue" : "8", "issued" : { "date-parts" : [ [ "2000" ] ] }, "page" : "663-668", "title" : "Structure of isocitrate lyase, a persistence factor of Mycobacterium tuberculosis", "type" : "article-journal", "volume" : "7" }, "uris" : [ "http://www.mendeley.com/documents/?uuid=78eede36-4542-4ff8-8b86-149094ac259d", "http://www.mendeley.com/documents/?uuid=352b2bd2-c374-4e32-9bfa-b80f9e73f988" ] } ], "mendeley" : { "formattedCitation" : "(Sharma et al., 2000)", "plainTextFormattedCitation" : "(Sharma et al., 2000)", "previouslyFormattedCitation" : "(Sharma et al., 2000)" }, "properties" : { "noteIndex" : 0 }, "schema" : "https://github.com/citation-style-language/schema/raw/master/csl-citation.json" }</w:instrText>
      </w:r>
      <w:r>
        <w:rPr>
          <w:i/>
        </w:rPr>
        <w:fldChar w:fldCharType="separate"/>
      </w:r>
      <w:r w:rsidRPr="003915CC">
        <w:rPr>
          <w:noProof/>
        </w:rPr>
        <w:t>(Sharma et al., 2000)</w:t>
      </w:r>
      <w:r>
        <w:rPr>
          <w:i/>
        </w:rPr>
        <w:fldChar w:fldCharType="end"/>
      </w:r>
      <w:r>
        <w:t>. The glyoxylate moiety in our structure is displaced by 6Å towards the</w:t>
      </w:r>
      <w:r w:rsidRPr="00B675A1">
        <w:rPr>
          <w:rFonts w:ascii="Symbol" w:hAnsi="Symbol"/>
        </w:rPr>
        <w:t></w:t>
      </w:r>
      <w:r w:rsidRPr="00B675A1">
        <w:rPr>
          <w:rFonts w:ascii="Symbol" w:hAnsi="Symbol"/>
        </w:rPr>
        <w:t></w:t>
      </w:r>
      <w:r>
        <w:t>4-</w:t>
      </w:r>
      <w:r w:rsidRPr="00B675A1">
        <w:rPr>
          <w:rFonts w:ascii="Symbol" w:hAnsi="Symbol"/>
        </w:rPr>
        <w:t></w:t>
      </w:r>
      <w:r>
        <w:t>5 loop, leaving it poised ready to exit the active site, although it remains anchored on the enzyme through coordination with the Ca</w:t>
      </w:r>
      <w:r w:rsidRPr="00445E62">
        <w:rPr>
          <w:vertAlign w:val="superscript"/>
        </w:rPr>
        <w:t>2+</w:t>
      </w:r>
      <w:r>
        <w:t xml:space="preserve"> (</w:t>
      </w:r>
      <w:r>
        <w:rPr>
          <w:b/>
        </w:rPr>
        <w:t>Figure 1D</w:t>
      </w:r>
      <w:r>
        <w:t xml:space="preserve">). </w:t>
      </w:r>
    </w:p>
    <w:p w14:paraId="67C2D29E" w14:textId="691E1F10" w:rsidR="002738AD" w:rsidRDefault="002738AD" w:rsidP="003C2033">
      <w:pPr>
        <w:widowControl w:val="0"/>
        <w:autoSpaceDE w:val="0"/>
        <w:autoSpaceDN w:val="0"/>
        <w:adjustRightInd w:val="0"/>
        <w:spacing w:line="240" w:lineRule="auto"/>
        <w:jc w:val="both"/>
      </w:pPr>
      <w:r>
        <w:t xml:space="preserve">Given its position at the TGB, it is unsurprising that the activity of </w:t>
      </w:r>
      <w:r w:rsidRPr="00A72AD1">
        <w:rPr>
          <w:i/>
        </w:rPr>
        <w:t>P. aeruginosa</w:t>
      </w:r>
      <w:r>
        <w:t xml:space="preserve"> ICL is modulated by certain metabolites. </w:t>
      </w:r>
      <w:r w:rsidRPr="00964507">
        <w:rPr>
          <w:i/>
        </w:rPr>
        <w:t>P. aeruginosa</w:t>
      </w:r>
      <w:r>
        <w:t xml:space="preserve"> ICL activity was inhibited by oxaloacetate, pyruvate, succinate, phospho</w:t>
      </w:r>
      <w:r w:rsidRPr="00964507">
        <w:rPr>
          <w:i/>
        </w:rPr>
        <w:t>enol</w:t>
      </w:r>
      <w:r>
        <w:t>pyruvate and CoA (</w:t>
      </w:r>
      <w:r>
        <w:rPr>
          <w:b/>
        </w:rPr>
        <w:t>Figure 2</w:t>
      </w:r>
      <w:r>
        <w:t>). No activators were identified. Oxaloacetate (K</w:t>
      </w:r>
      <w:r w:rsidRPr="00710028">
        <w:rPr>
          <w:vertAlign w:val="subscript"/>
        </w:rPr>
        <w:t>i</w:t>
      </w:r>
      <w:r>
        <w:t xml:space="preserve"> 1.9 mM), pyruvate (K</w:t>
      </w:r>
      <w:r w:rsidRPr="00710028">
        <w:rPr>
          <w:vertAlign w:val="subscript"/>
        </w:rPr>
        <w:t>i</w:t>
      </w:r>
      <w:r>
        <w:t xml:space="preserve"> 2 mM) and CoA (K</w:t>
      </w:r>
      <w:r w:rsidRPr="00710028">
        <w:rPr>
          <w:vertAlign w:val="subscript"/>
        </w:rPr>
        <w:t>i</w:t>
      </w:r>
      <w:r>
        <w:t xml:space="preserve"> 1.2 mM) all inhibited the enzyme non-competitively (</w:t>
      </w:r>
      <w:r w:rsidRPr="00710028">
        <w:rPr>
          <w:b/>
        </w:rPr>
        <w:t>Fi</w:t>
      </w:r>
      <w:r>
        <w:rPr>
          <w:b/>
        </w:rPr>
        <w:t>gure 2A</w:t>
      </w:r>
      <w:r>
        <w:t>) whereas the reaction product, succinate, inhibited uncompetitively (K</w:t>
      </w:r>
      <w:r w:rsidRPr="00377C1B">
        <w:rPr>
          <w:vertAlign w:val="subscript"/>
        </w:rPr>
        <w:t>i</w:t>
      </w:r>
      <w:r>
        <w:t>’ 0.6 mM) and phospho</w:t>
      </w:r>
      <w:r w:rsidRPr="00964507">
        <w:rPr>
          <w:i/>
        </w:rPr>
        <w:t>enol</w:t>
      </w:r>
      <w:r>
        <w:t>pyruvate (PEP) displayed mixed inhibition (</w:t>
      </w:r>
      <w:r>
        <w:rPr>
          <w:b/>
        </w:rPr>
        <w:t>Figure 2</w:t>
      </w:r>
      <w:r w:rsidRPr="00B240A7">
        <w:rPr>
          <w:b/>
        </w:rPr>
        <w:t>B</w:t>
      </w:r>
      <w:r>
        <w:t xml:space="preserve">). In common with other </w:t>
      </w:r>
      <w:r w:rsidRPr="00DE2F85">
        <w:rPr>
          <w:i/>
        </w:rPr>
        <w:t>iso</w:t>
      </w:r>
      <w:r>
        <w:t>citrate lyases, the enzyme was also susceptible to uncompetitive inhibition by itaconic acid (K</w:t>
      </w:r>
      <w:r w:rsidRPr="00377C1B">
        <w:rPr>
          <w:vertAlign w:val="subscript"/>
        </w:rPr>
        <w:t>i</w:t>
      </w:r>
      <w:r>
        <w:t xml:space="preserve">’ </w:t>
      </w:r>
      <w:r w:rsidRPr="009D04B6">
        <w:t>0.5 mM</w:t>
      </w:r>
      <w:r>
        <w:t>) and nitropropionic acid (K</w:t>
      </w:r>
      <w:r w:rsidRPr="00377C1B">
        <w:rPr>
          <w:vertAlign w:val="subscript"/>
        </w:rPr>
        <w:t>i</w:t>
      </w:r>
      <w:r>
        <w:t xml:space="preserve">’ </w:t>
      </w:r>
      <w:r w:rsidRPr="009D04B6">
        <w:t>0.6 mM</w:t>
      </w:r>
      <w:r>
        <w:t xml:space="preserve">) </w:t>
      </w:r>
      <w:r>
        <w:fldChar w:fldCharType="begin" w:fldLock="1"/>
      </w:r>
      <w:r>
        <w:instrText>ADDIN CSL_CITATION { "citationItems" : [ { "id" : "ITEM-1", "itemData" : { "abstract" : "The effect of the inhibitor itaeonate on the activity of purified isocitrate lyase from Pseudomonas indigojera was examined for the reaction in both directions. Ita-conate was found to equilibrate very slowly with its enzyme-bound form, so that a rapid change in itaconate concentration produced a gradual change in reaction ve-locity which eventually reached a new steady state. Kinetic studies of this relaxation phenomenon indicated that itaconate inhibited by binding the enzyme only after prior binding of glyoxylate, thus mimicking the kinetic behavior of succinate. On the basis of these studies, the dissociation constants for itaconate and glyoxylate from their respective enzyme-bound forms were calculated. More than half of the iso-citrate lyase was complexed by glyoxylate during cleavage of saturating isocitrate. The rate constant for release of itaconate from the enzyme was calculated to be about 0.2 min-i. Direct binding of [iC]itaconate and ['Elsuccinate to isocitrate lyase at pH 6.8 was measured. Some binding of both ligands was found in the absence of gly-oxylate, which was stimulated by the presence of 1 mM glyoxylate. These results suggest that there are up to three or more binding sites per active subunit, but that only one of these is catalytic. Our earlier work on the mechanism of ac-tion of isocitrate lyase from Pseudomonas indigojera (1) indicated an ordered release of products as follows: I S G kl 1 k-l It2 T k-2 k3 t k-3 E EI () EG E' EGS where I = isocitrate, S = succinate, and G = glyoxylate. Inhibition patterns for the reaction in both directions by the inhibitor itaconate indicated that the latter behaved like succinate, in that it was bound to the enzyme only after prior binding of glyoxy-late. Itaconate was found to equilibrate", "author" : [ { "dropping-particle" : "", "family" : "Rittenhouse", "given" : "Judith Williams", "non-dropping-particle" : "", "parse-names" : false, "suffix" : "" }, { "dropping-particle" : "", "family" : "McFadden", "given" : "Bruce A.", "non-dropping-particle" : "", "parse-names" : false, "suffix" : "" } ], "container-title" : "Archives of Biochemistry and Biophysics", "id" : "ITEM-1", "issue" : "1", "issued" : { "date-parts" : [ [ "1974" ] ] }, "page" : "79-86", "title" : "Inhibition of isocitrate lyase from Pseudomonas indigofera by itaconate", "type" : "article-journal", "volume" : "163" }, "uris" : [ "http://www.mendeley.com/documents/?uuid=714bd308-6f06-3948-a2d1-7354bc71ff05", "http://www.mendeley.com/documents/?uuid=d732f869-2ddc-4c27-9576-0d3097837768" ] }, { "id" : "ITEM-2", "itemData" : { "DOI" : "10.1021/bi00261a035", "ISBN" : "0006-2960", "ISSN" : "0006-2960", "PMID" : "7126549", "abstract" : "In the back-reaction of isocitrate lyase, condensation of succinate with glyoxylate, the probable mechanism involves formation of a carbanion in the \u03b1 position of succinate. 3-Nitropropionate (when fully ionized) should thus be a potent inhibitor of the enzyme as an analog of the carbanion intermediate. At pH 8, 3-nitropropionate (apparent Ki, \u2264 17 nM) bound 65,000-fold more tightly to isocitrate lyase from Pseudomonas indigofera than succinate (Km = 1.1 mM), and the Ki for the fully ionized form was \u22641.5 nM. Nitropropionate exhibited slow-binding inhibition of the enzyme, with an assocn. rate at pH 8 of 1050 M-1 s-1 (at low nitropropionate) and a dissocn. rate of \u22640.0011 min-1. Nitropropionate also appeared to bind to isocitrate lyase in a 2-step fashion, forming an initial, rapid complex with an apparent Ki of 0.25 mM at pH 8 (23 \u03bcM for the fully ionized form), followed by conversion to a tighter (\u226514,000-fold) complex at a maximal rate of 16 min-1. Itaconate and maleate (sp2 at the \u03b1 position) can also be considered analogs of the carbanion of succinate (sp2 at the \u03b1 position in its aci form). These inhibitors also bound more tightly than succinate (260- and 6-fold, resp.) and exhibited slow-binding inhibition (dissocn. rate = 0.3 and 4 min-1, resp.). Mg2+ was required for tight binding of nitropropionate. Glyoxylate stimulated and succinate prevented binding of nitropropionate. Glyoxylate bound to enzyme-nitropropionate considerably more tightly than to free enzyme as judged by gel filtration with [14C]glyoxylate. Under single turnover conditions (excess enzyme), 1-hydroxy-2-nitro-1,3-[14C]propanedicarboxylate was converted to [14C]glyoxylate and presumably to nitropropionate, but the reverse reaction did not occur. With excess 1-hydroxy-2-nitro-1,3-propanedicarboxylate, isocitrate lyase converted 41% to glyoxylate when the latter was reduced to glycolate with lactate dehydrogenase. At pH 8, the racemic nitro analog of isocitrate had a Km of 95 \u03bcM and a Vmax 0.8% of that of Ds-isocitrate (Km = 85 \u03bcM). [on SciFinder(R)]", "author" : [ { "dropping-particle" : "V", "family" : "Schloss", "given" : "J", "non-dropping-particle" : "", "parse-names" : false, "suffix" : "" }, { "dropping-particle" : "", "family" : "Cleland", "given" : "W W", "non-dropping-particle" : "", "parse-names" : false, "suffix" : "" } ], "container-title" : "Biochemistry", "id" : "ITEM-2", "issue" : "18", "issued" : { "date-parts" : [ [ "1982" ] ] }, "page" : "4420-4427", "title" : "Inhibition of isocitrate lyase by 3-nitropropionate, a reaction-intermediate analogue", "type" : "article-journal", "volume" : "21" }, "uris" : [ "http://www.mendeley.com/documents/?uuid=0eaee473-8cfb-49e0-80b6-8d586543f06f", "http://www.mendeley.com/documents/?uuid=7f32f19a-539c-4a60-974e-14faf8566e89" ] } ], "mendeley" : { "formattedCitation" : "(Rittenhouse &amp; McFadden, 1974; Schloss &amp; Cleland, 1982)", "plainTextFormattedCitation" : "(Rittenhouse &amp; McFadden, 1974; Schloss &amp; Cleland, 1982)", "previouslyFormattedCitation" : "(Rittenhouse &amp; McFadden, 1974; Schloss &amp; Cleland, 1982)" }, "properties" : { "noteIndex" : 0 }, "schema" : "https://github.com/citation-style-language/schema/raw/master/csl-citation.json" }</w:instrText>
      </w:r>
      <w:r>
        <w:fldChar w:fldCharType="separate"/>
      </w:r>
      <w:r w:rsidRPr="003915CC">
        <w:rPr>
          <w:noProof/>
        </w:rPr>
        <w:t>(Rittenhouse &amp; McFadden, 1974; Schloss &amp; Cleland, 1982)</w:t>
      </w:r>
      <w:r>
        <w:fldChar w:fldCharType="end"/>
      </w:r>
      <w:r>
        <w:t>, and potent mixed inhibition by maleic acid (</w:t>
      </w:r>
      <w:r>
        <w:rPr>
          <w:b/>
        </w:rPr>
        <w:t>Figure 2</w:t>
      </w:r>
      <w:r w:rsidRPr="00B240A7">
        <w:rPr>
          <w:b/>
        </w:rPr>
        <w:t>C</w:t>
      </w:r>
      <w:r>
        <w:t>). The latter may reflect the partial structural similarity between PEP and maleic acid.</w:t>
      </w:r>
    </w:p>
    <w:p w14:paraId="1E1B9606" w14:textId="317C3547" w:rsidR="00F562E0" w:rsidRDefault="00FD0DFC" w:rsidP="00AF0DAA">
      <w:pPr>
        <w:jc w:val="both"/>
      </w:pPr>
      <w:r w:rsidRPr="007301CA">
        <w:rPr>
          <w:b/>
        </w:rPr>
        <w:lastRenderedPageBreak/>
        <w:t xml:space="preserve">Structure and regulation of </w:t>
      </w:r>
      <w:r w:rsidRPr="007301CA">
        <w:rPr>
          <w:b/>
          <w:i/>
        </w:rPr>
        <w:t>P. aeruginosa</w:t>
      </w:r>
      <w:r>
        <w:rPr>
          <w:b/>
        </w:rPr>
        <w:t xml:space="preserve"> IDH.</w:t>
      </w:r>
      <w:r>
        <w:t xml:space="preserve"> </w:t>
      </w:r>
      <w:r w:rsidR="00F11AE6">
        <w:t xml:space="preserve">In </w:t>
      </w:r>
      <w:r w:rsidR="00F11AE6" w:rsidRPr="00F11AE6">
        <w:rPr>
          <w:i/>
        </w:rPr>
        <w:t>P. aeruginosa</w:t>
      </w:r>
      <w:r w:rsidR="00F11AE6">
        <w:t>, t</w:t>
      </w:r>
      <w:r w:rsidR="006942C2">
        <w:t xml:space="preserve">wo </w:t>
      </w:r>
      <w:r w:rsidR="006942C2" w:rsidRPr="006942C2">
        <w:rPr>
          <w:i/>
        </w:rPr>
        <w:t>iso</w:t>
      </w:r>
      <w:r w:rsidR="006942C2">
        <w:t xml:space="preserve">citrate dehydrogenases, IDH and ICD, compete with ICL for </w:t>
      </w:r>
      <w:r w:rsidR="006942C2" w:rsidRPr="006942C2">
        <w:rPr>
          <w:i/>
        </w:rPr>
        <w:t>iso</w:t>
      </w:r>
      <w:r w:rsidR="006942C2">
        <w:t xml:space="preserve">citrate. </w:t>
      </w:r>
      <w:r w:rsidR="00911067">
        <w:t>In solution, IDH (</w:t>
      </w:r>
      <w:r w:rsidR="00066387">
        <w:t xml:space="preserve">monomeric molecular mass 82 kDa) </w:t>
      </w:r>
      <w:r w:rsidR="006B7042">
        <w:t xml:space="preserve">had </w:t>
      </w:r>
      <w:r w:rsidR="00066387">
        <w:t>a</w:t>
      </w:r>
      <w:r w:rsidR="006B7042">
        <w:t>n</w:t>
      </w:r>
      <w:r w:rsidR="00066387">
        <w:t xml:space="preserve"> </w:t>
      </w:r>
      <w:r w:rsidR="006B7042">
        <w:t>apparent</w:t>
      </w:r>
      <w:r w:rsidR="00066387">
        <w:t xml:space="preserve"> </w:t>
      </w:r>
      <w:r w:rsidR="00E5635D">
        <w:t xml:space="preserve">molecular mass of 235 kDa </w:t>
      </w:r>
      <w:r w:rsidR="00EB4691">
        <w:t>(</w:t>
      </w:r>
      <w:r w:rsidR="00066387">
        <w:t>GFC/</w:t>
      </w:r>
      <w:r w:rsidR="00E5635D">
        <w:t>MALS</w:t>
      </w:r>
      <w:r w:rsidR="00EB4691">
        <w:t>)</w:t>
      </w:r>
      <w:r w:rsidR="00E5635D">
        <w:t xml:space="preserve"> </w:t>
      </w:r>
      <w:r w:rsidR="00EB4691">
        <w:t>or</w:t>
      </w:r>
      <w:r w:rsidR="00E5635D">
        <w:t xml:space="preserve"> 273 kDa </w:t>
      </w:r>
      <w:r w:rsidR="00EB4691">
        <w:t>(</w:t>
      </w:r>
      <w:r w:rsidR="00E5635D">
        <w:t>AUC</w:t>
      </w:r>
      <w:r w:rsidR="00EB4691">
        <w:t>)</w:t>
      </w:r>
      <w:r w:rsidR="00066387">
        <w:t>, suggesting that it adopts a higher-order structure (</w:t>
      </w:r>
      <w:r w:rsidR="00066387" w:rsidRPr="00066387">
        <w:rPr>
          <w:b/>
        </w:rPr>
        <w:t>Figure S</w:t>
      </w:r>
      <w:r w:rsidR="00B36755">
        <w:rPr>
          <w:b/>
        </w:rPr>
        <w:t>6</w:t>
      </w:r>
      <w:r w:rsidR="00066387">
        <w:t xml:space="preserve">). </w:t>
      </w:r>
      <w:r w:rsidR="00E5635D">
        <w:t xml:space="preserve">To investigate </w:t>
      </w:r>
      <w:r w:rsidR="0089577E">
        <w:t>the enzyme</w:t>
      </w:r>
      <w:r w:rsidR="00E5635D">
        <w:t xml:space="preserve"> further, w</w:t>
      </w:r>
      <w:r w:rsidR="006B7042">
        <w:t xml:space="preserve">e solved </w:t>
      </w:r>
      <w:r w:rsidR="0089577E">
        <w:t>its</w:t>
      </w:r>
      <w:r w:rsidR="006B7042">
        <w:t xml:space="preserve"> x-ray crystal structure </w:t>
      </w:r>
      <w:r w:rsidR="005530E3">
        <w:t xml:space="preserve">(PDB; 6G3U) </w:t>
      </w:r>
      <w:r w:rsidR="006B7042">
        <w:t>t</w:t>
      </w:r>
      <w:r w:rsidR="006942C2">
        <w:t>o 2.7Å resolution</w:t>
      </w:r>
      <w:r w:rsidR="00B242F6">
        <w:t xml:space="preserve"> (</w:t>
      </w:r>
      <w:r w:rsidR="002738AD">
        <w:rPr>
          <w:b/>
        </w:rPr>
        <w:t>Figure 3</w:t>
      </w:r>
      <w:r w:rsidR="00B242F6">
        <w:t>)</w:t>
      </w:r>
      <w:r w:rsidR="006942C2">
        <w:t>.</w:t>
      </w:r>
      <w:r w:rsidR="00066387">
        <w:t xml:space="preserve"> </w:t>
      </w:r>
    </w:p>
    <w:p w14:paraId="7DD360D0" w14:textId="20F29473" w:rsidR="002738AD" w:rsidRDefault="002738AD" w:rsidP="00AF0DAA">
      <w:pPr>
        <w:jc w:val="both"/>
      </w:pPr>
      <w:r>
        <w:t xml:space="preserve">The asymmetric unit comprised two molecules of IDH; one (designated chain A) contained bound </w:t>
      </w:r>
      <w:r w:rsidRPr="00066387">
        <w:rPr>
          <w:rFonts w:ascii="Symbol" w:hAnsi="Symbol"/>
        </w:rPr>
        <w:t></w:t>
      </w:r>
      <w:r>
        <w:t>-</w:t>
      </w:r>
      <w:r w:rsidRPr="00066387">
        <w:rPr>
          <w:i/>
        </w:rPr>
        <w:t>keto</w:t>
      </w:r>
      <w:r>
        <w:t>glutarate and NADP, and the other (chain B) contained no bound substrate/product (</w:t>
      </w:r>
      <w:r>
        <w:rPr>
          <w:b/>
        </w:rPr>
        <w:t>Figure 3A</w:t>
      </w:r>
      <w:r>
        <w:t xml:space="preserve">). However, the interface between these monomers was small and analysis using PISA </w:t>
      </w:r>
      <w:r>
        <w:fldChar w:fldCharType="begin" w:fldLock="1"/>
      </w:r>
      <w:r>
        <w:instrText>ADDIN CSL_CITATION { "citationItems" : [ { "id" : "ITEM-1", "itemData" : { "DOI" : "10.1016/j.jmb.2007.05.022", "abstract" : "We discuss basic physical\u2013chemical principles underlying the formation of stable macromolecular complexes, which in many cases are likely to be the biological units performing a certain physiological function. We also consider available theoretical approaches to the calculation of macromole-cular affinity and entropy of complexation. The latter is shown to play an important role and make a major effect on complex size and symmetry. We develop a new method, based on chemical thermodynamics, for automatic detection of macromolecular assemblies in the Protein Data Bank (PDB) entries that are the results of X-ray diffraction experiments. As found, biological units may be recovered at 80\u201390% success rate, which makes X-ray crystallography an important source of experimental data on macro-molecular complexes and protein\u2013protein interactions. The method is implemented as a public WWW service .", "author" : [ { "dropping-particle" : "", "family" : "Krissinel", "given" : "E", "non-dropping-particle" : "", "parse-names" : false, "suffix" : "" }, { "dropping-particle" : "", "family" : "Henrick", "given" : "K", "non-dropping-particle" : "", "parse-names" : false, "suffix" : "" } ], "container-title" : "Journal of Molecular Biology", "id" : "ITEM-1", "issue" : "3", "issued" : { "date-parts" : [ [ "2007" ] ] }, "page" : "774-797", "title" : "Inference of macromolecular assemblies from crystalline state", "type" : "article-journal", "volume" : "372" }, "uris" : [ "http://www.mendeley.com/documents/?uuid=690d3daf-089d-3ec4-b5ba-533d3572aab2", "http://www.mendeley.com/documents/?uuid=d90868ff-09e1-401c-ab36-519f8a68989a" ] } ], "mendeley" : { "formattedCitation" : "(Krissinel &amp; Henrick, 2007)", "plainTextFormattedCitation" : "(Krissinel &amp; Henrick, 2007)", "previouslyFormattedCitation" : "(Krissinel &amp; Henrick, 2007)" }, "properties" : { "noteIndex" : 0 }, "schema" : "https://github.com/citation-style-language/schema/raw/master/csl-citation.json" }</w:instrText>
      </w:r>
      <w:r>
        <w:fldChar w:fldCharType="separate"/>
      </w:r>
      <w:r w:rsidRPr="003915CC">
        <w:rPr>
          <w:noProof/>
        </w:rPr>
        <w:t>(Krissinel &amp; Henrick, 2007)</w:t>
      </w:r>
      <w:r>
        <w:fldChar w:fldCharType="end"/>
      </w:r>
      <w:r>
        <w:t xml:space="preserve"> suggested that the two molecules cannot be considered to be protomers of a functional dimer. Comparison of the three-dimensional structure of the </w:t>
      </w:r>
      <w:r w:rsidRPr="00911067">
        <w:rPr>
          <w:i/>
        </w:rPr>
        <w:t>P. aeruginosa</w:t>
      </w:r>
      <w:r>
        <w:t xml:space="preserve"> A and B chains revealed large conformational differences, especially in the smaller domain </w:t>
      </w:r>
      <w:r w:rsidRPr="00496E2B">
        <w:t>of each chain (</w:t>
      </w:r>
      <w:r w:rsidRPr="00496E2B">
        <w:rPr>
          <w:b/>
        </w:rPr>
        <w:t>Figure S7</w:t>
      </w:r>
      <w:r w:rsidRPr="00496E2B">
        <w:t>), suggesting that catalysis is accompanied by structural rearrangements.</w:t>
      </w:r>
    </w:p>
    <w:p w14:paraId="23571748" w14:textId="0514A0F7" w:rsidR="00D96D6F" w:rsidRDefault="00F562E0" w:rsidP="000A03E0">
      <w:pPr>
        <w:jc w:val="both"/>
      </w:pPr>
      <w:r>
        <w:t>T</w:t>
      </w:r>
      <w:r w:rsidR="00CD6208" w:rsidRPr="00D13E33">
        <w:t>he</w:t>
      </w:r>
      <w:r w:rsidR="0003352D">
        <w:t xml:space="preserve"> </w:t>
      </w:r>
      <w:r w:rsidR="003C3CB6" w:rsidRPr="00066387">
        <w:rPr>
          <w:rFonts w:ascii="Symbol" w:hAnsi="Symbol"/>
        </w:rPr>
        <w:t></w:t>
      </w:r>
      <w:r w:rsidR="003C3CB6">
        <w:t>-</w:t>
      </w:r>
      <w:r w:rsidR="003C3CB6" w:rsidRPr="00066387">
        <w:rPr>
          <w:i/>
        </w:rPr>
        <w:t>keto</w:t>
      </w:r>
      <w:r w:rsidR="003C3CB6">
        <w:t>glutarate</w:t>
      </w:r>
      <w:r w:rsidR="0003352D">
        <w:t xml:space="preserve"> binding cleft</w:t>
      </w:r>
      <w:r w:rsidR="00CD6208" w:rsidRPr="00D13E33">
        <w:t xml:space="preserve"> is </w:t>
      </w:r>
      <w:r w:rsidR="0003352D">
        <w:t>sandwiched between the</w:t>
      </w:r>
      <w:r w:rsidR="00CD6208" w:rsidRPr="00D13E33">
        <w:t xml:space="preserve"> two </w:t>
      </w:r>
      <w:r w:rsidR="00A65971">
        <w:t xml:space="preserve">IDH </w:t>
      </w:r>
      <w:r w:rsidR="00CD6208" w:rsidRPr="00D13E33">
        <w:t>domains</w:t>
      </w:r>
      <w:r w:rsidR="00F557E3">
        <w:t xml:space="preserve"> (</w:t>
      </w:r>
      <w:r w:rsidR="00496E2B">
        <w:rPr>
          <w:b/>
        </w:rPr>
        <w:t>Figure S7A</w:t>
      </w:r>
      <w:r w:rsidR="00F557E3">
        <w:t>)</w:t>
      </w:r>
      <w:r w:rsidR="0003352D">
        <w:t xml:space="preserve">, </w:t>
      </w:r>
      <w:r w:rsidR="00BC31E3">
        <w:t xml:space="preserve">with side chains </w:t>
      </w:r>
      <w:r w:rsidR="00B14BDD">
        <w:t xml:space="preserve">from both domains </w:t>
      </w:r>
      <w:r w:rsidR="00BC31E3">
        <w:t xml:space="preserve">involved in binding. </w:t>
      </w:r>
      <w:r w:rsidR="00F557E3">
        <w:t xml:space="preserve">The active site </w:t>
      </w:r>
      <w:r w:rsidR="00DA6872">
        <w:t xml:space="preserve">residues are </w:t>
      </w:r>
      <w:r w:rsidR="00900B1F">
        <w:t>remarkably well-</w:t>
      </w:r>
      <w:r w:rsidR="00DA6872">
        <w:t>conserved</w:t>
      </w:r>
      <w:r w:rsidR="0089577E">
        <w:t xml:space="preserve"> </w:t>
      </w:r>
      <w:r w:rsidR="00F557E3">
        <w:t>between</w:t>
      </w:r>
      <w:r w:rsidR="0089577E">
        <w:t xml:space="preserve"> IDH and ICD</w:t>
      </w:r>
      <w:r w:rsidR="00900B1F">
        <w:t xml:space="preserve"> (</w:t>
      </w:r>
      <w:r w:rsidR="0054764D">
        <w:rPr>
          <w:b/>
        </w:rPr>
        <w:t>Figure 3</w:t>
      </w:r>
      <w:r w:rsidR="00EC2036">
        <w:rPr>
          <w:b/>
        </w:rPr>
        <w:t>B</w:t>
      </w:r>
      <w:r w:rsidR="00900B1F">
        <w:t xml:space="preserve">). This </w:t>
      </w:r>
      <w:r w:rsidR="00BC31E3">
        <w:t>is consistent with the proposed common evolutionary origins of both proteins</w:t>
      </w:r>
      <w:r w:rsidR="00796174">
        <w:t xml:space="preserve"> </w:t>
      </w:r>
      <w:r w:rsidR="002D0A81">
        <w:fldChar w:fldCharType="begin" w:fldLock="1"/>
      </w:r>
      <w:r w:rsidR="003915CC">
        <w:instrText>ADDIN CSL_CITATION { "citationItems" : [ { "id" : "ITEM-1", "itemData" : { "DOI" : "10.1016/S0969-2126(02)00904-8", "ISBN" : "0969-2126 (Print)\\r0969-2126 (Linking)", "ISSN" : "09692126", "PMID" : "12467571", "abstract" : "NADP+-dependent isocitrate dehydrogenase is a member of the \u03b2-decarboxylating dehydrogenase family and catalyzes the oxidative decarboxylation reaction from 2R,3S-isocitrate to yield 2-oxoglutarate and CO2 in the Krebs cycle. Although most prokaryotic NADP+-dependent isocitrate dehydrogenases (IDHs) are homodimeric enzymes, the monomeric IDH with a molecular weight of 80\u2013100 kDa has been found in a few species of bacteria. The 1.95 \u00c5 crystal structure of the monomeric IDH revealed that it consists of two distinct domains, and its folding topology is related to the dimeric IDH. The structure of the large domain repeats a motif observed in the dimeric IDH. Such a fusional structure by domain duplication enables a single polypeptide chain to form a structure at the catalytic site that is homologous to the dimeric IDH, the catalytic site of which is located at the interface of two identical subunits.", "author" : [ { "dropping-particle" : "", "family" : "Yasutake", "given" : "Yoshiaki", "non-dropping-particle" : "", "parse-names" : false, "suffix" : "" }, { "dropping-particle" : "", "family" : "Watanabe", "given" : "Seiya", "non-dropping-particle" : "", "parse-names" : false, "suffix" : "" }, { "dropping-particle" : "", "family" : "Yao", "given" : "Min", "non-dropping-particle" : "", "parse-names" : false, "suffix" : "" }, { "dropping-particle" : "", "family" : "Takada", "given" : "Yasuhiro", "non-dropping-particle" : "", "parse-names" : false, "suffix" : "" }, { "dropping-particle" : "", "family" : "Fukunaga", "given" : "Noriyuki", "non-dropping-particle" : "", "parse-names" : false, "suffix" : "" }, { "dropping-particle" : "", "family" : "Tanaka", "given" : "Isao", "non-dropping-particle" : "", "parse-names" : false, "suffix" : "" } ], "container-title" : "Structure", "id" : "ITEM-1", "issue" : "12", "issued" : { "date-parts" : [ [ "2002" ] ] }, "page" : "1637-1648", "title" : "Structure of the monomeric isocitrate dehydrogenase: Evidence of a protein monomerization by a domain duplication", "type" : "article-journal", "volume" : "10" }, "uris" : [ "http://www.mendeley.com/documents/?uuid=28b54b82-f0f2-4e6e-9960-e5254513795b", "http://www.mendeley.com/documents/?uuid=698426a1-d4b0-4dc5-9119-5fc7ab724b12" ] } ], "mendeley" : { "formattedCitation" : "(Yasutake et al., 2002)", "plainTextFormattedCitation" : "(Yasutake et al., 2002)", "previouslyFormattedCitation" : "(Yasutake et al., 2002)" }, "properties" : { "noteIndex" : 0 }, "schema" : "https://github.com/citation-style-language/schema/raw/master/csl-citation.json" }</w:instrText>
      </w:r>
      <w:r w:rsidR="002D0A81">
        <w:fldChar w:fldCharType="separate"/>
      </w:r>
      <w:r w:rsidR="003915CC" w:rsidRPr="003915CC">
        <w:rPr>
          <w:noProof/>
        </w:rPr>
        <w:t>(Yasutake et al., 2002)</w:t>
      </w:r>
      <w:r w:rsidR="002D0A81">
        <w:fldChar w:fldCharType="end"/>
      </w:r>
      <w:r w:rsidR="00BC31E3">
        <w:t xml:space="preserve">, and </w:t>
      </w:r>
      <w:r w:rsidR="00900B1F">
        <w:t>raises the question of why IDH is not a substrate for AceK</w:t>
      </w:r>
      <w:r w:rsidR="00E60CF4">
        <w:t xml:space="preserve"> (</w:t>
      </w:r>
      <w:r w:rsidR="0054764D">
        <w:rPr>
          <w:b/>
        </w:rPr>
        <w:t>Figure 3</w:t>
      </w:r>
      <w:r w:rsidR="00E60CF4" w:rsidRPr="00E60CF4">
        <w:rPr>
          <w:b/>
        </w:rPr>
        <w:t>C</w:t>
      </w:r>
      <w:r w:rsidR="00E60CF4">
        <w:t>)</w:t>
      </w:r>
      <w:r w:rsidR="00900B1F">
        <w:t>.</w:t>
      </w:r>
      <w:r w:rsidR="00296235">
        <w:t xml:space="preserve"> Comparison of the </w:t>
      </w:r>
      <w:r w:rsidR="00296235" w:rsidRPr="00296235">
        <w:rPr>
          <w:i/>
        </w:rPr>
        <w:t>P. aeruginosa</w:t>
      </w:r>
      <w:r w:rsidR="00296235">
        <w:t xml:space="preserve"> IDH </w:t>
      </w:r>
      <w:r w:rsidR="001E30E8">
        <w:t>active site architecture</w:t>
      </w:r>
      <w:r w:rsidR="00296235">
        <w:t xml:space="preserve"> with that of </w:t>
      </w:r>
      <w:r w:rsidR="00BC1A09">
        <w:t xml:space="preserve">ICD in </w:t>
      </w:r>
      <w:r w:rsidR="00B14BDD">
        <w:t>the AceK-</w:t>
      </w:r>
      <w:r w:rsidR="00BF562B">
        <w:t>ICD</w:t>
      </w:r>
      <w:r w:rsidR="00296235">
        <w:t xml:space="preserve"> </w:t>
      </w:r>
      <w:r w:rsidR="004573F2">
        <w:t>complex</w:t>
      </w:r>
      <w:r w:rsidR="00296235">
        <w:t xml:space="preserve"> from </w:t>
      </w:r>
      <w:r w:rsidR="00296235" w:rsidRPr="00296235">
        <w:rPr>
          <w:i/>
        </w:rPr>
        <w:t>E. coli</w:t>
      </w:r>
      <w:r w:rsidR="00296235">
        <w:t xml:space="preserve"> </w:t>
      </w:r>
      <w:r w:rsidR="004573F2">
        <w:t>(PDB;</w:t>
      </w:r>
      <w:r w:rsidR="004573F2" w:rsidRPr="00CE4074">
        <w:t xml:space="preserve"> </w:t>
      </w:r>
      <w:r w:rsidR="004573F2">
        <w:t xml:space="preserve">3LCB) </w:t>
      </w:r>
      <w:r w:rsidR="00296235">
        <w:t xml:space="preserve">reveals that </w:t>
      </w:r>
      <w:r w:rsidR="001E30E8">
        <w:t xml:space="preserve">in spite of the conserved constellation of catalytic residues, </w:t>
      </w:r>
      <w:r w:rsidR="00BC1A09">
        <w:t xml:space="preserve">the </w:t>
      </w:r>
      <w:r w:rsidR="001E30E8">
        <w:t xml:space="preserve">active sites are differently-structured, with the </w:t>
      </w:r>
      <w:r w:rsidR="00BC1A09">
        <w:t>two ICD motifs</w:t>
      </w:r>
      <w:r w:rsidR="00CE4074">
        <w:t xml:space="preserve"> known to be </w:t>
      </w:r>
      <w:r w:rsidR="005B41B3">
        <w:t>critical</w:t>
      </w:r>
      <w:r w:rsidR="00CE4074">
        <w:t xml:space="preserve"> for recognition by </w:t>
      </w:r>
      <w:r w:rsidR="00623A5C">
        <w:t>AceK</w:t>
      </w:r>
      <w:r w:rsidR="00CE4074">
        <w:t xml:space="preserve"> </w:t>
      </w:r>
      <w:r w:rsidR="00BC1A09">
        <w:t xml:space="preserve">(the P-loop and </w:t>
      </w:r>
      <w:r w:rsidR="00BC1A09" w:rsidRPr="00BA76BC">
        <w:rPr>
          <w:u w:val="single"/>
        </w:rPr>
        <w:t>A</w:t>
      </w:r>
      <w:r w:rsidR="00BC1A09">
        <w:t xml:space="preserve">ceK </w:t>
      </w:r>
      <w:r w:rsidR="00BC1A09">
        <w:rPr>
          <w:u w:val="single"/>
        </w:rPr>
        <w:t>r</w:t>
      </w:r>
      <w:r w:rsidR="00BC1A09">
        <w:t xml:space="preserve">ecognition </w:t>
      </w:r>
      <w:r w:rsidR="00BC1A09">
        <w:rPr>
          <w:u w:val="single"/>
        </w:rPr>
        <w:t>s</w:t>
      </w:r>
      <w:r w:rsidR="00BC1A09">
        <w:t xml:space="preserve">egment (ARS)) </w:t>
      </w:r>
      <w:r w:rsidR="00CE4074">
        <w:t>absent in IDH</w:t>
      </w:r>
      <w:r w:rsidR="00EC2036">
        <w:t xml:space="preserve"> (</w:t>
      </w:r>
      <w:r w:rsidR="00E60CF4">
        <w:rPr>
          <w:b/>
        </w:rPr>
        <w:t>Figu</w:t>
      </w:r>
      <w:r w:rsidR="0054764D">
        <w:rPr>
          <w:b/>
        </w:rPr>
        <w:t>re 3</w:t>
      </w:r>
      <w:r w:rsidR="00E60CF4">
        <w:rPr>
          <w:b/>
        </w:rPr>
        <w:t>D</w:t>
      </w:r>
      <w:r w:rsidR="00EC2036">
        <w:t>)</w:t>
      </w:r>
      <w:r w:rsidR="002D0A81">
        <w:t>.</w:t>
      </w:r>
    </w:p>
    <w:p w14:paraId="5F24FA59" w14:textId="036FD1BE" w:rsidR="00C140AE" w:rsidRDefault="00844228" w:rsidP="00C978EB">
      <w:pPr>
        <w:jc w:val="both"/>
      </w:pPr>
      <w:r>
        <w:t>Glyoxylate was recently reported to be the princip</w:t>
      </w:r>
      <w:r w:rsidR="00F45E16">
        <w:t>al</w:t>
      </w:r>
      <w:r>
        <w:t xml:space="preserve"> regulator of IDH in </w:t>
      </w:r>
      <w:r w:rsidRPr="00844228">
        <w:rPr>
          <w:i/>
        </w:rPr>
        <w:t>M. smegmatis</w:t>
      </w:r>
      <w:r>
        <w:t>, enabling “rheostatic” control of flux through the glyoxylate shunt</w:t>
      </w:r>
      <w:r w:rsidR="00796174">
        <w:t xml:space="preserve"> </w:t>
      </w:r>
      <w:r w:rsidR="00324538">
        <w:fldChar w:fldCharType="begin" w:fldLock="1"/>
      </w:r>
      <w:r w:rsidR="003915CC">
        <w:instrText>ADDIN CSL_CITATION { "citationItems" : [ { "id" : "ITEM-1", "itemData" : { "DOI" : "10.1038/ncomms12527", "abstract" : "Fatty acid metabolism is an important feature of the pathogenicity of Mycobacterium tuberculosis during infection. Consumption of fatty acids requires regulation of carbon flux bifurcation between the oxidative TCA cycle and the glyoxylate shunt. In Escherichia coli, flux bifurcation is regulated by phosphorylation-mediated inhibition of isocitrate dehydrogenase (ICD), a paradigmatic example of post-translational mechanisms governing metabolic fluxes. Here, we demonstrate that, in contrast to E. coli, carbon flux bifurcation in mycobacteria is regulated not by phosphorylation but through metabolic cross-activation of ICD by glyoxylate, which is produced by the glyoxylate shunt enzyme isocitrate lyase (ICL). This regulatory circuit maintains stable partitioning of fluxes, thus ensuring a balance between anaplerosis, energy production, and precursor biosynthesis. The rheostat-like mechanism of metabolite-mediated control of flux partitioning demonstrates the importance of allosteric regulation during metabolic steady-state. The sensitivity of this regulatory mechanism to perturbations presents a potentially attractive target for chemotherapy.", "author" : [ { "dropping-particle" : "", "family" : "Murima", "given" : "Paul", "non-dropping-particle" : "", "parse-names" : false, "suffix" : "" }, { "dropping-particle" : "", "family" : "Zimmermann", "given" : "Michael", "non-dropping-particle" : "", "parse-names" : false, "suffix" : "" }, { "dropping-particle" : "", "family" : "Chopra", "given" : "Tarun", "non-dropping-particle" : "", "parse-names" : false, "suffix" : "" }, { "dropping-particle" : "", "family" : "Pojer", "given" : "Florence", "non-dropping-particle" : "", "parse-names" : false, "suffix" : "" }, { "dropping-particle" : "", "family" : "Fonti", "given" : "Giulia", "non-dropping-particle" : "", "parse-names" : false, "suffix" : "" }, { "dropping-particle" : "", "family" : "Dal Peraro", "given" : "Matteo", "non-dropping-particle" : "", "parse-names" : false, "suffix" : "" }, { "dropping-particle" : "", "family" : "Alonso", "given" : "Sylvie", "non-dropping-particle" : "", "parse-names" : false, "suffix" : "" }, { "dropping-particle" : "", "family" : "Sauer", "given" : "Uwe", "non-dropping-particle" : "", "parse-names" : false, "suffix" : "" }, { "dropping-particle" : "", "family" : "Pethe", "given" : "Kevin", "non-dropping-particle" : "", "parse-names" : false, "suffix" : "" }, { "dropping-particle" : "", "family" : "Mckinney", "given" : "John D", "non-dropping-particle" : "", "parse-names" : false, "suffix" : "" } ], "container-title" : "Nature Communications", "id" : "ITEM-1", "issue" : "1", "issued" : { "date-parts" : [ [ "2016" ] ] }, "page" : "12527", "title" : "A rheostat mechanism governs the bifurcation of carbon flux in mycobacteria", "type" : "article-journal", "volume" : "7" }, "uris" : [ "http://www.mendeley.com/documents/?uuid=c6117043-3514-356c-8139-42470887bff0", "http://www.mendeley.com/documents/?uuid=048c8bcc-07ef-442f-84eb-9d666f62eed3" ] } ], "mendeley" : { "formattedCitation" : "(Murima et al., 2016)", "plainTextFormattedCitation" : "(Murima et al., 2016)", "previouslyFormattedCitation" : "(Murima et al., 2016)" }, "properties" : { "noteIndex" : 0 }, "schema" : "https://github.com/citation-style-language/schema/raw/master/csl-citation.json" }</w:instrText>
      </w:r>
      <w:r w:rsidR="00324538">
        <w:fldChar w:fldCharType="separate"/>
      </w:r>
      <w:r w:rsidR="003915CC" w:rsidRPr="003915CC">
        <w:rPr>
          <w:noProof/>
        </w:rPr>
        <w:t>(Murima et al., 2016)</w:t>
      </w:r>
      <w:r w:rsidR="00324538">
        <w:fldChar w:fldCharType="end"/>
      </w:r>
      <w:r>
        <w:t>. However,</w:t>
      </w:r>
      <w:r w:rsidR="00AC0D2C">
        <w:t xml:space="preserve"> and although glyoxylate did stimulate</w:t>
      </w:r>
      <w:r>
        <w:t xml:space="preserve"> </w:t>
      </w:r>
      <w:r w:rsidRPr="00844228">
        <w:rPr>
          <w:i/>
        </w:rPr>
        <w:t>P. aeruginosa</w:t>
      </w:r>
      <w:r>
        <w:t xml:space="preserve"> </w:t>
      </w:r>
      <w:r w:rsidR="00AC0D2C">
        <w:t xml:space="preserve">IDH activity, </w:t>
      </w:r>
      <w:r w:rsidR="0082620C">
        <w:t>pyruvate and oxaloacetate</w:t>
      </w:r>
      <w:r w:rsidR="00AC0D2C">
        <w:t xml:space="preserve"> were far more potent regulators</w:t>
      </w:r>
      <w:r w:rsidR="0082620C">
        <w:t>.</w:t>
      </w:r>
      <w:r w:rsidR="00057C89">
        <w:t xml:space="preserve"> </w:t>
      </w:r>
      <w:r w:rsidR="00C140AE">
        <w:t>All three</w:t>
      </w:r>
      <w:r w:rsidR="00057C89">
        <w:t xml:space="preserve"> compounds </w:t>
      </w:r>
      <w:r w:rsidR="00BC1A09">
        <w:t>changed</w:t>
      </w:r>
      <w:r w:rsidR="00057C89">
        <w:t xml:space="preserve"> the </w:t>
      </w:r>
      <w:r w:rsidR="00057C89" w:rsidRPr="008613BF">
        <w:rPr>
          <w:i/>
        </w:rPr>
        <w:t>iso</w:t>
      </w:r>
      <w:r w:rsidR="00057C89">
        <w:t xml:space="preserve">citrate dependency of IDH kinetics from </w:t>
      </w:r>
      <w:r w:rsidR="00BC1A09">
        <w:t>hyperbolic</w:t>
      </w:r>
      <w:r w:rsidR="008613BF">
        <w:t xml:space="preserve"> to sigmoidal </w:t>
      </w:r>
      <w:r w:rsidR="00654569">
        <w:t>(</w:t>
      </w:r>
      <w:r w:rsidR="0054764D">
        <w:rPr>
          <w:b/>
        </w:rPr>
        <w:t>Figure 4</w:t>
      </w:r>
      <w:r w:rsidR="00654569" w:rsidRPr="00654569">
        <w:rPr>
          <w:b/>
        </w:rPr>
        <w:t>A</w:t>
      </w:r>
      <w:r w:rsidR="00654569">
        <w:t>)</w:t>
      </w:r>
      <w:r w:rsidR="008613BF">
        <w:t xml:space="preserve">, and </w:t>
      </w:r>
      <w:r w:rsidR="00C140AE">
        <w:t>all</w:t>
      </w:r>
      <w:r w:rsidR="008613BF">
        <w:t xml:space="preserve"> had a pronounced effect on k</w:t>
      </w:r>
      <w:r w:rsidR="008613BF" w:rsidRPr="008613BF">
        <w:rPr>
          <w:vertAlign w:val="subscript"/>
        </w:rPr>
        <w:t>cat</w:t>
      </w:r>
      <w:r w:rsidR="00F13C49">
        <w:t xml:space="preserve"> </w:t>
      </w:r>
      <w:r w:rsidR="00C83009">
        <w:t>with only a small impact on K</w:t>
      </w:r>
      <w:r w:rsidR="00C83009" w:rsidRPr="00C83009">
        <w:rPr>
          <w:vertAlign w:val="subscript"/>
        </w:rPr>
        <w:t>M</w:t>
      </w:r>
      <w:r w:rsidR="00C83009">
        <w:t xml:space="preserve"> </w:t>
      </w:r>
      <w:r w:rsidR="00F13C49">
        <w:t>(</w:t>
      </w:r>
      <w:r w:rsidR="00F13C49" w:rsidRPr="00F13C49">
        <w:rPr>
          <w:b/>
        </w:rPr>
        <w:t>Table I</w:t>
      </w:r>
      <w:r w:rsidR="00F13C49">
        <w:t>)</w:t>
      </w:r>
      <w:r w:rsidR="00107A0D">
        <w:t xml:space="preserve">, </w:t>
      </w:r>
      <w:r w:rsidR="00C83009">
        <w:t xml:space="preserve">indicating that the enzyme </w:t>
      </w:r>
      <w:r w:rsidR="0054764D">
        <w:t xml:space="preserve">is of the </w:t>
      </w:r>
      <w:r w:rsidR="00C83009">
        <w:t>rarer</w:t>
      </w:r>
      <w:r w:rsidR="00285FE6">
        <w:t xml:space="preserve"> </w:t>
      </w:r>
      <w:r w:rsidR="0054764D">
        <w:t>V-type allosteric class</w:t>
      </w:r>
      <w:r w:rsidR="008613BF">
        <w:t xml:space="preserve">. </w:t>
      </w:r>
      <w:r w:rsidR="00107A0D">
        <w:t>The</w:t>
      </w:r>
      <w:r w:rsidR="00F13C49">
        <w:t xml:space="preserve"> </w:t>
      </w:r>
      <w:r w:rsidR="00B14BDD">
        <w:t xml:space="preserve">shift to </w:t>
      </w:r>
      <w:r w:rsidR="00107A0D">
        <w:t>sigmoidal</w:t>
      </w:r>
      <w:r w:rsidR="00F13C49">
        <w:t xml:space="preserve"> </w:t>
      </w:r>
      <w:r w:rsidR="00B14BDD" w:rsidRPr="00AB48DA">
        <w:rPr>
          <w:i/>
        </w:rPr>
        <w:t>iso</w:t>
      </w:r>
      <w:r w:rsidR="00B14BDD">
        <w:t xml:space="preserve">citrate </w:t>
      </w:r>
      <w:r w:rsidR="00107A0D">
        <w:t xml:space="preserve">kinetics in the presence of </w:t>
      </w:r>
      <w:r w:rsidR="00C140AE">
        <w:t>these activators</w:t>
      </w:r>
      <w:r w:rsidR="00107A0D">
        <w:t xml:space="preserve"> </w:t>
      </w:r>
      <w:r w:rsidR="00C140AE">
        <w:t xml:space="preserve">suggests </w:t>
      </w:r>
      <w:r w:rsidR="00107A0D">
        <w:t>cooperativity</w:t>
      </w:r>
      <w:r w:rsidR="00C83009">
        <w:t xml:space="preserve"> in substrate binding</w:t>
      </w:r>
      <w:r w:rsidR="00107A0D">
        <w:t xml:space="preserve">, </w:t>
      </w:r>
      <w:r w:rsidR="00F13C49">
        <w:t xml:space="preserve">consistent with </w:t>
      </w:r>
      <w:r w:rsidR="00C83009">
        <w:t>IDH</w:t>
      </w:r>
      <w:r w:rsidR="00AB48DA">
        <w:t xml:space="preserve"> adopting a higher-order structure in solution. </w:t>
      </w:r>
      <w:r w:rsidR="008613BF">
        <w:t xml:space="preserve">However, </w:t>
      </w:r>
      <w:r w:rsidR="00021256">
        <w:t xml:space="preserve">these effectors </w:t>
      </w:r>
      <w:r w:rsidR="00F13C49">
        <w:t xml:space="preserve">had </w:t>
      </w:r>
      <w:r w:rsidR="0045404D">
        <w:t xml:space="preserve">much </w:t>
      </w:r>
      <w:r w:rsidR="00F13C49">
        <w:t xml:space="preserve">less impact </w:t>
      </w:r>
      <w:r w:rsidR="008613BF">
        <w:t>on the NADP-dependency of IDH kinetics</w:t>
      </w:r>
      <w:r w:rsidR="00021256">
        <w:t>,</w:t>
      </w:r>
      <w:r w:rsidR="008613BF">
        <w:t xml:space="preserve"> </w:t>
      </w:r>
      <w:r w:rsidR="00021256">
        <w:t xml:space="preserve">which </w:t>
      </w:r>
      <w:r w:rsidR="008613BF">
        <w:t xml:space="preserve">remained </w:t>
      </w:r>
      <w:r w:rsidR="00A071C3">
        <w:t xml:space="preserve">essentially </w:t>
      </w:r>
      <w:r w:rsidR="008613BF">
        <w:t>hyperbolic</w:t>
      </w:r>
      <w:r w:rsidR="00654569">
        <w:t xml:space="preserve"> (</w:t>
      </w:r>
      <w:r w:rsidR="0054764D">
        <w:rPr>
          <w:b/>
        </w:rPr>
        <w:t>Figure 4</w:t>
      </w:r>
      <w:r w:rsidR="00654569">
        <w:rPr>
          <w:b/>
        </w:rPr>
        <w:t>B</w:t>
      </w:r>
      <w:r w:rsidR="00654569">
        <w:t>)</w:t>
      </w:r>
      <w:r w:rsidR="008613BF">
        <w:t>.</w:t>
      </w:r>
      <w:r w:rsidR="00284F41">
        <w:t xml:space="preserve"> In common with previously characterised </w:t>
      </w:r>
      <w:r w:rsidR="00284F41" w:rsidRPr="00284F41">
        <w:rPr>
          <w:i/>
        </w:rPr>
        <w:t>iso</w:t>
      </w:r>
      <w:r w:rsidR="00284F41">
        <w:t xml:space="preserve">citrate dehydrogenases, IDH (and also, ICD) was </w:t>
      </w:r>
      <w:r w:rsidR="004375F3">
        <w:t xml:space="preserve">strongly inhibited by </w:t>
      </w:r>
      <w:r w:rsidR="00284F41">
        <w:t>mixture</w:t>
      </w:r>
      <w:r w:rsidR="004375F3">
        <w:t>s</w:t>
      </w:r>
      <w:r w:rsidR="00284F41">
        <w:t xml:space="preserve"> </w:t>
      </w:r>
      <w:r w:rsidR="004375F3">
        <w:t>containing</w:t>
      </w:r>
      <w:r w:rsidR="00284F41">
        <w:t xml:space="preserve"> oxaloac</w:t>
      </w:r>
      <w:r w:rsidR="004375F3">
        <w:t>etate and glyoxylate</w:t>
      </w:r>
      <w:r w:rsidR="00284F41">
        <w:t>, presumably due to the non-enzymatic formation of oxalomalate</w:t>
      </w:r>
      <w:r w:rsidR="00796174">
        <w:t xml:space="preserve"> </w:t>
      </w:r>
      <w:r w:rsidR="004322CF">
        <w:fldChar w:fldCharType="begin" w:fldLock="1"/>
      </w:r>
      <w:r w:rsidR="00B23662">
        <w:instrText>ADDIN CSL_CITATION { "citationItems" : [ { "id" : "ITEM-1", "itemData" : { "ISSN" : "0264-6021", "PMID" : "3521584", "abstract" : "The inhibition of Escherichia coli isocitrate dehydrogenase by glyoxylate and oxaloacetate was examined. The shapes of the progress curves in the presence of the inhibitors depended on the order of addition of the assay components. When isocitrate dehydrogenase or NADP+ was added last, the rate slowly decreased until a new, inhibited, steady state was obtained. When isocitrate was added last, the initial rate was almost zero, but the rate increased slowly until the same steady-state value was obtained. Glyoxylate and oxaloacetate gave competitive inhibition against isocitrate and uncompetitive inhibition against NADP+. Product-inhibition studies showed that isocitrate dehydrogenase obeys a compulsory-order mechanism, with coenzyme binding first. Glyoxylate and oxaloacetate bind to and dissociate from isocitrate dehydrogenase slowly. These observations can account for the shapes of the progress curves observed in the presence of the inhibitors. Condensation of glyoxylate and oxaloacetate produced an extremely potent inhibitor of isocitrate dehydrogenase. Analysis of the reaction by h.p.l.c. showed that this correlated with the formation of oxalomalate. This compound decomposed spontaneously in assay mixtures, giving 4-hydroxy-2-oxoglutarate, which was a much less potent inhibitor of the enzyme. Oxalomalate inhibited isocitrate dehydrogenase competitively with respect to isocitrate and was a very poor substrate for the enzyme. The data suggest that the inhibition of isocitrate dehydrogenase by glyoxylate and oxaloacetate is not physiologically significant.", "author" : [ { "dropping-particle" : "", "family" : "Nimmo", "given" : "H G", "non-dropping-particle" : "", "parse-names" : false, "suffix" : "" } ], "container-title" : "The Biochemical Journal", "id" : "ITEM-1", "issue" : "2", "issued" : { "date-parts" : [ [ "1986" ] ] }, "page" : "317-23", "title" : "Kinetic mechanism of Escherichia coli isocitrate dehydrogenase and its inhibition by glyoxylate and oxaloacetate", "type" : "article-journal", "volume" : "234" }, "uris" : [ "http://www.mendeley.com/documents/?uuid=735ccefb-4a41-455d-a60d-2f807226ee2e", "http://www.mendeley.com/documents/?uuid=c6e1c563-b2e1-4c08-bf5c-9d94b82937b3" ] } ], "mendeley" : { "formattedCitation" : "(H. G. Nimmo, 1986)", "manualFormatting" : "(Nimmo, 1986)", "plainTextFormattedCitation" : "(H. G. Nimmo, 1986)", "previouslyFormattedCitation" : "(H. G. Nimmo, 1986)" }, "properties" : { "noteIndex" : 0 }, "schema" : "https://github.com/citation-style-language/schema/raw/master/csl-citation.json" }</w:instrText>
      </w:r>
      <w:r w:rsidR="004322CF">
        <w:fldChar w:fldCharType="separate"/>
      </w:r>
      <w:r w:rsidR="003915CC" w:rsidRPr="003915CC">
        <w:rPr>
          <w:noProof/>
        </w:rPr>
        <w:t>(Nimmo, 1986)</w:t>
      </w:r>
      <w:r w:rsidR="004322CF">
        <w:fldChar w:fldCharType="end"/>
      </w:r>
      <w:r w:rsidR="004322CF">
        <w:t>.</w:t>
      </w:r>
    </w:p>
    <w:p w14:paraId="28A51654" w14:textId="6B9D7D20" w:rsidR="007D598D" w:rsidRDefault="00BF562B" w:rsidP="00C978EB">
      <w:pPr>
        <w:jc w:val="both"/>
      </w:pPr>
      <w:r w:rsidRPr="00BF562B">
        <w:rPr>
          <w:b/>
        </w:rPr>
        <w:t>Structure and regulation of ICD</w:t>
      </w:r>
      <w:r>
        <w:t xml:space="preserve">. </w:t>
      </w:r>
      <w:r w:rsidR="0056587A">
        <w:t>The second</w:t>
      </w:r>
      <w:r w:rsidR="0056587A" w:rsidRPr="0056587A">
        <w:rPr>
          <w:i/>
        </w:rPr>
        <w:t xml:space="preserve"> iso</w:t>
      </w:r>
      <w:r w:rsidR="0056587A">
        <w:t xml:space="preserve">citrate dehydrogenase encoded by </w:t>
      </w:r>
      <w:r w:rsidR="0056587A" w:rsidRPr="0056587A">
        <w:rPr>
          <w:i/>
        </w:rPr>
        <w:t>P. aeruginosa</w:t>
      </w:r>
      <w:r w:rsidR="0056587A">
        <w:t xml:space="preserve"> is ICD. </w:t>
      </w:r>
      <w:r w:rsidR="0056587A" w:rsidRPr="0056587A">
        <w:rPr>
          <w:i/>
        </w:rPr>
        <w:t>P. aeruginosa</w:t>
      </w:r>
      <w:r w:rsidR="0056587A">
        <w:t xml:space="preserve"> ICD crystallised as a dimer (</w:t>
      </w:r>
      <w:r w:rsidR="006F2424">
        <w:rPr>
          <w:b/>
        </w:rPr>
        <w:t xml:space="preserve">Figure </w:t>
      </w:r>
      <w:r w:rsidR="00FC7B24">
        <w:rPr>
          <w:b/>
        </w:rPr>
        <w:t>5A</w:t>
      </w:r>
      <w:r w:rsidR="00B242F6">
        <w:rPr>
          <w:b/>
        </w:rPr>
        <w:t>, Table S1</w:t>
      </w:r>
      <w:r w:rsidR="0056587A">
        <w:t>) and also behaved as a dimer in solution (</w:t>
      </w:r>
      <w:r w:rsidR="006F2424">
        <w:rPr>
          <w:b/>
        </w:rPr>
        <w:t>Figure S9</w:t>
      </w:r>
      <w:r w:rsidR="0056587A">
        <w:t>). The structure</w:t>
      </w:r>
      <w:r w:rsidR="005530E3">
        <w:t xml:space="preserve"> (PDB; 5M2E)</w:t>
      </w:r>
      <w:r w:rsidR="0056587A">
        <w:t xml:space="preserve">, solved to 2.7Å resolution, was very similar to that reported for the </w:t>
      </w:r>
      <w:r w:rsidR="0056587A" w:rsidRPr="0056587A">
        <w:rPr>
          <w:i/>
        </w:rPr>
        <w:t>E. coli</w:t>
      </w:r>
      <w:r w:rsidR="0056587A">
        <w:t xml:space="preserve"> enzyme</w:t>
      </w:r>
      <w:r w:rsidR="00463376">
        <w:t xml:space="preserve"> (</w:t>
      </w:r>
      <w:r w:rsidR="00463376" w:rsidRPr="00463376">
        <w:rPr>
          <w:b/>
        </w:rPr>
        <w:t>Figure S</w:t>
      </w:r>
      <w:r w:rsidR="006F2424">
        <w:rPr>
          <w:b/>
        </w:rPr>
        <w:t>8</w:t>
      </w:r>
      <w:r w:rsidR="00FC7B24">
        <w:rPr>
          <w:b/>
        </w:rPr>
        <w:t>A</w:t>
      </w:r>
      <w:r w:rsidR="00463376">
        <w:t>)</w:t>
      </w:r>
      <w:r w:rsidR="0056587A">
        <w:t>, with a clasp-like structure mediating the dimerization</w:t>
      </w:r>
      <w:r w:rsidR="00796174">
        <w:t xml:space="preserve"> </w:t>
      </w:r>
      <w:r w:rsidR="0094044D">
        <w:fldChar w:fldCharType="begin" w:fldLock="1"/>
      </w:r>
      <w:r w:rsidR="003915CC">
        <w:instrText>ADDIN CSL_CITATION { "citationItems" : [ { "id" : "ITEM-1", "itemData" : { "DOI" : "10.1073/pnas.86.22.8635", "ISBN" : "0027-8424 (Print)", "ISSN" : "0027-8424", "PMID" : "2682654", "abstract" : "The structure of isocitrate dehydrogenase [threo-DS-isocitrate: NADP+ oxidoreductase (decarboxylating), EC 1.1.1.42] from Escherichia coli has been solved and refined at 2.5 A resolution and is topologically different from that of any other dehydrogenase. This enzyme, a dimer of identical 416-residue subunits, is inactivated by phosphorylation at Ser-113, which lies at the edge of an interdomain pocket that also contains many residues conserved between isocitrate dehydrogenase and isopropylmalate dehydrogenase. Isocitrate dehydrogenase contains an unusual clasp-like domain in which both polypeptide chains in the dimer interlock. Based on the structure of isocitrate dehydrogenase and conservation with isopropylmalate dehydrogenase, we suggest that the active site lies in an interdomain pocket close to the phosphorylation site.", "author" : [ { "dropping-particle" : "", "family" : "Hurley", "given" : "J H", "non-dropping-particle" : "", "parse-names" : false, "suffix" : "" }, { "dropping-particle" : "", "family" : "Thorsness", "given" : "P E", "non-dropping-particle" : "", "parse-names" : false, "suffix" : "" }, { "dropping-particle" : "", "family" : "Ramalingam", "given" : "V", "non-dropping-particle" : "", "parse-names" : false, "suffix" : "" }, { "dropping-particle" : "", "family" : "Helmers", "given" : "N H", "non-dropping-particle" : "", "parse-names" : false, "suffix" : "" }, { "dropping-particle" : "", "family" : "Koshland", "given" : "D E", "non-dropping-particle" : "", "parse-names" : false, "suffix" : "" }, { "dropping-particle" : "", "family" : "Stroud", "given" : "R M", "non-dropping-particle" : "", "parse-names" : false, "suffix" : "" } ], "container-title" : "Proceedings of the National Academy of Sciences", "id" : "ITEM-1", "issue" : "22", "issued" : { "date-parts" : [ [ "1989" ] ] }, "page" : "8635-8639", "title" : "Structure of a bacterial enzyme regulated by phosphorylation, isocitrate dehydrogenase", "type" : "article-journal", "volume" : "86" }, "uris" : [ "http://www.mendeley.com/documents/?uuid=0f8e5871-2a88-4dd4-872b-ffc222bda6a2", "http://www.mendeley.com/documents/?uuid=5514e55e-e9dc-4ea1-a5b2-9ee580ae4567" ] } ], "mendeley" : { "formattedCitation" : "(Hurley et al., 1989)", "plainTextFormattedCitation" : "(Hurley et al., 1989)", "previouslyFormattedCitation" : "(Hurley et al., 1989)" }, "properties" : { "noteIndex" : 0 }, "schema" : "https://github.com/citation-style-language/schema/raw/master/csl-citation.json" }</w:instrText>
      </w:r>
      <w:r w:rsidR="0094044D">
        <w:fldChar w:fldCharType="separate"/>
      </w:r>
      <w:r w:rsidR="003915CC" w:rsidRPr="003915CC">
        <w:rPr>
          <w:noProof/>
        </w:rPr>
        <w:t>(Hurley et al., 1989)</w:t>
      </w:r>
      <w:r w:rsidR="0094044D">
        <w:fldChar w:fldCharType="end"/>
      </w:r>
      <w:r w:rsidR="0056587A">
        <w:t>.</w:t>
      </w:r>
      <w:r w:rsidR="00A62674">
        <w:t xml:space="preserve"> </w:t>
      </w:r>
      <w:r w:rsidR="007E3D13">
        <w:t xml:space="preserve">The </w:t>
      </w:r>
      <w:r w:rsidR="001220D5">
        <w:t xml:space="preserve">residues lining the </w:t>
      </w:r>
      <w:r w:rsidR="00CE11A3" w:rsidRPr="00CE11A3">
        <w:t>substrate binding</w:t>
      </w:r>
      <w:r w:rsidR="001220D5">
        <w:t xml:space="preserve"> site</w:t>
      </w:r>
      <w:r w:rsidR="00CE11A3">
        <w:t xml:space="preserve"> </w:t>
      </w:r>
      <w:r w:rsidR="001220D5">
        <w:t xml:space="preserve">were also conserved </w:t>
      </w:r>
      <w:r w:rsidR="0089577E">
        <w:t>between</w:t>
      </w:r>
      <w:r w:rsidR="007E3D13">
        <w:t xml:space="preserve"> </w:t>
      </w:r>
      <w:r w:rsidR="001220D5">
        <w:t>the</w:t>
      </w:r>
      <w:r w:rsidR="007E3D13">
        <w:t xml:space="preserve"> </w:t>
      </w:r>
      <w:r w:rsidR="007E3D13" w:rsidRPr="007E3D13">
        <w:rPr>
          <w:i/>
        </w:rPr>
        <w:t>E. coli</w:t>
      </w:r>
      <w:r w:rsidR="007E3D13">
        <w:t xml:space="preserve"> </w:t>
      </w:r>
      <w:r w:rsidR="00CE11A3">
        <w:t xml:space="preserve">and </w:t>
      </w:r>
      <w:r w:rsidR="00CE11A3" w:rsidRPr="00CE11A3">
        <w:rPr>
          <w:i/>
        </w:rPr>
        <w:t>P. aeruginosa</w:t>
      </w:r>
      <w:r w:rsidR="00CE11A3">
        <w:t xml:space="preserve"> </w:t>
      </w:r>
      <w:r w:rsidR="001220D5">
        <w:t>enzyme</w:t>
      </w:r>
      <w:r w:rsidR="00CE11A3">
        <w:t>s</w:t>
      </w:r>
      <w:r w:rsidR="001220D5">
        <w:t xml:space="preserve"> </w:t>
      </w:r>
      <w:r w:rsidR="007E3D13">
        <w:t>(</w:t>
      </w:r>
      <w:r w:rsidR="007E3D13" w:rsidRPr="007E3D13">
        <w:rPr>
          <w:b/>
        </w:rPr>
        <w:t>Figure S</w:t>
      </w:r>
      <w:r w:rsidR="006F2424">
        <w:rPr>
          <w:b/>
        </w:rPr>
        <w:t>8</w:t>
      </w:r>
      <w:r w:rsidR="00FC7B24">
        <w:rPr>
          <w:b/>
        </w:rPr>
        <w:t>B</w:t>
      </w:r>
      <w:r w:rsidR="00F557E3">
        <w:t xml:space="preserve">). </w:t>
      </w:r>
      <w:r w:rsidR="00A62674">
        <w:t xml:space="preserve">ICD was competitively inhibited by the reaction product, </w:t>
      </w:r>
      <w:r w:rsidR="00A62674" w:rsidRPr="00A62674">
        <w:rPr>
          <w:rFonts w:ascii="Symbol" w:hAnsi="Symbol"/>
        </w:rPr>
        <w:t></w:t>
      </w:r>
      <w:r w:rsidR="00A62674">
        <w:t>-</w:t>
      </w:r>
      <w:r w:rsidR="00A62674" w:rsidRPr="00A62674">
        <w:rPr>
          <w:i/>
        </w:rPr>
        <w:t>keto</w:t>
      </w:r>
      <w:r w:rsidR="00A62674">
        <w:t>glutarate (</w:t>
      </w:r>
      <w:r w:rsidR="00A62674" w:rsidRPr="00246C10">
        <w:t>K</w:t>
      </w:r>
      <w:r w:rsidR="00A62674" w:rsidRPr="00246C10">
        <w:rPr>
          <w:vertAlign w:val="subscript"/>
        </w:rPr>
        <w:t>i</w:t>
      </w:r>
      <w:r w:rsidR="00A62674" w:rsidRPr="00246C10">
        <w:t xml:space="preserve"> </w:t>
      </w:r>
      <w:r w:rsidR="00246C10">
        <w:t xml:space="preserve">666 </w:t>
      </w:r>
      <w:r w:rsidR="00246C10" w:rsidRPr="00246C10">
        <w:rPr>
          <w:rFonts w:ascii="Symbol" w:hAnsi="Symbol"/>
        </w:rPr>
        <w:t></w:t>
      </w:r>
      <w:r w:rsidR="00246C10">
        <w:t>M</w:t>
      </w:r>
      <w:r w:rsidR="00DE2F85">
        <w:t xml:space="preserve">, </w:t>
      </w:r>
      <w:r w:rsidR="00DE2F85" w:rsidRPr="00DE2F85">
        <w:rPr>
          <w:b/>
        </w:rPr>
        <w:t>Figure S</w:t>
      </w:r>
      <w:r w:rsidR="006F2424">
        <w:rPr>
          <w:b/>
        </w:rPr>
        <w:t>8</w:t>
      </w:r>
      <w:r w:rsidR="00FC7B24">
        <w:rPr>
          <w:b/>
        </w:rPr>
        <w:t>C</w:t>
      </w:r>
      <w:r w:rsidR="00DE2F85">
        <w:t>)</w:t>
      </w:r>
      <w:r w:rsidR="00C75DFB">
        <w:t xml:space="preserve">. </w:t>
      </w:r>
      <w:r w:rsidR="00CE11A3">
        <w:t>However, the main mode of regulation was through</w:t>
      </w:r>
      <w:r w:rsidR="00C75DFB">
        <w:t xml:space="preserve"> AceK-dependent phosphorylation</w:t>
      </w:r>
      <w:r w:rsidR="00C53E5B">
        <w:t xml:space="preserve"> (</w:t>
      </w:r>
      <w:r w:rsidR="00C53E5B" w:rsidRPr="00C53E5B">
        <w:rPr>
          <w:b/>
        </w:rPr>
        <w:t xml:space="preserve">Figure </w:t>
      </w:r>
      <w:r w:rsidR="00D4107F">
        <w:rPr>
          <w:b/>
        </w:rPr>
        <w:t>5B</w:t>
      </w:r>
      <w:r w:rsidR="00C53E5B">
        <w:t>)</w:t>
      </w:r>
      <w:r w:rsidR="00C75DFB">
        <w:t xml:space="preserve">. </w:t>
      </w:r>
      <w:r w:rsidR="00F557E3">
        <w:t xml:space="preserve">Interestingly, </w:t>
      </w:r>
      <w:r w:rsidR="0084059C">
        <w:t>in all of our experiments with AceK and ICD</w:t>
      </w:r>
      <w:r w:rsidR="00C140AE">
        <w:t xml:space="preserve"> from </w:t>
      </w:r>
      <w:r w:rsidR="00C140AE" w:rsidRPr="0084059C">
        <w:rPr>
          <w:i/>
        </w:rPr>
        <w:t>P. aeruginosa</w:t>
      </w:r>
      <w:r w:rsidR="003248B5">
        <w:t xml:space="preserve"> (hereafter, AceK</w:t>
      </w:r>
      <w:r w:rsidR="003248B5" w:rsidRPr="003248B5">
        <w:rPr>
          <w:vertAlign w:val="subscript"/>
        </w:rPr>
        <w:t>PA</w:t>
      </w:r>
      <w:r w:rsidR="003248B5">
        <w:t xml:space="preserve"> and ICD</w:t>
      </w:r>
      <w:r w:rsidR="003248B5" w:rsidRPr="003248B5">
        <w:rPr>
          <w:vertAlign w:val="subscript"/>
        </w:rPr>
        <w:t>PA</w:t>
      </w:r>
      <w:r w:rsidR="003248B5">
        <w:t>)</w:t>
      </w:r>
      <w:r w:rsidR="0084059C">
        <w:t xml:space="preserve">, the maximal inhibition </w:t>
      </w:r>
      <w:r w:rsidR="00CE11A3">
        <w:t xml:space="preserve">attributable to AceK-mediated phosphorylation </w:t>
      </w:r>
      <w:r w:rsidR="0025303B">
        <w:t>was only around 75</w:t>
      </w:r>
      <w:r w:rsidR="0084059C">
        <w:t>%</w:t>
      </w:r>
      <w:r w:rsidR="00D4107F">
        <w:t xml:space="preserve"> (</w:t>
      </w:r>
      <w:r w:rsidR="00D4107F" w:rsidRPr="00D4107F">
        <w:rPr>
          <w:b/>
        </w:rPr>
        <w:t xml:space="preserve">Figure </w:t>
      </w:r>
      <w:r w:rsidR="00456C32">
        <w:rPr>
          <w:b/>
        </w:rPr>
        <w:t>5</w:t>
      </w:r>
      <w:r w:rsidR="00FC7B24">
        <w:rPr>
          <w:b/>
        </w:rPr>
        <w:t>C</w:t>
      </w:r>
      <w:r w:rsidR="00D4107F">
        <w:t>)</w:t>
      </w:r>
      <w:r w:rsidR="0084059C">
        <w:t xml:space="preserve">. </w:t>
      </w:r>
      <w:r w:rsidR="00703D25">
        <w:t xml:space="preserve">This is not due to a lower </w:t>
      </w:r>
      <w:r w:rsidR="00F434CB">
        <w:t>intrinsic</w:t>
      </w:r>
      <w:r w:rsidR="00703D25">
        <w:t xml:space="preserve"> activity of AceK</w:t>
      </w:r>
      <w:r w:rsidR="00703D25" w:rsidRPr="00703D25">
        <w:rPr>
          <w:vertAlign w:val="subscript"/>
        </w:rPr>
        <w:t>PA</w:t>
      </w:r>
      <w:r w:rsidR="00703D25">
        <w:t>, because AceK</w:t>
      </w:r>
      <w:r w:rsidR="00703D25" w:rsidRPr="00703D25">
        <w:rPr>
          <w:vertAlign w:val="subscript"/>
        </w:rPr>
        <w:t>PA</w:t>
      </w:r>
      <w:r w:rsidR="00703D25">
        <w:t xml:space="preserve"> </w:t>
      </w:r>
      <w:r w:rsidR="00C53E5B">
        <w:t xml:space="preserve">was able to </w:t>
      </w:r>
      <w:r w:rsidR="0084059C">
        <w:t xml:space="preserve">completely </w:t>
      </w:r>
      <w:r w:rsidR="00C53E5B">
        <w:t xml:space="preserve">inactivate </w:t>
      </w:r>
      <w:r w:rsidR="00703D25">
        <w:t xml:space="preserve">ICD from </w:t>
      </w:r>
      <w:r w:rsidR="00703D25" w:rsidRPr="00703D25">
        <w:rPr>
          <w:i/>
        </w:rPr>
        <w:t>E. coli</w:t>
      </w:r>
      <w:r w:rsidR="00703D25">
        <w:t xml:space="preserve"> (</w:t>
      </w:r>
      <w:r w:rsidR="003248B5">
        <w:t>ICD</w:t>
      </w:r>
      <w:r w:rsidR="003248B5" w:rsidRPr="003248B5">
        <w:rPr>
          <w:vertAlign w:val="subscript"/>
        </w:rPr>
        <w:t>EC</w:t>
      </w:r>
      <w:r w:rsidR="00703D25">
        <w:t xml:space="preserve">) </w:t>
      </w:r>
      <w:r w:rsidR="0084059C">
        <w:t>(</w:t>
      </w:r>
      <w:r w:rsidR="00A071C3">
        <w:rPr>
          <w:b/>
        </w:rPr>
        <w:t>Figure 5</w:t>
      </w:r>
      <w:r w:rsidR="00FC7B24">
        <w:rPr>
          <w:b/>
        </w:rPr>
        <w:t>C</w:t>
      </w:r>
      <w:r w:rsidR="0084059C">
        <w:t>)</w:t>
      </w:r>
      <w:r w:rsidR="00C53E5B">
        <w:t xml:space="preserve">. </w:t>
      </w:r>
      <w:r w:rsidR="00CE11A3">
        <w:t>Comparison of the ICD</w:t>
      </w:r>
      <w:r w:rsidR="00CE11A3" w:rsidRPr="00CE11A3">
        <w:rPr>
          <w:vertAlign w:val="subscript"/>
        </w:rPr>
        <w:t>PA</w:t>
      </w:r>
      <w:r w:rsidR="00CE11A3">
        <w:t xml:space="preserve"> and ICD</w:t>
      </w:r>
      <w:r w:rsidR="00CE11A3" w:rsidRPr="00CE11A3">
        <w:rPr>
          <w:vertAlign w:val="subscript"/>
        </w:rPr>
        <w:t>EC</w:t>
      </w:r>
      <w:r w:rsidR="00883362">
        <w:t xml:space="preserve"> active site region</w:t>
      </w:r>
      <w:r w:rsidR="00CE11A3">
        <w:t xml:space="preserve"> revealed </w:t>
      </w:r>
      <w:r w:rsidR="00A466E9">
        <w:t>slight</w:t>
      </w:r>
      <w:r w:rsidR="007D598D">
        <w:t xml:space="preserve"> </w:t>
      </w:r>
      <w:r w:rsidR="00CE11A3">
        <w:t xml:space="preserve">differences in the </w:t>
      </w:r>
      <w:r w:rsidR="00883362">
        <w:t xml:space="preserve">spatial </w:t>
      </w:r>
      <w:r w:rsidR="00CE11A3">
        <w:t>disposition of the P-</w:t>
      </w:r>
      <w:r w:rsidR="00883362">
        <w:t>loop</w:t>
      </w:r>
      <w:r w:rsidR="00CE11A3">
        <w:t xml:space="preserve"> required for AceK recognition (</w:t>
      </w:r>
      <w:r w:rsidR="006F2424">
        <w:rPr>
          <w:b/>
        </w:rPr>
        <w:t>Figure S8</w:t>
      </w:r>
      <w:r w:rsidR="00FC7B24">
        <w:rPr>
          <w:b/>
        </w:rPr>
        <w:t>D</w:t>
      </w:r>
      <w:r w:rsidR="00CE11A3">
        <w:t xml:space="preserve">), </w:t>
      </w:r>
      <w:r w:rsidR="00703D25">
        <w:t>making it</w:t>
      </w:r>
      <w:r w:rsidR="00CE11A3">
        <w:t xml:space="preserve"> formally possible that </w:t>
      </w:r>
      <w:r w:rsidR="00CE11A3">
        <w:lastRenderedPageBreak/>
        <w:t>ICD</w:t>
      </w:r>
      <w:r w:rsidR="00CE11A3" w:rsidRPr="00CE11A3">
        <w:rPr>
          <w:vertAlign w:val="subscript"/>
        </w:rPr>
        <w:t>PA</w:t>
      </w:r>
      <w:r w:rsidR="00CE11A3">
        <w:t xml:space="preserve"> </w:t>
      </w:r>
      <w:r w:rsidR="00703D25">
        <w:t>is</w:t>
      </w:r>
      <w:r w:rsidR="00CE11A3">
        <w:t xml:space="preserve"> less sensitive to AceK</w:t>
      </w:r>
      <w:r w:rsidR="00883362">
        <w:t>-mediated</w:t>
      </w:r>
      <w:r w:rsidR="00CE11A3">
        <w:t xml:space="preserve"> phosphorylation. However, AceK</w:t>
      </w:r>
      <w:r w:rsidR="00CE11A3" w:rsidRPr="00CE11A3">
        <w:rPr>
          <w:vertAlign w:val="subscript"/>
        </w:rPr>
        <w:t>EC</w:t>
      </w:r>
      <w:r w:rsidR="00CE11A3">
        <w:t xml:space="preserve"> was able to completely inactivate ICD</w:t>
      </w:r>
      <w:r w:rsidR="00CE11A3" w:rsidRPr="00CE11A3">
        <w:rPr>
          <w:vertAlign w:val="subscript"/>
        </w:rPr>
        <w:t>PA</w:t>
      </w:r>
      <w:r w:rsidR="00883362">
        <w:t xml:space="preserve">, indicating that these local differences in P-loop conformation are unlikely to be functionally significant </w:t>
      </w:r>
      <w:r w:rsidR="00CE11A3">
        <w:t>(</w:t>
      </w:r>
      <w:r w:rsidR="006F2424">
        <w:rPr>
          <w:b/>
        </w:rPr>
        <w:t>Figure 5</w:t>
      </w:r>
      <w:r w:rsidR="00FC7B24">
        <w:rPr>
          <w:b/>
        </w:rPr>
        <w:t>C</w:t>
      </w:r>
      <w:r w:rsidR="00CE11A3">
        <w:t xml:space="preserve">). </w:t>
      </w:r>
      <w:r w:rsidR="003248B5">
        <w:t>T</w:t>
      </w:r>
      <w:r w:rsidR="00883362">
        <w:t>aken together, t</w:t>
      </w:r>
      <w:r w:rsidR="003248B5">
        <w:t xml:space="preserve">hese data suggest that </w:t>
      </w:r>
      <w:r w:rsidR="000E462F">
        <w:t xml:space="preserve">in the absence of external factors to stimulate its kinase activity, </w:t>
      </w:r>
      <w:r w:rsidR="003248B5">
        <w:t>AceK</w:t>
      </w:r>
      <w:r w:rsidR="003248B5" w:rsidRPr="003248B5">
        <w:rPr>
          <w:vertAlign w:val="subscript"/>
        </w:rPr>
        <w:t>PA</w:t>
      </w:r>
      <w:r w:rsidR="003248B5">
        <w:t xml:space="preserve"> </w:t>
      </w:r>
      <w:r w:rsidR="000E462F">
        <w:t>cannot fully inhibit</w:t>
      </w:r>
      <w:r w:rsidR="003248B5">
        <w:t xml:space="preserve"> ICD</w:t>
      </w:r>
      <w:r w:rsidR="003248B5" w:rsidRPr="003248B5">
        <w:rPr>
          <w:vertAlign w:val="subscript"/>
        </w:rPr>
        <w:t>PA</w:t>
      </w:r>
      <w:r w:rsidR="003248B5">
        <w:t>.</w:t>
      </w:r>
      <w:r w:rsidR="008B0030">
        <w:t xml:space="preserve"> </w:t>
      </w:r>
    </w:p>
    <w:p w14:paraId="605660DE" w14:textId="181DA426" w:rsidR="009D4A0D" w:rsidRDefault="00C75DFB" w:rsidP="00C978EB">
      <w:pPr>
        <w:jc w:val="both"/>
        <w:rPr>
          <w:rFonts w:ascii="Calibri" w:hAnsi="Calibri" w:cs="Arial"/>
        </w:rPr>
      </w:pPr>
      <w:r w:rsidRPr="00235288">
        <w:rPr>
          <w:rFonts w:ascii="Calibri" w:hAnsi="Calibri" w:cs="Arial"/>
        </w:rPr>
        <w:t xml:space="preserve">Although the </w:t>
      </w:r>
      <w:r w:rsidRPr="00235288">
        <w:rPr>
          <w:rFonts w:ascii="Calibri" w:hAnsi="Calibri" w:cs="Arial"/>
          <w:i/>
        </w:rPr>
        <w:t>P. aeruginosa</w:t>
      </w:r>
      <w:r w:rsidRPr="00235288">
        <w:rPr>
          <w:rFonts w:ascii="Calibri" w:hAnsi="Calibri" w:cs="Arial"/>
        </w:rPr>
        <w:t xml:space="preserve"> and </w:t>
      </w:r>
      <w:r w:rsidRPr="00235288">
        <w:rPr>
          <w:rFonts w:ascii="Calibri" w:hAnsi="Calibri" w:cs="Arial"/>
          <w:i/>
        </w:rPr>
        <w:t>E. coli</w:t>
      </w:r>
      <w:r w:rsidRPr="00235288">
        <w:rPr>
          <w:rFonts w:ascii="Calibri" w:hAnsi="Calibri" w:cs="Arial"/>
        </w:rPr>
        <w:t xml:space="preserve"> ICD enzymes are 79% identical at the amino acid sequence level,</w:t>
      </w:r>
      <w:r w:rsidRPr="00F434CB">
        <w:rPr>
          <w:rFonts w:ascii="Calibri" w:hAnsi="Calibri" w:cs="Arial"/>
        </w:rPr>
        <w:t xml:space="preserve"> and the site of phosphorylation (Ser</w:t>
      </w:r>
      <w:r w:rsidR="00C21A69">
        <w:rPr>
          <w:rFonts w:ascii="Calibri" w:hAnsi="Calibri" w:cs="Arial"/>
        </w:rPr>
        <w:t>115</w:t>
      </w:r>
      <w:r w:rsidRPr="00F434CB">
        <w:rPr>
          <w:rFonts w:ascii="Calibri" w:hAnsi="Calibri" w:cs="Arial"/>
        </w:rPr>
        <w:t xml:space="preserve"> in </w:t>
      </w:r>
      <w:r w:rsidRPr="00F434CB">
        <w:rPr>
          <w:rFonts w:ascii="Calibri" w:hAnsi="Calibri" w:cs="Arial"/>
          <w:i/>
        </w:rPr>
        <w:t>P. aeruginosa</w:t>
      </w:r>
      <w:r w:rsidRPr="00F434CB">
        <w:rPr>
          <w:rFonts w:ascii="Calibri" w:hAnsi="Calibri" w:cs="Arial"/>
        </w:rPr>
        <w:t xml:space="preserve"> </w:t>
      </w:r>
      <w:r w:rsidR="00883362" w:rsidRPr="00F434CB">
        <w:rPr>
          <w:rFonts w:ascii="Calibri" w:hAnsi="Calibri" w:cs="Arial"/>
        </w:rPr>
        <w:t>ICD</w:t>
      </w:r>
      <w:r w:rsidRPr="00F434CB">
        <w:rPr>
          <w:rFonts w:ascii="Calibri" w:hAnsi="Calibri" w:cs="Arial"/>
        </w:rPr>
        <w:t xml:space="preserve">) is conserved, the corresponding AceK orthologues show substantial differences. In particular, the N-terminal regulatory domain is just 35% identical between the two species. In contrast, the C-terminal catalytic domain is 60% identical and retains all the sequence motifs thought to be important for kinase and phosphatase activity. These data suggest that </w:t>
      </w:r>
      <w:r w:rsidRPr="00F434CB">
        <w:rPr>
          <w:rFonts w:ascii="Calibri" w:hAnsi="Calibri" w:cs="Arial"/>
          <w:i/>
        </w:rPr>
        <w:t>P. aeruginosa</w:t>
      </w:r>
      <w:r w:rsidRPr="00F434CB">
        <w:rPr>
          <w:rFonts w:ascii="Calibri" w:hAnsi="Calibri" w:cs="Arial"/>
        </w:rPr>
        <w:t xml:space="preserve"> AceK is likely to be regulated differently compared with the </w:t>
      </w:r>
      <w:r w:rsidRPr="00F434CB">
        <w:rPr>
          <w:rFonts w:ascii="Calibri" w:hAnsi="Calibri" w:cs="Arial"/>
          <w:i/>
        </w:rPr>
        <w:t>E. coli</w:t>
      </w:r>
      <w:r w:rsidRPr="00F434CB">
        <w:rPr>
          <w:rFonts w:ascii="Calibri" w:hAnsi="Calibri" w:cs="Arial"/>
        </w:rPr>
        <w:t xml:space="preserve"> orthologue.</w:t>
      </w:r>
      <w:r w:rsidR="00886A91" w:rsidRPr="00F434CB">
        <w:rPr>
          <w:rFonts w:ascii="Calibri" w:hAnsi="Calibri" w:cs="Arial"/>
        </w:rPr>
        <w:t xml:space="preserve"> To investigate this further, we examined how a panel of potential regulators affected AceK</w:t>
      </w:r>
      <w:r w:rsidR="00886A91" w:rsidRPr="00F434CB">
        <w:rPr>
          <w:rFonts w:ascii="Calibri" w:hAnsi="Calibri" w:cs="Arial"/>
          <w:vertAlign w:val="subscript"/>
        </w:rPr>
        <w:t>PA</w:t>
      </w:r>
      <w:r w:rsidR="00886A91" w:rsidRPr="00F434CB">
        <w:rPr>
          <w:rFonts w:ascii="Calibri" w:hAnsi="Calibri" w:cs="Arial"/>
        </w:rPr>
        <w:t>-dependent inactivation of ICD</w:t>
      </w:r>
      <w:r w:rsidR="00886A91" w:rsidRPr="00F434CB">
        <w:rPr>
          <w:rFonts w:ascii="Calibri" w:hAnsi="Calibri" w:cs="Arial"/>
          <w:vertAlign w:val="subscript"/>
        </w:rPr>
        <w:t>PA</w:t>
      </w:r>
      <w:r w:rsidR="00886A91" w:rsidRPr="00F434CB">
        <w:rPr>
          <w:rFonts w:ascii="Calibri" w:hAnsi="Calibri" w:cs="Arial"/>
        </w:rPr>
        <w:t xml:space="preserve"> (</w:t>
      </w:r>
      <w:r w:rsidR="006F2424">
        <w:rPr>
          <w:rFonts w:ascii="Calibri" w:hAnsi="Calibri" w:cs="Arial"/>
          <w:b/>
        </w:rPr>
        <w:t>Figure S10</w:t>
      </w:r>
      <w:r w:rsidR="00886A91" w:rsidRPr="00F434CB">
        <w:rPr>
          <w:rFonts w:ascii="Calibri" w:hAnsi="Calibri" w:cs="Arial"/>
        </w:rPr>
        <w:t xml:space="preserve">). </w:t>
      </w:r>
      <w:r w:rsidR="003A68AC">
        <w:rPr>
          <w:rFonts w:ascii="Calibri" w:hAnsi="Calibri" w:cs="Arial"/>
        </w:rPr>
        <w:t>ICD was first phosphorylated by AceK for 60 min (enough to maximally inactivate the dehydrogenase (</w:t>
      </w:r>
      <w:r w:rsidR="003A68AC" w:rsidRPr="003A68AC">
        <w:rPr>
          <w:rFonts w:ascii="Calibri" w:hAnsi="Calibri" w:cs="Arial"/>
          <w:b/>
        </w:rPr>
        <w:t>Figure 5</w:t>
      </w:r>
      <w:r w:rsidR="00235288">
        <w:rPr>
          <w:rFonts w:ascii="Calibri" w:hAnsi="Calibri" w:cs="Arial"/>
          <w:b/>
        </w:rPr>
        <w:t>C</w:t>
      </w:r>
      <w:r w:rsidR="003A68AC">
        <w:rPr>
          <w:rFonts w:ascii="Calibri" w:hAnsi="Calibri" w:cs="Arial"/>
        </w:rPr>
        <w:t xml:space="preserve">)). Following this, the indicated potential regulators were added and restoration of </w:t>
      </w:r>
      <w:r w:rsidR="003A68AC" w:rsidRPr="003A68AC">
        <w:rPr>
          <w:rFonts w:ascii="Calibri" w:hAnsi="Calibri" w:cs="Arial"/>
          <w:i/>
        </w:rPr>
        <w:t>iso</w:t>
      </w:r>
      <w:r w:rsidR="003A68AC">
        <w:rPr>
          <w:rFonts w:ascii="Calibri" w:hAnsi="Calibri" w:cs="Arial"/>
        </w:rPr>
        <w:t xml:space="preserve">citrate dehydrogenase activity was monitored </w:t>
      </w:r>
      <w:r w:rsidR="009D4A0D">
        <w:rPr>
          <w:rFonts w:ascii="Calibri" w:hAnsi="Calibri" w:cs="Arial"/>
        </w:rPr>
        <w:t xml:space="preserve">after </w:t>
      </w:r>
      <w:r w:rsidR="000E462F">
        <w:rPr>
          <w:rFonts w:ascii="Calibri" w:hAnsi="Calibri" w:cs="Arial"/>
        </w:rPr>
        <w:t xml:space="preserve">30 min </w:t>
      </w:r>
      <w:r w:rsidR="003A68AC">
        <w:rPr>
          <w:rFonts w:ascii="Calibri" w:hAnsi="Calibri" w:cs="Arial"/>
        </w:rPr>
        <w:t>(</w:t>
      </w:r>
      <w:r w:rsidR="006F2424">
        <w:rPr>
          <w:rFonts w:ascii="Calibri" w:hAnsi="Calibri" w:cs="Arial"/>
          <w:b/>
        </w:rPr>
        <w:t>Figure S10</w:t>
      </w:r>
      <w:r w:rsidR="003A68AC">
        <w:rPr>
          <w:rFonts w:ascii="Calibri" w:hAnsi="Calibri" w:cs="Arial"/>
          <w:b/>
        </w:rPr>
        <w:t>A</w:t>
      </w:r>
      <w:r w:rsidR="003A68AC">
        <w:rPr>
          <w:rFonts w:ascii="Calibri" w:hAnsi="Calibri" w:cs="Arial"/>
        </w:rPr>
        <w:t xml:space="preserve">). </w:t>
      </w:r>
      <w:r w:rsidR="00886A91" w:rsidRPr="00F434CB">
        <w:rPr>
          <w:rFonts w:ascii="Calibri" w:hAnsi="Calibri" w:cs="Arial"/>
        </w:rPr>
        <w:t xml:space="preserve">As a control, and to confirm the species specificity of each regulator, we also examined </w:t>
      </w:r>
      <w:r w:rsidR="003A68AC">
        <w:rPr>
          <w:rFonts w:ascii="Calibri" w:hAnsi="Calibri" w:cs="Arial"/>
        </w:rPr>
        <w:t>(</w:t>
      </w:r>
      <w:r w:rsidR="003A68AC" w:rsidRPr="003A68AC">
        <w:rPr>
          <w:rFonts w:ascii="Calibri" w:hAnsi="Calibri" w:cs="Arial"/>
          <w:i/>
        </w:rPr>
        <w:t>i</w:t>
      </w:r>
      <w:r w:rsidR="003A68AC">
        <w:rPr>
          <w:rFonts w:ascii="Calibri" w:hAnsi="Calibri" w:cs="Arial"/>
        </w:rPr>
        <w:t xml:space="preserve">) </w:t>
      </w:r>
      <w:r w:rsidR="000E462F">
        <w:rPr>
          <w:rFonts w:ascii="Calibri" w:hAnsi="Calibri" w:cs="Arial"/>
        </w:rPr>
        <w:t>whether the same</w:t>
      </w:r>
      <w:r w:rsidR="00886A91" w:rsidRPr="00F434CB">
        <w:rPr>
          <w:rFonts w:ascii="Calibri" w:hAnsi="Calibri" w:cs="Arial"/>
        </w:rPr>
        <w:t xml:space="preserve"> compounds affected AceK</w:t>
      </w:r>
      <w:r w:rsidR="00886A91" w:rsidRPr="00F434CB">
        <w:rPr>
          <w:rFonts w:ascii="Calibri" w:hAnsi="Calibri" w:cs="Arial"/>
          <w:vertAlign w:val="subscript"/>
        </w:rPr>
        <w:t>EC</w:t>
      </w:r>
      <w:r w:rsidR="00886A91" w:rsidRPr="00F434CB">
        <w:rPr>
          <w:rFonts w:ascii="Calibri" w:hAnsi="Calibri" w:cs="Arial"/>
        </w:rPr>
        <w:t xml:space="preserve">-dependent </w:t>
      </w:r>
      <w:r w:rsidR="000E462F">
        <w:rPr>
          <w:rFonts w:ascii="Calibri" w:hAnsi="Calibri" w:cs="Arial"/>
        </w:rPr>
        <w:t>restoration</w:t>
      </w:r>
      <w:r w:rsidR="00886A91" w:rsidRPr="00F434CB">
        <w:rPr>
          <w:rFonts w:ascii="Calibri" w:hAnsi="Calibri" w:cs="Arial"/>
        </w:rPr>
        <w:t xml:space="preserve"> of ICD</w:t>
      </w:r>
      <w:r w:rsidR="00886A91" w:rsidRPr="00F434CB">
        <w:rPr>
          <w:rFonts w:ascii="Calibri" w:hAnsi="Calibri" w:cs="Arial"/>
          <w:vertAlign w:val="subscript"/>
        </w:rPr>
        <w:t>EC</w:t>
      </w:r>
      <w:r w:rsidR="00886A91" w:rsidRPr="00F434CB">
        <w:rPr>
          <w:rFonts w:ascii="Calibri" w:hAnsi="Calibri" w:cs="Arial"/>
        </w:rPr>
        <w:t xml:space="preserve"> </w:t>
      </w:r>
      <w:r w:rsidR="000E462F">
        <w:rPr>
          <w:rFonts w:ascii="Calibri" w:hAnsi="Calibri" w:cs="Arial"/>
        </w:rPr>
        <w:t xml:space="preserve">activity </w:t>
      </w:r>
      <w:r w:rsidR="00886A91" w:rsidRPr="00F434CB">
        <w:rPr>
          <w:rFonts w:ascii="Calibri" w:hAnsi="Calibri" w:cs="Arial"/>
        </w:rPr>
        <w:t>(</w:t>
      </w:r>
      <w:r w:rsidR="006F2424">
        <w:rPr>
          <w:rFonts w:ascii="Calibri" w:hAnsi="Calibri" w:cs="Arial"/>
          <w:b/>
        </w:rPr>
        <w:t>Figure S10</w:t>
      </w:r>
      <w:r w:rsidR="003A68AC">
        <w:rPr>
          <w:rFonts w:ascii="Calibri" w:hAnsi="Calibri" w:cs="Arial"/>
          <w:b/>
        </w:rPr>
        <w:t>B</w:t>
      </w:r>
      <w:r w:rsidR="00886A91" w:rsidRPr="00F434CB">
        <w:rPr>
          <w:rFonts w:ascii="Calibri" w:hAnsi="Calibri" w:cs="Arial"/>
        </w:rPr>
        <w:t>)</w:t>
      </w:r>
      <w:r w:rsidR="003A68AC">
        <w:rPr>
          <w:rFonts w:ascii="Calibri" w:hAnsi="Calibri" w:cs="Arial"/>
        </w:rPr>
        <w:t xml:space="preserve"> and (</w:t>
      </w:r>
      <w:r w:rsidR="003A68AC" w:rsidRPr="003A68AC">
        <w:rPr>
          <w:rFonts w:ascii="Calibri" w:hAnsi="Calibri" w:cs="Arial"/>
          <w:i/>
        </w:rPr>
        <w:t>ii</w:t>
      </w:r>
      <w:r w:rsidR="003A68AC">
        <w:rPr>
          <w:rFonts w:ascii="Calibri" w:hAnsi="Calibri" w:cs="Arial"/>
        </w:rPr>
        <w:t>) whether the regulators had any intrinsic impact on ICD activity (</w:t>
      </w:r>
      <w:r w:rsidR="006F2424">
        <w:rPr>
          <w:rFonts w:ascii="Calibri" w:hAnsi="Calibri" w:cs="Arial"/>
          <w:b/>
        </w:rPr>
        <w:t>Figure S11</w:t>
      </w:r>
      <w:r w:rsidR="003A68AC">
        <w:rPr>
          <w:rFonts w:ascii="Calibri" w:hAnsi="Calibri" w:cs="Arial"/>
        </w:rPr>
        <w:t>)</w:t>
      </w:r>
      <w:r w:rsidR="00886A91" w:rsidRPr="00F434CB">
        <w:rPr>
          <w:rFonts w:ascii="Calibri" w:hAnsi="Calibri" w:cs="Arial"/>
        </w:rPr>
        <w:t xml:space="preserve">. </w:t>
      </w:r>
      <w:r w:rsidR="00546629">
        <w:rPr>
          <w:rFonts w:ascii="Calibri" w:hAnsi="Calibri" w:cs="Arial"/>
        </w:rPr>
        <w:t>With the exception of citrate (which presumably competitively blocks the ICD active site) and to a lesser extent, glyceraldehyde-3-phosphate and phospho</w:t>
      </w:r>
      <w:r w:rsidR="00546629" w:rsidRPr="00546629">
        <w:rPr>
          <w:rFonts w:ascii="Calibri" w:hAnsi="Calibri" w:cs="Arial"/>
          <w:i/>
        </w:rPr>
        <w:t>enol</w:t>
      </w:r>
      <w:r w:rsidR="00546629">
        <w:rPr>
          <w:rFonts w:ascii="Calibri" w:hAnsi="Calibri" w:cs="Arial"/>
        </w:rPr>
        <w:t>pyruvate, none of the tested potential regulators affected ICD activity</w:t>
      </w:r>
      <w:r w:rsidR="001C6D17">
        <w:rPr>
          <w:rFonts w:ascii="Calibri" w:hAnsi="Calibri" w:cs="Arial"/>
        </w:rPr>
        <w:t xml:space="preserve"> directly</w:t>
      </w:r>
      <w:r w:rsidR="00546629">
        <w:rPr>
          <w:rFonts w:ascii="Calibri" w:hAnsi="Calibri" w:cs="Arial"/>
        </w:rPr>
        <w:t xml:space="preserve">. </w:t>
      </w:r>
      <w:r w:rsidR="00DC2E07">
        <w:rPr>
          <w:rFonts w:ascii="Calibri" w:hAnsi="Calibri" w:cs="Arial"/>
        </w:rPr>
        <w:t>The phosphatase activity of AceK</w:t>
      </w:r>
      <w:r w:rsidR="001C6D17" w:rsidRPr="001C6D17">
        <w:rPr>
          <w:rFonts w:ascii="Calibri" w:hAnsi="Calibri" w:cs="Arial"/>
          <w:vertAlign w:val="subscript"/>
        </w:rPr>
        <w:t>EC</w:t>
      </w:r>
      <w:r w:rsidR="00DC2E07">
        <w:rPr>
          <w:rFonts w:ascii="Calibri" w:hAnsi="Calibri" w:cs="Arial"/>
        </w:rPr>
        <w:t xml:space="preserve"> was stimulated by </w:t>
      </w:r>
      <w:r w:rsidR="00692B8B" w:rsidRPr="000E462F">
        <w:rPr>
          <w:rFonts w:ascii="Symbol" w:hAnsi="Symbol" w:cs="Arial"/>
        </w:rPr>
        <w:t></w:t>
      </w:r>
      <w:r w:rsidR="00692B8B" w:rsidRPr="000E462F">
        <w:rPr>
          <w:rFonts w:ascii="Calibri" w:hAnsi="Calibri" w:cs="Arial"/>
        </w:rPr>
        <w:t>-</w:t>
      </w:r>
      <w:r w:rsidR="00692B8B" w:rsidRPr="000E462F">
        <w:rPr>
          <w:rFonts w:ascii="Calibri" w:hAnsi="Calibri" w:cs="Arial"/>
          <w:i/>
        </w:rPr>
        <w:t>keto</w:t>
      </w:r>
      <w:r w:rsidR="00692B8B" w:rsidRPr="000E462F">
        <w:rPr>
          <w:rFonts w:ascii="Calibri" w:hAnsi="Calibri" w:cs="Arial"/>
        </w:rPr>
        <w:t xml:space="preserve">glutarate, glyceraldehyde 3-phosphate, </w:t>
      </w:r>
      <w:r w:rsidR="00B4229B">
        <w:rPr>
          <w:rFonts w:ascii="Calibri" w:hAnsi="Calibri" w:cs="Arial"/>
        </w:rPr>
        <w:t>2-</w:t>
      </w:r>
      <w:r w:rsidR="00B4229B" w:rsidRPr="00B4229B">
        <w:rPr>
          <w:rFonts w:ascii="Calibri" w:hAnsi="Calibri" w:cs="Arial"/>
          <w:i/>
        </w:rPr>
        <w:t>keto</w:t>
      </w:r>
      <w:r w:rsidR="00B4229B">
        <w:rPr>
          <w:rFonts w:ascii="Calibri" w:hAnsi="Calibri" w:cs="Arial"/>
        </w:rPr>
        <w:t xml:space="preserve">-3-deoxyphosphogluconate (KDPG), pyruvate and </w:t>
      </w:r>
      <w:r w:rsidR="00692B8B" w:rsidRPr="000E462F">
        <w:rPr>
          <w:rFonts w:ascii="Calibri" w:hAnsi="Calibri" w:cs="Arial"/>
        </w:rPr>
        <w:t>oxaloacetate</w:t>
      </w:r>
      <w:r w:rsidR="00546629">
        <w:rPr>
          <w:rFonts w:ascii="Calibri" w:hAnsi="Calibri" w:cs="Arial"/>
        </w:rPr>
        <w:t xml:space="preserve">, and to a </w:t>
      </w:r>
      <w:r w:rsidR="009D4A0D">
        <w:rPr>
          <w:rFonts w:ascii="Calibri" w:hAnsi="Calibri" w:cs="Arial"/>
        </w:rPr>
        <w:t xml:space="preserve">much </w:t>
      </w:r>
      <w:r w:rsidR="00546629">
        <w:rPr>
          <w:rFonts w:ascii="Calibri" w:hAnsi="Calibri" w:cs="Arial"/>
        </w:rPr>
        <w:t xml:space="preserve">lesser extent by </w:t>
      </w:r>
      <w:r w:rsidR="00546629" w:rsidRPr="000E462F">
        <w:rPr>
          <w:rFonts w:ascii="Calibri" w:hAnsi="Calibri" w:cs="Arial"/>
        </w:rPr>
        <w:t xml:space="preserve">fumarate, </w:t>
      </w:r>
      <w:r w:rsidR="00546629">
        <w:rPr>
          <w:rFonts w:ascii="Calibri" w:hAnsi="Calibri" w:cs="Arial"/>
        </w:rPr>
        <w:t>AMP and ADP</w:t>
      </w:r>
      <w:r w:rsidR="00692B8B" w:rsidRPr="000E462F">
        <w:rPr>
          <w:rFonts w:ascii="Calibri" w:hAnsi="Calibri" w:cs="Arial"/>
        </w:rPr>
        <w:t xml:space="preserve"> </w:t>
      </w:r>
      <w:r w:rsidR="009723E1" w:rsidRPr="000E462F">
        <w:rPr>
          <w:rFonts w:ascii="Calibri" w:hAnsi="Calibri" w:cs="Arial"/>
        </w:rPr>
        <w:t>(</w:t>
      </w:r>
      <w:r w:rsidR="006F2424">
        <w:rPr>
          <w:rFonts w:ascii="Calibri" w:hAnsi="Calibri" w:cs="Arial"/>
          <w:b/>
        </w:rPr>
        <w:t>Figure S10</w:t>
      </w:r>
      <w:r w:rsidR="00546629">
        <w:rPr>
          <w:rFonts w:ascii="Calibri" w:hAnsi="Calibri" w:cs="Arial"/>
          <w:b/>
        </w:rPr>
        <w:t>B</w:t>
      </w:r>
      <w:r w:rsidR="009723E1" w:rsidRPr="000E462F">
        <w:rPr>
          <w:rFonts w:ascii="Calibri" w:hAnsi="Calibri" w:cs="Arial"/>
        </w:rPr>
        <w:t>).</w:t>
      </w:r>
      <w:r w:rsidR="00546629">
        <w:rPr>
          <w:rFonts w:ascii="Calibri" w:hAnsi="Calibri" w:cs="Arial"/>
        </w:rPr>
        <w:t xml:space="preserve"> The phosphatase activity of AceK</w:t>
      </w:r>
      <w:r w:rsidR="00546629" w:rsidRPr="00546629">
        <w:rPr>
          <w:rFonts w:ascii="Calibri" w:hAnsi="Calibri" w:cs="Arial"/>
          <w:vertAlign w:val="subscript"/>
        </w:rPr>
        <w:t>PA</w:t>
      </w:r>
      <w:r w:rsidR="00546629">
        <w:rPr>
          <w:rFonts w:ascii="Calibri" w:hAnsi="Calibri" w:cs="Arial"/>
        </w:rPr>
        <w:t xml:space="preserve"> was stimulated by an overlapping</w:t>
      </w:r>
      <w:r w:rsidR="001C6D17">
        <w:rPr>
          <w:rFonts w:ascii="Calibri" w:hAnsi="Calibri" w:cs="Arial"/>
        </w:rPr>
        <w:t>,</w:t>
      </w:r>
      <w:r w:rsidR="00546629">
        <w:rPr>
          <w:rFonts w:ascii="Calibri" w:hAnsi="Calibri" w:cs="Arial"/>
        </w:rPr>
        <w:t xml:space="preserve"> but larger number of regulators, including </w:t>
      </w:r>
      <w:r w:rsidR="00546629" w:rsidRPr="000E462F">
        <w:rPr>
          <w:rFonts w:ascii="Symbol" w:hAnsi="Symbol" w:cs="Arial"/>
        </w:rPr>
        <w:t></w:t>
      </w:r>
      <w:r w:rsidR="00546629" w:rsidRPr="000E462F">
        <w:rPr>
          <w:rFonts w:ascii="Calibri" w:hAnsi="Calibri" w:cs="Arial"/>
        </w:rPr>
        <w:t>-</w:t>
      </w:r>
      <w:r w:rsidR="00546629" w:rsidRPr="000E462F">
        <w:rPr>
          <w:rFonts w:ascii="Calibri" w:hAnsi="Calibri" w:cs="Arial"/>
          <w:i/>
        </w:rPr>
        <w:t>keto</w:t>
      </w:r>
      <w:r w:rsidR="00546629" w:rsidRPr="000E462F">
        <w:rPr>
          <w:rFonts w:ascii="Calibri" w:hAnsi="Calibri" w:cs="Arial"/>
        </w:rPr>
        <w:t xml:space="preserve">glutarate, </w:t>
      </w:r>
      <w:r w:rsidR="00546629" w:rsidRPr="005048C1">
        <w:rPr>
          <w:rFonts w:ascii="Calibri" w:hAnsi="Calibri" w:cs="Arial"/>
        </w:rPr>
        <w:t>fructose 1,6-bisphosphate</w:t>
      </w:r>
      <w:r w:rsidR="00546629">
        <w:rPr>
          <w:rFonts w:ascii="Calibri" w:hAnsi="Calibri" w:cs="Arial"/>
        </w:rPr>
        <w:t xml:space="preserve">, </w:t>
      </w:r>
      <w:r w:rsidR="00546629" w:rsidRPr="000E462F">
        <w:rPr>
          <w:rFonts w:ascii="Calibri" w:hAnsi="Calibri" w:cs="Arial"/>
        </w:rPr>
        <w:t xml:space="preserve">glyceraldehyde 3-phosphate, </w:t>
      </w:r>
      <w:r w:rsidR="00546629">
        <w:rPr>
          <w:rFonts w:ascii="Calibri" w:hAnsi="Calibri" w:cs="Arial"/>
        </w:rPr>
        <w:t xml:space="preserve">glyoxylate, </w:t>
      </w:r>
      <w:r w:rsidR="00E60BA4">
        <w:rPr>
          <w:rFonts w:ascii="Calibri" w:hAnsi="Calibri" w:cs="Arial"/>
        </w:rPr>
        <w:t xml:space="preserve">AMP, ADP, glycolate, </w:t>
      </w:r>
      <w:r w:rsidR="00546629">
        <w:rPr>
          <w:rFonts w:ascii="Calibri" w:hAnsi="Calibri" w:cs="Arial"/>
        </w:rPr>
        <w:t xml:space="preserve">pyruvate and </w:t>
      </w:r>
      <w:r w:rsidR="00546629" w:rsidRPr="000E462F">
        <w:rPr>
          <w:rFonts w:ascii="Calibri" w:hAnsi="Calibri" w:cs="Arial"/>
        </w:rPr>
        <w:t>oxaloacetate</w:t>
      </w:r>
      <w:r w:rsidR="00E60BA4">
        <w:rPr>
          <w:rFonts w:ascii="Calibri" w:hAnsi="Calibri" w:cs="Arial"/>
        </w:rPr>
        <w:t xml:space="preserve">. Intriguingly, </w:t>
      </w:r>
      <w:r w:rsidR="00497AFE">
        <w:rPr>
          <w:rFonts w:ascii="Calibri" w:hAnsi="Calibri" w:cs="Arial"/>
        </w:rPr>
        <w:t xml:space="preserve">fumarate </w:t>
      </w:r>
      <w:r w:rsidR="00E60BA4">
        <w:rPr>
          <w:rFonts w:ascii="Calibri" w:hAnsi="Calibri" w:cs="Arial"/>
        </w:rPr>
        <w:t xml:space="preserve">was the most potent activator of </w:t>
      </w:r>
      <w:r w:rsidR="00CC1083">
        <w:rPr>
          <w:rFonts w:ascii="Calibri" w:hAnsi="Calibri" w:cs="Arial"/>
        </w:rPr>
        <w:t>the phosphatase</w:t>
      </w:r>
      <w:r w:rsidR="00E60BA4">
        <w:rPr>
          <w:rFonts w:ascii="Calibri" w:hAnsi="Calibri" w:cs="Arial"/>
        </w:rPr>
        <w:t xml:space="preserve"> in AceK</w:t>
      </w:r>
      <w:r w:rsidR="00E60BA4" w:rsidRPr="00E60BA4">
        <w:rPr>
          <w:rFonts w:ascii="Calibri" w:hAnsi="Calibri" w:cs="Arial"/>
          <w:vertAlign w:val="subscript"/>
        </w:rPr>
        <w:t>PA</w:t>
      </w:r>
      <w:r w:rsidR="00497AFE">
        <w:rPr>
          <w:rFonts w:ascii="Calibri" w:hAnsi="Calibri" w:cs="Arial"/>
        </w:rPr>
        <w:t>, yet this compound only weakly stimulated the phosphatase activity of AceK</w:t>
      </w:r>
      <w:r w:rsidR="00497AFE" w:rsidRPr="00E60BA4">
        <w:rPr>
          <w:rFonts w:ascii="Calibri" w:hAnsi="Calibri" w:cs="Arial"/>
          <w:vertAlign w:val="subscript"/>
        </w:rPr>
        <w:t>EC</w:t>
      </w:r>
      <w:r w:rsidR="00497AFE">
        <w:rPr>
          <w:rFonts w:ascii="Calibri" w:hAnsi="Calibri" w:cs="Arial"/>
        </w:rPr>
        <w:t xml:space="preserve">. </w:t>
      </w:r>
      <w:r w:rsidR="00EC1F0F">
        <w:rPr>
          <w:rFonts w:ascii="Calibri" w:hAnsi="Calibri" w:cs="Arial"/>
        </w:rPr>
        <w:t>Similarly</w:t>
      </w:r>
      <w:r w:rsidR="00E60BA4">
        <w:rPr>
          <w:rFonts w:ascii="Calibri" w:hAnsi="Calibri" w:cs="Arial"/>
        </w:rPr>
        <w:t>, succinate had no apparent effect on AceK</w:t>
      </w:r>
      <w:r w:rsidR="00E60BA4" w:rsidRPr="00E60BA4">
        <w:rPr>
          <w:rFonts w:ascii="Calibri" w:hAnsi="Calibri" w:cs="Arial"/>
          <w:vertAlign w:val="subscript"/>
        </w:rPr>
        <w:t>EC</w:t>
      </w:r>
      <w:r w:rsidR="00E60BA4">
        <w:rPr>
          <w:rFonts w:ascii="Calibri" w:hAnsi="Calibri" w:cs="Arial"/>
        </w:rPr>
        <w:t xml:space="preserve"> but strongly stimulated AceK</w:t>
      </w:r>
      <w:r w:rsidR="00E60BA4" w:rsidRPr="00E60BA4">
        <w:rPr>
          <w:rFonts w:ascii="Calibri" w:hAnsi="Calibri" w:cs="Arial"/>
          <w:vertAlign w:val="subscript"/>
        </w:rPr>
        <w:t>PA</w:t>
      </w:r>
      <w:r w:rsidR="00E60BA4">
        <w:rPr>
          <w:rFonts w:ascii="Calibri" w:hAnsi="Calibri" w:cs="Arial"/>
        </w:rPr>
        <w:t xml:space="preserve"> phosphatase activity. In contrast, </w:t>
      </w:r>
      <w:r w:rsidR="00497AFE">
        <w:rPr>
          <w:rFonts w:ascii="Calibri" w:hAnsi="Calibri" w:cs="Arial"/>
        </w:rPr>
        <w:t xml:space="preserve">the Entner-Doudoroff pathway intermediate, </w:t>
      </w:r>
      <w:r w:rsidR="00E60BA4">
        <w:rPr>
          <w:rFonts w:ascii="Calibri" w:hAnsi="Calibri" w:cs="Arial"/>
        </w:rPr>
        <w:t>KDPG</w:t>
      </w:r>
      <w:r w:rsidR="00497AFE">
        <w:rPr>
          <w:rFonts w:ascii="Calibri" w:hAnsi="Calibri" w:cs="Arial"/>
        </w:rPr>
        <w:t>,</w:t>
      </w:r>
      <w:r w:rsidR="00E60BA4">
        <w:rPr>
          <w:rFonts w:ascii="Calibri" w:hAnsi="Calibri" w:cs="Arial"/>
        </w:rPr>
        <w:t xml:space="preserve"> </w:t>
      </w:r>
      <w:r w:rsidR="00EC1F0F">
        <w:rPr>
          <w:rFonts w:ascii="Calibri" w:hAnsi="Calibri" w:cs="Arial"/>
        </w:rPr>
        <w:t>only marginally stimulated</w:t>
      </w:r>
      <w:r w:rsidR="00E60BA4">
        <w:rPr>
          <w:rFonts w:ascii="Calibri" w:hAnsi="Calibri" w:cs="Arial"/>
        </w:rPr>
        <w:t xml:space="preserve"> AceK</w:t>
      </w:r>
      <w:r w:rsidR="00E60BA4" w:rsidRPr="001C6D17">
        <w:rPr>
          <w:rFonts w:ascii="Calibri" w:hAnsi="Calibri" w:cs="Arial"/>
          <w:vertAlign w:val="subscript"/>
        </w:rPr>
        <w:t>PA</w:t>
      </w:r>
      <w:r w:rsidR="00EC1F0F">
        <w:rPr>
          <w:rFonts w:ascii="Calibri" w:hAnsi="Calibri" w:cs="Arial"/>
        </w:rPr>
        <w:t xml:space="preserve"> phosphatase activity,</w:t>
      </w:r>
      <w:r w:rsidR="00E60BA4">
        <w:rPr>
          <w:rFonts w:ascii="Calibri" w:hAnsi="Calibri" w:cs="Arial"/>
        </w:rPr>
        <w:t xml:space="preserve"> yet this compound was one of the more potent activators of </w:t>
      </w:r>
      <w:r w:rsidR="001C6D17">
        <w:rPr>
          <w:rFonts w:ascii="Calibri" w:hAnsi="Calibri" w:cs="Arial"/>
        </w:rPr>
        <w:t xml:space="preserve">the </w:t>
      </w:r>
      <w:r w:rsidR="00E60BA4">
        <w:rPr>
          <w:rFonts w:ascii="Calibri" w:hAnsi="Calibri" w:cs="Arial"/>
        </w:rPr>
        <w:t>AceK</w:t>
      </w:r>
      <w:r w:rsidR="00E60BA4" w:rsidRPr="001C6D17">
        <w:rPr>
          <w:rFonts w:ascii="Calibri" w:hAnsi="Calibri" w:cs="Arial"/>
          <w:vertAlign w:val="subscript"/>
        </w:rPr>
        <w:t>EC</w:t>
      </w:r>
      <w:r w:rsidR="001C6D17">
        <w:rPr>
          <w:rFonts w:ascii="Calibri" w:hAnsi="Calibri" w:cs="Arial"/>
        </w:rPr>
        <w:t xml:space="preserve"> phosphatase. Perhaps the most noticeable regulator was acetyl-CoA. This compound weakly stimulated the phosphatase activity of AceK</w:t>
      </w:r>
      <w:r w:rsidR="001C6D17" w:rsidRPr="001C6D17">
        <w:rPr>
          <w:rFonts w:ascii="Calibri" w:hAnsi="Calibri" w:cs="Arial"/>
          <w:vertAlign w:val="subscript"/>
        </w:rPr>
        <w:t>EC</w:t>
      </w:r>
      <w:r w:rsidR="001C6D17">
        <w:rPr>
          <w:rFonts w:ascii="Calibri" w:hAnsi="Calibri" w:cs="Arial"/>
        </w:rPr>
        <w:t>, whereas in in AceK</w:t>
      </w:r>
      <w:r w:rsidR="001C6D17" w:rsidRPr="001C6D17">
        <w:rPr>
          <w:rFonts w:ascii="Calibri" w:hAnsi="Calibri" w:cs="Arial"/>
          <w:vertAlign w:val="subscript"/>
        </w:rPr>
        <w:t>PA</w:t>
      </w:r>
      <w:r w:rsidR="001C6D17">
        <w:rPr>
          <w:rFonts w:ascii="Calibri" w:hAnsi="Calibri" w:cs="Arial"/>
        </w:rPr>
        <w:t xml:space="preserve">, it appeared to stimulate the kinase activity. To </w:t>
      </w:r>
      <w:r w:rsidR="00497AFE">
        <w:rPr>
          <w:rFonts w:ascii="Calibri" w:hAnsi="Calibri" w:cs="Arial"/>
        </w:rPr>
        <w:t>investigate</w:t>
      </w:r>
      <w:r w:rsidR="001C6D17">
        <w:rPr>
          <w:rFonts w:ascii="Calibri" w:hAnsi="Calibri" w:cs="Arial"/>
        </w:rPr>
        <w:t xml:space="preserve"> this further, we conducted a time-course analysis of </w:t>
      </w:r>
      <w:r w:rsidR="009D4A0D">
        <w:rPr>
          <w:rFonts w:ascii="Calibri" w:hAnsi="Calibri" w:cs="Arial"/>
        </w:rPr>
        <w:t>ICD</w:t>
      </w:r>
      <w:r w:rsidR="009D4A0D" w:rsidRPr="009D4A0D">
        <w:rPr>
          <w:rFonts w:ascii="Calibri" w:hAnsi="Calibri" w:cs="Arial"/>
          <w:vertAlign w:val="subscript"/>
        </w:rPr>
        <w:t>PA</w:t>
      </w:r>
      <w:r w:rsidR="009D4A0D">
        <w:rPr>
          <w:rFonts w:ascii="Calibri" w:hAnsi="Calibri" w:cs="Arial"/>
        </w:rPr>
        <w:t xml:space="preserve"> activity following AceK</w:t>
      </w:r>
      <w:r w:rsidR="009D4A0D" w:rsidRPr="009D4A0D">
        <w:rPr>
          <w:rFonts w:ascii="Calibri" w:hAnsi="Calibri" w:cs="Arial"/>
          <w:vertAlign w:val="subscript"/>
        </w:rPr>
        <w:t>PA</w:t>
      </w:r>
      <w:r w:rsidR="009D4A0D">
        <w:rPr>
          <w:rFonts w:ascii="Calibri" w:hAnsi="Calibri" w:cs="Arial"/>
        </w:rPr>
        <w:t xml:space="preserve"> treatment in the presence of acetyl-CoA, and fumarate (</w:t>
      </w:r>
      <w:r w:rsidR="009D4A0D" w:rsidRPr="009D4A0D">
        <w:rPr>
          <w:rFonts w:ascii="Calibri" w:hAnsi="Calibri" w:cs="Arial"/>
          <w:b/>
        </w:rPr>
        <w:t>Figure 5</w:t>
      </w:r>
      <w:r w:rsidR="00235288">
        <w:rPr>
          <w:rFonts w:ascii="Calibri" w:hAnsi="Calibri" w:cs="Arial"/>
          <w:b/>
        </w:rPr>
        <w:t>D</w:t>
      </w:r>
      <w:r w:rsidR="009D4A0D">
        <w:rPr>
          <w:rFonts w:ascii="Calibri" w:hAnsi="Calibri" w:cs="Arial"/>
        </w:rPr>
        <w:t>). What is immediately apparent is t</w:t>
      </w:r>
      <w:r w:rsidR="00EC1F0F">
        <w:rPr>
          <w:rFonts w:ascii="Calibri" w:hAnsi="Calibri" w:cs="Arial"/>
        </w:rPr>
        <w:t>hat, whereas fumarate maximally stimulates AceK</w:t>
      </w:r>
      <w:r w:rsidR="00EC1F0F" w:rsidRPr="00EC1F0F">
        <w:rPr>
          <w:rFonts w:ascii="Calibri" w:hAnsi="Calibri" w:cs="Arial"/>
          <w:vertAlign w:val="subscript"/>
        </w:rPr>
        <w:t>PA</w:t>
      </w:r>
      <w:r w:rsidR="00EC1F0F">
        <w:rPr>
          <w:rFonts w:ascii="Calibri" w:hAnsi="Calibri" w:cs="Arial"/>
        </w:rPr>
        <w:t xml:space="preserve"> phosphatase activity, </w:t>
      </w:r>
      <w:r w:rsidR="009D4A0D">
        <w:rPr>
          <w:rFonts w:ascii="Calibri" w:hAnsi="Calibri" w:cs="Arial"/>
        </w:rPr>
        <w:t xml:space="preserve">acetyl-CoA </w:t>
      </w:r>
      <w:r w:rsidR="00EC1F0F">
        <w:rPr>
          <w:rFonts w:ascii="Calibri" w:hAnsi="Calibri" w:cs="Arial"/>
        </w:rPr>
        <w:t xml:space="preserve">maximally activates the </w:t>
      </w:r>
      <w:r w:rsidR="00977B10">
        <w:rPr>
          <w:rFonts w:ascii="Calibri" w:hAnsi="Calibri" w:cs="Arial"/>
        </w:rPr>
        <w:t xml:space="preserve">AceK </w:t>
      </w:r>
      <w:r w:rsidR="00497AFE">
        <w:rPr>
          <w:rFonts w:ascii="Calibri" w:hAnsi="Calibri" w:cs="Arial"/>
        </w:rPr>
        <w:t>kinase activity,</w:t>
      </w:r>
      <w:r w:rsidR="00EC1F0F">
        <w:rPr>
          <w:rFonts w:ascii="Calibri" w:hAnsi="Calibri" w:cs="Arial"/>
        </w:rPr>
        <w:t xml:space="preserve"> allowing the enzyme</w:t>
      </w:r>
      <w:r w:rsidR="00977B10">
        <w:rPr>
          <w:rFonts w:ascii="Calibri" w:hAnsi="Calibri" w:cs="Arial"/>
        </w:rPr>
        <w:t xml:space="preserve"> to inactivate &gt;75% of the ICD, </w:t>
      </w:r>
      <w:r w:rsidR="009D4A0D">
        <w:rPr>
          <w:rFonts w:ascii="Calibri" w:hAnsi="Calibri" w:cs="Arial"/>
        </w:rPr>
        <w:t xml:space="preserve">and at a faster rate than AceK alone. </w:t>
      </w:r>
    </w:p>
    <w:p w14:paraId="6A9208E8" w14:textId="77777777" w:rsidR="00D06987" w:rsidRDefault="009D4A0D" w:rsidP="00C978EB">
      <w:pPr>
        <w:jc w:val="both"/>
        <w:rPr>
          <w:rFonts w:ascii="Calibri" w:hAnsi="Calibri" w:cs="Arial"/>
        </w:rPr>
      </w:pPr>
      <w:r w:rsidRPr="009D4A0D">
        <w:rPr>
          <w:rFonts w:ascii="Calibri" w:hAnsi="Calibri" w:cs="Arial"/>
          <w:b/>
        </w:rPr>
        <w:t>Discussion</w:t>
      </w:r>
    </w:p>
    <w:p w14:paraId="0DDE3041" w14:textId="5C400CBF" w:rsidR="00CB7ECE" w:rsidRDefault="00891AA1" w:rsidP="00C978EB">
      <w:pPr>
        <w:jc w:val="both"/>
      </w:pPr>
      <w:r>
        <w:rPr>
          <w:rFonts w:ascii="Calibri" w:hAnsi="Calibri" w:cs="Arial"/>
        </w:rPr>
        <w:t xml:space="preserve">The driver behind this work is that </w:t>
      </w:r>
      <w:r w:rsidR="00983EAD" w:rsidRPr="0066265D">
        <w:rPr>
          <w:i/>
        </w:rPr>
        <w:t>P. aeruginosa</w:t>
      </w:r>
      <w:r w:rsidR="00983EAD">
        <w:t xml:space="preserve"> exhibits a particular predilection for catabolising fatty acids, especially during infection scenarios</w:t>
      </w:r>
      <w:r w:rsidR="00796174">
        <w:t xml:space="preserve"> </w:t>
      </w:r>
      <w:r w:rsidR="007324B2">
        <w:fldChar w:fldCharType="begin" w:fldLock="1"/>
      </w:r>
      <w:r w:rsidR="003915CC">
        <w:instrText>ADDIN CSL_CITATION { "citationItems" : [ { "id" : "ITEM-1", "itemData" : { "DOI" : "10.1128/IAI.01807-06", "ISBN" : "0019-9567", "ISSN" : "00199567", "PMID" : "17724070", "abstract" : "One of the hallmarks of Pseudomonas aeruginosa infection in cystic fibrosis (CF) patients is very-high-cell-density (HCD) replication in the lung, allowing this bacterium to induce virulence controlled by the quorum-sensing systems. However, the nutrient sources sustaining HCD replication in this chronic infection are largely unknown. Here, we performed microarray studies of P. aeruginosa directly isolated from the lungs of CF patients to demonstrate its metabolic capability and virulence in vivo. In vivo microarray data, confirmed by real-time reverse transcription-PCR, indicated that the P. aeruginosa population expressed several genes for virulence, drug resistance, and utilization of multiple nutrient sources (lung surfactant lipids and amino acids) contributing to HCD replication. The most abundant lung surfactant lipid molecule, phosphatidylcholine (PC), induces key genes of P. aeruginosa pertinent to PC degradation in vitro as well as in vivo within the lungs of CF patients. The results support recent research indicating that P. aeruginosa exists in the lungs of CF patients as a diverse population with full virulence potential. The data also indicate that there is deregulation of several pathways, suggesting that there is in vivo evolution by deregulation of a large portion of the transcriptome during chronic infection in CF patients. To our knowledge, this is the first in vivo transcriptome analysis of P. aeruginosa in a natural infection in CF patients, and the results indicate several important aspects of P. aeruginosa pathogenesis, drug resistance, nutrient utilization, and general metabolism within the lungs of CF patients.", "author" : [ { "dropping-particle" : "", "family" : "Son", "given" : "Mike S.", "non-dropping-particle" : "", "parse-names" : false, "suffix" : "" }, { "dropping-particle" : "", "family" : "Matthews", "given" : "Wallace J.", "non-dropping-particle" : "", "parse-names" : false, "suffix" : "" }, { "dropping-particle" : "", "family" : "Kang", "given" : "Yun", "non-dropping-particle" : "", "parse-names" : false, "suffix" : "" }, { "dropping-particle" : "", "family" : "Nguyen", "given" : "David T.", "non-dropping-particle" : "", "parse-names" : false, "suffix" : "" }, { "dropping-particle" : "", "family" : "Hoang", "given" : "Tung T.", "non-dropping-particle" : "", "parse-names" : false, "suffix" : "" } ], "container-title" : "Infection and Immunity", "id" : "ITEM-1", "issue" : "11", "issued" : { "date-parts" : [ [ "2007" ] ] }, "page" : "5313-5324", "title" : "In vivo evidence of Pseudomonas aeruginosa nutrient acquisition and pathogenesis in the lungs of cystic fibrosis patients", "type" : "article-journal", "volume" : "75" }, "uris" : [ "http://www.mendeley.com/documents/?uuid=eddb048f-5751-4f1d-bab5-a46e956a0bad", "http://www.mendeley.com/documents/?uuid=7b646b4b-aa1b-4c25-a8ac-418fa1d57897" ] } ], "mendeley" : { "formattedCitation" : "(Son, Matthews, Kang, Nguyen, &amp; Hoang, 2007)", "plainTextFormattedCitation" : "(Son, Matthews, Kang, Nguyen, &amp; Hoang, 2007)", "previouslyFormattedCitation" : "(Son, Matthews, Kang, Nguyen, &amp; Hoang, 2007)" }, "properties" : { "noteIndex" : 0 }, "schema" : "https://github.com/citation-style-language/schema/raw/master/csl-citation.json" }</w:instrText>
      </w:r>
      <w:r w:rsidR="007324B2">
        <w:fldChar w:fldCharType="separate"/>
      </w:r>
      <w:r w:rsidR="003915CC" w:rsidRPr="003915CC">
        <w:rPr>
          <w:noProof/>
        </w:rPr>
        <w:t>(Son, Matthews, Kang, Nguyen, &amp; Hoang, 2007)</w:t>
      </w:r>
      <w:r w:rsidR="007324B2">
        <w:fldChar w:fldCharType="end"/>
      </w:r>
      <w:r w:rsidR="007324B2">
        <w:t>.</w:t>
      </w:r>
      <w:r w:rsidR="00983EAD">
        <w:t xml:space="preserve"> Under these conditions, the glyoxylate shunt becomes </w:t>
      </w:r>
      <w:r w:rsidR="00EC1F0F">
        <w:t>centrally-important</w:t>
      </w:r>
      <w:r w:rsidR="00983EAD">
        <w:t xml:space="preserve"> for growth. Indeed, a mutant of </w:t>
      </w:r>
      <w:r w:rsidR="00983EAD" w:rsidRPr="00BC772A">
        <w:rPr>
          <w:i/>
        </w:rPr>
        <w:t>P. aeruginosa</w:t>
      </w:r>
      <w:r w:rsidR="00983EAD">
        <w:t xml:space="preserve"> in which </w:t>
      </w:r>
      <w:r w:rsidR="008054F5">
        <w:t>ICL and malate synthase (MS</w:t>
      </w:r>
      <w:r w:rsidR="00796174">
        <w:t xml:space="preserve"> </w:t>
      </w:r>
      <w:r w:rsidR="000B6545">
        <w:fldChar w:fldCharType="begin" w:fldLock="1"/>
      </w:r>
      <w:r w:rsidR="003915CC">
        <w:instrText>ADDIN CSL_CITATION { "citationItems" : [ { "id" : "ITEM-1", "itemData" : { "DOI" : "10.1021/acs.biochem.7b00852", "abstract" : "Pseudomonas aeruginosa is an opportunistic human pathogen recognized as a critical threat by the World Health Organization because of the dwindling number of effective therapies available to treat infections. Over the past decade, it has become apparent that the glyoxylate shunt plays a vital role in sustaining P. aeruginosa during infection scenarios. The glyoxylate shunt comprises two enzymes: isocitrate lyase and malate synthase isoform G. Inactivation of these enzymes has been reported to abolish the ability of P. aeruginosa to establish infection in a mammalian model system, yet we still lack the structural information to support drug design efforts. In this work, we describe the first X-ray crystal structure of P. aeruginosa malate synthase G in the apo form at 1.62 \u00c5 resolution. The enzyme is a monomer composed of four domains and is highly conserved with homologues found in other clinically relevant microorganisms. It is also dependent on Mg 2+ for catalysis. Metal ion binding led to a change in the intrinsic fluorescence of the protein, allowing us to quantitate its affinity for Mg 2+ . We also identified putative drug binding sites in malate synthase G using computational analysis and, because of the high resolution of the experimental data, were further able to characterize its hydration properties. Our data reveal two promising binding pockets in malate synthase G that may be exploited for drug design.", "author" : [ { "dropping-particle" : "", "family" : "McVey", "given" : "Alyssa C", "non-dropping-particle" : "", "parse-names" : false, "suffix" : "" }, { "dropping-particle" : "", "family" : "Medarametla", "given" : "Prasanthi", "non-dropping-particle" : "", "parse-names" : false, "suffix" : "" }, { "dropping-particle" : "", "family" : "Chee", "given" : "Xavier", "non-dropping-particle" : "", "parse-names" : false, "suffix" : "" }, { "dropping-particle" : "", "family" : "Bartlett", "given" : "Sean", "non-dropping-particle" : "", "parse-names" : false, "suffix" : "" }, { "dropping-particle" : "", "family" : "Poso", "given" : "Antti", "non-dropping-particle" : "", "parse-names" : false, "suffix" : "" }, { "dropping-particle" : "", "family" : "Spring", "given" : "David R", "non-dropping-particle" : "", "parse-names" : false, "suffix" : "" }, { "dropping-particle" : "", "family" : "Rahman", "given" : "Taufiq", "non-dropping-particle" : "", "parse-names" : false, "suffix" : "" }, { "dropping-particle" : "", "family" : "Welch", "given" : "Martin", "non-dropping-particle" : "", "parse-names" : false, "suffix" : "" } ], "container-title" : "Biochemistry", "id" : "ITEM-1", "issue" : "1", "issued" : { "date-parts" : [ [ "2017" ] ] }, "page" : "5539-5549", "title" : "Structural and functional characterization of malate synthase G from opportunistic pathogen Pseudomonas aeruginosa", "type" : "article-journal", "volume" : "56" }, "uris" : [ "http://www.mendeley.com/documents/?uuid=f6284022-85bf-371d-b67a-7b33d72f0889", "http://www.mendeley.com/documents/?uuid=f9c7da24-a31b-4942-ada3-5364359edb35" ] } ], "mendeley" : { "formattedCitation" : "(McVey et al., 2017)", "plainTextFormattedCitation" : "(McVey et al., 2017)", "previouslyFormattedCitation" : "(McVey et al., 2017)" }, "properties" : { "noteIndex" : 0 }, "schema" : "https://github.com/citation-style-language/schema/raw/master/csl-citation.json" }</w:instrText>
      </w:r>
      <w:r w:rsidR="000B6545">
        <w:fldChar w:fldCharType="separate"/>
      </w:r>
      <w:r w:rsidR="003915CC" w:rsidRPr="003915CC">
        <w:rPr>
          <w:noProof/>
        </w:rPr>
        <w:t>(McVey et al., 2017)</w:t>
      </w:r>
      <w:r w:rsidR="000B6545">
        <w:fldChar w:fldCharType="end"/>
      </w:r>
      <w:r w:rsidR="00983EAD">
        <w:t xml:space="preserve">) are absent is cleared from a mouse pulmonary infection model within 48 </w:t>
      </w:r>
      <w:r w:rsidR="00983EAD" w:rsidRPr="00F96F32">
        <w:t>hours</w:t>
      </w:r>
      <w:r w:rsidR="00796174">
        <w:t xml:space="preserve"> </w:t>
      </w:r>
      <w:r w:rsidR="0072138F">
        <w:fldChar w:fldCharType="begin" w:fldLock="1"/>
      </w:r>
      <w:r w:rsidR="003915CC">
        <w:instrText>ADDIN CSL_CITATION { "citationItems" : [ { "id" : "ITEM-1", "itemData" : { "DOI" : "10.1371/journal.pone.0051732", "ISSN" : "19326203", "PMID" : "23240059", "abstract" : "Antibacterial compounds that affect bacterial viability have traditionally been identified, confirmed, and characterized in standard laboratory media. The historical success of identifying new antibiotics via this route has justifiably established a traditional means of screening for new antimicrobials. The emergence of multi-drug-resistant (MDR) bacterial pathogens has expedited the need for new antibiotics, though many in the industry have questioned the source(s) of these new compounds. As many pharmaceutical companies' chemical libraries have been exhaustively screened via the traditional route, we have concluded that all compounds with any antibacterial potential have been identified. While new compound libraries and platforms are being pursued, it also seems prudent to screen the libraries we currently have in hand using alternative screening approaches. One strategy involves screening under conditions that better reflect the environment pathogens experience during an infection, and identifying in vivo essential targets and pathways that are dispensable for growth in standard laboratory media in vitro. Here we describe a novel screening strategy for identifying compounds that inhibit the glyoxylate shunt in Pseudomonas aeruginosa, a pathway that is required for bacterial survival in the pulmonary environment. We demonstrate that these compounds, which were not previously identified using traditional screening approaches, have broad-spectrum antibacterial activity when they are tested under in vivo-relevant conditions. We also show that these compounds have potent activity on both enzymes that comprise the glyoxylate shunt, a feature that was supported by computational homology modeling. By dual-targeting both enzymes in this pathway, we would expect to see a reduced propensity for resistance development to these compounds. Taken together, these data suggest that understanding the in vivo environment that bacterial pathogens must tolerate, and adjusting the antibacterial screening paradigm to reflect those conditions, could identify novel antibiotics for the treatment of serious MDR pathogens.", "author" : [ { "dropping-particle" : "", "family" : "Fahnoe", "given" : "Kelly C.", "non-dropping-particle" : "", "parse-names" : false, "suffix" : "" }, { "dropping-particle" : "", "family" : "Flanagan", "given" : "Mark E.", "non-dropping-particle" : "", "parse-names" : false, "suffix" : "" }, { "dropping-particle" : "", "family" : "Gibson", "given" : "Glenn", "non-dropping-particle" : "", "parse-names" : false, "suffix" : "" }, { "dropping-particle" : "", "family" : "Shanmugasundaram", "given" : "Veerabahu", "non-dropping-particle" : "", "parse-names" : false, "suffix" : "" }, { "dropping-particle" : "", "family" : "Che", "given" : "Ye", "non-dropping-particle" : "", "parse-names" : false, "suffix" : "" }, { "dropping-particle" : "", "family" : "Tomaras", "given" : "Andrew P.", "non-dropping-particle" : "", "parse-names" : false, "suffix" : "" } ], "container-title" : "PLoS ONE", "id" : "ITEM-1", "issue" : "12", "issued" : { "date-parts" : [ [ "2012" ] ] }, "page" : "1-7", "title" : "Non-traditional antibacterial screening approaches for the identification of novel inhibitors of the glyoxylate shunt in Gram-negative pathogens", "type" : "article-journal", "volume" : "7" }, "uris" : [ "http://www.mendeley.com/documents/?uuid=cac3819f-17f3-42c0-8a0b-c6a59b4de070", "http://www.mendeley.com/documents/?uuid=1fc7d255-8597-4d31-b6a0-960df6a05875" ] } ], "mendeley" : { "formattedCitation" : "(Fahnoe et al., 2012)", "plainTextFormattedCitation" : "(Fahnoe et al., 2012)", "previouslyFormattedCitation" : "(Fahnoe et al., 2012)" }, "properties" : { "noteIndex" : 0 }, "schema" : "https://github.com/citation-style-language/schema/raw/master/csl-citation.json" }</w:instrText>
      </w:r>
      <w:r w:rsidR="0072138F">
        <w:fldChar w:fldCharType="separate"/>
      </w:r>
      <w:r w:rsidR="003915CC" w:rsidRPr="003915CC">
        <w:rPr>
          <w:noProof/>
        </w:rPr>
        <w:t>(Fahnoe et al., 2012)</w:t>
      </w:r>
      <w:r w:rsidR="0072138F">
        <w:fldChar w:fldCharType="end"/>
      </w:r>
      <w:r w:rsidR="00983EAD">
        <w:rPr>
          <w:rFonts w:cs="Arial"/>
        </w:rPr>
        <w:t>,</w:t>
      </w:r>
      <w:r>
        <w:rPr>
          <w:rFonts w:cs="Arial"/>
        </w:rPr>
        <w:t xml:space="preserve"> indicating that the shunt is an excellent target for the development of adjuvant interventions</w:t>
      </w:r>
      <w:r w:rsidR="00983EAD" w:rsidRPr="00F96F32">
        <w:t xml:space="preserve">. </w:t>
      </w:r>
      <w:r>
        <w:rPr>
          <w:rFonts w:cs="Arial"/>
        </w:rPr>
        <w:t>The physiological importance of the shunt in infection</w:t>
      </w:r>
      <w:r w:rsidR="00983EAD">
        <w:rPr>
          <w:rFonts w:cs="Arial"/>
        </w:rPr>
        <w:t xml:space="preserve"> may not </w:t>
      </w:r>
      <w:r w:rsidR="00AC0D2C">
        <w:rPr>
          <w:rFonts w:cs="Arial"/>
        </w:rPr>
        <w:t xml:space="preserve">solely </w:t>
      </w:r>
      <w:r>
        <w:rPr>
          <w:rFonts w:cs="Arial"/>
        </w:rPr>
        <w:t xml:space="preserve">be </w:t>
      </w:r>
      <w:r w:rsidR="00983EAD">
        <w:rPr>
          <w:rFonts w:cs="Arial"/>
        </w:rPr>
        <w:t xml:space="preserve">due to the metabolic defect </w:t>
      </w:r>
      <w:r w:rsidR="00A41C85">
        <w:rPr>
          <w:rFonts w:cs="Arial"/>
        </w:rPr>
        <w:t>either</w:t>
      </w:r>
      <w:r w:rsidR="00983EAD">
        <w:rPr>
          <w:rFonts w:cs="Arial"/>
        </w:rPr>
        <w:t xml:space="preserve">; </w:t>
      </w:r>
      <w:r w:rsidR="00AC0D2C" w:rsidRPr="00AC0D2C">
        <w:rPr>
          <w:rFonts w:cs="Arial"/>
          <w:i/>
        </w:rPr>
        <w:t>aceA</w:t>
      </w:r>
      <w:r w:rsidR="00AC0D2C">
        <w:rPr>
          <w:rFonts w:cs="Arial"/>
        </w:rPr>
        <w:t xml:space="preserve"> </w:t>
      </w:r>
      <w:r w:rsidR="00983EAD">
        <w:rPr>
          <w:rFonts w:cs="Arial"/>
        </w:rPr>
        <w:t>mutants also show pronounced defects in virulence</w:t>
      </w:r>
      <w:r w:rsidR="00796174">
        <w:rPr>
          <w:rFonts w:cs="Arial"/>
        </w:rPr>
        <w:t xml:space="preserve"> </w:t>
      </w:r>
      <w:r w:rsidR="00076C6E">
        <w:rPr>
          <w:rFonts w:cs="Arial"/>
        </w:rPr>
        <w:fldChar w:fldCharType="begin" w:fldLock="1"/>
      </w:r>
      <w:r w:rsidR="003915CC">
        <w:rPr>
          <w:rFonts w:cs="Arial"/>
        </w:rPr>
        <w:instrText>ADDIN CSL_CITATION { "citationItems" : [ { "id" : "ITEM-1", "itemData" : { "DOI" : "10.1098/rsob.120131", "ISBN" : "2046-2441 (Electronic)\\r2046-2441 (Linking)", "ISSN" : "2046-2441", "PMID" : "23363478", "abstract" : "Pseudomonas aeruginosa is an opportunistic human pathogen and a common cause of chronic infections in individuals with cystic fibrosis (CF). Oxygen limitation was recently reported to regulate the expression of a major virulence determinant in P. aeruginosa, the type III secretion system (T3SS). Here, we show that expression of the T3SS in oxygen-limited growth conditions is strongly dependent on the glyoxylate shunt enzyme, isocitrate lyase (ICL; encoded by aceA), which was previously shown to be highly expressed in CF isolates. ICL-dependent regulation of the T3SS did not alter the expression level of the master transcriptional regulator, ExsA, but did affect expression of the T3 structural proteins, effectors and regulators (ExsC, ExsD and ExsE). An aceA mutant displayed enhanced biofilm formation during anaerobic growth, which suggested that AceA-dependent modulation of type III secretion might impinge upon the RetS/LadS signalling pathways. Indeed, our data suggest that RetS is able to mediate some of its effects through AceA, as expression of aceA in trans partially restored T3SS expression in a retS mutant. Our findings indicate that AceA is a key player in the metabolic regulation of T3SS expression during oxygen-limited growth of P. aeruginosa. To the best of our knowledge, this is the first demonstration that the T3SS can be regulated by factors that do not affect ExsA expression levels.", "author" : [ { "dropping-particle" : "", "family" : "Chung", "given" : "Jade C S", "non-dropping-particle" : "", "parse-names" : false, "suffix" : "" }, { "dropping-particle" : "", "family" : "Rzhepishevska", "given" : "Olena", "non-dropping-particle" : "", "parse-names" : false, "suffix" : "" }, { "dropping-particle" : "", "family" : "Ramstedt", "given" : "Madeleine", "non-dropping-particle" : "", "parse-names" : false, "suffix" : "" }, { "dropping-particle" : "", "family" : "Welch", "given" : "Martin", "non-dropping-particle" : "", "parse-names" : false, "suffix" : "" } ], "container-title" : "Open biology", "id" : "ITEM-1", "issue" : "1", "issued" : { "date-parts" : [ [ "2013" ] ] }, "page" : "120131", "title" : "Type III secretion system expression in oxygen-limited Pseudomonas aeruginosa cultures is stimulated by isocitrate lyase activity", "type" : "article-journal", "volume" : "3" }, "uris" : [ "http://www.mendeley.com/documents/?uuid=13441f0d-b504-4981-bf7b-1648e7f06c16", "http://www.mendeley.com/documents/?uuid=c221a55f-5a2e-4185-8cc3-25afb44976c7" ] }, { "id" : "ITEM-2", "itemData" : { "DOI" : "10.1099/mic.0.2007/014506-0", "ISBN" : "1350-0872 (Print)", "ISSN" : "13500872", "PMID" : "18524916", "abstract" : "Chronic lung infections caused by Pseudomonas aeruginosa are the leading cause of morbidity and mortality for cystic fibrosis (CF) patients. Adaptation of P. aeruginosa to the CF lung results in the loss of acute virulence determinants and appears to activate chronic virulence strategies in this pathogen. In order to identify such strategies, a random transposon mutagenesis was performed and 18 genes that were required for optimal infection of alfalfa seedlings by FRD1, a CF isolate of P. aeruginosa, were recognized. The largest subset of genes (seven of the 18), were associated with central carbon metabolism, including the gene that encodes isocitrate lyase (ICL), aceA. Because FRD1 is avirulent in animal infection models, we constructed an ICL mutant in P. aeruginosa strain PAO1 in order to assess the requirement of ICL in mammalian infection. The PAO1 ICL mutant was less virulent in the rat lung infection model, indicating that ICL is required for the pathogenesis of P. aeruginosa in mammals. Furthermore, FRD1 showed increased ICL activity and expression of an aceA : : lacZ fusion compared to PAO1. We suggest that upregulation of ICL occurred during adaptation of FRD1 to the CF lung and that some of the novel virulence mechanisms employed by FRD1 to infect alfalfa seedlings may be the same mechanisms P. aeruginosa relies upon to persist within human niches.", "author" : [ { "dropping-particle" : "", "family" : "Lindsey", "given" : "Tamishia L.", "non-dropping-particle" : "", "parse-names" : false, "suffix" : "" }, { "dropping-particle" : "", "family" : "Hagins", "given" : "Jessica M.", "non-dropping-particle" : "", "parse-names" : false, "suffix" : "" }, { "dropping-particle" : "", "family" : "Sokol", "given" : "Pamela A.", "non-dropping-particle" : "", "parse-names" : false, "suffix" : "" }, { "dropping-particle" : "", "family" : "Silo-Suh", "given" : "Laura A.", "non-dropping-particle" : "", "parse-names" : false, "suffix" : "" } ], "container-title" : "Microbiology", "id" : "ITEM-2", "issue" : "6", "issued" : { "date-parts" : [ [ "2008" ] ] }, "page" : "1616-1627", "title" : "Virulence determinants from a cystic fibrosis isolate of Pseudomonas aeruginosa include isocitrate lyase", "type" : "article-journal", "volume" : "154" }, "uris" : [ "http://www.mendeley.com/documents/?uuid=9162c969-b2c4-4084-b605-98c9d2a7eee4", "http://www.mendeley.com/documents/?uuid=f15fb900-1a76-4986-8ab3-59b306a7159d" ] }, { "id" : "ITEM-3", "itemData" : { "DOI" : "10.1038/35021074", "ISBN" : "0028-0836 (Print)\\r0028-0836 (Linking)", "ISSN" : "0028-0836", "PMID" : "10963599", "abstract" : "Mycobacterium tuberculosis claims more human lives each year than any other bacterial pathogen. Infection is maintained in spite of acquired immunity and resists eradication by antimicrobials. Despite an urgent need for new therapies targeting persistent bacteria, our knowledge of bacterial metabolism throughout the course of infection remains rudimentary. Here we report that persistence of M. tuberculosis in mice is facilitated by isocitrate lyase (ICL), an enzyme essential for the metabolism of fatty acids. Disruption of the icl gene attenuated bacterial persistence and virulence in immune-competent mice without affecting bacterial growth during the acute phase of infection. A link between the requirement for ICL and the immune status of the host was established by the restored virulence of delta icl bacteria in interferon-gamma knockout mice. This link was apparent at the level of the infected macrophage: Activation of infected macrophages increased expression of ICL, and the delta icl mutant was markedly attenuated for survival in activated but not resting macrophages. These data suggest that the metabolism of M. tuberculosis in vivo is profoundly influenced by the host response to infection, an observation with important implications for the treatment of chronic tuberculosis.", "author" : [ { "dropping-particle" : "", "family" : "McKinney", "given" : "J D", "non-dropping-particle" : "", "parse-names" : false, "suffix" : "" }, { "dropping-particle" : "", "family" : "H\u00f6ner zu Bentrup", "given" : "K", "non-dropping-particle" : "", "parse-names" : false, "suffix" : "" }, { "dropping-particle" : "", "family" : "Mu\u00f1oz-El\u00edas", "given" : "E J", "non-dropping-particle" : "", "parse-names" : false, "suffix" : "" }, { "dropping-particle" : "", "family" : "Miczak", "given" : "A", "non-dropping-particle" : "", "parse-names" : false, "suffix" : "" }, { "dropping-particle" : "", "family" : "Chen", "given" : "B", "non-dropping-particle" : "", "parse-names" : false, "suffix" : "" }, { "dropping-particle" : "", "family" : "Chan", "given" : "W T", "non-dropping-particle" : "", "parse-names" : false, "suffix" : "" }, { "dropping-particle" : "", "family" : "Swenson", "given" : "D", "non-dropping-particle" : "", "parse-names" : false, "suffix" : "" }, { "dropping-particle" : "", "family" : "Sacchettini", "given" : "J C", "non-dropping-particle" : "", "parse-names" : false, "suffix" : "" }, { "dropping-particle" : "", "family" : "Jacobs", "given" : "W R", "non-dropping-particle" : "", "parse-names" : false, "suffix" : "" }, { "dropping-particle" : "", "family" : "Russell", "given" : "D G", "non-dropping-particle" : "", "parse-names" : false, "suffix" : "" } ], "container-title" : "Letters to Nature", "id" : "ITEM-3", "issue" : "6797", "issued" : { "date-parts" : [ [ "2000" ] ] }, "page" : "735-738", "title" : "Persistence of Mycobacterium tuberculosis in macrophages and mice requires the glyoxylate shunt enzyme isocitrate lyase", "type" : "article-journal", "volume" : "406" }, "uris" : [ "http://www.mendeley.com/documents/?uuid=5e1b93b9-faab-43bc-aebc-c56a2382cac2", "http://www.mendeley.com/documents/?uuid=a3286369-fd64-4e52-a0de-a7a714282705" ] } ], "mendeley" : { "formattedCitation" : "(Chung, Rzhepishevska, Ramstedt, &amp; Welch, 2013; Lindsey, Hagins, Sokol, &amp; Silo-Suh, 2008; McKinney et al., 2000)", "plainTextFormattedCitation" : "(Chung, Rzhepishevska, Ramstedt, &amp; Welch, 2013; Lindsey, Hagins, Sokol, &amp; Silo-Suh, 2008; McKinney et al., 2000)", "previouslyFormattedCitation" : "(Chung, Rzhepishevska, Ramstedt, &amp; Welch, 2013; Lindsey, Hagins, Sokol, &amp; Silo-Suh, 2008; McKinney et al., 2000)" }, "properties" : { "noteIndex" : 0 }, "schema" : "https://github.com/citation-style-language/schema/raw/master/csl-citation.json" }</w:instrText>
      </w:r>
      <w:r w:rsidR="00076C6E">
        <w:rPr>
          <w:rFonts w:cs="Arial"/>
        </w:rPr>
        <w:fldChar w:fldCharType="separate"/>
      </w:r>
      <w:r w:rsidR="003915CC" w:rsidRPr="003915CC">
        <w:rPr>
          <w:rFonts w:cs="Arial"/>
          <w:noProof/>
        </w:rPr>
        <w:t>(Chung, Rzhepishevska, Ramstedt, &amp; Welch, 2013; Lindsey, Hagins, Sokol, &amp; Silo-Suh, 2008; McKinney et al., 2000)</w:t>
      </w:r>
      <w:r w:rsidR="00076C6E">
        <w:rPr>
          <w:rFonts w:cs="Arial"/>
        </w:rPr>
        <w:fldChar w:fldCharType="end"/>
      </w:r>
      <w:r w:rsidR="00983EAD">
        <w:rPr>
          <w:rFonts w:cs="Arial"/>
        </w:rPr>
        <w:t xml:space="preserve">. </w:t>
      </w:r>
      <w:r w:rsidR="00983EAD">
        <w:t xml:space="preserve">Consequently, therapeutic agents which inhibit flux </w:t>
      </w:r>
      <w:r w:rsidR="00983EAD">
        <w:lastRenderedPageBreak/>
        <w:t xml:space="preserve">through the glyoxylate shunt </w:t>
      </w:r>
      <w:r w:rsidR="008054F5">
        <w:t xml:space="preserve">(or redirect flux away from the shunt) </w:t>
      </w:r>
      <w:r w:rsidR="00983EAD">
        <w:t xml:space="preserve">could potentially deliver a powerful “double whammy” by eliciting both metabolic insufficiency </w:t>
      </w:r>
      <w:r w:rsidR="00983EAD" w:rsidRPr="00B23954">
        <w:t>and</w:t>
      </w:r>
      <w:r w:rsidR="00983EAD">
        <w:t xml:space="preserve"> reduced virulence. </w:t>
      </w:r>
      <w:r>
        <w:t>However</w:t>
      </w:r>
      <w:r w:rsidR="00983EAD">
        <w:t xml:space="preserve">, a better understanding of the enzymology of the </w:t>
      </w:r>
      <w:r w:rsidR="00983EAD" w:rsidRPr="001D5D1C">
        <w:rPr>
          <w:i/>
        </w:rPr>
        <w:t>P. aeruginosa</w:t>
      </w:r>
      <w:r w:rsidR="00983EAD">
        <w:t xml:space="preserve"> TGB</w:t>
      </w:r>
      <w:r w:rsidR="00EC1F0F">
        <w:t xml:space="preserve"> will be essential if we are to realise its full potential</w:t>
      </w:r>
      <w:r w:rsidR="00983EAD">
        <w:t xml:space="preserve"> as a therapeutic target. </w:t>
      </w:r>
      <w:r w:rsidR="00AC0D2C">
        <w:t>In</w:t>
      </w:r>
      <w:r w:rsidR="00A41C85">
        <w:t>deed, in</w:t>
      </w:r>
      <w:r w:rsidR="00AC0D2C">
        <w:t xml:space="preserve"> </w:t>
      </w:r>
      <w:r w:rsidR="00EC1F0F">
        <w:t>the current</w:t>
      </w:r>
      <w:r w:rsidR="00AC0D2C">
        <w:t xml:space="preserve"> work, we show that </w:t>
      </w:r>
      <w:r w:rsidR="00A41C85">
        <w:t xml:space="preserve">this understanding cannot be gleaned by extrapolation from previously-characterised species. For example, in </w:t>
      </w:r>
      <w:r w:rsidR="00A41C85" w:rsidRPr="00A41C85">
        <w:rPr>
          <w:i/>
        </w:rPr>
        <w:t>P. aeruginosa</w:t>
      </w:r>
      <w:r w:rsidR="00A41C85">
        <w:t xml:space="preserve">, </w:t>
      </w:r>
      <w:r w:rsidR="00AC0D2C">
        <w:t xml:space="preserve">three enzymes compete for </w:t>
      </w:r>
      <w:r w:rsidR="00AC0D2C" w:rsidRPr="00AC0D2C">
        <w:rPr>
          <w:i/>
        </w:rPr>
        <w:t>iso</w:t>
      </w:r>
      <w:r w:rsidR="00AC0D2C">
        <w:t xml:space="preserve">citrate, and ICL has a </w:t>
      </w:r>
      <w:r w:rsidR="00AC0D2C" w:rsidRPr="009415AA">
        <w:rPr>
          <w:u w:val="single"/>
        </w:rPr>
        <w:t>higher</w:t>
      </w:r>
      <w:r w:rsidR="00AC0D2C">
        <w:t xml:space="preserve"> affinity for the substrate than the </w:t>
      </w:r>
      <w:r>
        <w:t xml:space="preserve">competing </w:t>
      </w:r>
      <w:r w:rsidR="00AC0D2C">
        <w:t xml:space="preserve">dehydrogenases. Also, the enzymology </w:t>
      </w:r>
      <w:r>
        <w:t>appears to be</w:t>
      </w:r>
      <w:r w:rsidR="00AC0D2C">
        <w:t xml:space="preserve"> more complex in </w:t>
      </w:r>
      <w:r w:rsidR="00AC0D2C" w:rsidRPr="00AC0D2C">
        <w:rPr>
          <w:i/>
        </w:rPr>
        <w:t>P. aeruginosa</w:t>
      </w:r>
      <w:r w:rsidR="00AC0D2C">
        <w:t xml:space="preserve"> compared with </w:t>
      </w:r>
      <w:r>
        <w:t>other species,</w:t>
      </w:r>
      <w:r w:rsidR="00EC1F0F">
        <w:t xml:space="preserve"> involving both AceK (absent in</w:t>
      </w:r>
      <w:r>
        <w:t xml:space="preserve"> e.g.,</w:t>
      </w:r>
      <w:r w:rsidR="00EC1F0F">
        <w:t xml:space="preserve"> </w:t>
      </w:r>
      <w:r w:rsidR="00EC1F0F" w:rsidRPr="00EC1F0F">
        <w:rPr>
          <w:i/>
        </w:rPr>
        <w:t>M. smegmatis</w:t>
      </w:r>
      <w:r>
        <w:t xml:space="preserve"> and </w:t>
      </w:r>
      <w:r w:rsidRPr="00891AA1">
        <w:rPr>
          <w:i/>
        </w:rPr>
        <w:t>M. tuberculosis</w:t>
      </w:r>
      <w:r w:rsidR="00EC1F0F">
        <w:t>) and IDH (absent in</w:t>
      </w:r>
      <w:r>
        <w:t xml:space="preserve"> many enterics, such as</w:t>
      </w:r>
      <w:r w:rsidR="00EC1F0F">
        <w:t xml:space="preserve"> </w:t>
      </w:r>
      <w:r w:rsidR="00EC1F0F" w:rsidRPr="00EC1F0F">
        <w:rPr>
          <w:i/>
        </w:rPr>
        <w:t>E. coli</w:t>
      </w:r>
      <w:r w:rsidR="00EC1F0F">
        <w:t>).</w:t>
      </w:r>
      <w:r w:rsidR="00016399">
        <w:t xml:space="preserve"> </w:t>
      </w:r>
    </w:p>
    <w:p w14:paraId="6CCF0202" w14:textId="3FD9A0FB" w:rsidR="00891AA1" w:rsidRDefault="00016399" w:rsidP="00C978EB">
      <w:pPr>
        <w:jc w:val="both"/>
      </w:pPr>
      <w:r w:rsidRPr="00016399">
        <w:rPr>
          <w:highlight w:val="yellow"/>
        </w:rPr>
        <w:t xml:space="preserve">A comparison of the regulatory mechanisms established for </w:t>
      </w:r>
      <w:r w:rsidRPr="00016399">
        <w:rPr>
          <w:i/>
          <w:highlight w:val="yellow"/>
        </w:rPr>
        <w:t>M. smegmatis</w:t>
      </w:r>
      <w:r w:rsidRPr="00016399">
        <w:rPr>
          <w:highlight w:val="yellow"/>
        </w:rPr>
        <w:t xml:space="preserve">, </w:t>
      </w:r>
      <w:r w:rsidRPr="00016399">
        <w:rPr>
          <w:i/>
          <w:highlight w:val="yellow"/>
        </w:rPr>
        <w:t>E. coli</w:t>
      </w:r>
      <w:r w:rsidRPr="00016399">
        <w:rPr>
          <w:highlight w:val="yellow"/>
        </w:rPr>
        <w:t xml:space="preserve"> and </w:t>
      </w:r>
      <w:r w:rsidRPr="00016399">
        <w:rPr>
          <w:i/>
          <w:highlight w:val="yellow"/>
        </w:rPr>
        <w:t>P. aeruginosa</w:t>
      </w:r>
      <w:r w:rsidRPr="00016399">
        <w:rPr>
          <w:highlight w:val="yellow"/>
        </w:rPr>
        <w:t xml:space="preserve"> is shown in Figure 6.</w:t>
      </w:r>
      <w:r w:rsidR="00713A64">
        <w:t xml:space="preserve"> </w:t>
      </w:r>
      <w:r w:rsidR="002066FC">
        <w:rPr>
          <w:highlight w:val="yellow"/>
        </w:rPr>
        <w:t>T</w:t>
      </w:r>
      <w:r w:rsidR="00626B2F" w:rsidRPr="002066FC">
        <w:rPr>
          <w:highlight w:val="yellow"/>
        </w:rPr>
        <w:t xml:space="preserve">he principal regulatory mechanism associated with flux partitioning at the TGB in </w:t>
      </w:r>
      <w:r w:rsidR="00626B2F" w:rsidRPr="002066FC">
        <w:rPr>
          <w:i/>
          <w:highlight w:val="yellow"/>
        </w:rPr>
        <w:t>M. smegmatis</w:t>
      </w:r>
      <w:r w:rsidR="00626B2F" w:rsidRPr="002066FC">
        <w:rPr>
          <w:highlight w:val="yellow"/>
        </w:rPr>
        <w:t xml:space="preserve"> is </w:t>
      </w:r>
      <w:r w:rsidR="002066FC">
        <w:rPr>
          <w:highlight w:val="yellow"/>
        </w:rPr>
        <w:t xml:space="preserve">the </w:t>
      </w:r>
      <w:r w:rsidR="00626B2F" w:rsidRPr="002066FC">
        <w:rPr>
          <w:highlight w:val="yellow"/>
        </w:rPr>
        <w:t xml:space="preserve">“rheostatic control” exerted by </w:t>
      </w:r>
      <w:r w:rsidR="002066FC" w:rsidRPr="002066FC">
        <w:rPr>
          <w:highlight w:val="yellow"/>
        </w:rPr>
        <w:t xml:space="preserve">one of the products of ICL activity, </w:t>
      </w:r>
      <w:r w:rsidR="00626B2F" w:rsidRPr="002066FC">
        <w:rPr>
          <w:highlight w:val="yellow"/>
        </w:rPr>
        <w:t>glyoxylate</w:t>
      </w:r>
      <w:r w:rsidR="002E4342">
        <w:rPr>
          <w:highlight w:val="yellow"/>
        </w:rPr>
        <w:t xml:space="preserve"> </w:t>
      </w:r>
      <w:r w:rsidR="002E4342" w:rsidRPr="002E4342">
        <w:rPr>
          <w:highlight w:val="yellow"/>
        </w:rPr>
        <w:fldChar w:fldCharType="begin" w:fldLock="1"/>
      </w:r>
      <w:r w:rsidR="002E4342" w:rsidRPr="002E4342">
        <w:rPr>
          <w:highlight w:val="yellow"/>
        </w:rPr>
        <w:instrText>ADDIN CSL_CITATION { "citationItems" : [ { "id" : "ITEM-1", "itemData" : { "DOI" : "10.1038/ncomms12527", "abstract" : "Fatty acid metabolism is an important feature of the pathogenicity of Mycobacterium tuberculosis during infection. Consumption of fatty acids requires regulation of carbon flux bifurcation between the oxidative TCA cycle and the glyoxylate shunt. In Escherichia coli, flux bifurcation is regulated by phosphorylation-mediated inhibition of isocitrate dehydrogenase (ICD), a paradigmatic example of post-translational mechanisms governing metabolic fluxes. Here, we demonstrate that, in contrast to E. coli, carbon flux bifurcation in mycobacteria is regulated not by phosphorylation but through metabolic cross-activation of ICD by glyoxylate, which is produced by the glyoxylate shunt enzyme isocitrate lyase (ICL). This regulatory circuit maintains stable partitioning of fluxes, thus ensuring a balance between anaplerosis, energy production, and precursor biosynthesis. The rheostat-like mechanism of metabolite-mediated control of flux partitioning demonstrates the importance of allosteric regulation during metabolic steady-state. The sensitivity of this regulatory mechanism to perturbations presents a potentially attractive target for chemotherapy.", "author" : [ { "dropping-particle" : "", "family" : "Murima", "given" : "Paul", "non-dropping-particle" : "", "parse-names" : false, "suffix" : "" }, { "dropping-particle" : "", "family" : "Zimmermann", "given" : "Michael", "non-dropping-particle" : "", "parse-names" : false, "suffix" : "" }, { "dropping-particle" : "", "family" : "Chopra", "given" : "Tarun", "non-dropping-particle" : "", "parse-names" : false, "suffix" : "" }, { "dropping-particle" : "", "family" : "Pojer", "given" : "Florence", "non-dropping-particle" : "", "parse-names" : false, "suffix" : "" }, { "dropping-particle" : "", "family" : "Fonti", "given" : "Giulia", "non-dropping-particle" : "", "parse-names" : false, "suffix" : "" }, { "dropping-particle" : "", "family" : "Dal Peraro", "given" : "Matteo", "non-dropping-particle" : "", "parse-names" : false, "suffix" : "" }, { "dropping-particle" : "", "family" : "Alonso", "given" : "Sylvie", "non-dropping-particle" : "", "parse-names" : false, "suffix" : "" }, { "dropping-particle" : "", "family" : "Sauer", "given" : "Uwe", "non-dropping-particle" : "", "parse-names" : false, "suffix" : "" }, { "dropping-particle" : "", "family" : "Pethe", "given" : "Kevin", "non-dropping-particle" : "", "parse-names" : false, "suffix" : "" }, { "dropping-particle" : "", "family" : "Mckinney", "given" : "John D", "non-dropping-particle" : "", "parse-names" : false, "suffix" : "" } ], "container-title" : "Nature Communications", "id" : "ITEM-1", "issue" : "1", "issued" : { "date-parts" : [ [ "2016" ] ] }, "page" : "12527", "title" : "A rheostat mechanism governs the bifurcation of carbon flux in mycobacteria", "type" : "article-journal", "volume" : "7" }, "uris" : [ "http://www.mendeley.com/documents/?uuid=048c8bcc-07ef-442f-84eb-9d666f62eed3", "http://www.mendeley.com/documents/?uuid=c6117043-3514-356c-8139-42470887bff0" ] } ], "mendeley" : { "formattedCitation" : "(Murima et al., 2016)", "plainTextFormattedCitation" : "(Murima et al., 2016)", "previouslyFormattedCitation" : "(Murima et al., 2016)" }, "properties" : { "noteIndex" : 0 }, "schema" : "https://github.com/citation-style-language/schema/raw/master/csl-citation.json" }</w:instrText>
      </w:r>
      <w:r w:rsidR="002E4342" w:rsidRPr="002E4342">
        <w:rPr>
          <w:highlight w:val="yellow"/>
        </w:rPr>
        <w:fldChar w:fldCharType="separate"/>
      </w:r>
      <w:r w:rsidR="002E4342" w:rsidRPr="002E4342">
        <w:rPr>
          <w:noProof/>
          <w:highlight w:val="yellow"/>
        </w:rPr>
        <w:t>(Murima et al., 2016)</w:t>
      </w:r>
      <w:r w:rsidR="002E4342" w:rsidRPr="002E4342">
        <w:rPr>
          <w:highlight w:val="yellow"/>
        </w:rPr>
        <w:fldChar w:fldCharType="end"/>
      </w:r>
      <w:r w:rsidR="00626B2F" w:rsidRPr="002066FC">
        <w:rPr>
          <w:highlight w:val="yellow"/>
        </w:rPr>
        <w:t xml:space="preserve">. This general mechanism appears to be conserved in </w:t>
      </w:r>
      <w:r w:rsidR="00626B2F" w:rsidRPr="002066FC">
        <w:rPr>
          <w:i/>
          <w:highlight w:val="yellow"/>
        </w:rPr>
        <w:t>P. aeruginosa</w:t>
      </w:r>
      <w:r w:rsidR="00626B2F" w:rsidRPr="002066FC">
        <w:rPr>
          <w:highlight w:val="yellow"/>
        </w:rPr>
        <w:t xml:space="preserve"> too, although in regulatory te</w:t>
      </w:r>
      <w:r w:rsidR="00DD761E" w:rsidRPr="002066FC">
        <w:rPr>
          <w:highlight w:val="yellow"/>
        </w:rPr>
        <w:t xml:space="preserve">rms, it is likely </w:t>
      </w:r>
      <w:r w:rsidR="002066FC">
        <w:rPr>
          <w:highlight w:val="yellow"/>
        </w:rPr>
        <w:t xml:space="preserve">to be </w:t>
      </w:r>
      <w:r w:rsidR="00DD761E" w:rsidRPr="002066FC">
        <w:rPr>
          <w:highlight w:val="yellow"/>
        </w:rPr>
        <w:t>more nuanced</w:t>
      </w:r>
      <w:r w:rsidR="002066FC">
        <w:rPr>
          <w:highlight w:val="yellow"/>
        </w:rPr>
        <w:t>. This is because,</w:t>
      </w:r>
      <w:r w:rsidR="00DD761E" w:rsidRPr="002066FC">
        <w:rPr>
          <w:highlight w:val="yellow"/>
        </w:rPr>
        <w:t xml:space="preserve"> </w:t>
      </w:r>
      <w:r w:rsidR="002066FC" w:rsidRPr="002066FC">
        <w:rPr>
          <w:highlight w:val="yellow"/>
        </w:rPr>
        <w:t xml:space="preserve">not only does glyoxylate activate IDH; </w:t>
      </w:r>
      <w:r w:rsidR="00DD761E" w:rsidRPr="002066FC">
        <w:rPr>
          <w:highlight w:val="yellow"/>
        </w:rPr>
        <w:t>succinate (the other product of ICL activity) is an</w:t>
      </w:r>
      <w:r w:rsidR="00376394">
        <w:rPr>
          <w:highlight w:val="yellow"/>
        </w:rPr>
        <w:t xml:space="preserve"> uncompetitive inhibitor of ICL</w:t>
      </w:r>
      <w:r w:rsidR="00DD761E" w:rsidRPr="002066FC">
        <w:rPr>
          <w:highlight w:val="yellow"/>
        </w:rPr>
        <w:t xml:space="preserve"> and </w:t>
      </w:r>
      <w:r w:rsidR="00376394">
        <w:rPr>
          <w:highlight w:val="yellow"/>
        </w:rPr>
        <w:t xml:space="preserve">also </w:t>
      </w:r>
      <w:r w:rsidR="001D6471">
        <w:rPr>
          <w:highlight w:val="yellow"/>
        </w:rPr>
        <w:t>a potent</w:t>
      </w:r>
      <w:r w:rsidR="00DD761E" w:rsidRPr="002066FC">
        <w:rPr>
          <w:highlight w:val="yellow"/>
        </w:rPr>
        <w:t xml:space="preserve"> activator of AceK </w:t>
      </w:r>
      <w:r w:rsidR="002066FC" w:rsidRPr="002066FC">
        <w:rPr>
          <w:highlight w:val="yellow"/>
        </w:rPr>
        <w:t>phosphatase</w:t>
      </w:r>
      <w:r w:rsidR="00DD761E" w:rsidRPr="002066FC">
        <w:rPr>
          <w:highlight w:val="yellow"/>
        </w:rPr>
        <w:t xml:space="preserve"> activity</w:t>
      </w:r>
      <w:r w:rsidR="002066FC" w:rsidRPr="002066FC">
        <w:rPr>
          <w:highlight w:val="yellow"/>
        </w:rPr>
        <w:t xml:space="preserve"> (i.e., stimulating ICD activity)</w:t>
      </w:r>
      <w:r w:rsidR="00DD761E" w:rsidRPr="002066FC">
        <w:rPr>
          <w:highlight w:val="yellow"/>
        </w:rPr>
        <w:t>.</w:t>
      </w:r>
      <w:r w:rsidR="002066FC" w:rsidRPr="002066FC">
        <w:rPr>
          <w:highlight w:val="yellow"/>
        </w:rPr>
        <w:t xml:space="preserve"> The “rheostat” in </w:t>
      </w:r>
      <w:r w:rsidR="002066FC" w:rsidRPr="002066FC">
        <w:rPr>
          <w:i/>
          <w:highlight w:val="yellow"/>
        </w:rPr>
        <w:t>P. aeruginosa</w:t>
      </w:r>
      <w:r w:rsidR="002066FC" w:rsidRPr="002066FC">
        <w:rPr>
          <w:highlight w:val="yellow"/>
        </w:rPr>
        <w:t xml:space="preserve"> therefore operates at several levels</w:t>
      </w:r>
      <w:r w:rsidR="002066FC" w:rsidRPr="00CB7ECE">
        <w:rPr>
          <w:highlight w:val="yellow"/>
        </w:rPr>
        <w:t xml:space="preserve">. In contrast, the principal regulatory mechanism employed by </w:t>
      </w:r>
      <w:r w:rsidR="002066FC" w:rsidRPr="00CB7ECE">
        <w:rPr>
          <w:i/>
          <w:highlight w:val="yellow"/>
        </w:rPr>
        <w:t>E. coli</w:t>
      </w:r>
      <w:r w:rsidR="002066FC" w:rsidRPr="00CB7ECE">
        <w:rPr>
          <w:highlight w:val="yellow"/>
        </w:rPr>
        <w:t xml:space="preserve"> is AceK-mediated phosphorylation/dephosphorylation of ICD. </w:t>
      </w:r>
      <w:r w:rsidR="00DF244F">
        <w:rPr>
          <w:highlight w:val="yellow"/>
        </w:rPr>
        <w:t>However</w:t>
      </w:r>
      <w:r w:rsidR="002066FC" w:rsidRPr="00CB7ECE">
        <w:rPr>
          <w:highlight w:val="yellow"/>
        </w:rPr>
        <w:t xml:space="preserve">, the mechanistic details are not the same in </w:t>
      </w:r>
      <w:r w:rsidR="002066FC" w:rsidRPr="00CB7ECE">
        <w:rPr>
          <w:i/>
          <w:highlight w:val="yellow"/>
        </w:rPr>
        <w:t>E. coli</w:t>
      </w:r>
      <w:r w:rsidR="002066FC" w:rsidRPr="00CB7ECE">
        <w:rPr>
          <w:highlight w:val="yellow"/>
        </w:rPr>
        <w:t xml:space="preserve"> and </w:t>
      </w:r>
      <w:r w:rsidR="002066FC" w:rsidRPr="00CB7ECE">
        <w:rPr>
          <w:i/>
          <w:highlight w:val="yellow"/>
        </w:rPr>
        <w:t>P. aeruginosa</w:t>
      </w:r>
      <w:r w:rsidR="002066FC" w:rsidRPr="00CB7ECE">
        <w:rPr>
          <w:highlight w:val="yellow"/>
        </w:rPr>
        <w:t>. Not only is the suite of allosteric AceK regulators different</w:t>
      </w:r>
      <w:r w:rsidR="00517D4B" w:rsidRPr="00CB7ECE">
        <w:rPr>
          <w:highlight w:val="yellow"/>
        </w:rPr>
        <w:t xml:space="preserve"> in each species (presumably reflecting their </w:t>
      </w:r>
      <w:r w:rsidR="00CB7ECE" w:rsidRPr="00CB7ECE">
        <w:rPr>
          <w:highlight w:val="yellow"/>
        </w:rPr>
        <w:t>distinct</w:t>
      </w:r>
      <w:r w:rsidR="00517D4B" w:rsidRPr="00CB7ECE">
        <w:rPr>
          <w:highlight w:val="yellow"/>
        </w:rPr>
        <w:t xml:space="preserve"> metabolic requirements) </w:t>
      </w:r>
      <w:r w:rsidR="002066FC" w:rsidRPr="00CB7ECE">
        <w:rPr>
          <w:highlight w:val="yellow"/>
        </w:rPr>
        <w:t>but so too</w:t>
      </w:r>
      <w:r w:rsidR="00517D4B" w:rsidRPr="00CB7ECE">
        <w:rPr>
          <w:highlight w:val="yellow"/>
        </w:rPr>
        <w:t xml:space="preserve"> is the extent to which AceK can intrinsically inactivate ICD. In the absence of </w:t>
      </w:r>
      <w:r w:rsidR="00CB7ECE" w:rsidRPr="00CB7ECE">
        <w:rPr>
          <w:highlight w:val="yellow"/>
        </w:rPr>
        <w:t xml:space="preserve">external </w:t>
      </w:r>
      <w:r w:rsidR="00DF244F">
        <w:rPr>
          <w:highlight w:val="yellow"/>
        </w:rPr>
        <w:t>effectors</w:t>
      </w:r>
      <w:r w:rsidR="00517D4B" w:rsidRPr="00CB7ECE">
        <w:rPr>
          <w:highlight w:val="yellow"/>
        </w:rPr>
        <w:t xml:space="preserve">, </w:t>
      </w:r>
      <w:r w:rsidR="00517D4B" w:rsidRPr="00CB7ECE">
        <w:rPr>
          <w:i/>
          <w:highlight w:val="yellow"/>
        </w:rPr>
        <w:t>P. aeruginosa</w:t>
      </w:r>
      <w:r w:rsidR="00517D4B" w:rsidRPr="00CB7ECE">
        <w:rPr>
          <w:highlight w:val="yellow"/>
        </w:rPr>
        <w:t xml:space="preserve"> AceK in can only maximally inactivate around 75-80% of the ICD present, and it is still not clear (from a mechanistic </w:t>
      </w:r>
      <w:r w:rsidR="00CB7ECE" w:rsidRPr="00CB7ECE">
        <w:rPr>
          <w:highlight w:val="yellow"/>
        </w:rPr>
        <w:t>view</w:t>
      </w:r>
      <w:r w:rsidR="00517D4B" w:rsidRPr="00CB7ECE">
        <w:rPr>
          <w:highlight w:val="yellow"/>
        </w:rPr>
        <w:t xml:space="preserve">point) </w:t>
      </w:r>
      <w:r w:rsidR="00CB7ECE" w:rsidRPr="00CB7ECE">
        <w:rPr>
          <w:highlight w:val="yellow"/>
        </w:rPr>
        <w:t>how the system “titrates” relative ICD inhibition</w:t>
      </w:r>
      <w:r w:rsidR="00517D4B" w:rsidRPr="00CB7ECE">
        <w:rPr>
          <w:highlight w:val="yellow"/>
        </w:rPr>
        <w:t>.</w:t>
      </w:r>
      <w:r w:rsidR="002E4342">
        <w:t xml:space="preserve"> </w:t>
      </w:r>
      <w:r w:rsidR="00CB7ECE" w:rsidRPr="00376394">
        <w:rPr>
          <w:highlight w:val="yellow"/>
        </w:rPr>
        <w:t>Overall,</w:t>
      </w:r>
      <w:r w:rsidR="00376394" w:rsidRPr="00376394">
        <w:rPr>
          <w:highlight w:val="yellow"/>
        </w:rPr>
        <w:t xml:space="preserve"> our data indicate that the control of flux through the TGB in </w:t>
      </w:r>
      <w:r w:rsidR="00376394" w:rsidRPr="00376394">
        <w:rPr>
          <w:i/>
          <w:highlight w:val="yellow"/>
        </w:rPr>
        <w:t>P. aeruginosa</w:t>
      </w:r>
      <w:r w:rsidR="00376394" w:rsidRPr="00376394">
        <w:rPr>
          <w:highlight w:val="yellow"/>
        </w:rPr>
        <w:t xml:space="preserve"> is far more finely balanced than it is in the mycobacteria or the enterics.</w:t>
      </w:r>
      <w:r w:rsidR="002E4342">
        <w:t xml:space="preserve"> </w:t>
      </w:r>
      <w:r w:rsidR="002E4342" w:rsidRPr="00DE3AF0">
        <w:rPr>
          <w:highlight w:val="yellow"/>
        </w:rPr>
        <w:t xml:space="preserve">Also, the most potent </w:t>
      </w:r>
      <w:r w:rsidR="001D6471">
        <w:rPr>
          <w:highlight w:val="yellow"/>
        </w:rPr>
        <w:t xml:space="preserve">TGB </w:t>
      </w:r>
      <w:r w:rsidR="002E4342" w:rsidRPr="00DE3AF0">
        <w:rPr>
          <w:highlight w:val="yellow"/>
        </w:rPr>
        <w:t xml:space="preserve">regulators in </w:t>
      </w:r>
      <w:r w:rsidR="002E4342" w:rsidRPr="00DE3AF0">
        <w:rPr>
          <w:i/>
          <w:highlight w:val="yellow"/>
        </w:rPr>
        <w:t>P. aeruginosa</w:t>
      </w:r>
      <w:r w:rsidR="002E4342" w:rsidRPr="00DE3AF0">
        <w:rPr>
          <w:highlight w:val="yellow"/>
        </w:rPr>
        <w:t xml:space="preserve"> are gluconeogenic precursors</w:t>
      </w:r>
      <w:r w:rsidR="00546E03">
        <w:rPr>
          <w:highlight w:val="yellow"/>
        </w:rPr>
        <w:t xml:space="preserve">. These compounds </w:t>
      </w:r>
      <w:r w:rsidR="002E4342" w:rsidRPr="00DE3AF0">
        <w:rPr>
          <w:highlight w:val="yellow"/>
        </w:rPr>
        <w:t xml:space="preserve">feature relatively little in </w:t>
      </w:r>
      <w:r w:rsidR="00DE3AF0" w:rsidRPr="00DE3AF0">
        <w:rPr>
          <w:highlight w:val="yellow"/>
        </w:rPr>
        <w:t xml:space="preserve">the control mechanisms </w:t>
      </w:r>
      <w:r w:rsidR="001D6471">
        <w:rPr>
          <w:highlight w:val="yellow"/>
        </w:rPr>
        <w:t>reported</w:t>
      </w:r>
      <w:r w:rsidR="00DE3AF0" w:rsidRPr="00DE3AF0">
        <w:rPr>
          <w:highlight w:val="yellow"/>
        </w:rPr>
        <w:t xml:space="preserve"> </w:t>
      </w:r>
      <w:r w:rsidR="001D6471">
        <w:rPr>
          <w:highlight w:val="yellow"/>
        </w:rPr>
        <w:t>for</w:t>
      </w:r>
      <w:r w:rsidR="00DE3AF0" w:rsidRPr="00DE3AF0">
        <w:rPr>
          <w:highlight w:val="yellow"/>
        </w:rPr>
        <w:t xml:space="preserve"> </w:t>
      </w:r>
      <w:r w:rsidR="002E4342" w:rsidRPr="00DE3AF0">
        <w:rPr>
          <w:highlight w:val="yellow"/>
        </w:rPr>
        <w:t>other organisms characterised to date.</w:t>
      </w:r>
      <w:r w:rsidR="002E4342">
        <w:t xml:space="preserve">   </w:t>
      </w:r>
      <w:r w:rsidR="00376394">
        <w:t xml:space="preserve"> </w:t>
      </w:r>
    </w:p>
    <w:p w14:paraId="256D16F5" w14:textId="4FC0287D" w:rsidR="00EB77AC" w:rsidRDefault="00891AA1" w:rsidP="00C978EB">
      <w:pPr>
        <w:jc w:val="both"/>
      </w:pPr>
      <w:r>
        <w:t xml:space="preserve">The key regulators </w:t>
      </w:r>
      <w:r w:rsidR="00A41C85">
        <w:t xml:space="preserve">in the </w:t>
      </w:r>
      <w:r w:rsidR="00A41C85" w:rsidRPr="00A41C85">
        <w:rPr>
          <w:i/>
        </w:rPr>
        <w:t>P. aeruginosa</w:t>
      </w:r>
      <w:r w:rsidR="00A41C85">
        <w:t xml:space="preserve"> system are </w:t>
      </w:r>
      <w:r w:rsidR="00FF7062">
        <w:t xml:space="preserve">oxaloacetate and pyruvate, </w:t>
      </w:r>
      <w:r>
        <w:t xml:space="preserve">which </w:t>
      </w:r>
      <w:r w:rsidR="00FF7062">
        <w:t>re</w:t>
      </w:r>
      <w:r w:rsidR="008F413A">
        <w:t>ciprocally regulate ICL and IDH, thereby</w:t>
      </w:r>
      <w:r w:rsidR="0042002B">
        <w:t xml:space="preserve"> elegantly</w:t>
      </w:r>
      <w:r w:rsidR="008F413A">
        <w:t xml:space="preserve"> </w:t>
      </w:r>
      <w:r w:rsidR="0042002B">
        <w:t xml:space="preserve">coordinating </w:t>
      </w:r>
      <w:r w:rsidR="00EB77AC">
        <w:t xml:space="preserve">metabolic </w:t>
      </w:r>
      <w:r w:rsidR="004F24C5">
        <w:t>flux</w:t>
      </w:r>
      <w:r w:rsidR="0042002B">
        <w:t xml:space="preserve"> partitioning between the TCA cycle and glyoxylate shunt</w:t>
      </w:r>
      <w:r w:rsidR="001A495E">
        <w:t xml:space="preserve"> </w:t>
      </w:r>
      <w:r w:rsidR="00554631" w:rsidRPr="00820ADD">
        <w:rPr>
          <w:highlight w:val="yellow"/>
        </w:rPr>
        <w:t>(</w:t>
      </w:r>
      <w:r w:rsidR="00713A64">
        <w:rPr>
          <w:highlight w:val="yellow"/>
        </w:rPr>
        <w:t xml:space="preserve">a more comprehensive schematic of the regulatory interactions identified in the current study is shown </w:t>
      </w:r>
      <w:r w:rsidR="000B6A30">
        <w:rPr>
          <w:highlight w:val="yellow"/>
        </w:rPr>
        <w:t xml:space="preserve">in </w:t>
      </w:r>
      <w:r w:rsidR="00554631" w:rsidRPr="00820ADD">
        <w:rPr>
          <w:highlight w:val="yellow"/>
        </w:rPr>
        <w:t>Figure S12</w:t>
      </w:r>
      <w:r w:rsidR="001A495E" w:rsidRPr="003C2033">
        <w:rPr>
          <w:highlight w:val="yellow"/>
        </w:rPr>
        <w:t>)</w:t>
      </w:r>
      <w:r w:rsidR="0042002B">
        <w:t>.</w:t>
      </w:r>
      <w:r w:rsidR="004F24C5">
        <w:t xml:space="preserve"> When these </w:t>
      </w:r>
      <w:r>
        <w:t xml:space="preserve">compounds </w:t>
      </w:r>
      <w:r w:rsidR="004F24C5">
        <w:t>are abundant</w:t>
      </w:r>
      <w:r>
        <w:t xml:space="preserve"> (signalling to the cell that there are sufficient gluconeogenic precursors for biomass production)</w:t>
      </w:r>
      <w:r w:rsidR="004F24C5">
        <w:t xml:space="preserve">, IDH </w:t>
      </w:r>
      <w:r>
        <w:t>become</w:t>
      </w:r>
      <w:r w:rsidR="005E697B">
        <w:t>s</w:t>
      </w:r>
      <w:r w:rsidR="004F24C5">
        <w:t xml:space="preserve"> activated and ICL inhibited, leading to greater </w:t>
      </w:r>
      <w:r w:rsidR="00A41C85">
        <w:t>flux around the TCA cycle</w:t>
      </w:r>
      <w:r w:rsidR="002C5196">
        <w:t xml:space="preserve"> </w:t>
      </w:r>
      <w:r w:rsidR="002C5196" w:rsidRPr="003C2033">
        <w:rPr>
          <w:highlight w:val="yellow"/>
        </w:rPr>
        <w:t xml:space="preserve">(Figure </w:t>
      </w:r>
      <w:r w:rsidR="00554631">
        <w:rPr>
          <w:highlight w:val="yellow"/>
        </w:rPr>
        <w:t>S12</w:t>
      </w:r>
      <w:r w:rsidR="00C93EB7">
        <w:rPr>
          <w:highlight w:val="yellow"/>
        </w:rPr>
        <w:t>A</w:t>
      </w:r>
      <w:r w:rsidR="002C5196" w:rsidRPr="003C2033">
        <w:rPr>
          <w:highlight w:val="yellow"/>
        </w:rPr>
        <w:t>)</w:t>
      </w:r>
      <w:r w:rsidR="004F24C5">
        <w:t xml:space="preserve">. </w:t>
      </w:r>
      <w:r w:rsidR="005E697B">
        <w:t xml:space="preserve">In a similar vein, oxaloacetate and pyruvate also stimulate the phosphatase activity of AceK, leading to increased ICD activity. </w:t>
      </w:r>
      <w:r w:rsidR="004F24C5">
        <w:t xml:space="preserve">In contrast, when these </w:t>
      </w:r>
      <w:r w:rsidR="005E697B">
        <w:t xml:space="preserve">gluconeogenic </w:t>
      </w:r>
      <w:r w:rsidR="004F24C5">
        <w:t xml:space="preserve">precursors are in short supply, </w:t>
      </w:r>
      <w:r w:rsidR="00A41C85">
        <w:t xml:space="preserve">IDH becomes deactivated and ICL </w:t>
      </w:r>
      <w:r w:rsidR="00A34731">
        <w:t xml:space="preserve">becomes </w:t>
      </w:r>
      <w:r w:rsidR="00A41C85">
        <w:t xml:space="preserve">disinhibited, thereby restoring </w:t>
      </w:r>
      <w:r w:rsidR="004F24C5">
        <w:t xml:space="preserve">flux through the </w:t>
      </w:r>
      <w:r w:rsidR="008A6DDC">
        <w:t>glyoxylate shunt</w:t>
      </w:r>
      <w:r w:rsidR="002C5196">
        <w:t xml:space="preserve"> </w:t>
      </w:r>
      <w:r w:rsidR="00554631" w:rsidRPr="00820ADD">
        <w:rPr>
          <w:highlight w:val="yellow"/>
        </w:rPr>
        <w:t>(Figure S12</w:t>
      </w:r>
      <w:r w:rsidR="00C93EB7">
        <w:rPr>
          <w:highlight w:val="yellow"/>
        </w:rPr>
        <w:t>B</w:t>
      </w:r>
      <w:r w:rsidR="002C5196" w:rsidRPr="003C2033">
        <w:rPr>
          <w:highlight w:val="yellow"/>
        </w:rPr>
        <w:t>)</w:t>
      </w:r>
      <w:r w:rsidR="008A6DDC">
        <w:t>.</w:t>
      </w:r>
      <w:r w:rsidR="004F24C5">
        <w:t xml:space="preserve"> </w:t>
      </w:r>
      <w:r w:rsidR="008A6DDC">
        <w:t xml:space="preserve">It is worth noting that ICD activity </w:t>
      </w:r>
      <w:r w:rsidR="00F6339C">
        <w:t xml:space="preserve">also </w:t>
      </w:r>
      <w:r>
        <w:t>becomes</w:t>
      </w:r>
      <w:r w:rsidR="008A6DDC">
        <w:t xml:space="preserve"> depressed </w:t>
      </w:r>
      <w:r w:rsidR="005E697B" w:rsidRPr="005E697B">
        <w:rPr>
          <w:i/>
        </w:rPr>
        <w:t>via</w:t>
      </w:r>
      <w:r w:rsidR="005E697B">
        <w:t xml:space="preserve"> a different mechanism </w:t>
      </w:r>
      <w:r w:rsidR="008A6DDC">
        <w:t xml:space="preserve">when demand for gluconeogenesis is high. </w:t>
      </w:r>
      <w:r w:rsidR="00A41C85">
        <w:t>A</w:t>
      </w:r>
      <w:r w:rsidR="008A6DDC">
        <w:t xml:space="preserve">cetyl-CoA strongly stimulates </w:t>
      </w:r>
      <w:r w:rsidR="005E697B">
        <w:t>the kinase activity of AceK, leading to inactivation of ICD (</w:t>
      </w:r>
      <w:r w:rsidR="008A6DDC">
        <w:t xml:space="preserve">again, </w:t>
      </w:r>
      <w:r w:rsidR="00F6339C">
        <w:t>promoting</w:t>
      </w:r>
      <w:r w:rsidR="008A6DDC">
        <w:t xml:space="preserve"> flux through the glyoxylate shunt</w:t>
      </w:r>
      <w:r w:rsidR="005E697B">
        <w:t>)</w:t>
      </w:r>
      <w:r w:rsidR="008A6DDC">
        <w:t xml:space="preserve">. </w:t>
      </w:r>
      <w:r w:rsidR="00A41C85">
        <w:t xml:space="preserve">This is significant because acetyl-CoA would be expected to accumulate during growth on fatty acids or acetate, or when </w:t>
      </w:r>
      <w:r w:rsidR="00F6339C">
        <w:t xml:space="preserve">its condensation partner in the TCA cycle, </w:t>
      </w:r>
      <w:r w:rsidR="00A41C85">
        <w:t>oxaloacetate</w:t>
      </w:r>
      <w:r w:rsidR="00F6339C">
        <w:t>,</w:t>
      </w:r>
      <w:r w:rsidR="00A41C85">
        <w:t xml:space="preserve"> is in short supply</w:t>
      </w:r>
      <w:r w:rsidR="00A34731">
        <w:t xml:space="preserve"> (signalling that anaplerosis is necessary)</w:t>
      </w:r>
      <w:r w:rsidR="00A41C85">
        <w:t xml:space="preserve">. </w:t>
      </w:r>
      <w:r w:rsidR="001977AA">
        <w:t>As might be expected, u</w:t>
      </w:r>
      <w:r w:rsidR="00B752CB">
        <w:t>ncharged CoA was an inhibitor of ICL</w:t>
      </w:r>
      <w:r w:rsidR="001977AA">
        <w:t xml:space="preserve">, suggesting that flux through the bifurcation point is </w:t>
      </w:r>
      <w:r w:rsidR="00A34731">
        <w:t xml:space="preserve">also partially </w:t>
      </w:r>
      <w:r w:rsidR="001977AA">
        <w:t xml:space="preserve">dictated </w:t>
      </w:r>
      <w:r w:rsidR="002F4603">
        <w:t>by enzymatic surveillance of the</w:t>
      </w:r>
      <w:r w:rsidR="001977AA">
        <w:t xml:space="preserve"> </w:t>
      </w:r>
      <w:r w:rsidR="002F4603">
        <w:t>acetyl-CoA : Co</w:t>
      </w:r>
      <w:r w:rsidR="00A97522">
        <w:t>A ratio.</w:t>
      </w:r>
      <w:r w:rsidR="002E4342">
        <w:t xml:space="preserve"> </w:t>
      </w:r>
      <w:r w:rsidR="002E4342" w:rsidRPr="001D6471">
        <w:rPr>
          <w:highlight w:val="yellow"/>
        </w:rPr>
        <w:t xml:space="preserve">As outlined </w:t>
      </w:r>
      <w:r w:rsidR="00DF244F" w:rsidRPr="001D6471">
        <w:rPr>
          <w:highlight w:val="yellow"/>
        </w:rPr>
        <w:t>above</w:t>
      </w:r>
      <w:r w:rsidR="002E4342" w:rsidRPr="001D6471">
        <w:rPr>
          <w:highlight w:val="yellow"/>
        </w:rPr>
        <w:t xml:space="preserve">, </w:t>
      </w:r>
      <w:r w:rsidR="004F24C5" w:rsidRPr="001D6471">
        <w:rPr>
          <w:highlight w:val="yellow"/>
        </w:rPr>
        <w:t xml:space="preserve">we also found that the products of ICL activity </w:t>
      </w:r>
      <w:r w:rsidR="008A6DDC" w:rsidRPr="001D6471">
        <w:rPr>
          <w:i/>
          <w:highlight w:val="yellow"/>
        </w:rPr>
        <w:t>per se</w:t>
      </w:r>
      <w:r w:rsidR="008A6DDC" w:rsidRPr="001D6471">
        <w:rPr>
          <w:highlight w:val="yellow"/>
        </w:rPr>
        <w:t xml:space="preserve"> </w:t>
      </w:r>
      <w:r w:rsidR="003E23BC" w:rsidRPr="001D6471">
        <w:rPr>
          <w:highlight w:val="yellow"/>
        </w:rPr>
        <w:t>play a</w:t>
      </w:r>
      <w:r w:rsidR="00A34731" w:rsidRPr="001D6471">
        <w:rPr>
          <w:highlight w:val="yellow"/>
        </w:rPr>
        <w:t>n important</w:t>
      </w:r>
      <w:r w:rsidR="003E23BC" w:rsidRPr="001D6471">
        <w:rPr>
          <w:highlight w:val="yellow"/>
        </w:rPr>
        <w:t xml:space="preserve"> role in coordinating</w:t>
      </w:r>
      <w:r w:rsidR="00B752CB" w:rsidRPr="001D6471">
        <w:rPr>
          <w:highlight w:val="yellow"/>
        </w:rPr>
        <w:t xml:space="preserve"> flux partitioning</w:t>
      </w:r>
      <w:r w:rsidR="00A34731" w:rsidRPr="001D6471">
        <w:rPr>
          <w:highlight w:val="yellow"/>
        </w:rPr>
        <w:t xml:space="preserve">, although in </w:t>
      </w:r>
      <w:r w:rsidR="00A34731" w:rsidRPr="001D6471">
        <w:rPr>
          <w:i/>
          <w:highlight w:val="yellow"/>
        </w:rPr>
        <w:t>P. aeruginosa</w:t>
      </w:r>
      <w:r w:rsidR="00A34731" w:rsidRPr="001D6471">
        <w:rPr>
          <w:highlight w:val="yellow"/>
        </w:rPr>
        <w:t xml:space="preserve">, this appears to be secondary compared with the </w:t>
      </w:r>
      <w:r w:rsidR="006470CE" w:rsidRPr="001D6471">
        <w:rPr>
          <w:highlight w:val="yellow"/>
        </w:rPr>
        <w:t xml:space="preserve">more dominant </w:t>
      </w:r>
      <w:r w:rsidR="00A34731" w:rsidRPr="001D6471">
        <w:rPr>
          <w:highlight w:val="yellow"/>
        </w:rPr>
        <w:t>role(s) played by oxaloac</w:t>
      </w:r>
      <w:r w:rsidR="00A97522" w:rsidRPr="001D6471">
        <w:rPr>
          <w:highlight w:val="yellow"/>
        </w:rPr>
        <w:t>etate, pyruvate and acetyl-CoA.</w:t>
      </w:r>
    </w:p>
    <w:p w14:paraId="65167571" w14:textId="45281151" w:rsidR="00236D5D" w:rsidRDefault="00A34731" w:rsidP="00EB77AC">
      <w:pPr>
        <w:jc w:val="both"/>
      </w:pPr>
      <w:r>
        <w:lastRenderedPageBreak/>
        <w:t xml:space="preserve">Unlike most other organisms characterised to date, </w:t>
      </w:r>
      <w:r w:rsidR="00236D5D">
        <w:t xml:space="preserve">the </w:t>
      </w:r>
      <w:r w:rsidR="00EB77AC">
        <w:t xml:space="preserve">ICL </w:t>
      </w:r>
      <w:r>
        <w:t xml:space="preserve">in </w:t>
      </w:r>
      <w:r w:rsidRPr="00236D5D">
        <w:rPr>
          <w:i/>
        </w:rPr>
        <w:t>P. aeruginosa</w:t>
      </w:r>
      <w:r>
        <w:t xml:space="preserve"> has a lower K</w:t>
      </w:r>
      <w:r w:rsidRPr="00F64DC6">
        <w:rPr>
          <w:vertAlign w:val="subscript"/>
        </w:rPr>
        <w:t>M</w:t>
      </w:r>
      <w:r>
        <w:t xml:space="preserve"> </w:t>
      </w:r>
      <w:r w:rsidR="00EB77AC">
        <w:t xml:space="preserve">for </w:t>
      </w:r>
      <w:r w:rsidR="00EB77AC" w:rsidRPr="00F64DC6">
        <w:rPr>
          <w:i/>
        </w:rPr>
        <w:t>iso</w:t>
      </w:r>
      <w:r w:rsidR="00EB77AC">
        <w:t xml:space="preserve">citrate </w:t>
      </w:r>
      <w:r>
        <w:t xml:space="preserve">than the </w:t>
      </w:r>
      <w:r w:rsidRPr="00A34731">
        <w:rPr>
          <w:i/>
        </w:rPr>
        <w:t>iso</w:t>
      </w:r>
      <w:r>
        <w:t xml:space="preserve">citrate dehydrogenases. </w:t>
      </w:r>
      <w:r w:rsidR="00CB7ECE" w:rsidRPr="00CB7ECE">
        <w:rPr>
          <w:highlight w:val="yellow"/>
        </w:rPr>
        <w:t>The low K</w:t>
      </w:r>
      <w:r w:rsidR="00CB7ECE" w:rsidRPr="00CB7ECE">
        <w:rPr>
          <w:highlight w:val="yellow"/>
          <w:vertAlign w:val="subscript"/>
        </w:rPr>
        <w:t>M</w:t>
      </w:r>
      <w:r w:rsidR="00CB7ECE" w:rsidRPr="00CB7ECE">
        <w:rPr>
          <w:highlight w:val="yellow"/>
        </w:rPr>
        <w:t xml:space="preserve"> of ICL for</w:t>
      </w:r>
      <w:r w:rsidR="00CB7ECE" w:rsidRPr="00CB7ECE">
        <w:rPr>
          <w:i/>
          <w:highlight w:val="yellow"/>
        </w:rPr>
        <w:t xml:space="preserve"> iso</w:t>
      </w:r>
      <w:r w:rsidR="00CB7ECE" w:rsidRPr="00CB7ECE">
        <w:rPr>
          <w:highlight w:val="yellow"/>
        </w:rPr>
        <w:t xml:space="preserve">citrate means that flux through the </w:t>
      </w:r>
      <w:r w:rsidR="00CB7ECE" w:rsidRPr="00CB7ECE">
        <w:rPr>
          <w:i/>
          <w:highlight w:val="yellow"/>
        </w:rPr>
        <w:t>iso</w:t>
      </w:r>
      <w:r w:rsidR="00CB7ECE" w:rsidRPr="00CB7ECE">
        <w:rPr>
          <w:highlight w:val="yellow"/>
        </w:rPr>
        <w:t xml:space="preserve">citrate dehydrogenases does not need to be </w:t>
      </w:r>
      <w:r w:rsidR="00DF244F">
        <w:rPr>
          <w:highlight w:val="yellow"/>
        </w:rPr>
        <w:t>greatly</w:t>
      </w:r>
      <w:r w:rsidR="00CB7ECE" w:rsidRPr="00CB7ECE">
        <w:rPr>
          <w:highlight w:val="yellow"/>
        </w:rPr>
        <w:t xml:space="preserve"> decreased in order to get flux through the glyoxylate shunt. Given the ecology of </w:t>
      </w:r>
      <w:r w:rsidR="00CB7ECE" w:rsidRPr="00CB7ECE">
        <w:rPr>
          <w:i/>
          <w:highlight w:val="yellow"/>
        </w:rPr>
        <w:t>P. aeruginosa</w:t>
      </w:r>
      <w:r w:rsidR="00DF244F">
        <w:rPr>
          <w:highlight w:val="yellow"/>
        </w:rPr>
        <w:t>,</w:t>
      </w:r>
      <w:r w:rsidR="00EB77AC" w:rsidRPr="00CB7ECE">
        <w:rPr>
          <w:highlight w:val="yellow"/>
        </w:rPr>
        <w:t xml:space="preserve"> </w:t>
      </w:r>
      <w:r w:rsidR="00CB7ECE" w:rsidRPr="00CB7ECE">
        <w:rPr>
          <w:highlight w:val="yellow"/>
        </w:rPr>
        <w:t xml:space="preserve">this may be important, </w:t>
      </w:r>
      <w:r w:rsidR="00EB77AC" w:rsidRPr="00CB7ECE">
        <w:rPr>
          <w:highlight w:val="yellow"/>
        </w:rPr>
        <w:t>especially</w:t>
      </w:r>
      <w:r w:rsidR="00EB77AC">
        <w:t xml:space="preserve"> when demand for NADPH is high e.g., during oxidative stress or anabolism. </w:t>
      </w:r>
      <w:r w:rsidR="00236D5D">
        <w:t xml:space="preserve">The </w:t>
      </w:r>
      <w:r w:rsidR="00236D5D" w:rsidRPr="00236D5D">
        <w:rPr>
          <w:i/>
        </w:rPr>
        <w:t>iso</w:t>
      </w:r>
      <w:r w:rsidR="00236D5D">
        <w:t>citrate dehydrogenase reaction is one of the main sources of NADPH in the cell</w:t>
      </w:r>
      <w:r w:rsidR="00796174">
        <w:t xml:space="preserve"> </w:t>
      </w:r>
      <w:r w:rsidR="009A5825">
        <w:fldChar w:fldCharType="begin" w:fldLock="1"/>
      </w:r>
      <w:r w:rsidR="003915CC">
        <w:instrText>ADDIN CSL_CITATION { "citationItems" : [ { "id" : "ITEM-1", "itemData" : { "DOI" : "10.1128/JB.00555-07", "PMID" : "17573472", "abstract" : "The fate of all aerobic organisms is dependent on the varying intracellular concentrations of NADH and NADPH. The former is the primary ingredient that fuels ATP production via oxidative phosphorylation, while the latter helps maintain the reductive environment necessary for this process and other cellular activities. In this study we demonstrate a metabolic network promoting NADPH production and limiting NADH synthesis as a consequence of an oxidative insult. The activity and expression of glucose-6-phosphate dehydrogenase, malic enzyme, and NADP \u0609 -isocitrate dehydrogenase, the main generators of NADPH, were markedly increased during oxidative challenge. On the other hand, numerous tricarboxylic acid cycle enzymes that supply the bulk of intracellular NADH were significantly downregulated. These metabolic pathways were further modulated by NAD \u0609 kinase (NADK) and NADP \u0609 phosphatase (NADPase), enzymes known to regulate the levels of NAD \u0609 and NADP \u0609 . While in menadione-challenged cells, the former enzyme was upregulated, the phosphatase activity was markedly increased in control cells. Thus, NADK and NADPase play a pivotal role in controlling the cross talk between metabolic networks that produce NADH and NADPH and are integral components of the mechanism involved in fending off oxidative stress.", "author" : [ { "dropping-particle" : "", "family" : "Singh", "given" : "Ranji", "non-dropping-particle" : "", "parse-names" : false, "suffix" : "" }, { "dropping-particle" : "", "family" : "Mailloux", "given" : "Ryan J", "non-dropping-particle" : "", "parse-names" : false, "suffix" : "" }, { "dropping-particle" : "", "family" : "Puiseux-Dao", "given" : "Simone", "non-dropping-particle" : "", "parse-names" : false, "suffix" : "" }, { "dropping-particle" : "", "family" : "Appanna", "given" : "Vasu D", "non-dropping-particle" : "", "parse-names" : false, "suffix" : "" } ], "container-title" : "Journal of Bacteriology", "id" : "ITEM-1", "issue" : "18", "issued" : { "date-parts" : [ [ "2007", "9", "15" ] ] }, "page" : "6665-6675", "publisher" : "American Society for Microbiology", "title" : "Oxidative stress evokes a metabolic adaptation that favors increased NADPH synthesis and decreased NADH production in Pseudomonas fluorescens", "type" : "article-journal", "volume" : "189" }, "uris" : [ "http://www.mendeley.com/documents/?uuid=69fd5854-82e7-488b-a736-20e0e039da62" ] } ], "mendeley" : { "formattedCitation" : "(Singh, Mailloux, Puiseux-Dao, &amp; Appanna, 2007)", "plainTextFormattedCitation" : "(Singh, Mailloux, Puiseux-Dao, &amp; Appanna, 2007)", "previouslyFormattedCitation" : "(Singh, Mailloux, Puiseux-Dao, &amp; Appanna, 2007)" }, "properties" : { "noteIndex" : 0 }, "schema" : "https://github.com/citation-style-language/schema/raw/master/csl-citation.json" }</w:instrText>
      </w:r>
      <w:r w:rsidR="009A5825">
        <w:fldChar w:fldCharType="separate"/>
      </w:r>
      <w:r w:rsidR="003915CC" w:rsidRPr="003915CC">
        <w:rPr>
          <w:noProof/>
        </w:rPr>
        <w:t>(Singh, Mailloux, Puiseux-Dao, &amp; Appanna, 2007)</w:t>
      </w:r>
      <w:r w:rsidR="009A5825">
        <w:fldChar w:fldCharType="end"/>
      </w:r>
      <w:r w:rsidR="00236D5D">
        <w:t xml:space="preserve">, and it may be that </w:t>
      </w:r>
      <w:r w:rsidR="00236D5D" w:rsidRPr="00236D5D">
        <w:rPr>
          <w:i/>
        </w:rPr>
        <w:t>P. aeruginosa</w:t>
      </w:r>
      <w:r w:rsidR="00236D5D">
        <w:t xml:space="preserve"> has evolved a “belt-and-braces” solution to ensure that it never runs out of this important anti-oxidant, even when the demand for flux through the glyoxylate shunt is high. This may also explain why it encodes two independently (albeit, similarly) regulated </w:t>
      </w:r>
      <w:r w:rsidR="00236D5D" w:rsidRPr="00236D5D">
        <w:rPr>
          <w:i/>
        </w:rPr>
        <w:t>iso</w:t>
      </w:r>
      <w:r w:rsidR="00236D5D">
        <w:t xml:space="preserve">citrate dehydrogenases, ICD and IDH. The </w:t>
      </w:r>
      <w:r w:rsidR="00FA7E3F">
        <w:t xml:space="preserve">same logic may also explain why, even after prolonged exposure to AceK, ICD retains some activity (although this was not the case in </w:t>
      </w:r>
      <w:r w:rsidR="00FA7E3F" w:rsidRPr="00FA7E3F">
        <w:rPr>
          <w:i/>
        </w:rPr>
        <w:t>E. coli</w:t>
      </w:r>
      <w:r w:rsidR="00FA7E3F">
        <w:t>, where 100% inhibition was achieved after treatment with either AceK</w:t>
      </w:r>
      <w:r w:rsidR="00FA7E3F" w:rsidRPr="00FA7E3F">
        <w:rPr>
          <w:vertAlign w:val="subscript"/>
        </w:rPr>
        <w:t>PA</w:t>
      </w:r>
      <w:r w:rsidR="00FA7E3F">
        <w:t xml:space="preserve"> or AceK</w:t>
      </w:r>
      <w:r w:rsidR="00FA7E3F" w:rsidRPr="00FA7E3F">
        <w:rPr>
          <w:vertAlign w:val="subscript"/>
        </w:rPr>
        <w:t>EC</w:t>
      </w:r>
      <w:r w:rsidR="00FA7E3F">
        <w:t>). Complete ICD</w:t>
      </w:r>
      <w:r w:rsidR="00FA7E3F" w:rsidRPr="00FA7E3F">
        <w:rPr>
          <w:vertAlign w:val="subscript"/>
        </w:rPr>
        <w:t>PA</w:t>
      </w:r>
      <w:r w:rsidR="00FA7E3F">
        <w:t xml:space="preserve"> inhibition was only observed in the presence of acetyl-CoA, presumably because an accumulation of this metabolite indicates to the cell that the “relief valve” of the glyoxylate shunt needs to be fully opened. </w:t>
      </w:r>
    </w:p>
    <w:p w14:paraId="29A451FC" w14:textId="737DD955" w:rsidR="00FA7E3F" w:rsidRPr="00DE3AF0" w:rsidRDefault="00FA7E3F" w:rsidP="00EB77AC">
      <w:pPr>
        <w:jc w:val="both"/>
        <w:rPr>
          <w:highlight w:val="green"/>
        </w:rPr>
      </w:pPr>
      <w:r>
        <w:t xml:space="preserve">Although ICD and IDH were expressed at similar levels during growth on glucose and acetate, ICL showed strong induction on the latter. Presumably, this reflects induction of the </w:t>
      </w:r>
      <w:r w:rsidRPr="00FA7E3F">
        <w:rPr>
          <w:i/>
        </w:rPr>
        <w:t>aceA</w:t>
      </w:r>
      <w:r>
        <w:t xml:space="preserve"> gene, and this has been noted by earlier workers</w:t>
      </w:r>
      <w:r w:rsidR="00796174">
        <w:t xml:space="preserve"> </w:t>
      </w:r>
      <w:r w:rsidR="00B90C7C">
        <w:fldChar w:fldCharType="begin" w:fldLock="1"/>
      </w:r>
      <w:r w:rsidR="003915CC">
        <w:instrText>ADDIN CSL_CITATION { "citationItems" : [ { "id" : "ITEM-1", "itemData" : { "DOI" : "10.1111/j.1574-6968.2007.00654.x", "ISBN" : "0378-1097", "ISSN" : "03781097", "PMID" : "17319879", "abstract" : "Pseudomonas aeruginosa PAO1 mutants affected in acyclic monoterpenes, n-octanol, and acetate assimilation were isolated using transposon mutagenesis. The isocitrate lyase gene (aceA) corresponding to ORF PA2634 of the PAO1 strain genome was identified in one of these mutants. The aceA gene encodes a protein that is 72% identical to the isocitrate lyase (ICL) characterized from Colwellia maris, but is less than 30% identical to their homologues from pseudomonads. The genetic arrangement of aceA suggests that it is a monocistronic gene, and no adjacent related genes were found. The ICL protein was detected as a 60-kDa band in sodium dodecyl sulfate polyacrylamide gel electrophoresis from cultures grown on acetate, but not in glucose-grown PAO1 cultures. Genetic complementation further confirmed that the aceA gene encodes the ICL enzyme. The ICL enzyme activity in crude extracts from cultures of the PAO1 strain was induced by acetate, citronellol and leucine, and repressed by growth on glucose or citrate. These results suggest that ICL is involved in the assimilation of acetate, acyclic monoterpenes of the citronellol family, alkanols, and leucine, in which the final intermediary acetyl-coenzyme A may be channelled to the glyoxylate shunt.", "author" : [ { "dropping-particle" : "", "family" : "Diaz-Perez", "given" : "Alma Laura", "non-dropping-particle" : "", "parse-names" : false, "suffix" : "" }, { "dropping-particle" : "", "family" : "Roman-Doval", "given" : "Celinda", "non-dropping-particle" : "", "parse-names" : false, "suffix" : "" }, { "dropping-particle" : "", "family" : "Diaz-Perez", "given" : "Cesar", "non-dropping-particle" : "", "parse-names" : false, "suffix" : "" }, { "dropping-particle" : "", "family" : "Cervantes", "given" : "Carlos", "non-dropping-particle" : "", "parse-names" : false, "suffix" : "" }, { "dropping-particle" : "", "family" : "Sosa-Aguirre", "given" : "Carlos R.", "non-dropping-particle" : "", "parse-names" : false, "suffix" : "" }, { "dropping-particle" : "", "family" : "Lopez-Meza", "given" : "Joel E.", "non-dropping-particle" : "", "parse-names" : false, "suffix" : "" }, { "dropping-particle" : "", "family" : "Campos-Garcia", "given" : "Jesus", "non-dropping-particle" : "", "parse-names" : false, "suffix" : "" } ], "container-title" : "FEMS Microbiology Letters", "id" : "ITEM-1", "issue" : "2", "issued" : { "date-parts" : [ [ "2007" ] ] }, "page" : "309-316", "title" : "Identification of the aceA gene encoding isocitrate lyase required for the growth of Pseudomonas aeruginosa on acetate, acyclic terpenes and leucine", "type" : "article-journal", "volume" : "269" }, "uris" : [ "http://www.mendeley.com/documents/?uuid=739fa168-2d44-47ca-b886-330d13ffd74a" ] } ], "mendeley" : { "formattedCitation" : "(Diaz-Perez et al., 2007)", "plainTextFormattedCitation" : "(Diaz-Perez et al., 2007)", "previouslyFormattedCitation" : "(Diaz-Perez et al., 2007)" }, "properties" : { "noteIndex" : 0 }, "schema" : "https://github.com/citation-style-language/schema/raw/master/csl-citation.json" }</w:instrText>
      </w:r>
      <w:r w:rsidR="00B90C7C">
        <w:fldChar w:fldCharType="separate"/>
      </w:r>
      <w:r w:rsidR="003915CC" w:rsidRPr="003915CC">
        <w:rPr>
          <w:noProof/>
        </w:rPr>
        <w:t>(Diaz-Perez et al., 2007)</w:t>
      </w:r>
      <w:r w:rsidR="00B90C7C">
        <w:fldChar w:fldCharType="end"/>
      </w:r>
      <w:r>
        <w:t xml:space="preserve">. However, and unlike the situation in </w:t>
      </w:r>
      <w:r w:rsidRPr="00FA7E3F">
        <w:rPr>
          <w:i/>
        </w:rPr>
        <w:t>E. coli</w:t>
      </w:r>
      <w:r>
        <w:t xml:space="preserve">, </w:t>
      </w:r>
      <w:r w:rsidRPr="00FA7E3F">
        <w:rPr>
          <w:i/>
        </w:rPr>
        <w:t>aceA</w:t>
      </w:r>
      <w:r>
        <w:t xml:space="preserve"> is expressed at appreciable levels on glucose, and there </w:t>
      </w:r>
      <w:r w:rsidRPr="00296FB8">
        <w:rPr>
          <w:color w:val="000000" w:themeColor="text1"/>
        </w:rPr>
        <w:t>is significant flux</w:t>
      </w:r>
      <w:r w:rsidR="00446C5F" w:rsidRPr="00296FB8">
        <w:rPr>
          <w:color w:val="000000" w:themeColor="text1"/>
        </w:rPr>
        <w:t xml:space="preserve"> </w:t>
      </w:r>
      <w:r>
        <w:t>through the glyoxylate shunt on this carbon source</w:t>
      </w:r>
      <w:r w:rsidR="00796174">
        <w:t xml:space="preserve"> </w:t>
      </w:r>
      <w:r w:rsidR="007200C5">
        <w:fldChar w:fldCharType="begin" w:fldLock="1"/>
      </w:r>
      <w:r w:rsidR="003915CC">
        <w:instrText>ADDIN CSL_CITATION { "citationItems" : [ { "id" : "ITEM-1", "itemData" : { "DOI" : "10.1002/pmic.201500228", "ISSN" : "16159861", "PMID" : "26959854", "abstract" : "Pseudomonas aeruginosa is known as opportunistic pathogen frequently isolated from different infection sites. To investigate the expression rates of P. aeruginosa proteins commonly expressed by different clinical isolates, absolute protein quantities were determined employing a gel-free and data-independent LC-IMS(E) approach. Moreover, the metabolic diversity of these isolates was investigated by (13) C-metabolic flux analyses. 812 proteins were reproducibly identified and absolutely quantified for the reference strain P. aeruginosa PAO1, 363 of which were also identified and relatively quantified in all isolates. Whilst the majority of these proteins were expressed in constant amounts, expression rates of 42 proteins were highly variable between the isolates. Notably, the outer membrane protein OprH and the response regulator PhoP were strongly expressed in burned wounds isolates compared to lung/urinary tract isolates. Moreover, proteins involved in iron/amino acids uptake were found to be highly abundant in urinary tract isolates. The fluxome data revealed a conserved glycolysis, and a niche-specific divergence in fluxes through the glyoxylate shunt and the TCA cycle among the isolates. The integrated proteome/fluxome analysis did not indicate straightforward correlation between the protein amount and flux, but rather points to additional layers of regulation that mediate metabolic adaption of P. aeruginosa to different host environments. This article is protected by copyright. All rights reserved.", "author" : [ { "dropping-particle" : "", "family" : "Lassek", "given" : "Christian", "non-dropping-particle" : "", "parse-names" : false, "suffix" : "" }, { "dropping-particle" : "", "family" : "Berger", "given" : "Antje", "non-dropping-particle" : "", "parse-names" : false, "suffix" : "" }, { "dropping-particle" : "", "family" : "Z\u00fchlke", "given" : "Daniela", "non-dropping-particle" : "", "parse-names" : false, "suffix" : "" }, { "dropping-particle" : "", "family" : "Wittmann", "given" : "Christoph", "non-dropping-particle" : "", "parse-names" : false, "suffix" : "" }, { "dropping-particle" : "", "family" : "Riedel", "given" : "Katharina", "non-dropping-particle" : "", "parse-names" : false, "suffix" : "" } ], "container-title" : "Proteomics", "id" : "ITEM-1", "issue" : "9", "issued" : { "date-parts" : [ [ "2016" ] ] }, "page" : "1381-1385", "title" : "Proteome and carbon flux analysis of Pseudomonas aeruginosa clinical isolates from different infection sites", "type" : "article-journal", "volume" : "16" }, "uris" : [ "http://www.mendeley.com/documents/?uuid=04fd7f6d-2bdd-4283-a71b-40f8a450f81f" ] } ], "mendeley" : { "formattedCitation" : "(Lassek, Berger, Z\u00fchlke, Wittmann, &amp; Riedel, 2016)", "plainTextFormattedCitation" : "(Lassek, Berger, Z\u00fchlke, Wittmann, &amp; Riedel, 2016)", "previouslyFormattedCitation" : "(Lassek, Berger, Z\u00fchlke, Wittmann, &amp; Riedel, 2016)" }, "properties" : { "noteIndex" : 0 }, "schema" : "https://github.com/citation-style-language/schema/raw/master/csl-citation.json" }</w:instrText>
      </w:r>
      <w:r w:rsidR="007200C5">
        <w:fldChar w:fldCharType="separate"/>
      </w:r>
      <w:r w:rsidR="003915CC" w:rsidRPr="003915CC">
        <w:rPr>
          <w:noProof/>
        </w:rPr>
        <w:t>(Lassek, Berger, Zühlke, Wittmann, &amp; Riedel, 2016)</w:t>
      </w:r>
      <w:r w:rsidR="007200C5">
        <w:fldChar w:fldCharType="end"/>
      </w:r>
      <w:r>
        <w:t>.</w:t>
      </w:r>
      <w:r w:rsidR="006470CE">
        <w:t xml:space="preserve"> </w:t>
      </w:r>
      <w:r w:rsidR="006470CE" w:rsidRPr="002F7CD4">
        <w:rPr>
          <w:highlight w:val="yellow"/>
        </w:rPr>
        <w:t>This may reflect the fact that under some conditions, optimal virulence is dependent upon fl</w:t>
      </w:r>
      <w:r w:rsidR="00D97B0A" w:rsidRPr="002F7CD4">
        <w:rPr>
          <w:highlight w:val="yellow"/>
        </w:rPr>
        <w:t>ux through the glyoxylate shunt</w:t>
      </w:r>
      <w:r w:rsidR="00796174" w:rsidRPr="002F7CD4">
        <w:rPr>
          <w:highlight w:val="yellow"/>
        </w:rPr>
        <w:t xml:space="preserve"> </w:t>
      </w:r>
      <w:r w:rsidR="0001356C" w:rsidRPr="002F7CD4">
        <w:rPr>
          <w:highlight w:val="yellow"/>
        </w:rPr>
        <w:fldChar w:fldCharType="begin" w:fldLock="1"/>
      </w:r>
      <w:r w:rsidR="003915CC" w:rsidRPr="002F7CD4">
        <w:rPr>
          <w:highlight w:val="yellow"/>
        </w:rPr>
        <w:instrText>ADDIN CSL_CITATION { "citationItems" : [ { "id" : "ITEM-1", "itemData" : { "DOI" : "10.1098/rsob.120131", "ISBN" : "2046-2441 (Electronic)\\r2046-2441 (Linking)", "ISSN" : "2046-2441", "PMID" : "23363478", "abstract" : "Pseudomonas aeruginosa is an opportunistic human pathogen and a common cause of chronic infections in individuals with cystic fibrosis (CF). Oxygen limitation was recently reported to regulate the expression of a major virulence determinant in P. aeruginosa, the type III secretion system (T3SS). Here, we show that expression of the T3SS in oxygen-limited growth conditions is strongly dependent on the glyoxylate shunt enzyme, isocitrate lyase (ICL; encoded by aceA), which was previously shown to be highly expressed in CF isolates. ICL-dependent regulation of the T3SS did not alter the expression level of the master transcriptional regulator, ExsA, but did affect expression of the T3 structural proteins, effectors and regulators (ExsC, ExsD and ExsE). An aceA mutant displayed enhanced biofilm formation during anaerobic growth, which suggested that AceA-dependent modulation of type III secretion might impinge upon the RetS/LadS signalling pathways. Indeed, our data suggest that RetS is able to mediate some of its effects through AceA, as expression of aceA in trans partially restored T3SS expression in a retS mutant. Our findings indicate that AceA is a key player in the metabolic regulation of T3SS expression during oxygen-limited growth of P. aeruginosa. To the best of our knowledge, this is the first demonstration that the T3SS can be regulated by factors that do not affect ExsA expression levels.", "author" : [ { "dropping-particle" : "", "family" : "Chung", "given" : "Jade C S", "non-dropping-particle" : "", "parse-names" : false, "suffix" : "" }, { "dropping-particle" : "", "family" : "Rzhepishevska", "given" : "Olena", "non-dropping-particle" : "", "parse-names" : false, "suffix" : "" }, { "dropping-particle" : "", "family" : "Ramstedt", "given" : "Madeleine", "non-dropping-particle" : "", "parse-names" : false, "suffix" : "" }, { "dropping-particle" : "", "family" : "Welch", "given" : "Martin", "non-dropping-particle" : "", "parse-names" : false, "suffix" : "" } ], "container-title" : "Open biology", "id" : "ITEM-1", "issue" : "1", "issued" : { "date-parts" : [ [ "2013" ] ] }, "page" : "120131", "title" : "Type III secretion system expression in oxygen-limited Pseudomonas aeruginosa cultures is stimulated by isocitrate lyase activity", "type" : "article-journal", "volume" : "3" }, "uris" : [ "http://www.mendeley.com/documents/?uuid=13441f0d-b504-4981-bf7b-1648e7f06c16" ] } ], "mendeley" : { "formattedCitation" : "(Chung et al., 2013)", "plainTextFormattedCitation" : "(Chung et al., 2013)", "previouslyFormattedCitation" : "(Chung et al., 2013)" }, "properties" : { "noteIndex" : 0 }, "schema" : "https://github.com/citation-style-language/schema/raw/master/csl-citation.json" }</w:instrText>
      </w:r>
      <w:r w:rsidR="0001356C" w:rsidRPr="002F7CD4">
        <w:rPr>
          <w:highlight w:val="yellow"/>
        </w:rPr>
        <w:fldChar w:fldCharType="separate"/>
      </w:r>
      <w:r w:rsidR="003915CC" w:rsidRPr="002F7CD4">
        <w:rPr>
          <w:noProof/>
          <w:highlight w:val="yellow"/>
        </w:rPr>
        <w:t>(Chung et al., 2013)</w:t>
      </w:r>
      <w:r w:rsidR="0001356C" w:rsidRPr="002F7CD4">
        <w:rPr>
          <w:highlight w:val="yellow"/>
        </w:rPr>
        <w:fldChar w:fldCharType="end"/>
      </w:r>
      <w:r w:rsidR="00D97B0A" w:rsidRPr="002F7CD4">
        <w:rPr>
          <w:highlight w:val="yellow"/>
        </w:rPr>
        <w:t>.</w:t>
      </w:r>
      <w:r w:rsidR="00DE3AF0" w:rsidRPr="002F7CD4">
        <w:rPr>
          <w:highlight w:val="yellow"/>
        </w:rPr>
        <w:t xml:space="preserve"> </w:t>
      </w:r>
      <w:r w:rsidR="002F7CD4" w:rsidRPr="002F7CD4">
        <w:rPr>
          <w:highlight w:val="yellow"/>
        </w:rPr>
        <w:t>We do not currently know why this is.</w:t>
      </w:r>
      <w:r w:rsidR="002F7CD4">
        <w:t xml:space="preserve"> </w:t>
      </w:r>
      <w:r w:rsidR="002F7CD4">
        <w:rPr>
          <w:highlight w:val="yellow"/>
        </w:rPr>
        <w:t>However, g</w:t>
      </w:r>
      <w:r w:rsidR="00AA6C4C" w:rsidRPr="0027791A">
        <w:rPr>
          <w:highlight w:val="yellow"/>
        </w:rPr>
        <w:t xml:space="preserve">iven that bacterial virulence is a </w:t>
      </w:r>
      <w:r w:rsidR="004A743A" w:rsidRPr="0027791A">
        <w:rPr>
          <w:highlight w:val="yellow"/>
        </w:rPr>
        <w:t>trait</w:t>
      </w:r>
      <w:r w:rsidR="00AA6C4C" w:rsidRPr="0027791A">
        <w:rPr>
          <w:highlight w:val="yellow"/>
        </w:rPr>
        <w:t xml:space="preserve"> that is ultimately geared towards nutrient acquisition, it is hardly surprising that virulence and central metabolism should be integrally-linked. </w:t>
      </w:r>
      <w:r w:rsidR="004A743A" w:rsidRPr="0027791A">
        <w:rPr>
          <w:highlight w:val="yellow"/>
        </w:rPr>
        <w:t>Furthermore</w:t>
      </w:r>
      <w:r w:rsidR="00AA6C4C" w:rsidRPr="0027791A">
        <w:rPr>
          <w:highlight w:val="yellow"/>
        </w:rPr>
        <w:t xml:space="preserve">, </w:t>
      </w:r>
      <w:r w:rsidR="004A743A" w:rsidRPr="0027791A">
        <w:rPr>
          <w:highlight w:val="yellow"/>
        </w:rPr>
        <w:t>and since</w:t>
      </w:r>
      <w:r w:rsidR="00AA6C4C" w:rsidRPr="0027791A">
        <w:rPr>
          <w:highlight w:val="yellow"/>
        </w:rPr>
        <w:t xml:space="preserve"> flux partitioning through the TGB</w:t>
      </w:r>
      <w:r w:rsidR="00546E03" w:rsidRPr="0027791A">
        <w:rPr>
          <w:highlight w:val="yellow"/>
        </w:rPr>
        <w:t xml:space="preserve"> is </w:t>
      </w:r>
      <w:r w:rsidR="000C6E03">
        <w:rPr>
          <w:highlight w:val="yellow"/>
        </w:rPr>
        <w:t>a convenient</w:t>
      </w:r>
      <w:r w:rsidR="006621C5">
        <w:rPr>
          <w:highlight w:val="yellow"/>
        </w:rPr>
        <w:t xml:space="preserve"> </w:t>
      </w:r>
      <w:r w:rsidR="00546E03" w:rsidRPr="0027791A">
        <w:rPr>
          <w:highlight w:val="yellow"/>
        </w:rPr>
        <w:t xml:space="preserve">indicator of anabolic </w:t>
      </w:r>
      <w:r w:rsidR="00546E03" w:rsidRPr="0027791A">
        <w:rPr>
          <w:i/>
          <w:highlight w:val="yellow"/>
        </w:rPr>
        <w:t>versus</w:t>
      </w:r>
      <w:r w:rsidR="00546E03" w:rsidRPr="0027791A">
        <w:rPr>
          <w:highlight w:val="yellow"/>
        </w:rPr>
        <w:t xml:space="preserve"> catabolic demand</w:t>
      </w:r>
      <w:r w:rsidR="006621C5">
        <w:rPr>
          <w:highlight w:val="yellow"/>
        </w:rPr>
        <w:t xml:space="preserve"> in the cell</w:t>
      </w:r>
      <w:r w:rsidR="004A743A" w:rsidRPr="0027791A">
        <w:rPr>
          <w:highlight w:val="yellow"/>
        </w:rPr>
        <w:t xml:space="preserve">, the evolutionary </w:t>
      </w:r>
      <w:r w:rsidR="0027791A" w:rsidRPr="0027791A">
        <w:rPr>
          <w:highlight w:val="yellow"/>
        </w:rPr>
        <w:t>association of this</w:t>
      </w:r>
      <w:r w:rsidR="00E06EA0" w:rsidRPr="0027791A">
        <w:rPr>
          <w:highlight w:val="yellow"/>
        </w:rPr>
        <w:t xml:space="preserve"> particular metabolic “node” </w:t>
      </w:r>
      <w:r w:rsidR="0027791A" w:rsidRPr="0027791A">
        <w:rPr>
          <w:highlight w:val="yellow"/>
        </w:rPr>
        <w:t>with</w:t>
      </w:r>
      <w:r w:rsidR="00E06EA0" w:rsidRPr="0027791A">
        <w:rPr>
          <w:highlight w:val="yellow"/>
        </w:rPr>
        <w:t xml:space="preserve"> </w:t>
      </w:r>
      <w:r w:rsidR="0027791A" w:rsidRPr="0027791A">
        <w:rPr>
          <w:highlight w:val="yellow"/>
        </w:rPr>
        <w:t>virulence seems reasonable.</w:t>
      </w:r>
      <w:r w:rsidR="0027791A">
        <w:rPr>
          <w:highlight w:val="yellow"/>
        </w:rPr>
        <w:t xml:space="preserve"> </w:t>
      </w:r>
      <w:r w:rsidR="00807F43">
        <w:rPr>
          <w:highlight w:val="yellow"/>
        </w:rPr>
        <w:t>The</w:t>
      </w:r>
      <w:r w:rsidR="0027791A">
        <w:rPr>
          <w:highlight w:val="yellow"/>
        </w:rPr>
        <w:t xml:space="preserve"> </w:t>
      </w:r>
      <w:r w:rsidR="006621C5">
        <w:rPr>
          <w:highlight w:val="yellow"/>
        </w:rPr>
        <w:t xml:space="preserve">roughly comparable affinities of IDH, ICL and ICD for their common substrate, </w:t>
      </w:r>
      <w:r w:rsidR="006621C5" w:rsidRPr="006621C5">
        <w:rPr>
          <w:i/>
          <w:highlight w:val="yellow"/>
        </w:rPr>
        <w:t>iso</w:t>
      </w:r>
      <w:r w:rsidR="006621C5">
        <w:rPr>
          <w:highlight w:val="yellow"/>
        </w:rPr>
        <w:t xml:space="preserve">citrate, coupled with the </w:t>
      </w:r>
      <w:r w:rsidR="0027791A">
        <w:rPr>
          <w:highlight w:val="yellow"/>
        </w:rPr>
        <w:t>reciprocal regulation</w:t>
      </w:r>
      <w:r w:rsidR="002F7CD4">
        <w:rPr>
          <w:highlight w:val="yellow"/>
        </w:rPr>
        <w:t xml:space="preserve"> of flux through the</w:t>
      </w:r>
      <w:r w:rsidR="00985538">
        <w:rPr>
          <w:highlight w:val="yellow"/>
        </w:rPr>
        <w:t xml:space="preserve"> glyoxylate shunt and TCA cycle in</w:t>
      </w:r>
      <w:r w:rsidR="002F7CD4">
        <w:rPr>
          <w:highlight w:val="yellow"/>
        </w:rPr>
        <w:t xml:space="preserve"> </w:t>
      </w:r>
      <w:r w:rsidR="00807F43" w:rsidRPr="00807F43">
        <w:rPr>
          <w:i/>
          <w:highlight w:val="yellow"/>
        </w:rPr>
        <w:t>P. aeruginosa</w:t>
      </w:r>
      <w:r w:rsidR="00985538">
        <w:rPr>
          <w:highlight w:val="yellow"/>
        </w:rPr>
        <w:t xml:space="preserve"> (demonstrated in this work),</w:t>
      </w:r>
      <w:r w:rsidR="002F7CD4">
        <w:rPr>
          <w:highlight w:val="yellow"/>
        </w:rPr>
        <w:t xml:space="preserve"> </w:t>
      </w:r>
      <w:r w:rsidR="006621C5">
        <w:rPr>
          <w:highlight w:val="yellow"/>
        </w:rPr>
        <w:t xml:space="preserve">and </w:t>
      </w:r>
      <w:r w:rsidR="002F7CD4">
        <w:rPr>
          <w:highlight w:val="yellow"/>
        </w:rPr>
        <w:t xml:space="preserve">the large dynamic range of </w:t>
      </w:r>
      <w:r w:rsidR="002F7CD4" w:rsidRPr="002F7CD4">
        <w:rPr>
          <w:i/>
          <w:highlight w:val="yellow"/>
        </w:rPr>
        <w:t>aceA</w:t>
      </w:r>
      <w:r w:rsidR="002F7CD4">
        <w:rPr>
          <w:highlight w:val="yellow"/>
        </w:rPr>
        <w:t xml:space="preserve"> </w:t>
      </w:r>
      <w:r w:rsidR="00807F43">
        <w:rPr>
          <w:highlight w:val="yellow"/>
        </w:rPr>
        <w:t>gene expression</w:t>
      </w:r>
      <w:r w:rsidR="00985538">
        <w:rPr>
          <w:highlight w:val="yellow"/>
        </w:rPr>
        <w:t>,</w:t>
      </w:r>
      <w:r w:rsidR="002F7CD4">
        <w:rPr>
          <w:highlight w:val="yellow"/>
        </w:rPr>
        <w:t xml:space="preserve"> is likely to </w:t>
      </w:r>
      <w:r w:rsidR="00807F43">
        <w:rPr>
          <w:highlight w:val="yellow"/>
        </w:rPr>
        <w:t>lead to</w:t>
      </w:r>
      <w:r w:rsidR="002F7CD4">
        <w:rPr>
          <w:highlight w:val="yellow"/>
        </w:rPr>
        <w:t xml:space="preserve"> </w:t>
      </w:r>
      <w:r w:rsidR="006621C5">
        <w:rPr>
          <w:highlight w:val="yellow"/>
        </w:rPr>
        <w:t xml:space="preserve">a more graded metabolic response than the ultrasensitive response associated with the TGB in </w:t>
      </w:r>
      <w:r w:rsidR="006621C5" w:rsidRPr="006621C5">
        <w:rPr>
          <w:i/>
          <w:highlight w:val="yellow"/>
        </w:rPr>
        <w:t>E. coli</w:t>
      </w:r>
      <w:r w:rsidR="006621C5">
        <w:rPr>
          <w:highlight w:val="yellow"/>
        </w:rPr>
        <w:t xml:space="preserve"> (for example).  </w:t>
      </w:r>
      <w:r w:rsidR="000C6E03">
        <w:rPr>
          <w:highlight w:val="yellow"/>
        </w:rPr>
        <w:t xml:space="preserve">This, in turn, would allow </w:t>
      </w:r>
      <w:r w:rsidR="000C6E03" w:rsidRPr="000C6E03">
        <w:rPr>
          <w:i/>
          <w:highlight w:val="yellow"/>
        </w:rPr>
        <w:t>P. aeruginosa</w:t>
      </w:r>
      <w:r w:rsidR="000C6E03">
        <w:rPr>
          <w:highlight w:val="yellow"/>
        </w:rPr>
        <w:t xml:space="preserve"> to tune its virulence in a more incremental fashion to the specific challenges encountered during infection scenarios</w:t>
      </w:r>
      <w:bookmarkStart w:id="0" w:name="_GoBack"/>
      <w:bookmarkEnd w:id="0"/>
      <w:r w:rsidR="000C6E03">
        <w:rPr>
          <w:highlight w:val="yellow"/>
        </w:rPr>
        <w:t xml:space="preserve">. </w:t>
      </w:r>
    </w:p>
    <w:p w14:paraId="1FE9F389" w14:textId="7744826D" w:rsidR="00B13E19" w:rsidRDefault="006470CE" w:rsidP="00EB77AC">
      <w:pPr>
        <w:jc w:val="both"/>
      </w:pPr>
      <w:r>
        <w:t>One of the more remarkable observations made in this work relates to the structure of ICL. This large protein is an established drug targe</w:t>
      </w:r>
      <w:r w:rsidR="007200C5">
        <w:t>t</w:t>
      </w:r>
      <w:r w:rsidR="00796174">
        <w:t xml:space="preserve"> </w:t>
      </w:r>
      <w:r w:rsidR="007200C5">
        <w:fldChar w:fldCharType="begin" w:fldLock="1"/>
      </w:r>
      <w:r w:rsidR="003915CC">
        <w:instrText>ADDIN CSL_CITATION { "citationItems" : [ { "id" : "ITEM-1", "itemData" : { "DOI" : "10.1099/mic.0.030858-0", "ISBN" : "1350-0872 (Print)\\r1350-0872 (Linking)", "ISSN" : "13500872", "PMID" : "19684068", "abstract" : "The glyoxylate cycle is an anaplerotic pathway of the tricarboxylic acid (TCA) cycle that allows growth on C(2) compounds by bypassing the CO(2)-generating steps of the TCA cycle. The unique enzymes of this route are isocitrate lyase (ICL) and malate synthase (MS). ICL cleaves isocitrate to glyoxylate and succinate, and MS converts glyoxylate and acetyl-CoA to malate. The end products of the bypass can be used for gluconeogenesis and other biosynthetic processes. The glyoxylate cycle occurs in Eukarya, Bacteria and Archaea. Recent studies of ICL- and MS-deficient strains as well as proteomic and transcriptional analyses show that these enzymes are often important in human, animal and plant pathogenesis. These studies have extended our understanding of the metabolic pathways essential for the survival of pathogens inside the host and provide a more complete picture of the physiology of pathogenic micro-organisms. Hopefully, the recent knowledge generated about the role of the glyoxylate cycle in virulence can be used for the development of new vaccines, or specific inhibitors to combat bacterial and fungal diseases.", "author" : [ { "dropping-particle" : "", "family" : "Dunn", "given" : "M. F.", "non-dropping-particle" : "", "parse-names" : false, "suffix" : "" }, { "dropping-particle" : "", "family" : "Ram\u00edrez-Trujillo", "given" : "J. A.", "non-dropping-particle" : "", "parse-names" : false, "suffix" : "" }, { "dropping-particle" : "", "family" : "Hern\u00e1ndez-Lucas", "given" : "I.", "non-dropping-particle" : "", "parse-names" : false, "suffix" : "" } ], "container-title" : "Microbiology", "id" : "ITEM-1", "issue" : "10", "issued" : { "date-parts" : [ [ "2009" ] ] }, "page" : "3166-3175", "title" : "Major roles of isocitrate lyase and malate synthase in bacterial and fungal pathogenesis", "type" : "article-journal", "volume" : "155" }, "uris" : [ "http://www.mendeley.com/documents/?uuid=f3b8f8e1-07c8-42d5-87a1-6113d6358a36" ] } ], "mendeley" : { "formattedCitation" : "(Dunn, Ram\u00edrez-Trujillo, &amp; Hern\u00e1ndez-Lucas, 2009)", "plainTextFormattedCitation" : "(Dunn, Ram\u00edrez-Trujillo, &amp; Hern\u00e1ndez-Lucas, 2009)", "previouslyFormattedCitation" : "(Dunn, Ram\u00edrez-Trujillo, &amp; Hern\u00e1ndez-Lucas, 2009)" }, "properties" : { "noteIndex" : 0 }, "schema" : "https://github.com/citation-style-language/schema/raw/master/csl-citation.json" }</w:instrText>
      </w:r>
      <w:r w:rsidR="007200C5">
        <w:fldChar w:fldCharType="separate"/>
      </w:r>
      <w:r w:rsidR="003915CC" w:rsidRPr="003915CC">
        <w:rPr>
          <w:noProof/>
        </w:rPr>
        <w:t>(Dunn, Ramírez-Trujillo, &amp; Hernández-Lucas, 2009)</w:t>
      </w:r>
      <w:r w:rsidR="007200C5">
        <w:fldChar w:fldCharType="end"/>
      </w:r>
      <w:r>
        <w:t xml:space="preserve">, and clearly responds to multiple regulators. We found that much of the significant additional sequence present in this sub-class of ICL enzymes manifests itself as structural features projecting away from the globular core of the enzyme. Although we do not yet know what these projections do, one possibility (given their surface exposure) </w:t>
      </w:r>
      <w:r w:rsidR="00B13E19">
        <w:t xml:space="preserve">is that </w:t>
      </w:r>
      <w:r>
        <w:t>they are involved in protein-protein interactions, and we are currently investigating this.</w:t>
      </w:r>
      <w:r w:rsidR="00B13E19">
        <w:t xml:space="preserve"> Another area of ongoing interest is to understand at an atomic level of resolution how the regulator molecules exert their effects, especially on ICL and IDH. V-type allosteric regulators remain relatively poorly characterised, and a better understanding of these may open the way towards the design of drug-like “anti-activators” as well as inhibitors.</w:t>
      </w:r>
    </w:p>
    <w:p w14:paraId="6D309114" w14:textId="77777777" w:rsidR="006470CE" w:rsidRDefault="00B13E19" w:rsidP="00EB77AC">
      <w:pPr>
        <w:jc w:val="both"/>
      </w:pPr>
      <w:r>
        <w:t xml:space="preserve">In conclusion, we have shown that the TGB in </w:t>
      </w:r>
      <w:r w:rsidRPr="00B13E19">
        <w:rPr>
          <w:i/>
        </w:rPr>
        <w:t>P. aeruginosa</w:t>
      </w:r>
      <w:r>
        <w:t xml:space="preserve"> </w:t>
      </w:r>
      <w:r w:rsidR="00881214">
        <w:t xml:space="preserve">has a complex enzymology that is profoundly different to that in all other organisms for which the TGB has been characterised to date. This notwithstanding, common themes are discernable among the identified regulatory molecules, and the structural data lay a solid groundwork for downstream drug design efforts. </w:t>
      </w:r>
    </w:p>
    <w:p w14:paraId="19A2002F" w14:textId="77777777" w:rsidR="007D4719" w:rsidRDefault="007D4719" w:rsidP="00EB77AC">
      <w:pPr>
        <w:jc w:val="both"/>
      </w:pPr>
    </w:p>
    <w:p w14:paraId="7651309A" w14:textId="77777777" w:rsidR="00807F43" w:rsidRDefault="00807F43" w:rsidP="00EB77AC">
      <w:pPr>
        <w:jc w:val="both"/>
      </w:pPr>
    </w:p>
    <w:p w14:paraId="76EDDC4B" w14:textId="2B927940" w:rsidR="007D4719" w:rsidRPr="003C2033" w:rsidRDefault="007D4719" w:rsidP="00EB77AC">
      <w:pPr>
        <w:jc w:val="both"/>
        <w:rPr>
          <w:b/>
        </w:rPr>
      </w:pPr>
      <w:r w:rsidRPr="003C2033">
        <w:rPr>
          <w:b/>
        </w:rPr>
        <w:t>Acknowledgements</w:t>
      </w:r>
    </w:p>
    <w:p w14:paraId="1E29258E" w14:textId="1A110D6C" w:rsidR="007D4719" w:rsidRDefault="007D4719" w:rsidP="00EB77AC">
      <w:pPr>
        <w:jc w:val="both"/>
      </w:pPr>
      <w:r>
        <w:t xml:space="preserve">This work was supported by BBSRC </w:t>
      </w:r>
      <w:r w:rsidRPr="007D4719">
        <w:t xml:space="preserve">grant </w:t>
      </w:r>
      <w:r w:rsidRPr="003C2033">
        <w:rPr>
          <w:szCs w:val="24"/>
          <w:lang w:eastAsia="en-GB"/>
        </w:rPr>
        <w:t>BB/M019411/1</w:t>
      </w:r>
      <w:r>
        <w:rPr>
          <w:szCs w:val="24"/>
          <w:lang w:eastAsia="en-GB"/>
        </w:rPr>
        <w:t>.</w:t>
      </w:r>
      <w:r w:rsidR="00EE7AA7">
        <w:rPr>
          <w:szCs w:val="24"/>
          <w:lang w:eastAsia="en-GB"/>
        </w:rPr>
        <w:t xml:space="preserve"> None of the authors have any competing interests.</w:t>
      </w:r>
      <w:r>
        <w:rPr>
          <w:szCs w:val="24"/>
          <w:lang w:eastAsia="en-GB"/>
        </w:rPr>
        <w:t xml:space="preserve"> </w:t>
      </w:r>
    </w:p>
    <w:p w14:paraId="7B3AA2F3" w14:textId="77777777" w:rsidR="00983EAD" w:rsidRDefault="00983EAD" w:rsidP="006470CE">
      <w:pPr>
        <w:jc w:val="both"/>
      </w:pPr>
    </w:p>
    <w:p w14:paraId="631CAE1A" w14:textId="77777777" w:rsidR="002738AD" w:rsidRDefault="002738AD" w:rsidP="006470CE">
      <w:pPr>
        <w:jc w:val="both"/>
      </w:pPr>
    </w:p>
    <w:p w14:paraId="5E50071E" w14:textId="77777777" w:rsidR="002738AD" w:rsidRDefault="002738AD" w:rsidP="006470CE">
      <w:pPr>
        <w:jc w:val="both"/>
      </w:pPr>
    </w:p>
    <w:p w14:paraId="3F2DE46A" w14:textId="77777777" w:rsidR="002738AD" w:rsidRDefault="002738AD" w:rsidP="006470CE">
      <w:pPr>
        <w:jc w:val="both"/>
      </w:pPr>
    </w:p>
    <w:p w14:paraId="5EA07A2B" w14:textId="77777777" w:rsidR="002738AD" w:rsidRDefault="002738AD" w:rsidP="006470CE">
      <w:pPr>
        <w:jc w:val="both"/>
      </w:pPr>
    </w:p>
    <w:p w14:paraId="4D7B9E49" w14:textId="77777777" w:rsidR="002738AD" w:rsidRDefault="002738AD" w:rsidP="006470CE">
      <w:pPr>
        <w:jc w:val="both"/>
      </w:pPr>
    </w:p>
    <w:p w14:paraId="1A74281E" w14:textId="77777777" w:rsidR="002738AD" w:rsidRDefault="002738AD" w:rsidP="006470CE">
      <w:pPr>
        <w:jc w:val="both"/>
      </w:pPr>
    </w:p>
    <w:p w14:paraId="7533D951" w14:textId="77777777" w:rsidR="002738AD" w:rsidRDefault="002738AD" w:rsidP="006470CE">
      <w:pPr>
        <w:jc w:val="both"/>
      </w:pPr>
    </w:p>
    <w:p w14:paraId="6124F122" w14:textId="77777777" w:rsidR="002738AD" w:rsidRDefault="002738AD" w:rsidP="006470CE">
      <w:pPr>
        <w:jc w:val="both"/>
      </w:pPr>
    </w:p>
    <w:p w14:paraId="6143972A" w14:textId="77777777" w:rsidR="002738AD" w:rsidRDefault="002738AD" w:rsidP="006470CE">
      <w:pPr>
        <w:jc w:val="both"/>
      </w:pPr>
    </w:p>
    <w:p w14:paraId="790B2316" w14:textId="77777777" w:rsidR="002738AD" w:rsidRDefault="002738AD" w:rsidP="006470CE">
      <w:pPr>
        <w:jc w:val="both"/>
      </w:pPr>
    </w:p>
    <w:p w14:paraId="3B4DF45C" w14:textId="77777777" w:rsidR="002738AD" w:rsidRDefault="002738AD" w:rsidP="006470CE">
      <w:pPr>
        <w:jc w:val="both"/>
      </w:pPr>
    </w:p>
    <w:p w14:paraId="38A44085" w14:textId="77777777" w:rsidR="002738AD" w:rsidRDefault="002738AD" w:rsidP="006470CE">
      <w:pPr>
        <w:jc w:val="both"/>
      </w:pPr>
    </w:p>
    <w:p w14:paraId="1964AD44" w14:textId="77777777" w:rsidR="00807F43" w:rsidRDefault="00807F43" w:rsidP="006470CE">
      <w:pPr>
        <w:jc w:val="both"/>
      </w:pPr>
    </w:p>
    <w:p w14:paraId="4657C92B" w14:textId="77777777" w:rsidR="00807F43" w:rsidRDefault="00807F43" w:rsidP="006470CE">
      <w:pPr>
        <w:jc w:val="both"/>
      </w:pPr>
    </w:p>
    <w:p w14:paraId="30CD4AB1" w14:textId="77777777" w:rsidR="00807F43" w:rsidRDefault="00807F43" w:rsidP="006470CE">
      <w:pPr>
        <w:jc w:val="both"/>
      </w:pPr>
    </w:p>
    <w:p w14:paraId="4EB73A7F" w14:textId="77777777" w:rsidR="00807F43" w:rsidRDefault="00807F43" w:rsidP="006470CE">
      <w:pPr>
        <w:jc w:val="both"/>
      </w:pPr>
    </w:p>
    <w:p w14:paraId="664BFDF0" w14:textId="77777777" w:rsidR="00807F43" w:rsidRDefault="00807F43" w:rsidP="006470CE">
      <w:pPr>
        <w:jc w:val="both"/>
      </w:pPr>
    </w:p>
    <w:p w14:paraId="0C59DE4C" w14:textId="77777777" w:rsidR="00807F43" w:rsidRDefault="00807F43" w:rsidP="006470CE">
      <w:pPr>
        <w:jc w:val="both"/>
      </w:pPr>
    </w:p>
    <w:p w14:paraId="6EB1B19E" w14:textId="77777777" w:rsidR="00807F43" w:rsidRDefault="00807F43" w:rsidP="006470CE">
      <w:pPr>
        <w:jc w:val="both"/>
      </w:pPr>
    </w:p>
    <w:p w14:paraId="31F7FA74" w14:textId="77777777" w:rsidR="00807F43" w:rsidRDefault="00807F43" w:rsidP="006470CE">
      <w:pPr>
        <w:jc w:val="both"/>
      </w:pPr>
    </w:p>
    <w:p w14:paraId="114FF7F4" w14:textId="77777777" w:rsidR="00807F43" w:rsidRDefault="00807F43" w:rsidP="006470CE">
      <w:pPr>
        <w:jc w:val="both"/>
      </w:pPr>
    </w:p>
    <w:p w14:paraId="43E80DE1" w14:textId="77777777" w:rsidR="00807F43" w:rsidRDefault="00807F43" w:rsidP="006470CE">
      <w:pPr>
        <w:jc w:val="both"/>
      </w:pPr>
    </w:p>
    <w:p w14:paraId="38693A18" w14:textId="77777777" w:rsidR="00807F43" w:rsidRDefault="00807F43" w:rsidP="006470CE">
      <w:pPr>
        <w:jc w:val="both"/>
      </w:pPr>
    </w:p>
    <w:p w14:paraId="37E67DE4" w14:textId="77777777" w:rsidR="00807F43" w:rsidRDefault="00807F43" w:rsidP="006470CE">
      <w:pPr>
        <w:jc w:val="both"/>
      </w:pPr>
    </w:p>
    <w:p w14:paraId="20785F22" w14:textId="77777777" w:rsidR="00807F43" w:rsidRDefault="00807F43" w:rsidP="006470CE">
      <w:pPr>
        <w:jc w:val="both"/>
      </w:pPr>
    </w:p>
    <w:p w14:paraId="44E663E2" w14:textId="77777777" w:rsidR="00807F43" w:rsidRDefault="00807F43" w:rsidP="006470CE">
      <w:pPr>
        <w:jc w:val="both"/>
      </w:pPr>
    </w:p>
    <w:p w14:paraId="3C5D6931" w14:textId="77777777" w:rsidR="00B641C2" w:rsidRDefault="00B641C2" w:rsidP="006470CE">
      <w:pPr>
        <w:jc w:val="both"/>
      </w:pPr>
    </w:p>
    <w:p w14:paraId="138A39B1" w14:textId="1A4C878F" w:rsidR="00CE1713" w:rsidRPr="002C4A55" w:rsidRDefault="009E0421" w:rsidP="00FB3137">
      <w:pPr>
        <w:jc w:val="both"/>
        <w:outlineLvl w:val="0"/>
        <w:rPr>
          <w:b/>
        </w:rPr>
      </w:pPr>
      <w:r>
        <w:rPr>
          <w:b/>
        </w:rPr>
        <w:t>Experimental Procedures</w:t>
      </w:r>
    </w:p>
    <w:p w14:paraId="38D4070E" w14:textId="77777777" w:rsidR="00CE1713" w:rsidRPr="002C4A55" w:rsidRDefault="00CE1713" w:rsidP="00FB3137">
      <w:pPr>
        <w:jc w:val="both"/>
        <w:outlineLvl w:val="0"/>
        <w:rPr>
          <w:b/>
        </w:rPr>
      </w:pPr>
      <w:r w:rsidRPr="002C4A55">
        <w:rPr>
          <w:b/>
        </w:rPr>
        <w:t>Cloning, Overexpression, and Purification</w:t>
      </w:r>
    </w:p>
    <w:p w14:paraId="391F7010" w14:textId="04F94B73" w:rsidR="00505757" w:rsidRDefault="00C80276" w:rsidP="006470CE">
      <w:pPr>
        <w:jc w:val="both"/>
      </w:pPr>
      <w:r>
        <w:t xml:space="preserve">The ORFs encoding the </w:t>
      </w:r>
      <w:r w:rsidR="00CE1713" w:rsidRPr="002C4A55">
        <w:t>ICL</w:t>
      </w:r>
      <w:r>
        <w:t xml:space="preserve"> (PA2634)</w:t>
      </w:r>
      <w:r w:rsidR="00CE1713" w:rsidRPr="002C4A55">
        <w:t>, IDH</w:t>
      </w:r>
      <w:r>
        <w:t xml:space="preserve"> (PA2624)</w:t>
      </w:r>
      <w:r w:rsidR="00CE1713" w:rsidRPr="002C4A55">
        <w:t xml:space="preserve"> and ICD</w:t>
      </w:r>
      <w:r>
        <w:t xml:space="preserve"> (PA2623)</w:t>
      </w:r>
      <w:r w:rsidR="00CE1713" w:rsidRPr="002C4A55">
        <w:t xml:space="preserve"> </w:t>
      </w:r>
      <w:r>
        <w:t xml:space="preserve">enzymes were PCR-amplified </w:t>
      </w:r>
      <w:r w:rsidR="00CE1713" w:rsidRPr="002C4A55">
        <w:t>from</w:t>
      </w:r>
      <w:r>
        <w:t xml:space="preserve"> the genomic DNA of</w:t>
      </w:r>
      <w:r w:rsidR="00CE1713" w:rsidRPr="002C4A55">
        <w:t xml:space="preserve"> </w:t>
      </w:r>
      <w:r w:rsidR="00CE1713" w:rsidRPr="002C4A55">
        <w:rPr>
          <w:i/>
        </w:rPr>
        <w:t>P. aeruginosa</w:t>
      </w:r>
      <w:r w:rsidR="00CE1713" w:rsidRPr="002C4A55">
        <w:t xml:space="preserve"> strain PAO1</w:t>
      </w:r>
      <w:r>
        <w:t xml:space="preserve"> and cloned into a de</w:t>
      </w:r>
      <w:r w:rsidR="00334B43">
        <w:t>rivative of the NEB vector pMAL-c</w:t>
      </w:r>
      <w:r>
        <w:t xml:space="preserve">2X which had been </w:t>
      </w:r>
      <w:r w:rsidR="00334B43">
        <w:t xml:space="preserve">previously </w:t>
      </w:r>
      <w:r>
        <w:t xml:space="preserve">modified to introduce a hexa-histidine </w:t>
      </w:r>
      <w:r w:rsidR="00334B43">
        <w:t>tag</w:t>
      </w:r>
      <w:r>
        <w:t xml:space="preserve"> onto the N-terminus of the MBP</w:t>
      </w:r>
      <w:r w:rsidR="00CE1713" w:rsidRPr="002C4A55">
        <w:t xml:space="preserve">. </w:t>
      </w:r>
      <w:r w:rsidR="00334B43">
        <w:t xml:space="preserve">The constructs were confirmed by DNA sequencing and introduced into </w:t>
      </w:r>
      <w:r w:rsidR="00CE1713" w:rsidRPr="002C4A55">
        <w:rPr>
          <w:i/>
        </w:rPr>
        <w:t>E. coli</w:t>
      </w:r>
      <w:r w:rsidR="00CE1713" w:rsidRPr="002C4A55">
        <w:t xml:space="preserve"> DH5</w:t>
      </w:r>
      <w:r w:rsidR="00CE1713" w:rsidRPr="002C4A55">
        <w:rPr>
          <w:rFonts w:ascii="Symbol" w:hAnsi="Symbol"/>
        </w:rPr>
        <w:t></w:t>
      </w:r>
      <w:r w:rsidR="00334B43">
        <w:t xml:space="preserve">. For over-expression, the cultures were grown with good aeration </w:t>
      </w:r>
      <w:r w:rsidR="003B0623">
        <w:t xml:space="preserve">in LB medium </w:t>
      </w:r>
      <w:r w:rsidR="00CE1713" w:rsidRPr="002C4A55">
        <w:t>at 37°C</w:t>
      </w:r>
      <w:r w:rsidR="00334B43">
        <w:t xml:space="preserve"> </w:t>
      </w:r>
      <w:r w:rsidR="003B0623">
        <w:t>to</w:t>
      </w:r>
      <w:r w:rsidR="00334B43">
        <w:t xml:space="preserve"> </w:t>
      </w:r>
      <w:r w:rsidR="00334B43" w:rsidRPr="002C4A55">
        <w:t>OD</w:t>
      </w:r>
      <w:r w:rsidR="00334B43" w:rsidRPr="002C4A55">
        <w:rPr>
          <w:vertAlign w:val="subscript"/>
        </w:rPr>
        <w:t>600</w:t>
      </w:r>
      <w:r w:rsidR="00334B43">
        <w:t xml:space="preserve"> = 0.6.</w:t>
      </w:r>
      <w:r w:rsidR="00CE1713" w:rsidRPr="002C4A55">
        <w:t xml:space="preserve"> IPTG was </w:t>
      </w:r>
      <w:r w:rsidR="00334B43">
        <w:t xml:space="preserve">then </w:t>
      </w:r>
      <w:r w:rsidR="00CE1713" w:rsidRPr="002C4A55">
        <w:t xml:space="preserve">added to a final concentration of 0.3 mM and </w:t>
      </w:r>
      <w:r w:rsidR="00334B43">
        <w:t>growth was allowed to continue</w:t>
      </w:r>
      <w:r w:rsidR="00CE1713" w:rsidRPr="002C4A55">
        <w:t xml:space="preserve"> for a further 2 h. The cells were harvested by </w:t>
      </w:r>
      <w:r w:rsidR="00334B43">
        <w:t>sedimentation</w:t>
      </w:r>
      <w:r w:rsidR="00CE1713" w:rsidRPr="002C4A55">
        <w:t xml:space="preserve"> (3430</w:t>
      </w:r>
      <w:r w:rsidR="00334B43">
        <w:t xml:space="preserve"> </w:t>
      </w:r>
      <w:r w:rsidR="00334B43">
        <w:sym w:font="Symbol" w:char="F0B4"/>
      </w:r>
      <w:r w:rsidR="00334B43">
        <w:t xml:space="preserve"> </w:t>
      </w:r>
      <w:r w:rsidR="00CE1713" w:rsidRPr="00334B43">
        <w:rPr>
          <w:i/>
        </w:rPr>
        <w:t>g</w:t>
      </w:r>
      <w:r w:rsidR="00CE1713" w:rsidRPr="002C4A55">
        <w:t>, 20 min, 4°C) and the pellets were resuspended in 60 mL of buffer</w:t>
      </w:r>
      <w:r w:rsidR="006D5C82">
        <w:t xml:space="preserve"> A</w:t>
      </w:r>
      <w:r w:rsidR="00CE1713" w:rsidRPr="002C4A55">
        <w:t xml:space="preserve"> (200 mM NaCl, 20 mM </w:t>
      </w:r>
      <w:r w:rsidR="00881214">
        <w:t>Tris-HCl</w:t>
      </w:r>
      <w:r w:rsidR="00CE1713" w:rsidRPr="002C4A55">
        <w:t>, 1 mM EDTA, 1 mM DTT</w:t>
      </w:r>
      <w:r w:rsidR="003B0623">
        <w:t xml:space="preserve">, </w:t>
      </w:r>
      <w:r w:rsidR="003B0623" w:rsidRPr="002C4A55">
        <w:t>pH</w:t>
      </w:r>
      <w:r w:rsidR="003B0623">
        <w:t xml:space="preserve"> 7.4</w:t>
      </w:r>
      <w:r w:rsidR="00334B43">
        <w:t>) containing</w:t>
      </w:r>
      <w:r w:rsidR="00CE1713" w:rsidRPr="002C4A55">
        <w:t xml:space="preserve"> a </w:t>
      </w:r>
      <w:r w:rsidR="00334B43">
        <w:t xml:space="preserve">Complete EDTA-free </w:t>
      </w:r>
      <w:r w:rsidR="00CE1713" w:rsidRPr="002C4A55">
        <w:t>protease inhibitor cocktail tablet</w:t>
      </w:r>
      <w:r w:rsidR="00334B43">
        <w:t xml:space="preserve"> (Roche</w:t>
      </w:r>
      <w:r w:rsidR="00CE1713" w:rsidRPr="002C4A55">
        <w:t xml:space="preserve">). The cells were lysed by sonication on ice and the cell debris was </w:t>
      </w:r>
      <w:r w:rsidR="00334B43">
        <w:t>removed by sedimentation</w:t>
      </w:r>
      <w:r w:rsidR="00881214">
        <w:t xml:space="preserve"> (15000</w:t>
      </w:r>
      <w:r w:rsidR="00334B43">
        <w:t xml:space="preserve"> </w:t>
      </w:r>
      <w:r w:rsidR="00334B43">
        <w:sym w:font="Symbol" w:char="F0B4"/>
      </w:r>
      <w:r w:rsidR="00334B43">
        <w:t xml:space="preserve"> </w:t>
      </w:r>
      <w:r w:rsidR="00334B43" w:rsidRPr="00334B43">
        <w:rPr>
          <w:i/>
        </w:rPr>
        <w:t>g</w:t>
      </w:r>
      <w:r w:rsidR="00881214">
        <w:t>, 30 min, 4</w:t>
      </w:r>
      <w:r w:rsidR="00CE1713" w:rsidRPr="002C4A55">
        <w:t>°C). The supernatant was app</w:t>
      </w:r>
      <w:r w:rsidR="00334B43">
        <w:t>lied to an amylose resin column and</w:t>
      </w:r>
      <w:r w:rsidR="00CE1713" w:rsidRPr="002C4A55">
        <w:t xml:space="preserve"> washed </w:t>
      </w:r>
      <w:r w:rsidR="00334B43">
        <w:t xml:space="preserve">(overnight) </w:t>
      </w:r>
      <w:r w:rsidR="00CE1713" w:rsidRPr="002C4A55">
        <w:t>with 500 mL of buffer</w:t>
      </w:r>
      <w:r w:rsidR="00334B43">
        <w:t xml:space="preserve"> </w:t>
      </w:r>
      <w:r w:rsidR="006D5C82">
        <w:t xml:space="preserve">A </w:t>
      </w:r>
      <w:r w:rsidR="00334B43">
        <w:t>at 4</w:t>
      </w:r>
      <w:r w:rsidR="00334B43" w:rsidRPr="002C4A55">
        <w:t>°C</w:t>
      </w:r>
      <w:r w:rsidR="00CE1713" w:rsidRPr="002C4A55">
        <w:t>. The protein was then eluded in 10 mL of buffer</w:t>
      </w:r>
      <w:r w:rsidR="006D5C82">
        <w:t xml:space="preserve"> B</w:t>
      </w:r>
      <w:r w:rsidR="00CE1713" w:rsidRPr="002C4A55">
        <w:t xml:space="preserve"> (200 mM NaCl, 20 mM </w:t>
      </w:r>
      <w:r w:rsidR="00881214">
        <w:t>Tris-HCl</w:t>
      </w:r>
      <w:r w:rsidR="00CE1713" w:rsidRPr="002C4A55">
        <w:t>, 1 mM EDTA, 10 mM maltose</w:t>
      </w:r>
      <w:r w:rsidR="003B0623">
        <w:t xml:space="preserve">, </w:t>
      </w:r>
      <w:r w:rsidR="003B0623" w:rsidRPr="002C4A55">
        <w:t>pH</w:t>
      </w:r>
      <w:r w:rsidR="003B0623">
        <w:t xml:space="preserve"> 7.4</w:t>
      </w:r>
      <w:r w:rsidR="00CE1713" w:rsidRPr="002C4A55">
        <w:t xml:space="preserve">). </w:t>
      </w:r>
      <w:r w:rsidR="00334B43">
        <w:t xml:space="preserve">The eluted sample was dialysed </w:t>
      </w:r>
      <w:r w:rsidR="00CE1713" w:rsidRPr="002C4A55">
        <w:t xml:space="preserve">against </w:t>
      </w:r>
      <w:r w:rsidR="006D5C82">
        <w:t xml:space="preserve">2 </w:t>
      </w:r>
      <w:r w:rsidR="006D5C82">
        <w:sym w:font="Symbol" w:char="F0B4"/>
      </w:r>
      <w:r w:rsidR="006D5C82">
        <w:t xml:space="preserve"> 1L of buffer C (</w:t>
      </w:r>
      <w:r w:rsidR="00CE1713" w:rsidRPr="002C4A55">
        <w:t xml:space="preserve">50 mM NaCl, 25 mM </w:t>
      </w:r>
      <w:r w:rsidR="00881214">
        <w:t>Tris-HCl</w:t>
      </w:r>
      <w:r w:rsidR="006D5C82">
        <w:t xml:space="preserve">, 10% </w:t>
      </w:r>
      <w:r w:rsidR="00E137BD">
        <w:t>(</w:t>
      </w:r>
      <w:r w:rsidR="006D5C82">
        <w:t>v/v</w:t>
      </w:r>
      <w:r w:rsidR="00E137BD">
        <w:t>)</w:t>
      </w:r>
      <w:r w:rsidR="00573B69">
        <w:t xml:space="preserve"> </w:t>
      </w:r>
      <w:r w:rsidR="006D5C82">
        <w:t>glycerol</w:t>
      </w:r>
      <w:r w:rsidR="003B0623">
        <w:t xml:space="preserve">, </w:t>
      </w:r>
      <w:r w:rsidR="003B0623" w:rsidRPr="002C4A55">
        <w:t>pH</w:t>
      </w:r>
      <w:r w:rsidR="003B0623">
        <w:t xml:space="preserve"> 7.4</w:t>
      </w:r>
      <w:r w:rsidR="006D5C82">
        <w:t>). Following this, t</w:t>
      </w:r>
      <w:r w:rsidR="00CE1713" w:rsidRPr="002C4A55">
        <w:t xml:space="preserve">he sample was concentrated </w:t>
      </w:r>
      <w:r w:rsidR="006D5C82">
        <w:t>and</w:t>
      </w:r>
      <w:r w:rsidR="00CE1713" w:rsidRPr="002C4A55">
        <w:t xml:space="preserve"> cleaved with Factor Xa protease </w:t>
      </w:r>
      <w:r w:rsidR="006D5C82">
        <w:t>(</w:t>
      </w:r>
      <w:r w:rsidR="00CE1713" w:rsidRPr="002C4A55">
        <w:t xml:space="preserve">1:100 ratio </w:t>
      </w:r>
      <w:r w:rsidR="006D5C82">
        <w:t xml:space="preserve">of protease:sample) </w:t>
      </w:r>
      <w:r w:rsidR="00CE1713" w:rsidRPr="002C4A55">
        <w:t xml:space="preserve">at 6°C for 24h with constant gentle mixing. The protease </w:t>
      </w:r>
      <w:r w:rsidR="006D5C82">
        <w:t xml:space="preserve">was removed </w:t>
      </w:r>
      <w:r w:rsidR="00CE1713" w:rsidRPr="002C4A55">
        <w:t xml:space="preserve">using </w:t>
      </w:r>
      <w:r w:rsidR="00CE1713" w:rsidRPr="00881214">
        <w:rPr>
          <w:i/>
        </w:rPr>
        <w:t>p</w:t>
      </w:r>
      <w:r w:rsidR="00CE1713" w:rsidRPr="002C4A55">
        <w:t>-aminobenzamidine agarose</w:t>
      </w:r>
      <w:r w:rsidR="006D5C82">
        <w:t xml:space="preserve"> and</w:t>
      </w:r>
      <w:r w:rsidR="00CE1713" w:rsidRPr="002C4A55">
        <w:t xml:space="preserve"> the cleaved protein </w:t>
      </w:r>
      <w:r w:rsidR="006D5C82">
        <w:t xml:space="preserve">mixture </w:t>
      </w:r>
      <w:r w:rsidR="00CE1713" w:rsidRPr="002C4A55">
        <w:t xml:space="preserve">was applied to a </w:t>
      </w:r>
      <w:r w:rsidR="006D5C82">
        <w:t xml:space="preserve">column </w:t>
      </w:r>
      <w:r w:rsidR="00E137BD">
        <w:t xml:space="preserve">(2 mL packed resin volume) </w:t>
      </w:r>
      <w:r w:rsidR="006D5C82">
        <w:t xml:space="preserve">of </w:t>
      </w:r>
      <w:r w:rsidR="00CE1713" w:rsidRPr="002C4A55">
        <w:t>Ni-NTA resin</w:t>
      </w:r>
      <w:r w:rsidR="00E137BD">
        <w:t xml:space="preserve"> </w:t>
      </w:r>
      <w:r w:rsidR="006D5C82">
        <w:t>equilibrated</w:t>
      </w:r>
      <w:r w:rsidR="00CE1713">
        <w:t xml:space="preserve"> with </w:t>
      </w:r>
      <w:r w:rsidR="006D5C82">
        <w:t>buffer D (</w:t>
      </w:r>
      <w:r w:rsidR="00CE1713">
        <w:t>1</w:t>
      </w:r>
      <w:r w:rsidR="00CE1713" w:rsidRPr="002C4A55">
        <w:t xml:space="preserve">00 mM NaCl, 50 mM </w:t>
      </w:r>
      <w:r w:rsidR="00881214">
        <w:t>Tris-HCl</w:t>
      </w:r>
      <w:r w:rsidR="00CE1713" w:rsidRPr="002C4A55">
        <w:t>, 5%</w:t>
      </w:r>
      <w:r w:rsidR="006D5C82">
        <w:t xml:space="preserve"> (v/v)</w:t>
      </w:r>
      <w:r w:rsidR="00CE1713" w:rsidRPr="002C4A55">
        <w:t xml:space="preserve"> glycerol, 5 mM </w:t>
      </w:r>
      <w:r w:rsidR="00CE1713" w:rsidRPr="002C4A55">
        <w:rPr>
          <w:rFonts w:ascii="Symbol" w:hAnsi="Symbol"/>
        </w:rPr>
        <w:t></w:t>
      </w:r>
      <w:r w:rsidR="006D5C82">
        <w:t>-mercaptoethanol</w:t>
      </w:r>
      <w:r w:rsidR="003B0623">
        <w:t xml:space="preserve">, </w:t>
      </w:r>
      <w:r w:rsidR="003B0623" w:rsidRPr="002C4A55">
        <w:t>pH</w:t>
      </w:r>
      <w:r w:rsidR="003B0623">
        <w:t xml:space="preserve"> </w:t>
      </w:r>
      <w:r w:rsidR="003B0623" w:rsidRPr="002C4A55">
        <w:t>7.5</w:t>
      </w:r>
      <w:r w:rsidR="006D5C82">
        <w:t>)</w:t>
      </w:r>
      <w:r w:rsidR="00CE1713" w:rsidRPr="002C4A55">
        <w:t xml:space="preserve"> to remove the His</w:t>
      </w:r>
      <w:r w:rsidR="00CE1713" w:rsidRPr="002C4A55">
        <w:rPr>
          <w:vertAlign w:val="subscript"/>
        </w:rPr>
        <w:t>6</w:t>
      </w:r>
      <w:r w:rsidR="00CE1713" w:rsidRPr="002C4A55">
        <w:t xml:space="preserve">-MBP tag. The </w:t>
      </w:r>
      <w:r w:rsidR="00D1350A" w:rsidRPr="002C4A55">
        <w:t>flow through</w:t>
      </w:r>
      <w:r w:rsidR="00CE1713" w:rsidRPr="002C4A55">
        <w:t xml:space="preserve"> (</w:t>
      </w:r>
      <w:r w:rsidR="006D5C82">
        <w:t xml:space="preserve">consisting of </w:t>
      </w:r>
      <w:r w:rsidR="00CE1713" w:rsidRPr="002C4A55">
        <w:t xml:space="preserve">cleaved purified </w:t>
      </w:r>
      <w:r w:rsidR="006D5C82">
        <w:t xml:space="preserve">target </w:t>
      </w:r>
      <w:r w:rsidR="00CE1713" w:rsidRPr="002C4A55">
        <w:t xml:space="preserve">protein) was collected </w:t>
      </w:r>
      <w:r w:rsidR="006D5C82">
        <w:t>and dialysed</w:t>
      </w:r>
      <w:r w:rsidR="00CE1713" w:rsidRPr="002C4A55">
        <w:t xml:space="preserve"> against </w:t>
      </w:r>
      <w:r w:rsidR="006D5C82">
        <w:t>buffer E (</w:t>
      </w:r>
      <w:r w:rsidR="00CE1713" w:rsidRPr="002C4A55">
        <w:t xml:space="preserve">100 mM NaCl, 25 mM </w:t>
      </w:r>
      <w:r w:rsidR="00881214">
        <w:t>Tris-HCl</w:t>
      </w:r>
      <w:r w:rsidR="00CE1713" w:rsidRPr="002C4A55">
        <w:t xml:space="preserve">, 10% </w:t>
      </w:r>
      <w:r w:rsidR="00E137BD">
        <w:t>(</w:t>
      </w:r>
      <w:r w:rsidR="006D5C82">
        <w:t>v/v</w:t>
      </w:r>
      <w:r w:rsidR="00E137BD">
        <w:t>)</w:t>
      </w:r>
      <w:r w:rsidR="006D5C82">
        <w:t xml:space="preserve"> </w:t>
      </w:r>
      <w:r w:rsidR="00CE1713" w:rsidRPr="002C4A55">
        <w:t>glycerol, 1 mM EDTA, 1 mM DTT</w:t>
      </w:r>
      <w:r w:rsidR="003B0623">
        <w:t xml:space="preserve">, </w:t>
      </w:r>
      <w:r w:rsidR="003B0623" w:rsidRPr="002C4A55">
        <w:t>pH</w:t>
      </w:r>
      <w:r w:rsidR="003B0623">
        <w:t xml:space="preserve"> </w:t>
      </w:r>
      <w:r w:rsidR="003B0623" w:rsidRPr="002C4A55">
        <w:t>7.5</w:t>
      </w:r>
      <w:r w:rsidR="006D5C82">
        <w:t xml:space="preserve">). The dialysed sample was concentrated by ultrafiltration and then </w:t>
      </w:r>
      <w:r w:rsidR="00CE1713" w:rsidRPr="002C4A55">
        <w:t xml:space="preserve">snap-frozen in liquid nitrogen </w:t>
      </w:r>
      <w:r w:rsidR="006D5C82">
        <w:t>for storage</w:t>
      </w:r>
      <w:r w:rsidR="00CE1713" w:rsidRPr="002C4A55">
        <w:t xml:space="preserve"> at -80°C. </w:t>
      </w:r>
      <w:r w:rsidR="006D5C82">
        <w:t>P</w:t>
      </w:r>
      <w:r w:rsidR="00CE1713" w:rsidRPr="002C4A55">
        <w:t xml:space="preserve">rotein concentration was determined </w:t>
      </w:r>
      <w:r w:rsidR="006D5C82">
        <w:t>spectrophotometrically</w:t>
      </w:r>
      <w:r w:rsidR="00CE1713" w:rsidRPr="002C4A55">
        <w:t xml:space="preserve"> using the calculated molar extinction (ε</w:t>
      </w:r>
      <w:r w:rsidR="00CE1713" w:rsidRPr="002C4A55">
        <w:rPr>
          <w:vertAlign w:val="subscript"/>
        </w:rPr>
        <w:t>calc</w:t>
      </w:r>
      <w:r w:rsidR="00CE1713" w:rsidRPr="002C4A55">
        <w:t xml:space="preserve"> = 54320</w:t>
      </w:r>
      <w:r w:rsidR="006D5C82" w:rsidRPr="006D5C82">
        <w:t xml:space="preserve"> </w:t>
      </w:r>
      <w:r w:rsidR="006D5C82" w:rsidRPr="002C4A55">
        <w:t>M</w:t>
      </w:r>
      <w:r w:rsidR="006D5C82" w:rsidRPr="002C4A55">
        <w:rPr>
          <w:vertAlign w:val="superscript"/>
        </w:rPr>
        <w:t>-1</w:t>
      </w:r>
      <w:r w:rsidR="006D5C82" w:rsidRPr="002C4A55">
        <w:t>.cm</w:t>
      </w:r>
      <w:r w:rsidR="006D5C82" w:rsidRPr="002C4A55">
        <w:rPr>
          <w:vertAlign w:val="superscript"/>
        </w:rPr>
        <w:t>-1</w:t>
      </w:r>
      <w:r w:rsidR="006D5C82">
        <w:t xml:space="preserve"> (ICL)</w:t>
      </w:r>
      <w:r w:rsidR="00CE1713" w:rsidRPr="002C4A55">
        <w:t>, 82280</w:t>
      </w:r>
      <w:r w:rsidR="006D5C82" w:rsidRPr="006D5C82">
        <w:t xml:space="preserve"> </w:t>
      </w:r>
      <w:r w:rsidR="006D5C82" w:rsidRPr="002C4A55">
        <w:t>M</w:t>
      </w:r>
      <w:r w:rsidR="006D5C82" w:rsidRPr="002C4A55">
        <w:rPr>
          <w:vertAlign w:val="superscript"/>
        </w:rPr>
        <w:t>-1</w:t>
      </w:r>
      <w:r w:rsidR="006D5C82" w:rsidRPr="002C4A55">
        <w:t>.cm</w:t>
      </w:r>
      <w:r w:rsidR="006D5C82" w:rsidRPr="002C4A55">
        <w:rPr>
          <w:vertAlign w:val="superscript"/>
        </w:rPr>
        <w:t>-1</w:t>
      </w:r>
      <w:r w:rsidR="006D5C82">
        <w:t xml:space="preserve"> (IDH)</w:t>
      </w:r>
      <w:r w:rsidR="00CE1713" w:rsidRPr="002C4A55">
        <w:t xml:space="preserve"> and 57870</w:t>
      </w:r>
      <w:r w:rsidR="006D5C82" w:rsidRPr="006D5C82">
        <w:t xml:space="preserve"> </w:t>
      </w:r>
      <w:r w:rsidR="006D5C82" w:rsidRPr="002C4A55">
        <w:t>M</w:t>
      </w:r>
      <w:r w:rsidR="006D5C82" w:rsidRPr="002C4A55">
        <w:rPr>
          <w:vertAlign w:val="superscript"/>
        </w:rPr>
        <w:t>-1</w:t>
      </w:r>
      <w:r w:rsidR="006D5C82" w:rsidRPr="002C4A55">
        <w:t>.cm</w:t>
      </w:r>
      <w:r w:rsidR="006D5C82" w:rsidRPr="002C4A55">
        <w:rPr>
          <w:vertAlign w:val="superscript"/>
        </w:rPr>
        <w:t>-1</w:t>
      </w:r>
      <w:r w:rsidR="006D5C82">
        <w:t xml:space="preserve"> (ICD)</w:t>
      </w:r>
      <w:r w:rsidR="00CE1713" w:rsidRPr="002C4A55">
        <w:t>).</w:t>
      </w:r>
      <w:r w:rsidR="001D417D">
        <w:t xml:space="preserve"> </w:t>
      </w:r>
    </w:p>
    <w:p w14:paraId="061AF6B3" w14:textId="4F772631" w:rsidR="00CE1713" w:rsidRPr="00D22DA0" w:rsidRDefault="003B0623" w:rsidP="006470CE">
      <w:pPr>
        <w:jc w:val="both"/>
        <w:rPr>
          <w:vertAlign w:val="subscript"/>
          <w:lang w:val="en-US"/>
        </w:rPr>
      </w:pPr>
      <w:r>
        <w:t xml:space="preserve">The </w:t>
      </w:r>
      <w:r w:rsidR="001D417D">
        <w:t xml:space="preserve">AceK </w:t>
      </w:r>
      <w:r w:rsidR="00077FFE">
        <w:t>(</w:t>
      </w:r>
      <w:r w:rsidR="000D0C46" w:rsidRPr="000D0C46">
        <w:t>PA1376</w:t>
      </w:r>
      <w:r w:rsidR="00082A3E">
        <w:t>)</w:t>
      </w:r>
      <w:r w:rsidR="009641FA">
        <w:t>, ICD</w:t>
      </w:r>
      <w:r w:rsidR="009641FA" w:rsidRPr="009641FA">
        <w:rPr>
          <w:vertAlign w:val="subscript"/>
        </w:rPr>
        <w:t>PA</w:t>
      </w:r>
      <w:r w:rsidR="009641FA">
        <w:t xml:space="preserve"> </w:t>
      </w:r>
      <w:r w:rsidR="00A54962">
        <w:t>and ICD</w:t>
      </w:r>
      <w:r w:rsidR="00A54962" w:rsidRPr="00A54962">
        <w:rPr>
          <w:vertAlign w:val="subscript"/>
        </w:rPr>
        <w:t>EC</w:t>
      </w:r>
      <w:r w:rsidR="00A54962">
        <w:t xml:space="preserve"> </w:t>
      </w:r>
      <w:r>
        <w:t xml:space="preserve">(from </w:t>
      </w:r>
      <w:r w:rsidRPr="003B0623">
        <w:rPr>
          <w:i/>
        </w:rPr>
        <w:t>E. coli</w:t>
      </w:r>
      <w:r>
        <w:t xml:space="preserve"> strain DH5</w:t>
      </w:r>
      <w:r w:rsidRPr="003B0623">
        <w:rPr>
          <w:rFonts w:ascii="Symbol" w:hAnsi="Symbol"/>
        </w:rPr>
        <w:t></w:t>
      </w:r>
      <w:r>
        <w:t xml:space="preserve">) used for phosphotransfer/AceK-inhibition assays </w:t>
      </w:r>
      <w:r w:rsidR="00A54962">
        <w:t xml:space="preserve">were </w:t>
      </w:r>
      <w:r>
        <w:t xml:space="preserve">purified slightly differently. The PCR-amplified ORFs were </w:t>
      </w:r>
      <w:r w:rsidR="00F04DD3">
        <w:t>clo</w:t>
      </w:r>
      <w:r>
        <w:t>ned into the expression vector pET-</w:t>
      </w:r>
      <w:r w:rsidR="00F04DD3">
        <w:t>19m</w:t>
      </w:r>
      <w:r>
        <w:t>, which introduces a TEV-cleavable N-terminal hexa-histidine tag onto each protein</w:t>
      </w:r>
      <w:r w:rsidR="00F04DD3">
        <w:t xml:space="preserve">. </w:t>
      </w:r>
      <w:r w:rsidR="00505757" w:rsidRPr="00505757">
        <w:t>For purification of the His</w:t>
      </w:r>
      <w:r w:rsidR="00505757" w:rsidRPr="003B0623">
        <w:rPr>
          <w:vertAlign w:val="subscript"/>
        </w:rPr>
        <w:t>6</w:t>
      </w:r>
      <w:r w:rsidR="00505757" w:rsidRPr="00505757">
        <w:t xml:space="preserve">-tagged </w:t>
      </w:r>
      <w:r w:rsidR="006B611A">
        <w:t>proteins</w:t>
      </w:r>
      <w:r w:rsidR="00505757" w:rsidRPr="00505757">
        <w:t>, the cells were grown in LB medium at 37</w:t>
      </w:r>
      <w:r w:rsidR="000D3C0A">
        <w:rPr>
          <w:rFonts w:cstheme="minorHAnsi"/>
        </w:rPr>
        <w:t>°</w:t>
      </w:r>
      <w:r w:rsidR="00505757" w:rsidRPr="00505757">
        <w:t xml:space="preserve">C </w:t>
      </w:r>
      <w:r>
        <w:t>with good aeration</w:t>
      </w:r>
      <w:r w:rsidR="000D3C0A">
        <w:t xml:space="preserve"> </w:t>
      </w:r>
      <w:r>
        <w:t>to</w:t>
      </w:r>
      <w:r w:rsidR="00505757" w:rsidRPr="00505757">
        <w:t xml:space="preserve"> OD</w:t>
      </w:r>
      <w:r w:rsidR="00505757" w:rsidRPr="003B0623">
        <w:rPr>
          <w:vertAlign w:val="subscript"/>
        </w:rPr>
        <w:t>600</w:t>
      </w:r>
      <w:r w:rsidR="00505757" w:rsidRPr="00505757">
        <w:t xml:space="preserve"> </w:t>
      </w:r>
      <w:r>
        <w:t xml:space="preserve">= </w:t>
      </w:r>
      <w:r w:rsidR="00505757" w:rsidRPr="00505757">
        <w:t>0.5. The temperature was then lowered to 20</w:t>
      </w:r>
      <w:r w:rsidR="000D3C0A">
        <w:rPr>
          <w:rFonts w:cstheme="minorHAnsi"/>
        </w:rPr>
        <w:t>°</w:t>
      </w:r>
      <w:r w:rsidR="00505757" w:rsidRPr="00505757">
        <w:t>C and IPTG was added to 0.5 mM final concentration to induce expression of the cloned gene</w:t>
      </w:r>
      <w:r w:rsidR="00276BD0">
        <w:t>s</w:t>
      </w:r>
      <w:r>
        <w:t xml:space="preserve">. The induced cultures were </w:t>
      </w:r>
      <w:r w:rsidR="00505757" w:rsidRPr="00505757">
        <w:t xml:space="preserve">grown for a further 16 h and then harvested by </w:t>
      </w:r>
      <w:r>
        <w:t>sedimentation</w:t>
      </w:r>
      <w:r w:rsidR="00505757" w:rsidRPr="00505757">
        <w:t xml:space="preserve"> (6000</w:t>
      </w:r>
      <w:r w:rsidR="00AF5A63">
        <w:t xml:space="preserve"> </w:t>
      </w:r>
      <w:r>
        <w:sym w:font="Symbol" w:char="F0B4"/>
      </w:r>
      <w:r>
        <w:t xml:space="preserve"> </w:t>
      </w:r>
      <w:r w:rsidRPr="00334B43">
        <w:rPr>
          <w:i/>
        </w:rPr>
        <w:t>g</w:t>
      </w:r>
      <w:r>
        <w:t>, 4°C, 15 min</w:t>
      </w:r>
      <w:r w:rsidR="00505757" w:rsidRPr="00505757">
        <w:t>). The cell</w:t>
      </w:r>
      <w:r>
        <w:t xml:space="preserve"> pellet was resuspended in 20 mL</w:t>
      </w:r>
      <w:r w:rsidR="00505757" w:rsidRPr="00505757">
        <w:t xml:space="preserve"> of buffer </w:t>
      </w:r>
      <w:r>
        <w:t xml:space="preserve">F </w:t>
      </w:r>
      <w:r w:rsidR="00505757" w:rsidRPr="00505757">
        <w:t xml:space="preserve">(50 mM sodium phosphate, 200 mM NaCl, 10% (v/v) glycerol, pH 8.0) and the cells were ruptured by sonication (3 </w:t>
      </w:r>
      <w:r>
        <w:sym w:font="Symbol" w:char="F0B4"/>
      </w:r>
      <w:r w:rsidR="00505757" w:rsidRPr="00505757">
        <w:t xml:space="preserve"> 10 sec, Soniprep 150, maximum power output). The cell lysate was clarified by centrifugation (11,000 </w:t>
      </w:r>
      <w:r>
        <w:sym w:font="Symbol" w:char="F0B4"/>
      </w:r>
      <w:r>
        <w:t xml:space="preserve"> </w:t>
      </w:r>
      <w:r w:rsidRPr="00334B43">
        <w:rPr>
          <w:i/>
        </w:rPr>
        <w:t>g</w:t>
      </w:r>
      <w:r>
        <w:t>, 4°C, 30 min</w:t>
      </w:r>
      <w:r w:rsidR="00505757" w:rsidRPr="00505757">
        <w:t xml:space="preserve">), and the supernatant was filtered through a 0.45 μm filter. </w:t>
      </w:r>
      <w:r w:rsidR="00505757" w:rsidRPr="003B0623">
        <w:t>The filtered lysate was then lo</w:t>
      </w:r>
      <w:r>
        <w:t>aded onto an Ni-NTA column (2 mL</w:t>
      </w:r>
      <w:r w:rsidR="00505757" w:rsidRPr="00505757">
        <w:t xml:space="preserve"> packed resin bed volume) and the column was washed overnight at 4°C with buffer </w:t>
      </w:r>
      <w:r w:rsidR="00E137BD">
        <w:t xml:space="preserve">F </w:t>
      </w:r>
      <w:r w:rsidR="00505757" w:rsidRPr="00505757">
        <w:t>containing 10 mM imidazole. The His</w:t>
      </w:r>
      <w:r w:rsidR="00505757" w:rsidRPr="00E137BD">
        <w:rPr>
          <w:vertAlign w:val="subscript"/>
        </w:rPr>
        <w:t>6</w:t>
      </w:r>
      <w:r w:rsidR="00505757" w:rsidRPr="00505757">
        <w:t>-</w:t>
      </w:r>
      <w:r w:rsidR="001E7A54">
        <w:t>tagged proteins</w:t>
      </w:r>
      <w:r w:rsidR="00505757" w:rsidRPr="00505757">
        <w:t xml:space="preserve"> w</w:t>
      </w:r>
      <w:r w:rsidR="001E7A54">
        <w:t>ere</w:t>
      </w:r>
      <w:r w:rsidR="00505757" w:rsidRPr="00505757">
        <w:t xml:space="preserve"> eluted with buffer </w:t>
      </w:r>
      <w:r w:rsidR="00E137BD">
        <w:t xml:space="preserve">F </w:t>
      </w:r>
      <w:r w:rsidR="00505757" w:rsidRPr="00505757">
        <w:t>containing 250 mM imidazole. The purified protein w</w:t>
      </w:r>
      <w:r w:rsidR="00E137BD">
        <w:t xml:space="preserve">as mixed with </w:t>
      </w:r>
      <w:r w:rsidR="00E137BD" w:rsidRPr="00505757">
        <w:t>His</w:t>
      </w:r>
      <w:r w:rsidR="00E137BD" w:rsidRPr="00E137BD">
        <w:rPr>
          <w:vertAlign w:val="subscript"/>
        </w:rPr>
        <w:t>6</w:t>
      </w:r>
      <w:r w:rsidR="00E137BD" w:rsidRPr="00505757">
        <w:t>-tagged TEV-protease</w:t>
      </w:r>
      <w:r w:rsidR="00E137BD">
        <w:t xml:space="preserve"> and dialyzed overnight at 4°C against 2 </w:t>
      </w:r>
      <w:r w:rsidR="00505757" w:rsidRPr="00505757">
        <w:t xml:space="preserve">L buffer </w:t>
      </w:r>
      <w:r w:rsidR="00E137BD">
        <w:t xml:space="preserve">G </w:t>
      </w:r>
      <w:r w:rsidR="00505757" w:rsidRPr="00505757">
        <w:t>(20 mM Tris-HCl, 50 mM NaCl, 5% (v/v) glycerol,</w:t>
      </w:r>
      <w:r w:rsidR="002A1665">
        <w:t xml:space="preserve"> </w:t>
      </w:r>
      <w:r w:rsidR="00505757" w:rsidRPr="00505757">
        <w:t xml:space="preserve">pH 7.5). </w:t>
      </w:r>
      <w:r w:rsidR="00505757" w:rsidRPr="00E137BD">
        <w:t xml:space="preserve">The </w:t>
      </w:r>
      <w:r w:rsidR="00B72482" w:rsidRPr="00E137BD">
        <w:t xml:space="preserve">proteins </w:t>
      </w:r>
      <w:r w:rsidR="00505757" w:rsidRPr="00E137BD">
        <w:t>thus released</w:t>
      </w:r>
      <w:r w:rsidR="00505757" w:rsidRPr="00505757">
        <w:t xml:space="preserve"> </w:t>
      </w:r>
      <w:r w:rsidR="00E137BD">
        <w:t xml:space="preserve">were </w:t>
      </w:r>
      <w:r w:rsidR="00505757" w:rsidRPr="00505757">
        <w:t>cleaned up by batch extraction in a slurry of Ni-NTA resin equilibrated in buffer</w:t>
      </w:r>
      <w:r w:rsidR="00E137BD">
        <w:t xml:space="preserve"> G</w:t>
      </w:r>
      <w:r w:rsidR="00505757" w:rsidRPr="00505757">
        <w:t>.</w:t>
      </w:r>
      <w:r w:rsidR="00D22DA0">
        <w:t xml:space="preserve"> AceK</w:t>
      </w:r>
      <w:r w:rsidR="00D22DA0" w:rsidRPr="00D22DA0">
        <w:rPr>
          <w:vertAlign w:val="subscript"/>
        </w:rPr>
        <w:t>EC</w:t>
      </w:r>
      <w:r w:rsidR="00D22DA0">
        <w:t xml:space="preserve"> was expressed and purified as abo</w:t>
      </w:r>
      <w:r w:rsidR="00CC155E">
        <w:t>ve, but from a modified pET</w:t>
      </w:r>
      <w:r w:rsidR="00E137BD">
        <w:t>-</w:t>
      </w:r>
      <w:r w:rsidR="00CC155E">
        <w:t xml:space="preserve">15b vector </w:t>
      </w:r>
      <w:r w:rsidR="001566DF">
        <w:t xml:space="preserve">(a </w:t>
      </w:r>
      <w:r w:rsidR="00E137BD">
        <w:t>generous</w:t>
      </w:r>
      <w:r w:rsidR="001566DF">
        <w:t xml:space="preserve"> gift from</w:t>
      </w:r>
      <w:r w:rsidR="00092D11">
        <w:t xml:space="preserve"> Prof. Jia)</w:t>
      </w:r>
      <w:r w:rsidR="00796174">
        <w:t xml:space="preserve"> </w:t>
      </w:r>
      <w:r w:rsidR="006408C7">
        <w:fldChar w:fldCharType="begin" w:fldLock="1"/>
      </w:r>
      <w:r w:rsidR="00B23662">
        <w:instrText>ADDIN CSL_CITATION { "citationItems" : [ { "id" : "ITEM-1", "itemData" : { "DOI" : "10.1107/S1744309109014729", "abstract" : "The Escherichia coli aceK gene encodes isocitrate dehydrogenase kinase/phosphatase (EC 2.7.11.5), a bifunctional protein that phosphorylates and dephosphorylates isocitrate dehydrogenase (IDH), resulting in its inactivation and activation, respectively. This reversible (de)phosphorylation directs iso\u00adcitrate, an intermediate of the citric acid cycle, to either go through the full cycle or to enter the glyoxylate bypass. In the present study, the AceK protein from E. coli has been purified and crystallized. Three crystal forms were obtained from very similar crystallization conditions. The crystals belong to space groups P41212, P3221 and P212121 and diffracted X-rays to resolutions of 2.9, 3.0 and 2.7 \u00c5, respectively.", "author" : [ { "dropping-particle" : "", "family" : "Zheng", "given" : "Jimin", "non-dropping-particle" : "", "parse-names" : false, "suffix" : "" }, { "dropping-particle" : "", "family" : "Lee", "given" : "Daniel C.", "non-dropping-particle" : "", "parse-names" : false, "suffix" : "" }, { "dropping-particle" : "", "family" : "Jia", "given" : "Zongchao", "non-dropping-particle" : "", "parse-names" : false, "suffix" : "" } ], "container-title" : "Acta Crystallographica Section F Structural Biology and Crystallization Communications", "id" : "ITEM-1", "issue" : "5", "issued" : { "date-parts" : [ [ "2009" ] ] }, "page" : "536-539", "publisher" : "International Union of Crystallography", "title" : "Purification, crystallization and preliminary X-ray analysis of isocitrate dehydrogenase kinase/phosphatase from Escherichia coli", "type" : "article-journal", "volume" : "65" }, "uris" : [ "http://www.mendeley.com/documents/?uuid=256840e6-3ece-3e06-ae36-b6e27642c58e" ] } ], "mendeley" : { "formattedCitation" : "(Zheng, Lee, &amp; Jia, 2009)", "plainTextFormattedCitation" : "(Zheng, Lee, &amp; Jia, 2009)", "previouslyFormattedCitation" : "(Zheng, Lee, Jia, &amp; IUCr, 2009)" }, "properties" : { "noteIndex" : 0 }, "schema" : "https://github.com/citation-style-language/schema/raw/master/csl-citation.json" }</w:instrText>
      </w:r>
      <w:r w:rsidR="006408C7">
        <w:fldChar w:fldCharType="separate"/>
      </w:r>
      <w:r w:rsidR="00B23662" w:rsidRPr="00B23662">
        <w:rPr>
          <w:noProof/>
        </w:rPr>
        <w:t>(Zheng, Lee, &amp; Jia, 2009)</w:t>
      </w:r>
      <w:r w:rsidR="006408C7">
        <w:fldChar w:fldCharType="end"/>
      </w:r>
      <w:r w:rsidR="007B52C4">
        <w:t>.</w:t>
      </w:r>
    </w:p>
    <w:p w14:paraId="5376DF2F" w14:textId="77777777" w:rsidR="00CE1713" w:rsidRPr="002C4A55" w:rsidRDefault="00CE1713" w:rsidP="00FB3137">
      <w:pPr>
        <w:jc w:val="both"/>
        <w:outlineLvl w:val="0"/>
        <w:rPr>
          <w:b/>
        </w:rPr>
      </w:pPr>
      <w:r w:rsidRPr="000A6C4E">
        <w:rPr>
          <w:b/>
        </w:rPr>
        <w:t>Gel filtration and AUC</w:t>
      </w:r>
    </w:p>
    <w:p w14:paraId="125CE3B8" w14:textId="2900F5C0" w:rsidR="00CE1713" w:rsidRPr="002C4A55" w:rsidRDefault="00F51437" w:rsidP="006470CE">
      <w:pPr>
        <w:jc w:val="both"/>
      </w:pPr>
      <w:r w:rsidRPr="00F51437">
        <w:rPr>
          <w:b/>
        </w:rPr>
        <w:lastRenderedPageBreak/>
        <w:t>GFC</w:t>
      </w:r>
      <w:r>
        <w:t xml:space="preserve">. </w:t>
      </w:r>
      <w:r w:rsidR="00CE1713" w:rsidRPr="002C4A55">
        <w:t xml:space="preserve">Analytical gel filtration with multi-angle light scattering was </w:t>
      </w:r>
      <w:r w:rsidR="000A6C4E">
        <w:t xml:space="preserve">carried out using </w:t>
      </w:r>
      <w:r w:rsidR="00CE1713" w:rsidRPr="002C4A55">
        <w:t xml:space="preserve">a 300 × 7.8 mm TSK-Gel G3000 SWXL column (Toso Haas) equilibrated with 150 mM NaCl, 20 mM Tris-HCl </w:t>
      </w:r>
      <w:r w:rsidR="000A6C4E">
        <w:t>(</w:t>
      </w:r>
      <w:r w:rsidR="00CE1713" w:rsidRPr="002C4A55">
        <w:t>pH 8.0</w:t>
      </w:r>
      <w:r w:rsidR="000A6C4E">
        <w:t>) operating at a flow rate of 0.5 mL</w:t>
      </w:r>
      <w:r w:rsidR="000A6C4E" w:rsidRPr="002C4A55">
        <w:t xml:space="preserve"> min</w:t>
      </w:r>
      <w:r w:rsidR="000A6C4E" w:rsidRPr="002C4A55">
        <w:rPr>
          <w:vertAlign w:val="superscript"/>
        </w:rPr>
        <w:t>-1</w:t>
      </w:r>
      <w:r w:rsidR="00CE1713" w:rsidRPr="002C4A55">
        <w:t>. The</w:t>
      </w:r>
      <w:r w:rsidR="000A6C4E">
        <w:t xml:space="preserve"> column eluate was monitored in-</w:t>
      </w:r>
      <w:r w:rsidR="00CE1713" w:rsidRPr="002C4A55">
        <w:t xml:space="preserve">line with a Mini-DAWN light scattering detector </w:t>
      </w:r>
      <w:r w:rsidR="000A6C4E">
        <w:t>(</w:t>
      </w:r>
      <w:r w:rsidR="000A6C4E" w:rsidRPr="000A6C4E">
        <w:rPr>
          <w:rFonts w:ascii="Symbol" w:hAnsi="Symbol"/>
        </w:rPr>
        <w:t></w:t>
      </w:r>
      <w:r w:rsidR="000A6C4E">
        <w:t xml:space="preserve"> =</w:t>
      </w:r>
      <w:r w:rsidR="00CE1713" w:rsidRPr="002C4A55">
        <w:t xml:space="preserve"> 690 nm</w:t>
      </w:r>
      <w:r w:rsidR="000A6C4E">
        <w:t xml:space="preserve">), </w:t>
      </w:r>
      <w:r w:rsidR="0042655F">
        <w:t xml:space="preserve">a </w:t>
      </w:r>
      <w:r w:rsidR="000A6C4E">
        <w:t>q</w:t>
      </w:r>
      <w:r w:rsidR="00CE1713" w:rsidRPr="002C4A55">
        <w:t xml:space="preserve">uasi-elastic light scattering detector, differential refractometry and </w:t>
      </w:r>
      <w:r w:rsidR="0042655F">
        <w:t xml:space="preserve">an </w:t>
      </w:r>
      <w:r w:rsidR="00CE1713" w:rsidRPr="002C4A55">
        <w:t xml:space="preserve">absorption detector </w:t>
      </w:r>
      <w:r w:rsidR="0042655F">
        <w:t>(</w:t>
      </w:r>
      <w:r w:rsidR="00CE1713" w:rsidRPr="002C4A55">
        <w:t>280 nm</w:t>
      </w:r>
      <w:r w:rsidR="0042655F">
        <w:t>)</w:t>
      </w:r>
      <w:r w:rsidR="00CE1713" w:rsidRPr="002C4A55">
        <w:t>. Molecular masses were calculated using Astra Software (Wyatt Technologies) and the Debye fit method</w:t>
      </w:r>
      <w:r w:rsidR="00796174">
        <w:t xml:space="preserve"> </w:t>
      </w:r>
      <w:r w:rsidR="00A754C9">
        <w:fldChar w:fldCharType="begin" w:fldLock="1"/>
      </w:r>
      <w:r w:rsidR="003915CC">
        <w:instrText>ADDIN CSL_CITATION { "citationItems" : [ { "id" : "ITEM-1", "itemData" : { "DOI" : "10.1016/0003-2670(93)80373-S", "ISBN" : "0003-2670", "ISSN" : "00032670", "PMID" : "1378", "abstract" : "Light scattering (LS) has returned to the arsenal of analytical chemists with an impact scarcely imaginable a decade ago. Several important developments have restored this absolute measurement technique to its present status. The advent of HPSEC (high-performance size exclusion chromatography) and a variety of other techniques for macromolecular separation were of particular significance in stimulating the application of low angle laser light scattering (LALLS) for the determination of polymer molecular weights, their averages, and their distributions. However, it has been the more recent introduction of on-line scattering measurements over a broad range of scattering angles (differential LS) that has permitted many important deductions of light scattering theory to be extracted and applied for the first time. These include determination of the mean square radius and its various averages, molecular conformation and structure, branching ratios, better characterizations of co-polymers, as well as those polymers soluble only at high temperatures. In addition, some instrumental broadening effects now may be measured directly. Tremendous advances in personal computers, together with flexible and versatile data collection and processing software, have played significant roles as well. This paper summarizes the theoretical basis of the measurements and presents some examples of the application of this theory for the deduction of molecular parameters from unfractionated polymer solutions. In passing, the operating principles of differential refractive index detectors (the most important and commonly used detection system for HPSEC) are described, as well as their importance to differential LS measurements. The general operating characteristics of modern LS detectors/photometers with their associated software and, most importantly, the combination of on-line LS detection and HPSEC separation is discussed with numerous examples of its analytical capabilities. ?? 1993.", "author" : [ { "dropping-particle" : "", "family" : "Wyatt", "given" : "Philip J.", "non-dropping-particle" : "", "parse-names" : false, "suffix" : "" } ], "container-title" : "Analytica Chimica Acta", "id" : "ITEM-1", "issue" : "1", "issued" : { "date-parts" : [ [ "1993" ] ] }, "page" : "1-40", "title" : "Light scattering and the absolute characterization of macromolecules", "type" : "article-journal", "volume" : "272" }, "uris" : [ "http://www.mendeley.com/documents/?uuid=d66b18a1-3cdb-486c-8245-6b3870da9782" ] } ], "mendeley" : { "formattedCitation" : "(Wyatt, 1993)", "plainTextFormattedCitation" : "(Wyatt, 1993)", "previouslyFormattedCitation" : "(Wyatt, 1993)" }, "properties" : { "noteIndex" : 0 }, "schema" : "https://github.com/citation-style-language/schema/raw/master/csl-citation.json" }</w:instrText>
      </w:r>
      <w:r w:rsidR="00A754C9">
        <w:fldChar w:fldCharType="separate"/>
      </w:r>
      <w:r w:rsidR="003915CC" w:rsidRPr="003915CC">
        <w:rPr>
          <w:noProof/>
        </w:rPr>
        <w:t>(Wyatt, 1993)</w:t>
      </w:r>
      <w:r w:rsidR="00A754C9">
        <w:fldChar w:fldCharType="end"/>
      </w:r>
      <w:r w:rsidR="000A6C4E">
        <w:t>. A gel filtration marker k</w:t>
      </w:r>
      <w:r w:rsidR="00CE1713" w:rsidRPr="002C4A55">
        <w:t xml:space="preserve">it </w:t>
      </w:r>
      <w:r w:rsidR="000A6C4E">
        <w:t>(29 -700 k</w:t>
      </w:r>
      <w:r w:rsidR="00CE1713">
        <w:t>Da</w:t>
      </w:r>
      <w:r w:rsidR="000A6C4E">
        <w:t xml:space="preserve"> range)</w:t>
      </w:r>
      <w:r w:rsidR="00CE1713">
        <w:t xml:space="preserve"> from Sigma-Aldrich</w:t>
      </w:r>
      <w:r w:rsidR="00CE1713" w:rsidRPr="002C4A55">
        <w:t xml:space="preserve"> was used to </w:t>
      </w:r>
      <w:r w:rsidR="0042655F">
        <w:t>confirm accuracy of the measured masses</w:t>
      </w:r>
      <w:r w:rsidR="00CE1713" w:rsidRPr="002C4A55">
        <w:t>.</w:t>
      </w:r>
    </w:p>
    <w:p w14:paraId="1098D4ED" w14:textId="5766BF12" w:rsidR="00CE1713" w:rsidRPr="002C4A55" w:rsidRDefault="00F51437" w:rsidP="006470CE">
      <w:pPr>
        <w:jc w:val="both"/>
      </w:pPr>
      <w:r w:rsidRPr="00F51437">
        <w:rPr>
          <w:b/>
        </w:rPr>
        <w:t>AUC</w:t>
      </w:r>
      <w:r>
        <w:t>. P</w:t>
      </w:r>
      <w:r w:rsidR="00CE1713" w:rsidRPr="00F51437">
        <w:t xml:space="preserve">rotein samples were first dialysed </w:t>
      </w:r>
      <w:r>
        <w:t xml:space="preserve">against 100 mM NaCl, </w:t>
      </w:r>
      <w:r w:rsidR="00CE1713" w:rsidRPr="00F51437">
        <w:t xml:space="preserve">25 mM </w:t>
      </w:r>
      <w:r>
        <w:t>Tris-HCl (pH 7.5)</w:t>
      </w:r>
      <w:r w:rsidR="00CE1713" w:rsidRPr="00F51437">
        <w:t xml:space="preserve"> to remove </w:t>
      </w:r>
      <w:r w:rsidR="00CE1713" w:rsidRPr="002C4A55">
        <w:t xml:space="preserve">glycerol and DTT. AUC was performed using a Beckman Optima XL-I </w:t>
      </w:r>
      <w:r>
        <w:t xml:space="preserve">(AN-60 Ti rotor) fitted </w:t>
      </w:r>
      <w:r w:rsidR="00CE1713" w:rsidRPr="002C4A55">
        <w:t xml:space="preserve">with absorbance and interference </w:t>
      </w:r>
      <w:r>
        <w:t>optics</w:t>
      </w:r>
      <w:r w:rsidR="00CE1713" w:rsidRPr="002C4A55">
        <w:t xml:space="preserve">. Epon double-sector centrepieces were filled with 400 μL of sample solution or blank buffer and </w:t>
      </w:r>
      <w:r>
        <w:t>sedimented</w:t>
      </w:r>
      <w:r w:rsidR="00CE1713" w:rsidRPr="002C4A55">
        <w:t xml:space="preserve"> at 29160</w:t>
      </w:r>
      <w:r w:rsidR="00881214">
        <w:t xml:space="preserve"> </w:t>
      </w:r>
      <w:r>
        <w:sym w:font="Symbol" w:char="F0B4"/>
      </w:r>
      <w:r>
        <w:t xml:space="preserve"> </w:t>
      </w:r>
      <w:r w:rsidRPr="00334B43">
        <w:rPr>
          <w:i/>
        </w:rPr>
        <w:t>g</w:t>
      </w:r>
      <w:r w:rsidR="00CE1713" w:rsidRPr="002C4A55">
        <w:t xml:space="preserve"> for 24</w:t>
      </w:r>
      <w:r>
        <w:t xml:space="preserve"> </w:t>
      </w:r>
      <w:r w:rsidR="00CE1713" w:rsidRPr="002C4A55">
        <w:t xml:space="preserve">h at 20°C. Absorbance data were acquired at </w:t>
      </w:r>
      <w:r w:rsidRPr="00F51437">
        <w:rPr>
          <w:rFonts w:ascii="Symbol" w:hAnsi="Symbol"/>
        </w:rPr>
        <w:t></w:t>
      </w:r>
      <w:r>
        <w:t xml:space="preserve"> = </w:t>
      </w:r>
      <w:r w:rsidR="00CE1713" w:rsidRPr="002C4A55">
        <w:t>280</w:t>
      </w:r>
      <w:r>
        <w:t>nm with</w:t>
      </w:r>
      <w:r w:rsidR="00CE1713" w:rsidRPr="002C4A55">
        <w:t xml:space="preserve"> time intervals of 2 min; interference scans were taken </w:t>
      </w:r>
      <w:r>
        <w:t>with</w:t>
      </w:r>
      <w:r w:rsidR="00CE1713" w:rsidRPr="002C4A55">
        <w:t xml:space="preserve"> time intervals of 1 min. Buffer viscosity, protein partial specific volumes and frictional ratios were calculated </w:t>
      </w:r>
      <w:r>
        <w:t>using</w:t>
      </w:r>
      <w:r w:rsidR="00CE1713" w:rsidRPr="002C4A55">
        <w:t xml:space="preserve"> SEDNTERP</w:t>
      </w:r>
      <w:r w:rsidR="00796174">
        <w:t xml:space="preserve"> </w:t>
      </w:r>
      <w:r w:rsidR="00A754C9">
        <w:fldChar w:fldCharType="begin" w:fldLock="1"/>
      </w:r>
      <w:r w:rsidR="003915CC">
        <w:instrText>ADDIN CSL_CITATION { "citationItems" : [ { "id" : "ITEM-1", "itemData" : { "author" : [ { "dropping-particle" : "", "family" : "Hayes", "given" : "D", "non-dropping-particle" : "", "parse-names" : false, "suffix" : "" }, { "dropping-particle" : "", "family" : "Laue", "given" : "T", "non-dropping-particle" : "", "parse-names" : false, "suffix" : "" }, { "dropping-particle" : "", "family" : "Philo", "given" : "J", "non-dropping-particle" : "", "parse-names" : false, "suffix" : "" } ], "id" : "ITEM-1", "issued" : { "date-parts" : [ [ "1995" ] ] }, "page" : "1995", "title" : "Program Sednterp: sedimentation interpretation program", "type" : "article" }, "uris" : [ "http://www.mendeley.com/documents/?uuid=48421490-6310-4da3-9bdd-1f25a9da15b4" ] } ], "mendeley" : { "formattedCitation" : "(Hayes, Laue, &amp; Philo, 1995)", "plainTextFormattedCitation" : "(Hayes, Laue, &amp; Philo, 1995)", "previouslyFormattedCitation" : "(Hayes, Laue, &amp; Philo, 1995)" }, "properties" : { "noteIndex" : 0 }, "schema" : "https://github.com/citation-style-language/schema/raw/master/csl-citation.json" }</w:instrText>
      </w:r>
      <w:r w:rsidR="00A754C9">
        <w:fldChar w:fldCharType="separate"/>
      </w:r>
      <w:r w:rsidR="003915CC" w:rsidRPr="003915CC">
        <w:rPr>
          <w:noProof/>
        </w:rPr>
        <w:t>(Hayes, Laue, &amp; Philo, 1995)</w:t>
      </w:r>
      <w:r w:rsidR="00A754C9">
        <w:fldChar w:fldCharType="end"/>
      </w:r>
      <w:r w:rsidR="00CE1713" w:rsidRPr="002C4A55">
        <w:t>. Data were analysed using SEDFIT</w:t>
      </w:r>
      <w:r w:rsidR="00796174">
        <w:t xml:space="preserve"> </w:t>
      </w:r>
      <w:r w:rsidR="00A754C9">
        <w:fldChar w:fldCharType="begin" w:fldLock="1"/>
      </w:r>
      <w:r w:rsidR="003915CC">
        <w:instrText>ADDIN CSL_CITATION { "citationItems" : [ { "id" : "ITEM-1", "itemData" : { "DOI" : "10.1002/0471140864.ps2012s71", "abstract" : "Significant progress in the interpretation of analytical ultracentrifugation (AUC) data in the last decade has led to profound changes in the practice of AUC, both for sedimentation velocity (SV) and sedimentation equilibrium (SE). Modern computational strategies have allowed for the direct modeling of the sedimentation process of heterogeneous mixtures, resulting in SV size-distribution analyses with significantly improved detection limits and strongly enhanced resolution. These advances have transformed the practice of SV, rendering it the primary method of choice for most existing applications of AUC, such as the study of protein self-and hetero-association, the study of membrane proteins, and applications in biotechnology. New global multi-signal modeling and mass conservation approaches in SV and SE, in conjunction with the effective-particle framework for interpreting the sedimentation boundary structure of interacting systems, as well as tools for explicit modeling of the reaction/diffusion/sedimentation equations to experimental data, have led to more robust and more powerful strategies for the study of reversible Internet Resources There are abundant resources available on the internet covering software, detailed experimental step-by-step protocols, video instructions, and discussion forums. The following is only a small subset facilitating the application of the methods described in the present Unit. General practical tools to help designing AUC experiments can be found at https://sedfitsedphat.nibib.nih.gov/tools/Protocols/Forms/ AllItems.aspx, including detailed step-by-step protocols for conducting SE and SV experiments, a table with criteria for buffer selection, a grid for SV run conditions with different optical systems, instructions for radial calibration of the interference system, and a tutorial for the test for equilibrium. A video showing the assembly of cells can be found at", "author" : [ { "dropping-particle" : "", "family" : "Zhao", "given" : "Huaying", "non-dropping-particle" : "", "parse-names" : false, "suffix" : "" }, { "dropping-particle" : "", "family" : "Brautigam", "given" : "Chad A", "non-dropping-particle" : "", "parse-names" : false, "suffix" : "" }, { "dropping-particle" : "", "family" : "Ghirlando", "given" : "Rodolfo", "non-dropping-particle" : "", "parse-names" : false, "suffix" : "" }, { "dropping-particle" : "", "family" : "Schuck", "given" : "Peter", "non-dropping-particle" : "", "parse-names" : false, "suffix" : "" } ], "container-title" : "Current Protocols in Protein Science", "id" : "ITEM-1", "issued" : { "date-parts" : [ [ "2013" ] ] }, "title" : "Current methods in sedimentation velocity and sedimentation equilibrium analytical ultracentrifugation", "type" : "article-journal" }, "uris" : [ "http://www.mendeley.com/documents/?uuid=7f010a39-89f5-3962-a5cd-b3d38420401c" ] } ], "mendeley" : { "formattedCitation" : "(Zhao, Brautigam, Ghirlando, &amp; Schuck, 2013)", "plainTextFormattedCitation" : "(Zhao, Brautigam, Ghirlando, &amp; Schuck, 2013)", "previouslyFormattedCitation" : "(Zhao, Brautigam, Ghirlando, &amp; Schuck, 2013)" }, "properties" : { "noteIndex" : 0 }, "schema" : "https://github.com/citation-style-language/schema/raw/master/csl-citation.json" }</w:instrText>
      </w:r>
      <w:r w:rsidR="00A754C9">
        <w:fldChar w:fldCharType="separate"/>
      </w:r>
      <w:r w:rsidR="003915CC" w:rsidRPr="003915CC">
        <w:rPr>
          <w:noProof/>
        </w:rPr>
        <w:t>(Zhao, Brautigam, Ghirlando, &amp; Schuck, 2013)</w:t>
      </w:r>
      <w:r w:rsidR="00A754C9">
        <w:fldChar w:fldCharType="end"/>
      </w:r>
      <w:r w:rsidR="00CE1713" w:rsidRPr="002C4A55">
        <w:t>.</w:t>
      </w:r>
    </w:p>
    <w:p w14:paraId="522D3BB9" w14:textId="77777777" w:rsidR="00CE1713" w:rsidRPr="002C4A55" w:rsidRDefault="00F51437" w:rsidP="00FB3137">
      <w:pPr>
        <w:jc w:val="both"/>
        <w:outlineLvl w:val="0"/>
        <w:rPr>
          <w:b/>
        </w:rPr>
      </w:pPr>
      <w:r>
        <w:rPr>
          <w:b/>
        </w:rPr>
        <w:t>Enzyme k</w:t>
      </w:r>
      <w:r w:rsidR="00CE1713" w:rsidRPr="002C4A55">
        <w:rPr>
          <w:b/>
        </w:rPr>
        <w:t>inetic measurements</w:t>
      </w:r>
    </w:p>
    <w:p w14:paraId="2C5907D1" w14:textId="77777777" w:rsidR="00CE1713" w:rsidRDefault="00DB0115" w:rsidP="006470CE">
      <w:pPr>
        <w:jc w:val="both"/>
      </w:pPr>
      <w:r>
        <w:t xml:space="preserve">Kinetic analyses of </w:t>
      </w:r>
      <w:r w:rsidR="00CE1713" w:rsidRPr="00A74E96">
        <w:t xml:space="preserve">ICL were </w:t>
      </w:r>
      <w:r>
        <w:t>carried out</w:t>
      </w:r>
      <w:r w:rsidR="00CE1713" w:rsidRPr="00A74E96">
        <w:t xml:space="preserve"> using two types of assay. In the </w:t>
      </w:r>
      <w:r>
        <w:t>“</w:t>
      </w:r>
      <w:r w:rsidR="00CE1713" w:rsidRPr="00A74E96">
        <w:t>direct assay</w:t>
      </w:r>
      <w:r>
        <w:t>”</w:t>
      </w:r>
      <w:r w:rsidR="00CE1713" w:rsidRPr="00A74E96">
        <w:t xml:space="preserve">, the enzyme </w:t>
      </w:r>
      <w:r w:rsidR="00CE1713" w:rsidRPr="00DD004A">
        <w:t>was incubated in 25 mM imidazole, 5 mM MgCl</w:t>
      </w:r>
      <w:r w:rsidR="00CE1713" w:rsidRPr="00DD004A">
        <w:rPr>
          <w:vertAlign w:val="subscript"/>
        </w:rPr>
        <w:t>2</w:t>
      </w:r>
      <w:r w:rsidR="00CE1713" w:rsidRPr="00DD004A">
        <w:t xml:space="preserve">, 1 mM EDTA, 4 mM phenylhydrazine </w:t>
      </w:r>
      <w:r w:rsidRPr="00DD004A">
        <w:t xml:space="preserve">(pH 6.8) </w:t>
      </w:r>
      <w:r w:rsidR="00DD004A">
        <w:t xml:space="preserve">with </w:t>
      </w:r>
      <w:r w:rsidR="00CE1713" w:rsidRPr="00A74E96">
        <w:t xml:space="preserve">a range of substrate </w:t>
      </w:r>
      <w:r w:rsidR="00DD004A">
        <w:t xml:space="preserve">concentrations </w:t>
      </w:r>
      <w:r w:rsidR="006635EC">
        <w:t xml:space="preserve">(0 to 600 µM). </w:t>
      </w:r>
      <w:r w:rsidR="00BD0105">
        <w:t>T</w:t>
      </w:r>
      <w:r w:rsidR="006635EC">
        <w:t xml:space="preserve">he </w:t>
      </w:r>
      <w:r w:rsidR="00BD0105">
        <w:t>resulting glyoxylate-phenylhydrazone</w:t>
      </w:r>
      <w:r w:rsidR="006635EC" w:rsidRPr="00A74E96">
        <w:t xml:space="preserve"> </w:t>
      </w:r>
      <w:r w:rsidR="006635EC">
        <w:t>(</w:t>
      </w:r>
      <w:r w:rsidR="006635EC" w:rsidRPr="002C4A55">
        <w:t>ε</w:t>
      </w:r>
      <w:r w:rsidR="006635EC" w:rsidRPr="002C4A55">
        <w:rPr>
          <w:vertAlign w:val="subscript"/>
        </w:rPr>
        <w:t>calc</w:t>
      </w:r>
      <w:r w:rsidR="006635EC" w:rsidRPr="002C4A55">
        <w:t xml:space="preserve"> =</w:t>
      </w:r>
      <w:r w:rsidR="006635EC">
        <w:t xml:space="preserve"> 16,800 M</w:t>
      </w:r>
      <w:r w:rsidR="006635EC" w:rsidRPr="00A74E96">
        <w:rPr>
          <w:vertAlign w:val="superscript"/>
        </w:rPr>
        <w:t>-1</w:t>
      </w:r>
      <w:r w:rsidR="006635EC">
        <w:t xml:space="preserve"> cm</w:t>
      </w:r>
      <w:r w:rsidR="006635EC" w:rsidRPr="00A74E96">
        <w:rPr>
          <w:vertAlign w:val="superscript"/>
        </w:rPr>
        <w:t>-1</w:t>
      </w:r>
      <w:r w:rsidR="006635EC">
        <w:t>)</w:t>
      </w:r>
      <w:r w:rsidR="00DD004A">
        <w:t xml:space="preserve"> was measured spectrophotometrically at</w:t>
      </w:r>
      <w:r w:rsidR="00CE1713" w:rsidRPr="00A74E96">
        <w:t xml:space="preserve"> </w:t>
      </w:r>
      <w:r w:rsidR="00DD004A" w:rsidRPr="00DD004A">
        <w:rPr>
          <w:rFonts w:ascii="Symbol" w:hAnsi="Symbol"/>
        </w:rPr>
        <w:t></w:t>
      </w:r>
      <w:r w:rsidR="00DD004A">
        <w:t xml:space="preserve"> = </w:t>
      </w:r>
      <w:r w:rsidR="00CE1713" w:rsidRPr="00A74E96">
        <w:t xml:space="preserve">324 nm. In the </w:t>
      </w:r>
      <w:r w:rsidR="006635EC">
        <w:t>“</w:t>
      </w:r>
      <w:r w:rsidR="00CE1713" w:rsidRPr="00A74E96">
        <w:t>coupled assay</w:t>
      </w:r>
      <w:r w:rsidR="006635EC">
        <w:t>”</w:t>
      </w:r>
      <w:r w:rsidR="00CE1713" w:rsidRPr="00A74E96">
        <w:t xml:space="preserve">, the enzyme was incubated </w:t>
      </w:r>
      <w:r w:rsidR="006635EC">
        <w:t>in</w:t>
      </w:r>
      <w:r w:rsidR="00CE1713" w:rsidRPr="00A74E96">
        <w:t xml:space="preserve"> 50 mM MOPS-NaOH, 15 mM MgCl</w:t>
      </w:r>
      <w:r w:rsidR="00CE1713" w:rsidRPr="00A74E96">
        <w:rPr>
          <w:vertAlign w:val="subscript"/>
        </w:rPr>
        <w:t>2</w:t>
      </w:r>
      <w:r w:rsidR="00CE1713" w:rsidRPr="00A74E96">
        <w:t xml:space="preserve">, </w:t>
      </w:r>
      <w:r w:rsidR="00CE1713">
        <w:t>5 mM DTT, 1 mM EDTA</w:t>
      </w:r>
      <w:r w:rsidR="006635EC">
        <w:t xml:space="preserve"> (pH 7.3) containing</w:t>
      </w:r>
      <w:r w:rsidR="00CE1713">
        <w:t xml:space="preserve"> 400 µM NAD</w:t>
      </w:r>
      <w:r w:rsidR="00CE1713" w:rsidRPr="00FE25F6">
        <w:rPr>
          <w:vertAlign w:val="superscript"/>
        </w:rPr>
        <w:t>+</w:t>
      </w:r>
      <w:r w:rsidR="00CE1713" w:rsidRPr="00A74E96">
        <w:t xml:space="preserve"> and 60 U of </w:t>
      </w:r>
      <w:r w:rsidR="006635EC">
        <w:t>lactate dehydrogenase (LDH)</w:t>
      </w:r>
      <w:r w:rsidR="00CE1713">
        <w:t xml:space="preserve"> from pig heart</w:t>
      </w:r>
      <w:r w:rsidR="00CE1713" w:rsidRPr="00A74E96">
        <w:t xml:space="preserve">. </w:t>
      </w:r>
      <w:r w:rsidR="006635EC">
        <w:t>The r</w:t>
      </w:r>
      <w:r w:rsidR="00CE1713">
        <w:t xml:space="preserve">eduction </w:t>
      </w:r>
      <w:r w:rsidR="006635EC">
        <w:t>of NAD</w:t>
      </w:r>
      <w:r w:rsidR="006635EC" w:rsidRPr="006635EC">
        <w:rPr>
          <w:vertAlign w:val="superscript"/>
        </w:rPr>
        <w:t>+</w:t>
      </w:r>
      <w:r w:rsidR="006635EC">
        <w:t xml:space="preserve"> </w:t>
      </w:r>
      <w:r w:rsidR="00CE1713">
        <w:t>to NADH (</w:t>
      </w:r>
      <w:r w:rsidR="00CE1713" w:rsidRPr="002C4A55">
        <w:t>ε</w:t>
      </w:r>
      <w:r w:rsidR="00CE1713" w:rsidRPr="002C4A55">
        <w:rPr>
          <w:vertAlign w:val="subscript"/>
        </w:rPr>
        <w:t>calc</w:t>
      </w:r>
      <w:r w:rsidR="00CE1713" w:rsidRPr="002C4A55">
        <w:t xml:space="preserve"> =</w:t>
      </w:r>
      <w:r w:rsidR="00CE1713">
        <w:t xml:space="preserve"> 6220 M</w:t>
      </w:r>
      <w:r w:rsidR="00CE1713" w:rsidRPr="00A74E96">
        <w:rPr>
          <w:vertAlign w:val="superscript"/>
        </w:rPr>
        <w:t>-1</w:t>
      </w:r>
      <w:r w:rsidR="00CE1713">
        <w:t>cm</w:t>
      </w:r>
      <w:r w:rsidR="00CE1713" w:rsidRPr="00A74E96">
        <w:rPr>
          <w:vertAlign w:val="superscript"/>
        </w:rPr>
        <w:t>-1</w:t>
      </w:r>
      <w:r w:rsidR="00CE1713">
        <w:t>)</w:t>
      </w:r>
      <w:r w:rsidR="006635EC">
        <w:t xml:space="preserve"> was measured spectrophotometrically at 340nm</w:t>
      </w:r>
      <w:r w:rsidR="00CE1713" w:rsidRPr="00A74E96">
        <w:t xml:space="preserve">. </w:t>
      </w:r>
      <w:r w:rsidR="006635EC">
        <w:t xml:space="preserve">All assays were carried out </w:t>
      </w:r>
      <w:r w:rsidR="00CE1713" w:rsidRPr="00A74E96">
        <w:t>at 37°C.</w:t>
      </w:r>
    </w:p>
    <w:p w14:paraId="6E8DAE12" w14:textId="77777777" w:rsidR="00BD0105" w:rsidRDefault="00BD0105" w:rsidP="006470CE">
      <w:pPr>
        <w:jc w:val="both"/>
      </w:pPr>
      <w:r>
        <w:t xml:space="preserve">The enzyme activity of </w:t>
      </w:r>
      <w:r w:rsidR="00CE1713" w:rsidRPr="00AD7860">
        <w:t xml:space="preserve">IDH and ICD were </w:t>
      </w:r>
      <w:r>
        <w:t>measured</w:t>
      </w:r>
      <w:r w:rsidR="00CE1713" w:rsidRPr="00AD7860">
        <w:t xml:space="preserve"> using the same assay. The enzyme was incubated in 50 mM </w:t>
      </w:r>
      <w:r>
        <w:t xml:space="preserve">Tris-HCl, </w:t>
      </w:r>
      <w:r w:rsidR="00CE1713" w:rsidRPr="00AD7860">
        <w:t>5 mM MgCl</w:t>
      </w:r>
      <w:r w:rsidR="00CE1713" w:rsidRPr="00AD7860">
        <w:rPr>
          <w:vertAlign w:val="subscript"/>
        </w:rPr>
        <w:t>2</w:t>
      </w:r>
      <w:r w:rsidR="00CE1713" w:rsidRPr="00AD7860">
        <w:t xml:space="preserve"> </w:t>
      </w:r>
      <w:r>
        <w:t>(pH 7.5)</w:t>
      </w:r>
      <w:r w:rsidR="00CE1713" w:rsidRPr="00AD7860">
        <w:t>. T</w:t>
      </w:r>
      <w:r>
        <w:t>o measure the K</w:t>
      </w:r>
      <w:r w:rsidRPr="00BD0105">
        <w:rPr>
          <w:vertAlign w:val="subscript"/>
        </w:rPr>
        <w:t>M</w:t>
      </w:r>
      <w:r>
        <w:t xml:space="preserve"> value for </w:t>
      </w:r>
      <w:r w:rsidRPr="00BD0105">
        <w:rPr>
          <w:i/>
        </w:rPr>
        <w:t>iso</w:t>
      </w:r>
      <w:r>
        <w:t xml:space="preserve">citrate, </w:t>
      </w:r>
      <w:r w:rsidR="00CE1713" w:rsidRPr="00AD7860">
        <w:t xml:space="preserve">initial rates were measured across a range of </w:t>
      </w:r>
      <w:r w:rsidR="00881214">
        <w:t xml:space="preserve">(+)-potassium </w:t>
      </w:r>
      <w:r w:rsidR="00881214" w:rsidRPr="00BD0105">
        <w:rPr>
          <w:sz w:val="18"/>
          <w:szCs w:val="18"/>
        </w:rPr>
        <w:t>D</w:t>
      </w:r>
      <w:r w:rsidR="00CE1713" w:rsidRPr="00AD7860">
        <w:t>-</w:t>
      </w:r>
      <w:r w:rsidR="00CE1713" w:rsidRPr="00881214">
        <w:rPr>
          <w:i/>
        </w:rPr>
        <w:t>threo</w:t>
      </w:r>
      <w:r w:rsidR="00CE1713" w:rsidRPr="00AD7860">
        <w:t>-</w:t>
      </w:r>
      <w:r w:rsidR="00CE1713" w:rsidRPr="00881214">
        <w:rPr>
          <w:i/>
        </w:rPr>
        <w:t>iso</w:t>
      </w:r>
      <w:r w:rsidR="00CE1713" w:rsidRPr="00AD7860">
        <w:t xml:space="preserve">citrate </w:t>
      </w:r>
      <w:r>
        <w:t xml:space="preserve">concentrations </w:t>
      </w:r>
      <w:r w:rsidR="00CE1713" w:rsidRPr="00AD7860">
        <w:t xml:space="preserve">(0 to 600 µM) </w:t>
      </w:r>
      <w:r>
        <w:t>with</w:t>
      </w:r>
      <w:r w:rsidR="00CE1713" w:rsidRPr="00AD7860">
        <w:t xml:space="preserve"> a </w:t>
      </w:r>
      <w:r>
        <w:t>fixed</w:t>
      </w:r>
      <w:r w:rsidR="00CE1713" w:rsidRPr="00AD7860">
        <w:t xml:space="preserve"> concentration of NADP</w:t>
      </w:r>
      <w:r w:rsidR="00CE1713" w:rsidRPr="00AD7860">
        <w:rPr>
          <w:vertAlign w:val="superscript"/>
        </w:rPr>
        <w:t>+</w:t>
      </w:r>
      <w:r>
        <w:t xml:space="preserve"> (</w:t>
      </w:r>
      <w:r w:rsidRPr="00AD7860">
        <w:t>200 µM</w:t>
      </w:r>
      <w:r>
        <w:t xml:space="preserve">). </w:t>
      </w:r>
      <w:r w:rsidRPr="00AD7860">
        <w:t>T</w:t>
      </w:r>
      <w:r>
        <w:t>o measure the K</w:t>
      </w:r>
      <w:r w:rsidRPr="00BD0105">
        <w:rPr>
          <w:vertAlign w:val="subscript"/>
        </w:rPr>
        <w:t>M</w:t>
      </w:r>
      <w:r>
        <w:t xml:space="preserve"> value for </w:t>
      </w:r>
      <w:r w:rsidRPr="00AD7860">
        <w:t>NADP</w:t>
      </w:r>
      <w:r w:rsidRPr="00AD7860">
        <w:rPr>
          <w:vertAlign w:val="superscript"/>
        </w:rPr>
        <w:t>+</w:t>
      </w:r>
      <w:r>
        <w:t xml:space="preserve">, </w:t>
      </w:r>
      <w:r w:rsidRPr="00AD7860">
        <w:t xml:space="preserve">initial rates </w:t>
      </w:r>
      <w:r>
        <w:t>were measured</w:t>
      </w:r>
      <w:r w:rsidR="00CE1713" w:rsidRPr="00AD7860">
        <w:t xml:space="preserve"> across a range of NADP</w:t>
      </w:r>
      <w:r w:rsidR="00CE1713" w:rsidRPr="00AD7860">
        <w:rPr>
          <w:vertAlign w:val="superscript"/>
        </w:rPr>
        <w:t>+</w:t>
      </w:r>
      <w:r w:rsidR="00CE1713" w:rsidRPr="00AD7860">
        <w:t xml:space="preserve"> </w:t>
      </w:r>
      <w:r>
        <w:t xml:space="preserve">concentrations </w:t>
      </w:r>
      <w:r w:rsidR="00CE1713" w:rsidRPr="00AD7860">
        <w:t xml:space="preserve">(0 to 600 µM) at a </w:t>
      </w:r>
      <w:r>
        <w:t>fixed</w:t>
      </w:r>
      <w:r w:rsidR="00CE1713" w:rsidRPr="00AD7860">
        <w:t xml:space="preserve"> concentration of </w:t>
      </w:r>
      <w:r w:rsidRPr="00BD0105">
        <w:rPr>
          <w:i/>
        </w:rPr>
        <w:t>iso</w:t>
      </w:r>
      <w:r>
        <w:t>citrate (</w:t>
      </w:r>
      <w:r w:rsidRPr="00AD7860">
        <w:t>200 µM</w:t>
      </w:r>
      <w:r>
        <w:t>)</w:t>
      </w:r>
      <w:r w:rsidR="00CE1713" w:rsidRPr="00AD7860">
        <w:t xml:space="preserve">. NADPH formation </w:t>
      </w:r>
      <w:r>
        <w:t>was recorded spectrophotometrically</w:t>
      </w:r>
      <w:r w:rsidR="00CE1713" w:rsidRPr="00AD7860">
        <w:t xml:space="preserve"> at </w:t>
      </w:r>
      <w:r w:rsidRPr="00BD0105">
        <w:rPr>
          <w:rFonts w:ascii="Symbol" w:hAnsi="Symbol"/>
        </w:rPr>
        <w:t></w:t>
      </w:r>
      <w:r>
        <w:t xml:space="preserve"> = </w:t>
      </w:r>
      <w:r w:rsidR="00CE1713" w:rsidRPr="00AD7860">
        <w:t>340 nm</w:t>
      </w:r>
      <w:r w:rsidR="00CE1713">
        <w:t xml:space="preserve"> (</w:t>
      </w:r>
      <w:r w:rsidR="00CE1713" w:rsidRPr="002C4A55">
        <w:t>ε</w:t>
      </w:r>
      <w:r w:rsidR="00CE1713" w:rsidRPr="002C4A55">
        <w:rPr>
          <w:vertAlign w:val="subscript"/>
        </w:rPr>
        <w:t>calc</w:t>
      </w:r>
      <w:r w:rsidR="00CE1713" w:rsidRPr="002C4A55">
        <w:t xml:space="preserve"> =</w:t>
      </w:r>
      <w:r w:rsidR="00CE1713">
        <w:t xml:space="preserve"> 6220 M</w:t>
      </w:r>
      <w:r w:rsidR="00CE1713" w:rsidRPr="00A74E96">
        <w:rPr>
          <w:vertAlign w:val="superscript"/>
        </w:rPr>
        <w:t>-1</w:t>
      </w:r>
      <w:r w:rsidR="00CE1713">
        <w:t>cm</w:t>
      </w:r>
      <w:r w:rsidR="00CE1713" w:rsidRPr="00A74E96">
        <w:rPr>
          <w:vertAlign w:val="superscript"/>
        </w:rPr>
        <w:t>-1</w:t>
      </w:r>
      <w:r w:rsidR="00CE1713">
        <w:t>).</w:t>
      </w:r>
      <w:r w:rsidRPr="00BD0105">
        <w:t xml:space="preserve"> </w:t>
      </w:r>
      <w:r>
        <w:t xml:space="preserve">All assays were carried out </w:t>
      </w:r>
      <w:r w:rsidRPr="00A74E96">
        <w:t>at 37°C.</w:t>
      </w:r>
      <w:r w:rsidR="00CE1713">
        <w:t xml:space="preserve"> </w:t>
      </w:r>
    </w:p>
    <w:p w14:paraId="4C5BDDE0" w14:textId="77777777" w:rsidR="00965306" w:rsidRDefault="00836FB0" w:rsidP="006470CE">
      <w:pPr>
        <w:jc w:val="both"/>
      </w:pPr>
      <w:r w:rsidRPr="00995FFE">
        <w:t>AceK</w:t>
      </w:r>
      <w:r w:rsidR="002B78C3" w:rsidRPr="00995FFE">
        <w:rPr>
          <w:vertAlign w:val="subscript"/>
        </w:rPr>
        <w:t>EC</w:t>
      </w:r>
      <w:r w:rsidR="002B78C3" w:rsidRPr="00995FFE">
        <w:t xml:space="preserve"> and AceK</w:t>
      </w:r>
      <w:r w:rsidR="002B78C3" w:rsidRPr="00995FFE">
        <w:rPr>
          <w:vertAlign w:val="subscript"/>
        </w:rPr>
        <w:t>PA</w:t>
      </w:r>
      <w:r w:rsidRPr="00995FFE">
        <w:t xml:space="preserve"> kinase</w:t>
      </w:r>
      <w:r w:rsidR="00C53178" w:rsidRPr="00995FFE">
        <w:t>/phosphatase</w:t>
      </w:r>
      <w:r w:rsidRPr="00995FFE">
        <w:t xml:space="preserve"> activity </w:t>
      </w:r>
      <w:r w:rsidR="008537F1" w:rsidRPr="00995FFE">
        <w:t>was</w:t>
      </w:r>
      <w:r w:rsidRPr="00995FFE">
        <w:t xml:space="preserve"> assayed by coupling AceK activity to ICD activity</w:t>
      </w:r>
      <w:r>
        <w:t xml:space="preserve"> as described </w:t>
      </w:r>
      <w:r w:rsidR="00467FF9">
        <w:t>previously</w:t>
      </w:r>
      <w:r w:rsidR="00E20639" w:rsidRPr="00E20639">
        <w:rPr>
          <w:vertAlign w:val="superscript"/>
        </w:rPr>
        <w:t>33</w:t>
      </w:r>
      <w:r w:rsidR="00995FFE">
        <w:t xml:space="preserve"> with the following modifications.</w:t>
      </w:r>
      <w:r>
        <w:t xml:space="preserve"> In a 96-well</w:t>
      </w:r>
      <w:r w:rsidR="001F1F97">
        <w:t xml:space="preserve"> </w:t>
      </w:r>
      <w:r>
        <w:t xml:space="preserve">plate, </w:t>
      </w:r>
      <w:r w:rsidR="006C31FB">
        <w:t>180</w:t>
      </w:r>
      <w:r>
        <w:t> </w:t>
      </w:r>
      <w:r w:rsidR="00995FFE">
        <w:t>μL</w:t>
      </w:r>
      <w:r>
        <w:t xml:space="preserve"> of phosphorylation reaction </w:t>
      </w:r>
      <w:r w:rsidR="00995FFE">
        <w:t>mixture</w:t>
      </w:r>
      <w:r>
        <w:t xml:space="preserve"> </w:t>
      </w:r>
      <w:r w:rsidR="00995FFE">
        <w:t>(</w:t>
      </w:r>
      <w:r w:rsidR="00345C3F">
        <w:t>10</w:t>
      </w:r>
      <w:r>
        <w:t xml:space="preserve">0 mM </w:t>
      </w:r>
      <w:r w:rsidR="00345C3F">
        <w:t>Tris-HCl</w:t>
      </w:r>
      <w:r>
        <w:t>, 1 mM ATP, 2 mM MgCl</w:t>
      </w:r>
      <w:r w:rsidRPr="00805837">
        <w:rPr>
          <w:vertAlign w:val="subscript"/>
        </w:rPr>
        <w:t>2</w:t>
      </w:r>
      <w:r>
        <w:t>,</w:t>
      </w:r>
      <w:r w:rsidR="00995FFE">
        <w:t xml:space="preserve"> (pH 7.0) containing 10 μg ICD and 5 μg AceK) </w:t>
      </w:r>
      <w:r>
        <w:t>was incub</w:t>
      </w:r>
      <w:r w:rsidR="00995FFE">
        <w:t>ated in each well for 1 h at 37</w:t>
      </w:r>
      <w:r>
        <w:t xml:space="preserve">°C. </w:t>
      </w:r>
      <w:r w:rsidR="00995FFE">
        <w:t>Following this</w:t>
      </w:r>
      <w:r>
        <w:t xml:space="preserve">, </w:t>
      </w:r>
      <w:r w:rsidR="004E7878">
        <w:t xml:space="preserve">putative allosteric regulators were added to </w:t>
      </w:r>
      <w:r w:rsidR="009B37A3">
        <w:t>each</w:t>
      </w:r>
      <w:r w:rsidR="004E7878">
        <w:t xml:space="preserve"> reaction</w:t>
      </w:r>
      <w:r w:rsidR="00C13FA9">
        <w:t xml:space="preserve"> </w:t>
      </w:r>
      <w:r w:rsidR="00995FFE">
        <w:t xml:space="preserve">mixture to 5 mM final concentration. Each assay was carried out in triplicate. </w:t>
      </w:r>
      <w:r w:rsidR="003F3313">
        <w:t xml:space="preserve">The reactions were then re-incubated for a further </w:t>
      </w:r>
      <w:r w:rsidR="00995FFE">
        <w:t>30 min at 37</w:t>
      </w:r>
      <w:r w:rsidR="00384265">
        <w:t>°C</w:t>
      </w:r>
      <w:r w:rsidR="00575910">
        <w:t xml:space="preserve"> </w:t>
      </w:r>
      <w:r w:rsidR="00575910" w:rsidRPr="00575910">
        <w:t xml:space="preserve">to allow </w:t>
      </w:r>
      <w:r w:rsidR="00575910" w:rsidRPr="00995FFE">
        <w:t>dephosphorylation of ICD and reactivation of ICD kinase activity</w:t>
      </w:r>
      <w:r w:rsidR="0049040C" w:rsidRPr="00995FFE">
        <w:t xml:space="preserve">. </w:t>
      </w:r>
      <w:r w:rsidR="00995FFE">
        <w:t>Aliquots (20 μL)</w:t>
      </w:r>
      <w:r w:rsidRPr="00995FFE">
        <w:t xml:space="preserve"> of the reaction </w:t>
      </w:r>
      <w:r w:rsidR="00995FFE">
        <w:t>mixture</w:t>
      </w:r>
      <w:r w:rsidRPr="00995FFE">
        <w:t xml:space="preserve"> </w:t>
      </w:r>
      <w:r w:rsidR="00995FFE">
        <w:t>were</w:t>
      </w:r>
      <w:r w:rsidR="00630172">
        <w:t xml:space="preserve"> then</w:t>
      </w:r>
      <w:r>
        <w:t xml:space="preserve"> transferred to</w:t>
      </w:r>
      <w:r w:rsidR="00995FFE">
        <w:t xml:space="preserve"> a new </w:t>
      </w:r>
      <w:r w:rsidR="00A67D2B">
        <w:t xml:space="preserve">UV-clear </w:t>
      </w:r>
      <w:r w:rsidR="00995FFE">
        <w:t>96-</w:t>
      </w:r>
      <w:r w:rsidR="00D764CD">
        <w:t>well plate</w:t>
      </w:r>
      <w:r w:rsidR="00A67D2B">
        <w:t xml:space="preserve"> and 180 μL</w:t>
      </w:r>
      <w:r>
        <w:t xml:space="preserve"> of reduction solution consisting of </w:t>
      </w:r>
      <w:r w:rsidR="00901F38">
        <w:t>100 </w:t>
      </w:r>
      <w:r w:rsidR="00A67D2B">
        <w:t>mM Tris-HCl</w:t>
      </w:r>
      <w:r w:rsidR="00901F38">
        <w:t xml:space="preserve">, </w:t>
      </w:r>
      <w:r>
        <w:t xml:space="preserve">1 mM </w:t>
      </w:r>
      <w:r w:rsidRPr="00A67D2B">
        <w:rPr>
          <w:i/>
        </w:rPr>
        <w:t>threo</w:t>
      </w:r>
      <w:r>
        <w:t>-</w:t>
      </w:r>
      <w:r w:rsidRPr="00A67D2B">
        <w:rPr>
          <w:sz w:val="18"/>
          <w:szCs w:val="18"/>
        </w:rPr>
        <w:t>D</w:t>
      </w:r>
      <w:r>
        <w:t>,</w:t>
      </w:r>
      <w:r w:rsidRPr="00A67D2B">
        <w:rPr>
          <w:sz w:val="18"/>
          <w:szCs w:val="18"/>
        </w:rPr>
        <w:t>L</w:t>
      </w:r>
      <w:r>
        <w:t>-</w:t>
      </w:r>
      <w:r w:rsidRPr="00A67D2B">
        <w:rPr>
          <w:i/>
        </w:rPr>
        <w:t>iso</w:t>
      </w:r>
      <w:r>
        <w:t>citrate, 0.5 mM NADP</w:t>
      </w:r>
      <w:r w:rsidRPr="00A67D2B">
        <w:rPr>
          <w:vertAlign w:val="superscript"/>
        </w:rPr>
        <w:t>+</w:t>
      </w:r>
      <w:r>
        <w:t xml:space="preserve"> and 2 mM MnCl</w:t>
      </w:r>
      <w:r w:rsidRPr="009C162D">
        <w:rPr>
          <w:vertAlign w:val="subscript"/>
        </w:rPr>
        <w:t>2</w:t>
      </w:r>
      <w:r w:rsidR="00A50E57">
        <w:rPr>
          <w:vertAlign w:val="subscript"/>
        </w:rPr>
        <w:t xml:space="preserve"> </w:t>
      </w:r>
      <w:r w:rsidR="00A67D2B">
        <w:t>(pH 7.0) w</w:t>
      </w:r>
      <w:r w:rsidR="00A50E57">
        <w:t>as added to each well</w:t>
      </w:r>
      <w:r w:rsidRPr="00A67D2B">
        <w:t>. The activity of ICD</w:t>
      </w:r>
      <w:r>
        <w:t xml:space="preserve"> was detected spectrophotometrically by monitoring the </w:t>
      </w:r>
      <w:r w:rsidR="00A67D2B">
        <w:t xml:space="preserve">rate of </w:t>
      </w:r>
      <w:r>
        <w:t>reduction of NADP</w:t>
      </w:r>
      <w:r w:rsidRPr="00A67D2B">
        <w:rPr>
          <w:vertAlign w:val="superscript"/>
        </w:rPr>
        <w:t>+</w:t>
      </w:r>
      <w:r>
        <w:t xml:space="preserve"> at 340 nm using a</w:t>
      </w:r>
      <w:r w:rsidR="00CD1C1B">
        <w:t xml:space="preserve"> FLUOstar </w:t>
      </w:r>
      <w:r w:rsidR="0067666D">
        <w:t>Omega</w:t>
      </w:r>
      <w:r w:rsidR="00CD1C1B">
        <w:t xml:space="preserve"> plate reader (BMG Labtech)</w:t>
      </w:r>
      <w:r>
        <w:t>. As a control, ICD</w:t>
      </w:r>
      <w:r w:rsidR="00930062">
        <w:t xml:space="preserve"> </w:t>
      </w:r>
      <w:r>
        <w:t xml:space="preserve">alone was assayed for its </w:t>
      </w:r>
      <w:r w:rsidR="00A67D2B">
        <w:t>ability</w:t>
      </w:r>
      <w:r>
        <w:t xml:space="preserve"> </w:t>
      </w:r>
      <w:r w:rsidR="00A67D2B">
        <w:t>to reduce</w:t>
      </w:r>
      <w:r>
        <w:t xml:space="preserve"> NADP</w:t>
      </w:r>
      <w:r w:rsidRPr="00A67D2B">
        <w:rPr>
          <w:vertAlign w:val="superscript"/>
        </w:rPr>
        <w:t>+</w:t>
      </w:r>
      <w:r>
        <w:t xml:space="preserve"> </w:t>
      </w:r>
      <w:r w:rsidR="001779E4">
        <w:t xml:space="preserve">in the presence of the putative allosteric regulators </w:t>
      </w:r>
      <w:r>
        <w:t xml:space="preserve">using the same method. Because phosphorylation of ICD by AceK inhibits the activity of ICD, higher ICD activity corresponds to </w:t>
      </w:r>
      <w:r w:rsidR="005D68E0">
        <w:t xml:space="preserve">increased </w:t>
      </w:r>
      <w:r w:rsidR="008E4673">
        <w:t xml:space="preserve">AceK phosphatase activity. </w:t>
      </w:r>
      <w:r w:rsidR="00A67D2B">
        <w:t>Confi</w:t>
      </w:r>
      <w:r w:rsidR="00711BB8">
        <w:t>rmation</w:t>
      </w:r>
      <w:r w:rsidR="00D14D07">
        <w:t xml:space="preserve"> of </w:t>
      </w:r>
      <w:r w:rsidR="00F55372">
        <w:t>AceK</w:t>
      </w:r>
      <w:r w:rsidR="00B13B98" w:rsidRPr="00B13B98">
        <w:rPr>
          <w:vertAlign w:val="subscript"/>
        </w:rPr>
        <w:t>PA/EC</w:t>
      </w:r>
      <w:r w:rsidR="00F55372" w:rsidRPr="00B13B98">
        <w:rPr>
          <w:vertAlign w:val="subscript"/>
        </w:rPr>
        <w:t xml:space="preserve"> </w:t>
      </w:r>
      <w:r w:rsidR="002E7CA9">
        <w:lastRenderedPageBreak/>
        <w:t>phosphotransfer</w:t>
      </w:r>
      <w:r w:rsidR="00B13B98">
        <w:t xml:space="preserve"> to ICD</w:t>
      </w:r>
      <w:r w:rsidR="00B13B98" w:rsidRPr="00B13B98">
        <w:rPr>
          <w:vertAlign w:val="subscript"/>
        </w:rPr>
        <w:t>PA/EC</w:t>
      </w:r>
      <w:r w:rsidR="002E7CA9">
        <w:t xml:space="preserve"> </w:t>
      </w:r>
      <w:r w:rsidR="00525653">
        <w:t xml:space="preserve">was also </w:t>
      </w:r>
      <w:r w:rsidR="00023F2D">
        <w:t>demonstrated</w:t>
      </w:r>
      <w:r w:rsidR="00525653">
        <w:t xml:space="preserve"> using </w:t>
      </w:r>
      <w:r w:rsidR="00A67D2B">
        <w:t>a [</w:t>
      </w:r>
      <w:r w:rsidR="00A67D2B" w:rsidRPr="00A67D2B">
        <w:rPr>
          <w:vertAlign w:val="superscript"/>
        </w:rPr>
        <w:t>32</w:t>
      </w:r>
      <w:r w:rsidR="00A67D2B">
        <w:t xml:space="preserve">P]-based phosphotransfer assay. </w:t>
      </w:r>
      <w:r w:rsidR="00815822">
        <w:t>Th</w:t>
      </w:r>
      <w:r w:rsidR="00373BD8">
        <w:t xml:space="preserve">e reaction conditions </w:t>
      </w:r>
      <w:r w:rsidR="00815822">
        <w:t xml:space="preserve">were identical to those </w:t>
      </w:r>
      <w:r w:rsidR="00373BD8">
        <w:t>described above</w:t>
      </w:r>
      <w:r w:rsidR="00E0486D">
        <w:t xml:space="preserve">, however, </w:t>
      </w:r>
      <w:r w:rsidR="00A67D2B">
        <w:rPr>
          <w:rFonts w:ascii="Symbol" w:hAnsi="Symbol"/>
        </w:rPr>
        <w:t></w:t>
      </w:r>
      <w:r w:rsidR="00D23947" w:rsidRPr="00D23947">
        <w:t>[</w:t>
      </w:r>
      <w:r w:rsidR="00D23947" w:rsidRPr="00A67D2B">
        <w:rPr>
          <w:vertAlign w:val="superscript"/>
        </w:rPr>
        <w:t>32</w:t>
      </w:r>
      <w:r w:rsidR="00D23947" w:rsidRPr="00D23947">
        <w:t>P]ATP</w:t>
      </w:r>
      <w:r w:rsidR="004C614F">
        <w:t xml:space="preserve"> (</w:t>
      </w:r>
      <w:r w:rsidR="004C614F" w:rsidRPr="004C614F">
        <w:t>PerkinElmer</w:t>
      </w:r>
      <w:r w:rsidR="004C614F">
        <w:t>)</w:t>
      </w:r>
      <w:r w:rsidR="00D23947">
        <w:t xml:space="preserve"> was used </w:t>
      </w:r>
      <w:r w:rsidR="00A67D2B">
        <w:t>in place of unlabelled ATP</w:t>
      </w:r>
      <w:r w:rsidR="00617E52">
        <w:t xml:space="preserve">. </w:t>
      </w:r>
      <w:r w:rsidR="00A67D2B">
        <w:t>The proteins were resolved</w:t>
      </w:r>
      <w:r w:rsidR="00815822" w:rsidRPr="00815822">
        <w:t xml:space="preserve"> </w:t>
      </w:r>
      <w:r w:rsidR="002848B8">
        <w:t>by</w:t>
      </w:r>
      <w:r w:rsidR="00815822" w:rsidRPr="00815822">
        <w:t xml:space="preserve"> SDS-PAGE </w:t>
      </w:r>
      <w:r w:rsidR="002848B8">
        <w:t xml:space="preserve">and </w:t>
      </w:r>
      <w:r w:rsidR="00A67D2B">
        <w:t>radiolabelling was revealed using a</w:t>
      </w:r>
      <w:r w:rsidR="00566469">
        <w:t xml:space="preserve"> phosphor</w:t>
      </w:r>
      <w:r w:rsidR="00B51F04">
        <w:t xml:space="preserve"> </w:t>
      </w:r>
      <w:r w:rsidR="00566469">
        <w:t>screen</w:t>
      </w:r>
      <w:r w:rsidR="008733B9">
        <w:t xml:space="preserve"> (GE Healthcare)</w:t>
      </w:r>
      <w:r w:rsidR="002848B8">
        <w:t>. R</w:t>
      </w:r>
      <w:r w:rsidR="00815822" w:rsidRPr="00815822">
        <w:t>adioactivity was determined with a</w:t>
      </w:r>
      <w:r w:rsidR="00D961C7">
        <w:t xml:space="preserve"> Typhoon</w:t>
      </w:r>
      <w:r w:rsidR="00815822" w:rsidRPr="00815822">
        <w:t xml:space="preserve"> PhosphorImager and quantitated with ImageQuant. </w:t>
      </w:r>
    </w:p>
    <w:p w14:paraId="7B5BC598" w14:textId="77777777" w:rsidR="00CE1713" w:rsidRPr="002C4A55" w:rsidRDefault="00CE1713" w:rsidP="00FB3137">
      <w:pPr>
        <w:jc w:val="both"/>
        <w:outlineLvl w:val="0"/>
        <w:rPr>
          <w:b/>
        </w:rPr>
      </w:pPr>
      <w:r w:rsidRPr="00A15B6A">
        <w:rPr>
          <w:b/>
        </w:rPr>
        <w:t>Crystallisation conditions</w:t>
      </w:r>
    </w:p>
    <w:p w14:paraId="0AB855A7" w14:textId="091B1901" w:rsidR="00CE1713" w:rsidRPr="002C4A55" w:rsidRDefault="00CE1713" w:rsidP="006470CE">
      <w:pPr>
        <w:jc w:val="both"/>
      </w:pPr>
      <w:r w:rsidRPr="002C4A55">
        <w:t>Crystallisation conditions were screened then optimised using sitting drop vapor diffusion with 18, 17.5 and 10 mg/mL of purified protein for ICL, IDH and ICD</w:t>
      </w:r>
      <w:r w:rsidR="005F3E65">
        <w:t>,</w:t>
      </w:r>
      <w:r w:rsidRPr="002C4A55">
        <w:t xml:space="preserve"> respectively. </w:t>
      </w:r>
      <w:r w:rsidR="005F3E65">
        <w:t>C</w:t>
      </w:r>
      <w:r w:rsidRPr="002C4A55">
        <w:t>rystals were obtained with a 1:1 protein</w:t>
      </w:r>
      <w:r w:rsidR="005F3E65">
        <w:t xml:space="preserve"> </w:t>
      </w:r>
      <w:r w:rsidRPr="002C4A55">
        <w:t>:</w:t>
      </w:r>
      <w:r w:rsidR="005F3E65">
        <w:t xml:space="preserve"> </w:t>
      </w:r>
      <w:r w:rsidRPr="002C4A55">
        <w:t xml:space="preserve">mother </w:t>
      </w:r>
      <w:r w:rsidR="005F3E65">
        <w:t>liquor</w:t>
      </w:r>
      <w:r w:rsidRPr="002C4A55">
        <w:t xml:space="preserve"> </w:t>
      </w:r>
      <w:r w:rsidRPr="00A01077">
        <w:t>mixture</w:t>
      </w:r>
      <w:r w:rsidR="00B66A2A" w:rsidRPr="00A01077">
        <w:t xml:space="preserve"> </w:t>
      </w:r>
      <w:r w:rsidR="00B66A2A" w:rsidRPr="003C2033">
        <w:t xml:space="preserve">using a </w:t>
      </w:r>
      <w:r w:rsidR="00A01077" w:rsidRPr="009C2C05">
        <w:t>dragonfly</w:t>
      </w:r>
      <w:r w:rsidR="00A01077">
        <w:t>® discovery (</w:t>
      </w:r>
      <w:r w:rsidR="00A01077" w:rsidRPr="009C2C05">
        <w:t>ttp labtech)</w:t>
      </w:r>
      <w:r w:rsidR="00A01077">
        <w:t xml:space="preserve"> for mother liquor preparation and a </w:t>
      </w:r>
      <w:r w:rsidR="00B66A2A" w:rsidRPr="003C2033">
        <w:t>crystallisation robot (</w:t>
      </w:r>
      <w:r w:rsidR="008B510D" w:rsidRPr="003C2033">
        <w:t>m</w:t>
      </w:r>
      <w:r w:rsidR="00B66A2A" w:rsidRPr="003C2033">
        <w:t>osquito® HTS</w:t>
      </w:r>
      <w:r w:rsidR="001679AC" w:rsidRPr="003C2033">
        <w:t xml:space="preserve">, ttp labtech) </w:t>
      </w:r>
      <w:r w:rsidR="00A01077" w:rsidRPr="009C2C05">
        <w:t>for liquid handling</w:t>
      </w:r>
      <w:r w:rsidRPr="003C2033">
        <w:t>.</w:t>
      </w:r>
      <w:r w:rsidRPr="002C4A55">
        <w:t xml:space="preserve"> ICL crystallised with </w:t>
      </w:r>
      <w:r w:rsidR="00A15B6A">
        <w:t>100 mM HEPES</w:t>
      </w:r>
      <w:r w:rsidRPr="002C4A55">
        <w:t xml:space="preserve">, </w:t>
      </w:r>
      <w:r w:rsidR="00A15B6A">
        <w:t xml:space="preserve">100 mM </w:t>
      </w:r>
      <w:r w:rsidRPr="002C4A55">
        <w:t>CaCl</w:t>
      </w:r>
      <w:r w:rsidRPr="002C4A55">
        <w:rPr>
          <w:vertAlign w:val="subscript"/>
        </w:rPr>
        <w:t>2</w:t>
      </w:r>
      <w:r w:rsidRPr="002C4A55">
        <w:t xml:space="preserve">, 20% (w/v) PEG 6000, </w:t>
      </w:r>
      <w:r w:rsidR="00A15B6A">
        <w:t xml:space="preserve">5% (v/v) </w:t>
      </w:r>
      <w:r w:rsidRPr="002C4A55">
        <w:t xml:space="preserve">glycerol, </w:t>
      </w:r>
      <w:r w:rsidR="005F3E65">
        <w:t xml:space="preserve">1 mM </w:t>
      </w:r>
      <w:r w:rsidRPr="002C4A55">
        <w:t xml:space="preserve">glyoxylate </w:t>
      </w:r>
      <w:r w:rsidR="005F3E65">
        <w:t xml:space="preserve">(pH 5.0) </w:t>
      </w:r>
      <w:r w:rsidRPr="002C4A55">
        <w:t xml:space="preserve">and 2% thymol as additive. IDH crystallised in presence of </w:t>
      </w:r>
      <w:r w:rsidR="00A15B6A">
        <w:t xml:space="preserve">200 mM </w:t>
      </w:r>
      <w:r w:rsidR="00A15B6A" w:rsidRPr="002C4A55">
        <w:t>NaH</w:t>
      </w:r>
      <w:r w:rsidR="00A15B6A" w:rsidRPr="002C4A55">
        <w:rPr>
          <w:vertAlign w:val="subscript"/>
        </w:rPr>
        <w:t>2</w:t>
      </w:r>
      <w:r w:rsidR="00A15B6A" w:rsidRPr="002C4A55">
        <w:t>PO</w:t>
      </w:r>
      <w:r w:rsidR="00A15B6A" w:rsidRPr="002C4A55">
        <w:rPr>
          <w:vertAlign w:val="subscript"/>
        </w:rPr>
        <w:t>4</w:t>
      </w:r>
      <w:r w:rsidR="00A15B6A" w:rsidRPr="002C4A55">
        <w:t xml:space="preserve">, </w:t>
      </w:r>
      <w:r w:rsidRPr="002C4A55">
        <w:t xml:space="preserve">21.5% (w/v) PEG 3350, </w:t>
      </w:r>
      <w:r w:rsidR="00A15B6A">
        <w:t xml:space="preserve">5% (v/v) glycerol </w:t>
      </w:r>
      <w:r w:rsidRPr="002C4A55">
        <w:t xml:space="preserve">and </w:t>
      </w:r>
      <w:r w:rsidR="00A15B6A" w:rsidRPr="002C4A55">
        <w:t xml:space="preserve">150 </w:t>
      </w:r>
      <w:r w:rsidR="00A15B6A" w:rsidRPr="002C4A55">
        <w:rPr>
          <w:rFonts w:eastAsia="Times New Roman"/>
          <w:bCs/>
          <w:color w:val="222222"/>
        </w:rPr>
        <w:t>μ</w:t>
      </w:r>
      <w:r w:rsidR="00A15B6A" w:rsidRPr="002C4A55">
        <w:t xml:space="preserve">M </w:t>
      </w:r>
      <w:r w:rsidRPr="002C4A55">
        <w:t>NADP</w:t>
      </w:r>
      <w:r w:rsidRPr="002C4A55">
        <w:rPr>
          <w:vertAlign w:val="superscript"/>
        </w:rPr>
        <w:t>+</w:t>
      </w:r>
      <w:r w:rsidRPr="002C4A55">
        <w:t xml:space="preserve">. ICD crystallised in </w:t>
      </w:r>
      <w:r w:rsidR="00A15B6A">
        <w:t xml:space="preserve">100 mM sodium acetate, </w:t>
      </w:r>
      <w:r w:rsidRPr="002C4A55">
        <w:t>30% (v/v) PEG 300</w:t>
      </w:r>
      <w:r w:rsidR="00A15B6A">
        <w:t xml:space="preserve"> (pH 4.6)</w:t>
      </w:r>
      <w:r w:rsidRPr="002C4A55">
        <w:t xml:space="preserve">. All crystals were grown for 2-6 days at 19°C then </w:t>
      </w:r>
      <w:r w:rsidR="00A15B6A">
        <w:t xml:space="preserve">treated </w:t>
      </w:r>
      <w:r w:rsidRPr="002C4A55">
        <w:t xml:space="preserve">with cryoprotectant (24% (v/v) ethylene glycol and 76% (v/v) mother solution) </w:t>
      </w:r>
      <w:r w:rsidR="00A15B6A">
        <w:t>before mounting in loops for</w:t>
      </w:r>
      <w:r w:rsidRPr="002C4A55">
        <w:t xml:space="preserve"> data collection.</w:t>
      </w:r>
    </w:p>
    <w:p w14:paraId="5CBA9DD7" w14:textId="77777777" w:rsidR="00CE1713" w:rsidRPr="002C4A55" w:rsidRDefault="00CE1713" w:rsidP="00FB3137">
      <w:pPr>
        <w:jc w:val="both"/>
        <w:outlineLvl w:val="0"/>
        <w:rPr>
          <w:b/>
        </w:rPr>
      </w:pPr>
      <w:r w:rsidRPr="002C4A55">
        <w:rPr>
          <w:b/>
        </w:rPr>
        <w:t>X-ray Diffraction, Structure Determination, and Refinement</w:t>
      </w:r>
    </w:p>
    <w:p w14:paraId="063B7842" w14:textId="04F485FE" w:rsidR="00E95388" w:rsidRDefault="00CE1713" w:rsidP="006470CE">
      <w:pPr>
        <w:jc w:val="both"/>
      </w:pPr>
      <w:r w:rsidRPr="002C4A55">
        <w:t xml:space="preserve">Diffraction data were </w:t>
      </w:r>
      <w:r w:rsidR="00A15B6A">
        <w:t xml:space="preserve">collected </w:t>
      </w:r>
      <w:r w:rsidRPr="002C4A55">
        <w:t xml:space="preserve">remotely on </w:t>
      </w:r>
      <w:r w:rsidR="00A15B6A">
        <w:t xml:space="preserve">the </w:t>
      </w:r>
      <w:r w:rsidRPr="002C4A55">
        <w:t xml:space="preserve">I02 or I04-1 beamline </w:t>
      </w:r>
      <w:r w:rsidR="00A15B6A">
        <w:t xml:space="preserve">(as indicated in </w:t>
      </w:r>
      <w:r w:rsidR="00A15B6A" w:rsidRPr="00A15B6A">
        <w:rPr>
          <w:b/>
        </w:rPr>
        <w:t>Table S</w:t>
      </w:r>
      <w:r w:rsidR="00303897">
        <w:rPr>
          <w:b/>
        </w:rPr>
        <w:t>1</w:t>
      </w:r>
      <w:r w:rsidR="00A15B6A">
        <w:t xml:space="preserve">) </w:t>
      </w:r>
      <w:r w:rsidRPr="002C4A55">
        <w:t>at the Diamond Light Source Synchrotron (Didcot, UK). Diffraction data were processed using FastDP</w:t>
      </w:r>
      <w:r w:rsidR="00796174">
        <w:t xml:space="preserve"> </w:t>
      </w:r>
      <w:r w:rsidR="00374BF4">
        <w:fldChar w:fldCharType="begin" w:fldLock="1"/>
      </w:r>
      <w:r w:rsidR="003915CC">
        <w:instrText>ADDIN CSL_CITATION { "citationItems" : [ { "id" : "ITEM-1", "itemData" : { "DOI" : "10.1016/J.YMETH.2011.06.010", "abstract" : "An overview, together with some practical advice, is presented of the current status of the automation of macromolecular crystallography (MX) data collection, with a focus on MX beamlines at Diamond Light Source, UK.", "author" : [ { "dropping-particle" : "", "family" : "Winter", "given" : "Graeme", "non-dropping-particle" : "", "parse-names" : false, "suffix" : "" }, { "dropping-particle" : "", "family" : "McAuley", "given" : "Katherine E.", "non-dropping-particle" : "", "parse-names" : false, "suffix" : "" } ], "container-title" : "Methods", "id" : "ITEM-1", "issue" : "1", "issued" : { "date-parts" : [ [ "2011" ] ] }, "page" : "81-93", "publisher" : "Academic Press", "title" : "Automated data collection for macromolecular crystallography", "type" : "article-journal", "volume" : "55" }, "uris" : [ "http://www.mendeley.com/documents/?uuid=3396657b-7d0c-3f53-a816-132f3a8c8d50" ] } ], "mendeley" : { "formattedCitation" : "(Winter &amp; McAuley, 2011)", "plainTextFormattedCitation" : "(Winter &amp; McAuley, 2011)", "previouslyFormattedCitation" : "(Winter &amp; McAuley, 2011)" }, "properties" : { "noteIndex" : 0 }, "schema" : "https://github.com/citation-style-language/schema/raw/master/csl-citation.json" }</w:instrText>
      </w:r>
      <w:r w:rsidR="00374BF4">
        <w:fldChar w:fldCharType="separate"/>
      </w:r>
      <w:r w:rsidR="003915CC" w:rsidRPr="003915CC">
        <w:rPr>
          <w:noProof/>
        </w:rPr>
        <w:t>(Winter &amp; McAuley, 2011)</w:t>
      </w:r>
      <w:r w:rsidR="00374BF4">
        <w:fldChar w:fldCharType="end"/>
      </w:r>
      <w:r w:rsidRPr="002C4A55">
        <w:t>, and the structures were determined by molecular replacement using Phaser</w:t>
      </w:r>
      <w:r w:rsidR="00796174">
        <w:t xml:space="preserve"> </w:t>
      </w:r>
      <w:r w:rsidR="00A754C9">
        <w:fldChar w:fldCharType="begin" w:fldLock="1"/>
      </w:r>
      <w:r w:rsidR="003915CC">
        <w:instrText>ADDIN CSL_CITATION { "citationItems" : [ { "id" : "ITEM-1", "itemData" : { "DOI" : "10.1107/S0021889807021206", "ISSN" : "0021-8898", "abstract" : "Phaser is a program for phasing macromolecular crystal structures by both molecular replacement and experimental phasing methods. The novel phasing algorithms implemented in Phaser have been developed using maximum likelihood and multivariate statistics. For molecular replacement, the new algorithms have proved to be significantly better than traditional methods in discriminating correct solutions from noise, and for single-wavelength anomalous dispersion experimental phasing, the new algorithms, which account for correlations between F + and F \u00c0 , give better phases (lower mean phase error with respect to the phases given by the refined structure) than those that use mean F and anomalous differences \u00c1F. One of the design concepts of Phaser was that it be capable of a high degree of automation. To this end, Phaser (written in C++) can be called directly from Python, although it can also be called using traditional CCP4 keyword-style input. Phaser is a platform for future development of improved phasing methods and their release, including source code, to the crystallographic community.", "author" : [ { "dropping-particle" : "", "family" : "McCoy", "given" : "Airlie J", "non-dropping-particle" : "", "parse-names" : false, "suffix" : "" }, { "dropping-particle" : "", "family" : "Grosse-Kunstleve", "given" : "Ralf W", "non-dropping-particle" : "", "parse-names" : false, "suffix" : "" }, { "dropping-particle" : "", "family" : "Adams", "given" : "Paul D", "non-dropping-particle" : "", "parse-names" : false, "suffix" : "" }, { "dropping-particle" : "", "family" : "Winn", "given" : "Martyn D", "non-dropping-particle" : "", "parse-names" : false, "suffix" : "" }, { "dropping-particle" : "", "family" : "Storoni", "given" : "Laurent C", "non-dropping-particle" : "", "parse-names" : false, "suffix" : "" }, { "dropping-particle" : "", "family" : "Read", "given" : "Randy J", "non-dropping-particle" : "", "parse-names" : false, "suffix" : "" } ], "container-title" : "Journal of Applied Crystallography", "id" : "ITEM-1", "issue" : "4", "issued" : { "date-parts" : [ [ "2007" ] ] }, "page" : "658-674", "title" : "Phaser crystallographic software", "type" : "article-journal", "volume" : "40" }, "uris" : [ "http://www.mendeley.com/documents/?uuid=02ff8813-4bfa-38f5-95a7-e64e8e206e1f" ] } ], "mendeley" : { "formattedCitation" : "(McCoy et al., 2007)", "plainTextFormattedCitation" : "(McCoy et al., 2007)", "previouslyFormattedCitation" : "(McCoy et al., 2007)" }, "properties" : { "noteIndex" : 0 }, "schema" : "https://github.com/citation-style-language/schema/raw/master/csl-citation.json" }</w:instrText>
      </w:r>
      <w:r w:rsidR="00A754C9">
        <w:fldChar w:fldCharType="separate"/>
      </w:r>
      <w:r w:rsidR="003915CC" w:rsidRPr="003915CC">
        <w:rPr>
          <w:noProof/>
        </w:rPr>
        <w:t>(McCoy et al., 2007)</w:t>
      </w:r>
      <w:r w:rsidR="00A754C9">
        <w:fldChar w:fldCharType="end"/>
      </w:r>
      <w:r w:rsidRPr="002C4A55">
        <w:t xml:space="preserve">. </w:t>
      </w:r>
      <w:r>
        <w:t xml:space="preserve">ICL, IDH and ICD </w:t>
      </w:r>
      <w:r w:rsidRPr="002C4A55">
        <w:t xml:space="preserve">were solved using the </w:t>
      </w:r>
      <w:r w:rsidR="00A15B6A">
        <w:t xml:space="preserve">structural </w:t>
      </w:r>
      <w:r w:rsidRPr="002C4A55">
        <w:t>templates 3I4E (to be published)</w:t>
      </w:r>
      <w:r>
        <w:t xml:space="preserve">, </w:t>
      </w:r>
      <w:r w:rsidRPr="002C4A55">
        <w:t>4ZDA (to be published)</w:t>
      </w:r>
      <w:r>
        <w:t xml:space="preserve"> and</w:t>
      </w:r>
      <w:r w:rsidRPr="002C4A55">
        <w:t xml:space="preserve"> 1BL5</w:t>
      </w:r>
      <w:r w:rsidR="00796174">
        <w:t xml:space="preserve"> </w:t>
      </w:r>
      <w:r w:rsidR="00A754C9">
        <w:fldChar w:fldCharType="begin" w:fldLock="1"/>
      </w:r>
      <w:r w:rsidR="003915CC">
        <w:instrText>ADDIN CSL_CITATION { "citationItems" : [ { "id" : "ITEM-1", "itemData" : { "DOI" : "10.1038/2331", "ISBN" : "1072-8368 (Print)\\r1072-8368 (Linking)", "ISSN" : "1072-8368", "PMID" : "9783749", "abstract" : "The structure of a rate-limited product complex formed during a single initial round of turnover by isocitrate dehydrogenase has been determined. Photolytic liberation of either caged substrate or caged cofactor and Laue X-ray data collection were used to visualize the complex, which has a minimum half-life of approximately 10 milliseconds. The experiment was conducted with three different photoreactive compounds, each possessing a unique mechanism leading to the formation of the enzyme-substrate (ES) complex. Photoreaction efficiency and subsequent substrate affinities and binding rates in the crystal are critical parameters for these experiments. The structure suggests that CO2 dissociation is a rapid event that may help drive product formation, and that small conformational changes may contribute to slow product release.", "author" : [ { "dropping-particle" : "", "family" : "Stoddard", "given" : "Barry L.", "non-dropping-particle" : "", "parse-names" : false, "suffix" : "" }, { "dropping-particle" : "", "family" : "Cohen", "given" : "Bruce E.", "non-dropping-particle" : "", "parse-names" : false, "suffix" : "" }, { "dropping-particle" : "", "family" : "Brubaker", "given" : "Michael", "non-dropping-particle" : "", "parse-names" : false, "suffix" : "" }, { "dropping-particle" : "", "family" : "Mesecar", "given" : "Andrew D.", "non-dropping-particle" : "", "parse-names" : false, "suffix" : "" }, { "dropping-particle" : "", "family" : "Koshland", "given" : "Daniel E.", "non-dropping-particle" : "", "parse-names" : false, "suffix" : "" } ], "container-title" : "Nature structural biology", "id" : "ITEM-1", "issue" : "10", "issued" : { "date-parts" : [ [ "1998" ] ] }, "page" : "891-7", "title" : "Millisecond Laue structures of an enzyme-product complex using photocaged substrate analogs.", "type" : "article-journal", "volume" : "5" }, "uris" : [ "http://www.mendeley.com/documents/?uuid=a7fbd9bb-bcfc-426b-9eca-87adb2993d9b" ] } ], "mendeley" : { "formattedCitation" : "(Stoddard, Cohen, Brubaker, Mesecar, &amp; Koshland, 1998)", "plainTextFormattedCitation" : "(Stoddard, Cohen, Brubaker, Mesecar, &amp; Koshland, 1998)", "previouslyFormattedCitation" : "(Stoddard, Cohen, Brubaker, Mesecar, &amp; Koshland, 1998)" }, "properties" : { "noteIndex" : 0 }, "schema" : "https://github.com/citation-style-language/schema/raw/master/csl-citation.json" }</w:instrText>
      </w:r>
      <w:r w:rsidR="00A754C9">
        <w:fldChar w:fldCharType="separate"/>
      </w:r>
      <w:r w:rsidR="003915CC" w:rsidRPr="003915CC">
        <w:rPr>
          <w:noProof/>
        </w:rPr>
        <w:t>(Stoddard, Cohen, Brubaker, Mesecar, &amp; Koshland, 1998)</w:t>
      </w:r>
      <w:r w:rsidR="00A754C9">
        <w:fldChar w:fldCharType="end"/>
      </w:r>
      <w:r>
        <w:t xml:space="preserve"> </w:t>
      </w:r>
      <w:r w:rsidRPr="002C4A55">
        <w:t xml:space="preserve">from </w:t>
      </w:r>
      <w:r w:rsidRPr="002C4A55">
        <w:rPr>
          <w:i/>
        </w:rPr>
        <w:t xml:space="preserve">Burkholderia </w:t>
      </w:r>
      <w:r w:rsidRPr="004162A7">
        <w:rPr>
          <w:i/>
        </w:rPr>
        <w:t>pseudomallei</w:t>
      </w:r>
      <w:r>
        <w:t>,</w:t>
      </w:r>
      <w:r w:rsidRPr="002C4A55">
        <w:t xml:space="preserve"> </w:t>
      </w:r>
      <w:r w:rsidRPr="002C4A55">
        <w:rPr>
          <w:i/>
        </w:rPr>
        <w:t>Mycobacterium smegmatis</w:t>
      </w:r>
      <w:r>
        <w:t xml:space="preserve"> and </w:t>
      </w:r>
      <w:r w:rsidRPr="002C4A55">
        <w:rPr>
          <w:i/>
        </w:rPr>
        <w:t>Escherichia coli</w:t>
      </w:r>
      <w:r w:rsidR="00A15B6A">
        <w:t xml:space="preserve">, </w:t>
      </w:r>
      <w:r w:rsidRPr="002C4A55">
        <w:t>respectively. Automated refinement was performed using Refmac5</w:t>
      </w:r>
      <w:r w:rsidR="00796174">
        <w:t xml:space="preserve"> </w:t>
      </w:r>
      <w:r w:rsidR="00A754C9">
        <w:fldChar w:fldCharType="begin" w:fldLock="1"/>
      </w:r>
      <w:r w:rsidR="00B23662">
        <w:instrText>ADDIN CSL_CITATION { "citationItems" : [ { "id" : "ITEM-1", "itemData" : { "DOI" : "10.1107/S0907444996012255", "abstract" : "This paper reviews the mathematical basis of maximum likelihood. The likelihood function for macromolecular structures is extended to include prior phase information and experimental standard uncertainties. The assumption that different parts of a structure might have different errors is considered. A method for estimating \u03c3A using `free' reflections is described and its effects analysed. The derived equations have been implemented in the program REFMAC. This has been tested on several proteins at different stages of refinement (bacterial \u03b1-amylase, cytochrome c\u2032, cross-linked insulin and oligopeptide binding protein). The results derived using the maximum-likelihood residual are consistently better than those obtained from least-squares refinement.", "author" : [ { "dropping-particle" : "", "family" : "Murshudov", "given" : "G. N.", "non-dropping-particle" : "", "parse-names" : false, "suffix" : "" }, { "dropping-particle" : "", "family" : "Vagin", "given" : "A. A.", "non-dropping-particle" : "", "parse-names" : false, "suffix" : "" }, { "dropping-particle" : "", "family" : "Dodson", "given" : "E. J.", "non-dropping-particle" : "", "parse-names" : false, "suffix" : "" } ], "container-title" : "Acta Crystallographica Section D Biological Crystallography", "id" : "ITEM-1", "issue" : "3", "issued" : { "date-parts" : [ [ "1997" ] ] }, "page" : "240-255", "publisher" : "International Union of Crystallography", "title" : "Refinement of macromolecular structures by the maximum-likelihood method", "type" : "article-journal", "volume" : "53" }, "uris" : [ "http://www.mendeley.com/documents/?uuid=5e0f2aff-6484-3101-84ae-a2bd1a924853" ] } ], "mendeley" : { "formattedCitation" : "(Murshudov, Vagin, &amp; Dodson, 1997)", "plainTextFormattedCitation" : "(Murshudov, Vagin, &amp; Dodson, 1997)", "previouslyFormattedCitation" : "(Murshudov, Vagin, &amp; Dodson, 1997)" }, "properties" : { "noteIndex" : 0 }, "schema" : "https://github.com/citation-style-language/schema/raw/master/csl-citation.json" }</w:instrText>
      </w:r>
      <w:r w:rsidR="00A754C9">
        <w:fldChar w:fldCharType="separate"/>
      </w:r>
      <w:r w:rsidR="00B23662" w:rsidRPr="00B23662">
        <w:rPr>
          <w:noProof/>
        </w:rPr>
        <w:t>(Murshudov, Vagin, &amp; Dodson, 1997)</w:t>
      </w:r>
      <w:r w:rsidR="00A754C9">
        <w:fldChar w:fldCharType="end"/>
      </w:r>
      <w:r w:rsidRPr="002C4A55">
        <w:t>. Manual modelling and refinement were performed in COOT</w:t>
      </w:r>
      <w:r w:rsidR="00796174">
        <w:t xml:space="preserve"> </w:t>
      </w:r>
      <w:r w:rsidR="00A754C9">
        <w:fldChar w:fldCharType="begin" w:fldLock="1"/>
      </w:r>
      <w:r w:rsidR="003915CC">
        <w:instrText>ADDIN CSL_CITATION { "citationItems" : [ { "id" : "ITEM-1", "itemData" : { "abstract" : "CCP4mg is a project that aims to provide a general-purpose tool for structural biologists, providing tools for X-ray structure solution, structure comparison and analysis, and publication-quality graphics. The map-\u00aetting tools are avail-able as a stand-alone package, distributed aCoot'.", "author" : [ { "dropping-particle" : "", "family" : "Emsley", "given" : "Paul", "non-dropping-particle" : "", "parse-names" : false, "suffix" : "" }, { "dropping-particle" : "", "family" : "Cowtan", "given" : "Kevin", "non-dropping-particle" : "", "parse-names" : false, "suffix" : "" } ], "container-title" : "Acta Crystallographica Section D Biological Crystallography", "id" : "ITEM-1", "issue" : "12", "issued" : { "date-parts" : [ [ "2004" ] ] }, "page" : "2126-2132", "title" : "Coot: model-building tools for molecular graphics", "type" : "article-journal", "volume" : "60" }, "uris" : [ "http://www.mendeley.com/documents/?uuid=d2d1fdc9-74ea-3f45-a6dd-b8be65732c43" ] } ], "mendeley" : { "formattedCitation" : "(Emsley &amp; Cowtan, 2004)", "plainTextFormattedCitation" : "(Emsley &amp; Cowtan, 2004)", "previouslyFormattedCitation" : "(Emsley &amp; Cowtan, 2004)" }, "properties" : { "noteIndex" : 0 }, "schema" : "https://github.com/citation-style-language/schema/raw/master/csl-citation.json" }</w:instrText>
      </w:r>
      <w:r w:rsidR="00A754C9">
        <w:fldChar w:fldCharType="separate"/>
      </w:r>
      <w:r w:rsidR="003915CC" w:rsidRPr="003915CC">
        <w:rPr>
          <w:noProof/>
        </w:rPr>
        <w:t>(Emsley &amp; Cowtan, 2004)</w:t>
      </w:r>
      <w:r w:rsidR="00A754C9">
        <w:fldChar w:fldCharType="end"/>
      </w:r>
      <w:r w:rsidRPr="002C4A55">
        <w:t xml:space="preserve">. Data collection and refinement statistics are listed in </w:t>
      </w:r>
      <w:r w:rsidR="00983EAD">
        <w:rPr>
          <w:b/>
        </w:rPr>
        <w:t>Table S</w:t>
      </w:r>
      <w:r w:rsidR="00303897">
        <w:rPr>
          <w:b/>
        </w:rPr>
        <w:t>1</w:t>
      </w:r>
      <w:r w:rsidRPr="002C4A55">
        <w:t>.</w:t>
      </w:r>
    </w:p>
    <w:p w14:paraId="014172B4" w14:textId="77777777" w:rsidR="00E65DD6" w:rsidRPr="00E65DD6" w:rsidRDefault="00E65DD6" w:rsidP="00FB3137">
      <w:pPr>
        <w:jc w:val="both"/>
        <w:outlineLvl w:val="0"/>
      </w:pPr>
      <w:r w:rsidRPr="00E65DD6">
        <w:rPr>
          <w:b/>
        </w:rPr>
        <w:t>Western blotting</w:t>
      </w:r>
      <w:r w:rsidRPr="00E65DD6">
        <w:t xml:space="preserve"> </w:t>
      </w:r>
    </w:p>
    <w:p w14:paraId="46DA040F" w14:textId="77777777" w:rsidR="00E65DD6" w:rsidRPr="002C4A55" w:rsidRDefault="00E65DD6" w:rsidP="006470CE">
      <w:pPr>
        <w:jc w:val="both"/>
      </w:pPr>
      <w:r>
        <w:t xml:space="preserve">Polyclonal antibodies were raised in rabbits against each of the purified proteins (Biogenes.De). The antisera were pre-absorbed against an acetone extract of a mutant strain defective in the protein of interest (e.g., the anti-ICD antisera were pre-absorbed against an acetone extract of a confirmed </w:t>
      </w:r>
      <w:r w:rsidRPr="00E65DD6">
        <w:rPr>
          <w:i/>
        </w:rPr>
        <w:t>icd</w:t>
      </w:r>
      <w:r>
        <w:t xml:space="preserve"> mutant). The cleaned-up antisera, appropriately diluted, were then used directly in Western assays. Western blots were developed using goat anti-rabbit secondary antibodies.    </w:t>
      </w:r>
    </w:p>
    <w:p w14:paraId="34DA94C9" w14:textId="77777777" w:rsidR="007D1593" w:rsidRDefault="007D1593" w:rsidP="00AC0D2C">
      <w:pPr>
        <w:rPr>
          <w:b/>
        </w:rPr>
      </w:pPr>
    </w:p>
    <w:p w14:paraId="408AA016" w14:textId="77777777" w:rsidR="00346E7B" w:rsidRDefault="00346E7B" w:rsidP="00AC0D2C">
      <w:pPr>
        <w:rPr>
          <w:b/>
        </w:rPr>
      </w:pPr>
    </w:p>
    <w:p w14:paraId="212C4742" w14:textId="77777777" w:rsidR="00346E7B" w:rsidRDefault="00346E7B" w:rsidP="00AC0D2C">
      <w:pPr>
        <w:rPr>
          <w:b/>
        </w:rPr>
      </w:pPr>
    </w:p>
    <w:p w14:paraId="3AB66B98" w14:textId="77777777" w:rsidR="00346E7B" w:rsidRDefault="00346E7B" w:rsidP="00AC0D2C">
      <w:pPr>
        <w:rPr>
          <w:b/>
        </w:rPr>
      </w:pPr>
    </w:p>
    <w:p w14:paraId="034A7E0A" w14:textId="77777777" w:rsidR="00346E7B" w:rsidRDefault="00346E7B" w:rsidP="00AC0D2C">
      <w:pPr>
        <w:rPr>
          <w:b/>
        </w:rPr>
      </w:pPr>
    </w:p>
    <w:p w14:paraId="5BD1F49D" w14:textId="77777777" w:rsidR="00346E7B" w:rsidRDefault="00346E7B" w:rsidP="00AC0D2C">
      <w:pPr>
        <w:rPr>
          <w:b/>
        </w:rPr>
      </w:pPr>
    </w:p>
    <w:p w14:paraId="4ABB707E" w14:textId="77777777" w:rsidR="00FA724C" w:rsidRDefault="00FA724C" w:rsidP="00AC0D2C">
      <w:pPr>
        <w:rPr>
          <w:b/>
        </w:rPr>
      </w:pPr>
    </w:p>
    <w:p w14:paraId="13D767DF" w14:textId="77777777" w:rsidR="00FA724C" w:rsidRDefault="00FA724C" w:rsidP="00AC0D2C">
      <w:pPr>
        <w:rPr>
          <w:b/>
        </w:rPr>
      </w:pPr>
    </w:p>
    <w:p w14:paraId="0E1B1950" w14:textId="77777777" w:rsidR="00CE1713" w:rsidRPr="002C4A55" w:rsidRDefault="00CE1713" w:rsidP="00FB3137">
      <w:pPr>
        <w:outlineLvl w:val="0"/>
        <w:rPr>
          <w:b/>
        </w:rPr>
      </w:pPr>
      <w:r w:rsidRPr="002C4A55">
        <w:rPr>
          <w:b/>
        </w:rPr>
        <w:lastRenderedPageBreak/>
        <w:t>References</w:t>
      </w:r>
    </w:p>
    <w:p w14:paraId="3255B0C7" w14:textId="4686DA8D" w:rsidR="00B23662" w:rsidRPr="00B23662" w:rsidRDefault="00CE1713" w:rsidP="00B23662">
      <w:pPr>
        <w:widowControl w:val="0"/>
        <w:autoSpaceDE w:val="0"/>
        <w:autoSpaceDN w:val="0"/>
        <w:adjustRightInd w:val="0"/>
        <w:spacing w:line="240" w:lineRule="auto"/>
        <w:ind w:left="480" w:hanging="480"/>
        <w:rPr>
          <w:rFonts w:ascii="Calibri" w:hAnsi="Calibri" w:cs="Calibri"/>
          <w:noProof/>
        </w:rPr>
      </w:pPr>
      <w:r w:rsidRPr="002C4A55">
        <w:fldChar w:fldCharType="begin" w:fldLock="1"/>
      </w:r>
      <w:r w:rsidRPr="002C4A55">
        <w:instrText xml:space="preserve">ADDIN Mendeley Bibliography CSL_BIBLIOGRAPHY </w:instrText>
      </w:r>
      <w:r w:rsidRPr="002C4A55">
        <w:fldChar w:fldCharType="separate"/>
      </w:r>
      <w:r w:rsidR="00B23662" w:rsidRPr="00B23662">
        <w:rPr>
          <w:rFonts w:ascii="Calibri" w:hAnsi="Calibri" w:cs="Calibri"/>
          <w:noProof/>
        </w:rPr>
        <w:t xml:space="preserve">Berger, A., Dohnt, K., Tielen, P., Jahn, D., Becker, J., &amp; Wittmann, C. (2014). Robustness and plasticity of metabolic pathway flux among uropathogenic isolates of Pseudomonas aeruginosa. </w:t>
      </w:r>
      <w:r w:rsidR="00B23662" w:rsidRPr="00B23662">
        <w:rPr>
          <w:rFonts w:ascii="Calibri" w:hAnsi="Calibri" w:cs="Calibri"/>
          <w:i/>
          <w:iCs/>
          <w:noProof/>
        </w:rPr>
        <w:t>PLoS ONE</w:t>
      </w:r>
      <w:r w:rsidR="00B23662" w:rsidRPr="00B23662">
        <w:rPr>
          <w:rFonts w:ascii="Calibri" w:hAnsi="Calibri" w:cs="Calibri"/>
          <w:noProof/>
        </w:rPr>
        <w:t xml:space="preserve">, </w:t>
      </w:r>
      <w:r w:rsidR="00B23662" w:rsidRPr="00B23662">
        <w:rPr>
          <w:rFonts w:ascii="Calibri" w:hAnsi="Calibri" w:cs="Calibri"/>
          <w:i/>
          <w:iCs/>
          <w:noProof/>
        </w:rPr>
        <w:t>9</w:t>
      </w:r>
      <w:r w:rsidR="00B23662" w:rsidRPr="00B23662">
        <w:rPr>
          <w:rFonts w:ascii="Calibri" w:hAnsi="Calibri" w:cs="Calibri"/>
          <w:noProof/>
        </w:rPr>
        <w:t>(4), e88368. http://doi.org/10.1371/journal.pone.0088368</w:t>
      </w:r>
    </w:p>
    <w:p w14:paraId="1C6B88E1"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Britton, K. L., Abeysinghe, I. S. B., Baker, P. J., Barynin, V., Diehl, P., Langridge, S. J., … Rice, D. W. (2001). The structure and domain organization of Escherichia coli isocitrate lyase. </w:t>
      </w:r>
      <w:r w:rsidRPr="00B23662">
        <w:rPr>
          <w:rFonts w:ascii="Calibri" w:hAnsi="Calibri" w:cs="Calibri"/>
          <w:i/>
          <w:iCs/>
          <w:noProof/>
        </w:rPr>
        <w:t>Acta Crystallographica Section D: Biological Crystallography</w:t>
      </w:r>
      <w:r w:rsidRPr="00B23662">
        <w:rPr>
          <w:rFonts w:ascii="Calibri" w:hAnsi="Calibri" w:cs="Calibri"/>
          <w:noProof/>
        </w:rPr>
        <w:t xml:space="preserve">, </w:t>
      </w:r>
      <w:r w:rsidRPr="00B23662">
        <w:rPr>
          <w:rFonts w:ascii="Calibri" w:hAnsi="Calibri" w:cs="Calibri"/>
          <w:i/>
          <w:iCs/>
          <w:noProof/>
        </w:rPr>
        <w:t>57</w:t>
      </w:r>
      <w:r w:rsidRPr="00B23662">
        <w:rPr>
          <w:rFonts w:ascii="Calibri" w:hAnsi="Calibri" w:cs="Calibri"/>
          <w:noProof/>
        </w:rPr>
        <w:t>(9), 1209–1218. http://doi.org/10.1107/S0907444901008642</w:t>
      </w:r>
    </w:p>
    <w:p w14:paraId="646ED742"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Britton, K. L., Langridge, S. J., Baker, P. J., Weeradechapon, K., Sedelnikova, S. E., De Lucas, J. R., … Turner, G. (2000). The crystal structure and active site location of isocitrate lyase from the fungus Aspergillus nidulans. </w:t>
      </w:r>
      <w:r w:rsidRPr="00B23662">
        <w:rPr>
          <w:rFonts w:ascii="Calibri" w:hAnsi="Calibri" w:cs="Calibri"/>
          <w:i/>
          <w:iCs/>
          <w:noProof/>
        </w:rPr>
        <w:t>Structure</w:t>
      </w:r>
      <w:r w:rsidRPr="00B23662">
        <w:rPr>
          <w:rFonts w:ascii="Calibri" w:hAnsi="Calibri" w:cs="Calibri"/>
          <w:noProof/>
        </w:rPr>
        <w:t xml:space="preserve">, </w:t>
      </w:r>
      <w:r w:rsidRPr="00B23662">
        <w:rPr>
          <w:rFonts w:ascii="Calibri" w:hAnsi="Calibri" w:cs="Calibri"/>
          <w:i/>
          <w:iCs/>
          <w:noProof/>
        </w:rPr>
        <w:t>8</w:t>
      </w:r>
      <w:r w:rsidRPr="00B23662">
        <w:rPr>
          <w:rFonts w:ascii="Calibri" w:hAnsi="Calibri" w:cs="Calibri"/>
          <w:noProof/>
        </w:rPr>
        <w:t>(4), 349–362. http://doi.org/10.1016/S0969-2126(00)00117-9</w:t>
      </w:r>
    </w:p>
    <w:p w14:paraId="0B44EFAC"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Chung, J. C. S., Rzhepishevska, O., Ramstedt, M., &amp; Welch, M. (2013). Type III secretion system expression in oxygen-limited Pseudomonas aeruginosa cultures is stimulated by isocitrate lyase activity. </w:t>
      </w:r>
      <w:r w:rsidRPr="00B23662">
        <w:rPr>
          <w:rFonts w:ascii="Calibri" w:hAnsi="Calibri" w:cs="Calibri"/>
          <w:i/>
          <w:iCs/>
          <w:noProof/>
        </w:rPr>
        <w:t>Open Biology</w:t>
      </w:r>
      <w:r w:rsidRPr="00B23662">
        <w:rPr>
          <w:rFonts w:ascii="Calibri" w:hAnsi="Calibri" w:cs="Calibri"/>
          <w:noProof/>
        </w:rPr>
        <w:t xml:space="preserve">, </w:t>
      </w:r>
      <w:r w:rsidRPr="00B23662">
        <w:rPr>
          <w:rFonts w:ascii="Calibri" w:hAnsi="Calibri" w:cs="Calibri"/>
          <w:i/>
          <w:iCs/>
          <w:noProof/>
        </w:rPr>
        <w:t>3</w:t>
      </w:r>
      <w:r w:rsidRPr="00B23662">
        <w:rPr>
          <w:rFonts w:ascii="Calibri" w:hAnsi="Calibri" w:cs="Calibri"/>
          <w:noProof/>
        </w:rPr>
        <w:t>(1), 120131. http://doi.org/10.1098/rsob.120131</w:t>
      </w:r>
    </w:p>
    <w:p w14:paraId="6EAB5427"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Dean, A. M., Lee, M. H. I., &amp; Koshland, D. E. (1989). Phosphorylation inactivates Escherichia coli isocitrate dehydrogenase by preventing isocitrate binding. </w:t>
      </w:r>
      <w:r w:rsidRPr="00B23662">
        <w:rPr>
          <w:rFonts w:ascii="Calibri" w:hAnsi="Calibri" w:cs="Calibri"/>
          <w:i/>
          <w:iCs/>
          <w:noProof/>
        </w:rPr>
        <w:t>The Journal of Biological Chemistry</w:t>
      </w:r>
      <w:r w:rsidRPr="00B23662">
        <w:rPr>
          <w:rFonts w:ascii="Calibri" w:hAnsi="Calibri" w:cs="Calibri"/>
          <w:noProof/>
        </w:rPr>
        <w:t xml:space="preserve">, </w:t>
      </w:r>
      <w:r w:rsidRPr="00B23662">
        <w:rPr>
          <w:rFonts w:ascii="Calibri" w:hAnsi="Calibri" w:cs="Calibri"/>
          <w:i/>
          <w:iCs/>
          <w:noProof/>
        </w:rPr>
        <w:t>264</w:t>
      </w:r>
      <w:r w:rsidRPr="00B23662">
        <w:rPr>
          <w:rFonts w:ascii="Calibri" w:hAnsi="Calibri" w:cs="Calibri"/>
          <w:noProof/>
        </w:rPr>
        <w:t>(34), 20482–20486. Retrieved from http://www.jbc.org/content/264/34/20482.full.pdf</w:t>
      </w:r>
    </w:p>
    <w:p w14:paraId="3DC83EA0"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Diaz-Perez, A. L., Roman-Doval, C., Diaz-Perez, C., Cervantes, C., Sosa-Aguirre, C. R., Lopez-Meza, J. E., &amp; Campos-Garcia, J. (2007). Identification of the aceA gene encoding isocitrate lyase required for the growth of Pseudomonas aeruginosa on acetate, acyclic terpenes and leucine. </w:t>
      </w:r>
      <w:r w:rsidRPr="00B23662">
        <w:rPr>
          <w:rFonts w:ascii="Calibri" w:hAnsi="Calibri" w:cs="Calibri"/>
          <w:i/>
          <w:iCs/>
          <w:noProof/>
        </w:rPr>
        <w:t>FEMS Microbiology Letters</w:t>
      </w:r>
      <w:r w:rsidRPr="00B23662">
        <w:rPr>
          <w:rFonts w:ascii="Calibri" w:hAnsi="Calibri" w:cs="Calibri"/>
          <w:noProof/>
        </w:rPr>
        <w:t xml:space="preserve">, </w:t>
      </w:r>
      <w:r w:rsidRPr="00B23662">
        <w:rPr>
          <w:rFonts w:ascii="Calibri" w:hAnsi="Calibri" w:cs="Calibri"/>
          <w:i/>
          <w:iCs/>
          <w:noProof/>
        </w:rPr>
        <w:t>269</w:t>
      </w:r>
      <w:r w:rsidRPr="00B23662">
        <w:rPr>
          <w:rFonts w:ascii="Calibri" w:hAnsi="Calibri" w:cs="Calibri"/>
          <w:noProof/>
        </w:rPr>
        <w:t>(2), 309–316. http://doi.org/10.1111/j.1574-6968.2007.00654.x</w:t>
      </w:r>
    </w:p>
    <w:p w14:paraId="46174DAD"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Dunn, M. F., Ramírez-Trujillo, J. A., &amp; Hernández-Lucas, I. (2009). Major roles of isocitrate lyase and malate synthase in bacterial and fungal pathogenesis. </w:t>
      </w:r>
      <w:r w:rsidRPr="00B23662">
        <w:rPr>
          <w:rFonts w:ascii="Calibri" w:hAnsi="Calibri" w:cs="Calibri"/>
          <w:i/>
          <w:iCs/>
          <w:noProof/>
        </w:rPr>
        <w:t>Microbiology</w:t>
      </w:r>
      <w:r w:rsidRPr="00B23662">
        <w:rPr>
          <w:rFonts w:ascii="Calibri" w:hAnsi="Calibri" w:cs="Calibri"/>
          <w:noProof/>
        </w:rPr>
        <w:t xml:space="preserve">, </w:t>
      </w:r>
      <w:r w:rsidRPr="00B23662">
        <w:rPr>
          <w:rFonts w:ascii="Calibri" w:hAnsi="Calibri" w:cs="Calibri"/>
          <w:i/>
          <w:iCs/>
          <w:noProof/>
        </w:rPr>
        <w:t>155</w:t>
      </w:r>
      <w:r w:rsidRPr="00B23662">
        <w:rPr>
          <w:rFonts w:ascii="Calibri" w:hAnsi="Calibri" w:cs="Calibri"/>
          <w:noProof/>
        </w:rPr>
        <w:t>(10), 3166–3175. http://doi.org/10.1099/mic.0.030858-0</w:t>
      </w:r>
    </w:p>
    <w:p w14:paraId="070BBF9E"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Emsley, P., &amp; Cowtan, K. (2004). Coot: model-building tools for molecular graphics. </w:t>
      </w:r>
      <w:r w:rsidRPr="00B23662">
        <w:rPr>
          <w:rFonts w:ascii="Calibri" w:hAnsi="Calibri" w:cs="Calibri"/>
          <w:i/>
          <w:iCs/>
          <w:noProof/>
        </w:rPr>
        <w:t>Acta Crystallographica Section D Biological Crystallography</w:t>
      </w:r>
      <w:r w:rsidRPr="00B23662">
        <w:rPr>
          <w:rFonts w:ascii="Calibri" w:hAnsi="Calibri" w:cs="Calibri"/>
          <w:noProof/>
        </w:rPr>
        <w:t xml:space="preserve">, </w:t>
      </w:r>
      <w:r w:rsidRPr="00B23662">
        <w:rPr>
          <w:rFonts w:ascii="Calibri" w:hAnsi="Calibri" w:cs="Calibri"/>
          <w:i/>
          <w:iCs/>
          <w:noProof/>
        </w:rPr>
        <w:t>60</w:t>
      </w:r>
      <w:r w:rsidRPr="00B23662">
        <w:rPr>
          <w:rFonts w:ascii="Calibri" w:hAnsi="Calibri" w:cs="Calibri"/>
          <w:noProof/>
        </w:rPr>
        <w:t>(12), 2126–2132. Retrieved from http://journals.iucr.org/d/issues/2004/12/01/ba5070/ba5070.pdf</w:t>
      </w:r>
    </w:p>
    <w:p w14:paraId="68C2B4BD"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Fahnoe, K. C., Flanagan, M. E., Gibson, G., Shanmugasundaram, V., Che, Y., &amp; Tomaras, A. P. (2012). Non-traditional antibacterial screening approaches for the identification of novel inhibitors of the glyoxylate shunt in Gram-negative pathogens. </w:t>
      </w:r>
      <w:r w:rsidRPr="00B23662">
        <w:rPr>
          <w:rFonts w:ascii="Calibri" w:hAnsi="Calibri" w:cs="Calibri"/>
          <w:i/>
          <w:iCs/>
          <w:noProof/>
        </w:rPr>
        <w:t>PLoS ONE</w:t>
      </w:r>
      <w:r w:rsidRPr="00B23662">
        <w:rPr>
          <w:rFonts w:ascii="Calibri" w:hAnsi="Calibri" w:cs="Calibri"/>
          <w:noProof/>
        </w:rPr>
        <w:t xml:space="preserve">, </w:t>
      </w:r>
      <w:r w:rsidRPr="00B23662">
        <w:rPr>
          <w:rFonts w:ascii="Calibri" w:hAnsi="Calibri" w:cs="Calibri"/>
          <w:i/>
          <w:iCs/>
          <w:noProof/>
        </w:rPr>
        <w:t>7</w:t>
      </w:r>
      <w:r w:rsidRPr="00B23662">
        <w:rPr>
          <w:rFonts w:ascii="Calibri" w:hAnsi="Calibri" w:cs="Calibri"/>
          <w:noProof/>
        </w:rPr>
        <w:t>(12), 1–7. http://doi.org/10.1371/journal.pone.0051732</w:t>
      </w:r>
    </w:p>
    <w:p w14:paraId="109C942D"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Hayes, D., Laue, T., &amp; Philo, J. (1995). Program Sednterp: sedimentation interpretation program.</w:t>
      </w:r>
    </w:p>
    <w:p w14:paraId="61ED29D5"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Hurley, J. H., Thorsness, P. E., Ramalingam, V., Helmers, N. H., Koshland, D. E., &amp; Stroud, R. M. (1989). Structure of a bacterial enzyme regulated by phosphorylation, isocitrate dehydrogenase. </w:t>
      </w:r>
      <w:r w:rsidRPr="00B23662">
        <w:rPr>
          <w:rFonts w:ascii="Calibri" w:hAnsi="Calibri" w:cs="Calibri"/>
          <w:i/>
          <w:iCs/>
          <w:noProof/>
        </w:rPr>
        <w:t>Proceedings of the National Academy of Sciences</w:t>
      </w:r>
      <w:r w:rsidRPr="00B23662">
        <w:rPr>
          <w:rFonts w:ascii="Calibri" w:hAnsi="Calibri" w:cs="Calibri"/>
          <w:noProof/>
        </w:rPr>
        <w:t xml:space="preserve">, </w:t>
      </w:r>
      <w:r w:rsidRPr="00B23662">
        <w:rPr>
          <w:rFonts w:ascii="Calibri" w:hAnsi="Calibri" w:cs="Calibri"/>
          <w:i/>
          <w:iCs/>
          <w:noProof/>
        </w:rPr>
        <w:t>86</w:t>
      </w:r>
      <w:r w:rsidRPr="00B23662">
        <w:rPr>
          <w:rFonts w:ascii="Calibri" w:hAnsi="Calibri" w:cs="Calibri"/>
          <w:noProof/>
        </w:rPr>
        <w:t>(22), 8635–8639. http://doi.org/10.1073/pnas.86.22.8635</w:t>
      </w:r>
    </w:p>
    <w:p w14:paraId="626AC604"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Kornberg, B., &amp; Madsen, N. B. (1957). Synthesis of C4-dicarboxylic acids from acetate by a ‘glyoxylate bypass’ of the tricarboxylic acid cycle. </w:t>
      </w:r>
      <w:r w:rsidRPr="00B23662">
        <w:rPr>
          <w:rFonts w:ascii="Calibri" w:hAnsi="Calibri" w:cs="Calibri"/>
          <w:i/>
          <w:iCs/>
          <w:noProof/>
        </w:rPr>
        <w:t>Biochimica et Biophysica Acta</w:t>
      </w:r>
      <w:r w:rsidRPr="00B23662">
        <w:rPr>
          <w:rFonts w:ascii="Calibri" w:hAnsi="Calibri" w:cs="Calibri"/>
          <w:noProof/>
        </w:rPr>
        <w:t xml:space="preserve">, </w:t>
      </w:r>
      <w:r w:rsidRPr="00B23662">
        <w:rPr>
          <w:rFonts w:ascii="Calibri" w:hAnsi="Calibri" w:cs="Calibri"/>
          <w:i/>
          <w:iCs/>
          <w:noProof/>
        </w:rPr>
        <w:t>24</w:t>
      </w:r>
      <w:r w:rsidRPr="00B23662">
        <w:rPr>
          <w:rFonts w:ascii="Calibri" w:hAnsi="Calibri" w:cs="Calibri"/>
          <w:noProof/>
        </w:rPr>
        <w:t>, 651–653. http://doi.org/10.1016/0006-3002(57)90268-8</w:t>
      </w:r>
    </w:p>
    <w:p w14:paraId="353B6809"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Kornberg, H. L. (1966). The role and control of the glyoxylate cycle in Escherichia coli. </w:t>
      </w:r>
      <w:r w:rsidRPr="00B23662">
        <w:rPr>
          <w:rFonts w:ascii="Calibri" w:hAnsi="Calibri" w:cs="Calibri"/>
          <w:i/>
          <w:iCs/>
          <w:noProof/>
        </w:rPr>
        <w:t>The Biochemical Journal</w:t>
      </w:r>
      <w:r w:rsidRPr="00B23662">
        <w:rPr>
          <w:rFonts w:ascii="Calibri" w:hAnsi="Calibri" w:cs="Calibri"/>
          <w:noProof/>
        </w:rPr>
        <w:t xml:space="preserve">, </w:t>
      </w:r>
      <w:r w:rsidRPr="00B23662">
        <w:rPr>
          <w:rFonts w:ascii="Calibri" w:hAnsi="Calibri" w:cs="Calibri"/>
          <w:i/>
          <w:iCs/>
          <w:noProof/>
        </w:rPr>
        <w:t>99</w:t>
      </w:r>
      <w:r w:rsidRPr="00B23662">
        <w:rPr>
          <w:rFonts w:ascii="Calibri" w:hAnsi="Calibri" w:cs="Calibri"/>
          <w:noProof/>
        </w:rPr>
        <w:t>(1), 1–11. Retrieved from http://www.ncbi.nlm.nih.gov/pubmed/5337756%5Cnhttp://www.pubmedcentral.nih.gov/articlerender.fcgi?artid=PMC1264949</w:t>
      </w:r>
    </w:p>
    <w:p w14:paraId="43130047"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lastRenderedPageBreak/>
        <w:t xml:space="preserve">Krissinel, E., &amp; Henrick, K. (2007). Inference of macromolecular assemblies from crystalline state. </w:t>
      </w:r>
      <w:r w:rsidRPr="00B23662">
        <w:rPr>
          <w:rFonts w:ascii="Calibri" w:hAnsi="Calibri" w:cs="Calibri"/>
          <w:i/>
          <w:iCs/>
          <w:noProof/>
        </w:rPr>
        <w:t>Journal of Molecular Biology</w:t>
      </w:r>
      <w:r w:rsidRPr="00B23662">
        <w:rPr>
          <w:rFonts w:ascii="Calibri" w:hAnsi="Calibri" w:cs="Calibri"/>
          <w:noProof/>
        </w:rPr>
        <w:t xml:space="preserve">, </w:t>
      </w:r>
      <w:r w:rsidRPr="00B23662">
        <w:rPr>
          <w:rFonts w:ascii="Calibri" w:hAnsi="Calibri" w:cs="Calibri"/>
          <w:i/>
          <w:iCs/>
          <w:noProof/>
        </w:rPr>
        <w:t>372</w:t>
      </w:r>
      <w:r w:rsidRPr="00B23662">
        <w:rPr>
          <w:rFonts w:ascii="Calibri" w:hAnsi="Calibri" w:cs="Calibri"/>
          <w:noProof/>
        </w:rPr>
        <w:t>(3), 774–797. http://doi.org/10.1016/j.jmb.2007.05.022</w:t>
      </w:r>
    </w:p>
    <w:p w14:paraId="4AFE89EB"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Laporte, D. C., Walsh, K., &amp; Koshland, D. E. (1984). The branch point effect ultrasensitivity and subsensitivity to metabolic control. </w:t>
      </w:r>
      <w:r w:rsidRPr="00B23662">
        <w:rPr>
          <w:rFonts w:ascii="Calibri" w:hAnsi="Calibri" w:cs="Calibri"/>
          <w:i/>
          <w:iCs/>
          <w:noProof/>
        </w:rPr>
        <w:t>The Journal of Biological Chemistry</w:t>
      </w:r>
      <w:r w:rsidRPr="00B23662">
        <w:rPr>
          <w:rFonts w:ascii="Calibri" w:hAnsi="Calibri" w:cs="Calibri"/>
          <w:noProof/>
        </w:rPr>
        <w:t xml:space="preserve">, </w:t>
      </w:r>
      <w:r w:rsidRPr="00B23662">
        <w:rPr>
          <w:rFonts w:ascii="Calibri" w:hAnsi="Calibri" w:cs="Calibri"/>
          <w:i/>
          <w:iCs/>
          <w:noProof/>
        </w:rPr>
        <w:t>259</w:t>
      </w:r>
      <w:r w:rsidRPr="00B23662">
        <w:rPr>
          <w:rFonts w:ascii="Calibri" w:hAnsi="Calibri" w:cs="Calibri"/>
          <w:noProof/>
        </w:rPr>
        <w:t>(22), 14068–14075. Retrieved from http://www.jbc.org/content/259/22/14068.full.pdf</w:t>
      </w:r>
    </w:p>
    <w:p w14:paraId="21FDEC51"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Lassek, C., Berger, A., Zühlke, D., Wittmann, C., &amp; Riedel, K. (2016). Proteome and carbon flux analysis of Pseudomonas aeruginosa clinical isolates from different infection sites. </w:t>
      </w:r>
      <w:r w:rsidRPr="00B23662">
        <w:rPr>
          <w:rFonts w:ascii="Calibri" w:hAnsi="Calibri" w:cs="Calibri"/>
          <w:i/>
          <w:iCs/>
          <w:noProof/>
        </w:rPr>
        <w:t>Proteomics</w:t>
      </w:r>
      <w:r w:rsidRPr="00B23662">
        <w:rPr>
          <w:rFonts w:ascii="Calibri" w:hAnsi="Calibri" w:cs="Calibri"/>
          <w:noProof/>
        </w:rPr>
        <w:t xml:space="preserve">, </w:t>
      </w:r>
      <w:r w:rsidRPr="00B23662">
        <w:rPr>
          <w:rFonts w:ascii="Calibri" w:hAnsi="Calibri" w:cs="Calibri"/>
          <w:i/>
          <w:iCs/>
          <w:noProof/>
        </w:rPr>
        <w:t>16</w:t>
      </w:r>
      <w:r w:rsidRPr="00B23662">
        <w:rPr>
          <w:rFonts w:ascii="Calibri" w:hAnsi="Calibri" w:cs="Calibri"/>
          <w:noProof/>
        </w:rPr>
        <w:t>(9), 1381–1385. http://doi.org/10.1002/pmic.201500228</w:t>
      </w:r>
    </w:p>
    <w:p w14:paraId="255FA124"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Lindsey, T. L., Hagins, J. M., Sokol, P. A., &amp; Silo-Suh, L. A. (2008). Virulence determinants from a cystic fibrosis isolate of Pseudomonas aeruginosa include isocitrate lyase. </w:t>
      </w:r>
      <w:r w:rsidRPr="00B23662">
        <w:rPr>
          <w:rFonts w:ascii="Calibri" w:hAnsi="Calibri" w:cs="Calibri"/>
          <w:i/>
          <w:iCs/>
          <w:noProof/>
        </w:rPr>
        <w:t>Microbiology</w:t>
      </w:r>
      <w:r w:rsidRPr="00B23662">
        <w:rPr>
          <w:rFonts w:ascii="Calibri" w:hAnsi="Calibri" w:cs="Calibri"/>
          <w:noProof/>
        </w:rPr>
        <w:t xml:space="preserve">, </w:t>
      </w:r>
      <w:r w:rsidRPr="00B23662">
        <w:rPr>
          <w:rFonts w:ascii="Calibri" w:hAnsi="Calibri" w:cs="Calibri"/>
          <w:i/>
          <w:iCs/>
          <w:noProof/>
        </w:rPr>
        <w:t>154</w:t>
      </w:r>
      <w:r w:rsidRPr="00B23662">
        <w:rPr>
          <w:rFonts w:ascii="Calibri" w:hAnsi="Calibri" w:cs="Calibri"/>
          <w:noProof/>
        </w:rPr>
        <w:t>(6), 1616–1627. http://doi.org/10.1099/mic.0.2007/014506-0</w:t>
      </w:r>
    </w:p>
    <w:p w14:paraId="60B5A104"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McCoy, A. J., Grosse-Kunstleve, R. W., Adams, P. D., Winn, M. D., Storoni, L. C., &amp; Read, R. J. (2007). Phaser crystallographic software. </w:t>
      </w:r>
      <w:r w:rsidRPr="00B23662">
        <w:rPr>
          <w:rFonts w:ascii="Calibri" w:hAnsi="Calibri" w:cs="Calibri"/>
          <w:i/>
          <w:iCs/>
          <w:noProof/>
        </w:rPr>
        <w:t>Journal of Applied Crystallography</w:t>
      </w:r>
      <w:r w:rsidRPr="00B23662">
        <w:rPr>
          <w:rFonts w:ascii="Calibri" w:hAnsi="Calibri" w:cs="Calibri"/>
          <w:noProof/>
        </w:rPr>
        <w:t xml:space="preserve">, </w:t>
      </w:r>
      <w:r w:rsidRPr="00B23662">
        <w:rPr>
          <w:rFonts w:ascii="Calibri" w:hAnsi="Calibri" w:cs="Calibri"/>
          <w:i/>
          <w:iCs/>
          <w:noProof/>
        </w:rPr>
        <w:t>40</w:t>
      </w:r>
      <w:r w:rsidRPr="00B23662">
        <w:rPr>
          <w:rFonts w:ascii="Calibri" w:hAnsi="Calibri" w:cs="Calibri"/>
          <w:noProof/>
        </w:rPr>
        <w:t>(4), 658–674. http://doi.org/10.1107/S0021889807021206</w:t>
      </w:r>
    </w:p>
    <w:p w14:paraId="32EF0679"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McKinney, J. D., Höner zu Bentrup, K., Muñoz-Elías, E. J., Miczak, A., Chen, B., Chan, W. T., … Russell, D. G. (2000). Persistence of Mycobacterium tuberculosis in macrophages and mice requires the glyoxylate shunt enzyme isocitrate lyase. </w:t>
      </w:r>
      <w:r w:rsidRPr="00B23662">
        <w:rPr>
          <w:rFonts w:ascii="Calibri" w:hAnsi="Calibri" w:cs="Calibri"/>
          <w:i/>
          <w:iCs/>
          <w:noProof/>
        </w:rPr>
        <w:t>Letters to Nature</w:t>
      </w:r>
      <w:r w:rsidRPr="00B23662">
        <w:rPr>
          <w:rFonts w:ascii="Calibri" w:hAnsi="Calibri" w:cs="Calibri"/>
          <w:noProof/>
        </w:rPr>
        <w:t xml:space="preserve">, </w:t>
      </w:r>
      <w:r w:rsidRPr="00B23662">
        <w:rPr>
          <w:rFonts w:ascii="Calibri" w:hAnsi="Calibri" w:cs="Calibri"/>
          <w:i/>
          <w:iCs/>
          <w:noProof/>
        </w:rPr>
        <w:t>406</w:t>
      </w:r>
      <w:r w:rsidRPr="00B23662">
        <w:rPr>
          <w:rFonts w:ascii="Calibri" w:hAnsi="Calibri" w:cs="Calibri"/>
          <w:noProof/>
        </w:rPr>
        <w:t>(6797), 735–738. http://doi.org/10.1038/35021074</w:t>
      </w:r>
    </w:p>
    <w:p w14:paraId="16D818A4"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McVey, A. C., Medarametla, P., Chee, X., Bartlett, S., Poso, A., Spring, D. R., … Welch, M. (2017). Structural and functional characterization of malate synthase G from opportunistic pathogen Pseudomonas aeruginosa. </w:t>
      </w:r>
      <w:r w:rsidRPr="00B23662">
        <w:rPr>
          <w:rFonts w:ascii="Calibri" w:hAnsi="Calibri" w:cs="Calibri"/>
          <w:i/>
          <w:iCs/>
          <w:noProof/>
        </w:rPr>
        <w:t>Biochemistry</w:t>
      </w:r>
      <w:r w:rsidRPr="00B23662">
        <w:rPr>
          <w:rFonts w:ascii="Calibri" w:hAnsi="Calibri" w:cs="Calibri"/>
          <w:noProof/>
        </w:rPr>
        <w:t xml:space="preserve">, </w:t>
      </w:r>
      <w:r w:rsidRPr="00B23662">
        <w:rPr>
          <w:rFonts w:ascii="Calibri" w:hAnsi="Calibri" w:cs="Calibri"/>
          <w:i/>
          <w:iCs/>
          <w:noProof/>
        </w:rPr>
        <w:t>56</w:t>
      </w:r>
      <w:r w:rsidRPr="00B23662">
        <w:rPr>
          <w:rFonts w:ascii="Calibri" w:hAnsi="Calibri" w:cs="Calibri"/>
          <w:noProof/>
        </w:rPr>
        <w:t>(1), 5539–5549. http://doi.org/10.1021/acs.biochem.7b00852</w:t>
      </w:r>
    </w:p>
    <w:p w14:paraId="7B360665"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Murima, P., Zimmermann, M., Chopra, T., Pojer, F., Fonti, G., Dal Peraro, M., … Mckinney, J. D. (2016). A rheostat mechanism governs the bifurcation of carbon flux in mycobacteria. </w:t>
      </w:r>
      <w:r w:rsidRPr="00B23662">
        <w:rPr>
          <w:rFonts w:ascii="Calibri" w:hAnsi="Calibri" w:cs="Calibri"/>
          <w:i/>
          <w:iCs/>
          <w:noProof/>
        </w:rPr>
        <w:t>Nature Communications</w:t>
      </w:r>
      <w:r w:rsidRPr="00B23662">
        <w:rPr>
          <w:rFonts w:ascii="Calibri" w:hAnsi="Calibri" w:cs="Calibri"/>
          <w:noProof/>
        </w:rPr>
        <w:t xml:space="preserve">, </w:t>
      </w:r>
      <w:r w:rsidRPr="00B23662">
        <w:rPr>
          <w:rFonts w:ascii="Calibri" w:hAnsi="Calibri" w:cs="Calibri"/>
          <w:i/>
          <w:iCs/>
          <w:noProof/>
        </w:rPr>
        <w:t>7</w:t>
      </w:r>
      <w:r w:rsidRPr="00B23662">
        <w:rPr>
          <w:rFonts w:ascii="Calibri" w:hAnsi="Calibri" w:cs="Calibri"/>
          <w:noProof/>
        </w:rPr>
        <w:t>(1), 12527. http://doi.org/10.1038/ncomms12527</w:t>
      </w:r>
    </w:p>
    <w:p w14:paraId="62A04115"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Murshudov, G. N., Vagin, A. A., &amp; Dodson, E. J. (1997). Refinement of macromolecular structures by the maximum-likelihood method. </w:t>
      </w:r>
      <w:r w:rsidRPr="00B23662">
        <w:rPr>
          <w:rFonts w:ascii="Calibri" w:hAnsi="Calibri" w:cs="Calibri"/>
          <w:i/>
          <w:iCs/>
          <w:noProof/>
        </w:rPr>
        <w:t>Acta Crystallographica Section D Biological Crystallography</w:t>
      </w:r>
      <w:r w:rsidRPr="00B23662">
        <w:rPr>
          <w:rFonts w:ascii="Calibri" w:hAnsi="Calibri" w:cs="Calibri"/>
          <w:noProof/>
        </w:rPr>
        <w:t xml:space="preserve">, </w:t>
      </w:r>
      <w:r w:rsidRPr="00B23662">
        <w:rPr>
          <w:rFonts w:ascii="Calibri" w:hAnsi="Calibri" w:cs="Calibri"/>
          <w:i/>
          <w:iCs/>
          <w:noProof/>
        </w:rPr>
        <w:t>53</w:t>
      </w:r>
      <w:r w:rsidRPr="00B23662">
        <w:rPr>
          <w:rFonts w:ascii="Calibri" w:hAnsi="Calibri" w:cs="Calibri"/>
          <w:noProof/>
        </w:rPr>
        <w:t>(3), 240–255. http://doi.org/10.1107/S0907444996012255</w:t>
      </w:r>
    </w:p>
    <w:p w14:paraId="38EDAE27"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Nimmo, G. A., &amp; Nimmo, H. G. (1984). The regulatory properties of isocitrate dehydrogenase kinase and isocitrate dehydrogenase phosphatase from Escherichia coli ML308 and the roles of these activities in the control of isocitrate dehydrogenase. </w:t>
      </w:r>
      <w:r w:rsidRPr="00B23662">
        <w:rPr>
          <w:rFonts w:ascii="Calibri" w:hAnsi="Calibri" w:cs="Calibri"/>
          <w:i/>
          <w:iCs/>
          <w:noProof/>
        </w:rPr>
        <w:t>European Journal of Biochemistry</w:t>
      </w:r>
      <w:r w:rsidRPr="00B23662">
        <w:rPr>
          <w:rFonts w:ascii="Calibri" w:hAnsi="Calibri" w:cs="Calibri"/>
          <w:noProof/>
        </w:rPr>
        <w:t xml:space="preserve">, </w:t>
      </w:r>
      <w:r w:rsidRPr="00B23662">
        <w:rPr>
          <w:rFonts w:ascii="Calibri" w:hAnsi="Calibri" w:cs="Calibri"/>
          <w:i/>
          <w:iCs/>
          <w:noProof/>
        </w:rPr>
        <w:t>141</w:t>
      </w:r>
      <w:r w:rsidRPr="00B23662">
        <w:rPr>
          <w:rFonts w:ascii="Calibri" w:hAnsi="Calibri" w:cs="Calibri"/>
          <w:noProof/>
        </w:rPr>
        <w:t>(2), 409–414. http://doi.org/10.1111/j.1432-1033.1984.tb08206.x</w:t>
      </w:r>
    </w:p>
    <w:p w14:paraId="113EDABF"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Nimmo, H. G. (1986). Kinetic mechanism of Escherichia coli isocitrate dehydrogenase and its inhibition by glyoxylate and oxaloacetate. </w:t>
      </w:r>
      <w:r w:rsidRPr="00B23662">
        <w:rPr>
          <w:rFonts w:ascii="Calibri" w:hAnsi="Calibri" w:cs="Calibri"/>
          <w:i/>
          <w:iCs/>
          <w:noProof/>
        </w:rPr>
        <w:t>The Biochemical Journal</w:t>
      </w:r>
      <w:r w:rsidRPr="00B23662">
        <w:rPr>
          <w:rFonts w:ascii="Calibri" w:hAnsi="Calibri" w:cs="Calibri"/>
          <w:noProof/>
        </w:rPr>
        <w:t xml:space="preserve">, </w:t>
      </w:r>
      <w:r w:rsidRPr="00B23662">
        <w:rPr>
          <w:rFonts w:ascii="Calibri" w:hAnsi="Calibri" w:cs="Calibri"/>
          <w:i/>
          <w:iCs/>
          <w:noProof/>
        </w:rPr>
        <w:t>234</w:t>
      </w:r>
      <w:r w:rsidRPr="00B23662">
        <w:rPr>
          <w:rFonts w:ascii="Calibri" w:hAnsi="Calibri" w:cs="Calibri"/>
          <w:noProof/>
        </w:rPr>
        <w:t>(2), 317–23.</w:t>
      </w:r>
    </w:p>
    <w:p w14:paraId="335A9D4A"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Rittenhouse, J. W., &amp; McFadden, B. A. (1974). Inhibition of isocitrate lyase from Pseudomonas indigofera by itaconate. </w:t>
      </w:r>
      <w:r w:rsidRPr="00B23662">
        <w:rPr>
          <w:rFonts w:ascii="Calibri" w:hAnsi="Calibri" w:cs="Calibri"/>
          <w:i/>
          <w:iCs/>
          <w:noProof/>
        </w:rPr>
        <w:t>Archives of Biochemistry and Biophysics</w:t>
      </w:r>
      <w:r w:rsidRPr="00B23662">
        <w:rPr>
          <w:rFonts w:ascii="Calibri" w:hAnsi="Calibri" w:cs="Calibri"/>
          <w:noProof/>
        </w:rPr>
        <w:t xml:space="preserve">, </w:t>
      </w:r>
      <w:r w:rsidRPr="00B23662">
        <w:rPr>
          <w:rFonts w:ascii="Calibri" w:hAnsi="Calibri" w:cs="Calibri"/>
          <w:i/>
          <w:iCs/>
          <w:noProof/>
        </w:rPr>
        <w:t>163</w:t>
      </w:r>
      <w:r w:rsidRPr="00B23662">
        <w:rPr>
          <w:rFonts w:ascii="Calibri" w:hAnsi="Calibri" w:cs="Calibri"/>
          <w:noProof/>
        </w:rPr>
        <w:t>(1), 79–86.</w:t>
      </w:r>
    </w:p>
    <w:p w14:paraId="3650F9CC"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Schloss, J. V, &amp; Cleland, W. W. (1982). Inhibition of isocitrate lyase by 3-nitropropionate, a reaction-intermediate analogue. </w:t>
      </w:r>
      <w:r w:rsidRPr="00B23662">
        <w:rPr>
          <w:rFonts w:ascii="Calibri" w:hAnsi="Calibri" w:cs="Calibri"/>
          <w:i/>
          <w:iCs/>
          <w:noProof/>
        </w:rPr>
        <w:t>Biochemistry</w:t>
      </w:r>
      <w:r w:rsidRPr="00B23662">
        <w:rPr>
          <w:rFonts w:ascii="Calibri" w:hAnsi="Calibri" w:cs="Calibri"/>
          <w:noProof/>
        </w:rPr>
        <w:t xml:space="preserve">, </w:t>
      </w:r>
      <w:r w:rsidRPr="00B23662">
        <w:rPr>
          <w:rFonts w:ascii="Calibri" w:hAnsi="Calibri" w:cs="Calibri"/>
          <w:i/>
          <w:iCs/>
          <w:noProof/>
        </w:rPr>
        <w:t>21</w:t>
      </w:r>
      <w:r w:rsidRPr="00B23662">
        <w:rPr>
          <w:rFonts w:ascii="Calibri" w:hAnsi="Calibri" w:cs="Calibri"/>
          <w:noProof/>
        </w:rPr>
        <w:t>(18), 4420–4427. http://doi.org/10.1021/bi00261a035</w:t>
      </w:r>
    </w:p>
    <w:p w14:paraId="5B8BDFC0"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Sharma, V., Sharma, S., Hoener zu Bentrup, K., McKinney, J. D., Russell, D. G., Jacobs, W. R., &amp; Sacchettini, J. C. (2000). Structure of isocitrate lyase, a persistence factor of Mycobacterium tuberculosis. </w:t>
      </w:r>
      <w:r w:rsidRPr="00B23662">
        <w:rPr>
          <w:rFonts w:ascii="Calibri" w:hAnsi="Calibri" w:cs="Calibri"/>
          <w:i/>
          <w:iCs/>
          <w:noProof/>
        </w:rPr>
        <w:t>Nature Structural Biology</w:t>
      </w:r>
      <w:r w:rsidRPr="00B23662">
        <w:rPr>
          <w:rFonts w:ascii="Calibri" w:hAnsi="Calibri" w:cs="Calibri"/>
          <w:noProof/>
        </w:rPr>
        <w:t xml:space="preserve">, </w:t>
      </w:r>
      <w:r w:rsidRPr="00B23662">
        <w:rPr>
          <w:rFonts w:ascii="Calibri" w:hAnsi="Calibri" w:cs="Calibri"/>
          <w:i/>
          <w:iCs/>
          <w:noProof/>
        </w:rPr>
        <w:t>7</w:t>
      </w:r>
      <w:r w:rsidRPr="00B23662">
        <w:rPr>
          <w:rFonts w:ascii="Calibri" w:hAnsi="Calibri" w:cs="Calibri"/>
          <w:noProof/>
        </w:rPr>
        <w:t>(8), 663–668. http://doi.org/10.1038/77964</w:t>
      </w:r>
    </w:p>
    <w:p w14:paraId="20139E05"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Singh, R., Mailloux, R. J., Puiseux-Dao, S., &amp; Appanna, V. D. (2007). Oxidative stress evokes a metabolic adaptation that favors increased NADPH synthesis and decreased NADH production </w:t>
      </w:r>
      <w:r w:rsidRPr="00B23662">
        <w:rPr>
          <w:rFonts w:ascii="Calibri" w:hAnsi="Calibri" w:cs="Calibri"/>
          <w:noProof/>
        </w:rPr>
        <w:lastRenderedPageBreak/>
        <w:t xml:space="preserve">in Pseudomonas fluorescens. </w:t>
      </w:r>
      <w:r w:rsidRPr="00B23662">
        <w:rPr>
          <w:rFonts w:ascii="Calibri" w:hAnsi="Calibri" w:cs="Calibri"/>
          <w:i/>
          <w:iCs/>
          <w:noProof/>
        </w:rPr>
        <w:t>Journal of Bacteriology</w:t>
      </w:r>
      <w:r w:rsidRPr="00B23662">
        <w:rPr>
          <w:rFonts w:ascii="Calibri" w:hAnsi="Calibri" w:cs="Calibri"/>
          <w:noProof/>
        </w:rPr>
        <w:t xml:space="preserve">, </w:t>
      </w:r>
      <w:r w:rsidRPr="00B23662">
        <w:rPr>
          <w:rFonts w:ascii="Calibri" w:hAnsi="Calibri" w:cs="Calibri"/>
          <w:i/>
          <w:iCs/>
          <w:noProof/>
        </w:rPr>
        <w:t>189</w:t>
      </w:r>
      <w:r w:rsidRPr="00B23662">
        <w:rPr>
          <w:rFonts w:ascii="Calibri" w:hAnsi="Calibri" w:cs="Calibri"/>
          <w:noProof/>
        </w:rPr>
        <w:t>(18), 6665–6675. http://doi.org/10.1128/JB.00555-07</w:t>
      </w:r>
    </w:p>
    <w:p w14:paraId="2BA1F46B"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Son, M. S., Matthews, W. J., Kang, Y., Nguyen, D. T., &amp; Hoang, T. T. (2007). In vivo evidence of Pseudomonas aeruginosa nutrient acquisition and pathogenesis in the lungs of cystic fibrosis patients. </w:t>
      </w:r>
      <w:r w:rsidRPr="00B23662">
        <w:rPr>
          <w:rFonts w:ascii="Calibri" w:hAnsi="Calibri" w:cs="Calibri"/>
          <w:i/>
          <w:iCs/>
          <w:noProof/>
        </w:rPr>
        <w:t>Infection and Immunity</w:t>
      </w:r>
      <w:r w:rsidRPr="00B23662">
        <w:rPr>
          <w:rFonts w:ascii="Calibri" w:hAnsi="Calibri" w:cs="Calibri"/>
          <w:noProof/>
        </w:rPr>
        <w:t xml:space="preserve">, </w:t>
      </w:r>
      <w:r w:rsidRPr="00B23662">
        <w:rPr>
          <w:rFonts w:ascii="Calibri" w:hAnsi="Calibri" w:cs="Calibri"/>
          <w:i/>
          <w:iCs/>
          <w:noProof/>
        </w:rPr>
        <w:t>75</w:t>
      </w:r>
      <w:r w:rsidRPr="00B23662">
        <w:rPr>
          <w:rFonts w:ascii="Calibri" w:hAnsi="Calibri" w:cs="Calibri"/>
          <w:noProof/>
        </w:rPr>
        <w:t>(11), 5313–5324. http://doi.org/10.1128/IAI.01807-06</w:t>
      </w:r>
    </w:p>
    <w:p w14:paraId="7F2A7519"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Stoddard, B. L., Cohen, B. E., Brubaker, M., Mesecar, A. D., &amp; Koshland, D. E. (1998). Millisecond Laue structures of an enzyme-product complex using photocaged substrate analogs. </w:t>
      </w:r>
      <w:r w:rsidRPr="00B23662">
        <w:rPr>
          <w:rFonts w:ascii="Calibri" w:hAnsi="Calibri" w:cs="Calibri"/>
          <w:i/>
          <w:iCs/>
          <w:noProof/>
        </w:rPr>
        <w:t>Nature Structural Biology</w:t>
      </w:r>
      <w:r w:rsidRPr="00B23662">
        <w:rPr>
          <w:rFonts w:ascii="Calibri" w:hAnsi="Calibri" w:cs="Calibri"/>
          <w:noProof/>
        </w:rPr>
        <w:t xml:space="preserve">, </w:t>
      </w:r>
      <w:r w:rsidRPr="00B23662">
        <w:rPr>
          <w:rFonts w:ascii="Calibri" w:hAnsi="Calibri" w:cs="Calibri"/>
          <w:i/>
          <w:iCs/>
          <w:noProof/>
        </w:rPr>
        <w:t>5</w:t>
      </w:r>
      <w:r w:rsidRPr="00B23662">
        <w:rPr>
          <w:rFonts w:ascii="Calibri" w:hAnsi="Calibri" w:cs="Calibri"/>
          <w:noProof/>
        </w:rPr>
        <w:t>(10), 891–7. http://doi.org/10.1038/2331</w:t>
      </w:r>
    </w:p>
    <w:p w14:paraId="1ADB442F"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Walsh, K., &amp; Koshland, D. E. (1984). Determination of flux through the branch point of two metabolic cycles. The tricarboxylic acid cycle and the glyoxylate shunt. </w:t>
      </w:r>
      <w:r w:rsidRPr="00B23662">
        <w:rPr>
          <w:rFonts w:ascii="Calibri" w:hAnsi="Calibri" w:cs="Calibri"/>
          <w:i/>
          <w:iCs/>
          <w:noProof/>
        </w:rPr>
        <w:t>The Journal of Biological Chemistry</w:t>
      </w:r>
      <w:r w:rsidRPr="00B23662">
        <w:rPr>
          <w:rFonts w:ascii="Calibri" w:hAnsi="Calibri" w:cs="Calibri"/>
          <w:noProof/>
        </w:rPr>
        <w:t xml:space="preserve">, </w:t>
      </w:r>
      <w:r w:rsidRPr="00B23662">
        <w:rPr>
          <w:rFonts w:ascii="Calibri" w:hAnsi="Calibri" w:cs="Calibri"/>
          <w:i/>
          <w:iCs/>
          <w:noProof/>
        </w:rPr>
        <w:t>259</w:t>
      </w:r>
      <w:r w:rsidRPr="00B23662">
        <w:rPr>
          <w:rFonts w:ascii="Calibri" w:hAnsi="Calibri" w:cs="Calibri"/>
          <w:noProof/>
        </w:rPr>
        <w:t>(15), 9646–9654. Retrieved from http://www.jbc.org/content/259/15/9646.full.pdf</w:t>
      </w:r>
    </w:p>
    <w:p w14:paraId="68D37B8A"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Walsh, K., &amp; Koshland, D. E. (1985). Branch point control by the phosphorylation state of isocitrate dehydrogenase: A quantitative examination of fluxes during a regulatory transition. </w:t>
      </w:r>
      <w:r w:rsidRPr="00B23662">
        <w:rPr>
          <w:rFonts w:ascii="Calibri" w:hAnsi="Calibri" w:cs="Calibri"/>
          <w:i/>
          <w:iCs/>
          <w:noProof/>
        </w:rPr>
        <w:t>The Journal of Biological Chemistry</w:t>
      </w:r>
      <w:r w:rsidRPr="00B23662">
        <w:rPr>
          <w:rFonts w:ascii="Calibri" w:hAnsi="Calibri" w:cs="Calibri"/>
          <w:noProof/>
        </w:rPr>
        <w:t xml:space="preserve">, </w:t>
      </w:r>
      <w:r w:rsidRPr="00B23662">
        <w:rPr>
          <w:rFonts w:ascii="Calibri" w:hAnsi="Calibri" w:cs="Calibri"/>
          <w:i/>
          <w:iCs/>
          <w:noProof/>
        </w:rPr>
        <w:t>260</w:t>
      </w:r>
      <w:r w:rsidRPr="00B23662">
        <w:rPr>
          <w:rFonts w:ascii="Calibri" w:hAnsi="Calibri" w:cs="Calibri"/>
          <w:noProof/>
        </w:rPr>
        <w:t>(14), 8430–8437. Retrieved from http://www.jbc.org/content/260/14/8430.full.pdf</w:t>
      </w:r>
    </w:p>
    <w:p w14:paraId="14374D61"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Winter, G., &amp; McAuley, K. E. (2011). Automated data collection for macromolecular crystallography. </w:t>
      </w:r>
      <w:r w:rsidRPr="00B23662">
        <w:rPr>
          <w:rFonts w:ascii="Calibri" w:hAnsi="Calibri" w:cs="Calibri"/>
          <w:i/>
          <w:iCs/>
          <w:noProof/>
        </w:rPr>
        <w:t>Methods</w:t>
      </w:r>
      <w:r w:rsidRPr="00B23662">
        <w:rPr>
          <w:rFonts w:ascii="Calibri" w:hAnsi="Calibri" w:cs="Calibri"/>
          <w:noProof/>
        </w:rPr>
        <w:t xml:space="preserve">, </w:t>
      </w:r>
      <w:r w:rsidRPr="00B23662">
        <w:rPr>
          <w:rFonts w:ascii="Calibri" w:hAnsi="Calibri" w:cs="Calibri"/>
          <w:i/>
          <w:iCs/>
          <w:noProof/>
        </w:rPr>
        <w:t>55</w:t>
      </w:r>
      <w:r w:rsidRPr="00B23662">
        <w:rPr>
          <w:rFonts w:ascii="Calibri" w:hAnsi="Calibri" w:cs="Calibri"/>
          <w:noProof/>
        </w:rPr>
        <w:t>(1), 81–93. http://doi.org/10.1016/J.YMETH.2011.06.010</w:t>
      </w:r>
    </w:p>
    <w:p w14:paraId="28A03976"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Wyatt, P. J. (1993). Light scattering and the absolute characterization of macromolecules. </w:t>
      </w:r>
      <w:r w:rsidRPr="00B23662">
        <w:rPr>
          <w:rFonts w:ascii="Calibri" w:hAnsi="Calibri" w:cs="Calibri"/>
          <w:i/>
          <w:iCs/>
          <w:noProof/>
        </w:rPr>
        <w:t>Analytica Chimica Acta</w:t>
      </w:r>
      <w:r w:rsidRPr="00B23662">
        <w:rPr>
          <w:rFonts w:ascii="Calibri" w:hAnsi="Calibri" w:cs="Calibri"/>
          <w:noProof/>
        </w:rPr>
        <w:t xml:space="preserve">, </w:t>
      </w:r>
      <w:r w:rsidRPr="00B23662">
        <w:rPr>
          <w:rFonts w:ascii="Calibri" w:hAnsi="Calibri" w:cs="Calibri"/>
          <w:i/>
          <w:iCs/>
          <w:noProof/>
        </w:rPr>
        <w:t>272</w:t>
      </w:r>
      <w:r w:rsidRPr="00B23662">
        <w:rPr>
          <w:rFonts w:ascii="Calibri" w:hAnsi="Calibri" w:cs="Calibri"/>
          <w:noProof/>
        </w:rPr>
        <w:t>(1), 1–40. http://doi.org/10.1016/0003-2670(93)80373-S</w:t>
      </w:r>
    </w:p>
    <w:p w14:paraId="25C938B0"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Yasutake, Y., Watanabe, S., Yao, M., Takada, Y., Fukunaga, N., &amp; Tanaka, I. (2002). Structure of the monomeric isocitrate dehydrogenase: Evidence of a protein monomerization by a domain duplication. </w:t>
      </w:r>
      <w:r w:rsidRPr="00B23662">
        <w:rPr>
          <w:rFonts w:ascii="Calibri" w:hAnsi="Calibri" w:cs="Calibri"/>
          <w:i/>
          <w:iCs/>
          <w:noProof/>
        </w:rPr>
        <w:t>Structure</w:t>
      </w:r>
      <w:r w:rsidRPr="00B23662">
        <w:rPr>
          <w:rFonts w:ascii="Calibri" w:hAnsi="Calibri" w:cs="Calibri"/>
          <w:noProof/>
        </w:rPr>
        <w:t xml:space="preserve">, </w:t>
      </w:r>
      <w:r w:rsidRPr="00B23662">
        <w:rPr>
          <w:rFonts w:ascii="Calibri" w:hAnsi="Calibri" w:cs="Calibri"/>
          <w:i/>
          <w:iCs/>
          <w:noProof/>
        </w:rPr>
        <w:t>10</w:t>
      </w:r>
      <w:r w:rsidRPr="00B23662">
        <w:rPr>
          <w:rFonts w:ascii="Calibri" w:hAnsi="Calibri" w:cs="Calibri"/>
          <w:noProof/>
        </w:rPr>
        <w:t>(12), 1637–1648. http://doi.org/10.1016/S0969-2126(02)00904-8</w:t>
      </w:r>
    </w:p>
    <w:p w14:paraId="33908317"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Zhao, H., Brautigam, C. A., Ghirlando, R., &amp; Schuck, P. (2013). Current methods in sedimentation velocity and sedimentation equilibrium analytical ultracentrifugation. </w:t>
      </w:r>
      <w:r w:rsidRPr="00B23662">
        <w:rPr>
          <w:rFonts w:ascii="Calibri" w:hAnsi="Calibri" w:cs="Calibri"/>
          <w:i/>
          <w:iCs/>
          <w:noProof/>
        </w:rPr>
        <w:t>Current Protocols in Protein Science</w:t>
      </w:r>
      <w:r w:rsidRPr="00B23662">
        <w:rPr>
          <w:rFonts w:ascii="Calibri" w:hAnsi="Calibri" w:cs="Calibri"/>
          <w:noProof/>
        </w:rPr>
        <w:t>. http://doi.org/10.1002/0471140864.ps2012s71</w:t>
      </w:r>
    </w:p>
    <w:p w14:paraId="4A01EA50" w14:textId="77777777" w:rsidR="00B23662" w:rsidRPr="00B23662" w:rsidRDefault="00B23662" w:rsidP="00B23662">
      <w:pPr>
        <w:widowControl w:val="0"/>
        <w:autoSpaceDE w:val="0"/>
        <w:autoSpaceDN w:val="0"/>
        <w:adjustRightInd w:val="0"/>
        <w:spacing w:line="240" w:lineRule="auto"/>
        <w:ind w:left="480" w:hanging="480"/>
        <w:rPr>
          <w:rFonts w:ascii="Calibri" w:hAnsi="Calibri" w:cs="Calibri"/>
          <w:noProof/>
        </w:rPr>
      </w:pPr>
      <w:r w:rsidRPr="00B23662">
        <w:rPr>
          <w:rFonts w:ascii="Calibri" w:hAnsi="Calibri" w:cs="Calibri"/>
          <w:noProof/>
        </w:rPr>
        <w:t xml:space="preserve">Zheng, J., Lee, D. C., &amp; Jia, Z. (2009). Purification, crystallization and preliminary X-ray analysis of isocitrate dehydrogenase kinase/phosphatase from Escherichia coli. </w:t>
      </w:r>
      <w:r w:rsidRPr="00B23662">
        <w:rPr>
          <w:rFonts w:ascii="Calibri" w:hAnsi="Calibri" w:cs="Calibri"/>
          <w:i/>
          <w:iCs/>
          <w:noProof/>
        </w:rPr>
        <w:t>Acta Crystallographica Section F Structural Biology and Crystallization Communications</w:t>
      </w:r>
      <w:r w:rsidRPr="00B23662">
        <w:rPr>
          <w:rFonts w:ascii="Calibri" w:hAnsi="Calibri" w:cs="Calibri"/>
          <w:noProof/>
        </w:rPr>
        <w:t xml:space="preserve">, </w:t>
      </w:r>
      <w:r w:rsidRPr="00B23662">
        <w:rPr>
          <w:rFonts w:ascii="Calibri" w:hAnsi="Calibri" w:cs="Calibri"/>
          <w:i/>
          <w:iCs/>
          <w:noProof/>
        </w:rPr>
        <w:t>65</w:t>
      </w:r>
      <w:r w:rsidRPr="00B23662">
        <w:rPr>
          <w:rFonts w:ascii="Calibri" w:hAnsi="Calibri" w:cs="Calibri"/>
          <w:noProof/>
        </w:rPr>
        <w:t>(5), 536–539. http://doi.org/10.1107/S1744309109014729</w:t>
      </w:r>
    </w:p>
    <w:p w14:paraId="6B41D90A" w14:textId="62A20C3A" w:rsidR="00C80276" w:rsidRDefault="00CE1713" w:rsidP="00B23662">
      <w:pPr>
        <w:widowControl w:val="0"/>
        <w:autoSpaceDE w:val="0"/>
        <w:autoSpaceDN w:val="0"/>
        <w:adjustRightInd w:val="0"/>
        <w:spacing w:line="240" w:lineRule="auto"/>
        <w:ind w:left="480" w:hanging="480"/>
      </w:pPr>
      <w:r w:rsidRPr="002C4A55">
        <w:fldChar w:fldCharType="end"/>
      </w:r>
    </w:p>
    <w:p w14:paraId="58304E9D" w14:textId="77777777" w:rsidR="00E65DD6" w:rsidRDefault="00E65DD6" w:rsidP="00426C2E">
      <w:pPr>
        <w:widowControl w:val="0"/>
        <w:autoSpaceDE w:val="0"/>
        <w:autoSpaceDN w:val="0"/>
        <w:adjustRightInd w:val="0"/>
        <w:spacing w:line="240" w:lineRule="auto"/>
        <w:ind w:left="640" w:hanging="640"/>
        <w:jc w:val="both"/>
      </w:pPr>
    </w:p>
    <w:p w14:paraId="2C5695EC" w14:textId="77777777" w:rsidR="00B641C2" w:rsidRDefault="00B641C2" w:rsidP="00426C2E">
      <w:pPr>
        <w:widowControl w:val="0"/>
        <w:autoSpaceDE w:val="0"/>
        <w:autoSpaceDN w:val="0"/>
        <w:adjustRightInd w:val="0"/>
        <w:spacing w:line="240" w:lineRule="auto"/>
        <w:ind w:left="640" w:hanging="640"/>
        <w:jc w:val="both"/>
      </w:pPr>
    </w:p>
    <w:p w14:paraId="10C24A7D" w14:textId="77777777" w:rsidR="00B641C2" w:rsidRDefault="00B641C2" w:rsidP="00426C2E">
      <w:pPr>
        <w:widowControl w:val="0"/>
        <w:autoSpaceDE w:val="0"/>
        <w:autoSpaceDN w:val="0"/>
        <w:adjustRightInd w:val="0"/>
        <w:spacing w:line="240" w:lineRule="auto"/>
        <w:ind w:left="640" w:hanging="640"/>
        <w:jc w:val="both"/>
      </w:pPr>
    </w:p>
    <w:p w14:paraId="08B06964" w14:textId="77777777" w:rsidR="00B641C2" w:rsidRDefault="00B641C2" w:rsidP="00426C2E">
      <w:pPr>
        <w:widowControl w:val="0"/>
        <w:autoSpaceDE w:val="0"/>
        <w:autoSpaceDN w:val="0"/>
        <w:adjustRightInd w:val="0"/>
        <w:spacing w:line="240" w:lineRule="auto"/>
        <w:ind w:left="640" w:hanging="640"/>
        <w:jc w:val="both"/>
      </w:pPr>
    </w:p>
    <w:p w14:paraId="72C7DBD8" w14:textId="77777777" w:rsidR="00B641C2" w:rsidRDefault="00B641C2" w:rsidP="00426C2E">
      <w:pPr>
        <w:widowControl w:val="0"/>
        <w:autoSpaceDE w:val="0"/>
        <w:autoSpaceDN w:val="0"/>
        <w:adjustRightInd w:val="0"/>
        <w:spacing w:line="240" w:lineRule="auto"/>
        <w:ind w:left="640" w:hanging="640"/>
        <w:jc w:val="both"/>
      </w:pPr>
    </w:p>
    <w:p w14:paraId="7849E859" w14:textId="77777777" w:rsidR="00B641C2" w:rsidRDefault="00B641C2" w:rsidP="00426C2E">
      <w:pPr>
        <w:widowControl w:val="0"/>
        <w:autoSpaceDE w:val="0"/>
        <w:autoSpaceDN w:val="0"/>
        <w:adjustRightInd w:val="0"/>
        <w:spacing w:line="240" w:lineRule="auto"/>
        <w:ind w:left="640" w:hanging="640"/>
        <w:jc w:val="both"/>
      </w:pPr>
    </w:p>
    <w:p w14:paraId="46639A57" w14:textId="77777777" w:rsidR="00B641C2" w:rsidRDefault="00B641C2" w:rsidP="00426C2E">
      <w:pPr>
        <w:widowControl w:val="0"/>
        <w:autoSpaceDE w:val="0"/>
        <w:autoSpaceDN w:val="0"/>
        <w:adjustRightInd w:val="0"/>
        <w:spacing w:line="240" w:lineRule="auto"/>
        <w:ind w:left="640" w:hanging="640"/>
        <w:jc w:val="both"/>
      </w:pPr>
    </w:p>
    <w:p w14:paraId="7624C6C1" w14:textId="77777777" w:rsidR="00B641C2" w:rsidRDefault="00B641C2" w:rsidP="00426C2E">
      <w:pPr>
        <w:widowControl w:val="0"/>
        <w:autoSpaceDE w:val="0"/>
        <w:autoSpaceDN w:val="0"/>
        <w:adjustRightInd w:val="0"/>
        <w:spacing w:line="240" w:lineRule="auto"/>
        <w:ind w:left="640" w:hanging="640"/>
        <w:jc w:val="both"/>
      </w:pPr>
    </w:p>
    <w:p w14:paraId="7BE9E16E" w14:textId="77777777" w:rsidR="00B641C2" w:rsidRDefault="00B641C2" w:rsidP="00426C2E">
      <w:pPr>
        <w:widowControl w:val="0"/>
        <w:autoSpaceDE w:val="0"/>
        <w:autoSpaceDN w:val="0"/>
        <w:adjustRightInd w:val="0"/>
        <w:spacing w:line="240" w:lineRule="auto"/>
        <w:ind w:left="640" w:hanging="640"/>
        <w:jc w:val="both"/>
      </w:pPr>
    </w:p>
    <w:p w14:paraId="567A3AF6" w14:textId="77777777" w:rsidR="00B641C2" w:rsidRDefault="00B641C2" w:rsidP="00426C2E">
      <w:pPr>
        <w:widowControl w:val="0"/>
        <w:autoSpaceDE w:val="0"/>
        <w:autoSpaceDN w:val="0"/>
        <w:adjustRightInd w:val="0"/>
        <w:spacing w:line="240" w:lineRule="auto"/>
        <w:ind w:left="640" w:hanging="640"/>
        <w:jc w:val="both"/>
      </w:pPr>
    </w:p>
    <w:p w14:paraId="7D27CA29" w14:textId="77777777" w:rsidR="00B641C2" w:rsidRPr="004E7EFB" w:rsidRDefault="00B641C2" w:rsidP="00B641C2">
      <w:pPr>
        <w:widowControl w:val="0"/>
        <w:autoSpaceDE w:val="0"/>
        <w:autoSpaceDN w:val="0"/>
        <w:adjustRightInd w:val="0"/>
        <w:spacing w:line="240" w:lineRule="auto"/>
        <w:jc w:val="both"/>
      </w:pPr>
      <w:r>
        <w:rPr>
          <w:noProof/>
          <w:lang w:eastAsia="en-GB"/>
        </w:rPr>
        <w:lastRenderedPageBreak/>
        <w:drawing>
          <wp:inline distT="0" distB="0" distL="0" distR="0" wp14:anchorId="2075B7C4" wp14:editId="5F179C10">
            <wp:extent cx="5695950" cy="3855778"/>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tif"/>
                    <pic:cNvPicPr/>
                  </pic:nvPicPr>
                  <pic:blipFill rotWithShape="1">
                    <a:blip r:embed="rId6">
                      <a:extLst>
                        <a:ext uri="{28A0092B-C50C-407E-A947-70E740481C1C}">
                          <a14:useLocalDpi xmlns:a14="http://schemas.microsoft.com/office/drawing/2010/main" val="0"/>
                        </a:ext>
                      </a:extLst>
                    </a:blip>
                    <a:srcRect r="16907"/>
                    <a:stretch/>
                  </pic:blipFill>
                  <pic:spPr bwMode="auto">
                    <a:xfrm>
                      <a:off x="0" y="0"/>
                      <a:ext cx="5698702" cy="3857641"/>
                    </a:xfrm>
                    <a:prstGeom prst="rect">
                      <a:avLst/>
                    </a:prstGeom>
                    <a:ln>
                      <a:noFill/>
                    </a:ln>
                    <a:extLst>
                      <a:ext uri="{53640926-AAD7-44D8-BBD7-CCE9431645EC}">
                        <a14:shadowObscured xmlns:a14="http://schemas.microsoft.com/office/drawing/2010/main"/>
                      </a:ext>
                    </a:extLst>
                  </pic:spPr>
                </pic:pic>
              </a:graphicData>
            </a:graphic>
          </wp:inline>
        </w:drawing>
      </w:r>
    </w:p>
    <w:p w14:paraId="7A8376E9" w14:textId="77777777" w:rsidR="00B641C2" w:rsidRDefault="00B641C2" w:rsidP="00B641C2">
      <w:pPr>
        <w:widowControl w:val="0"/>
        <w:autoSpaceDE w:val="0"/>
        <w:autoSpaceDN w:val="0"/>
        <w:adjustRightInd w:val="0"/>
        <w:spacing w:line="240" w:lineRule="auto"/>
        <w:jc w:val="both"/>
      </w:pPr>
      <w:r w:rsidRPr="00E20639">
        <w:rPr>
          <w:b/>
        </w:rPr>
        <w:t>Figure 1.</w:t>
      </w:r>
      <w:r w:rsidRPr="00C80276">
        <w:t xml:space="preserve"> </w:t>
      </w:r>
      <w:r>
        <w:t xml:space="preserve">Structure of </w:t>
      </w:r>
      <w:r w:rsidRPr="00DA2CA7">
        <w:rPr>
          <w:i/>
        </w:rPr>
        <w:t>P. aeruginosa</w:t>
      </w:r>
      <w:r>
        <w:t xml:space="preserve"> ICL. </w:t>
      </w:r>
      <w:r w:rsidRPr="008702B5">
        <w:rPr>
          <w:b/>
        </w:rPr>
        <w:t>(A)</w:t>
      </w:r>
      <w:r w:rsidRPr="00C80276">
        <w:t xml:space="preserve"> Cartoon representation of</w:t>
      </w:r>
      <w:r>
        <w:t xml:space="preserve"> a single</w:t>
      </w:r>
      <w:r w:rsidRPr="00C80276">
        <w:t xml:space="preserve"> </w:t>
      </w:r>
      <w:r w:rsidRPr="00C80276">
        <w:rPr>
          <w:i/>
          <w:iCs/>
        </w:rPr>
        <w:t>iso</w:t>
      </w:r>
      <w:r w:rsidRPr="00C80276">
        <w:t xml:space="preserve">citrate lyase </w:t>
      </w:r>
      <w:r>
        <w:t xml:space="preserve">protomer </w:t>
      </w:r>
      <w:r w:rsidRPr="00C80276">
        <w:t xml:space="preserve">from </w:t>
      </w:r>
      <w:r w:rsidRPr="00C80276">
        <w:rPr>
          <w:i/>
          <w:iCs/>
        </w:rPr>
        <w:t>P. aeruginosa</w:t>
      </w:r>
      <w:r>
        <w:t xml:space="preserve"> (PDB 6G1O). The </w:t>
      </w:r>
      <w:r w:rsidRPr="00C80276">
        <w:t>bound Ca</w:t>
      </w:r>
      <w:r w:rsidRPr="00C80276">
        <w:rPr>
          <w:vertAlign w:val="superscript"/>
        </w:rPr>
        <w:t xml:space="preserve">2+ </w:t>
      </w:r>
      <w:r w:rsidRPr="00C80276">
        <w:t>and glyoxylate</w:t>
      </w:r>
      <w:r>
        <w:t xml:space="preserve"> are indicated</w:t>
      </w:r>
      <w:r w:rsidRPr="00C80276">
        <w:t xml:space="preserve"> </w:t>
      </w:r>
      <w:r>
        <w:t>with a</w:t>
      </w:r>
      <w:r w:rsidRPr="00C80276">
        <w:t xml:space="preserve"> red circle. </w:t>
      </w:r>
      <w:r w:rsidRPr="008702B5">
        <w:rPr>
          <w:b/>
        </w:rPr>
        <w:t>(B)</w:t>
      </w:r>
      <w:r w:rsidRPr="00C80276">
        <w:t xml:space="preserve"> </w:t>
      </w:r>
      <w:r>
        <w:t>Q</w:t>
      </w:r>
      <w:r w:rsidRPr="00C80276">
        <w:t xml:space="preserve">uaternary structure </w:t>
      </w:r>
      <w:r>
        <w:t xml:space="preserve">of the </w:t>
      </w:r>
      <w:r w:rsidRPr="008702B5">
        <w:rPr>
          <w:i/>
        </w:rPr>
        <w:t>iso</w:t>
      </w:r>
      <w:r>
        <w:t>citrate lyase in the crystal. Note t</w:t>
      </w:r>
      <w:r w:rsidRPr="00C80276">
        <w:t xml:space="preserve">he </w:t>
      </w:r>
      <w:r w:rsidRPr="008702B5">
        <w:rPr>
          <w:rFonts w:ascii="Symbol" w:hAnsi="Symbol"/>
        </w:rPr>
        <w:t></w:t>
      </w:r>
      <w:r>
        <w:t xml:space="preserve"> strand-rich </w:t>
      </w:r>
      <w:r w:rsidRPr="00C80276">
        <w:t xml:space="preserve">head domains on either side of the tetramer </w:t>
      </w:r>
      <w:r>
        <w:t xml:space="preserve">and the </w:t>
      </w:r>
      <w:r w:rsidRPr="008702B5">
        <w:rPr>
          <w:rFonts w:ascii="Symbol" w:hAnsi="Symbol"/>
        </w:rPr>
        <w:t></w:t>
      </w:r>
      <w:r w:rsidRPr="008702B5">
        <w:rPr>
          <w:rFonts w:ascii="Symbol" w:hAnsi="Symbol"/>
        </w:rPr>
        <w:t></w:t>
      </w:r>
      <w:r>
        <w:t>helical projections (</w:t>
      </w:r>
      <w:r w:rsidRPr="00210867">
        <w:rPr>
          <w:rFonts w:ascii="Symbol" w:hAnsi="Symbol"/>
        </w:rPr>
        <w:t></w:t>
      </w:r>
      <w:r>
        <w:t xml:space="preserve">13 and </w:t>
      </w:r>
      <w:r w:rsidRPr="00210867">
        <w:rPr>
          <w:rFonts w:ascii="Symbol" w:hAnsi="Symbol"/>
        </w:rPr>
        <w:t></w:t>
      </w:r>
      <w:r>
        <w:t>14 in each protomer) above and below the structure</w:t>
      </w:r>
      <w:r w:rsidRPr="00C80276">
        <w:t>.</w:t>
      </w:r>
      <w:r>
        <w:t xml:space="preserve"> The Ca</w:t>
      </w:r>
      <w:r w:rsidRPr="008702B5">
        <w:rPr>
          <w:vertAlign w:val="superscript"/>
        </w:rPr>
        <w:t xml:space="preserve">2+ </w:t>
      </w:r>
      <w:r>
        <w:t>and glyoxylate in one of the protomers are circled.</w:t>
      </w:r>
      <w:r w:rsidRPr="00C80276">
        <w:t xml:space="preserve"> </w:t>
      </w:r>
      <w:r w:rsidRPr="008702B5">
        <w:rPr>
          <w:b/>
        </w:rPr>
        <w:t>(C)</w:t>
      </w:r>
      <w:r w:rsidRPr="00C80276">
        <w:t xml:space="preserve"> Superposition of </w:t>
      </w:r>
      <w:r w:rsidRPr="008702B5">
        <w:rPr>
          <w:i/>
        </w:rPr>
        <w:t>P. aeruginosa</w:t>
      </w:r>
      <w:r>
        <w:t xml:space="preserve"> ICL</w:t>
      </w:r>
      <w:r w:rsidRPr="00C80276">
        <w:t xml:space="preserve"> (green), </w:t>
      </w:r>
      <w:r>
        <w:rPr>
          <w:i/>
        </w:rPr>
        <w:t>M. tuberculosis</w:t>
      </w:r>
      <w:r>
        <w:t xml:space="preserve"> ICL</w:t>
      </w:r>
      <w:r w:rsidRPr="00C80276">
        <w:t xml:space="preserve"> (purple, PDB 1F8I) and </w:t>
      </w:r>
      <w:r>
        <w:rPr>
          <w:i/>
        </w:rPr>
        <w:t>E. coli</w:t>
      </w:r>
      <w:r>
        <w:t xml:space="preserve"> ICL</w:t>
      </w:r>
      <w:r w:rsidRPr="00C80276">
        <w:t xml:space="preserve"> (red, PDB 1IGW)</w:t>
      </w:r>
      <w:r>
        <w:t xml:space="preserve"> revealing that the catalytic core of the enzyme is highly conserved.</w:t>
      </w:r>
      <w:r w:rsidRPr="00C80276">
        <w:t xml:space="preserve"> </w:t>
      </w:r>
      <w:r>
        <w:t xml:space="preserve">Consistent with this, the root mean square deviation (RMSD) between </w:t>
      </w:r>
      <w:r w:rsidRPr="0074145B">
        <w:rPr>
          <w:i/>
        </w:rPr>
        <w:t>P. aeruginosa</w:t>
      </w:r>
      <w:r>
        <w:t xml:space="preserve"> and </w:t>
      </w:r>
      <w:r w:rsidRPr="0074145B">
        <w:rPr>
          <w:i/>
        </w:rPr>
        <w:t>E. coli</w:t>
      </w:r>
      <w:r>
        <w:t xml:space="preserve"> ICL is 1.35 </w:t>
      </w:r>
      <w:r w:rsidRPr="00C80276">
        <w:t>Å</w:t>
      </w:r>
      <w:r>
        <w:t xml:space="preserve">, and the RMSD between </w:t>
      </w:r>
      <w:r w:rsidRPr="0074145B">
        <w:rPr>
          <w:i/>
        </w:rPr>
        <w:t>P. aeruginosa</w:t>
      </w:r>
      <w:r>
        <w:t xml:space="preserve"> and </w:t>
      </w:r>
      <w:r w:rsidRPr="0074145B">
        <w:rPr>
          <w:i/>
        </w:rPr>
        <w:t>M. tuberculosis</w:t>
      </w:r>
      <w:r>
        <w:t xml:space="preserve"> ICL is 1.30 </w:t>
      </w:r>
      <w:r w:rsidRPr="00C80276">
        <w:t>Å</w:t>
      </w:r>
      <w:r>
        <w:t xml:space="preserve">. However, note how </w:t>
      </w:r>
      <w:r w:rsidRPr="00C80276">
        <w:rPr>
          <w:rFonts w:ascii="Cambria Math" w:hAnsi="Cambria Math" w:cs="Cambria Math"/>
        </w:rPr>
        <w:t>⍺</w:t>
      </w:r>
      <w:r>
        <w:t xml:space="preserve">1 and </w:t>
      </w:r>
      <w:r w:rsidRPr="008702B5">
        <w:rPr>
          <w:rFonts w:ascii="Symbol" w:hAnsi="Symbol"/>
        </w:rPr>
        <w:t></w:t>
      </w:r>
      <w:r>
        <w:t xml:space="preserve">2 are flipped by 180° in </w:t>
      </w:r>
      <w:r w:rsidRPr="008702B5">
        <w:rPr>
          <w:i/>
        </w:rPr>
        <w:t>P. aeruginosa</w:t>
      </w:r>
      <w:r>
        <w:t xml:space="preserve"> ICL, the extended helices</w:t>
      </w:r>
      <w:r w:rsidRPr="00C80276">
        <w:t xml:space="preserve"> </w:t>
      </w:r>
      <w:r w:rsidRPr="00C80276">
        <w:rPr>
          <w:rFonts w:ascii="Cambria Math" w:hAnsi="Cambria Math" w:cs="Cambria Math"/>
        </w:rPr>
        <w:t>⍺</w:t>
      </w:r>
      <w:r>
        <w:t xml:space="preserve">13 and </w:t>
      </w:r>
      <w:r w:rsidRPr="008702B5">
        <w:rPr>
          <w:rFonts w:ascii="Symbol" w:hAnsi="Symbol"/>
        </w:rPr>
        <w:t></w:t>
      </w:r>
      <w:r>
        <w:t xml:space="preserve">14, </w:t>
      </w:r>
      <w:r w:rsidRPr="00C80276">
        <w:t xml:space="preserve">and </w:t>
      </w:r>
      <w:r>
        <w:t xml:space="preserve">the presence of a head-domain (absent from </w:t>
      </w:r>
      <w:r w:rsidRPr="0074145B">
        <w:rPr>
          <w:i/>
        </w:rPr>
        <w:t>M. tuberculosis</w:t>
      </w:r>
      <w:r>
        <w:t xml:space="preserve"> and </w:t>
      </w:r>
      <w:r w:rsidRPr="0074145B">
        <w:rPr>
          <w:i/>
        </w:rPr>
        <w:t>E. coli</w:t>
      </w:r>
      <w:r>
        <w:t xml:space="preserve"> ICL. </w:t>
      </w:r>
      <w:r w:rsidRPr="0074145B">
        <w:rPr>
          <w:b/>
        </w:rPr>
        <w:t>(D)</w:t>
      </w:r>
      <w:r w:rsidRPr="00C80276">
        <w:t xml:space="preserve"> </w:t>
      </w:r>
      <w:r>
        <w:t xml:space="preserve">Conserved active site residues in </w:t>
      </w:r>
      <w:r w:rsidRPr="0074145B">
        <w:rPr>
          <w:i/>
        </w:rPr>
        <w:t>P. aeruginosa</w:t>
      </w:r>
      <w:r>
        <w:t xml:space="preserve"> ICL. The </w:t>
      </w:r>
      <w:r w:rsidRPr="00737FEC">
        <w:rPr>
          <w:rFonts w:ascii="Symbol" w:hAnsi="Symbol"/>
        </w:rPr>
        <w:t></w:t>
      </w:r>
      <w:r>
        <w:t>4-</w:t>
      </w:r>
      <w:r w:rsidRPr="00737FEC">
        <w:rPr>
          <w:rFonts w:ascii="Symbol" w:hAnsi="Symbol"/>
        </w:rPr>
        <w:t></w:t>
      </w:r>
      <w:r>
        <w:t xml:space="preserve">5 loop containing the general base, Cys222, is highlighted. </w:t>
      </w:r>
      <w:r w:rsidRPr="00EC0473">
        <w:t>The electron density map for glyoxylate and Ca</w:t>
      </w:r>
      <w:r w:rsidRPr="00EC0473">
        <w:rPr>
          <w:vertAlign w:val="superscript"/>
        </w:rPr>
        <w:t>2+</w:t>
      </w:r>
      <w:r w:rsidRPr="00EC0473">
        <w:t xml:space="preserve"> is contoured at 1.7σ.</w:t>
      </w:r>
    </w:p>
    <w:p w14:paraId="695F03F5" w14:textId="77777777" w:rsidR="00B641C2" w:rsidRDefault="00B641C2" w:rsidP="00426C2E">
      <w:pPr>
        <w:widowControl w:val="0"/>
        <w:autoSpaceDE w:val="0"/>
        <w:autoSpaceDN w:val="0"/>
        <w:adjustRightInd w:val="0"/>
        <w:spacing w:line="240" w:lineRule="auto"/>
        <w:ind w:left="640" w:hanging="640"/>
        <w:jc w:val="both"/>
      </w:pPr>
    </w:p>
    <w:p w14:paraId="5044D226" w14:textId="77777777" w:rsidR="00E65DD6" w:rsidRDefault="00E65DD6" w:rsidP="00426C2E">
      <w:pPr>
        <w:widowControl w:val="0"/>
        <w:autoSpaceDE w:val="0"/>
        <w:autoSpaceDN w:val="0"/>
        <w:adjustRightInd w:val="0"/>
        <w:spacing w:line="240" w:lineRule="auto"/>
        <w:ind w:left="640" w:hanging="640"/>
        <w:jc w:val="both"/>
      </w:pPr>
    </w:p>
    <w:p w14:paraId="7B3ED1F8" w14:textId="77777777" w:rsidR="00E65DD6" w:rsidRDefault="00E65DD6" w:rsidP="00426C2E">
      <w:pPr>
        <w:widowControl w:val="0"/>
        <w:autoSpaceDE w:val="0"/>
        <w:autoSpaceDN w:val="0"/>
        <w:adjustRightInd w:val="0"/>
        <w:spacing w:line="240" w:lineRule="auto"/>
        <w:ind w:left="640" w:hanging="640"/>
        <w:jc w:val="both"/>
      </w:pPr>
    </w:p>
    <w:p w14:paraId="340A12F4" w14:textId="77777777" w:rsidR="00E65DD6" w:rsidRDefault="00E65DD6" w:rsidP="00426C2E">
      <w:pPr>
        <w:widowControl w:val="0"/>
        <w:autoSpaceDE w:val="0"/>
        <w:autoSpaceDN w:val="0"/>
        <w:adjustRightInd w:val="0"/>
        <w:spacing w:line="240" w:lineRule="auto"/>
        <w:ind w:left="640" w:hanging="640"/>
        <w:jc w:val="both"/>
      </w:pPr>
    </w:p>
    <w:p w14:paraId="0185D7DC" w14:textId="77777777" w:rsidR="00E65DD6" w:rsidRDefault="00E65DD6" w:rsidP="00426C2E">
      <w:pPr>
        <w:widowControl w:val="0"/>
        <w:autoSpaceDE w:val="0"/>
        <w:autoSpaceDN w:val="0"/>
        <w:adjustRightInd w:val="0"/>
        <w:spacing w:line="240" w:lineRule="auto"/>
        <w:ind w:left="640" w:hanging="640"/>
        <w:jc w:val="both"/>
      </w:pPr>
    </w:p>
    <w:p w14:paraId="06B6D5C3" w14:textId="77777777" w:rsidR="00E65DD6" w:rsidRDefault="00E65DD6" w:rsidP="00426C2E">
      <w:pPr>
        <w:widowControl w:val="0"/>
        <w:autoSpaceDE w:val="0"/>
        <w:autoSpaceDN w:val="0"/>
        <w:adjustRightInd w:val="0"/>
        <w:spacing w:line="240" w:lineRule="auto"/>
        <w:ind w:left="640" w:hanging="640"/>
        <w:jc w:val="both"/>
      </w:pPr>
    </w:p>
    <w:p w14:paraId="0B0AD88B" w14:textId="77777777" w:rsidR="00B641C2" w:rsidRDefault="00B641C2" w:rsidP="00426C2E">
      <w:pPr>
        <w:widowControl w:val="0"/>
        <w:autoSpaceDE w:val="0"/>
        <w:autoSpaceDN w:val="0"/>
        <w:adjustRightInd w:val="0"/>
        <w:spacing w:line="240" w:lineRule="auto"/>
        <w:ind w:left="640" w:hanging="640"/>
        <w:jc w:val="both"/>
      </w:pPr>
    </w:p>
    <w:p w14:paraId="292FCC12" w14:textId="77777777" w:rsidR="00B641C2" w:rsidRDefault="00B641C2" w:rsidP="00426C2E">
      <w:pPr>
        <w:widowControl w:val="0"/>
        <w:autoSpaceDE w:val="0"/>
        <w:autoSpaceDN w:val="0"/>
        <w:adjustRightInd w:val="0"/>
        <w:spacing w:line="240" w:lineRule="auto"/>
        <w:ind w:left="640" w:hanging="640"/>
        <w:jc w:val="both"/>
      </w:pPr>
    </w:p>
    <w:p w14:paraId="0F736808" w14:textId="77777777" w:rsidR="00B641C2" w:rsidRDefault="00B641C2" w:rsidP="00B641C2">
      <w:pPr>
        <w:widowControl w:val="0"/>
        <w:autoSpaceDE w:val="0"/>
        <w:autoSpaceDN w:val="0"/>
        <w:adjustRightInd w:val="0"/>
        <w:spacing w:line="240" w:lineRule="auto"/>
        <w:jc w:val="both"/>
      </w:pPr>
      <w:r>
        <w:rPr>
          <w:noProof/>
          <w:lang w:eastAsia="en-GB"/>
        </w:rPr>
        <w:lastRenderedPageBreak/>
        <w:drawing>
          <wp:inline distT="0" distB="0" distL="0" distR="0" wp14:anchorId="6BA5634C" wp14:editId="42DF59FD">
            <wp:extent cx="5731510" cy="2505075"/>
            <wp:effectExtent l="0" t="0" r="254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tif"/>
                    <pic:cNvPicPr/>
                  </pic:nvPicPr>
                  <pic:blipFill rotWithShape="1">
                    <a:blip r:embed="rId7">
                      <a:extLst>
                        <a:ext uri="{28A0092B-C50C-407E-A947-70E740481C1C}">
                          <a14:useLocalDpi xmlns:a14="http://schemas.microsoft.com/office/drawing/2010/main" val="0"/>
                        </a:ext>
                      </a:extLst>
                    </a:blip>
                    <a:srcRect t="17727" b="4570"/>
                    <a:stretch/>
                  </pic:blipFill>
                  <pic:spPr bwMode="auto">
                    <a:xfrm>
                      <a:off x="0" y="0"/>
                      <a:ext cx="5731510" cy="2505075"/>
                    </a:xfrm>
                    <a:prstGeom prst="rect">
                      <a:avLst/>
                    </a:prstGeom>
                    <a:ln>
                      <a:noFill/>
                    </a:ln>
                    <a:extLst>
                      <a:ext uri="{53640926-AAD7-44D8-BBD7-CCE9431645EC}">
                        <a14:shadowObscured xmlns:a14="http://schemas.microsoft.com/office/drawing/2010/main"/>
                      </a:ext>
                    </a:extLst>
                  </pic:spPr>
                </pic:pic>
              </a:graphicData>
            </a:graphic>
          </wp:inline>
        </w:drawing>
      </w:r>
    </w:p>
    <w:p w14:paraId="596AA76A" w14:textId="77777777" w:rsidR="00B641C2" w:rsidRDefault="00B641C2" w:rsidP="00B641C2">
      <w:pPr>
        <w:widowControl w:val="0"/>
        <w:autoSpaceDE w:val="0"/>
        <w:autoSpaceDN w:val="0"/>
        <w:adjustRightInd w:val="0"/>
        <w:spacing w:line="240" w:lineRule="auto"/>
        <w:jc w:val="both"/>
      </w:pPr>
      <w:r w:rsidRPr="00B545EE">
        <w:rPr>
          <w:b/>
        </w:rPr>
        <w:t>Figure 2</w:t>
      </w:r>
      <w:r w:rsidRPr="00CE08FD">
        <w:t xml:space="preserve">. </w:t>
      </w:r>
      <w:r>
        <w:t xml:space="preserve">Inhibition of </w:t>
      </w:r>
      <w:r w:rsidRPr="00670F72">
        <w:rPr>
          <w:i/>
        </w:rPr>
        <w:t>P. aeruginosa</w:t>
      </w:r>
      <w:r>
        <w:t xml:space="preserve"> ICL activity by small molecules. </w:t>
      </w:r>
      <w:r w:rsidRPr="00670F72">
        <w:rPr>
          <w:b/>
        </w:rPr>
        <w:t>(A)</w:t>
      </w:r>
      <w:r w:rsidRPr="00CE08FD">
        <w:t xml:space="preserve"> Coenzyme A, oxaloacetate and pyruvate </w:t>
      </w:r>
      <w:r>
        <w:t xml:space="preserve">non-competitively inhibit </w:t>
      </w:r>
      <w:r w:rsidRPr="00670F72">
        <w:rPr>
          <w:iCs/>
        </w:rPr>
        <w:t>ICL</w:t>
      </w:r>
      <w:r w:rsidRPr="00CE08FD">
        <w:t xml:space="preserve">. </w:t>
      </w:r>
      <w:r>
        <w:t>The figure shows a Lineweaver-Burk transformation of ICL kinetic data obtained in the presence of no addition (control) or in the presence of oxaloacetate, pyruvate, or coenzyme A</w:t>
      </w:r>
      <w:r w:rsidRPr="00CE08FD">
        <w:t xml:space="preserve">. </w:t>
      </w:r>
      <w:r w:rsidRPr="000E7423">
        <w:rPr>
          <w:b/>
        </w:rPr>
        <w:t>(B)</w:t>
      </w:r>
      <w:r w:rsidRPr="00CE08FD">
        <w:t xml:space="preserve"> </w:t>
      </w:r>
      <w:r>
        <w:t>Lineweaver-Burk plot showing that succinate inhibits ICL uncompetitively whereas phospho</w:t>
      </w:r>
      <w:r w:rsidRPr="00964507">
        <w:rPr>
          <w:i/>
        </w:rPr>
        <w:t>enol</w:t>
      </w:r>
      <w:r>
        <w:t xml:space="preserve">pyruvate displays mixed inhibition. </w:t>
      </w:r>
      <w:r w:rsidRPr="000E7423">
        <w:rPr>
          <w:b/>
        </w:rPr>
        <w:t>(C)</w:t>
      </w:r>
      <w:r w:rsidRPr="00CE08FD">
        <w:t xml:space="preserve"> Itaconate and nitropropionate </w:t>
      </w:r>
      <w:r>
        <w:t xml:space="preserve">inhibit ICL </w:t>
      </w:r>
      <w:r w:rsidRPr="00CE08FD">
        <w:t>uncompetitive</w:t>
      </w:r>
      <w:r>
        <w:t>ly, whereas m</w:t>
      </w:r>
      <w:r w:rsidRPr="00CE08FD">
        <w:t xml:space="preserve">aleic acid however </w:t>
      </w:r>
      <w:r>
        <w:t>displays mixed inhibition</w:t>
      </w:r>
      <w:r w:rsidRPr="00CE08FD">
        <w:t>. The plots were ge</w:t>
      </w:r>
      <w:r>
        <w:t xml:space="preserve">nerated using GraphPad Prism 6. </w:t>
      </w:r>
      <w:r w:rsidRPr="00CE08FD">
        <w:t xml:space="preserve">All </w:t>
      </w:r>
      <w:r>
        <w:t>small</w:t>
      </w:r>
      <w:r w:rsidRPr="00CE08FD">
        <w:t xml:space="preserve"> molecules</w:t>
      </w:r>
      <w:r>
        <w:t xml:space="preserve"> (except the substrate)</w:t>
      </w:r>
      <w:r w:rsidRPr="00CE08FD">
        <w:t xml:space="preserve"> were added at 1 mM final concentration.</w:t>
      </w:r>
    </w:p>
    <w:p w14:paraId="29B492E0" w14:textId="77777777" w:rsidR="00B641C2" w:rsidRDefault="00B641C2" w:rsidP="00426C2E">
      <w:pPr>
        <w:widowControl w:val="0"/>
        <w:autoSpaceDE w:val="0"/>
        <w:autoSpaceDN w:val="0"/>
        <w:adjustRightInd w:val="0"/>
        <w:spacing w:line="240" w:lineRule="auto"/>
        <w:ind w:left="640" w:hanging="640"/>
        <w:jc w:val="both"/>
      </w:pPr>
    </w:p>
    <w:p w14:paraId="07EAF7CF" w14:textId="77777777" w:rsidR="00B641C2" w:rsidRDefault="00B641C2" w:rsidP="00426C2E">
      <w:pPr>
        <w:widowControl w:val="0"/>
        <w:autoSpaceDE w:val="0"/>
        <w:autoSpaceDN w:val="0"/>
        <w:adjustRightInd w:val="0"/>
        <w:spacing w:line="240" w:lineRule="auto"/>
        <w:ind w:left="640" w:hanging="640"/>
        <w:jc w:val="both"/>
      </w:pPr>
    </w:p>
    <w:p w14:paraId="5C316D3B" w14:textId="77777777" w:rsidR="00B641C2" w:rsidRDefault="00B641C2" w:rsidP="00426C2E">
      <w:pPr>
        <w:widowControl w:val="0"/>
        <w:autoSpaceDE w:val="0"/>
        <w:autoSpaceDN w:val="0"/>
        <w:adjustRightInd w:val="0"/>
        <w:spacing w:line="240" w:lineRule="auto"/>
        <w:ind w:left="640" w:hanging="640"/>
        <w:jc w:val="both"/>
      </w:pPr>
    </w:p>
    <w:p w14:paraId="6F3850A4" w14:textId="77777777" w:rsidR="00B641C2" w:rsidRDefault="00B641C2" w:rsidP="00426C2E">
      <w:pPr>
        <w:widowControl w:val="0"/>
        <w:autoSpaceDE w:val="0"/>
        <w:autoSpaceDN w:val="0"/>
        <w:adjustRightInd w:val="0"/>
        <w:spacing w:line="240" w:lineRule="auto"/>
        <w:ind w:left="640" w:hanging="640"/>
        <w:jc w:val="both"/>
      </w:pPr>
    </w:p>
    <w:p w14:paraId="5E7A861B" w14:textId="77777777" w:rsidR="00B641C2" w:rsidRDefault="00B641C2" w:rsidP="00426C2E">
      <w:pPr>
        <w:widowControl w:val="0"/>
        <w:autoSpaceDE w:val="0"/>
        <w:autoSpaceDN w:val="0"/>
        <w:adjustRightInd w:val="0"/>
        <w:spacing w:line="240" w:lineRule="auto"/>
        <w:ind w:left="640" w:hanging="640"/>
        <w:jc w:val="both"/>
      </w:pPr>
    </w:p>
    <w:p w14:paraId="1D77B49E" w14:textId="77777777" w:rsidR="00B641C2" w:rsidRDefault="00B641C2" w:rsidP="00426C2E">
      <w:pPr>
        <w:widowControl w:val="0"/>
        <w:autoSpaceDE w:val="0"/>
        <w:autoSpaceDN w:val="0"/>
        <w:adjustRightInd w:val="0"/>
        <w:spacing w:line="240" w:lineRule="auto"/>
        <w:ind w:left="640" w:hanging="640"/>
        <w:jc w:val="both"/>
      </w:pPr>
    </w:p>
    <w:p w14:paraId="1458E013" w14:textId="77777777" w:rsidR="00B641C2" w:rsidRDefault="00B641C2" w:rsidP="00426C2E">
      <w:pPr>
        <w:widowControl w:val="0"/>
        <w:autoSpaceDE w:val="0"/>
        <w:autoSpaceDN w:val="0"/>
        <w:adjustRightInd w:val="0"/>
        <w:spacing w:line="240" w:lineRule="auto"/>
        <w:ind w:left="640" w:hanging="640"/>
        <w:jc w:val="both"/>
      </w:pPr>
    </w:p>
    <w:p w14:paraId="3099081A" w14:textId="77777777" w:rsidR="00B641C2" w:rsidRDefault="00B641C2" w:rsidP="00426C2E">
      <w:pPr>
        <w:widowControl w:val="0"/>
        <w:autoSpaceDE w:val="0"/>
        <w:autoSpaceDN w:val="0"/>
        <w:adjustRightInd w:val="0"/>
        <w:spacing w:line="240" w:lineRule="auto"/>
        <w:ind w:left="640" w:hanging="640"/>
        <w:jc w:val="both"/>
      </w:pPr>
    </w:p>
    <w:p w14:paraId="79D8A70E" w14:textId="77777777" w:rsidR="00B641C2" w:rsidRDefault="00B641C2" w:rsidP="00426C2E">
      <w:pPr>
        <w:widowControl w:val="0"/>
        <w:autoSpaceDE w:val="0"/>
        <w:autoSpaceDN w:val="0"/>
        <w:adjustRightInd w:val="0"/>
        <w:spacing w:line="240" w:lineRule="auto"/>
        <w:ind w:left="640" w:hanging="640"/>
        <w:jc w:val="both"/>
      </w:pPr>
    </w:p>
    <w:p w14:paraId="078DCD95" w14:textId="77777777" w:rsidR="00B641C2" w:rsidRDefault="00B641C2" w:rsidP="00426C2E">
      <w:pPr>
        <w:widowControl w:val="0"/>
        <w:autoSpaceDE w:val="0"/>
        <w:autoSpaceDN w:val="0"/>
        <w:adjustRightInd w:val="0"/>
        <w:spacing w:line="240" w:lineRule="auto"/>
        <w:ind w:left="640" w:hanging="640"/>
        <w:jc w:val="both"/>
      </w:pPr>
    </w:p>
    <w:p w14:paraId="66148C97" w14:textId="77777777" w:rsidR="00B641C2" w:rsidRDefault="00B641C2" w:rsidP="00426C2E">
      <w:pPr>
        <w:widowControl w:val="0"/>
        <w:autoSpaceDE w:val="0"/>
        <w:autoSpaceDN w:val="0"/>
        <w:adjustRightInd w:val="0"/>
        <w:spacing w:line="240" w:lineRule="auto"/>
        <w:ind w:left="640" w:hanging="640"/>
        <w:jc w:val="both"/>
      </w:pPr>
    </w:p>
    <w:p w14:paraId="3D62774A" w14:textId="77777777" w:rsidR="00B641C2" w:rsidRDefault="00B641C2" w:rsidP="00426C2E">
      <w:pPr>
        <w:widowControl w:val="0"/>
        <w:autoSpaceDE w:val="0"/>
        <w:autoSpaceDN w:val="0"/>
        <w:adjustRightInd w:val="0"/>
        <w:spacing w:line="240" w:lineRule="auto"/>
        <w:ind w:left="640" w:hanging="640"/>
        <w:jc w:val="both"/>
      </w:pPr>
    </w:p>
    <w:p w14:paraId="05872415" w14:textId="77777777" w:rsidR="00B641C2" w:rsidRDefault="00B641C2" w:rsidP="00426C2E">
      <w:pPr>
        <w:widowControl w:val="0"/>
        <w:autoSpaceDE w:val="0"/>
        <w:autoSpaceDN w:val="0"/>
        <w:adjustRightInd w:val="0"/>
        <w:spacing w:line="240" w:lineRule="auto"/>
        <w:ind w:left="640" w:hanging="640"/>
        <w:jc w:val="both"/>
      </w:pPr>
    </w:p>
    <w:p w14:paraId="2C7FF712" w14:textId="77777777" w:rsidR="00B641C2" w:rsidRDefault="00B641C2" w:rsidP="00426C2E">
      <w:pPr>
        <w:widowControl w:val="0"/>
        <w:autoSpaceDE w:val="0"/>
        <w:autoSpaceDN w:val="0"/>
        <w:adjustRightInd w:val="0"/>
        <w:spacing w:line="240" w:lineRule="auto"/>
        <w:ind w:left="640" w:hanging="640"/>
        <w:jc w:val="both"/>
      </w:pPr>
    </w:p>
    <w:p w14:paraId="44364548" w14:textId="77777777" w:rsidR="00B641C2" w:rsidRDefault="00B641C2" w:rsidP="00426C2E">
      <w:pPr>
        <w:widowControl w:val="0"/>
        <w:autoSpaceDE w:val="0"/>
        <w:autoSpaceDN w:val="0"/>
        <w:adjustRightInd w:val="0"/>
        <w:spacing w:line="240" w:lineRule="auto"/>
        <w:ind w:left="640" w:hanging="640"/>
        <w:jc w:val="both"/>
      </w:pPr>
    </w:p>
    <w:p w14:paraId="710CA987" w14:textId="77777777" w:rsidR="00B641C2" w:rsidRDefault="00B641C2" w:rsidP="00426C2E">
      <w:pPr>
        <w:widowControl w:val="0"/>
        <w:autoSpaceDE w:val="0"/>
        <w:autoSpaceDN w:val="0"/>
        <w:adjustRightInd w:val="0"/>
        <w:spacing w:line="240" w:lineRule="auto"/>
        <w:ind w:left="640" w:hanging="640"/>
        <w:jc w:val="both"/>
      </w:pPr>
    </w:p>
    <w:p w14:paraId="080C5E52" w14:textId="77777777" w:rsidR="00B641C2" w:rsidRDefault="00B641C2" w:rsidP="00426C2E">
      <w:pPr>
        <w:widowControl w:val="0"/>
        <w:autoSpaceDE w:val="0"/>
        <w:autoSpaceDN w:val="0"/>
        <w:adjustRightInd w:val="0"/>
        <w:spacing w:line="240" w:lineRule="auto"/>
        <w:ind w:left="640" w:hanging="640"/>
        <w:jc w:val="both"/>
      </w:pPr>
    </w:p>
    <w:p w14:paraId="3CD4E4E3" w14:textId="77777777" w:rsidR="00B641C2" w:rsidRPr="004E7EFB" w:rsidRDefault="00B641C2" w:rsidP="00B641C2">
      <w:pPr>
        <w:widowControl w:val="0"/>
        <w:autoSpaceDE w:val="0"/>
        <w:autoSpaceDN w:val="0"/>
        <w:adjustRightInd w:val="0"/>
        <w:spacing w:line="240" w:lineRule="auto"/>
        <w:jc w:val="both"/>
      </w:pPr>
      <w:r>
        <w:lastRenderedPageBreak/>
        <w:t xml:space="preserve">         </w:t>
      </w:r>
      <w:r>
        <w:rPr>
          <w:noProof/>
          <w:lang w:eastAsia="en-GB"/>
        </w:rPr>
        <w:drawing>
          <wp:inline distT="0" distB="0" distL="0" distR="0" wp14:anchorId="78F629E1" wp14:editId="16B19560">
            <wp:extent cx="5301615" cy="293587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tif"/>
                    <pic:cNvPicPr/>
                  </pic:nvPicPr>
                  <pic:blipFill rotWithShape="1">
                    <a:blip r:embed="rId8">
                      <a:extLst>
                        <a:ext uri="{28A0092B-C50C-407E-A947-70E740481C1C}">
                          <a14:useLocalDpi xmlns:a14="http://schemas.microsoft.com/office/drawing/2010/main" val="0"/>
                        </a:ext>
                      </a:extLst>
                    </a:blip>
                    <a:srcRect t="1550"/>
                    <a:stretch/>
                  </pic:blipFill>
                  <pic:spPr bwMode="auto">
                    <a:xfrm>
                      <a:off x="0" y="0"/>
                      <a:ext cx="5310206" cy="2940632"/>
                    </a:xfrm>
                    <a:prstGeom prst="rect">
                      <a:avLst/>
                    </a:prstGeom>
                    <a:ln>
                      <a:noFill/>
                    </a:ln>
                    <a:extLst>
                      <a:ext uri="{53640926-AAD7-44D8-BBD7-CCE9431645EC}">
                        <a14:shadowObscured xmlns:a14="http://schemas.microsoft.com/office/drawing/2010/main"/>
                      </a:ext>
                    </a:extLst>
                  </pic:spPr>
                </pic:pic>
              </a:graphicData>
            </a:graphic>
          </wp:inline>
        </w:drawing>
      </w:r>
    </w:p>
    <w:p w14:paraId="4E5DA0FF" w14:textId="77777777" w:rsidR="00B641C2" w:rsidRDefault="00B641C2" w:rsidP="00B641C2">
      <w:pPr>
        <w:widowControl w:val="0"/>
        <w:autoSpaceDE w:val="0"/>
        <w:autoSpaceDN w:val="0"/>
        <w:adjustRightInd w:val="0"/>
        <w:spacing w:line="240" w:lineRule="auto"/>
        <w:jc w:val="both"/>
      </w:pPr>
      <w:r w:rsidRPr="00BA2DF8">
        <w:rPr>
          <w:b/>
        </w:rPr>
        <w:t>Figure 3</w:t>
      </w:r>
      <w:r w:rsidRPr="00BA2DF8">
        <w:t xml:space="preserve">. </w:t>
      </w:r>
      <w:r>
        <w:t xml:space="preserve">Structure and regulation of </w:t>
      </w:r>
      <w:r w:rsidRPr="00DA2CA7">
        <w:rPr>
          <w:i/>
        </w:rPr>
        <w:t>P. aeruginosa</w:t>
      </w:r>
      <w:r>
        <w:t xml:space="preserve"> IDH. </w:t>
      </w:r>
      <w:r w:rsidRPr="00DA2CA7">
        <w:rPr>
          <w:b/>
        </w:rPr>
        <w:t>(A)</w:t>
      </w:r>
      <w:r w:rsidRPr="00BA2DF8">
        <w:t xml:space="preserve"> Cartoon schematic of </w:t>
      </w:r>
      <w:r w:rsidRPr="00DA2CA2">
        <w:rPr>
          <w:i/>
        </w:rPr>
        <w:t>iso</w:t>
      </w:r>
      <w:r w:rsidRPr="00BA2DF8">
        <w:t xml:space="preserve">citrate dehydrogenase (IDH) </w:t>
      </w:r>
      <w:r>
        <w:t>from</w:t>
      </w:r>
      <w:r w:rsidRPr="00BA2DF8">
        <w:t xml:space="preserve"> </w:t>
      </w:r>
      <w:r w:rsidRPr="00BA2DF8">
        <w:rPr>
          <w:i/>
          <w:iCs/>
        </w:rPr>
        <w:t>P. aeruginosa</w:t>
      </w:r>
      <w:r w:rsidRPr="00BA2DF8">
        <w:t>. Chain A (</w:t>
      </w:r>
      <w:r>
        <w:t>mauve</w:t>
      </w:r>
      <w:r w:rsidRPr="00BA2DF8">
        <w:t xml:space="preserve">) </w:t>
      </w:r>
      <w:r>
        <w:t>contains</w:t>
      </w:r>
      <w:r w:rsidRPr="00BA2DF8">
        <w:t xml:space="preserve"> </w:t>
      </w:r>
      <w:r>
        <w:t>one</w:t>
      </w:r>
      <w:r w:rsidRPr="00BA2DF8">
        <w:t xml:space="preserve"> molecule </w:t>
      </w:r>
      <w:r>
        <w:t xml:space="preserve">each </w:t>
      </w:r>
      <w:r w:rsidRPr="00BA2DF8">
        <w:t>of NADP</w:t>
      </w:r>
      <w:r w:rsidRPr="00BA2DF8">
        <w:rPr>
          <w:vertAlign w:val="superscript"/>
        </w:rPr>
        <w:t>+</w:t>
      </w:r>
      <w:r w:rsidRPr="00BA2DF8">
        <w:t xml:space="preserve"> </w:t>
      </w:r>
      <w:r>
        <w:t>and</w:t>
      </w:r>
      <w:r w:rsidRPr="00BA2DF8">
        <w:t xml:space="preserve"> </w:t>
      </w:r>
      <w:r w:rsidRPr="00BA2DF8">
        <w:rPr>
          <w:rFonts w:ascii="Cambria Math" w:hAnsi="Cambria Math" w:cs="Cambria Math"/>
        </w:rPr>
        <w:t>⍺</w:t>
      </w:r>
      <w:r w:rsidRPr="00BA2DF8">
        <w:t>-</w:t>
      </w:r>
      <w:r w:rsidRPr="00BA2DF8">
        <w:rPr>
          <w:i/>
          <w:iCs/>
        </w:rPr>
        <w:t>keto</w:t>
      </w:r>
      <w:r w:rsidRPr="00BA2DF8">
        <w:t xml:space="preserve">glutarate </w:t>
      </w:r>
      <w:r>
        <w:t xml:space="preserve">bound </w:t>
      </w:r>
      <w:r w:rsidRPr="00BA2DF8">
        <w:t xml:space="preserve">in its active site. Chain B (light green) </w:t>
      </w:r>
      <w:r>
        <w:t>does not contain any bound small molecules</w:t>
      </w:r>
      <w:r w:rsidRPr="00BA2DF8">
        <w:t xml:space="preserve">. The two </w:t>
      </w:r>
      <w:r>
        <w:t>IDH chains</w:t>
      </w:r>
      <w:r w:rsidRPr="00BA2DF8">
        <w:t xml:space="preserve"> in the </w:t>
      </w:r>
      <w:r>
        <w:t>asymmetric unit</w:t>
      </w:r>
      <w:r w:rsidRPr="00BA2DF8">
        <w:t xml:space="preserve"> do not show </w:t>
      </w:r>
      <w:r>
        <w:t xml:space="preserve">enough inter-protein </w:t>
      </w:r>
      <w:r w:rsidRPr="00BA2DF8">
        <w:t>contact</w:t>
      </w:r>
      <w:r>
        <w:t>s</w:t>
      </w:r>
      <w:r w:rsidRPr="00BA2DF8">
        <w:t xml:space="preserve"> </w:t>
      </w:r>
      <w:r>
        <w:t>to warrant being labelled as protomers in a dimer</w:t>
      </w:r>
      <w:r w:rsidRPr="00BA2DF8">
        <w:t xml:space="preserve">. </w:t>
      </w:r>
      <w:r w:rsidRPr="003E2DBC">
        <w:rPr>
          <w:b/>
        </w:rPr>
        <w:t>(B)</w:t>
      </w:r>
      <w:r w:rsidRPr="00BA2DF8">
        <w:t xml:space="preserve"> </w:t>
      </w:r>
      <w:r>
        <w:t>Close-up view of the conserved active site residues</w:t>
      </w:r>
      <w:r w:rsidRPr="003725DB">
        <w:t xml:space="preserve"> </w:t>
      </w:r>
      <w:r>
        <w:t>in</w:t>
      </w:r>
      <w:r w:rsidRPr="003725DB">
        <w:t xml:space="preserve"> </w:t>
      </w:r>
      <w:r w:rsidRPr="003725DB">
        <w:rPr>
          <w:i/>
        </w:rPr>
        <w:t>P. aeruginosa</w:t>
      </w:r>
      <w:r>
        <w:t xml:space="preserve"> </w:t>
      </w:r>
      <w:r w:rsidRPr="003725DB">
        <w:t>IDH</w:t>
      </w:r>
      <w:r w:rsidRPr="00BA2DF8">
        <w:t xml:space="preserve"> (light pink</w:t>
      </w:r>
      <w:r>
        <w:t>, PDB 6G3U</w:t>
      </w:r>
      <w:r w:rsidRPr="00BA2DF8">
        <w:t xml:space="preserve">) and </w:t>
      </w:r>
      <w:r w:rsidRPr="003725DB">
        <w:rPr>
          <w:i/>
        </w:rPr>
        <w:t>P. aeruginosa</w:t>
      </w:r>
      <w:r>
        <w:t xml:space="preserve"> </w:t>
      </w:r>
      <w:r w:rsidRPr="00BA2DF8">
        <w:t xml:space="preserve">ICD (yellow, PDB 5M2E). </w:t>
      </w:r>
      <w:r>
        <w:t xml:space="preserve">Residue numbering is based on the IDH sequence. </w:t>
      </w:r>
      <w:r w:rsidRPr="003725DB">
        <w:rPr>
          <w:b/>
        </w:rPr>
        <w:t>(C)</w:t>
      </w:r>
      <w:r w:rsidRPr="00BA2DF8">
        <w:t xml:space="preserve"> </w:t>
      </w:r>
      <w:r w:rsidRPr="003725DB">
        <w:rPr>
          <w:i/>
        </w:rPr>
        <w:t>P. aeruginosa</w:t>
      </w:r>
      <w:r>
        <w:t xml:space="preserve"> ICD, but not IDH, is inactivated by AceK-dependent phosphorylation</w:t>
      </w:r>
      <w:r w:rsidRPr="00BA2DF8">
        <w:t xml:space="preserve">. </w:t>
      </w:r>
      <w:r>
        <w:t xml:space="preserve">The figure shows the loss of </w:t>
      </w:r>
      <w:r w:rsidRPr="00433393">
        <w:rPr>
          <w:i/>
        </w:rPr>
        <w:t>iso</w:t>
      </w:r>
      <w:r>
        <w:t xml:space="preserve">citrate dehydrogenase activity over time following treatment with AceK/ATP. Reaction mixtures (200 </w:t>
      </w:r>
      <w:r w:rsidRPr="003725DB">
        <w:rPr>
          <w:rFonts w:ascii="Symbol" w:hAnsi="Symbol"/>
        </w:rPr>
        <w:t></w:t>
      </w:r>
      <w:r>
        <w:t xml:space="preserve">L) contained </w:t>
      </w:r>
      <w:r w:rsidRPr="003725DB">
        <w:t>100 mM Tris-HCl (pH 7.0), 1 mM ATP, 2 mM MgCl</w:t>
      </w:r>
      <w:r w:rsidRPr="00433393">
        <w:rPr>
          <w:vertAlign w:val="subscript"/>
        </w:rPr>
        <w:t>2</w:t>
      </w:r>
      <w:r>
        <w:t>, 5</w:t>
      </w:r>
      <w:r w:rsidRPr="003725DB">
        <w:t xml:space="preserve"> </w:t>
      </w:r>
      <w:r w:rsidRPr="003725DB">
        <w:rPr>
          <w:rFonts w:ascii="Symbol" w:hAnsi="Symbol"/>
        </w:rPr>
        <w:t></w:t>
      </w:r>
      <w:r w:rsidRPr="003725DB">
        <w:t xml:space="preserve">g </w:t>
      </w:r>
      <w:r>
        <w:t xml:space="preserve">purified </w:t>
      </w:r>
      <w:r w:rsidRPr="003725DB">
        <w:rPr>
          <w:i/>
        </w:rPr>
        <w:t>P. aeruginosa</w:t>
      </w:r>
      <w:r>
        <w:t xml:space="preserve"> AceK, and </w:t>
      </w:r>
      <w:r w:rsidRPr="003725DB">
        <w:t xml:space="preserve">10 </w:t>
      </w:r>
      <w:r w:rsidRPr="003725DB">
        <w:rPr>
          <w:rFonts w:ascii="Symbol" w:hAnsi="Symbol"/>
        </w:rPr>
        <w:t></w:t>
      </w:r>
      <w:r w:rsidRPr="003725DB">
        <w:t xml:space="preserve">g </w:t>
      </w:r>
      <w:r w:rsidRPr="00433393">
        <w:rPr>
          <w:i/>
        </w:rPr>
        <w:t>P. aeruginosa</w:t>
      </w:r>
      <w:r>
        <w:t xml:space="preserve"> </w:t>
      </w:r>
      <w:r w:rsidRPr="003725DB">
        <w:t xml:space="preserve">ICD </w:t>
      </w:r>
      <w:r>
        <w:t xml:space="preserve">or IDH (as indicated). Reactions were allowed to proceed </w:t>
      </w:r>
      <w:r w:rsidRPr="003725DB">
        <w:t>at 37</w:t>
      </w:r>
      <w:r>
        <w:t>°</w:t>
      </w:r>
      <w:r w:rsidRPr="003725DB">
        <w:t>C</w:t>
      </w:r>
      <w:r>
        <w:t xml:space="preserve">, and at the indicated times, aliquots </w:t>
      </w:r>
      <w:r>
        <w:rPr>
          <w:lang w:val="en-US"/>
        </w:rPr>
        <w:t xml:space="preserve">were withdrawn and assayed immediately for </w:t>
      </w:r>
      <w:r w:rsidRPr="00433393">
        <w:rPr>
          <w:i/>
          <w:lang w:val="en-US"/>
        </w:rPr>
        <w:t>iso</w:t>
      </w:r>
      <w:r>
        <w:rPr>
          <w:lang w:val="en-US"/>
        </w:rPr>
        <w:t>citrate dehydrogenase activity as described in Materials and Methods</w:t>
      </w:r>
      <w:r w:rsidRPr="003725DB">
        <w:rPr>
          <w:lang w:val="en-US"/>
        </w:rPr>
        <w:t xml:space="preserve">. </w:t>
      </w:r>
      <w:r>
        <w:rPr>
          <w:lang w:val="en-US"/>
        </w:rPr>
        <w:t xml:space="preserve">Activity was considered to be </w:t>
      </w:r>
      <w:r w:rsidRPr="003725DB">
        <w:rPr>
          <w:lang w:val="en-US"/>
        </w:rPr>
        <w:t>100% at T</w:t>
      </w:r>
      <w:r w:rsidRPr="00433393">
        <w:rPr>
          <w:vertAlign w:val="subscript"/>
          <w:lang w:val="en-US"/>
        </w:rPr>
        <w:t>0</w:t>
      </w:r>
      <w:r>
        <w:rPr>
          <w:lang w:val="en-US"/>
        </w:rPr>
        <w:t>.</w:t>
      </w:r>
      <w:r w:rsidRPr="00BA2DF8">
        <w:t xml:space="preserve"> </w:t>
      </w:r>
      <w:r w:rsidRPr="00433393">
        <w:rPr>
          <w:b/>
        </w:rPr>
        <w:t>(D)</w:t>
      </w:r>
      <w:r w:rsidRPr="00BA2DF8">
        <w:t xml:space="preserve"> </w:t>
      </w:r>
      <w:r>
        <w:t xml:space="preserve">The architecture of the active site is different in ICD and IDH. In spite of the conserved constellation of active site residues (panel (B)) in </w:t>
      </w:r>
      <w:r w:rsidRPr="008C4B66">
        <w:rPr>
          <w:i/>
        </w:rPr>
        <w:t>P. aeruginosa</w:t>
      </w:r>
      <w:r>
        <w:t xml:space="preserve"> ICD and IDH, t</w:t>
      </w:r>
      <w:r w:rsidRPr="00BA2DF8">
        <w:t xml:space="preserve">he P-loop </w:t>
      </w:r>
      <w:r>
        <w:t xml:space="preserve">containing </w:t>
      </w:r>
      <w:r w:rsidRPr="00BA2DF8">
        <w:t>t</w:t>
      </w:r>
      <w:r>
        <w:t>he phosphoserine in ICD (yellow)</w:t>
      </w:r>
      <w:r w:rsidRPr="00BA2DF8">
        <w:t xml:space="preserve"> and the </w:t>
      </w:r>
      <w:r>
        <w:t>AceK recognition sequence (</w:t>
      </w:r>
      <w:r w:rsidRPr="00BA2DF8">
        <w:t>ARS</w:t>
      </w:r>
      <w:r>
        <w:t>)</w:t>
      </w:r>
      <w:r w:rsidRPr="00BA2DF8">
        <w:t xml:space="preserve"> are replaced </w:t>
      </w:r>
      <w:r>
        <w:t xml:space="preserve">in IDH </w:t>
      </w:r>
      <w:r w:rsidRPr="00BA2DF8">
        <w:t xml:space="preserve">by two </w:t>
      </w:r>
      <w:r>
        <w:t>helices</w:t>
      </w:r>
      <w:r w:rsidRPr="00BA2DF8">
        <w:t xml:space="preserve"> </w:t>
      </w:r>
      <w:r w:rsidRPr="00BA2DF8">
        <w:rPr>
          <w:rFonts w:ascii="Cambria Math" w:hAnsi="Cambria Math" w:cs="Cambria Math"/>
        </w:rPr>
        <w:t>⍺</w:t>
      </w:r>
      <w:r w:rsidRPr="00BA2DF8">
        <w:t>10-</w:t>
      </w:r>
      <w:r w:rsidRPr="008C4B66">
        <w:rPr>
          <w:rFonts w:ascii="Symbol" w:hAnsi="Symbol"/>
        </w:rPr>
        <w:t></w:t>
      </w:r>
      <w:r w:rsidRPr="00BA2DF8">
        <w:t xml:space="preserve">14 and </w:t>
      </w:r>
      <w:r w:rsidRPr="00BA2DF8">
        <w:rPr>
          <w:rFonts w:ascii="Cambria Math" w:hAnsi="Cambria Math" w:cs="Cambria Math"/>
        </w:rPr>
        <w:t>⍺</w:t>
      </w:r>
      <w:r w:rsidRPr="00BA2DF8">
        <w:t>4-</w:t>
      </w:r>
      <w:r w:rsidRPr="008C4B66">
        <w:rPr>
          <w:rFonts w:ascii="Symbol" w:hAnsi="Symbol"/>
        </w:rPr>
        <w:t></w:t>
      </w:r>
      <w:r>
        <w:t xml:space="preserve">6, </w:t>
      </w:r>
      <w:r w:rsidRPr="00BA2DF8">
        <w:t xml:space="preserve">respectively. </w:t>
      </w:r>
      <w:r>
        <w:t>This altered arrangement presumably prevents AceK from accessing the active site serine in IDH.</w:t>
      </w:r>
    </w:p>
    <w:p w14:paraId="5D8B1C98" w14:textId="77777777" w:rsidR="00B641C2" w:rsidRDefault="00B641C2" w:rsidP="00426C2E">
      <w:pPr>
        <w:widowControl w:val="0"/>
        <w:autoSpaceDE w:val="0"/>
        <w:autoSpaceDN w:val="0"/>
        <w:adjustRightInd w:val="0"/>
        <w:spacing w:line="240" w:lineRule="auto"/>
        <w:ind w:left="640" w:hanging="640"/>
        <w:jc w:val="both"/>
      </w:pPr>
    </w:p>
    <w:p w14:paraId="2F334E38" w14:textId="77777777" w:rsidR="00E65DD6" w:rsidRDefault="00E65DD6" w:rsidP="00426C2E">
      <w:pPr>
        <w:widowControl w:val="0"/>
        <w:autoSpaceDE w:val="0"/>
        <w:autoSpaceDN w:val="0"/>
        <w:adjustRightInd w:val="0"/>
        <w:spacing w:line="240" w:lineRule="auto"/>
        <w:ind w:left="640" w:hanging="640"/>
        <w:jc w:val="both"/>
      </w:pPr>
    </w:p>
    <w:p w14:paraId="5E4C780C" w14:textId="77777777" w:rsidR="00E65DD6" w:rsidRDefault="00E65DD6" w:rsidP="00426C2E">
      <w:pPr>
        <w:widowControl w:val="0"/>
        <w:autoSpaceDE w:val="0"/>
        <w:autoSpaceDN w:val="0"/>
        <w:adjustRightInd w:val="0"/>
        <w:spacing w:line="240" w:lineRule="auto"/>
        <w:ind w:left="640" w:hanging="640"/>
        <w:jc w:val="both"/>
      </w:pPr>
    </w:p>
    <w:p w14:paraId="36A6414F" w14:textId="77777777" w:rsidR="00E65DD6" w:rsidRDefault="00E65DD6" w:rsidP="00426C2E">
      <w:pPr>
        <w:widowControl w:val="0"/>
        <w:autoSpaceDE w:val="0"/>
        <w:autoSpaceDN w:val="0"/>
        <w:adjustRightInd w:val="0"/>
        <w:spacing w:line="240" w:lineRule="auto"/>
        <w:ind w:left="640" w:hanging="640"/>
        <w:jc w:val="both"/>
      </w:pPr>
    </w:p>
    <w:p w14:paraId="34FF9D56" w14:textId="77777777" w:rsidR="00B641C2" w:rsidRDefault="00B641C2" w:rsidP="00426C2E">
      <w:pPr>
        <w:widowControl w:val="0"/>
        <w:autoSpaceDE w:val="0"/>
        <w:autoSpaceDN w:val="0"/>
        <w:adjustRightInd w:val="0"/>
        <w:spacing w:line="240" w:lineRule="auto"/>
        <w:ind w:left="640" w:hanging="640"/>
        <w:jc w:val="both"/>
      </w:pPr>
    </w:p>
    <w:p w14:paraId="4D43C4A8" w14:textId="77777777" w:rsidR="00B641C2" w:rsidRDefault="00B641C2" w:rsidP="00426C2E">
      <w:pPr>
        <w:widowControl w:val="0"/>
        <w:autoSpaceDE w:val="0"/>
        <w:autoSpaceDN w:val="0"/>
        <w:adjustRightInd w:val="0"/>
        <w:spacing w:line="240" w:lineRule="auto"/>
        <w:ind w:left="640" w:hanging="640"/>
        <w:jc w:val="both"/>
      </w:pPr>
    </w:p>
    <w:p w14:paraId="3BDC47C2" w14:textId="77777777" w:rsidR="00B641C2" w:rsidRDefault="00B641C2" w:rsidP="00426C2E">
      <w:pPr>
        <w:widowControl w:val="0"/>
        <w:autoSpaceDE w:val="0"/>
        <w:autoSpaceDN w:val="0"/>
        <w:adjustRightInd w:val="0"/>
        <w:spacing w:line="240" w:lineRule="auto"/>
        <w:ind w:left="640" w:hanging="640"/>
        <w:jc w:val="both"/>
      </w:pPr>
    </w:p>
    <w:p w14:paraId="0CB9B871" w14:textId="77777777" w:rsidR="00B641C2" w:rsidRDefault="00B641C2" w:rsidP="00426C2E">
      <w:pPr>
        <w:widowControl w:val="0"/>
        <w:autoSpaceDE w:val="0"/>
        <w:autoSpaceDN w:val="0"/>
        <w:adjustRightInd w:val="0"/>
        <w:spacing w:line="240" w:lineRule="auto"/>
        <w:ind w:left="640" w:hanging="640"/>
        <w:jc w:val="both"/>
      </w:pPr>
    </w:p>
    <w:p w14:paraId="4BE58E28" w14:textId="77777777" w:rsidR="00B641C2" w:rsidRDefault="00B641C2" w:rsidP="00426C2E">
      <w:pPr>
        <w:widowControl w:val="0"/>
        <w:autoSpaceDE w:val="0"/>
        <w:autoSpaceDN w:val="0"/>
        <w:adjustRightInd w:val="0"/>
        <w:spacing w:line="240" w:lineRule="auto"/>
        <w:ind w:left="640" w:hanging="640"/>
        <w:jc w:val="both"/>
      </w:pPr>
    </w:p>
    <w:p w14:paraId="408B7CD5" w14:textId="77777777" w:rsidR="00B641C2" w:rsidRDefault="00B641C2" w:rsidP="00426C2E">
      <w:pPr>
        <w:widowControl w:val="0"/>
        <w:autoSpaceDE w:val="0"/>
        <w:autoSpaceDN w:val="0"/>
        <w:adjustRightInd w:val="0"/>
        <w:spacing w:line="240" w:lineRule="auto"/>
        <w:ind w:left="640" w:hanging="640"/>
        <w:jc w:val="both"/>
      </w:pPr>
    </w:p>
    <w:p w14:paraId="4AC12D5C" w14:textId="77777777" w:rsidR="00B641C2" w:rsidRPr="004E7EFB" w:rsidRDefault="00B641C2" w:rsidP="00B641C2">
      <w:pPr>
        <w:widowControl w:val="0"/>
        <w:autoSpaceDE w:val="0"/>
        <w:autoSpaceDN w:val="0"/>
        <w:adjustRightInd w:val="0"/>
        <w:spacing w:line="240" w:lineRule="auto"/>
        <w:jc w:val="both"/>
      </w:pPr>
      <w:r>
        <w:rPr>
          <w:noProof/>
          <w:lang w:eastAsia="en-GB"/>
        </w:rPr>
        <w:lastRenderedPageBreak/>
        <w:drawing>
          <wp:inline distT="0" distB="0" distL="0" distR="0" wp14:anchorId="4E340179" wp14:editId="38EEDF91">
            <wp:extent cx="5688965" cy="2428633"/>
            <wp:effectExtent l="0" t="0" r="698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4.tif"/>
                    <pic:cNvPicPr/>
                  </pic:nvPicPr>
                  <pic:blipFill rotWithShape="1">
                    <a:blip r:embed="rId9">
                      <a:extLst>
                        <a:ext uri="{28A0092B-C50C-407E-A947-70E740481C1C}">
                          <a14:useLocalDpi xmlns:a14="http://schemas.microsoft.com/office/drawing/2010/main" val="0"/>
                        </a:ext>
                      </a:extLst>
                    </a:blip>
                    <a:srcRect t="4044" r="2947" b="22297"/>
                    <a:stretch/>
                  </pic:blipFill>
                  <pic:spPr bwMode="auto">
                    <a:xfrm>
                      <a:off x="0" y="0"/>
                      <a:ext cx="5693404" cy="2430528"/>
                    </a:xfrm>
                    <a:prstGeom prst="rect">
                      <a:avLst/>
                    </a:prstGeom>
                    <a:ln>
                      <a:noFill/>
                    </a:ln>
                    <a:extLst>
                      <a:ext uri="{53640926-AAD7-44D8-BBD7-CCE9431645EC}">
                        <a14:shadowObscured xmlns:a14="http://schemas.microsoft.com/office/drawing/2010/main"/>
                      </a:ext>
                    </a:extLst>
                  </pic:spPr>
                </pic:pic>
              </a:graphicData>
            </a:graphic>
          </wp:inline>
        </w:drawing>
      </w:r>
    </w:p>
    <w:p w14:paraId="6FF61296" w14:textId="77777777" w:rsidR="00B641C2" w:rsidRDefault="00B641C2" w:rsidP="00B641C2">
      <w:pPr>
        <w:widowControl w:val="0"/>
        <w:autoSpaceDE w:val="0"/>
        <w:autoSpaceDN w:val="0"/>
        <w:adjustRightInd w:val="0"/>
        <w:spacing w:line="240" w:lineRule="auto"/>
        <w:jc w:val="both"/>
      </w:pPr>
      <w:r w:rsidRPr="00B839AB">
        <w:rPr>
          <w:b/>
        </w:rPr>
        <w:t>Figure 4.</w:t>
      </w:r>
      <w:r w:rsidRPr="00B839AB">
        <w:t xml:space="preserve"> </w:t>
      </w:r>
      <w:r>
        <w:t xml:space="preserve">Pyruvate, oxaloacetate and glyoxylate strongly activate the </w:t>
      </w:r>
      <w:r w:rsidRPr="00B839AB">
        <w:rPr>
          <w:i/>
        </w:rPr>
        <w:t>iso</w:t>
      </w:r>
      <w:r>
        <w:t xml:space="preserve">citrate dehydrogenase activity of IDH. </w:t>
      </w:r>
      <w:r w:rsidRPr="00B839AB">
        <w:rPr>
          <w:b/>
        </w:rPr>
        <w:t>(A)</w:t>
      </w:r>
      <w:r w:rsidRPr="00B839AB">
        <w:t xml:space="preserve"> </w:t>
      </w:r>
      <w:r>
        <w:t>Effect of pyruvate, oxaloacetate and glyoxylate of the</w:t>
      </w:r>
      <w:r w:rsidRPr="00B839AB">
        <w:t xml:space="preserve"> </w:t>
      </w:r>
      <w:r w:rsidRPr="00B839AB">
        <w:rPr>
          <w:i/>
          <w:iCs/>
        </w:rPr>
        <w:t>iso</w:t>
      </w:r>
      <w:r w:rsidRPr="00B839AB">
        <w:t>citrate</w:t>
      </w:r>
      <w:r>
        <w:t>-dependency of IDH kinetics</w:t>
      </w:r>
      <w:r w:rsidRPr="00B839AB">
        <w:t xml:space="preserve">. </w:t>
      </w:r>
      <w:r w:rsidRPr="00DE4ADB">
        <w:rPr>
          <w:b/>
        </w:rPr>
        <w:t>(B)</w:t>
      </w:r>
      <w:r w:rsidRPr="00B839AB">
        <w:t xml:space="preserve"> </w:t>
      </w:r>
      <w:r>
        <w:t>Effect of pyruvate, oxaloacetate and glyoxylate of the</w:t>
      </w:r>
      <w:r w:rsidRPr="00B839AB">
        <w:t xml:space="preserve"> </w:t>
      </w:r>
      <w:r w:rsidRPr="00B839AB">
        <w:rPr>
          <w:iCs/>
        </w:rPr>
        <w:t>NADP</w:t>
      </w:r>
      <w:r w:rsidRPr="00B839AB">
        <w:rPr>
          <w:vertAlign w:val="superscript"/>
        </w:rPr>
        <w:t>+</w:t>
      </w:r>
      <w:r>
        <w:t>-dependency of IDH kinetics</w:t>
      </w:r>
      <w:r w:rsidRPr="00B839AB">
        <w:t>.</w:t>
      </w:r>
      <w:r>
        <w:t xml:space="preserve"> Each regulator was added at 1 mM final concentration. </w:t>
      </w:r>
      <w:r w:rsidRPr="00B839AB">
        <w:t>Error bars correspond to ±</w:t>
      </w:r>
      <w:r>
        <w:t xml:space="preserve"> </w:t>
      </w:r>
      <w:r w:rsidRPr="00B839AB">
        <w:t>1 standard deviation</w:t>
      </w:r>
      <w:r>
        <w:t xml:space="preserve"> from n = 3 replicates</w:t>
      </w:r>
      <w:r w:rsidRPr="00B839AB">
        <w:t xml:space="preserve">. </w:t>
      </w:r>
    </w:p>
    <w:p w14:paraId="4240CB39" w14:textId="77777777" w:rsidR="00B641C2" w:rsidRDefault="00B641C2" w:rsidP="00426C2E">
      <w:pPr>
        <w:widowControl w:val="0"/>
        <w:autoSpaceDE w:val="0"/>
        <w:autoSpaceDN w:val="0"/>
        <w:adjustRightInd w:val="0"/>
        <w:spacing w:line="240" w:lineRule="auto"/>
        <w:ind w:left="640" w:hanging="640"/>
        <w:jc w:val="both"/>
      </w:pPr>
    </w:p>
    <w:p w14:paraId="25F6AE90" w14:textId="77777777" w:rsidR="00B641C2" w:rsidRDefault="00B641C2" w:rsidP="00426C2E">
      <w:pPr>
        <w:widowControl w:val="0"/>
        <w:autoSpaceDE w:val="0"/>
        <w:autoSpaceDN w:val="0"/>
        <w:adjustRightInd w:val="0"/>
        <w:spacing w:line="240" w:lineRule="auto"/>
        <w:ind w:left="640" w:hanging="640"/>
        <w:jc w:val="both"/>
      </w:pPr>
    </w:p>
    <w:p w14:paraId="03937F5E" w14:textId="77777777" w:rsidR="00B641C2" w:rsidRDefault="00B641C2" w:rsidP="00426C2E">
      <w:pPr>
        <w:widowControl w:val="0"/>
        <w:autoSpaceDE w:val="0"/>
        <w:autoSpaceDN w:val="0"/>
        <w:adjustRightInd w:val="0"/>
        <w:spacing w:line="240" w:lineRule="auto"/>
        <w:ind w:left="640" w:hanging="640"/>
        <w:jc w:val="both"/>
      </w:pPr>
    </w:p>
    <w:p w14:paraId="4C89DD57" w14:textId="77777777" w:rsidR="00B641C2" w:rsidRDefault="00B641C2" w:rsidP="00426C2E">
      <w:pPr>
        <w:widowControl w:val="0"/>
        <w:autoSpaceDE w:val="0"/>
        <w:autoSpaceDN w:val="0"/>
        <w:adjustRightInd w:val="0"/>
        <w:spacing w:line="240" w:lineRule="auto"/>
        <w:ind w:left="640" w:hanging="640"/>
        <w:jc w:val="both"/>
      </w:pPr>
    </w:p>
    <w:p w14:paraId="5FFD222D" w14:textId="77777777" w:rsidR="00B641C2" w:rsidRDefault="00B641C2" w:rsidP="00426C2E">
      <w:pPr>
        <w:widowControl w:val="0"/>
        <w:autoSpaceDE w:val="0"/>
        <w:autoSpaceDN w:val="0"/>
        <w:adjustRightInd w:val="0"/>
        <w:spacing w:line="240" w:lineRule="auto"/>
        <w:ind w:left="640" w:hanging="640"/>
        <w:jc w:val="both"/>
      </w:pPr>
    </w:p>
    <w:p w14:paraId="0D1514CF" w14:textId="77777777" w:rsidR="00B641C2" w:rsidRDefault="00B641C2" w:rsidP="00426C2E">
      <w:pPr>
        <w:widowControl w:val="0"/>
        <w:autoSpaceDE w:val="0"/>
        <w:autoSpaceDN w:val="0"/>
        <w:adjustRightInd w:val="0"/>
        <w:spacing w:line="240" w:lineRule="auto"/>
        <w:ind w:left="640" w:hanging="640"/>
        <w:jc w:val="both"/>
      </w:pPr>
    </w:p>
    <w:p w14:paraId="7CCBF15B" w14:textId="77777777" w:rsidR="00B641C2" w:rsidRDefault="00B641C2" w:rsidP="00426C2E">
      <w:pPr>
        <w:widowControl w:val="0"/>
        <w:autoSpaceDE w:val="0"/>
        <w:autoSpaceDN w:val="0"/>
        <w:adjustRightInd w:val="0"/>
        <w:spacing w:line="240" w:lineRule="auto"/>
        <w:ind w:left="640" w:hanging="640"/>
        <w:jc w:val="both"/>
      </w:pPr>
    </w:p>
    <w:p w14:paraId="36F73E0C" w14:textId="77777777" w:rsidR="00B641C2" w:rsidRDefault="00B641C2" w:rsidP="00426C2E">
      <w:pPr>
        <w:widowControl w:val="0"/>
        <w:autoSpaceDE w:val="0"/>
        <w:autoSpaceDN w:val="0"/>
        <w:adjustRightInd w:val="0"/>
        <w:spacing w:line="240" w:lineRule="auto"/>
        <w:ind w:left="640" w:hanging="640"/>
        <w:jc w:val="both"/>
      </w:pPr>
    </w:p>
    <w:p w14:paraId="4614344A" w14:textId="77777777" w:rsidR="00B641C2" w:rsidRDefault="00B641C2" w:rsidP="00426C2E">
      <w:pPr>
        <w:widowControl w:val="0"/>
        <w:autoSpaceDE w:val="0"/>
        <w:autoSpaceDN w:val="0"/>
        <w:adjustRightInd w:val="0"/>
        <w:spacing w:line="240" w:lineRule="auto"/>
        <w:ind w:left="640" w:hanging="640"/>
        <w:jc w:val="both"/>
      </w:pPr>
    </w:p>
    <w:p w14:paraId="1026E43C" w14:textId="77777777" w:rsidR="00B641C2" w:rsidRDefault="00B641C2" w:rsidP="00426C2E">
      <w:pPr>
        <w:widowControl w:val="0"/>
        <w:autoSpaceDE w:val="0"/>
        <w:autoSpaceDN w:val="0"/>
        <w:adjustRightInd w:val="0"/>
        <w:spacing w:line="240" w:lineRule="auto"/>
        <w:ind w:left="640" w:hanging="640"/>
        <w:jc w:val="both"/>
      </w:pPr>
    </w:p>
    <w:p w14:paraId="174C8E1E" w14:textId="77777777" w:rsidR="00B641C2" w:rsidRDefault="00B641C2" w:rsidP="00426C2E">
      <w:pPr>
        <w:widowControl w:val="0"/>
        <w:autoSpaceDE w:val="0"/>
        <w:autoSpaceDN w:val="0"/>
        <w:adjustRightInd w:val="0"/>
        <w:spacing w:line="240" w:lineRule="auto"/>
        <w:ind w:left="640" w:hanging="640"/>
        <w:jc w:val="both"/>
      </w:pPr>
    </w:p>
    <w:p w14:paraId="42587E49" w14:textId="5D294199" w:rsidR="00B641C2" w:rsidRDefault="00B641C2" w:rsidP="00B641C2">
      <w:pPr>
        <w:widowControl w:val="0"/>
        <w:autoSpaceDE w:val="0"/>
        <w:autoSpaceDN w:val="0"/>
        <w:adjustRightInd w:val="0"/>
        <w:spacing w:line="240" w:lineRule="auto"/>
        <w:jc w:val="both"/>
      </w:pPr>
      <w:r>
        <w:t xml:space="preserve">              </w:t>
      </w:r>
      <w:r w:rsidR="00FC7B24">
        <w:rPr>
          <w:noProof/>
          <w:lang w:eastAsia="en-GB"/>
        </w:rPr>
        <w:lastRenderedPageBreak/>
        <w:drawing>
          <wp:inline distT="0" distB="0" distL="0" distR="0" wp14:anchorId="12C67309" wp14:editId="05E44B22">
            <wp:extent cx="5731510" cy="309054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5.tif"/>
                    <pic:cNvPicPr/>
                  </pic:nvPicPr>
                  <pic:blipFill rotWithShape="1">
                    <a:blip r:embed="rId10">
                      <a:extLst>
                        <a:ext uri="{28A0092B-C50C-407E-A947-70E740481C1C}">
                          <a14:useLocalDpi xmlns:a14="http://schemas.microsoft.com/office/drawing/2010/main" val="0"/>
                        </a:ext>
                      </a:extLst>
                    </a:blip>
                    <a:srcRect t="4136"/>
                    <a:stretch/>
                  </pic:blipFill>
                  <pic:spPr bwMode="auto">
                    <a:xfrm>
                      <a:off x="0" y="0"/>
                      <a:ext cx="5731510" cy="3090545"/>
                    </a:xfrm>
                    <a:prstGeom prst="rect">
                      <a:avLst/>
                    </a:prstGeom>
                    <a:ln>
                      <a:noFill/>
                    </a:ln>
                    <a:extLst>
                      <a:ext uri="{53640926-AAD7-44D8-BBD7-CCE9431645EC}">
                        <a14:shadowObscured xmlns:a14="http://schemas.microsoft.com/office/drawing/2010/main"/>
                      </a:ext>
                    </a:extLst>
                  </pic:spPr>
                </pic:pic>
              </a:graphicData>
            </a:graphic>
          </wp:inline>
        </w:drawing>
      </w:r>
    </w:p>
    <w:p w14:paraId="57F18AAA" w14:textId="0506AE75" w:rsidR="00B641C2" w:rsidRDefault="00B641C2" w:rsidP="00B641C2">
      <w:pPr>
        <w:widowControl w:val="0"/>
        <w:autoSpaceDE w:val="0"/>
        <w:autoSpaceDN w:val="0"/>
        <w:adjustRightInd w:val="0"/>
        <w:spacing w:line="240" w:lineRule="auto"/>
        <w:jc w:val="both"/>
      </w:pPr>
      <w:r w:rsidRPr="00DE4ADB">
        <w:rPr>
          <w:b/>
        </w:rPr>
        <w:t>Figure 5.</w:t>
      </w:r>
      <w:r w:rsidRPr="00DE4ADB">
        <w:t xml:space="preserve"> </w:t>
      </w:r>
      <w:r>
        <w:t xml:space="preserve">Regulation of </w:t>
      </w:r>
      <w:r w:rsidRPr="00DE4ADB">
        <w:rPr>
          <w:i/>
        </w:rPr>
        <w:t>P. aeruginosa</w:t>
      </w:r>
      <w:r>
        <w:t xml:space="preserve"> ICD activity by AceK-dependent phosphorylation. </w:t>
      </w:r>
      <w:r w:rsidRPr="00DE4ADB">
        <w:rPr>
          <w:b/>
        </w:rPr>
        <w:t>(A)</w:t>
      </w:r>
      <w:r w:rsidRPr="00DE4ADB">
        <w:t xml:space="preserve"> </w:t>
      </w:r>
      <w:r w:rsidR="00FC7B24" w:rsidRPr="005A4E7E">
        <w:t>Ribbon</w:t>
      </w:r>
      <w:r w:rsidR="00FC7B24" w:rsidRPr="000629FD">
        <w:t xml:space="preserve"> representation of </w:t>
      </w:r>
      <w:r w:rsidR="00FC7B24">
        <w:t xml:space="preserve">the </w:t>
      </w:r>
      <w:r w:rsidR="00FC7B24" w:rsidRPr="000629FD">
        <w:t>IC</w:t>
      </w:r>
      <w:r w:rsidR="00FC7B24">
        <w:t>D dimer. The two protomers</w:t>
      </w:r>
      <w:r w:rsidR="00FC7B24" w:rsidRPr="000629FD">
        <w:t xml:space="preserve"> </w:t>
      </w:r>
      <w:r w:rsidR="00FC7B24">
        <w:t xml:space="preserve">are </w:t>
      </w:r>
      <w:r w:rsidR="00FC7B24" w:rsidRPr="000629FD">
        <w:t xml:space="preserve">highlighted in </w:t>
      </w:r>
      <w:r w:rsidR="00FC7B24">
        <w:t>light purple and green</w:t>
      </w:r>
      <w:r w:rsidR="00FC7B24" w:rsidRPr="000629FD">
        <w:t xml:space="preserve">. </w:t>
      </w:r>
      <w:r w:rsidR="00FC7B24">
        <w:t xml:space="preserve">Dimerization is largely mediated by the </w:t>
      </w:r>
      <w:r w:rsidR="00FC7B24" w:rsidRPr="000629FD">
        <w:t>clasp domain</w:t>
      </w:r>
      <w:r w:rsidR="00FC7B24">
        <w:t>,</w:t>
      </w:r>
      <w:r w:rsidR="00FC7B24" w:rsidRPr="000629FD">
        <w:t xml:space="preserve"> </w:t>
      </w:r>
      <w:r w:rsidR="00FC7B24">
        <w:t>shown here at the</w:t>
      </w:r>
      <w:r w:rsidR="00FC7B24" w:rsidRPr="000629FD">
        <w:t xml:space="preserve"> top of the structure</w:t>
      </w:r>
      <w:r w:rsidR="00FC7B24">
        <w:t>, although additional contacts between helices at the core of the structure also play a role.</w:t>
      </w:r>
      <w:r w:rsidR="00FC7B24" w:rsidRPr="000629FD">
        <w:t xml:space="preserve"> </w:t>
      </w:r>
      <w:r w:rsidR="00FC7B24" w:rsidRPr="00B16A3C">
        <w:rPr>
          <w:b/>
        </w:rPr>
        <w:t>(B)</w:t>
      </w:r>
      <w:r w:rsidR="00FC7B24" w:rsidRPr="000629FD">
        <w:t xml:space="preserve"> </w:t>
      </w:r>
      <w:r w:rsidRPr="00BF640A">
        <w:t>AceK</w:t>
      </w:r>
      <w:r>
        <w:t>-mediated phosphotransfer</w:t>
      </w:r>
      <w:r w:rsidRPr="00BF640A">
        <w:t xml:space="preserve"> </w:t>
      </w:r>
      <w:r>
        <w:t xml:space="preserve">from </w:t>
      </w:r>
      <w:r w:rsidRPr="00BF640A">
        <w:rPr>
          <w:rFonts w:ascii="Symbol" w:hAnsi="Symbol"/>
        </w:rPr>
        <w:t></w:t>
      </w:r>
      <w:r>
        <w:t>[</w:t>
      </w:r>
      <w:r w:rsidRPr="00BF640A">
        <w:rPr>
          <w:vertAlign w:val="superscript"/>
        </w:rPr>
        <w:t>32</w:t>
      </w:r>
      <w:r>
        <w:t>P]ATP to ICD.</w:t>
      </w:r>
      <w:r w:rsidRPr="00BF640A">
        <w:t xml:space="preserve"> </w:t>
      </w:r>
      <w:r>
        <w:t xml:space="preserve">Phosphotransfer was measured between </w:t>
      </w:r>
      <w:r w:rsidRPr="00BF640A">
        <w:rPr>
          <w:i/>
        </w:rPr>
        <w:t>P. aeruginosa</w:t>
      </w:r>
      <w:r>
        <w:t xml:space="preserve"> AceK and </w:t>
      </w:r>
      <w:r w:rsidRPr="00BF640A">
        <w:rPr>
          <w:i/>
        </w:rPr>
        <w:t>P. aeruginosa</w:t>
      </w:r>
      <w:r>
        <w:t xml:space="preserve"> ICD (AceK</w:t>
      </w:r>
      <w:r w:rsidRPr="00BF640A">
        <w:rPr>
          <w:vertAlign w:val="subscript"/>
        </w:rPr>
        <w:t>PA</w:t>
      </w:r>
      <w:r>
        <w:t xml:space="preserve"> and ICD</w:t>
      </w:r>
      <w:r w:rsidRPr="00BF640A">
        <w:rPr>
          <w:vertAlign w:val="subscript"/>
        </w:rPr>
        <w:t>PA</w:t>
      </w:r>
      <w:r>
        <w:t xml:space="preserve">) or between </w:t>
      </w:r>
      <w:r w:rsidRPr="00FC65F6">
        <w:rPr>
          <w:i/>
        </w:rPr>
        <w:t>E. coli</w:t>
      </w:r>
      <w:r>
        <w:t xml:space="preserve"> AceK and </w:t>
      </w:r>
      <w:r w:rsidRPr="00FC65F6">
        <w:rPr>
          <w:i/>
        </w:rPr>
        <w:t>E. coli</w:t>
      </w:r>
      <w:r>
        <w:t xml:space="preserve"> ICD (AceK</w:t>
      </w:r>
      <w:r>
        <w:rPr>
          <w:vertAlign w:val="subscript"/>
        </w:rPr>
        <w:t>EC</w:t>
      </w:r>
      <w:r>
        <w:t xml:space="preserve"> and ICD</w:t>
      </w:r>
      <w:r>
        <w:rPr>
          <w:vertAlign w:val="subscript"/>
        </w:rPr>
        <w:t>EC</w:t>
      </w:r>
      <w:r>
        <w:t>), as indicated. Aliquots were removed for sampling after 1, 2 and 3 min incubation, and resolved by SDS-PAGE</w:t>
      </w:r>
      <w:r w:rsidRPr="00DE4ADB">
        <w:t>.</w:t>
      </w:r>
      <w:r>
        <w:t xml:space="preserve"> Radioactivity was monitored using a Phosphoimager.</w:t>
      </w:r>
      <w:r w:rsidRPr="00DE4ADB">
        <w:t xml:space="preserve"> </w:t>
      </w:r>
      <w:r w:rsidRPr="00FC65F6">
        <w:rPr>
          <w:b/>
        </w:rPr>
        <w:t>(</w:t>
      </w:r>
      <w:r w:rsidR="00FC7B24">
        <w:rPr>
          <w:b/>
        </w:rPr>
        <w:t>C</w:t>
      </w:r>
      <w:r w:rsidRPr="00FC65F6">
        <w:rPr>
          <w:b/>
        </w:rPr>
        <w:t>)</w:t>
      </w:r>
      <w:r w:rsidRPr="00DE4ADB">
        <w:t xml:space="preserve"> </w:t>
      </w:r>
      <w:r w:rsidRPr="00FC65F6">
        <w:rPr>
          <w:i/>
        </w:rPr>
        <w:t>P. aeruginosa</w:t>
      </w:r>
      <w:r>
        <w:t xml:space="preserve"> AceK is intrinsically less efficient at phosphorylating </w:t>
      </w:r>
      <w:r w:rsidRPr="00FC65F6">
        <w:rPr>
          <w:i/>
        </w:rPr>
        <w:t>P. aeruginosa</w:t>
      </w:r>
      <w:r>
        <w:t xml:space="preserve"> ICD than </w:t>
      </w:r>
      <w:r w:rsidRPr="00FC65F6">
        <w:rPr>
          <w:i/>
        </w:rPr>
        <w:t>E. coli</w:t>
      </w:r>
      <w:r>
        <w:t xml:space="preserve"> AceK. The figure shows a “mix n’ match” experiment in which the efficiencies of </w:t>
      </w:r>
      <w:r w:rsidRPr="00FC65F6">
        <w:rPr>
          <w:i/>
        </w:rPr>
        <w:t>P. aeruginosa</w:t>
      </w:r>
      <w:r>
        <w:t xml:space="preserve"> and </w:t>
      </w:r>
      <w:r w:rsidRPr="00FC65F6">
        <w:rPr>
          <w:i/>
        </w:rPr>
        <w:t>E. coli</w:t>
      </w:r>
      <w:r>
        <w:t xml:space="preserve"> AceK at inactivating the ICD homologues from each species are measured. </w:t>
      </w:r>
      <w:r w:rsidRPr="00DE4ADB">
        <w:t>ICD</w:t>
      </w:r>
      <w:r w:rsidRPr="00DE4ADB">
        <w:rPr>
          <w:vertAlign w:val="subscript"/>
        </w:rPr>
        <w:t>PA</w:t>
      </w:r>
      <w:r w:rsidRPr="00DE4ADB">
        <w:t xml:space="preserve"> and ICD</w:t>
      </w:r>
      <w:r w:rsidRPr="00DE4ADB">
        <w:rPr>
          <w:vertAlign w:val="subscript"/>
        </w:rPr>
        <w:t>EC</w:t>
      </w:r>
      <w:r w:rsidRPr="00DE4ADB">
        <w:t xml:space="preserve"> can </w:t>
      </w:r>
      <w:r>
        <w:t xml:space="preserve">each </w:t>
      </w:r>
      <w:r w:rsidRPr="00DE4ADB">
        <w:t>be phosphorylated by either AceK</w:t>
      </w:r>
      <w:r w:rsidRPr="00DE4ADB">
        <w:rPr>
          <w:vertAlign w:val="subscript"/>
        </w:rPr>
        <w:t>PA</w:t>
      </w:r>
      <w:r w:rsidRPr="00DE4ADB">
        <w:t xml:space="preserve"> or AceK</w:t>
      </w:r>
      <w:r w:rsidRPr="00DE4ADB">
        <w:rPr>
          <w:vertAlign w:val="subscript"/>
        </w:rPr>
        <w:t>EC</w:t>
      </w:r>
      <w:r w:rsidRPr="00DE4ADB">
        <w:t>. However, the ICD</w:t>
      </w:r>
      <w:r w:rsidRPr="00DE4ADB">
        <w:rPr>
          <w:vertAlign w:val="subscript"/>
        </w:rPr>
        <w:t>PA</w:t>
      </w:r>
      <w:r w:rsidRPr="00DE4ADB">
        <w:t>/AceK</w:t>
      </w:r>
      <w:r w:rsidRPr="00DE4ADB">
        <w:rPr>
          <w:vertAlign w:val="subscript"/>
        </w:rPr>
        <w:t>PA</w:t>
      </w:r>
      <w:r w:rsidRPr="00DE4ADB">
        <w:t xml:space="preserve"> pair </w:t>
      </w:r>
      <w:r>
        <w:t>never achieves full inactivation, in spite of the fact that AceK</w:t>
      </w:r>
      <w:r w:rsidRPr="00426C2E">
        <w:rPr>
          <w:vertAlign w:val="subscript"/>
        </w:rPr>
        <w:t>PA</w:t>
      </w:r>
      <w:r>
        <w:t xml:space="preserve"> fully inactivates ICD</w:t>
      </w:r>
      <w:r w:rsidRPr="00426C2E">
        <w:rPr>
          <w:vertAlign w:val="subscript"/>
        </w:rPr>
        <w:t>EC</w:t>
      </w:r>
      <w:r>
        <w:t xml:space="preserve"> (indicating that the kinase is competent to do this) and that AceK</w:t>
      </w:r>
      <w:r w:rsidRPr="00426C2E">
        <w:rPr>
          <w:vertAlign w:val="subscript"/>
        </w:rPr>
        <w:t>EC</w:t>
      </w:r>
      <w:r>
        <w:t xml:space="preserve"> fully inactivates ICD</w:t>
      </w:r>
      <w:r w:rsidRPr="00426C2E">
        <w:rPr>
          <w:vertAlign w:val="subscript"/>
        </w:rPr>
        <w:t>PA</w:t>
      </w:r>
      <w:r>
        <w:t xml:space="preserve"> (indicating that the ICD is potentially fully inactivatable). Reaction conditions as in Figure 3.</w:t>
      </w:r>
      <w:r w:rsidRPr="00DE4ADB">
        <w:t xml:space="preserve"> </w:t>
      </w:r>
      <w:r w:rsidRPr="00426C2E">
        <w:rPr>
          <w:b/>
        </w:rPr>
        <w:t>(</w:t>
      </w:r>
      <w:r w:rsidR="00FC7B24">
        <w:rPr>
          <w:b/>
        </w:rPr>
        <w:t>D</w:t>
      </w:r>
      <w:r w:rsidRPr="00426C2E">
        <w:rPr>
          <w:b/>
        </w:rPr>
        <w:t>)</w:t>
      </w:r>
      <w:r w:rsidRPr="00DE4ADB">
        <w:t xml:space="preserve"> </w:t>
      </w:r>
      <w:r>
        <w:t>Fumarate stimulates the phosphatase activity of AceK</w:t>
      </w:r>
      <w:r w:rsidRPr="00426C2E">
        <w:rPr>
          <w:vertAlign w:val="subscript"/>
        </w:rPr>
        <w:t>PA</w:t>
      </w:r>
      <w:r>
        <w:t xml:space="preserve"> (thereby reactivating ICD), whereas acetyl-CoA stimulates the kinase activity of AceK</w:t>
      </w:r>
      <w:r w:rsidRPr="00426C2E">
        <w:rPr>
          <w:vertAlign w:val="subscript"/>
        </w:rPr>
        <w:t>PA</w:t>
      </w:r>
      <w:r>
        <w:t xml:space="preserve"> (thereby inactivating ICD). Fumarate and acetyl-CoA were present at 5 mM concentration. </w:t>
      </w:r>
    </w:p>
    <w:p w14:paraId="6EF4D9E8" w14:textId="77777777" w:rsidR="00B641C2" w:rsidRDefault="00B641C2" w:rsidP="00426C2E">
      <w:pPr>
        <w:widowControl w:val="0"/>
        <w:autoSpaceDE w:val="0"/>
        <w:autoSpaceDN w:val="0"/>
        <w:adjustRightInd w:val="0"/>
        <w:spacing w:line="240" w:lineRule="auto"/>
        <w:ind w:left="640" w:hanging="640"/>
        <w:jc w:val="both"/>
      </w:pPr>
    </w:p>
    <w:p w14:paraId="534A4863" w14:textId="77777777" w:rsidR="00DA0C10" w:rsidRDefault="00DA0C10" w:rsidP="00426C2E">
      <w:pPr>
        <w:widowControl w:val="0"/>
        <w:autoSpaceDE w:val="0"/>
        <w:autoSpaceDN w:val="0"/>
        <w:adjustRightInd w:val="0"/>
        <w:spacing w:line="240" w:lineRule="auto"/>
        <w:ind w:left="640" w:hanging="640"/>
        <w:jc w:val="both"/>
      </w:pPr>
    </w:p>
    <w:p w14:paraId="6A26402C" w14:textId="77777777" w:rsidR="00DA0C10" w:rsidRDefault="00DA0C10" w:rsidP="00426C2E">
      <w:pPr>
        <w:widowControl w:val="0"/>
        <w:autoSpaceDE w:val="0"/>
        <w:autoSpaceDN w:val="0"/>
        <w:adjustRightInd w:val="0"/>
        <w:spacing w:line="240" w:lineRule="auto"/>
        <w:ind w:left="640" w:hanging="640"/>
        <w:jc w:val="both"/>
      </w:pPr>
    </w:p>
    <w:p w14:paraId="79981165" w14:textId="77777777" w:rsidR="00DA0C10" w:rsidRDefault="00DA0C10" w:rsidP="00426C2E">
      <w:pPr>
        <w:widowControl w:val="0"/>
        <w:autoSpaceDE w:val="0"/>
        <w:autoSpaceDN w:val="0"/>
        <w:adjustRightInd w:val="0"/>
        <w:spacing w:line="240" w:lineRule="auto"/>
        <w:ind w:left="640" w:hanging="640"/>
        <w:jc w:val="both"/>
      </w:pPr>
    </w:p>
    <w:p w14:paraId="1603C986" w14:textId="77777777" w:rsidR="00DA0C10" w:rsidRDefault="00DA0C10" w:rsidP="00426C2E">
      <w:pPr>
        <w:widowControl w:val="0"/>
        <w:autoSpaceDE w:val="0"/>
        <w:autoSpaceDN w:val="0"/>
        <w:adjustRightInd w:val="0"/>
        <w:spacing w:line="240" w:lineRule="auto"/>
        <w:ind w:left="640" w:hanging="640"/>
        <w:jc w:val="both"/>
      </w:pPr>
    </w:p>
    <w:p w14:paraId="57EAE55C" w14:textId="77777777" w:rsidR="00DA0C10" w:rsidRDefault="00DA0C10" w:rsidP="00426C2E">
      <w:pPr>
        <w:widowControl w:val="0"/>
        <w:autoSpaceDE w:val="0"/>
        <w:autoSpaceDN w:val="0"/>
        <w:adjustRightInd w:val="0"/>
        <w:spacing w:line="240" w:lineRule="auto"/>
        <w:ind w:left="640" w:hanging="640"/>
        <w:jc w:val="both"/>
      </w:pPr>
    </w:p>
    <w:p w14:paraId="395977CA" w14:textId="77777777" w:rsidR="00DA0C10" w:rsidRDefault="00DA0C10" w:rsidP="00426C2E">
      <w:pPr>
        <w:widowControl w:val="0"/>
        <w:autoSpaceDE w:val="0"/>
        <w:autoSpaceDN w:val="0"/>
        <w:adjustRightInd w:val="0"/>
        <w:spacing w:line="240" w:lineRule="auto"/>
        <w:ind w:left="640" w:hanging="640"/>
        <w:jc w:val="both"/>
      </w:pPr>
    </w:p>
    <w:p w14:paraId="2B0F9226" w14:textId="77777777" w:rsidR="00DA0C10" w:rsidRDefault="00DA0C10" w:rsidP="00426C2E">
      <w:pPr>
        <w:widowControl w:val="0"/>
        <w:autoSpaceDE w:val="0"/>
        <w:autoSpaceDN w:val="0"/>
        <w:adjustRightInd w:val="0"/>
        <w:spacing w:line="240" w:lineRule="auto"/>
        <w:ind w:left="640" w:hanging="640"/>
        <w:jc w:val="both"/>
      </w:pPr>
    </w:p>
    <w:p w14:paraId="0323309B" w14:textId="77777777" w:rsidR="00DA0C10" w:rsidRDefault="00DA0C10" w:rsidP="00426C2E">
      <w:pPr>
        <w:widowControl w:val="0"/>
        <w:autoSpaceDE w:val="0"/>
        <w:autoSpaceDN w:val="0"/>
        <w:adjustRightInd w:val="0"/>
        <w:spacing w:line="240" w:lineRule="auto"/>
        <w:ind w:left="640" w:hanging="640"/>
        <w:jc w:val="both"/>
      </w:pPr>
    </w:p>
    <w:p w14:paraId="08CF1ED4" w14:textId="77777777" w:rsidR="00DA0C10" w:rsidRDefault="00DA0C10" w:rsidP="00426C2E">
      <w:pPr>
        <w:widowControl w:val="0"/>
        <w:autoSpaceDE w:val="0"/>
        <w:autoSpaceDN w:val="0"/>
        <w:adjustRightInd w:val="0"/>
        <w:spacing w:line="240" w:lineRule="auto"/>
        <w:ind w:left="640" w:hanging="640"/>
        <w:jc w:val="both"/>
      </w:pPr>
    </w:p>
    <w:p w14:paraId="673CF06B" w14:textId="4E6438DA" w:rsidR="00DA0C10" w:rsidRDefault="00DA0C10" w:rsidP="00426C2E">
      <w:pPr>
        <w:widowControl w:val="0"/>
        <w:autoSpaceDE w:val="0"/>
        <w:autoSpaceDN w:val="0"/>
        <w:adjustRightInd w:val="0"/>
        <w:spacing w:line="240" w:lineRule="auto"/>
        <w:ind w:left="640" w:hanging="640"/>
        <w:jc w:val="both"/>
      </w:pPr>
      <w:r>
        <w:rPr>
          <w:noProof/>
          <w:lang w:eastAsia="en-GB"/>
        </w:rPr>
        <w:lastRenderedPageBreak/>
        <w:drawing>
          <wp:inline distT="0" distB="0" distL="0" distR="0" wp14:anchorId="75E5F263" wp14:editId="5EB74FCB">
            <wp:extent cx="5730331" cy="2178996"/>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 6.tif"/>
                    <pic:cNvPicPr/>
                  </pic:nvPicPr>
                  <pic:blipFill rotWithShape="1">
                    <a:blip r:embed="rId11">
                      <a:extLst>
                        <a:ext uri="{28A0092B-C50C-407E-A947-70E740481C1C}">
                          <a14:useLocalDpi xmlns:a14="http://schemas.microsoft.com/office/drawing/2010/main" val="0"/>
                        </a:ext>
                      </a:extLst>
                    </a:blip>
                    <a:srcRect t="12371" b="20025"/>
                    <a:stretch/>
                  </pic:blipFill>
                  <pic:spPr bwMode="auto">
                    <a:xfrm>
                      <a:off x="0" y="0"/>
                      <a:ext cx="5731510" cy="2179444"/>
                    </a:xfrm>
                    <a:prstGeom prst="rect">
                      <a:avLst/>
                    </a:prstGeom>
                    <a:ln>
                      <a:noFill/>
                    </a:ln>
                    <a:extLst>
                      <a:ext uri="{53640926-AAD7-44D8-BBD7-CCE9431645EC}">
                        <a14:shadowObscured xmlns:a14="http://schemas.microsoft.com/office/drawing/2010/main"/>
                      </a:ext>
                    </a:extLst>
                  </pic:spPr>
                </pic:pic>
              </a:graphicData>
            </a:graphic>
          </wp:inline>
        </w:drawing>
      </w:r>
    </w:p>
    <w:p w14:paraId="48FE1293" w14:textId="2A786DCD" w:rsidR="00DA0C10" w:rsidRDefault="00DA0C10" w:rsidP="00DA0C10">
      <w:pPr>
        <w:widowControl w:val="0"/>
        <w:autoSpaceDE w:val="0"/>
        <w:autoSpaceDN w:val="0"/>
        <w:adjustRightInd w:val="0"/>
        <w:spacing w:line="240" w:lineRule="auto"/>
        <w:jc w:val="both"/>
      </w:pPr>
      <w:r w:rsidRPr="00713A64">
        <w:rPr>
          <w:b/>
          <w:highlight w:val="yellow"/>
        </w:rPr>
        <w:t>Figure 6.</w:t>
      </w:r>
      <w:r w:rsidRPr="00713A64">
        <w:rPr>
          <w:highlight w:val="yellow"/>
        </w:rPr>
        <w:t xml:space="preserve"> Comparison of TGB regulatory mechanisms in </w:t>
      </w:r>
      <w:r w:rsidRPr="00713A64">
        <w:rPr>
          <w:i/>
          <w:highlight w:val="yellow"/>
        </w:rPr>
        <w:t>M. smegmatis</w:t>
      </w:r>
      <w:r w:rsidRPr="00713A64">
        <w:rPr>
          <w:highlight w:val="yellow"/>
        </w:rPr>
        <w:t xml:space="preserve">, </w:t>
      </w:r>
      <w:r w:rsidRPr="00713A64">
        <w:rPr>
          <w:i/>
          <w:highlight w:val="yellow"/>
        </w:rPr>
        <w:t>E. coli</w:t>
      </w:r>
      <w:r w:rsidRPr="00713A64">
        <w:rPr>
          <w:highlight w:val="yellow"/>
        </w:rPr>
        <w:t xml:space="preserve"> and </w:t>
      </w:r>
      <w:r w:rsidRPr="00713A64">
        <w:rPr>
          <w:i/>
          <w:highlight w:val="yellow"/>
        </w:rPr>
        <w:t>P. aeruginosa</w:t>
      </w:r>
      <w:r w:rsidRPr="00713A64">
        <w:rPr>
          <w:highlight w:val="yellow"/>
        </w:rPr>
        <w:t xml:space="preserve">. </w:t>
      </w:r>
      <w:r w:rsidR="00016399" w:rsidRPr="00713A64">
        <w:rPr>
          <w:highlight w:val="yellow"/>
        </w:rPr>
        <w:t xml:space="preserve">Interactions which stimulate the target enzyme are shown in red, whereas interactions which inhibit the target enzyme are shown in green. For simplicity, we have only shown the regulatory interactions of the molecules depicted in the figure. </w:t>
      </w:r>
      <w:r w:rsidR="00376394">
        <w:rPr>
          <w:highlight w:val="yellow"/>
        </w:rPr>
        <w:t>A more comprehensive schematic of the regulatory interactions established for</w:t>
      </w:r>
      <w:r w:rsidR="00376394" w:rsidRPr="00376394">
        <w:rPr>
          <w:i/>
          <w:highlight w:val="yellow"/>
        </w:rPr>
        <w:t xml:space="preserve"> P. aeruginosa </w:t>
      </w:r>
      <w:r w:rsidR="00376394">
        <w:rPr>
          <w:highlight w:val="yellow"/>
        </w:rPr>
        <w:t>is shown in Figure S12. Note that f</w:t>
      </w:r>
      <w:r w:rsidR="00016399" w:rsidRPr="00713A64">
        <w:rPr>
          <w:highlight w:val="yellow"/>
        </w:rPr>
        <w:t xml:space="preserve">or simplicity, the pathway from acetyl-CoA and oxaloacetate to </w:t>
      </w:r>
      <w:r w:rsidR="00016399" w:rsidRPr="00713A64">
        <w:rPr>
          <w:i/>
          <w:highlight w:val="yellow"/>
        </w:rPr>
        <w:t>iso</w:t>
      </w:r>
      <w:r w:rsidR="00016399" w:rsidRPr="00713A64">
        <w:rPr>
          <w:highlight w:val="yellow"/>
        </w:rPr>
        <w:t>citrate is depicted as a single step in the figure, whereas this conversion is catalysed by the sequential action of citrate synthase and aconitase in the cell. See text for details.</w:t>
      </w:r>
      <w:r w:rsidR="00016399">
        <w:t xml:space="preserve">   </w:t>
      </w:r>
    </w:p>
    <w:p w14:paraId="17D91DFD" w14:textId="77777777" w:rsidR="00B641C2" w:rsidRDefault="00B641C2" w:rsidP="00426C2E">
      <w:pPr>
        <w:widowControl w:val="0"/>
        <w:autoSpaceDE w:val="0"/>
        <w:autoSpaceDN w:val="0"/>
        <w:adjustRightInd w:val="0"/>
        <w:spacing w:line="240" w:lineRule="auto"/>
        <w:ind w:left="640" w:hanging="640"/>
        <w:jc w:val="both"/>
      </w:pPr>
    </w:p>
    <w:p w14:paraId="7F603DC3" w14:textId="77777777" w:rsidR="00B641C2" w:rsidRDefault="00B641C2" w:rsidP="00426C2E">
      <w:pPr>
        <w:widowControl w:val="0"/>
        <w:autoSpaceDE w:val="0"/>
        <w:autoSpaceDN w:val="0"/>
        <w:adjustRightInd w:val="0"/>
        <w:spacing w:line="240" w:lineRule="auto"/>
        <w:ind w:left="640" w:hanging="640"/>
        <w:jc w:val="both"/>
      </w:pPr>
    </w:p>
    <w:p w14:paraId="2A2E4D4A" w14:textId="77777777" w:rsidR="00B641C2" w:rsidRDefault="00B641C2" w:rsidP="00426C2E">
      <w:pPr>
        <w:widowControl w:val="0"/>
        <w:autoSpaceDE w:val="0"/>
        <w:autoSpaceDN w:val="0"/>
        <w:adjustRightInd w:val="0"/>
        <w:spacing w:line="240" w:lineRule="auto"/>
        <w:ind w:left="640" w:hanging="640"/>
        <w:jc w:val="both"/>
      </w:pPr>
    </w:p>
    <w:p w14:paraId="4D57D5A4" w14:textId="77777777" w:rsidR="00B641C2" w:rsidRDefault="00B641C2" w:rsidP="00426C2E">
      <w:pPr>
        <w:widowControl w:val="0"/>
        <w:autoSpaceDE w:val="0"/>
        <w:autoSpaceDN w:val="0"/>
        <w:adjustRightInd w:val="0"/>
        <w:spacing w:line="240" w:lineRule="auto"/>
        <w:ind w:left="640" w:hanging="640"/>
        <w:jc w:val="both"/>
      </w:pPr>
    </w:p>
    <w:p w14:paraId="0BB36A5E" w14:textId="77777777" w:rsidR="00016399" w:rsidRDefault="00016399" w:rsidP="00426C2E">
      <w:pPr>
        <w:widowControl w:val="0"/>
        <w:autoSpaceDE w:val="0"/>
        <w:autoSpaceDN w:val="0"/>
        <w:adjustRightInd w:val="0"/>
        <w:spacing w:line="240" w:lineRule="auto"/>
        <w:ind w:left="640" w:hanging="640"/>
        <w:jc w:val="both"/>
      </w:pPr>
    </w:p>
    <w:p w14:paraId="46B50A31" w14:textId="77777777" w:rsidR="00016399" w:rsidRDefault="00016399" w:rsidP="00426C2E">
      <w:pPr>
        <w:widowControl w:val="0"/>
        <w:autoSpaceDE w:val="0"/>
        <w:autoSpaceDN w:val="0"/>
        <w:adjustRightInd w:val="0"/>
        <w:spacing w:line="240" w:lineRule="auto"/>
        <w:ind w:left="640" w:hanging="640"/>
        <w:jc w:val="both"/>
      </w:pPr>
    </w:p>
    <w:p w14:paraId="1188C706" w14:textId="77777777" w:rsidR="00016399" w:rsidRDefault="00016399" w:rsidP="00426C2E">
      <w:pPr>
        <w:widowControl w:val="0"/>
        <w:autoSpaceDE w:val="0"/>
        <w:autoSpaceDN w:val="0"/>
        <w:adjustRightInd w:val="0"/>
        <w:spacing w:line="240" w:lineRule="auto"/>
        <w:ind w:left="640" w:hanging="640"/>
        <w:jc w:val="both"/>
      </w:pPr>
    </w:p>
    <w:p w14:paraId="1D2F4DE2" w14:textId="77777777" w:rsidR="00016399" w:rsidRDefault="00016399" w:rsidP="00426C2E">
      <w:pPr>
        <w:widowControl w:val="0"/>
        <w:autoSpaceDE w:val="0"/>
        <w:autoSpaceDN w:val="0"/>
        <w:adjustRightInd w:val="0"/>
        <w:spacing w:line="240" w:lineRule="auto"/>
        <w:ind w:left="640" w:hanging="640"/>
        <w:jc w:val="both"/>
      </w:pPr>
    </w:p>
    <w:p w14:paraId="154D5F25" w14:textId="77777777" w:rsidR="00016399" w:rsidRDefault="00016399" w:rsidP="00426C2E">
      <w:pPr>
        <w:widowControl w:val="0"/>
        <w:autoSpaceDE w:val="0"/>
        <w:autoSpaceDN w:val="0"/>
        <w:adjustRightInd w:val="0"/>
        <w:spacing w:line="240" w:lineRule="auto"/>
        <w:ind w:left="640" w:hanging="640"/>
        <w:jc w:val="both"/>
      </w:pPr>
    </w:p>
    <w:p w14:paraId="383C7030" w14:textId="77777777" w:rsidR="00016399" w:rsidRDefault="00016399" w:rsidP="00426C2E">
      <w:pPr>
        <w:widowControl w:val="0"/>
        <w:autoSpaceDE w:val="0"/>
        <w:autoSpaceDN w:val="0"/>
        <w:adjustRightInd w:val="0"/>
        <w:spacing w:line="240" w:lineRule="auto"/>
        <w:ind w:left="640" w:hanging="640"/>
        <w:jc w:val="both"/>
      </w:pPr>
    </w:p>
    <w:p w14:paraId="78775EBE" w14:textId="77777777" w:rsidR="00016399" w:rsidRDefault="00016399" w:rsidP="00426C2E">
      <w:pPr>
        <w:widowControl w:val="0"/>
        <w:autoSpaceDE w:val="0"/>
        <w:autoSpaceDN w:val="0"/>
        <w:adjustRightInd w:val="0"/>
        <w:spacing w:line="240" w:lineRule="auto"/>
        <w:ind w:left="640" w:hanging="640"/>
        <w:jc w:val="both"/>
      </w:pPr>
    </w:p>
    <w:p w14:paraId="16CE9C07" w14:textId="77777777" w:rsidR="00016399" w:rsidRDefault="00016399" w:rsidP="00426C2E">
      <w:pPr>
        <w:widowControl w:val="0"/>
        <w:autoSpaceDE w:val="0"/>
        <w:autoSpaceDN w:val="0"/>
        <w:adjustRightInd w:val="0"/>
        <w:spacing w:line="240" w:lineRule="auto"/>
        <w:ind w:left="640" w:hanging="640"/>
        <w:jc w:val="both"/>
      </w:pPr>
    </w:p>
    <w:p w14:paraId="391596AA" w14:textId="77777777" w:rsidR="00016399" w:rsidRDefault="00016399" w:rsidP="00426C2E">
      <w:pPr>
        <w:widowControl w:val="0"/>
        <w:autoSpaceDE w:val="0"/>
        <w:autoSpaceDN w:val="0"/>
        <w:adjustRightInd w:val="0"/>
        <w:spacing w:line="240" w:lineRule="auto"/>
        <w:ind w:left="640" w:hanging="640"/>
        <w:jc w:val="both"/>
      </w:pPr>
    </w:p>
    <w:p w14:paraId="40CE37C9" w14:textId="77777777" w:rsidR="00016399" w:rsidRDefault="00016399" w:rsidP="00426C2E">
      <w:pPr>
        <w:widowControl w:val="0"/>
        <w:autoSpaceDE w:val="0"/>
        <w:autoSpaceDN w:val="0"/>
        <w:adjustRightInd w:val="0"/>
        <w:spacing w:line="240" w:lineRule="auto"/>
        <w:ind w:left="640" w:hanging="640"/>
        <w:jc w:val="both"/>
      </w:pPr>
    </w:p>
    <w:p w14:paraId="4C83136F" w14:textId="77777777" w:rsidR="00016399" w:rsidRDefault="00016399" w:rsidP="00426C2E">
      <w:pPr>
        <w:widowControl w:val="0"/>
        <w:autoSpaceDE w:val="0"/>
        <w:autoSpaceDN w:val="0"/>
        <w:adjustRightInd w:val="0"/>
        <w:spacing w:line="240" w:lineRule="auto"/>
        <w:ind w:left="640" w:hanging="640"/>
        <w:jc w:val="both"/>
      </w:pPr>
    </w:p>
    <w:p w14:paraId="3DABD28A" w14:textId="77777777" w:rsidR="00B641C2" w:rsidRDefault="00B641C2" w:rsidP="00426C2E">
      <w:pPr>
        <w:widowControl w:val="0"/>
        <w:autoSpaceDE w:val="0"/>
        <w:autoSpaceDN w:val="0"/>
        <w:adjustRightInd w:val="0"/>
        <w:spacing w:line="240" w:lineRule="auto"/>
        <w:ind w:left="640" w:hanging="640"/>
        <w:jc w:val="both"/>
      </w:pPr>
    </w:p>
    <w:p w14:paraId="03B8C96F" w14:textId="77777777" w:rsidR="00B641C2" w:rsidRDefault="00B641C2" w:rsidP="00426C2E">
      <w:pPr>
        <w:widowControl w:val="0"/>
        <w:autoSpaceDE w:val="0"/>
        <w:autoSpaceDN w:val="0"/>
        <w:adjustRightInd w:val="0"/>
        <w:spacing w:line="240" w:lineRule="auto"/>
        <w:ind w:left="640" w:hanging="640"/>
        <w:jc w:val="both"/>
      </w:pPr>
    </w:p>
    <w:p w14:paraId="63145DDF" w14:textId="77777777" w:rsidR="00B641C2" w:rsidRDefault="00B641C2" w:rsidP="00426C2E">
      <w:pPr>
        <w:widowControl w:val="0"/>
        <w:autoSpaceDE w:val="0"/>
        <w:autoSpaceDN w:val="0"/>
        <w:adjustRightInd w:val="0"/>
        <w:spacing w:line="240" w:lineRule="auto"/>
        <w:ind w:left="640" w:hanging="640"/>
        <w:jc w:val="both"/>
      </w:pPr>
    </w:p>
    <w:p w14:paraId="008D7191" w14:textId="77777777" w:rsidR="00FB42B9" w:rsidRDefault="00FB42B9" w:rsidP="00426C2E">
      <w:pPr>
        <w:widowControl w:val="0"/>
        <w:autoSpaceDE w:val="0"/>
        <w:autoSpaceDN w:val="0"/>
        <w:adjustRightInd w:val="0"/>
        <w:spacing w:line="240" w:lineRule="auto"/>
        <w:ind w:left="640" w:hanging="640"/>
        <w:jc w:val="both"/>
      </w:pPr>
    </w:p>
    <w:p w14:paraId="4089E6D8" w14:textId="2D9F837E" w:rsidR="00066CD3" w:rsidRPr="00A80188" w:rsidRDefault="00066CD3" w:rsidP="00066CD3">
      <w:pPr>
        <w:outlineLvl w:val="0"/>
        <w:rPr>
          <w:rFonts w:cs="Arial"/>
          <w:lang w:val="en-US"/>
        </w:rPr>
      </w:pPr>
      <w:r w:rsidRPr="00A80188">
        <w:rPr>
          <w:rFonts w:cs="Arial"/>
          <w:b/>
          <w:lang w:val="en-US"/>
        </w:rPr>
        <w:lastRenderedPageBreak/>
        <w:t>Table I</w:t>
      </w:r>
      <w:r w:rsidRPr="00A80188">
        <w:rPr>
          <w:rFonts w:cs="Arial"/>
          <w:lang w:val="en-US"/>
        </w:rPr>
        <w:t>: Kinetic parameters of ICL, IDH and ICD.</w:t>
      </w:r>
    </w:p>
    <w:tbl>
      <w:tblPr>
        <w:tblStyle w:val="PlainTable2"/>
        <w:tblW w:w="0" w:type="auto"/>
        <w:tblLook w:val="04A0" w:firstRow="1" w:lastRow="0" w:firstColumn="1" w:lastColumn="0" w:noHBand="0" w:noVBand="1"/>
      </w:tblPr>
      <w:tblGrid>
        <w:gridCol w:w="2386"/>
        <w:gridCol w:w="49"/>
        <w:gridCol w:w="734"/>
        <w:gridCol w:w="76"/>
        <w:gridCol w:w="994"/>
        <w:gridCol w:w="114"/>
        <w:gridCol w:w="996"/>
        <w:gridCol w:w="1010"/>
        <w:gridCol w:w="857"/>
        <w:gridCol w:w="84"/>
        <w:gridCol w:w="1726"/>
      </w:tblGrid>
      <w:tr w:rsidR="00066CD3" w:rsidRPr="00062CB8" w14:paraId="6101BDF7" w14:textId="77777777" w:rsidTr="00D06987">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566" w:type="dxa"/>
            <w:gridSpan w:val="2"/>
            <w:vAlign w:val="center"/>
          </w:tcPr>
          <w:p w14:paraId="0569D0F4" w14:textId="77777777" w:rsidR="00066CD3" w:rsidRPr="00A80188" w:rsidRDefault="00066CD3" w:rsidP="00D06987">
            <w:pPr>
              <w:rPr>
                <w:rFonts w:cs="Arial"/>
                <w:b w:val="0"/>
                <w:sz w:val="22"/>
                <w:szCs w:val="22"/>
                <w:lang w:val="en-US"/>
              </w:rPr>
            </w:pPr>
          </w:p>
        </w:tc>
        <w:tc>
          <w:tcPr>
            <w:tcW w:w="748" w:type="dxa"/>
            <w:vAlign w:val="center"/>
          </w:tcPr>
          <w:p w14:paraId="4781C402" w14:textId="77777777" w:rsidR="00066CD3" w:rsidRPr="00062CB8" w:rsidRDefault="00066CD3" w:rsidP="00D06987">
            <w:pPr>
              <w:jc w:val="center"/>
              <w:cnfStyle w:val="100000000000" w:firstRow="1"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K</w:t>
            </w:r>
            <w:r w:rsidRPr="00062CB8">
              <w:rPr>
                <w:rFonts w:cs="Arial"/>
                <w:sz w:val="22"/>
                <w:szCs w:val="22"/>
                <w:vertAlign w:val="subscript"/>
              </w:rPr>
              <w:t>M</w:t>
            </w:r>
            <w:r w:rsidRPr="00062CB8">
              <w:rPr>
                <w:rFonts w:cs="Arial"/>
                <w:sz w:val="22"/>
                <w:szCs w:val="22"/>
              </w:rPr>
              <w:t xml:space="preserve"> (µM)</w:t>
            </w:r>
          </w:p>
        </w:tc>
        <w:tc>
          <w:tcPr>
            <w:tcW w:w="1088" w:type="dxa"/>
            <w:gridSpan w:val="2"/>
            <w:vAlign w:val="center"/>
          </w:tcPr>
          <w:p w14:paraId="58495060" w14:textId="77777777" w:rsidR="00066CD3" w:rsidRPr="00062CB8" w:rsidRDefault="00066CD3" w:rsidP="00D06987">
            <w:pPr>
              <w:jc w:val="center"/>
              <w:cnfStyle w:val="100000000000" w:firstRow="1"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V</w:t>
            </w:r>
            <w:r w:rsidRPr="00062CB8">
              <w:rPr>
                <w:rFonts w:cs="Arial"/>
                <w:sz w:val="22"/>
                <w:szCs w:val="22"/>
                <w:vertAlign w:val="subscript"/>
              </w:rPr>
              <w:t>max</w:t>
            </w:r>
            <w:r w:rsidRPr="00062CB8">
              <w:rPr>
                <w:rFonts w:cs="Arial"/>
                <w:sz w:val="22"/>
                <w:szCs w:val="22"/>
              </w:rPr>
              <w:t xml:space="preserve"> (ΔmM/s)</w:t>
            </w:r>
          </w:p>
        </w:tc>
        <w:tc>
          <w:tcPr>
            <w:tcW w:w="1253" w:type="dxa"/>
            <w:gridSpan w:val="2"/>
            <w:vAlign w:val="center"/>
          </w:tcPr>
          <w:p w14:paraId="0F9D4FF0" w14:textId="77777777" w:rsidR="00066CD3" w:rsidRPr="00062CB8" w:rsidRDefault="00066CD3" w:rsidP="00D06987">
            <w:pPr>
              <w:jc w:val="center"/>
              <w:cnfStyle w:val="100000000000" w:firstRow="1"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k</w:t>
            </w:r>
            <w:r w:rsidRPr="00062CB8">
              <w:rPr>
                <w:rFonts w:cs="Arial"/>
                <w:sz w:val="22"/>
                <w:szCs w:val="22"/>
                <w:vertAlign w:val="subscript"/>
              </w:rPr>
              <w:t>cat</w:t>
            </w:r>
            <w:r w:rsidRPr="00062CB8">
              <w:rPr>
                <w:rFonts w:cs="Arial"/>
                <w:sz w:val="22"/>
                <w:szCs w:val="22"/>
              </w:rPr>
              <w:t xml:space="preserve"> (s</w:t>
            </w:r>
            <w:r w:rsidRPr="00062CB8">
              <w:rPr>
                <w:rFonts w:cs="Arial"/>
                <w:sz w:val="22"/>
                <w:szCs w:val="22"/>
                <w:vertAlign w:val="superscript"/>
              </w:rPr>
              <w:t>-1</w:t>
            </w:r>
            <w:r w:rsidRPr="00062CB8">
              <w:rPr>
                <w:rFonts w:cs="Arial"/>
                <w:sz w:val="22"/>
                <w:szCs w:val="22"/>
              </w:rPr>
              <w:t>)</w:t>
            </w:r>
            <w:r w:rsidRPr="00062CB8">
              <w:rPr>
                <w:rFonts w:cs="Arial"/>
                <w:b w:val="0"/>
                <w:sz w:val="22"/>
                <w:szCs w:val="22"/>
                <w:vertAlign w:val="superscript"/>
              </w:rPr>
              <w:t>1</w:t>
            </w:r>
          </w:p>
        </w:tc>
        <w:tc>
          <w:tcPr>
            <w:tcW w:w="1100" w:type="dxa"/>
            <w:vAlign w:val="center"/>
          </w:tcPr>
          <w:p w14:paraId="21107498" w14:textId="77777777" w:rsidR="00066CD3" w:rsidRPr="00062CB8" w:rsidRDefault="00066CD3" w:rsidP="00D06987">
            <w:pPr>
              <w:jc w:val="center"/>
              <w:cnfStyle w:val="100000000000" w:firstRow="1"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k</w:t>
            </w:r>
            <w:r w:rsidRPr="00062CB8">
              <w:rPr>
                <w:rFonts w:cs="Arial"/>
                <w:sz w:val="22"/>
                <w:szCs w:val="22"/>
                <w:vertAlign w:val="subscript"/>
              </w:rPr>
              <w:t>cat</w:t>
            </w:r>
            <w:r w:rsidRPr="00062CB8">
              <w:rPr>
                <w:rFonts w:cs="Arial"/>
                <w:sz w:val="22"/>
                <w:szCs w:val="22"/>
              </w:rPr>
              <w:t>/K</w:t>
            </w:r>
            <w:r w:rsidRPr="00062CB8">
              <w:rPr>
                <w:rFonts w:cs="Arial"/>
                <w:sz w:val="22"/>
                <w:szCs w:val="22"/>
                <w:vertAlign w:val="subscript"/>
              </w:rPr>
              <w:t>M</w:t>
            </w:r>
            <w:r w:rsidRPr="00062CB8">
              <w:rPr>
                <w:rFonts w:cs="Arial"/>
                <w:sz w:val="22"/>
                <w:szCs w:val="22"/>
              </w:rPr>
              <w:t xml:space="preserve"> (s</w:t>
            </w:r>
            <w:r w:rsidRPr="00062CB8">
              <w:rPr>
                <w:rFonts w:cs="Arial"/>
                <w:sz w:val="22"/>
                <w:szCs w:val="22"/>
                <w:vertAlign w:val="superscript"/>
              </w:rPr>
              <w:t>-1</w:t>
            </w:r>
            <w:r w:rsidRPr="00062CB8">
              <w:rPr>
                <w:rFonts w:cs="Arial"/>
                <w:sz w:val="22"/>
                <w:szCs w:val="22"/>
              </w:rPr>
              <w:t>/µM)</w:t>
            </w:r>
          </w:p>
        </w:tc>
        <w:tc>
          <w:tcPr>
            <w:tcW w:w="1042" w:type="dxa"/>
            <w:gridSpan w:val="2"/>
            <w:vAlign w:val="center"/>
          </w:tcPr>
          <w:p w14:paraId="0F55ACDC" w14:textId="77777777" w:rsidR="00066CD3" w:rsidRPr="00062CB8" w:rsidRDefault="00066CD3" w:rsidP="00D06987">
            <w:pPr>
              <w:jc w:val="center"/>
              <w:cnfStyle w:val="100000000000" w:firstRow="1"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K</w:t>
            </w:r>
            <w:r w:rsidRPr="00062CB8">
              <w:rPr>
                <w:rFonts w:cs="Arial"/>
                <w:sz w:val="22"/>
                <w:szCs w:val="22"/>
                <w:vertAlign w:val="subscript"/>
              </w:rPr>
              <w:t xml:space="preserve">i </w:t>
            </w:r>
            <w:r w:rsidRPr="00062CB8">
              <w:rPr>
                <w:rFonts w:cs="Arial"/>
                <w:sz w:val="22"/>
                <w:szCs w:val="22"/>
              </w:rPr>
              <w:t>(mM)</w:t>
            </w:r>
          </w:p>
        </w:tc>
        <w:tc>
          <w:tcPr>
            <w:tcW w:w="1835" w:type="dxa"/>
            <w:vAlign w:val="center"/>
          </w:tcPr>
          <w:p w14:paraId="64D52BE4" w14:textId="77777777" w:rsidR="00066CD3" w:rsidRPr="00062CB8" w:rsidRDefault="00066CD3" w:rsidP="00D06987">
            <w:pPr>
              <w:jc w:val="center"/>
              <w:cnfStyle w:val="100000000000" w:firstRow="1"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Comments</w:t>
            </w:r>
          </w:p>
        </w:tc>
      </w:tr>
      <w:tr w:rsidR="00066CD3" w:rsidRPr="00062CB8" w14:paraId="5B95AE69"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566" w:type="dxa"/>
            <w:gridSpan w:val="2"/>
            <w:vAlign w:val="center"/>
          </w:tcPr>
          <w:p w14:paraId="1AE19B67" w14:textId="77777777" w:rsidR="00066CD3" w:rsidRPr="00062CB8" w:rsidRDefault="00066CD3" w:rsidP="00D06987">
            <w:pPr>
              <w:rPr>
                <w:rFonts w:cs="Arial"/>
                <w:sz w:val="22"/>
                <w:szCs w:val="22"/>
              </w:rPr>
            </w:pPr>
            <w:r w:rsidRPr="00062CB8">
              <w:rPr>
                <w:rFonts w:cs="Arial"/>
                <w:sz w:val="22"/>
                <w:szCs w:val="22"/>
              </w:rPr>
              <w:t>ICL</w:t>
            </w:r>
          </w:p>
        </w:tc>
        <w:tc>
          <w:tcPr>
            <w:tcW w:w="748" w:type="dxa"/>
            <w:vAlign w:val="center"/>
          </w:tcPr>
          <w:p w14:paraId="5C137CC2"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c>
          <w:tcPr>
            <w:tcW w:w="1088" w:type="dxa"/>
            <w:gridSpan w:val="2"/>
            <w:vAlign w:val="center"/>
          </w:tcPr>
          <w:p w14:paraId="72A5FD1C"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c>
          <w:tcPr>
            <w:tcW w:w="1253" w:type="dxa"/>
            <w:gridSpan w:val="2"/>
            <w:vAlign w:val="center"/>
          </w:tcPr>
          <w:p w14:paraId="64EC04D2"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c>
          <w:tcPr>
            <w:tcW w:w="1100" w:type="dxa"/>
            <w:vAlign w:val="center"/>
          </w:tcPr>
          <w:p w14:paraId="4D81CAA0"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c>
          <w:tcPr>
            <w:tcW w:w="1042" w:type="dxa"/>
            <w:gridSpan w:val="2"/>
            <w:vAlign w:val="center"/>
          </w:tcPr>
          <w:p w14:paraId="074729E8"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c>
          <w:tcPr>
            <w:tcW w:w="1835" w:type="dxa"/>
            <w:vAlign w:val="center"/>
          </w:tcPr>
          <w:p w14:paraId="501F4B39"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r>
      <w:tr w:rsidR="00066CD3" w:rsidRPr="00062CB8" w14:paraId="6C0FBF86"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2566" w:type="dxa"/>
            <w:gridSpan w:val="2"/>
            <w:vAlign w:val="center"/>
          </w:tcPr>
          <w:p w14:paraId="1850D0C8" w14:textId="77777777" w:rsidR="00066CD3" w:rsidRPr="00062CB8" w:rsidRDefault="00066CD3" w:rsidP="00D06987">
            <w:pPr>
              <w:rPr>
                <w:rFonts w:cs="Arial"/>
                <w:b w:val="0"/>
                <w:sz w:val="22"/>
                <w:szCs w:val="22"/>
              </w:rPr>
            </w:pPr>
            <w:r w:rsidRPr="00062CB8">
              <w:rPr>
                <w:rFonts w:cs="Arial"/>
                <w:b w:val="0"/>
                <w:i/>
                <w:sz w:val="22"/>
                <w:szCs w:val="22"/>
              </w:rPr>
              <w:t>iso</w:t>
            </w:r>
            <w:r w:rsidRPr="00062CB8">
              <w:rPr>
                <w:rFonts w:cs="Arial"/>
                <w:b w:val="0"/>
                <w:sz w:val="22"/>
                <w:szCs w:val="22"/>
              </w:rPr>
              <w:t>citrate</w:t>
            </w:r>
          </w:p>
        </w:tc>
        <w:tc>
          <w:tcPr>
            <w:tcW w:w="748" w:type="dxa"/>
            <w:vAlign w:val="center"/>
          </w:tcPr>
          <w:p w14:paraId="6F664BF0" w14:textId="77777777" w:rsidR="00066CD3" w:rsidRPr="00062CB8" w:rsidRDefault="00066CD3" w:rsidP="00D06987">
            <w:pP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12.2</w:t>
            </w:r>
          </w:p>
        </w:tc>
        <w:tc>
          <w:tcPr>
            <w:tcW w:w="1259" w:type="dxa"/>
            <w:gridSpan w:val="3"/>
            <w:vAlign w:val="center"/>
          </w:tcPr>
          <w:p w14:paraId="427C3ABC"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0.8</w:t>
            </w:r>
          </w:p>
        </w:tc>
        <w:tc>
          <w:tcPr>
            <w:tcW w:w="1082" w:type="dxa"/>
            <w:vAlign w:val="center"/>
          </w:tcPr>
          <w:p w14:paraId="32E62493"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18.8</w:t>
            </w:r>
          </w:p>
        </w:tc>
        <w:tc>
          <w:tcPr>
            <w:tcW w:w="1100" w:type="dxa"/>
            <w:vAlign w:val="center"/>
          </w:tcPr>
          <w:p w14:paraId="4215F2EB"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1.6</w:t>
            </w:r>
          </w:p>
        </w:tc>
        <w:tc>
          <w:tcPr>
            <w:tcW w:w="927" w:type="dxa"/>
            <w:vAlign w:val="center"/>
          </w:tcPr>
          <w:p w14:paraId="5F150134"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n/a</w:t>
            </w:r>
          </w:p>
        </w:tc>
        <w:tc>
          <w:tcPr>
            <w:tcW w:w="1950" w:type="dxa"/>
            <w:gridSpan w:val="2"/>
            <w:vAlign w:val="center"/>
          </w:tcPr>
          <w:p w14:paraId="43DC0DF1"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n/a</w:t>
            </w:r>
          </w:p>
        </w:tc>
      </w:tr>
      <w:tr w:rsidR="00066CD3" w:rsidRPr="00062CB8" w14:paraId="4C40DED9"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495" w:type="dxa"/>
            <w:vAlign w:val="center"/>
          </w:tcPr>
          <w:p w14:paraId="333363E1" w14:textId="77777777" w:rsidR="00066CD3" w:rsidRPr="00062CB8" w:rsidRDefault="00066CD3" w:rsidP="00D06987">
            <w:pPr>
              <w:rPr>
                <w:rFonts w:cs="Arial"/>
                <w:b w:val="0"/>
                <w:sz w:val="22"/>
                <w:szCs w:val="22"/>
              </w:rPr>
            </w:pPr>
            <w:r w:rsidRPr="00062CB8">
              <w:rPr>
                <w:rFonts w:cs="Arial"/>
                <w:b w:val="0"/>
                <w:sz w:val="22"/>
                <w:szCs w:val="22"/>
              </w:rPr>
              <w:t xml:space="preserve">     citrate</w:t>
            </w:r>
          </w:p>
        </w:tc>
        <w:tc>
          <w:tcPr>
            <w:tcW w:w="895" w:type="dxa"/>
            <w:gridSpan w:val="3"/>
            <w:vAlign w:val="center"/>
          </w:tcPr>
          <w:p w14:paraId="558B6D4D"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18.8</w:t>
            </w:r>
          </w:p>
        </w:tc>
        <w:tc>
          <w:tcPr>
            <w:tcW w:w="0" w:type="auto"/>
            <w:gridSpan w:val="2"/>
            <w:vAlign w:val="center"/>
          </w:tcPr>
          <w:p w14:paraId="60ED1683"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0.8</w:t>
            </w:r>
          </w:p>
        </w:tc>
        <w:tc>
          <w:tcPr>
            <w:tcW w:w="0" w:type="auto"/>
            <w:vAlign w:val="center"/>
          </w:tcPr>
          <w:p w14:paraId="02857CE1"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17.7</w:t>
            </w:r>
          </w:p>
        </w:tc>
        <w:tc>
          <w:tcPr>
            <w:tcW w:w="0" w:type="auto"/>
            <w:vAlign w:val="center"/>
          </w:tcPr>
          <w:p w14:paraId="56147CAF"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0.9</w:t>
            </w:r>
          </w:p>
        </w:tc>
        <w:tc>
          <w:tcPr>
            <w:tcW w:w="927" w:type="dxa"/>
            <w:vAlign w:val="center"/>
          </w:tcPr>
          <w:p w14:paraId="6B002136"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15.8</w:t>
            </w:r>
          </w:p>
        </w:tc>
        <w:tc>
          <w:tcPr>
            <w:tcW w:w="1950" w:type="dxa"/>
            <w:gridSpan w:val="2"/>
            <w:vAlign w:val="center"/>
          </w:tcPr>
          <w:p w14:paraId="7F070B13"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Non-competitive</w:t>
            </w:r>
          </w:p>
        </w:tc>
      </w:tr>
      <w:tr w:rsidR="00066CD3" w:rsidRPr="00062CB8" w14:paraId="61DD8C89"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6FB209EA" w14:textId="77777777" w:rsidR="00066CD3" w:rsidRPr="00062CB8" w:rsidRDefault="00066CD3" w:rsidP="00D06987">
            <w:pPr>
              <w:rPr>
                <w:rFonts w:cs="Arial"/>
                <w:b w:val="0"/>
                <w:sz w:val="22"/>
                <w:szCs w:val="22"/>
              </w:rPr>
            </w:pPr>
            <w:r w:rsidRPr="00062CB8">
              <w:rPr>
                <w:rFonts w:cs="Arial"/>
                <w:b w:val="0"/>
                <w:sz w:val="22"/>
                <w:szCs w:val="22"/>
              </w:rPr>
              <w:t xml:space="preserve">     coenzyme A</w:t>
            </w:r>
          </w:p>
        </w:tc>
        <w:tc>
          <w:tcPr>
            <w:tcW w:w="0" w:type="auto"/>
            <w:gridSpan w:val="3"/>
            <w:vAlign w:val="center"/>
          </w:tcPr>
          <w:p w14:paraId="1C33431B"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22.6</w:t>
            </w:r>
          </w:p>
        </w:tc>
        <w:tc>
          <w:tcPr>
            <w:tcW w:w="0" w:type="auto"/>
            <w:gridSpan w:val="2"/>
            <w:vAlign w:val="center"/>
          </w:tcPr>
          <w:p w14:paraId="75A22844"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0.6</w:t>
            </w:r>
          </w:p>
        </w:tc>
        <w:tc>
          <w:tcPr>
            <w:tcW w:w="0" w:type="auto"/>
            <w:vAlign w:val="center"/>
          </w:tcPr>
          <w:p w14:paraId="68EFA127"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14.9</w:t>
            </w:r>
          </w:p>
        </w:tc>
        <w:tc>
          <w:tcPr>
            <w:tcW w:w="0" w:type="auto"/>
            <w:vAlign w:val="center"/>
          </w:tcPr>
          <w:p w14:paraId="4C063719"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0.7</w:t>
            </w:r>
          </w:p>
        </w:tc>
        <w:tc>
          <w:tcPr>
            <w:tcW w:w="0" w:type="auto"/>
            <w:vAlign w:val="center"/>
          </w:tcPr>
          <w:p w14:paraId="257CA36F"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3.9</w:t>
            </w:r>
          </w:p>
        </w:tc>
        <w:tc>
          <w:tcPr>
            <w:tcW w:w="0" w:type="auto"/>
            <w:gridSpan w:val="2"/>
            <w:vAlign w:val="center"/>
          </w:tcPr>
          <w:p w14:paraId="39969BA3"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Non-competitive</w:t>
            </w:r>
          </w:p>
        </w:tc>
      </w:tr>
      <w:tr w:rsidR="00066CD3" w:rsidRPr="00062CB8" w14:paraId="26105CCC"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0B655930" w14:textId="77777777" w:rsidR="00066CD3" w:rsidRPr="00062CB8" w:rsidRDefault="00066CD3" w:rsidP="00D06987">
            <w:pPr>
              <w:rPr>
                <w:rFonts w:cs="Arial"/>
                <w:b w:val="0"/>
                <w:sz w:val="22"/>
                <w:szCs w:val="22"/>
              </w:rPr>
            </w:pPr>
            <w:r w:rsidRPr="00062CB8">
              <w:rPr>
                <w:rFonts w:cs="Arial"/>
                <w:b w:val="0"/>
                <w:sz w:val="22"/>
                <w:szCs w:val="22"/>
              </w:rPr>
              <w:t xml:space="preserve">     glycolic acid</w:t>
            </w:r>
          </w:p>
        </w:tc>
        <w:tc>
          <w:tcPr>
            <w:tcW w:w="0" w:type="auto"/>
            <w:gridSpan w:val="3"/>
            <w:vAlign w:val="center"/>
          </w:tcPr>
          <w:p w14:paraId="4A1B2BC0"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18.2</w:t>
            </w:r>
          </w:p>
        </w:tc>
        <w:tc>
          <w:tcPr>
            <w:tcW w:w="0" w:type="auto"/>
            <w:gridSpan w:val="2"/>
            <w:vAlign w:val="center"/>
          </w:tcPr>
          <w:p w14:paraId="0F6A5020"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0.5</w:t>
            </w:r>
          </w:p>
        </w:tc>
        <w:tc>
          <w:tcPr>
            <w:tcW w:w="0" w:type="auto"/>
            <w:vAlign w:val="center"/>
          </w:tcPr>
          <w:p w14:paraId="7C909A43"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12.2</w:t>
            </w:r>
          </w:p>
        </w:tc>
        <w:tc>
          <w:tcPr>
            <w:tcW w:w="0" w:type="auto"/>
            <w:vAlign w:val="center"/>
          </w:tcPr>
          <w:p w14:paraId="527AF6D9"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0.7</w:t>
            </w:r>
          </w:p>
        </w:tc>
        <w:tc>
          <w:tcPr>
            <w:tcW w:w="0" w:type="auto"/>
            <w:vAlign w:val="center"/>
          </w:tcPr>
          <w:p w14:paraId="525CBC12"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1.8</w:t>
            </w:r>
          </w:p>
        </w:tc>
        <w:tc>
          <w:tcPr>
            <w:tcW w:w="0" w:type="auto"/>
            <w:gridSpan w:val="2"/>
            <w:vAlign w:val="center"/>
          </w:tcPr>
          <w:p w14:paraId="4AA7E531"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Non-competitive</w:t>
            </w:r>
          </w:p>
        </w:tc>
      </w:tr>
      <w:tr w:rsidR="00066CD3" w:rsidRPr="00062CB8" w14:paraId="6C492955"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5CC4C956" w14:textId="77777777" w:rsidR="00066CD3" w:rsidRPr="00062CB8" w:rsidRDefault="00066CD3" w:rsidP="00D06987">
            <w:pPr>
              <w:rPr>
                <w:rFonts w:cs="Arial"/>
                <w:b w:val="0"/>
                <w:sz w:val="22"/>
                <w:szCs w:val="22"/>
              </w:rPr>
            </w:pPr>
            <w:r w:rsidRPr="00062CB8">
              <w:rPr>
                <w:rFonts w:cs="Arial"/>
                <w:b w:val="0"/>
                <w:sz w:val="22"/>
                <w:szCs w:val="22"/>
              </w:rPr>
              <w:t xml:space="preserve">     itaconic acid</w:t>
            </w:r>
          </w:p>
        </w:tc>
        <w:tc>
          <w:tcPr>
            <w:tcW w:w="0" w:type="auto"/>
            <w:gridSpan w:val="3"/>
            <w:vAlign w:val="center"/>
          </w:tcPr>
          <w:p w14:paraId="046CD02C"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6.3</w:t>
            </w:r>
          </w:p>
        </w:tc>
        <w:tc>
          <w:tcPr>
            <w:tcW w:w="0" w:type="auto"/>
            <w:gridSpan w:val="2"/>
            <w:vAlign w:val="center"/>
          </w:tcPr>
          <w:p w14:paraId="5D7AD8FC"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0.4</w:t>
            </w:r>
          </w:p>
        </w:tc>
        <w:tc>
          <w:tcPr>
            <w:tcW w:w="0" w:type="auto"/>
            <w:vAlign w:val="center"/>
          </w:tcPr>
          <w:p w14:paraId="4CE333CE"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8.7</w:t>
            </w:r>
          </w:p>
        </w:tc>
        <w:tc>
          <w:tcPr>
            <w:tcW w:w="0" w:type="auto"/>
            <w:vAlign w:val="center"/>
          </w:tcPr>
          <w:p w14:paraId="43475421"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1.4</w:t>
            </w:r>
          </w:p>
        </w:tc>
        <w:tc>
          <w:tcPr>
            <w:tcW w:w="0" w:type="auto"/>
            <w:vAlign w:val="center"/>
          </w:tcPr>
          <w:p w14:paraId="22735E37"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0.9</w:t>
            </w:r>
          </w:p>
        </w:tc>
        <w:tc>
          <w:tcPr>
            <w:tcW w:w="0" w:type="auto"/>
            <w:gridSpan w:val="2"/>
            <w:vAlign w:val="center"/>
          </w:tcPr>
          <w:p w14:paraId="3EF230DB"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Uncompetitive</w:t>
            </w:r>
          </w:p>
        </w:tc>
      </w:tr>
      <w:tr w:rsidR="00066CD3" w:rsidRPr="00062CB8" w14:paraId="4B1AE5D7"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4DC391AC" w14:textId="77777777" w:rsidR="00066CD3" w:rsidRPr="00062CB8" w:rsidRDefault="00066CD3" w:rsidP="00D06987">
            <w:pPr>
              <w:rPr>
                <w:rFonts w:cs="Arial"/>
                <w:b w:val="0"/>
                <w:sz w:val="22"/>
                <w:szCs w:val="22"/>
              </w:rPr>
            </w:pPr>
            <w:r w:rsidRPr="00062CB8">
              <w:rPr>
                <w:rFonts w:cs="Arial"/>
                <w:b w:val="0"/>
                <w:sz w:val="22"/>
                <w:szCs w:val="22"/>
              </w:rPr>
              <w:t xml:space="preserve">     maleic acid</w:t>
            </w:r>
          </w:p>
        </w:tc>
        <w:tc>
          <w:tcPr>
            <w:tcW w:w="0" w:type="auto"/>
            <w:gridSpan w:val="3"/>
            <w:vAlign w:val="center"/>
          </w:tcPr>
          <w:p w14:paraId="62B84D9F"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3.6</w:t>
            </w:r>
          </w:p>
        </w:tc>
        <w:tc>
          <w:tcPr>
            <w:tcW w:w="0" w:type="auto"/>
            <w:gridSpan w:val="2"/>
            <w:vAlign w:val="center"/>
          </w:tcPr>
          <w:p w14:paraId="5386BA4E"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0.3</w:t>
            </w:r>
          </w:p>
        </w:tc>
        <w:tc>
          <w:tcPr>
            <w:tcW w:w="0" w:type="auto"/>
            <w:vAlign w:val="center"/>
          </w:tcPr>
          <w:p w14:paraId="72A6319A"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6.3</w:t>
            </w:r>
          </w:p>
        </w:tc>
        <w:tc>
          <w:tcPr>
            <w:tcW w:w="0" w:type="auto"/>
            <w:vAlign w:val="center"/>
          </w:tcPr>
          <w:p w14:paraId="6CC9D708"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1.8</w:t>
            </w:r>
          </w:p>
        </w:tc>
        <w:tc>
          <w:tcPr>
            <w:tcW w:w="0" w:type="auto"/>
            <w:vAlign w:val="center"/>
          </w:tcPr>
          <w:p w14:paraId="164B31F0"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5DC78A8B"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Mixed</w:t>
            </w:r>
          </w:p>
        </w:tc>
      </w:tr>
      <w:tr w:rsidR="00066CD3" w:rsidRPr="00062CB8" w14:paraId="60026460"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61F03FCC" w14:textId="77777777" w:rsidR="00066CD3" w:rsidRPr="00062CB8" w:rsidRDefault="00066CD3" w:rsidP="00D06987">
            <w:pPr>
              <w:rPr>
                <w:rFonts w:cs="Arial"/>
                <w:b w:val="0"/>
                <w:sz w:val="22"/>
                <w:szCs w:val="22"/>
              </w:rPr>
            </w:pPr>
            <w:r w:rsidRPr="00062CB8">
              <w:rPr>
                <w:rFonts w:cs="Arial"/>
                <w:b w:val="0"/>
                <w:sz w:val="22"/>
                <w:szCs w:val="22"/>
              </w:rPr>
              <w:t xml:space="preserve">     malic acid</w:t>
            </w:r>
          </w:p>
        </w:tc>
        <w:tc>
          <w:tcPr>
            <w:tcW w:w="0" w:type="auto"/>
            <w:gridSpan w:val="3"/>
            <w:vAlign w:val="center"/>
          </w:tcPr>
          <w:p w14:paraId="58CC5504"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16.6</w:t>
            </w:r>
          </w:p>
        </w:tc>
        <w:tc>
          <w:tcPr>
            <w:tcW w:w="0" w:type="auto"/>
            <w:gridSpan w:val="2"/>
            <w:vAlign w:val="center"/>
          </w:tcPr>
          <w:p w14:paraId="31E6677A"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0.7</w:t>
            </w:r>
          </w:p>
        </w:tc>
        <w:tc>
          <w:tcPr>
            <w:tcW w:w="0" w:type="auto"/>
            <w:vAlign w:val="center"/>
          </w:tcPr>
          <w:p w14:paraId="6F1C71CF"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15.3</w:t>
            </w:r>
          </w:p>
        </w:tc>
        <w:tc>
          <w:tcPr>
            <w:tcW w:w="0" w:type="auto"/>
            <w:vAlign w:val="center"/>
          </w:tcPr>
          <w:p w14:paraId="3146FEC6"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0.9</w:t>
            </w:r>
          </w:p>
        </w:tc>
        <w:tc>
          <w:tcPr>
            <w:tcW w:w="0" w:type="auto"/>
            <w:vAlign w:val="center"/>
          </w:tcPr>
          <w:p w14:paraId="0BA8AD0D"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4.4</w:t>
            </w:r>
          </w:p>
        </w:tc>
        <w:tc>
          <w:tcPr>
            <w:tcW w:w="0" w:type="auto"/>
            <w:gridSpan w:val="2"/>
            <w:vAlign w:val="center"/>
          </w:tcPr>
          <w:p w14:paraId="61038B43"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Non-competitive</w:t>
            </w:r>
          </w:p>
        </w:tc>
      </w:tr>
      <w:tr w:rsidR="00066CD3" w:rsidRPr="00062CB8" w14:paraId="6606511E"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56D1AB50" w14:textId="77777777" w:rsidR="00066CD3" w:rsidRPr="00062CB8" w:rsidRDefault="00066CD3" w:rsidP="00D06987">
            <w:pPr>
              <w:rPr>
                <w:rFonts w:cs="Arial"/>
                <w:b w:val="0"/>
                <w:sz w:val="22"/>
                <w:szCs w:val="22"/>
              </w:rPr>
            </w:pPr>
            <w:r w:rsidRPr="00062CB8">
              <w:rPr>
                <w:rFonts w:cs="Arial"/>
                <w:b w:val="0"/>
                <w:sz w:val="22"/>
                <w:szCs w:val="22"/>
              </w:rPr>
              <w:t xml:space="preserve">     malonic acid</w:t>
            </w:r>
          </w:p>
        </w:tc>
        <w:tc>
          <w:tcPr>
            <w:tcW w:w="0" w:type="auto"/>
            <w:gridSpan w:val="3"/>
            <w:vAlign w:val="center"/>
          </w:tcPr>
          <w:p w14:paraId="44A6003E"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12.0</w:t>
            </w:r>
          </w:p>
        </w:tc>
        <w:tc>
          <w:tcPr>
            <w:tcW w:w="0" w:type="auto"/>
            <w:gridSpan w:val="2"/>
            <w:vAlign w:val="center"/>
          </w:tcPr>
          <w:p w14:paraId="2F641EBF"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0.5</w:t>
            </w:r>
          </w:p>
        </w:tc>
        <w:tc>
          <w:tcPr>
            <w:tcW w:w="0" w:type="auto"/>
            <w:vAlign w:val="center"/>
          </w:tcPr>
          <w:p w14:paraId="2EFC3F28"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12.2</w:t>
            </w:r>
          </w:p>
        </w:tc>
        <w:tc>
          <w:tcPr>
            <w:tcW w:w="0" w:type="auto"/>
            <w:vAlign w:val="center"/>
          </w:tcPr>
          <w:p w14:paraId="1E0FBD19"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1.0</w:t>
            </w:r>
          </w:p>
        </w:tc>
        <w:tc>
          <w:tcPr>
            <w:tcW w:w="0" w:type="auto"/>
            <w:vAlign w:val="center"/>
          </w:tcPr>
          <w:p w14:paraId="5CD61A35"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2.9</w:t>
            </w:r>
          </w:p>
        </w:tc>
        <w:tc>
          <w:tcPr>
            <w:tcW w:w="0" w:type="auto"/>
            <w:gridSpan w:val="2"/>
            <w:vAlign w:val="center"/>
          </w:tcPr>
          <w:p w14:paraId="1CB850F4"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Uncompetitive</w:t>
            </w:r>
          </w:p>
        </w:tc>
      </w:tr>
      <w:tr w:rsidR="00066CD3" w:rsidRPr="00062CB8" w14:paraId="043B2354"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1B62D9BF" w14:textId="77777777" w:rsidR="00066CD3" w:rsidRPr="00062CB8" w:rsidRDefault="00066CD3" w:rsidP="00D06987">
            <w:pPr>
              <w:rPr>
                <w:rFonts w:cs="Arial"/>
                <w:b w:val="0"/>
                <w:sz w:val="22"/>
                <w:szCs w:val="22"/>
              </w:rPr>
            </w:pPr>
            <w:r w:rsidRPr="00062CB8">
              <w:rPr>
                <w:rFonts w:cs="Arial"/>
                <w:b w:val="0"/>
                <w:sz w:val="22"/>
                <w:szCs w:val="22"/>
              </w:rPr>
              <w:t xml:space="preserve">     nitropropionic acid</w:t>
            </w:r>
          </w:p>
        </w:tc>
        <w:tc>
          <w:tcPr>
            <w:tcW w:w="0" w:type="auto"/>
            <w:gridSpan w:val="3"/>
            <w:vAlign w:val="center"/>
          </w:tcPr>
          <w:p w14:paraId="3A4832CD"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6.9</w:t>
            </w:r>
          </w:p>
        </w:tc>
        <w:tc>
          <w:tcPr>
            <w:tcW w:w="0" w:type="auto"/>
            <w:gridSpan w:val="2"/>
            <w:vAlign w:val="center"/>
          </w:tcPr>
          <w:p w14:paraId="7ED1C812"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0.3</w:t>
            </w:r>
          </w:p>
        </w:tc>
        <w:tc>
          <w:tcPr>
            <w:tcW w:w="0" w:type="auto"/>
            <w:vAlign w:val="center"/>
          </w:tcPr>
          <w:p w14:paraId="50F5666E"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7.5</w:t>
            </w:r>
          </w:p>
        </w:tc>
        <w:tc>
          <w:tcPr>
            <w:tcW w:w="0" w:type="auto"/>
            <w:vAlign w:val="center"/>
          </w:tcPr>
          <w:p w14:paraId="71676898"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1.1</w:t>
            </w:r>
          </w:p>
        </w:tc>
        <w:tc>
          <w:tcPr>
            <w:tcW w:w="0" w:type="auto"/>
            <w:vAlign w:val="center"/>
          </w:tcPr>
          <w:p w14:paraId="272478DF"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1.0</w:t>
            </w:r>
          </w:p>
        </w:tc>
        <w:tc>
          <w:tcPr>
            <w:tcW w:w="0" w:type="auto"/>
            <w:gridSpan w:val="2"/>
            <w:vAlign w:val="center"/>
          </w:tcPr>
          <w:p w14:paraId="3D3DBAFC"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Uncompetitive</w:t>
            </w:r>
          </w:p>
        </w:tc>
      </w:tr>
      <w:tr w:rsidR="00066CD3" w:rsidRPr="00062CB8" w14:paraId="2B3D943D"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6BC6EF75" w14:textId="77777777" w:rsidR="00066CD3" w:rsidRPr="00062CB8" w:rsidRDefault="00066CD3" w:rsidP="00D06987">
            <w:pPr>
              <w:rPr>
                <w:rFonts w:cs="Arial"/>
                <w:b w:val="0"/>
                <w:sz w:val="22"/>
                <w:szCs w:val="22"/>
              </w:rPr>
            </w:pPr>
            <w:r w:rsidRPr="00062CB8">
              <w:rPr>
                <w:rFonts w:cs="Arial"/>
                <w:b w:val="0"/>
                <w:sz w:val="22"/>
                <w:szCs w:val="22"/>
              </w:rPr>
              <w:t xml:space="preserve">     oxaloacetate</w:t>
            </w:r>
          </w:p>
        </w:tc>
        <w:tc>
          <w:tcPr>
            <w:tcW w:w="0" w:type="auto"/>
            <w:gridSpan w:val="3"/>
            <w:vAlign w:val="center"/>
          </w:tcPr>
          <w:p w14:paraId="49DD4035"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18.4</w:t>
            </w:r>
          </w:p>
        </w:tc>
        <w:tc>
          <w:tcPr>
            <w:tcW w:w="0" w:type="auto"/>
            <w:gridSpan w:val="2"/>
            <w:vAlign w:val="center"/>
          </w:tcPr>
          <w:p w14:paraId="47F50FE3"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0.5</w:t>
            </w:r>
          </w:p>
        </w:tc>
        <w:tc>
          <w:tcPr>
            <w:tcW w:w="0" w:type="auto"/>
            <w:vAlign w:val="center"/>
          </w:tcPr>
          <w:p w14:paraId="1F6F611E"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11.0</w:t>
            </w:r>
          </w:p>
        </w:tc>
        <w:tc>
          <w:tcPr>
            <w:tcW w:w="0" w:type="auto"/>
            <w:vAlign w:val="center"/>
          </w:tcPr>
          <w:p w14:paraId="0EED73B9"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0.6</w:t>
            </w:r>
          </w:p>
        </w:tc>
        <w:tc>
          <w:tcPr>
            <w:tcW w:w="0" w:type="auto"/>
            <w:vAlign w:val="center"/>
          </w:tcPr>
          <w:p w14:paraId="467D400C"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1.4</w:t>
            </w:r>
          </w:p>
        </w:tc>
        <w:tc>
          <w:tcPr>
            <w:tcW w:w="0" w:type="auto"/>
            <w:gridSpan w:val="2"/>
            <w:vAlign w:val="center"/>
          </w:tcPr>
          <w:p w14:paraId="4E0EDCE8"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Non-competitive</w:t>
            </w:r>
          </w:p>
        </w:tc>
      </w:tr>
      <w:tr w:rsidR="00066CD3" w:rsidRPr="00062CB8" w14:paraId="2B0CF8A1"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746CA779" w14:textId="77777777" w:rsidR="00066CD3" w:rsidRPr="00062CB8" w:rsidRDefault="00066CD3" w:rsidP="00D06987">
            <w:pPr>
              <w:rPr>
                <w:rFonts w:cs="Arial"/>
                <w:b w:val="0"/>
                <w:sz w:val="22"/>
                <w:szCs w:val="22"/>
              </w:rPr>
            </w:pPr>
            <w:r>
              <w:rPr>
                <w:rFonts w:cs="Arial"/>
                <w:b w:val="0"/>
                <w:sz w:val="22"/>
                <w:szCs w:val="22"/>
              </w:rPr>
              <w:t xml:space="preserve">    phospho</w:t>
            </w:r>
            <w:r w:rsidRPr="00062CB8">
              <w:rPr>
                <w:rFonts w:cs="Arial"/>
                <w:b w:val="0"/>
                <w:i/>
                <w:sz w:val="22"/>
                <w:szCs w:val="22"/>
              </w:rPr>
              <w:t>enol</w:t>
            </w:r>
            <w:r>
              <w:rPr>
                <w:rFonts w:cs="Arial"/>
                <w:b w:val="0"/>
                <w:sz w:val="22"/>
                <w:szCs w:val="22"/>
              </w:rPr>
              <w:t>pyruvate</w:t>
            </w:r>
          </w:p>
        </w:tc>
        <w:tc>
          <w:tcPr>
            <w:tcW w:w="0" w:type="auto"/>
            <w:gridSpan w:val="3"/>
            <w:vAlign w:val="center"/>
          </w:tcPr>
          <w:p w14:paraId="0761B975"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6.0</w:t>
            </w:r>
          </w:p>
        </w:tc>
        <w:tc>
          <w:tcPr>
            <w:tcW w:w="0" w:type="auto"/>
            <w:gridSpan w:val="2"/>
            <w:vAlign w:val="center"/>
          </w:tcPr>
          <w:p w14:paraId="4B147194"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0.4</w:t>
            </w:r>
          </w:p>
        </w:tc>
        <w:tc>
          <w:tcPr>
            <w:tcW w:w="0" w:type="auto"/>
            <w:vAlign w:val="center"/>
          </w:tcPr>
          <w:p w14:paraId="6A561DD2"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8.9</w:t>
            </w:r>
          </w:p>
        </w:tc>
        <w:tc>
          <w:tcPr>
            <w:tcW w:w="0" w:type="auto"/>
            <w:vAlign w:val="center"/>
          </w:tcPr>
          <w:p w14:paraId="04C2E014"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1.5</w:t>
            </w:r>
          </w:p>
        </w:tc>
        <w:tc>
          <w:tcPr>
            <w:tcW w:w="0" w:type="auto"/>
            <w:vAlign w:val="center"/>
          </w:tcPr>
          <w:p w14:paraId="431B0A20"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7F604390"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Mixed</w:t>
            </w:r>
          </w:p>
        </w:tc>
      </w:tr>
      <w:tr w:rsidR="00066CD3" w:rsidRPr="00062CB8" w14:paraId="0266B2E9"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2BAB0225" w14:textId="77777777" w:rsidR="00066CD3" w:rsidRPr="00062CB8" w:rsidRDefault="00066CD3" w:rsidP="00D06987">
            <w:pPr>
              <w:rPr>
                <w:rFonts w:cs="Arial"/>
                <w:b w:val="0"/>
                <w:sz w:val="22"/>
                <w:szCs w:val="22"/>
              </w:rPr>
            </w:pPr>
            <w:r w:rsidRPr="00062CB8">
              <w:rPr>
                <w:rFonts w:cs="Arial"/>
                <w:b w:val="0"/>
                <w:sz w:val="22"/>
                <w:szCs w:val="22"/>
              </w:rPr>
              <w:t xml:space="preserve">     pyruvate</w:t>
            </w:r>
          </w:p>
        </w:tc>
        <w:tc>
          <w:tcPr>
            <w:tcW w:w="0" w:type="auto"/>
            <w:gridSpan w:val="3"/>
            <w:vAlign w:val="center"/>
          </w:tcPr>
          <w:p w14:paraId="5A7E0E1F"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18.2</w:t>
            </w:r>
          </w:p>
        </w:tc>
        <w:tc>
          <w:tcPr>
            <w:tcW w:w="0" w:type="auto"/>
            <w:gridSpan w:val="2"/>
            <w:vAlign w:val="center"/>
          </w:tcPr>
          <w:p w14:paraId="30F09C72"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0.5</w:t>
            </w:r>
          </w:p>
        </w:tc>
        <w:tc>
          <w:tcPr>
            <w:tcW w:w="0" w:type="auto"/>
            <w:vAlign w:val="center"/>
          </w:tcPr>
          <w:p w14:paraId="19AE8B72"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11.8</w:t>
            </w:r>
          </w:p>
        </w:tc>
        <w:tc>
          <w:tcPr>
            <w:tcW w:w="0" w:type="auto"/>
            <w:vAlign w:val="center"/>
          </w:tcPr>
          <w:p w14:paraId="58285992"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0.7</w:t>
            </w:r>
          </w:p>
        </w:tc>
        <w:tc>
          <w:tcPr>
            <w:tcW w:w="0" w:type="auto"/>
            <w:vAlign w:val="center"/>
          </w:tcPr>
          <w:p w14:paraId="1F0128FB"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1.7</w:t>
            </w:r>
          </w:p>
        </w:tc>
        <w:tc>
          <w:tcPr>
            <w:tcW w:w="0" w:type="auto"/>
            <w:gridSpan w:val="2"/>
            <w:vAlign w:val="center"/>
          </w:tcPr>
          <w:p w14:paraId="0A8DF117"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Non-competitive</w:t>
            </w:r>
          </w:p>
        </w:tc>
      </w:tr>
      <w:tr w:rsidR="00066CD3" w:rsidRPr="00062CB8" w14:paraId="380212F7"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38EA46EC" w14:textId="77777777" w:rsidR="00066CD3" w:rsidRPr="00062CB8" w:rsidRDefault="00066CD3" w:rsidP="00D06987">
            <w:pPr>
              <w:rPr>
                <w:rFonts w:cs="Arial"/>
                <w:b w:val="0"/>
                <w:sz w:val="22"/>
                <w:szCs w:val="22"/>
              </w:rPr>
            </w:pPr>
            <w:r w:rsidRPr="00062CB8">
              <w:rPr>
                <w:rFonts w:cs="Arial"/>
                <w:b w:val="0"/>
                <w:sz w:val="22"/>
                <w:szCs w:val="22"/>
              </w:rPr>
              <w:t xml:space="preserve">     succinate</w:t>
            </w:r>
          </w:p>
        </w:tc>
        <w:tc>
          <w:tcPr>
            <w:tcW w:w="0" w:type="auto"/>
            <w:gridSpan w:val="3"/>
            <w:vAlign w:val="center"/>
          </w:tcPr>
          <w:p w14:paraId="0EAFA102"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7.8</w:t>
            </w:r>
          </w:p>
        </w:tc>
        <w:tc>
          <w:tcPr>
            <w:tcW w:w="0" w:type="auto"/>
            <w:gridSpan w:val="2"/>
            <w:vAlign w:val="center"/>
          </w:tcPr>
          <w:p w14:paraId="02C088F8"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0.3</w:t>
            </w:r>
          </w:p>
        </w:tc>
        <w:tc>
          <w:tcPr>
            <w:tcW w:w="0" w:type="auto"/>
            <w:vAlign w:val="center"/>
          </w:tcPr>
          <w:p w14:paraId="2F535142"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7.1</w:t>
            </w:r>
          </w:p>
        </w:tc>
        <w:tc>
          <w:tcPr>
            <w:tcW w:w="0" w:type="auto"/>
            <w:vAlign w:val="center"/>
          </w:tcPr>
          <w:p w14:paraId="2A612F8A"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0.9</w:t>
            </w:r>
          </w:p>
        </w:tc>
        <w:tc>
          <w:tcPr>
            <w:tcW w:w="0" w:type="auto"/>
            <w:vAlign w:val="center"/>
          </w:tcPr>
          <w:p w14:paraId="6D699473"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0.9</w:t>
            </w:r>
          </w:p>
        </w:tc>
        <w:tc>
          <w:tcPr>
            <w:tcW w:w="0" w:type="auto"/>
            <w:gridSpan w:val="2"/>
            <w:vAlign w:val="center"/>
          </w:tcPr>
          <w:p w14:paraId="0670FF62"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Uncompetitive</w:t>
            </w:r>
          </w:p>
        </w:tc>
      </w:tr>
      <w:tr w:rsidR="00066CD3" w:rsidRPr="00062CB8" w14:paraId="43CFDC3B"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429E68B2" w14:textId="77777777" w:rsidR="00066CD3" w:rsidRPr="00062CB8" w:rsidRDefault="00066CD3" w:rsidP="00D06987">
            <w:pPr>
              <w:rPr>
                <w:rFonts w:cs="Arial"/>
                <w:sz w:val="22"/>
                <w:szCs w:val="22"/>
              </w:rPr>
            </w:pPr>
            <w:r w:rsidRPr="00062CB8">
              <w:rPr>
                <w:rFonts w:cs="Arial"/>
                <w:sz w:val="22"/>
                <w:szCs w:val="22"/>
              </w:rPr>
              <w:t>IDH</w:t>
            </w:r>
          </w:p>
        </w:tc>
        <w:tc>
          <w:tcPr>
            <w:tcW w:w="0" w:type="auto"/>
            <w:gridSpan w:val="3"/>
            <w:vAlign w:val="center"/>
          </w:tcPr>
          <w:p w14:paraId="52233BC5"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c>
          <w:tcPr>
            <w:tcW w:w="0" w:type="auto"/>
            <w:gridSpan w:val="2"/>
            <w:vAlign w:val="center"/>
          </w:tcPr>
          <w:p w14:paraId="2CB8DCDE"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c>
          <w:tcPr>
            <w:tcW w:w="0" w:type="auto"/>
            <w:vAlign w:val="center"/>
          </w:tcPr>
          <w:p w14:paraId="4AFE047E"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c>
          <w:tcPr>
            <w:tcW w:w="0" w:type="auto"/>
            <w:vAlign w:val="center"/>
          </w:tcPr>
          <w:p w14:paraId="0DFF396E"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c>
          <w:tcPr>
            <w:tcW w:w="0" w:type="auto"/>
            <w:vAlign w:val="center"/>
          </w:tcPr>
          <w:p w14:paraId="134AFAC5"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c>
          <w:tcPr>
            <w:tcW w:w="0" w:type="auto"/>
            <w:gridSpan w:val="2"/>
            <w:vAlign w:val="center"/>
          </w:tcPr>
          <w:p w14:paraId="3E8307D2"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p>
        </w:tc>
      </w:tr>
      <w:tr w:rsidR="00066CD3" w:rsidRPr="00062CB8" w14:paraId="3176E89B"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18408E37" w14:textId="77777777" w:rsidR="00066CD3" w:rsidRPr="00062CB8" w:rsidRDefault="00066CD3" w:rsidP="00D06987">
            <w:pPr>
              <w:tabs>
                <w:tab w:val="left" w:pos="1306"/>
              </w:tabs>
              <w:rPr>
                <w:rFonts w:cs="Arial"/>
                <w:b w:val="0"/>
                <w:sz w:val="22"/>
                <w:szCs w:val="22"/>
              </w:rPr>
            </w:pPr>
            <w:r w:rsidRPr="00062CB8">
              <w:rPr>
                <w:rFonts w:cs="Arial"/>
                <w:b w:val="0"/>
                <w:i/>
                <w:sz w:val="22"/>
                <w:szCs w:val="22"/>
              </w:rPr>
              <w:t>iso</w:t>
            </w:r>
            <w:r w:rsidRPr="00062CB8">
              <w:rPr>
                <w:rFonts w:cs="Arial"/>
                <w:b w:val="0"/>
                <w:sz w:val="22"/>
                <w:szCs w:val="22"/>
              </w:rPr>
              <w:t>citrate</w:t>
            </w:r>
          </w:p>
        </w:tc>
        <w:tc>
          <w:tcPr>
            <w:tcW w:w="0" w:type="auto"/>
            <w:gridSpan w:val="3"/>
            <w:vAlign w:val="center"/>
          </w:tcPr>
          <w:p w14:paraId="7F9C9218"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17.7</w:t>
            </w:r>
          </w:p>
        </w:tc>
        <w:tc>
          <w:tcPr>
            <w:tcW w:w="0" w:type="auto"/>
            <w:gridSpan w:val="2"/>
            <w:vAlign w:val="center"/>
          </w:tcPr>
          <w:p w14:paraId="349D92D0"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0.5</w:t>
            </w:r>
          </w:p>
        </w:tc>
        <w:tc>
          <w:tcPr>
            <w:tcW w:w="0" w:type="auto"/>
            <w:vAlign w:val="center"/>
          </w:tcPr>
          <w:p w14:paraId="1C160537"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183.7</w:t>
            </w:r>
          </w:p>
        </w:tc>
        <w:tc>
          <w:tcPr>
            <w:tcW w:w="0" w:type="auto"/>
            <w:vAlign w:val="center"/>
          </w:tcPr>
          <w:p w14:paraId="13D2C5AE"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10.4</w:t>
            </w:r>
          </w:p>
        </w:tc>
        <w:tc>
          <w:tcPr>
            <w:tcW w:w="0" w:type="auto"/>
            <w:vAlign w:val="center"/>
          </w:tcPr>
          <w:p w14:paraId="17F66E9E"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63FE6509"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n/a</w:t>
            </w:r>
          </w:p>
        </w:tc>
      </w:tr>
      <w:tr w:rsidR="00066CD3" w:rsidRPr="00062CB8" w14:paraId="41C9B5E7"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39C65016" w14:textId="77777777" w:rsidR="00066CD3" w:rsidRPr="00062CB8" w:rsidRDefault="00066CD3" w:rsidP="00D06987">
            <w:pPr>
              <w:tabs>
                <w:tab w:val="left" w:pos="1306"/>
              </w:tabs>
              <w:rPr>
                <w:rFonts w:cs="Arial"/>
                <w:b w:val="0"/>
                <w:sz w:val="22"/>
                <w:szCs w:val="22"/>
              </w:rPr>
            </w:pPr>
            <w:r w:rsidRPr="00062CB8">
              <w:rPr>
                <w:rFonts w:cs="Arial"/>
                <w:b w:val="0"/>
                <w:sz w:val="22"/>
                <w:szCs w:val="22"/>
              </w:rPr>
              <w:t xml:space="preserve">     glyoxylate</w:t>
            </w:r>
          </w:p>
        </w:tc>
        <w:tc>
          <w:tcPr>
            <w:tcW w:w="0" w:type="auto"/>
            <w:gridSpan w:val="3"/>
            <w:vAlign w:val="center"/>
          </w:tcPr>
          <w:p w14:paraId="07FB244D"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20.7</w:t>
            </w:r>
            <w:r w:rsidRPr="00062CB8">
              <w:rPr>
                <w:rFonts w:cs="Arial"/>
                <w:sz w:val="22"/>
                <w:szCs w:val="22"/>
                <w:vertAlign w:val="superscript"/>
              </w:rPr>
              <w:t>2</w:t>
            </w:r>
          </w:p>
        </w:tc>
        <w:tc>
          <w:tcPr>
            <w:tcW w:w="0" w:type="auto"/>
            <w:gridSpan w:val="2"/>
            <w:vAlign w:val="center"/>
          </w:tcPr>
          <w:p w14:paraId="48AC5C50"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2.3</w:t>
            </w:r>
          </w:p>
        </w:tc>
        <w:tc>
          <w:tcPr>
            <w:tcW w:w="0" w:type="auto"/>
            <w:vAlign w:val="center"/>
          </w:tcPr>
          <w:p w14:paraId="175E47B3"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925.2</w:t>
            </w:r>
          </w:p>
        </w:tc>
        <w:tc>
          <w:tcPr>
            <w:tcW w:w="0" w:type="auto"/>
            <w:vAlign w:val="center"/>
          </w:tcPr>
          <w:p w14:paraId="16F16151"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44.8</w:t>
            </w:r>
          </w:p>
        </w:tc>
        <w:tc>
          <w:tcPr>
            <w:tcW w:w="0" w:type="auto"/>
            <w:vAlign w:val="center"/>
          </w:tcPr>
          <w:p w14:paraId="452F183F"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3AC20F17"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Non-competitive</w:t>
            </w:r>
          </w:p>
        </w:tc>
      </w:tr>
      <w:tr w:rsidR="00066CD3" w:rsidRPr="00062CB8" w14:paraId="7750709B"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725442DF" w14:textId="77777777" w:rsidR="00066CD3" w:rsidRPr="00062CB8" w:rsidRDefault="00066CD3" w:rsidP="00D06987">
            <w:pPr>
              <w:tabs>
                <w:tab w:val="left" w:pos="1306"/>
              </w:tabs>
              <w:rPr>
                <w:rFonts w:cs="Arial"/>
                <w:b w:val="0"/>
                <w:sz w:val="22"/>
                <w:szCs w:val="22"/>
              </w:rPr>
            </w:pPr>
            <w:r w:rsidRPr="00062CB8">
              <w:rPr>
                <w:rFonts w:cs="Arial"/>
                <w:b w:val="0"/>
                <w:sz w:val="22"/>
                <w:szCs w:val="22"/>
              </w:rPr>
              <w:t xml:space="preserve">     oxaloacetate</w:t>
            </w:r>
          </w:p>
        </w:tc>
        <w:tc>
          <w:tcPr>
            <w:tcW w:w="0" w:type="auto"/>
            <w:gridSpan w:val="3"/>
            <w:vAlign w:val="center"/>
          </w:tcPr>
          <w:p w14:paraId="25964AB1"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39.2</w:t>
            </w:r>
            <w:r w:rsidRPr="00062CB8">
              <w:rPr>
                <w:rFonts w:cs="Arial"/>
                <w:sz w:val="22"/>
                <w:szCs w:val="22"/>
                <w:vertAlign w:val="superscript"/>
              </w:rPr>
              <w:t>2</w:t>
            </w:r>
          </w:p>
        </w:tc>
        <w:tc>
          <w:tcPr>
            <w:tcW w:w="0" w:type="auto"/>
            <w:gridSpan w:val="2"/>
            <w:vAlign w:val="center"/>
          </w:tcPr>
          <w:p w14:paraId="11BC2E83"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3.0</w:t>
            </w:r>
          </w:p>
        </w:tc>
        <w:tc>
          <w:tcPr>
            <w:tcW w:w="0" w:type="auto"/>
            <w:vAlign w:val="center"/>
          </w:tcPr>
          <w:p w14:paraId="7B5112A1"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1210.9</w:t>
            </w:r>
          </w:p>
        </w:tc>
        <w:tc>
          <w:tcPr>
            <w:tcW w:w="0" w:type="auto"/>
            <w:vAlign w:val="center"/>
          </w:tcPr>
          <w:p w14:paraId="7044AFC8"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30.9</w:t>
            </w:r>
          </w:p>
        </w:tc>
        <w:tc>
          <w:tcPr>
            <w:tcW w:w="0" w:type="auto"/>
            <w:vAlign w:val="center"/>
          </w:tcPr>
          <w:p w14:paraId="16189142"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47893F5B"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Uncompetitive</w:t>
            </w:r>
          </w:p>
        </w:tc>
      </w:tr>
      <w:tr w:rsidR="00066CD3" w:rsidRPr="00062CB8" w14:paraId="2D782839"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63FCCF63" w14:textId="77777777" w:rsidR="00066CD3" w:rsidRPr="00062CB8" w:rsidRDefault="00066CD3" w:rsidP="00D06987">
            <w:pPr>
              <w:tabs>
                <w:tab w:val="left" w:pos="1306"/>
              </w:tabs>
              <w:rPr>
                <w:rFonts w:cs="Arial"/>
                <w:b w:val="0"/>
                <w:sz w:val="22"/>
                <w:szCs w:val="22"/>
              </w:rPr>
            </w:pPr>
            <w:r w:rsidRPr="00062CB8">
              <w:rPr>
                <w:rFonts w:cs="Arial"/>
                <w:b w:val="0"/>
                <w:sz w:val="22"/>
                <w:szCs w:val="22"/>
              </w:rPr>
              <w:t xml:space="preserve">     pyruvate</w:t>
            </w:r>
          </w:p>
        </w:tc>
        <w:tc>
          <w:tcPr>
            <w:tcW w:w="0" w:type="auto"/>
            <w:gridSpan w:val="3"/>
            <w:vAlign w:val="center"/>
          </w:tcPr>
          <w:p w14:paraId="74ACE426"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42.0</w:t>
            </w:r>
            <w:r w:rsidRPr="00062CB8">
              <w:rPr>
                <w:rFonts w:cs="Arial"/>
                <w:sz w:val="22"/>
                <w:szCs w:val="22"/>
                <w:vertAlign w:val="superscript"/>
              </w:rPr>
              <w:t>2</w:t>
            </w:r>
          </w:p>
        </w:tc>
        <w:tc>
          <w:tcPr>
            <w:tcW w:w="0" w:type="auto"/>
            <w:gridSpan w:val="2"/>
            <w:vAlign w:val="center"/>
          </w:tcPr>
          <w:p w14:paraId="27B9882F"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3.5</w:t>
            </w:r>
          </w:p>
        </w:tc>
        <w:tc>
          <w:tcPr>
            <w:tcW w:w="0" w:type="auto"/>
            <w:vAlign w:val="center"/>
          </w:tcPr>
          <w:p w14:paraId="13AA28A7"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1408.2</w:t>
            </w:r>
          </w:p>
        </w:tc>
        <w:tc>
          <w:tcPr>
            <w:tcW w:w="0" w:type="auto"/>
            <w:vAlign w:val="center"/>
          </w:tcPr>
          <w:p w14:paraId="01E63D47"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33.6</w:t>
            </w:r>
          </w:p>
        </w:tc>
        <w:tc>
          <w:tcPr>
            <w:tcW w:w="0" w:type="auto"/>
            <w:vAlign w:val="center"/>
          </w:tcPr>
          <w:p w14:paraId="78C97F84"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652DEA08"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Uncompetitive</w:t>
            </w:r>
          </w:p>
        </w:tc>
      </w:tr>
      <w:tr w:rsidR="00066CD3" w:rsidRPr="00062CB8" w14:paraId="769CA525"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75ABDB16" w14:textId="77777777" w:rsidR="00066CD3" w:rsidRPr="00062CB8" w:rsidRDefault="00066CD3" w:rsidP="00D06987">
            <w:pPr>
              <w:rPr>
                <w:rFonts w:cs="Arial"/>
                <w:b w:val="0"/>
                <w:sz w:val="22"/>
                <w:szCs w:val="22"/>
              </w:rPr>
            </w:pPr>
            <w:r w:rsidRPr="00062CB8">
              <w:rPr>
                <w:rFonts w:cs="Arial"/>
                <w:b w:val="0"/>
                <w:sz w:val="22"/>
                <w:szCs w:val="22"/>
              </w:rPr>
              <w:t>NADP</w:t>
            </w:r>
          </w:p>
        </w:tc>
        <w:tc>
          <w:tcPr>
            <w:tcW w:w="0" w:type="auto"/>
            <w:gridSpan w:val="3"/>
            <w:vAlign w:val="center"/>
          </w:tcPr>
          <w:p w14:paraId="5D00C6AA"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34.5</w:t>
            </w:r>
            <w:r w:rsidRPr="00062CB8">
              <w:rPr>
                <w:rFonts w:cs="Arial"/>
                <w:sz w:val="22"/>
                <w:szCs w:val="22"/>
                <w:vertAlign w:val="superscript"/>
              </w:rPr>
              <w:t>2</w:t>
            </w:r>
          </w:p>
        </w:tc>
        <w:tc>
          <w:tcPr>
            <w:tcW w:w="0" w:type="auto"/>
            <w:gridSpan w:val="2"/>
            <w:vAlign w:val="center"/>
          </w:tcPr>
          <w:p w14:paraId="01D2425A"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0.5</w:t>
            </w:r>
          </w:p>
        </w:tc>
        <w:tc>
          <w:tcPr>
            <w:tcW w:w="0" w:type="auto"/>
            <w:vAlign w:val="center"/>
          </w:tcPr>
          <w:p w14:paraId="7A481AF5"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210.9</w:t>
            </w:r>
          </w:p>
        </w:tc>
        <w:tc>
          <w:tcPr>
            <w:tcW w:w="0" w:type="auto"/>
            <w:vAlign w:val="center"/>
          </w:tcPr>
          <w:p w14:paraId="3B3F25EA"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6.1</w:t>
            </w:r>
          </w:p>
        </w:tc>
        <w:tc>
          <w:tcPr>
            <w:tcW w:w="0" w:type="auto"/>
            <w:vAlign w:val="center"/>
          </w:tcPr>
          <w:p w14:paraId="009E44A0"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52BB4D98"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n/a</w:t>
            </w:r>
          </w:p>
        </w:tc>
      </w:tr>
      <w:tr w:rsidR="00066CD3" w:rsidRPr="00062CB8" w14:paraId="44E7E674"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72787B71" w14:textId="77777777" w:rsidR="00066CD3" w:rsidRPr="00062CB8" w:rsidRDefault="00066CD3" w:rsidP="00D06987">
            <w:pPr>
              <w:tabs>
                <w:tab w:val="left" w:pos="1306"/>
              </w:tabs>
              <w:rPr>
                <w:rFonts w:cs="Arial"/>
                <w:b w:val="0"/>
                <w:sz w:val="22"/>
                <w:szCs w:val="22"/>
              </w:rPr>
            </w:pPr>
            <w:r w:rsidRPr="00062CB8">
              <w:rPr>
                <w:rFonts w:cs="Arial"/>
                <w:b w:val="0"/>
                <w:sz w:val="22"/>
                <w:szCs w:val="22"/>
              </w:rPr>
              <w:t xml:space="preserve">     glyoxylate</w:t>
            </w:r>
          </w:p>
        </w:tc>
        <w:tc>
          <w:tcPr>
            <w:tcW w:w="0" w:type="auto"/>
            <w:gridSpan w:val="3"/>
            <w:vAlign w:val="center"/>
          </w:tcPr>
          <w:p w14:paraId="132499C3"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160.4</w:t>
            </w:r>
            <w:r w:rsidRPr="00062CB8">
              <w:rPr>
                <w:rFonts w:cs="Arial"/>
                <w:sz w:val="22"/>
                <w:szCs w:val="22"/>
                <w:vertAlign w:val="superscript"/>
              </w:rPr>
              <w:t>2</w:t>
            </w:r>
          </w:p>
        </w:tc>
        <w:tc>
          <w:tcPr>
            <w:tcW w:w="0" w:type="auto"/>
            <w:gridSpan w:val="2"/>
            <w:vAlign w:val="center"/>
          </w:tcPr>
          <w:p w14:paraId="7E2B7D1E"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3.8</w:t>
            </w:r>
          </w:p>
        </w:tc>
        <w:tc>
          <w:tcPr>
            <w:tcW w:w="0" w:type="auto"/>
            <w:vAlign w:val="center"/>
          </w:tcPr>
          <w:p w14:paraId="656BD957"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1544.2</w:t>
            </w:r>
          </w:p>
        </w:tc>
        <w:tc>
          <w:tcPr>
            <w:tcW w:w="0" w:type="auto"/>
            <w:vAlign w:val="center"/>
          </w:tcPr>
          <w:p w14:paraId="757DB8BE"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9.6</w:t>
            </w:r>
          </w:p>
        </w:tc>
        <w:tc>
          <w:tcPr>
            <w:tcW w:w="0" w:type="auto"/>
            <w:vAlign w:val="center"/>
          </w:tcPr>
          <w:p w14:paraId="73253E91"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76DE3017"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Uncompetitive</w:t>
            </w:r>
          </w:p>
        </w:tc>
      </w:tr>
      <w:tr w:rsidR="00066CD3" w:rsidRPr="00062CB8" w14:paraId="3DB40283"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0F80D2F9" w14:textId="77777777" w:rsidR="00066CD3" w:rsidRPr="00062CB8" w:rsidRDefault="00066CD3" w:rsidP="00D06987">
            <w:pPr>
              <w:tabs>
                <w:tab w:val="left" w:pos="1306"/>
              </w:tabs>
              <w:rPr>
                <w:rFonts w:cs="Arial"/>
                <w:b w:val="0"/>
                <w:sz w:val="22"/>
                <w:szCs w:val="22"/>
              </w:rPr>
            </w:pPr>
            <w:r w:rsidRPr="00062CB8">
              <w:rPr>
                <w:rFonts w:cs="Arial"/>
                <w:b w:val="0"/>
                <w:sz w:val="22"/>
                <w:szCs w:val="22"/>
              </w:rPr>
              <w:t xml:space="preserve">     oxaloacetate</w:t>
            </w:r>
          </w:p>
        </w:tc>
        <w:tc>
          <w:tcPr>
            <w:tcW w:w="0" w:type="auto"/>
            <w:gridSpan w:val="3"/>
            <w:vAlign w:val="center"/>
          </w:tcPr>
          <w:p w14:paraId="5C2A6456"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29.0</w:t>
            </w:r>
            <w:r w:rsidRPr="00062CB8">
              <w:rPr>
                <w:rFonts w:cs="Arial"/>
                <w:sz w:val="22"/>
                <w:szCs w:val="22"/>
                <w:vertAlign w:val="superscript"/>
              </w:rPr>
              <w:t>2</w:t>
            </w:r>
          </w:p>
        </w:tc>
        <w:tc>
          <w:tcPr>
            <w:tcW w:w="0" w:type="auto"/>
            <w:gridSpan w:val="2"/>
            <w:vAlign w:val="center"/>
          </w:tcPr>
          <w:p w14:paraId="615814D3"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3.0</w:t>
            </w:r>
          </w:p>
        </w:tc>
        <w:tc>
          <w:tcPr>
            <w:tcW w:w="0" w:type="auto"/>
            <w:vAlign w:val="center"/>
          </w:tcPr>
          <w:p w14:paraId="0B23DDD7"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1217.7</w:t>
            </w:r>
          </w:p>
        </w:tc>
        <w:tc>
          <w:tcPr>
            <w:tcW w:w="0" w:type="auto"/>
            <w:vAlign w:val="center"/>
          </w:tcPr>
          <w:p w14:paraId="7A0225E4"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42.0</w:t>
            </w:r>
          </w:p>
        </w:tc>
        <w:tc>
          <w:tcPr>
            <w:tcW w:w="0" w:type="auto"/>
            <w:vAlign w:val="center"/>
          </w:tcPr>
          <w:p w14:paraId="3F74A326"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78A3C470"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Non-competitive</w:t>
            </w:r>
          </w:p>
        </w:tc>
      </w:tr>
      <w:tr w:rsidR="00066CD3" w:rsidRPr="00062CB8" w14:paraId="5A37DC7F"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3DD11EF3" w14:textId="77777777" w:rsidR="00066CD3" w:rsidRPr="00062CB8" w:rsidRDefault="00066CD3" w:rsidP="00D06987">
            <w:pPr>
              <w:tabs>
                <w:tab w:val="left" w:pos="1306"/>
              </w:tabs>
              <w:rPr>
                <w:rFonts w:cs="Arial"/>
                <w:b w:val="0"/>
                <w:sz w:val="22"/>
                <w:szCs w:val="22"/>
              </w:rPr>
            </w:pPr>
            <w:r w:rsidRPr="00062CB8">
              <w:rPr>
                <w:rFonts w:cs="Arial"/>
                <w:b w:val="0"/>
                <w:sz w:val="22"/>
                <w:szCs w:val="22"/>
              </w:rPr>
              <w:t xml:space="preserve">     pyruvate</w:t>
            </w:r>
          </w:p>
        </w:tc>
        <w:tc>
          <w:tcPr>
            <w:tcW w:w="0" w:type="auto"/>
            <w:gridSpan w:val="3"/>
            <w:vAlign w:val="center"/>
          </w:tcPr>
          <w:p w14:paraId="1A9D356F"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49.5</w:t>
            </w:r>
          </w:p>
        </w:tc>
        <w:tc>
          <w:tcPr>
            <w:tcW w:w="0" w:type="auto"/>
            <w:gridSpan w:val="2"/>
            <w:vAlign w:val="center"/>
          </w:tcPr>
          <w:p w14:paraId="1C179F0B"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3.4</w:t>
            </w:r>
          </w:p>
        </w:tc>
        <w:tc>
          <w:tcPr>
            <w:tcW w:w="0" w:type="auto"/>
            <w:vAlign w:val="center"/>
          </w:tcPr>
          <w:p w14:paraId="513D39EB"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1381.0</w:t>
            </w:r>
          </w:p>
        </w:tc>
        <w:tc>
          <w:tcPr>
            <w:tcW w:w="0" w:type="auto"/>
            <w:vAlign w:val="center"/>
          </w:tcPr>
          <w:p w14:paraId="34E3CCCE"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27.9</w:t>
            </w:r>
          </w:p>
        </w:tc>
        <w:tc>
          <w:tcPr>
            <w:tcW w:w="0" w:type="auto"/>
            <w:vAlign w:val="center"/>
          </w:tcPr>
          <w:p w14:paraId="2234CBE9"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5E7F71A6"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Non-competitive</w:t>
            </w:r>
          </w:p>
        </w:tc>
      </w:tr>
      <w:tr w:rsidR="00066CD3" w:rsidRPr="00062CB8" w14:paraId="180FE672"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2C12E342" w14:textId="77777777" w:rsidR="00066CD3" w:rsidRPr="00062CB8" w:rsidRDefault="00066CD3" w:rsidP="00D06987">
            <w:pPr>
              <w:rPr>
                <w:rFonts w:cs="Arial"/>
                <w:sz w:val="22"/>
                <w:szCs w:val="22"/>
              </w:rPr>
            </w:pPr>
            <w:r w:rsidRPr="00062CB8">
              <w:rPr>
                <w:rFonts w:cs="Arial"/>
                <w:sz w:val="22"/>
                <w:szCs w:val="22"/>
              </w:rPr>
              <w:t>ICD</w:t>
            </w:r>
          </w:p>
        </w:tc>
        <w:tc>
          <w:tcPr>
            <w:tcW w:w="0" w:type="auto"/>
            <w:gridSpan w:val="3"/>
            <w:vAlign w:val="center"/>
          </w:tcPr>
          <w:p w14:paraId="6BA51CC3"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p>
        </w:tc>
        <w:tc>
          <w:tcPr>
            <w:tcW w:w="0" w:type="auto"/>
            <w:gridSpan w:val="2"/>
            <w:vAlign w:val="center"/>
          </w:tcPr>
          <w:p w14:paraId="384D511D"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p>
        </w:tc>
        <w:tc>
          <w:tcPr>
            <w:tcW w:w="0" w:type="auto"/>
            <w:vAlign w:val="center"/>
          </w:tcPr>
          <w:p w14:paraId="092D8B26"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p>
        </w:tc>
        <w:tc>
          <w:tcPr>
            <w:tcW w:w="0" w:type="auto"/>
            <w:vAlign w:val="center"/>
          </w:tcPr>
          <w:p w14:paraId="333FDA77"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p>
        </w:tc>
        <w:tc>
          <w:tcPr>
            <w:tcW w:w="0" w:type="auto"/>
            <w:vAlign w:val="center"/>
          </w:tcPr>
          <w:p w14:paraId="33ACE0C5"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p>
        </w:tc>
        <w:tc>
          <w:tcPr>
            <w:tcW w:w="0" w:type="auto"/>
            <w:gridSpan w:val="2"/>
            <w:vAlign w:val="center"/>
          </w:tcPr>
          <w:p w14:paraId="0A37C1BB"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p>
        </w:tc>
      </w:tr>
      <w:tr w:rsidR="00066CD3" w:rsidRPr="00062CB8" w14:paraId="0C124D33"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35087024" w14:textId="77777777" w:rsidR="00066CD3" w:rsidRPr="00062CB8" w:rsidRDefault="00066CD3" w:rsidP="00D06987">
            <w:pPr>
              <w:rPr>
                <w:rFonts w:cs="Arial"/>
                <w:b w:val="0"/>
                <w:sz w:val="22"/>
                <w:szCs w:val="22"/>
              </w:rPr>
            </w:pPr>
            <w:r w:rsidRPr="00062CB8">
              <w:rPr>
                <w:rFonts w:cs="Arial"/>
                <w:b w:val="0"/>
                <w:i/>
                <w:sz w:val="22"/>
                <w:szCs w:val="22"/>
              </w:rPr>
              <w:t>iso</w:t>
            </w:r>
            <w:r w:rsidRPr="00062CB8">
              <w:rPr>
                <w:rFonts w:cs="Arial"/>
                <w:b w:val="0"/>
                <w:sz w:val="22"/>
                <w:szCs w:val="22"/>
              </w:rPr>
              <w:t>citrate</w:t>
            </w:r>
          </w:p>
        </w:tc>
        <w:tc>
          <w:tcPr>
            <w:tcW w:w="0" w:type="auto"/>
            <w:gridSpan w:val="3"/>
            <w:vAlign w:val="center"/>
          </w:tcPr>
          <w:p w14:paraId="1FC2EEEB"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25.6</w:t>
            </w:r>
          </w:p>
        </w:tc>
        <w:tc>
          <w:tcPr>
            <w:tcW w:w="0" w:type="auto"/>
            <w:gridSpan w:val="2"/>
            <w:vAlign w:val="center"/>
          </w:tcPr>
          <w:p w14:paraId="14547F0C"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1.3</w:t>
            </w:r>
          </w:p>
        </w:tc>
        <w:tc>
          <w:tcPr>
            <w:tcW w:w="0" w:type="auto"/>
            <w:vAlign w:val="center"/>
          </w:tcPr>
          <w:p w14:paraId="089AA264"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608.8</w:t>
            </w:r>
          </w:p>
        </w:tc>
        <w:tc>
          <w:tcPr>
            <w:tcW w:w="0" w:type="auto"/>
            <w:vAlign w:val="center"/>
          </w:tcPr>
          <w:p w14:paraId="2F547E31"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23.8</w:t>
            </w:r>
          </w:p>
        </w:tc>
        <w:tc>
          <w:tcPr>
            <w:tcW w:w="0" w:type="auto"/>
            <w:vAlign w:val="center"/>
          </w:tcPr>
          <w:p w14:paraId="5779E98D"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7B01B88F"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n/a</w:t>
            </w:r>
          </w:p>
        </w:tc>
      </w:tr>
      <w:tr w:rsidR="00066CD3" w:rsidRPr="00062CB8" w14:paraId="4A74D8DF" w14:textId="77777777" w:rsidTr="00D06987">
        <w:trPr>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35284BC2" w14:textId="77777777" w:rsidR="00066CD3" w:rsidRPr="00062CB8" w:rsidRDefault="00066CD3" w:rsidP="00D06987">
            <w:pPr>
              <w:rPr>
                <w:rFonts w:cs="Arial"/>
                <w:b w:val="0"/>
                <w:sz w:val="22"/>
                <w:szCs w:val="22"/>
              </w:rPr>
            </w:pPr>
            <w:r w:rsidRPr="00062CB8">
              <w:rPr>
                <w:rFonts w:cs="Arial"/>
                <w:b w:val="0"/>
                <w:sz w:val="22"/>
                <w:szCs w:val="22"/>
              </w:rPr>
              <w:t xml:space="preserve">     α-</w:t>
            </w:r>
            <w:r w:rsidRPr="00062CB8">
              <w:rPr>
                <w:rFonts w:cs="Arial"/>
                <w:b w:val="0"/>
                <w:i/>
                <w:sz w:val="22"/>
                <w:szCs w:val="22"/>
              </w:rPr>
              <w:t>keto</w:t>
            </w:r>
            <w:r w:rsidRPr="00062CB8">
              <w:rPr>
                <w:rFonts w:cs="Arial"/>
                <w:b w:val="0"/>
                <w:sz w:val="22"/>
                <w:szCs w:val="22"/>
              </w:rPr>
              <w:t>glutarate</w:t>
            </w:r>
          </w:p>
        </w:tc>
        <w:tc>
          <w:tcPr>
            <w:tcW w:w="0" w:type="auto"/>
            <w:gridSpan w:val="3"/>
            <w:vAlign w:val="center"/>
          </w:tcPr>
          <w:p w14:paraId="65EF2E16"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64.0</w:t>
            </w:r>
          </w:p>
        </w:tc>
        <w:tc>
          <w:tcPr>
            <w:tcW w:w="0" w:type="auto"/>
            <w:gridSpan w:val="2"/>
            <w:vAlign w:val="center"/>
          </w:tcPr>
          <w:p w14:paraId="23C7EF51"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1.6</w:t>
            </w:r>
          </w:p>
        </w:tc>
        <w:tc>
          <w:tcPr>
            <w:tcW w:w="0" w:type="auto"/>
            <w:vAlign w:val="center"/>
          </w:tcPr>
          <w:p w14:paraId="4834AA6D"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745.8</w:t>
            </w:r>
          </w:p>
        </w:tc>
        <w:tc>
          <w:tcPr>
            <w:tcW w:w="0" w:type="auto"/>
            <w:vAlign w:val="center"/>
          </w:tcPr>
          <w:p w14:paraId="277AF3B0"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11.7</w:t>
            </w:r>
          </w:p>
        </w:tc>
        <w:tc>
          <w:tcPr>
            <w:tcW w:w="0" w:type="auto"/>
            <w:vAlign w:val="center"/>
          </w:tcPr>
          <w:p w14:paraId="32E3637B"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666.0</w:t>
            </w:r>
          </w:p>
        </w:tc>
        <w:tc>
          <w:tcPr>
            <w:tcW w:w="0" w:type="auto"/>
            <w:gridSpan w:val="2"/>
            <w:vAlign w:val="center"/>
          </w:tcPr>
          <w:p w14:paraId="586C3688" w14:textId="77777777" w:rsidR="00066CD3" w:rsidRPr="00062CB8" w:rsidRDefault="00066CD3" w:rsidP="00D06987">
            <w:pPr>
              <w:jc w:val="center"/>
              <w:cnfStyle w:val="000000000000" w:firstRow="0" w:lastRow="0" w:firstColumn="0" w:lastColumn="0" w:oddVBand="0" w:evenVBand="0" w:oddHBand="0" w:evenHBand="0" w:firstRowFirstColumn="0" w:firstRowLastColumn="0" w:lastRowFirstColumn="0" w:lastRowLastColumn="0"/>
              <w:rPr>
                <w:rFonts w:cs="Arial"/>
                <w:sz w:val="22"/>
                <w:szCs w:val="22"/>
              </w:rPr>
            </w:pPr>
            <w:r w:rsidRPr="00062CB8">
              <w:rPr>
                <w:rFonts w:cs="Arial"/>
                <w:sz w:val="22"/>
                <w:szCs w:val="22"/>
              </w:rPr>
              <w:t>Competitive</w:t>
            </w:r>
          </w:p>
        </w:tc>
      </w:tr>
      <w:tr w:rsidR="00066CD3" w:rsidRPr="00062CB8" w14:paraId="753179F2" w14:textId="77777777" w:rsidTr="00D0698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vAlign w:val="center"/>
          </w:tcPr>
          <w:p w14:paraId="7FB0B834" w14:textId="77777777" w:rsidR="00066CD3" w:rsidRPr="00062CB8" w:rsidRDefault="00066CD3" w:rsidP="00D06987">
            <w:pPr>
              <w:rPr>
                <w:rFonts w:cs="Arial"/>
                <w:b w:val="0"/>
                <w:sz w:val="22"/>
                <w:szCs w:val="22"/>
              </w:rPr>
            </w:pPr>
            <w:r w:rsidRPr="00062CB8">
              <w:rPr>
                <w:rFonts w:cs="Arial"/>
                <w:b w:val="0"/>
                <w:sz w:val="22"/>
                <w:szCs w:val="22"/>
              </w:rPr>
              <w:t>NADP</w:t>
            </w:r>
          </w:p>
        </w:tc>
        <w:tc>
          <w:tcPr>
            <w:tcW w:w="0" w:type="auto"/>
            <w:gridSpan w:val="3"/>
            <w:vAlign w:val="center"/>
          </w:tcPr>
          <w:p w14:paraId="399790E3"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32.3</w:t>
            </w:r>
          </w:p>
        </w:tc>
        <w:tc>
          <w:tcPr>
            <w:tcW w:w="0" w:type="auto"/>
            <w:gridSpan w:val="2"/>
            <w:vAlign w:val="center"/>
          </w:tcPr>
          <w:p w14:paraId="069E20D2"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1.5</w:t>
            </w:r>
          </w:p>
        </w:tc>
        <w:tc>
          <w:tcPr>
            <w:tcW w:w="0" w:type="auto"/>
            <w:vAlign w:val="center"/>
          </w:tcPr>
          <w:p w14:paraId="7B5DCF48"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684.9</w:t>
            </w:r>
          </w:p>
        </w:tc>
        <w:tc>
          <w:tcPr>
            <w:tcW w:w="0" w:type="auto"/>
            <w:vAlign w:val="center"/>
          </w:tcPr>
          <w:p w14:paraId="58E609CC"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21.2</w:t>
            </w:r>
          </w:p>
        </w:tc>
        <w:tc>
          <w:tcPr>
            <w:tcW w:w="0" w:type="auto"/>
            <w:vAlign w:val="center"/>
          </w:tcPr>
          <w:p w14:paraId="0C12AEB4"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n/a</w:t>
            </w:r>
          </w:p>
        </w:tc>
        <w:tc>
          <w:tcPr>
            <w:tcW w:w="0" w:type="auto"/>
            <w:gridSpan w:val="2"/>
            <w:vAlign w:val="center"/>
          </w:tcPr>
          <w:p w14:paraId="43C4EFD4" w14:textId="77777777" w:rsidR="00066CD3" w:rsidRPr="00062CB8" w:rsidRDefault="00066CD3" w:rsidP="00D06987">
            <w:pPr>
              <w:jc w:val="center"/>
              <w:cnfStyle w:val="000000100000" w:firstRow="0" w:lastRow="0" w:firstColumn="0" w:lastColumn="0" w:oddVBand="0" w:evenVBand="0" w:oddHBand="1" w:evenHBand="0" w:firstRowFirstColumn="0" w:firstRowLastColumn="0" w:lastRowFirstColumn="0" w:lastRowLastColumn="0"/>
              <w:rPr>
                <w:rFonts w:cs="Arial"/>
                <w:sz w:val="22"/>
                <w:szCs w:val="22"/>
              </w:rPr>
            </w:pPr>
            <w:r w:rsidRPr="00062CB8">
              <w:rPr>
                <w:rFonts w:cs="Arial"/>
                <w:sz w:val="22"/>
                <w:szCs w:val="22"/>
              </w:rPr>
              <w:t>n/a</w:t>
            </w:r>
          </w:p>
        </w:tc>
      </w:tr>
    </w:tbl>
    <w:p w14:paraId="06202244" w14:textId="77777777" w:rsidR="00066CD3" w:rsidRDefault="00066CD3" w:rsidP="00066CD3">
      <w:pPr>
        <w:jc w:val="both"/>
        <w:rPr>
          <w:rFonts w:cs="Arial"/>
          <w:lang w:val="en-US"/>
        </w:rPr>
      </w:pPr>
    </w:p>
    <w:p w14:paraId="19CF4D2B" w14:textId="77777777" w:rsidR="00066CD3" w:rsidRPr="00346E7B" w:rsidRDefault="00066CD3" w:rsidP="00066CD3">
      <w:pPr>
        <w:jc w:val="both"/>
        <w:rPr>
          <w:rFonts w:eastAsia="Times New Roman" w:cs="Arial"/>
          <w:lang w:val="en-US" w:eastAsia="fr-FR"/>
        </w:rPr>
      </w:pPr>
      <w:r w:rsidRPr="00062CB8">
        <w:rPr>
          <w:rFonts w:cs="Arial"/>
          <w:lang w:val="en-US"/>
        </w:rPr>
        <w:t>K</w:t>
      </w:r>
      <w:r w:rsidRPr="00062CB8">
        <w:rPr>
          <w:rFonts w:cs="Arial"/>
          <w:vertAlign w:val="subscript"/>
          <w:lang w:val="en-US"/>
        </w:rPr>
        <w:t>M</w:t>
      </w:r>
      <w:r w:rsidRPr="00062CB8">
        <w:rPr>
          <w:rFonts w:cs="Arial"/>
          <w:lang w:val="en-US"/>
        </w:rPr>
        <w:t xml:space="preserve"> and V</w:t>
      </w:r>
      <w:r w:rsidRPr="00062CB8">
        <w:rPr>
          <w:rFonts w:cs="Arial"/>
          <w:vertAlign w:val="subscript"/>
          <w:lang w:val="en-US"/>
        </w:rPr>
        <w:t>max</w:t>
      </w:r>
      <w:r w:rsidRPr="00062CB8">
        <w:rPr>
          <w:rFonts w:cs="Arial"/>
          <w:lang w:val="en-US"/>
        </w:rPr>
        <w:t xml:space="preserve"> values were calculated after fitting to the Michaelis-Menten curve</w:t>
      </w:r>
      <w:r>
        <w:rPr>
          <w:rFonts w:cs="Arial"/>
          <w:lang w:val="en-US"/>
        </w:rPr>
        <w:br/>
      </w:r>
      <w:r w:rsidRPr="00062CB8">
        <w:rPr>
          <w:rFonts w:cs="Arial"/>
          <w:lang w:val="en-US"/>
        </w:rPr>
        <w:t xml:space="preserve">in Prism 6 GraphPad. </w:t>
      </w:r>
      <w:r w:rsidRPr="00062CB8">
        <w:rPr>
          <w:rFonts w:eastAsiaTheme="minorEastAsia" w:cs="Arial"/>
          <w:lang w:val="en-US"/>
        </w:rPr>
        <w:t>Values of k</w:t>
      </w:r>
      <w:r w:rsidRPr="00062CB8">
        <w:rPr>
          <w:rFonts w:eastAsiaTheme="minorEastAsia" w:cs="Arial"/>
          <w:vertAlign w:val="subscript"/>
          <w:lang w:val="en-US"/>
        </w:rPr>
        <w:t>cat</w:t>
      </w:r>
      <w:r w:rsidRPr="00062CB8">
        <w:rPr>
          <w:rFonts w:eastAsiaTheme="minorEastAsia" w:cs="Arial"/>
          <w:lang w:val="en-US"/>
        </w:rPr>
        <w:t xml:space="preserve"> were derived from </w:t>
      </w:r>
      <w:r>
        <w:rPr>
          <w:rFonts w:eastAsiaTheme="minorEastAsia" w:cs="Arial"/>
          <w:lang w:val="en-US"/>
        </w:rPr>
        <w:t>V</w:t>
      </w:r>
      <w:r w:rsidRPr="00346E7B">
        <w:rPr>
          <w:rFonts w:eastAsiaTheme="minorEastAsia" w:cs="Arial"/>
          <w:vertAlign w:val="subscript"/>
          <w:lang w:val="en-US"/>
        </w:rPr>
        <w:t>max</w:t>
      </w:r>
      <w:r>
        <w:rPr>
          <w:rFonts w:eastAsiaTheme="minorEastAsia" w:cs="Arial"/>
          <w:lang w:val="en-US"/>
        </w:rPr>
        <w:t xml:space="preserve">. </w:t>
      </w:r>
      <w:r w:rsidRPr="00062CB8">
        <w:rPr>
          <w:rFonts w:eastAsiaTheme="minorEastAsia" w:cs="Arial"/>
          <w:vertAlign w:val="superscript"/>
          <w:lang w:val="en-US"/>
        </w:rPr>
        <w:t>1</w:t>
      </w:r>
      <w:r w:rsidRPr="00062CB8">
        <w:rPr>
          <w:rFonts w:eastAsiaTheme="minorEastAsia" w:cs="Arial"/>
          <w:lang w:val="en-US"/>
        </w:rPr>
        <w:t>The value of E</w:t>
      </w:r>
      <w:r w:rsidRPr="00062CB8">
        <w:rPr>
          <w:rFonts w:eastAsiaTheme="minorEastAsia" w:cs="Arial"/>
          <w:vertAlign w:val="subscript"/>
          <w:lang w:val="en-US"/>
        </w:rPr>
        <w:t>t</w:t>
      </w:r>
      <w:r w:rsidRPr="00062CB8">
        <w:rPr>
          <w:rFonts w:eastAsiaTheme="minorEastAsia" w:cs="Arial"/>
          <w:lang w:val="en-US"/>
        </w:rPr>
        <w:t xml:space="preserve"> </w:t>
      </w:r>
      <w:r>
        <w:rPr>
          <w:rFonts w:eastAsiaTheme="minorEastAsia" w:cs="Arial"/>
          <w:lang w:val="en-US"/>
        </w:rPr>
        <w:t>was based</w:t>
      </w:r>
      <w:r w:rsidRPr="00062CB8">
        <w:rPr>
          <w:rFonts w:eastAsiaTheme="minorEastAsia" w:cs="Arial"/>
          <w:lang w:val="en-US"/>
        </w:rPr>
        <w:t xml:space="preserve"> on the most likely oligomeric status of the </w:t>
      </w:r>
      <w:r>
        <w:rPr>
          <w:rFonts w:eastAsiaTheme="minorEastAsia" w:cs="Arial"/>
          <w:lang w:val="en-US"/>
        </w:rPr>
        <w:t xml:space="preserve">native </w:t>
      </w:r>
      <w:r w:rsidRPr="00062CB8">
        <w:rPr>
          <w:rFonts w:eastAsiaTheme="minorEastAsia" w:cs="Arial"/>
          <w:lang w:val="en-US"/>
        </w:rPr>
        <w:t xml:space="preserve">protein </w:t>
      </w:r>
      <w:r>
        <w:rPr>
          <w:rFonts w:eastAsiaTheme="minorEastAsia" w:cs="Arial"/>
          <w:lang w:val="en-US"/>
        </w:rPr>
        <w:t xml:space="preserve">from </w:t>
      </w:r>
      <w:r w:rsidRPr="00062CB8">
        <w:rPr>
          <w:rFonts w:eastAsiaTheme="minorEastAsia" w:cs="Arial"/>
          <w:lang w:val="en-US"/>
        </w:rPr>
        <w:t xml:space="preserve">the combined crystallographic </w:t>
      </w:r>
      <w:r>
        <w:rPr>
          <w:rFonts w:eastAsiaTheme="minorEastAsia" w:cs="Arial"/>
          <w:lang w:val="en-US"/>
        </w:rPr>
        <w:t xml:space="preserve">and solution structure data. </w:t>
      </w:r>
      <w:r w:rsidRPr="00062CB8">
        <w:rPr>
          <w:rFonts w:eastAsiaTheme="minorEastAsia" w:cs="Arial"/>
          <w:lang w:val="en-US"/>
        </w:rPr>
        <w:t xml:space="preserve">ICL was assumed to be a tetramer, ICD a dimer, and </w:t>
      </w:r>
      <w:r w:rsidRPr="00346E7B">
        <w:rPr>
          <w:rFonts w:eastAsiaTheme="minorEastAsia" w:cs="Arial"/>
          <w:lang w:val="en-US"/>
        </w:rPr>
        <w:t xml:space="preserve">IDH a monomer. </w:t>
      </w:r>
      <w:r w:rsidRPr="00346E7B">
        <w:rPr>
          <w:rFonts w:cs="Arial"/>
          <w:vertAlign w:val="superscript"/>
          <w:lang w:val="en-US"/>
        </w:rPr>
        <w:t>2</w:t>
      </w:r>
      <w:r w:rsidRPr="00346E7B">
        <w:rPr>
          <w:rFonts w:cs="Arial"/>
          <w:lang w:val="en-US"/>
        </w:rPr>
        <w:t xml:space="preserve">Regulators of IDH altered the kinetics from hyperbolic to sigmoidal with respect to </w:t>
      </w:r>
      <w:r w:rsidRPr="00346E7B">
        <w:rPr>
          <w:rFonts w:cs="Arial"/>
          <w:i/>
          <w:lang w:val="en-US"/>
        </w:rPr>
        <w:t>iso</w:t>
      </w:r>
      <w:r w:rsidRPr="00346E7B">
        <w:rPr>
          <w:rFonts w:cs="Arial"/>
          <w:lang w:val="en-US"/>
        </w:rPr>
        <w:t>citrate, so the reported values in the Table are K</w:t>
      </w:r>
      <w:r w:rsidRPr="00346E7B">
        <w:rPr>
          <w:rFonts w:cs="Arial"/>
          <w:vertAlign w:val="subscript"/>
          <w:lang w:val="en-US"/>
        </w:rPr>
        <w:t>half</w:t>
      </w:r>
      <w:r>
        <w:rPr>
          <w:rFonts w:cs="Arial"/>
          <w:lang w:val="en-US"/>
        </w:rPr>
        <w:t xml:space="preserve">, </w:t>
      </w:r>
      <w:r w:rsidRPr="00346E7B">
        <w:rPr>
          <w:rFonts w:eastAsiaTheme="minorEastAsia" w:cs="Arial"/>
          <w:lang w:val="en-US"/>
        </w:rPr>
        <w:t xml:space="preserve">where </w:t>
      </w:r>
      <w:r>
        <w:rPr>
          <w:rFonts w:eastAsiaTheme="minorEastAsia" w:cs="Arial"/>
          <w:lang w:val="en-US"/>
        </w:rPr>
        <w:t>h is the Hill coefficient,</w:t>
      </w:r>
      <w:r w:rsidRPr="00346E7B">
        <w:rPr>
          <w:rFonts w:eastAsiaTheme="minorEastAsia" w:cs="Arial"/>
          <w:lang w:val="en-US"/>
        </w:rPr>
        <w:t xml:space="preserve"> </w:t>
      </w:r>
      <w:r w:rsidRPr="00346E7B">
        <w:rPr>
          <w:rFonts w:cs="Arial"/>
          <w:lang w:val="en-US"/>
        </w:rPr>
        <w:t>instead of K</w:t>
      </w:r>
      <w:r w:rsidRPr="00346E7B">
        <w:rPr>
          <w:rFonts w:cs="Arial"/>
          <w:vertAlign w:val="subscript"/>
          <w:lang w:val="en-US"/>
        </w:rPr>
        <w:t>M</w:t>
      </w:r>
      <w:r w:rsidRPr="00346E7B">
        <w:rPr>
          <w:rFonts w:eastAsiaTheme="minorEastAsia" w:cs="Arial"/>
          <w:lang w:val="en-US"/>
        </w:rPr>
        <w:t>. The value of K</w:t>
      </w:r>
      <w:r w:rsidRPr="00346E7B">
        <w:rPr>
          <w:rFonts w:eastAsiaTheme="minorEastAsia" w:cs="Arial"/>
          <w:vertAlign w:val="subscript"/>
          <w:lang w:val="en-US"/>
        </w:rPr>
        <w:t>i</w:t>
      </w:r>
      <w:r w:rsidRPr="00346E7B">
        <w:rPr>
          <w:rFonts w:eastAsiaTheme="minorEastAsia" w:cs="Arial"/>
          <w:lang w:val="en-US"/>
        </w:rPr>
        <w:t xml:space="preserve"> was determined differently depending on the type of inhibition observed. In </w:t>
      </w:r>
      <w:r>
        <w:rPr>
          <w:rFonts w:eastAsiaTheme="minorEastAsia" w:cs="Arial"/>
          <w:lang w:val="en-US"/>
        </w:rPr>
        <w:t xml:space="preserve">the </w:t>
      </w:r>
      <w:r w:rsidRPr="00346E7B">
        <w:rPr>
          <w:rFonts w:eastAsiaTheme="minorEastAsia" w:cs="Arial"/>
          <w:lang w:val="en-US"/>
        </w:rPr>
        <w:t>case of competitive inhibition,</w:t>
      </w:r>
      <w:r>
        <w:rPr>
          <w:rFonts w:eastAsiaTheme="minorEastAsia" w:cs="Arial"/>
          <w:lang w:val="en-US"/>
        </w:rPr>
        <w:t xml:space="preserve"> we used</w:t>
      </w:r>
      <w:r w:rsidRPr="00346E7B">
        <w:rPr>
          <w:rFonts w:eastAsiaTheme="minorEastAsia" w:cs="Arial"/>
          <w:lang w:val="en-US"/>
        </w:rPr>
        <w:t xml:space="preserve"> </w:t>
      </w:r>
      <m:oMath>
        <m:sSub>
          <m:sSubPr>
            <m:ctrlPr>
              <w:rPr>
                <w:rFonts w:ascii="Cambria Math" w:eastAsiaTheme="minorEastAsia" w:hAnsi="Cambria Math" w:cs="Arial"/>
                <w:i/>
                <w:lang w:val="en-US"/>
              </w:rPr>
            </m:ctrlPr>
          </m:sSubPr>
          <m:e>
            <m:r>
              <w:rPr>
                <w:rFonts w:ascii="Cambria Math" w:eastAsiaTheme="minorEastAsia" w:hAnsi="Cambria Math" w:cs="Arial"/>
                <w:lang w:val="en-US"/>
              </w:rPr>
              <m:t>K</m:t>
            </m:r>
          </m:e>
          <m:sub>
            <m:r>
              <w:rPr>
                <w:rFonts w:ascii="Cambria Math" w:eastAsiaTheme="minorEastAsia" w:hAnsi="Cambria Math" w:cs="Arial"/>
                <w:lang w:val="en-US"/>
              </w:rPr>
              <m:t>i</m:t>
            </m:r>
          </m:sub>
        </m:sSub>
        <m:r>
          <w:rPr>
            <w:rFonts w:ascii="Cambria Math" w:eastAsiaTheme="minorEastAsia" w:hAnsi="Cambria Math" w:cs="Arial"/>
            <w:lang w:val="en-US"/>
          </w:rPr>
          <m:t>=</m:t>
        </m:r>
        <m:f>
          <m:fPr>
            <m:ctrlPr>
              <w:rPr>
                <w:rFonts w:ascii="Cambria Math" w:eastAsiaTheme="minorEastAsia" w:hAnsi="Cambria Math" w:cs="Arial"/>
                <w:i/>
                <w:lang w:val="en-US"/>
              </w:rPr>
            </m:ctrlPr>
          </m:fPr>
          <m:num>
            <m:sSub>
              <m:sSubPr>
                <m:ctrlPr>
                  <w:rPr>
                    <w:rFonts w:ascii="Cambria Math" w:eastAsiaTheme="minorEastAsia" w:hAnsi="Cambria Math" w:cs="Arial"/>
                    <w:i/>
                    <w:lang w:val="en-US"/>
                  </w:rPr>
                </m:ctrlPr>
              </m:sSubPr>
              <m:e>
                <m:r>
                  <w:rPr>
                    <w:rFonts w:ascii="Cambria Math" w:eastAsiaTheme="minorEastAsia" w:hAnsi="Cambria Math" w:cs="Arial"/>
                    <w:lang w:val="en-US"/>
                  </w:rPr>
                  <m:t>K</m:t>
                </m:r>
              </m:e>
              <m:sub>
                <m:r>
                  <w:rPr>
                    <w:rFonts w:ascii="Cambria Math" w:eastAsiaTheme="minorEastAsia" w:hAnsi="Cambria Math" w:cs="Arial"/>
                    <w:lang w:val="en-US"/>
                  </w:rPr>
                  <m:t>m</m:t>
                </m:r>
              </m:sub>
            </m:sSub>
            <m:r>
              <w:rPr>
                <w:rFonts w:ascii="Cambria Math" w:eastAsiaTheme="minorEastAsia" w:hAnsi="Cambria Math" w:cs="Arial"/>
                <w:lang w:val="en-US"/>
              </w:rPr>
              <m:t>×</m:t>
            </m:r>
            <m:d>
              <m:dPr>
                <m:begChr m:val="["/>
                <m:endChr m:val="]"/>
                <m:ctrlPr>
                  <w:rPr>
                    <w:rFonts w:ascii="Cambria Math" w:eastAsiaTheme="minorEastAsia" w:hAnsi="Cambria Math" w:cs="Arial"/>
                    <w:i/>
                    <w:lang w:val="en-US"/>
                  </w:rPr>
                </m:ctrlPr>
              </m:dPr>
              <m:e>
                <m:r>
                  <w:rPr>
                    <w:rFonts w:ascii="Cambria Math" w:eastAsiaTheme="minorEastAsia" w:hAnsi="Cambria Math" w:cs="Arial"/>
                    <w:lang w:val="en-US"/>
                  </w:rPr>
                  <m:t>I</m:t>
                </m:r>
              </m:e>
            </m:d>
          </m:num>
          <m:den>
            <m:sSub>
              <m:sSubPr>
                <m:ctrlPr>
                  <w:rPr>
                    <w:rFonts w:ascii="Cambria Math" w:eastAsiaTheme="minorEastAsia" w:hAnsi="Cambria Math" w:cs="Arial"/>
                    <w:i/>
                    <w:lang w:val="en-US"/>
                  </w:rPr>
                </m:ctrlPr>
              </m:sSubPr>
              <m:e>
                <m:r>
                  <w:rPr>
                    <w:rFonts w:ascii="Cambria Math" w:eastAsiaTheme="minorEastAsia" w:hAnsi="Cambria Math" w:cs="Arial"/>
                    <w:lang w:val="en-US"/>
                  </w:rPr>
                  <m:t>K</m:t>
                </m:r>
              </m:e>
              <m:sub>
                <m:r>
                  <w:rPr>
                    <w:rFonts w:ascii="Cambria Math" w:eastAsiaTheme="minorEastAsia" w:hAnsi="Cambria Math" w:cs="Arial"/>
                    <w:lang w:val="en-US"/>
                  </w:rPr>
                  <m:t>mobs</m:t>
                </m:r>
              </m:sub>
            </m:sSub>
            <m:r>
              <w:rPr>
                <w:rFonts w:ascii="Cambria Math" w:eastAsiaTheme="minorEastAsia" w:hAnsi="Cambria Math" w:cs="Arial"/>
                <w:lang w:val="en-US"/>
              </w:rPr>
              <m:t>-</m:t>
            </m:r>
            <m:sSub>
              <m:sSubPr>
                <m:ctrlPr>
                  <w:rPr>
                    <w:rFonts w:ascii="Cambria Math" w:eastAsiaTheme="minorEastAsia" w:hAnsi="Cambria Math" w:cs="Arial"/>
                    <w:i/>
                    <w:lang w:val="en-US"/>
                  </w:rPr>
                </m:ctrlPr>
              </m:sSubPr>
              <m:e>
                <m:r>
                  <w:rPr>
                    <w:rFonts w:ascii="Cambria Math" w:eastAsiaTheme="minorEastAsia" w:hAnsi="Cambria Math" w:cs="Arial"/>
                    <w:lang w:val="en-US"/>
                  </w:rPr>
                  <m:t>K</m:t>
                </m:r>
              </m:e>
              <m:sub>
                <m:r>
                  <w:rPr>
                    <w:rFonts w:ascii="Cambria Math" w:eastAsiaTheme="minorEastAsia" w:hAnsi="Cambria Math" w:cs="Arial"/>
                    <w:lang w:val="en-US"/>
                  </w:rPr>
                  <m:t>m</m:t>
                </m:r>
              </m:sub>
            </m:sSub>
          </m:den>
        </m:f>
      </m:oMath>
      <w:r>
        <w:rPr>
          <w:rFonts w:eastAsiaTheme="minorEastAsia" w:cs="Arial"/>
          <w:lang w:val="en-US"/>
        </w:rPr>
        <w:t xml:space="preserve">, </w:t>
      </w:r>
      <w:r w:rsidRPr="00346E7B">
        <w:rPr>
          <w:rFonts w:eastAsiaTheme="minorEastAsia" w:cs="Arial"/>
          <w:lang w:val="en-US"/>
        </w:rPr>
        <w:t>whereas for non-competitive inhibition,</w:t>
      </w:r>
      <w:r>
        <w:rPr>
          <w:rFonts w:eastAsiaTheme="minorEastAsia" w:cs="Arial"/>
          <w:lang w:val="en-US"/>
        </w:rPr>
        <w:t xml:space="preserve"> we used</w:t>
      </w:r>
      <w:r w:rsidRPr="00346E7B">
        <w:rPr>
          <w:rFonts w:eastAsiaTheme="minorEastAsia" w:cs="Arial"/>
          <w:lang w:val="en-US"/>
        </w:rPr>
        <w:t xml:space="preserve"> </w:t>
      </w:r>
      <m:oMath>
        <m:sSub>
          <m:sSubPr>
            <m:ctrlPr>
              <w:rPr>
                <w:rFonts w:ascii="Cambria Math" w:eastAsiaTheme="minorEastAsia" w:hAnsi="Cambria Math" w:cs="Arial"/>
                <w:i/>
                <w:lang w:val="en-US"/>
              </w:rPr>
            </m:ctrlPr>
          </m:sSubPr>
          <m:e>
            <m:r>
              <w:rPr>
                <w:rFonts w:ascii="Cambria Math" w:eastAsiaTheme="minorEastAsia" w:hAnsi="Cambria Math" w:cs="Arial"/>
                <w:lang w:val="en-US"/>
              </w:rPr>
              <m:t>K</m:t>
            </m:r>
          </m:e>
          <m:sub>
            <m:r>
              <w:rPr>
                <w:rFonts w:ascii="Cambria Math" w:eastAsiaTheme="minorEastAsia" w:hAnsi="Cambria Math" w:cs="Arial"/>
                <w:lang w:val="en-US"/>
              </w:rPr>
              <m:t>i</m:t>
            </m:r>
          </m:sub>
        </m:sSub>
        <m:r>
          <w:rPr>
            <w:rFonts w:ascii="Cambria Math" w:eastAsiaTheme="minorEastAsia" w:hAnsi="Cambria Math" w:cs="Arial"/>
            <w:lang w:val="en-US"/>
          </w:rPr>
          <m:t>=</m:t>
        </m:r>
        <m:f>
          <m:fPr>
            <m:ctrlPr>
              <w:rPr>
                <w:rFonts w:ascii="Cambria Math" w:eastAsiaTheme="minorEastAsia" w:hAnsi="Cambria Math" w:cs="Arial"/>
                <w:i/>
                <w:lang w:val="en-US"/>
              </w:rPr>
            </m:ctrlPr>
          </m:fPr>
          <m:num>
            <m:d>
              <m:dPr>
                <m:begChr m:val="["/>
                <m:endChr m:val="]"/>
                <m:ctrlPr>
                  <w:rPr>
                    <w:rFonts w:ascii="Cambria Math" w:eastAsiaTheme="minorEastAsia" w:hAnsi="Cambria Math" w:cs="Arial"/>
                    <w:i/>
                    <w:lang w:val="en-US"/>
                  </w:rPr>
                </m:ctrlPr>
              </m:dPr>
              <m:e>
                <m:r>
                  <w:rPr>
                    <w:rFonts w:ascii="Cambria Math" w:eastAsiaTheme="minorEastAsia" w:hAnsi="Cambria Math" w:cs="Arial"/>
                    <w:lang w:val="en-US"/>
                  </w:rPr>
                  <m:t>I</m:t>
                </m:r>
              </m:e>
            </m:d>
          </m:num>
          <m:den>
            <m:d>
              <m:dPr>
                <m:ctrlPr>
                  <w:rPr>
                    <w:rFonts w:ascii="Cambria Math" w:eastAsiaTheme="minorEastAsia" w:hAnsi="Cambria Math" w:cs="Arial"/>
                    <w:i/>
                    <w:lang w:val="en-US"/>
                  </w:rPr>
                </m:ctrlPr>
              </m:dPr>
              <m:e>
                <m:f>
                  <m:fPr>
                    <m:type m:val="lin"/>
                    <m:ctrlPr>
                      <w:rPr>
                        <w:rFonts w:ascii="Cambria Math" w:eastAsiaTheme="minorEastAsia" w:hAnsi="Cambria Math" w:cs="Arial"/>
                        <w:i/>
                        <w:lang w:val="en-US"/>
                      </w:rPr>
                    </m:ctrlPr>
                  </m:fPr>
                  <m:num>
                    <m:sSub>
                      <m:sSubPr>
                        <m:ctrlPr>
                          <w:rPr>
                            <w:rFonts w:ascii="Cambria Math" w:eastAsiaTheme="minorEastAsia" w:hAnsi="Cambria Math" w:cs="Arial"/>
                            <w:i/>
                            <w:lang w:val="en-US"/>
                          </w:rPr>
                        </m:ctrlPr>
                      </m:sSubPr>
                      <m:e>
                        <m:r>
                          <w:rPr>
                            <w:rFonts w:ascii="Cambria Math" w:eastAsiaTheme="minorEastAsia" w:hAnsi="Cambria Math" w:cs="Arial"/>
                            <w:lang w:val="en-US"/>
                          </w:rPr>
                          <m:t>V</m:t>
                        </m:r>
                      </m:e>
                      <m:sub>
                        <m:r>
                          <w:rPr>
                            <w:rFonts w:ascii="Cambria Math" w:eastAsiaTheme="minorEastAsia" w:hAnsi="Cambria Math" w:cs="Arial"/>
                            <w:lang w:val="en-US"/>
                          </w:rPr>
                          <m:t>m</m:t>
                        </m:r>
                      </m:sub>
                    </m:sSub>
                  </m:num>
                  <m:den>
                    <m:sSub>
                      <m:sSubPr>
                        <m:ctrlPr>
                          <w:rPr>
                            <w:rFonts w:ascii="Cambria Math" w:eastAsiaTheme="minorEastAsia" w:hAnsi="Cambria Math" w:cs="Arial"/>
                            <w:i/>
                            <w:lang w:val="en-US"/>
                          </w:rPr>
                        </m:ctrlPr>
                      </m:sSubPr>
                      <m:e>
                        <m:r>
                          <w:rPr>
                            <w:rFonts w:ascii="Cambria Math" w:eastAsiaTheme="minorEastAsia" w:hAnsi="Cambria Math" w:cs="Arial"/>
                            <w:lang w:val="en-US"/>
                          </w:rPr>
                          <m:t>V</m:t>
                        </m:r>
                      </m:e>
                      <m:sub>
                        <m:r>
                          <w:rPr>
                            <w:rFonts w:ascii="Cambria Math" w:eastAsiaTheme="minorEastAsia" w:hAnsi="Cambria Math" w:cs="Arial"/>
                            <w:lang w:val="en-US"/>
                          </w:rPr>
                          <m:t>mobs</m:t>
                        </m:r>
                      </m:sub>
                    </m:sSub>
                  </m:den>
                </m:f>
              </m:e>
            </m:d>
            <m:r>
              <w:rPr>
                <w:rFonts w:ascii="Cambria Math" w:eastAsiaTheme="minorEastAsia" w:hAnsi="Cambria Math" w:cs="Arial"/>
                <w:lang w:val="en-US"/>
              </w:rPr>
              <m:t>-1</m:t>
            </m:r>
          </m:den>
        </m:f>
      </m:oMath>
      <w:r w:rsidRPr="00346E7B">
        <w:rPr>
          <w:rFonts w:eastAsiaTheme="minorEastAsia" w:cs="Arial"/>
          <w:lang w:val="en-US"/>
        </w:rPr>
        <w:t>.</w:t>
      </w:r>
      <w:r w:rsidRPr="00346E7B">
        <w:rPr>
          <w:rFonts w:eastAsia="Times New Roman" w:cs="Arial"/>
          <w:lang w:val="en-US" w:eastAsia="fr-FR"/>
        </w:rPr>
        <w:t xml:space="preserve"> For uncompetitive inhibition, K</w:t>
      </w:r>
      <w:r w:rsidRPr="00346E7B">
        <w:rPr>
          <w:rFonts w:eastAsia="Times New Roman" w:cs="Arial"/>
          <w:vertAlign w:val="subscript"/>
          <w:lang w:val="en-US" w:eastAsia="fr-FR"/>
        </w:rPr>
        <w:t>i</w:t>
      </w:r>
      <w:r w:rsidRPr="00346E7B">
        <w:rPr>
          <w:rFonts w:eastAsia="Times New Roman" w:cs="Arial"/>
          <w:lang w:val="en-US" w:eastAsia="fr-FR"/>
        </w:rPr>
        <w:t xml:space="preserve">’ was determined from the </w:t>
      </w:r>
      <w:r w:rsidRPr="00346E7B">
        <w:rPr>
          <w:rFonts w:eastAsia="Times New Roman" w:cs="Arial"/>
          <w:i/>
          <w:lang w:val="en-US" w:eastAsia="fr-FR"/>
        </w:rPr>
        <w:t>y</w:t>
      </w:r>
      <w:r w:rsidRPr="00346E7B">
        <w:rPr>
          <w:rFonts w:eastAsia="Times New Roman" w:cs="Arial"/>
          <w:lang w:val="en-US" w:eastAsia="fr-FR"/>
        </w:rPr>
        <w:t xml:space="preserve">-axis intercept of the Lineweaver-Burk plot, assuming that </w:t>
      </w:r>
      <m:oMath>
        <m:sSubSup>
          <m:sSubSupPr>
            <m:ctrlPr>
              <w:rPr>
                <w:rFonts w:ascii="Cambria Math" w:eastAsia="Times New Roman" w:hAnsi="Cambria Math" w:cs="Arial"/>
                <w:i/>
                <w:lang w:val="en-US" w:eastAsia="fr-FR"/>
              </w:rPr>
            </m:ctrlPr>
          </m:sSubSupPr>
          <m:e>
            <m:r>
              <w:rPr>
                <w:rFonts w:ascii="Cambria Math" w:eastAsia="Times New Roman" w:hAnsi="Cambria Math" w:cs="Arial"/>
                <w:lang w:val="en-US" w:eastAsia="fr-FR"/>
              </w:rPr>
              <m:t>K</m:t>
            </m:r>
          </m:e>
          <m:sub>
            <m:r>
              <w:rPr>
                <w:rFonts w:ascii="Cambria Math" w:eastAsia="Times New Roman" w:hAnsi="Cambria Math" w:cs="Arial"/>
                <w:lang w:val="en-US" w:eastAsia="fr-FR"/>
              </w:rPr>
              <m:t>i</m:t>
            </m:r>
          </m:sub>
          <m:sup>
            <m:r>
              <w:rPr>
                <w:rFonts w:ascii="Cambria Math" w:eastAsia="Times New Roman" w:hAnsi="Cambria Math" w:cs="Arial"/>
                <w:lang w:val="en-US" w:eastAsia="fr-FR"/>
              </w:rPr>
              <m:t>'</m:t>
            </m:r>
          </m:sup>
        </m:sSubSup>
        <m:r>
          <w:rPr>
            <w:rFonts w:ascii="Cambria Math" w:eastAsia="Times New Roman" w:hAnsi="Cambria Math" w:cs="Arial"/>
            <w:lang w:val="en-US" w:eastAsia="fr-FR"/>
          </w:rPr>
          <m:t>=</m:t>
        </m:r>
        <m:f>
          <m:fPr>
            <m:ctrlPr>
              <w:rPr>
                <w:rFonts w:ascii="Cambria Math" w:eastAsia="Times New Roman" w:hAnsi="Cambria Math" w:cs="Arial"/>
                <w:i/>
                <w:lang w:val="en-US" w:eastAsia="fr-FR"/>
              </w:rPr>
            </m:ctrlPr>
          </m:fPr>
          <m:num>
            <m:d>
              <m:dPr>
                <m:begChr m:val="["/>
                <m:endChr m:val="]"/>
                <m:ctrlPr>
                  <w:rPr>
                    <w:rFonts w:ascii="Cambria Math" w:eastAsia="Times New Roman" w:hAnsi="Cambria Math" w:cs="Arial"/>
                    <w:i/>
                    <w:lang w:val="en-US" w:eastAsia="fr-FR"/>
                  </w:rPr>
                </m:ctrlPr>
              </m:dPr>
              <m:e>
                <m:r>
                  <w:rPr>
                    <w:rFonts w:ascii="Cambria Math" w:eastAsia="Times New Roman" w:hAnsi="Cambria Math" w:cs="Arial"/>
                    <w:lang w:val="en-US" w:eastAsia="fr-FR"/>
                  </w:rPr>
                  <m:t>I</m:t>
                </m:r>
              </m:e>
            </m:d>
          </m:num>
          <m:den>
            <m:d>
              <m:dPr>
                <m:ctrlPr>
                  <w:rPr>
                    <w:rFonts w:ascii="Cambria Math" w:eastAsia="Times New Roman" w:hAnsi="Cambria Math" w:cs="Arial"/>
                    <w:i/>
                    <w:lang w:val="en-US" w:eastAsia="fr-FR"/>
                  </w:rPr>
                </m:ctrlPr>
              </m:dPr>
              <m:e>
                <m:sSub>
                  <m:sSubPr>
                    <m:ctrlPr>
                      <w:rPr>
                        <w:rFonts w:ascii="Cambria Math" w:eastAsia="Times New Roman" w:hAnsi="Cambria Math" w:cs="Arial"/>
                        <w:i/>
                        <w:lang w:val="en-US" w:eastAsia="fr-FR"/>
                      </w:rPr>
                    </m:ctrlPr>
                  </m:sSubPr>
                  <m:e>
                    <m:r>
                      <w:rPr>
                        <w:rFonts w:ascii="Cambria Math" w:eastAsia="Times New Roman" w:hAnsi="Cambria Math" w:cs="Arial"/>
                        <w:lang w:val="en-US" w:eastAsia="fr-FR"/>
                      </w:rPr>
                      <m:t>y</m:t>
                    </m:r>
                  </m:e>
                  <m:sub>
                    <m:r>
                      <w:rPr>
                        <w:rFonts w:ascii="Cambria Math" w:eastAsia="Times New Roman" w:hAnsi="Cambria Math" w:cs="Arial"/>
                        <w:lang w:val="en-US" w:eastAsia="fr-FR"/>
                      </w:rPr>
                      <m:t>intercept</m:t>
                    </m:r>
                  </m:sub>
                </m:sSub>
                <m:r>
                  <w:rPr>
                    <w:rFonts w:ascii="Cambria Math" w:eastAsia="Times New Roman" w:hAnsi="Cambria Math" w:cs="Arial"/>
                    <w:lang w:val="en-US" w:eastAsia="fr-FR"/>
                  </w:rPr>
                  <m:t>×</m:t>
                </m:r>
                <m:sSub>
                  <m:sSubPr>
                    <m:ctrlPr>
                      <w:rPr>
                        <w:rFonts w:ascii="Cambria Math" w:eastAsia="Times New Roman" w:hAnsi="Cambria Math" w:cs="Arial"/>
                        <w:i/>
                        <w:lang w:val="en-US" w:eastAsia="fr-FR"/>
                      </w:rPr>
                    </m:ctrlPr>
                  </m:sSubPr>
                  <m:e>
                    <m:r>
                      <w:rPr>
                        <w:rFonts w:ascii="Cambria Math" w:eastAsia="Times New Roman" w:hAnsi="Cambria Math" w:cs="Arial"/>
                        <w:lang w:val="en-US" w:eastAsia="fr-FR"/>
                      </w:rPr>
                      <m:t>V</m:t>
                    </m:r>
                  </m:e>
                  <m:sub>
                    <m:r>
                      <w:rPr>
                        <w:rFonts w:ascii="Cambria Math" w:eastAsia="Times New Roman" w:hAnsi="Cambria Math" w:cs="Arial"/>
                        <w:lang w:val="en-US" w:eastAsia="fr-FR"/>
                      </w:rPr>
                      <m:t>max</m:t>
                    </m:r>
                  </m:sub>
                </m:sSub>
              </m:e>
            </m:d>
            <m:r>
              <w:rPr>
                <w:rFonts w:ascii="Cambria Math" w:eastAsia="Times New Roman" w:hAnsi="Cambria Math" w:cs="Arial"/>
                <w:lang w:val="en-US" w:eastAsia="fr-FR"/>
              </w:rPr>
              <m:t>-1</m:t>
            </m:r>
          </m:den>
        </m:f>
      </m:oMath>
      <w:r w:rsidRPr="00346E7B">
        <w:rPr>
          <w:rFonts w:eastAsia="Times New Roman" w:cs="Arial"/>
          <w:lang w:val="en-US" w:eastAsia="fr-FR"/>
        </w:rPr>
        <w:t xml:space="preserve">. In all the cases, </w:t>
      </w:r>
      <m:oMath>
        <m:d>
          <m:dPr>
            <m:begChr m:val="["/>
            <m:endChr m:val="]"/>
            <m:ctrlPr>
              <w:rPr>
                <w:rFonts w:ascii="Cambria Math" w:eastAsia="Times New Roman" w:hAnsi="Cambria Math" w:cs="Arial"/>
                <w:i/>
                <w:lang w:val="en-US" w:eastAsia="fr-FR"/>
              </w:rPr>
            </m:ctrlPr>
          </m:dPr>
          <m:e>
            <m:r>
              <w:rPr>
                <w:rFonts w:ascii="Cambria Math" w:eastAsia="Times New Roman" w:hAnsi="Cambria Math" w:cs="Arial"/>
                <w:lang w:val="en-US" w:eastAsia="fr-FR"/>
              </w:rPr>
              <m:t>I</m:t>
            </m:r>
          </m:e>
        </m:d>
        <m:r>
          <w:rPr>
            <w:rFonts w:ascii="Cambria Math" w:eastAsia="Times New Roman" w:hAnsi="Cambria Math" w:cs="Arial"/>
            <w:lang w:val="en-US" w:eastAsia="fr-FR"/>
          </w:rPr>
          <m:t>=1mM.</m:t>
        </m:r>
      </m:oMath>
    </w:p>
    <w:p w14:paraId="607E02E8" w14:textId="77777777" w:rsidR="00FA724C" w:rsidRDefault="00FA724C" w:rsidP="003C2033">
      <w:pPr>
        <w:jc w:val="both"/>
      </w:pPr>
    </w:p>
    <w:sectPr w:rsidR="00FA724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Helvetica Neue">
    <w:altName w:val="Malgun Gothic"/>
    <w:charset w:val="00"/>
    <w:family w:val="auto"/>
    <w:pitch w:val="variable"/>
    <w:sig w:usb0="00000003" w:usb1="500079DB" w:usb2="00000010" w:usb3="00000000" w:csb0="00000001" w:csb1="00000000"/>
  </w:font>
  <w:font w:name="Courier New">
    <w:panose1 w:val="02070309020205020404"/>
    <w:charset w:val="00"/>
    <w:family w:val="modern"/>
    <w:pitch w:val="fixed"/>
    <w:sig w:usb0="E0002AFF" w:usb1="C0007843" w:usb2="00000009" w:usb3="00000000" w:csb0="000001FF" w:csb1="00000000"/>
  </w:font>
  <w:font w:name="TT15Bt00">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TT159t00">
    <w:altName w:val="MS Mincho"/>
    <w:panose1 w:val="00000000000000000000"/>
    <w:charset w:val="80"/>
    <w:family w:val="auto"/>
    <w:notTrueType/>
    <w:pitch w:val="default"/>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0D4"/>
    <w:rsid w:val="0001356C"/>
    <w:rsid w:val="00016399"/>
    <w:rsid w:val="00021256"/>
    <w:rsid w:val="00023F2D"/>
    <w:rsid w:val="00025098"/>
    <w:rsid w:val="00031411"/>
    <w:rsid w:val="0003352D"/>
    <w:rsid w:val="00045172"/>
    <w:rsid w:val="00050A10"/>
    <w:rsid w:val="0005443B"/>
    <w:rsid w:val="0005503E"/>
    <w:rsid w:val="00057C89"/>
    <w:rsid w:val="00060336"/>
    <w:rsid w:val="000627C1"/>
    <w:rsid w:val="00065F47"/>
    <w:rsid w:val="00066387"/>
    <w:rsid w:val="00066CD3"/>
    <w:rsid w:val="00067C83"/>
    <w:rsid w:val="000725C6"/>
    <w:rsid w:val="00076968"/>
    <w:rsid w:val="00076C6E"/>
    <w:rsid w:val="00077FFE"/>
    <w:rsid w:val="00081AFF"/>
    <w:rsid w:val="00082A3E"/>
    <w:rsid w:val="00084670"/>
    <w:rsid w:val="00085C9B"/>
    <w:rsid w:val="00091A7D"/>
    <w:rsid w:val="00092D11"/>
    <w:rsid w:val="000A03E0"/>
    <w:rsid w:val="000A6C4E"/>
    <w:rsid w:val="000B417A"/>
    <w:rsid w:val="000B6545"/>
    <w:rsid w:val="000B6A30"/>
    <w:rsid w:val="000C1FB4"/>
    <w:rsid w:val="000C6E03"/>
    <w:rsid w:val="000D0C46"/>
    <w:rsid w:val="000D3C0A"/>
    <w:rsid w:val="000D6A3E"/>
    <w:rsid w:val="000D7C62"/>
    <w:rsid w:val="000E176A"/>
    <w:rsid w:val="000E3C73"/>
    <w:rsid w:val="000E462F"/>
    <w:rsid w:val="000E7423"/>
    <w:rsid w:val="000E7B69"/>
    <w:rsid w:val="000F194F"/>
    <w:rsid w:val="000F4E43"/>
    <w:rsid w:val="000F4FC7"/>
    <w:rsid w:val="000F6793"/>
    <w:rsid w:val="000F68D7"/>
    <w:rsid w:val="000F699E"/>
    <w:rsid w:val="00100655"/>
    <w:rsid w:val="001015D0"/>
    <w:rsid w:val="00107A0D"/>
    <w:rsid w:val="001220D5"/>
    <w:rsid w:val="00123DC4"/>
    <w:rsid w:val="00127A72"/>
    <w:rsid w:val="001307D6"/>
    <w:rsid w:val="00140CF6"/>
    <w:rsid w:val="00141B0D"/>
    <w:rsid w:val="00146680"/>
    <w:rsid w:val="001475F9"/>
    <w:rsid w:val="001521C5"/>
    <w:rsid w:val="00155D26"/>
    <w:rsid w:val="001566DF"/>
    <w:rsid w:val="001679AC"/>
    <w:rsid w:val="00167E6B"/>
    <w:rsid w:val="00170EC7"/>
    <w:rsid w:val="00176595"/>
    <w:rsid w:val="001779E4"/>
    <w:rsid w:val="00177A5D"/>
    <w:rsid w:val="001824E8"/>
    <w:rsid w:val="001865DB"/>
    <w:rsid w:val="00187081"/>
    <w:rsid w:val="00193BD2"/>
    <w:rsid w:val="001977AA"/>
    <w:rsid w:val="001A0E46"/>
    <w:rsid w:val="001A495E"/>
    <w:rsid w:val="001B0F0D"/>
    <w:rsid w:val="001B384C"/>
    <w:rsid w:val="001B455B"/>
    <w:rsid w:val="001C1286"/>
    <w:rsid w:val="001C14C6"/>
    <w:rsid w:val="001C6D17"/>
    <w:rsid w:val="001C7AB1"/>
    <w:rsid w:val="001D0931"/>
    <w:rsid w:val="001D2030"/>
    <w:rsid w:val="001D219C"/>
    <w:rsid w:val="001D417D"/>
    <w:rsid w:val="001D5D1C"/>
    <w:rsid w:val="001D6471"/>
    <w:rsid w:val="001E30E8"/>
    <w:rsid w:val="001E7A54"/>
    <w:rsid w:val="001F1F97"/>
    <w:rsid w:val="001F63EC"/>
    <w:rsid w:val="002066FC"/>
    <w:rsid w:val="00210867"/>
    <w:rsid w:val="00214191"/>
    <w:rsid w:val="00217F8B"/>
    <w:rsid w:val="00223DD4"/>
    <w:rsid w:val="002303DB"/>
    <w:rsid w:val="00235288"/>
    <w:rsid w:val="00236365"/>
    <w:rsid w:val="00236D5D"/>
    <w:rsid w:val="0024083A"/>
    <w:rsid w:val="00241C1B"/>
    <w:rsid w:val="0024478C"/>
    <w:rsid w:val="00245C54"/>
    <w:rsid w:val="00246C10"/>
    <w:rsid w:val="00247620"/>
    <w:rsid w:val="0025303B"/>
    <w:rsid w:val="00260913"/>
    <w:rsid w:val="00266092"/>
    <w:rsid w:val="002738AD"/>
    <w:rsid w:val="00276BD0"/>
    <w:rsid w:val="002772E0"/>
    <w:rsid w:val="0027791A"/>
    <w:rsid w:val="002848B8"/>
    <w:rsid w:val="00284F41"/>
    <w:rsid w:val="00285FE6"/>
    <w:rsid w:val="00296235"/>
    <w:rsid w:val="00296FB8"/>
    <w:rsid w:val="00297C85"/>
    <w:rsid w:val="002A1665"/>
    <w:rsid w:val="002B43D7"/>
    <w:rsid w:val="002B5AD3"/>
    <w:rsid w:val="002B78C3"/>
    <w:rsid w:val="002C185C"/>
    <w:rsid w:val="002C5196"/>
    <w:rsid w:val="002D0A81"/>
    <w:rsid w:val="002D4339"/>
    <w:rsid w:val="002D5EDE"/>
    <w:rsid w:val="002E1974"/>
    <w:rsid w:val="002E260D"/>
    <w:rsid w:val="002E4342"/>
    <w:rsid w:val="002E7CA9"/>
    <w:rsid w:val="002F0A15"/>
    <w:rsid w:val="002F4603"/>
    <w:rsid w:val="002F7CD4"/>
    <w:rsid w:val="0030037E"/>
    <w:rsid w:val="00301854"/>
    <w:rsid w:val="00303897"/>
    <w:rsid w:val="00313360"/>
    <w:rsid w:val="00317ADD"/>
    <w:rsid w:val="00324538"/>
    <w:rsid w:val="003248B5"/>
    <w:rsid w:val="00334B43"/>
    <w:rsid w:val="003359F7"/>
    <w:rsid w:val="0034463A"/>
    <w:rsid w:val="00344996"/>
    <w:rsid w:val="00345C3F"/>
    <w:rsid w:val="00346E7B"/>
    <w:rsid w:val="00366FD1"/>
    <w:rsid w:val="00367611"/>
    <w:rsid w:val="00371535"/>
    <w:rsid w:val="0037186B"/>
    <w:rsid w:val="003725DB"/>
    <w:rsid w:val="00373BD8"/>
    <w:rsid w:val="00374BF4"/>
    <w:rsid w:val="00374EB6"/>
    <w:rsid w:val="00376394"/>
    <w:rsid w:val="00377C1B"/>
    <w:rsid w:val="00382779"/>
    <w:rsid w:val="003829CA"/>
    <w:rsid w:val="00382DF7"/>
    <w:rsid w:val="00383150"/>
    <w:rsid w:val="00384265"/>
    <w:rsid w:val="003915CC"/>
    <w:rsid w:val="003A68AC"/>
    <w:rsid w:val="003B0623"/>
    <w:rsid w:val="003B192E"/>
    <w:rsid w:val="003B7043"/>
    <w:rsid w:val="003C2033"/>
    <w:rsid w:val="003C3CB6"/>
    <w:rsid w:val="003E0DC7"/>
    <w:rsid w:val="003E23BC"/>
    <w:rsid w:val="003E2DBC"/>
    <w:rsid w:val="003F0DFD"/>
    <w:rsid w:val="003F3313"/>
    <w:rsid w:val="00401331"/>
    <w:rsid w:val="004156C5"/>
    <w:rsid w:val="0042002B"/>
    <w:rsid w:val="0042159B"/>
    <w:rsid w:val="00423B86"/>
    <w:rsid w:val="0042655F"/>
    <w:rsid w:val="00426C2E"/>
    <w:rsid w:val="004322CF"/>
    <w:rsid w:val="00433393"/>
    <w:rsid w:val="0043569A"/>
    <w:rsid w:val="004375F3"/>
    <w:rsid w:val="00445E62"/>
    <w:rsid w:val="00446C5F"/>
    <w:rsid w:val="00447482"/>
    <w:rsid w:val="00447A66"/>
    <w:rsid w:val="004527A9"/>
    <w:rsid w:val="00452965"/>
    <w:rsid w:val="00453388"/>
    <w:rsid w:val="00453524"/>
    <w:rsid w:val="004537E1"/>
    <w:rsid w:val="0045404D"/>
    <w:rsid w:val="00456C32"/>
    <w:rsid w:val="004573F2"/>
    <w:rsid w:val="00463376"/>
    <w:rsid w:val="00467FF9"/>
    <w:rsid w:val="00471368"/>
    <w:rsid w:val="00473247"/>
    <w:rsid w:val="004750EE"/>
    <w:rsid w:val="00475855"/>
    <w:rsid w:val="00477AB4"/>
    <w:rsid w:val="004871E2"/>
    <w:rsid w:val="0049040C"/>
    <w:rsid w:val="00496E2B"/>
    <w:rsid w:val="00497AFE"/>
    <w:rsid w:val="004A100E"/>
    <w:rsid w:val="004A4CB0"/>
    <w:rsid w:val="004A743A"/>
    <w:rsid w:val="004B1620"/>
    <w:rsid w:val="004B6117"/>
    <w:rsid w:val="004B65A3"/>
    <w:rsid w:val="004B6CFE"/>
    <w:rsid w:val="004C2866"/>
    <w:rsid w:val="004C614F"/>
    <w:rsid w:val="004D09AC"/>
    <w:rsid w:val="004D15A0"/>
    <w:rsid w:val="004D1784"/>
    <w:rsid w:val="004D4249"/>
    <w:rsid w:val="004E7878"/>
    <w:rsid w:val="004F24C5"/>
    <w:rsid w:val="004F5862"/>
    <w:rsid w:val="00501E8D"/>
    <w:rsid w:val="005028C4"/>
    <w:rsid w:val="005048C1"/>
    <w:rsid w:val="00505757"/>
    <w:rsid w:val="005120D7"/>
    <w:rsid w:val="00517D4B"/>
    <w:rsid w:val="00525653"/>
    <w:rsid w:val="00532933"/>
    <w:rsid w:val="00536B49"/>
    <w:rsid w:val="00537E83"/>
    <w:rsid w:val="00546629"/>
    <w:rsid w:val="00546E03"/>
    <w:rsid w:val="0054764D"/>
    <w:rsid w:val="005530E3"/>
    <w:rsid w:val="0055372B"/>
    <w:rsid w:val="00554631"/>
    <w:rsid w:val="00561588"/>
    <w:rsid w:val="00563485"/>
    <w:rsid w:val="00564CDC"/>
    <w:rsid w:val="0056587A"/>
    <w:rsid w:val="00566469"/>
    <w:rsid w:val="00573B69"/>
    <w:rsid w:val="00575910"/>
    <w:rsid w:val="00583250"/>
    <w:rsid w:val="005857A8"/>
    <w:rsid w:val="00593741"/>
    <w:rsid w:val="00596F89"/>
    <w:rsid w:val="005B41B3"/>
    <w:rsid w:val="005B5832"/>
    <w:rsid w:val="005C6680"/>
    <w:rsid w:val="005D68E0"/>
    <w:rsid w:val="005E697B"/>
    <w:rsid w:val="005E7831"/>
    <w:rsid w:val="005F3E65"/>
    <w:rsid w:val="005F431C"/>
    <w:rsid w:val="005F7C04"/>
    <w:rsid w:val="00604EF1"/>
    <w:rsid w:val="00610107"/>
    <w:rsid w:val="00611D83"/>
    <w:rsid w:val="00613314"/>
    <w:rsid w:val="00614205"/>
    <w:rsid w:val="00617E52"/>
    <w:rsid w:val="00623A5C"/>
    <w:rsid w:val="00625738"/>
    <w:rsid w:val="00626B2F"/>
    <w:rsid w:val="00630172"/>
    <w:rsid w:val="00633181"/>
    <w:rsid w:val="0063434F"/>
    <w:rsid w:val="006408C7"/>
    <w:rsid w:val="006470CE"/>
    <w:rsid w:val="006538C8"/>
    <w:rsid w:val="00653F57"/>
    <w:rsid w:val="00654569"/>
    <w:rsid w:val="00660B00"/>
    <w:rsid w:val="006621C5"/>
    <w:rsid w:val="0066265D"/>
    <w:rsid w:val="00662AA5"/>
    <w:rsid w:val="006635EC"/>
    <w:rsid w:val="006659B7"/>
    <w:rsid w:val="00666DEC"/>
    <w:rsid w:val="00670F72"/>
    <w:rsid w:val="0067470E"/>
    <w:rsid w:val="00675FE9"/>
    <w:rsid w:val="0067666D"/>
    <w:rsid w:val="00683F67"/>
    <w:rsid w:val="00692B8B"/>
    <w:rsid w:val="00693A8C"/>
    <w:rsid w:val="006942C2"/>
    <w:rsid w:val="006956E7"/>
    <w:rsid w:val="00696EA9"/>
    <w:rsid w:val="006A607A"/>
    <w:rsid w:val="006A69A2"/>
    <w:rsid w:val="006B611A"/>
    <w:rsid w:val="006B7042"/>
    <w:rsid w:val="006C31FB"/>
    <w:rsid w:val="006C639D"/>
    <w:rsid w:val="006C7358"/>
    <w:rsid w:val="006D3AF3"/>
    <w:rsid w:val="006D5C82"/>
    <w:rsid w:val="006D6A29"/>
    <w:rsid w:val="006E63E3"/>
    <w:rsid w:val="006E75FB"/>
    <w:rsid w:val="006E7ADD"/>
    <w:rsid w:val="006F2424"/>
    <w:rsid w:val="006F2B36"/>
    <w:rsid w:val="006F52C2"/>
    <w:rsid w:val="006F5DF8"/>
    <w:rsid w:val="006F7EA5"/>
    <w:rsid w:val="00702DCD"/>
    <w:rsid w:val="00703D25"/>
    <w:rsid w:val="00710028"/>
    <w:rsid w:val="00711BB8"/>
    <w:rsid w:val="00713A64"/>
    <w:rsid w:val="007200C5"/>
    <w:rsid w:val="0072138F"/>
    <w:rsid w:val="00726E32"/>
    <w:rsid w:val="007301CA"/>
    <w:rsid w:val="007324B2"/>
    <w:rsid w:val="0073503C"/>
    <w:rsid w:val="00737FEC"/>
    <w:rsid w:val="007410F6"/>
    <w:rsid w:val="0074142C"/>
    <w:rsid w:val="0074145B"/>
    <w:rsid w:val="00743B7E"/>
    <w:rsid w:val="007454D0"/>
    <w:rsid w:val="00750588"/>
    <w:rsid w:val="00755D3A"/>
    <w:rsid w:val="00756334"/>
    <w:rsid w:val="00757232"/>
    <w:rsid w:val="007575AE"/>
    <w:rsid w:val="007665A1"/>
    <w:rsid w:val="00767760"/>
    <w:rsid w:val="007732E3"/>
    <w:rsid w:val="00785029"/>
    <w:rsid w:val="007935AA"/>
    <w:rsid w:val="00795FAA"/>
    <w:rsid w:val="00796174"/>
    <w:rsid w:val="007A0BA3"/>
    <w:rsid w:val="007A7033"/>
    <w:rsid w:val="007B1150"/>
    <w:rsid w:val="007B52C4"/>
    <w:rsid w:val="007B7124"/>
    <w:rsid w:val="007D1593"/>
    <w:rsid w:val="007D4719"/>
    <w:rsid w:val="007D598D"/>
    <w:rsid w:val="007E17F4"/>
    <w:rsid w:val="007E3D13"/>
    <w:rsid w:val="007F0694"/>
    <w:rsid w:val="007F3211"/>
    <w:rsid w:val="007F48DD"/>
    <w:rsid w:val="008006CA"/>
    <w:rsid w:val="00801354"/>
    <w:rsid w:val="00804A72"/>
    <w:rsid w:val="008054F5"/>
    <w:rsid w:val="00805837"/>
    <w:rsid w:val="00807F43"/>
    <w:rsid w:val="00810C2F"/>
    <w:rsid w:val="00811759"/>
    <w:rsid w:val="00814989"/>
    <w:rsid w:val="00815822"/>
    <w:rsid w:val="00820ADD"/>
    <w:rsid w:val="0082620C"/>
    <w:rsid w:val="00831711"/>
    <w:rsid w:val="00836FB0"/>
    <w:rsid w:val="0084059C"/>
    <w:rsid w:val="00840FBE"/>
    <w:rsid w:val="00841E9A"/>
    <w:rsid w:val="00843E83"/>
    <w:rsid w:val="00844228"/>
    <w:rsid w:val="0085170F"/>
    <w:rsid w:val="00853522"/>
    <w:rsid w:val="008537F1"/>
    <w:rsid w:val="00854563"/>
    <w:rsid w:val="00854827"/>
    <w:rsid w:val="00854E5D"/>
    <w:rsid w:val="00856C68"/>
    <w:rsid w:val="00857188"/>
    <w:rsid w:val="0085743B"/>
    <w:rsid w:val="008613BF"/>
    <w:rsid w:val="008620A5"/>
    <w:rsid w:val="0086497C"/>
    <w:rsid w:val="008702B5"/>
    <w:rsid w:val="008733B9"/>
    <w:rsid w:val="00881214"/>
    <w:rsid w:val="00883362"/>
    <w:rsid w:val="00883F0B"/>
    <w:rsid w:val="00886A91"/>
    <w:rsid w:val="00887007"/>
    <w:rsid w:val="00891AA1"/>
    <w:rsid w:val="00893C2D"/>
    <w:rsid w:val="0089577E"/>
    <w:rsid w:val="008A3C9C"/>
    <w:rsid w:val="008A608D"/>
    <w:rsid w:val="008A6DDC"/>
    <w:rsid w:val="008B0030"/>
    <w:rsid w:val="008B3890"/>
    <w:rsid w:val="008B510D"/>
    <w:rsid w:val="008C4B66"/>
    <w:rsid w:val="008C5072"/>
    <w:rsid w:val="008C5FE0"/>
    <w:rsid w:val="008C773D"/>
    <w:rsid w:val="008D3DDA"/>
    <w:rsid w:val="008D42DF"/>
    <w:rsid w:val="008D43FE"/>
    <w:rsid w:val="008D7A1F"/>
    <w:rsid w:val="008E0696"/>
    <w:rsid w:val="008E08DD"/>
    <w:rsid w:val="008E364D"/>
    <w:rsid w:val="008E4673"/>
    <w:rsid w:val="008F413A"/>
    <w:rsid w:val="00900B1F"/>
    <w:rsid w:val="00901F38"/>
    <w:rsid w:val="00911067"/>
    <w:rsid w:val="0092456B"/>
    <w:rsid w:val="009249B0"/>
    <w:rsid w:val="00930062"/>
    <w:rsid w:val="00930606"/>
    <w:rsid w:val="00933578"/>
    <w:rsid w:val="00934A15"/>
    <w:rsid w:val="00934B84"/>
    <w:rsid w:val="00935018"/>
    <w:rsid w:val="009354A8"/>
    <w:rsid w:val="0094044D"/>
    <w:rsid w:val="009415AA"/>
    <w:rsid w:val="009419B4"/>
    <w:rsid w:val="00942170"/>
    <w:rsid w:val="009641FA"/>
    <w:rsid w:val="00964507"/>
    <w:rsid w:val="00965306"/>
    <w:rsid w:val="009723E1"/>
    <w:rsid w:val="009741B5"/>
    <w:rsid w:val="009744B5"/>
    <w:rsid w:val="00977B10"/>
    <w:rsid w:val="00982D4F"/>
    <w:rsid w:val="00983EAD"/>
    <w:rsid w:val="009848EB"/>
    <w:rsid w:val="00985538"/>
    <w:rsid w:val="009864CD"/>
    <w:rsid w:val="00993F96"/>
    <w:rsid w:val="00995FFE"/>
    <w:rsid w:val="009A5825"/>
    <w:rsid w:val="009B067E"/>
    <w:rsid w:val="009B189A"/>
    <w:rsid w:val="009B292C"/>
    <w:rsid w:val="009B37A3"/>
    <w:rsid w:val="009B3CE9"/>
    <w:rsid w:val="009B61F0"/>
    <w:rsid w:val="009C162D"/>
    <w:rsid w:val="009C3B7A"/>
    <w:rsid w:val="009C54FC"/>
    <w:rsid w:val="009D04B6"/>
    <w:rsid w:val="009D44A5"/>
    <w:rsid w:val="009D4A0D"/>
    <w:rsid w:val="009E0421"/>
    <w:rsid w:val="009E05BD"/>
    <w:rsid w:val="009E392A"/>
    <w:rsid w:val="009E46A6"/>
    <w:rsid w:val="009F7465"/>
    <w:rsid w:val="00A01077"/>
    <w:rsid w:val="00A024AC"/>
    <w:rsid w:val="00A071C3"/>
    <w:rsid w:val="00A1016E"/>
    <w:rsid w:val="00A14EB0"/>
    <w:rsid w:val="00A15B6A"/>
    <w:rsid w:val="00A17F71"/>
    <w:rsid w:val="00A21861"/>
    <w:rsid w:val="00A27606"/>
    <w:rsid w:val="00A333C1"/>
    <w:rsid w:val="00A34731"/>
    <w:rsid w:val="00A41C85"/>
    <w:rsid w:val="00A423C5"/>
    <w:rsid w:val="00A466E9"/>
    <w:rsid w:val="00A472F2"/>
    <w:rsid w:val="00A50E57"/>
    <w:rsid w:val="00A54962"/>
    <w:rsid w:val="00A608A5"/>
    <w:rsid w:val="00A62674"/>
    <w:rsid w:val="00A65971"/>
    <w:rsid w:val="00A67BE0"/>
    <w:rsid w:val="00A67D2B"/>
    <w:rsid w:val="00A71F96"/>
    <w:rsid w:val="00A72AD1"/>
    <w:rsid w:val="00A754C9"/>
    <w:rsid w:val="00A76EED"/>
    <w:rsid w:val="00A77A71"/>
    <w:rsid w:val="00A80188"/>
    <w:rsid w:val="00A96204"/>
    <w:rsid w:val="00A97522"/>
    <w:rsid w:val="00AA6C4C"/>
    <w:rsid w:val="00AB1B3E"/>
    <w:rsid w:val="00AB2200"/>
    <w:rsid w:val="00AB48DA"/>
    <w:rsid w:val="00AB56E7"/>
    <w:rsid w:val="00AB6E30"/>
    <w:rsid w:val="00AC04B9"/>
    <w:rsid w:val="00AC0D2C"/>
    <w:rsid w:val="00AE29B0"/>
    <w:rsid w:val="00AF0DAA"/>
    <w:rsid w:val="00AF0EEE"/>
    <w:rsid w:val="00AF32C4"/>
    <w:rsid w:val="00AF5A63"/>
    <w:rsid w:val="00B0481F"/>
    <w:rsid w:val="00B13B98"/>
    <w:rsid w:val="00B13E19"/>
    <w:rsid w:val="00B13E80"/>
    <w:rsid w:val="00B14BDD"/>
    <w:rsid w:val="00B17863"/>
    <w:rsid w:val="00B21521"/>
    <w:rsid w:val="00B23662"/>
    <w:rsid w:val="00B23954"/>
    <w:rsid w:val="00B240A7"/>
    <w:rsid w:val="00B242F6"/>
    <w:rsid w:val="00B314B1"/>
    <w:rsid w:val="00B34AF4"/>
    <w:rsid w:val="00B36755"/>
    <w:rsid w:val="00B41FEA"/>
    <w:rsid w:val="00B4229B"/>
    <w:rsid w:val="00B42D66"/>
    <w:rsid w:val="00B43F2C"/>
    <w:rsid w:val="00B45447"/>
    <w:rsid w:val="00B50EC3"/>
    <w:rsid w:val="00B51F04"/>
    <w:rsid w:val="00B52226"/>
    <w:rsid w:val="00B545EE"/>
    <w:rsid w:val="00B6056B"/>
    <w:rsid w:val="00B641C2"/>
    <w:rsid w:val="00B653EA"/>
    <w:rsid w:val="00B66A2A"/>
    <w:rsid w:val="00B675A1"/>
    <w:rsid w:val="00B67C5C"/>
    <w:rsid w:val="00B72482"/>
    <w:rsid w:val="00B7510B"/>
    <w:rsid w:val="00B752CB"/>
    <w:rsid w:val="00B76046"/>
    <w:rsid w:val="00B7635E"/>
    <w:rsid w:val="00B80594"/>
    <w:rsid w:val="00B839AB"/>
    <w:rsid w:val="00B852AD"/>
    <w:rsid w:val="00B906A9"/>
    <w:rsid w:val="00B90C7C"/>
    <w:rsid w:val="00BA2DF8"/>
    <w:rsid w:val="00BA76BC"/>
    <w:rsid w:val="00BB08B8"/>
    <w:rsid w:val="00BB0BC4"/>
    <w:rsid w:val="00BB67D1"/>
    <w:rsid w:val="00BC1A09"/>
    <w:rsid w:val="00BC31E3"/>
    <w:rsid w:val="00BC6290"/>
    <w:rsid w:val="00BC74B4"/>
    <w:rsid w:val="00BC772A"/>
    <w:rsid w:val="00BD0105"/>
    <w:rsid w:val="00BF1F43"/>
    <w:rsid w:val="00BF562B"/>
    <w:rsid w:val="00BF640A"/>
    <w:rsid w:val="00C0011B"/>
    <w:rsid w:val="00C014DF"/>
    <w:rsid w:val="00C076B0"/>
    <w:rsid w:val="00C13FA9"/>
    <w:rsid w:val="00C140AE"/>
    <w:rsid w:val="00C1604F"/>
    <w:rsid w:val="00C21A69"/>
    <w:rsid w:val="00C276D6"/>
    <w:rsid w:val="00C33F65"/>
    <w:rsid w:val="00C355CA"/>
    <w:rsid w:val="00C37C86"/>
    <w:rsid w:val="00C43A23"/>
    <w:rsid w:val="00C5061C"/>
    <w:rsid w:val="00C50F49"/>
    <w:rsid w:val="00C5171B"/>
    <w:rsid w:val="00C53178"/>
    <w:rsid w:val="00C533C5"/>
    <w:rsid w:val="00C53E5B"/>
    <w:rsid w:val="00C75DFB"/>
    <w:rsid w:val="00C7649F"/>
    <w:rsid w:val="00C77C4C"/>
    <w:rsid w:val="00C80276"/>
    <w:rsid w:val="00C80BDC"/>
    <w:rsid w:val="00C83009"/>
    <w:rsid w:val="00C850D4"/>
    <w:rsid w:val="00C923BD"/>
    <w:rsid w:val="00C93EB7"/>
    <w:rsid w:val="00C963EA"/>
    <w:rsid w:val="00C96685"/>
    <w:rsid w:val="00C97254"/>
    <w:rsid w:val="00C978EB"/>
    <w:rsid w:val="00CB6DC7"/>
    <w:rsid w:val="00CB798F"/>
    <w:rsid w:val="00CB7ECE"/>
    <w:rsid w:val="00CC1083"/>
    <w:rsid w:val="00CC155E"/>
    <w:rsid w:val="00CC3E1A"/>
    <w:rsid w:val="00CD1C1B"/>
    <w:rsid w:val="00CD397B"/>
    <w:rsid w:val="00CD457B"/>
    <w:rsid w:val="00CD6208"/>
    <w:rsid w:val="00CE08FD"/>
    <w:rsid w:val="00CE11A3"/>
    <w:rsid w:val="00CE1713"/>
    <w:rsid w:val="00CE31CE"/>
    <w:rsid w:val="00CE4074"/>
    <w:rsid w:val="00CF2C37"/>
    <w:rsid w:val="00CF333E"/>
    <w:rsid w:val="00CF4CF1"/>
    <w:rsid w:val="00D0093C"/>
    <w:rsid w:val="00D06987"/>
    <w:rsid w:val="00D1350A"/>
    <w:rsid w:val="00D13E33"/>
    <w:rsid w:val="00D14151"/>
    <w:rsid w:val="00D14D07"/>
    <w:rsid w:val="00D15FF8"/>
    <w:rsid w:val="00D22489"/>
    <w:rsid w:val="00D22DA0"/>
    <w:rsid w:val="00D23942"/>
    <w:rsid w:val="00D23947"/>
    <w:rsid w:val="00D2606E"/>
    <w:rsid w:val="00D372CC"/>
    <w:rsid w:val="00D40ECE"/>
    <w:rsid w:val="00D4107F"/>
    <w:rsid w:val="00D61E2D"/>
    <w:rsid w:val="00D65EE5"/>
    <w:rsid w:val="00D668FC"/>
    <w:rsid w:val="00D73946"/>
    <w:rsid w:val="00D764CD"/>
    <w:rsid w:val="00D84F74"/>
    <w:rsid w:val="00D85B40"/>
    <w:rsid w:val="00D872EA"/>
    <w:rsid w:val="00D907CD"/>
    <w:rsid w:val="00D93D53"/>
    <w:rsid w:val="00D961C7"/>
    <w:rsid w:val="00D96D6F"/>
    <w:rsid w:val="00D97B0A"/>
    <w:rsid w:val="00DA0C10"/>
    <w:rsid w:val="00DA2CA2"/>
    <w:rsid w:val="00DA2CA7"/>
    <w:rsid w:val="00DA4B03"/>
    <w:rsid w:val="00DA6872"/>
    <w:rsid w:val="00DB0115"/>
    <w:rsid w:val="00DC24C8"/>
    <w:rsid w:val="00DC2E07"/>
    <w:rsid w:val="00DC4AFD"/>
    <w:rsid w:val="00DD004A"/>
    <w:rsid w:val="00DD1184"/>
    <w:rsid w:val="00DD3292"/>
    <w:rsid w:val="00DD57AE"/>
    <w:rsid w:val="00DD5DF7"/>
    <w:rsid w:val="00DD761E"/>
    <w:rsid w:val="00DE15AD"/>
    <w:rsid w:val="00DE1880"/>
    <w:rsid w:val="00DE22FE"/>
    <w:rsid w:val="00DE2711"/>
    <w:rsid w:val="00DE2F85"/>
    <w:rsid w:val="00DE3AF0"/>
    <w:rsid w:val="00DE4ADB"/>
    <w:rsid w:val="00DE4C92"/>
    <w:rsid w:val="00DE6EFD"/>
    <w:rsid w:val="00DF1592"/>
    <w:rsid w:val="00DF244F"/>
    <w:rsid w:val="00DF60AC"/>
    <w:rsid w:val="00E0486D"/>
    <w:rsid w:val="00E0518E"/>
    <w:rsid w:val="00E06EA0"/>
    <w:rsid w:val="00E0713D"/>
    <w:rsid w:val="00E07C0A"/>
    <w:rsid w:val="00E137BD"/>
    <w:rsid w:val="00E14B17"/>
    <w:rsid w:val="00E15DC9"/>
    <w:rsid w:val="00E15FF7"/>
    <w:rsid w:val="00E20639"/>
    <w:rsid w:val="00E21BC2"/>
    <w:rsid w:val="00E26632"/>
    <w:rsid w:val="00E30AA4"/>
    <w:rsid w:val="00E33D62"/>
    <w:rsid w:val="00E34F6F"/>
    <w:rsid w:val="00E42088"/>
    <w:rsid w:val="00E42C9B"/>
    <w:rsid w:val="00E4439C"/>
    <w:rsid w:val="00E44AC1"/>
    <w:rsid w:val="00E463F8"/>
    <w:rsid w:val="00E5635D"/>
    <w:rsid w:val="00E60BA4"/>
    <w:rsid w:val="00E60CF4"/>
    <w:rsid w:val="00E62CBB"/>
    <w:rsid w:val="00E645C9"/>
    <w:rsid w:val="00E65DD6"/>
    <w:rsid w:val="00E716A5"/>
    <w:rsid w:val="00E95388"/>
    <w:rsid w:val="00EA02EE"/>
    <w:rsid w:val="00EA516E"/>
    <w:rsid w:val="00EB1AB8"/>
    <w:rsid w:val="00EB4691"/>
    <w:rsid w:val="00EB77AC"/>
    <w:rsid w:val="00EC0B0F"/>
    <w:rsid w:val="00EC1F0F"/>
    <w:rsid w:val="00EC2036"/>
    <w:rsid w:val="00EC2FEC"/>
    <w:rsid w:val="00EC715A"/>
    <w:rsid w:val="00ED7915"/>
    <w:rsid w:val="00EE6446"/>
    <w:rsid w:val="00EE7AA7"/>
    <w:rsid w:val="00F01A54"/>
    <w:rsid w:val="00F0406F"/>
    <w:rsid w:val="00F04DD3"/>
    <w:rsid w:val="00F075F5"/>
    <w:rsid w:val="00F11AE6"/>
    <w:rsid w:val="00F13C49"/>
    <w:rsid w:val="00F15069"/>
    <w:rsid w:val="00F23E54"/>
    <w:rsid w:val="00F41171"/>
    <w:rsid w:val="00F4173C"/>
    <w:rsid w:val="00F434CB"/>
    <w:rsid w:val="00F45713"/>
    <w:rsid w:val="00F45E16"/>
    <w:rsid w:val="00F46E3B"/>
    <w:rsid w:val="00F5047D"/>
    <w:rsid w:val="00F51437"/>
    <w:rsid w:val="00F5179D"/>
    <w:rsid w:val="00F51803"/>
    <w:rsid w:val="00F55372"/>
    <w:rsid w:val="00F557E3"/>
    <w:rsid w:val="00F562E0"/>
    <w:rsid w:val="00F606CE"/>
    <w:rsid w:val="00F610FC"/>
    <w:rsid w:val="00F62004"/>
    <w:rsid w:val="00F6339C"/>
    <w:rsid w:val="00F64DC6"/>
    <w:rsid w:val="00F66EA9"/>
    <w:rsid w:val="00F70543"/>
    <w:rsid w:val="00F73325"/>
    <w:rsid w:val="00F77B4E"/>
    <w:rsid w:val="00F81603"/>
    <w:rsid w:val="00F81DA0"/>
    <w:rsid w:val="00F83268"/>
    <w:rsid w:val="00F86C6A"/>
    <w:rsid w:val="00F87D06"/>
    <w:rsid w:val="00F87F5A"/>
    <w:rsid w:val="00F90897"/>
    <w:rsid w:val="00F93297"/>
    <w:rsid w:val="00F94AEE"/>
    <w:rsid w:val="00F96F32"/>
    <w:rsid w:val="00FA724C"/>
    <w:rsid w:val="00FA7E3F"/>
    <w:rsid w:val="00FB046F"/>
    <w:rsid w:val="00FB3137"/>
    <w:rsid w:val="00FB42B9"/>
    <w:rsid w:val="00FB55DE"/>
    <w:rsid w:val="00FB59BC"/>
    <w:rsid w:val="00FC3B14"/>
    <w:rsid w:val="00FC65F6"/>
    <w:rsid w:val="00FC7B24"/>
    <w:rsid w:val="00FD0DFC"/>
    <w:rsid w:val="00FD7DBA"/>
    <w:rsid w:val="00FE082B"/>
    <w:rsid w:val="00FE1355"/>
    <w:rsid w:val="00FF1C88"/>
    <w:rsid w:val="00FF258D"/>
    <w:rsid w:val="00FF70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6E647"/>
  <w15:chartTrackingRefBased/>
  <w15:docId w15:val="{A88EBD10-B6EB-4914-AA13-B94F71A0C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EB1AB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50F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F49"/>
    <w:rPr>
      <w:rFonts w:ascii="Segoe UI" w:hAnsi="Segoe UI" w:cs="Segoe UI"/>
      <w:sz w:val="18"/>
      <w:szCs w:val="18"/>
    </w:rPr>
  </w:style>
  <w:style w:type="table" w:styleId="PlainTable2">
    <w:name w:val="Plain Table 2"/>
    <w:basedOn w:val="TableNormal"/>
    <w:uiPriority w:val="42"/>
    <w:rsid w:val="00AC0D2C"/>
    <w:pPr>
      <w:spacing w:after="0" w:line="240" w:lineRule="auto"/>
    </w:pPr>
    <w:rPr>
      <w:sz w:val="24"/>
      <w:szCs w:val="24"/>
      <w:lang w:val="fr-FR"/>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6E75FB"/>
    <w:rPr>
      <w:color w:val="0563C1" w:themeColor="hyperlink"/>
      <w:u w:val="single"/>
    </w:rPr>
  </w:style>
  <w:style w:type="character" w:customStyle="1" w:styleId="pubyear">
    <w:name w:val="pubyear"/>
    <w:basedOn w:val="DefaultParagraphFont"/>
    <w:rsid w:val="002C185C"/>
  </w:style>
  <w:style w:type="character" w:customStyle="1" w:styleId="articletitle">
    <w:name w:val="articletitle"/>
    <w:basedOn w:val="DefaultParagraphFont"/>
    <w:rsid w:val="002C185C"/>
  </w:style>
  <w:style w:type="character" w:customStyle="1" w:styleId="vol">
    <w:name w:val="vol"/>
    <w:basedOn w:val="DefaultParagraphFont"/>
    <w:rsid w:val="002C185C"/>
  </w:style>
  <w:style w:type="character" w:styleId="Emphasis">
    <w:name w:val="Emphasis"/>
    <w:basedOn w:val="DefaultParagraphFont"/>
    <w:uiPriority w:val="20"/>
    <w:qFormat/>
    <w:rsid w:val="00EB1AB8"/>
    <w:rPr>
      <w:i/>
      <w:iCs/>
    </w:rPr>
  </w:style>
  <w:style w:type="character" w:customStyle="1" w:styleId="Heading1Char">
    <w:name w:val="Heading 1 Char"/>
    <w:basedOn w:val="DefaultParagraphFont"/>
    <w:link w:val="Heading1"/>
    <w:uiPriority w:val="9"/>
    <w:rsid w:val="00EB1AB8"/>
    <w:rPr>
      <w:rFonts w:ascii="Times New Roman" w:eastAsia="Times New Roman" w:hAnsi="Times New Roman" w:cs="Times New Roman"/>
      <w:b/>
      <w:bCs/>
      <w:kern w:val="36"/>
      <w:sz w:val="48"/>
      <w:szCs w:val="48"/>
      <w:lang w:eastAsia="en-GB"/>
    </w:rPr>
  </w:style>
  <w:style w:type="character" w:customStyle="1" w:styleId="jrnl">
    <w:name w:val="jrnl"/>
    <w:basedOn w:val="DefaultParagraphFont"/>
    <w:rsid w:val="002E1974"/>
  </w:style>
  <w:style w:type="character" w:customStyle="1" w:styleId="highlight">
    <w:name w:val="highlight"/>
    <w:basedOn w:val="DefaultParagraphFont"/>
    <w:rsid w:val="002E1974"/>
  </w:style>
  <w:style w:type="character" w:styleId="PlaceholderText">
    <w:name w:val="Placeholder Text"/>
    <w:basedOn w:val="DefaultParagraphFont"/>
    <w:uiPriority w:val="99"/>
    <w:semiHidden/>
    <w:rsid w:val="000E7423"/>
    <w:rPr>
      <w:color w:val="808080"/>
    </w:rPr>
  </w:style>
  <w:style w:type="paragraph" w:styleId="NoSpacing">
    <w:name w:val="No Spacing"/>
    <w:aliases w:val="Tableau,legend"/>
    <w:uiPriority w:val="1"/>
    <w:qFormat/>
    <w:rsid w:val="00346E7B"/>
    <w:pPr>
      <w:framePr w:hSpace="141" w:wrap="around" w:vAnchor="text" w:hAnchor="text" w:xAlign="center" w:y="1"/>
      <w:spacing w:after="0" w:line="240" w:lineRule="auto"/>
    </w:pPr>
    <w:rPr>
      <w:rFonts w:ascii="Helvetica Neue" w:hAnsi="Helvetica Neue" w:cs="Times New Roman"/>
      <w:bCs/>
      <w:sz w:val="20"/>
      <w:szCs w:val="24"/>
    </w:rPr>
  </w:style>
  <w:style w:type="paragraph" w:styleId="HTMLPreformatted">
    <w:name w:val="HTML Preformatted"/>
    <w:basedOn w:val="Normal"/>
    <w:link w:val="HTMLPreformattedChar"/>
    <w:uiPriority w:val="99"/>
    <w:unhideWhenUsed/>
    <w:rsid w:val="00346E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r-FR" w:eastAsia="fr-FR"/>
    </w:rPr>
  </w:style>
  <w:style w:type="character" w:customStyle="1" w:styleId="HTMLPreformattedChar">
    <w:name w:val="HTML Preformatted Char"/>
    <w:basedOn w:val="DefaultParagraphFont"/>
    <w:link w:val="HTMLPreformatted"/>
    <w:uiPriority w:val="99"/>
    <w:rsid w:val="00346E7B"/>
    <w:rPr>
      <w:rFonts w:ascii="Courier New" w:eastAsia="Times New Roman" w:hAnsi="Courier New" w:cs="Courier New"/>
      <w:sz w:val="20"/>
      <w:szCs w:val="20"/>
      <w:lang w:val="fr-FR" w:eastAsia="fr-FR"/>
    </w:rPr>
  </w:style>
  <w:style w:type="character" w:styleId="CommentReference">
    <w:name w:val="annotation reference"/>
    <w:basedOn w:val="DefaultParagraphFont"/>
    <w:uiPriority w:val="99"/>
    <w:semiHidden/>
    <w:unhideWhenUsed/>
    <w:rsid w:val="00453524"/>
    <w:rPr>
      <w:sz w:val="16"/>
      <w:szCs w:val="16"/>
    </w:rPr>
  </w:style>
  <w:style w:type="paragraph" w:styleId="CommentText">
    <w:name w:val="annotation text"/>
    <w:basedOn w:val="Normal"/>
    <w:link w:val="CommentTextChar"/>
    <w:uiPriority w:val="99"/>
    <w:unhideWhenUsed/>
    <w:rsid w:val="00453524"/>
    <w:pPr>
      <w:spacing w:line="240" w:lineRule="auto"/>
    </w:pPr>
    <w:rPr>
      <w:sz w:val="20"/>
      <w:szCs w:val="20"/>
    </w:rPr>
  </w:style>
  <w:style w:type="character" w:customStyle="1" w:styleId="CommentTextChar">
    <w:name w:val="Comment Text Char"/>
    <w:basedOn w:val="DefaultParagraphFont"/>
    <w:link w:val="CommentText"/>
    <w:uiPriority w:val="99"/>
    <w:rsid w:val="00453524"/>
    <w:rPr>
      <w:sz w:val="20"/>
      <w:szCs w:val="20"/>
    </w:rPr>
  </w:style>
  <w:style w:type="paragraph" w:styleId="CommentSubject">
    <w:name w:val="annotation subject"/>
    <w:basedOn w:val="CommentText"/>
    <w:next w:val="CommentText"/>
    <w:link w:val="CommentSubjectChar"/>
    <w:uiPriority w:val="99"/>
    <w:semiHidden/>
    <w:unhideWhenUsed/>
    <w:rsid w:val="00453524"/>
    <w:rPr>
      <w:b/>
      <w:bCs/>
    </w:rPr>
  </w:style>
  <w:style w:type="character" w:customStyle="1" w:styleId="CommentSubjectChar">
    <w:name w:val="Comment Subject Char"/>
    <w:basedOn w:val="CommentTextChar"/>
    <w:link w:val="CommentSubject"/>
    <w:uiPriority w:val="99"/>
    <w:semiHidden/>
    <w:rsid w:val="00453524"/>
    <w:rPr>
      <w:b/>
      <w:bCs/>
      <w:sz w:val="20"/>
      <w:szCs w:val="20"/>
    </w:rPr>
  </w:style>
  <w:style w:type="paragraph" w:styleId="Revision">
    <w:name w:val="Revision"/>
    <w:hidden/>
    <w:uiPriority w:val="99"/>
    <w:semiHidden/>
    <w:rsid w:val="00FB3137"/>
    <w:pPr>
      <w:spacing w:after="0" w:line="240" w:lineRule="auto"/>
    </w:pPr>
  </w:style>
  <w:style w:type="character" w:styleId="Strong">
    <w:name w:val="Strong"/>
    <w:basedOn w:val="DefaultParagraphFont"/>
    <w:uiPriority w:val="22"/>
    <w:qFormat/>
    <w:rsid w:val="004215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7267364">
      <w:bodyDiv w:val="1"/>
      <w:marLeft w:val="0"/>
      <w:marRight w:val="0"/>
      <w:marTop w:val="0"/>
      <w:marBottom w:val="0"/>
      <w:divBdr>
        <w:top w:val="none" w:sz="0" w:space="0" w:color="auto"/>
        <w:left w:val="none" w:sz="0" w:space="0" w:color="auto"/>
        <w:bottom w:val="none" w:sz="0" w:space="0" w:color="auto"/>
        <w:right w:val="none" w:sz="0" w:space="0" w:color="auto"/>
      </w:divBdr>
    </w:div>
    <w:div w:id="513350100">
      <w:bodyDiv w:val="1"/>
      <w:marLeft w:val="0"/>
      <w:marRight w:val="0"/>
      <w:marTop w:val="0"/>
      <w:marBottom w:val="0"/>
      <w:divBdr>
        <w:top w:val="none" w:sz="0" w:space="0" w:color="auto"/>
        <w:left w:val="none" w:sz="0" w:space="0" w:color="auto"/>
        <w:bottom w:val="none" w:sz="0" w:space="0" w:color="auto"/>
        <w:right w:val="none" w:sz="0" w:space="0" w:color="auto"/>
      </w:divBdr>
    </w:div>
    <w:div w:id="516239726">
      <w:bodyDiv w:val="1"/>
      <w:marLeft w:val="0"/>
      <w:marRight w:val="0"/>
      <w:marTop w:val="0"/>
      <w:marBottom w:val="0"/>
      <w:divBdr>
        <w:top w:val="none" w:sz="0" w:space="0" w:color="auto"/>
        <w:left w:val="none" w:sz="0" w:space="0" w:color="auto"/>
        <w:bottom w:val="none" w:sz="0" w:space="0" w:color="auto"/>
        <w:right w:val="none" w:sz="0" w:space="0" w:color="auto"/>
      </w:divBdr>
    </w:div>
    <w:div w:id="806167213">
      <w:bodyDiv w:val="1"/>
      <w:marLeft w:val="0"/>
      <w:marRight w:val="0"/>
      <w:marTop w:val="0"/>
      <w:marBottom w:val="0"/>
      <w:divBdr>
        <w:top w:val="none" w:sz="0" w:space="0" w:color="auto"/>
        <w:left w:val="none" w:sz="0" w:space="0" w:color="auto"/>
        <w:bottom w:val="none" w:sz="0" w:space="0" w:color="auto"/>
        <w:right w:val="none" w:sz="0" w:space="0" w:color="auto"/>
      </w:divBdr>
    </w:div>
    <w:div w:id="954796150">
      <w:bodyDiv w:val="1"/>
      <w:marLeft w:val="0"/>
      <w:marRight w:val="0"/>
      <w:marTop w:val="0"/>
      <w:marBottom w:val="0"/>
      <w:divBdr>
        <w:top w:val="none" w:sz="0" w:space="0" w:color="auto"/>
        <w:left w:val="none" w:sz="0" w:space="0" w:color="auto"/>
        <w:bottom w:val="none" w:sz="0" w:space="0" w:color="auto"/>
        <w:right w:val="none" w:sz="0" w:space="0" w:color="auto"/>
      </w:divBdr>
    </w:div>
    <w:div w:id="1169440196">
      <w:bodyDiv w:val="1"/>
      <w:marLeft w:val="0"/>
      <w:marRight w:val="0"/>
      <w:marTop w:val="0"/>
      <w:marBottom w:val="0"/>
      <w:divBdr>
        <w:top w:val="none" w:sz="0" w:space="0" w:color="auto"/>
        <w:left w:val="none" w:sz="0" w:space="0" w:color="auto"/>
        <w:bottom w:val="none" w:sz="0" w:space="0" w:color="auto"/>
        <w:right w:val="none" w:sz="0" w:space="0" w:color="auto"/>
      </w:divBdr>
    </w:div>
    <w:div w:id="1267225576">
      <w:bodyDiv w:val="1"/>
      <w:marLeft w:val="0"/>
      <w:marRight w:val="0"/>
      <w:marTop w:val="0"/>
      <w:marBottom w:val="0"/>
      <w:divBdr>
        <w:top w:val="none" w:sz="0" w:space="0" w:color="auto"/>
        <w:left w:val="none" w:sz="0" w:space="0" w:color="auto"/>
        <w:bottom w:val="none" w:sz="0" w:space="0" w:color="auto"/>
        <w:right w:val="none" w:sz="0" w:space="0" w:color="auto"/>
      </w:divBdr>
    </w:div>
    <w:div w:id="1477990275">
      <w:bodyDiv w:val="1"/>
      <w:marLeft w:val="0"/>
      <w:marRight w:val="0"/>
      <w:marTop w:val="0"/>
      <w:marBottom w:val="0"/>
      <w:divBdr>
        <w:top w:val="none" w:sz="0" w:space="0" w:color="auto"/>
        <w:left w:val="none" w:sz="0" w:space="0" w:color="auto"/>
        <w:bottom w:val="none" w:sz="0" w:space="0" w:color="auto"/>
        <w:right w:val="none" w:sz="0" w:space="0" w:color="auto"/>
      </w:divBdr>
    </w:div>
    <w:div w:id="1590233431">
      <w:bodyDiv w:val="1"/>
      <w:marLeft w:val="0"/>
      <w:marRight w:val="0"/>
      <w:marTop w:val="0"/>
      <w:marBottom w:val="0"/>
      <w:divBdr>
        <w:top w:val="none" w:sz="0" w:space="0" w:color="auto"/>
        <w:left w:val="none" w:sz="0" w:space="0" w:color="auto"/>
        <w:bottom w:val="none" w:sz="0" w:space="0" w:color="auto"/>
        <w:right w:val="none" w:sz="0" w:space="0" w:color="auto"/>
      </w:divBdr>
      <w:divsChild>
        <w:div w:id="670261441">
          <w:marLeft w:val="0"/>
          <w:marRight w:val="0"/>
          <w:marTop w:val="0"/>
          <w:marBottom w:val="0"/>
          <w:divBdr>
            <w:top w:val="none" w:sz="0" w:space="0" w:color="auto"/>
            <w:left w:val="none" w:sz="0" w:space="0" w:color="auto"/>
            <w:bottom w:val="none" w:sz="0" w:space="0" w:color="auto"/>
            <w:right w:val="none" w:sz="0" w:space="0" w:color="auto"/>
          </w:divBdr>
        </w:div>
      </w:divsChild>
    </w:div>
    <w:div w:id="1913470156">
      <w:bodyDiv w:val="1"/>
      <w:marLeft w:val="0"/>
      <w:marRight w:val="0"/>
      <w:marTop w:val="0"/>
      <w:marBottom w:val="0"/>
      <w:divBdr>
        <w:top w:val="none" w:sz="0" w:space="0" w:color="auto"/>
        <w:left w:val="none" w:sz="0" w:space="0" w:color="auto"/>
        <w:bottom w:val="none" w:sz="0" w:space="0" w:color="auto"/>
        <w:right w:val="none" w:sz="0" w:space="0" w:color="auto"/>
      </w:divBdr>
    </w:div>
    <w:div w:id="2100637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ti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ti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tif"/><Relationship Id="rId11" Type="http://schemas.openxmlformats.org/officeDocument/2006/relationships/image" Target="media/image6.tif"/><Relationship Id="rId5" Type="http://schemas.openxmlformats.org/officeDocument/2006/relationships/hyperlink" Target="mailto:mw240@cam.ac.uk" TargetMode="External"/><Relationship Id="rId10" Type="http://schemas.openxmlformats.org/officeDocument/2006/relationships/image" Target="media/image5.tif"/><Relationship Id="rId4" Type="http://schemas.openxmlformats.org/officeDocument/2006/relationships/webSettings" Target="webSettings.xml"/><Relationship Id="rId9" Type="http://schemas.openxmlformats.org/officeDocument/2006/relationships/image" Target="media/image4.t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E3BFF1-E4B9-4D90-BAC9-ED5CED92AD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5021</TotalTime>
  <Pages>22</Pages>
  <Words>26179</Words>
  <Characters>149226</Characters>
  <Application>Microsoft Office Word</Application>
  <DocSecurity>0</DocSecurity>
  <Lines>1243</Lines>
  <Paragraphs>350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University of Cambridge</Company>
  <LinksUpToDate>false</LinksUpToDate>
  <CharactersWithSpaces>175055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Department of Biochemistry</dc:creator>
  <cp:keywords/>
  <dc:description/>
  <cp:lastModifiedBy>Department of Biochemistry</cp:lastModifiedBy>
  <cp:revision>17</cp:revision>
  <cp:lastPrinted>2018-07-13T13:38:00Z</cp:lastPrinted>
  <dcterms:created xsi:type="dcterms:W3CDTF">2018-07-13T10:47:00Z</dcterms:created>
  <dcterms:modified xsi:type="dcterms:W3CDTF">2018-07-18T08:48:00Z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7th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http://www.zotero.org/styles/pnas</vt:lpwstr>
  </property>
  <property fmtid="{D5CDD505-2E9C-101B-9397-08002B2CF9AE}" pid="21" name="Mendeley Recent Style Name 9_1">
    <vt:lpwstr>Proceedings of the National Academy of Sciences of the United States of America</vt:lpwstr>
  </property>
  <property fmtid="{D5CDD505-2E9C-101B-9397-08002B2CF9AE}" pid="22" name="Mendeley Document_1">
    <vt:lpwstr>True</vt:lpwstr>
  </property>
  <property fmtid="{D5CDD505-2E9C-101B-9397-08002B2CF9AE}" pid="23" name="Mendeley Unique User Id_1">
    <vt:lpwstr>f249e0fd-a3a3-325c-8905-13b0106a9d9a</vt:lpwstr>
  </property>
  <property fmtid="{D5CDD505-2E9C-101B-9397-08002B2CF9AE}" pid="24" name="Mendeley Citation Style_1">
    <vt:lpwstr>http://www.zotero.org/styles/apa</vt:lpwstr>
  </property>
</Properties>
</file>