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A2AEB8" w14:textId="77777777" w:rsidR="00DB4AB8" w:rsidRDefault="00876BE0">
      <w:pPr>
        <w:pStyle w:val="Text"/>
        <w:jc w:val="center"/>
        <w:outlineLvl w:val="0"/>
        <w:rPr>
          <w:rFonts w:ascii="Brill" w:eastAsia="Brill" w:hAnsi="Brill" w:cs="Brill"/>
          <w:sz w:val="32"/>
          <w:szCs w:val="32"/>
        </w:rPr>
      </w:pPr>
      <w:bookmarkStart w:id="0" w:name="_GoBack"/>
      <w:bookmarkEnd w:id="0"/>
      <w:r>
        <w:rPr>
          <w:rFonts w:ascii="Brill" w:hAnsi="Brill"/>
          <w:sz w:val="32"/>
          <w:szCs w:val="32"/>
        </w:rPr>
        <w:t>A Jewish marriage deed from nineteenth-century Yemen</w:t>
      </w:r>
    </w:p>
    <w:p w14:paraId="0815D6B0" w14:textId="77777777" w:rsidR="00DB4AB8" w:rsidRDefault="00DB4AB8">
      <w:pPr>
        <w:pStyle w:val="Text"/>
        <w:jc w:val="center"/>
        <w:outlineLvl w:val="0"/>
        <w:rPr>
          <w:rFonts w:ascii="Brill" w:eastAsia="Brill" w:hAnsi="Brill" w:cs="Brill"/>
        </w:rPr>
      </w:pPr>
    </w:p>
    <w:p w14:paraId="48D9CB92" w14:textId="77777777" w:rsidR="00DB4AB8" w:rsidRDefault="00876BE0">
      <w:pPr>
        <w:pStyle w:val="Text"/>
        <w:jc w:val="center"/>
        <w:outlineLvl w:val="0"/>
        <w:rPr>
          <w:rFonts w:ascii="Brill" w:eastAsia="Brill" w:hAnsi="Brill" w:cs="Brill"/>
        </w:rPr>
      </w:pPr>
      <w:r>
        <w:rPr>
          <w:rFonts w:ascii="Brill" w:hAnsi="Brill"/>
          <w:lang w:val="sv-SE"/>
        </w:rPr>
        <w:t xml:space="preserve">Amir Ashur </w:t>
      </w:r>
    </w:p>
    <w:p w14:paraId="66636B44" w14:textId="77777777" w:rsidR="00DB4AB8" w:rsidRDefault="00876BE0">
      <w:pPr>
        <w:pStyle w:val="Text"/>
        <w:jc w:val="center"/>
        <w:outlineLvl w:val="0"/>
        <w:rPr>
          <w:rFonts w:ascii="Brill" w:eastAsia="Brill" w:hAnsi="Brill" w:cs="Brill"/>
        </w:rPr>
      </w:pPr>
      <w:r>
        <w:rPr>
          <w:rFonts w:ascii="Brill" w:hAnsi="Brill"/>
        </w:rPr>
        <w:t>(Ben Gurion University of the Negev)</w:t>
      </w:r>
    </w:p>
    <w:p w14:paraId="0F16F7A2" w14:textId="77777777" w:rsidR="00DB4AB8" w:rsidRDefault="00876BE0">
      <w:pPr>
        <w:pStyle w:val="Text"/>
        <w:jc w:val="center"/>
        <w:outlineLvl w:val="0"/>
        <w:rPr>
          <w:rFonts w:ascii="Brill" w:eastAsia="Brill" w:hAnsi="Brill" w:cs="Brill"/>
        </w:rPr>
      </w:pPr>
      <w:r>
        <w:rPr>
          <w:rFonts w:ascii="Brill" w:hAnsi="Brill"/>
        </w:rPr>
        <w:t>&amp;</w:t>
      </w:r>
    </w:p>
    <w:p w14:paraId="7F26B2DA" w14:textId="77777777" w:rsidR="00DB4AB8" w:rsidRDefault="00876BE0">
      <w:pPr>
        <w:pStyle w:val="Text"/>
        <w:jc w:val="center"/>
        <w:outlineLvl w:val="0"/>
        <w:rPr>
          <w:rFonts w:ascii="Brill" w:eastAsia="Brill" w:hAnsi="Brill" w:cs="Brill"/>
        </w:rPr>
      </w:pPr>
      <w:r>
        <w:rPr>
          <w:rFonts w:ascii="Brill" w:hAnsi="Brill"/>
        </w:rPr>
        <w:t>Ben Outhwaite</w:t>
      </w:r>
    </w:p>
    <w:p w14:paraId="0AA84D75" w14:textId="77777777" w:rsidR="00DB4AB8" w:rsidRDefault="00876BE0">
      <w:pPr>
        <w:pStyle w:val="Text"/>
        <w:jc w:val="center"/>
        <w:outlineLvl w:val="0"/>
        <w:rPr>
          <w:rFonts w:ascii="Brill" w:eastAsia="Brill" w:hAnsi="Brill" w:cs="Brill"/>
        </w:rPr>
      </w:pPr>
      <w:r>
        <w:rPr>
          <w:rFonts w:ascii="Brill" w:hAnsi="Brill"/>
        </w:rPr>
        <w:t xml:space="preserve">(Head of Asian and African Collections </w:t>
      </w:r>
    </w:p>
    <w:p w14:paraId="75B04982" w14:textId="77777777" w:rsidR="00DB4AB8" w:rsidRDefault="00876BE0">
      <w:pPr>
        <w:pStyle w:val="Text"/>
        <w:jc w:val="center"/>
        <w:outlineLvl w:val="0"/>
        <w:rPr>
          <w:rFonts w:ascii="Brill" w:eastAsia="Brill" w:hAnsi="Brill" w:cs="Brill"/>
        </w:rPr>
      </w:pPr>
      <w:r>
        <w:rPr>
          <w:rFonts w:ascii="Brill" w:hAnsi="Brill"/>
        </w:rPr>
        <w:t>&amp; Genizah Research Unit Cambridge University Library)</w:t>
      </w:r>
    </w:p>
    <w:p w14:paraId="0700EF6D" w14:textId="77777777" w:rsidR="00DB4AB8" w:rsidRDefault="00DB4AB8">
      <w:pPr>
        <w:pStyle w:val="Text"/>
        <w:rPr>
          <w:rFonts w:ascii="Brill" w:eastAsia="Brill" w:hAnsi="Brill" w:cs="Brill"/>
        </w:rPr>
      </w:pPr>
    </w:p>
    <w:p w14:paraId="49EDCAFD" w14:textId="77777777" w:rsidR="00DB4AB8" w:rsidRDefault="00DB4AB8">
      <w:pPr>
        <w:pStyle w:val="Text"/>
        <w:rPr>
          <w:rFonts w:ascii="Brill" w:eastAsia="Brill" w:hAnsi="Brill" w:cs="Brill"/>
        </w:rPr>
      </w:pPr>
    </w:p>
    <w:p w14:paraId="42913410" w14:textId="77777777" w:rsidR="00DB4AB8" w:rsidRDefault="00876BE0">
      <w:pPr>
        <w:pStyle w:val="Text"/>
        <w:jc w:val="both"/>
        <w:rPr>
          <w:rFonts w:ascii="Brill" w:eastAsia="Brill" w:hAnsi="Brill" w:cs="Brill"/>
          <w:sz w:val="28"/>
          <w:szCs w:val="28"/>
        </w:rPr>
      </w:pPr>
      <w:r>
        <w:rPr>
          <w:rFonts w:ascii="Brill" w:hAnsi="Brill"/>
          <w:sz w:val="28"/>
          <w:szCs w:val="28"/>
          <w:lang w:val="de-DE"/>
        </w:rPr>
        <w:t>Abstract</w:t>
      </w:r>
    </w:p>
    <w:p w14:paraId="57870FB8" w14:textId="77777777" w:rsidR="00DB4AB8" w:rsidRPr="00F308FE" w:rsidRDefault="00876BE0" w:rsidP="000B1328">
      <w:pPr>
        <w:pStyle w:val="Text"/>
        <w:ind w:right="-52"/>
        <w:jc w:val="both"/>
        <w:rPr>
          <w:rFonts w:ascii="Brill" w:eastAsia="Brill" w:hAnsi="Brill" w:cs="Brill"/>
          <w:sz w:val="22"/>
          <w:szCs w:val="22"/>
        </w:rPr>
      </w:pPr>
      <w:r w:rsidRPr="00F308FE">
        <w:rPr>
          <w:rFonts w:ascii="Brill" w:hAnsi="Brill"/>
          <w:sz w:val="22"/>
          <w:szCs w:val="22"/>
        </w:rPr>
        <w:t xml:space="preserve">The article presents a Jewish marriage deed, a </w:t>
      </w:r>
      <w:r w:rsidRPr="00F308FE">
        <w:rPr>
          <w:rFonts w:ascii="Brill" w:hAnsi="Brill"/>
          <w:i/>
          <w:iCs/>
          <w:sz w:val="22"/>
          <w:szCs w:val="22"/>
        </w:rPr>
        <w:t>ketubba</w:t>
      </w:r>
      <w:r w:rsidRPr="00F308FE">
        <w:rPr>
          <w:rFonts w:ascii="Brill" w:hAnsi="Brill"/>
          <w:sz w:val="22"/>
          <w:szCs w:val="22"/>
        </w:rPr>
        <w:t>, which was written in Ṣanʿāʾ in 1899 CE and later found among the Genizah manuscripts brought out of Egypt. It was written in Aramaic, Hebrew and Judaeo-Arabic by a skilled scribe, and is, in fact, a replacement deed, written</w:t>
      </w:r>
      <w:r w:rsidR="00F308FE">
        <w:rPr>
          <w:rFonts w:ascii="Brill" w:hAnsi="Brill"/>
          <w:sz w:val="22"/>
          <w:szCs w:val="22"/>
        </w:rPr>
        <w:t xml:space="preserve"> instead of</w:t>
      </w:r>
      <w:r w:rsidRPr="00F308FE">
        <w:rPr>
          <w:rFonts w:ascii="Brill" w:hAnsi="Brill"/>
          <w:sz w:val="22"/>
          <w:szCs w:val="22"/>
        </w:rPr>
        <w:t xml:space="preserve"> one that had previously been lost by the couple. On the back it includes arrangements for paying back money that the husband owes his wife. The </w:t>
      </w:r>
      <w:r w:rsidR="00F308FE">
        <w:rPr>
          <w:rFonts w:ascii="Brill" w:hAnsi="Brill"/>
          <w:sz w:val="22"/>
          <w:szCs w:val="22"/>
        </w:rPr>
        <w:t>contract</w:t>
      </w:r>
      <w:r w:rsidRPr="00F308FE">
        <w:rPr>
          <w:rFonts w:ascii="Brill" w:hAnsi="Brill"/>
          <w:sz w:val="22"/>
          <w:szCs w:val="22"/>
        </w:rPr>
        <w:t xml:space="preserve"> is evidence of the skill of its scribe and the pious adherence of the Jewish community of Yemen to all the legal and traditional aspects of marriage, passed down to them over the centuries. The couple must have left Yemen for Egypt sometime after 1899 and before 1912, when the deed was acquired by Jack Mosseri, an Egyptian Jewish collector of manuscripts.</w:t>
      </w:r>
    </w:p>
    <w:p w14:paraId="7372F1BD" w14:textId="77777777" w:rsidR="00DB4AB8" w:rsidRDefault="00DB4AB8">
      <w:pPr>
        <w:pStyle w:val="Text"/>
        <w:jc w:val="both"/>
        <w:rPr>
          <w:rFonts w:ascii="Brill" w:eastAsia="Brill" w:hAnsi="Brill" w:cs="Brill"/>
        </w:rPr>
      </w:pPr>
    </w:p>
    <w:p w14:paraId="1BB0CF15" w14:textId="77777777" w:rsidR="00DB4AB8" w:rsidRPr="00263ECB" w:rsidRDefault="00876BE0">
      <w:pPr>
        <w:pStyle w:val="Text"/>
        <w:jc w:val="both"/>
        <w:rPr>
          <w:rFonts w:ascii="Brill" w:eastAsia="Brill" w:hAnsi="Brill" w:cs="Brill"/>
          <w:sz w:val="28"/>
          <w:szCs w:val="28"/>
          <w:lang w:val="fr-FR"/>
        </w:rPr>
      </w:pPr>
      <w:r>
        <w:rPr>
          <w:rFonts w:ascii="Brill" w:hAnsi="Brill"/>
          <w:sz w:val="28"/>
          <w:szCs w:val="28"/>
          <w:lang w:val="fr-FR"/>
        </w:rPr>
        <w:t>Résumé</w:t>
      </w:r>
    </w:p>
    <w:p w14:paraId="69051000" w14:textId="77777777" w:rsidR="00DB4AB8" w:rsidRPr="00F308FE" w:rsidRDefault="00876BE0">
      <w:pPr>
        <w:pStyle w:val="Text"/>
        <w:jc w:val="both"/>
        <w:rPr>
          <w:rFonts w:ascii="Brill" w:eastAsia="Brill" w:hAnsi="Brill" w:cs="Brill"/>
          <w:lang w:val="fr-FR"/>
        </w:rPr>
      </w:pPr>
      <w:r>
        <w:rPr>
          <w:rFonts w:ascii="Brill" w:hAnsi="Brill"/>
          <w:lang w:val="fr-FR"/>
        </w:rPr>
        <w:t>L’article présente un contrat de mariage (</w:t>
      </w:r>
      <w:r>
        <w:rPr>
          <w:rFonts w:ascii="Brill" w:hAnsi="Brill"/>
          <w:i/>
          <w:iCs/>
          <w:lang w:val="fr-FR"/>
        </w:rPr>
        <w:t>ketubba</w:t>
      </w:r>
      <w:r>
        <w:rPr>
          <w:rFonts w:ascii="Brill" w:hAnsi="Brill"/>
          <w:lang w:val="fr-FR"/>
        </w:rPr>
        <w:t xml:space="preserve">) consigné à Sanaa en 1899 et découvert parmi les manuscrits de la Geniza, en Égypte. Il a été rédigé en araméen, hébreu et judéo-arabe par un scribe compétent, afin de remplacer le contrat de mariage initial égaré par le couple. Au verso, il comprend des arrangements concernant des montants dus et à régler par le mari à sa femme. Le contrat met en évidence les compétences du scribe, mais aussi la piété et l’adhésion de la communauté juive du Yémen aux aspects légaux et traditionnels du mariage, transmis au long des siècles. Le couple a vraisemblablement quitté le Yémen pour l’Égypte à une date postérieure à 1899, mais antérieure à 1912, lorsque le contrat a été acquis par Jack Mosseri, un collectionneur de manuscrits juif égyptien. </w:t>
      </w:r>
    </w:p>
    <w:p w14:paraId="0243B2C2" w14:textId="77777777" w:rsidR="00DB4AB8" w:rsidRDefault="00DB4AB8">
      <w:pPr>
        <w:pStyle w:val="Text"/>
        <w:jc w:val="both"/>
        <w:rPr>
          <w:rFonts w:ascii="Brill" w:eastAsia="Brill" w:hAnsi="Brill" w:cs="Brill"/>
          <w:lang w:val="fr-FR"/>
        </w:rPr>
      </w:pPr>
    </w:p>
    <w:p w14:paraId="7A2D7F62" w14:textId="77777777" w:rsidR="00DB4AB8" w:rsidRPr="00F308FE" w:rsidRDefault="00876BE0">
      <w:pPr>
        <w:pStyle w:val="Text"/>
        <w:bidi/>
        <w:rPr>
          <w:rFonts w:ascii="Arabic Typesetting" w:eastAsia="Tahoma" w:hAnsi="Arabic Typesetting" w:cs="Arabic Typesetting"/>
          <w:sz w:val="36"/>
          <w:szCs w:val="36"/>
          <w:rtl/>
        </w:rPr>
      </w:pPr>
      <w:r w:rsidRPr="00F308FE">
        <w:rPr>
          <w:rFonts w:ascii="Arabic Typesetting" w:hAnsi="Arabic Typesetting" w:cs="Arabic Typesetting" w:hint="eastAsia"/>
          <w:sz w:val="36"/>
          <w:szCs w:val="36"/>
          <w:rtl/>
          <w:lang w:val="ar-SA"/>
        </w:rPr>
        <w:t>خلاصة</w:t>
      </w:r>
    </w:p>
    <w:p w14:paraId="3E7CDAAD" w14:textId="77777777" w:rsidR="00DB4AB8" w:rsidRPr="00F308FE" w:rsidRDefault="001B4554" w:rsidP="00F308FE">
      <w:pPr>
        <w:pStyle w:val="Text"/>
        <w:bidi/>
        <w:spacing w:line="276" w:lineRule="auto"/>
        <w:jc w:val="both"/>
        <w:rPr>
          <w:rFonts w:ascii="Arabic Typesetting" w:eastAsia="Brill" w:hAnsi="Arabic Typesetting" w:cs="Arabic Typesetting"/>
          <w:sz w:val="32"/>
          <w:szCs w:val="32"/>
          <w:lang w:val="fr-FR"/>
        </w:rPr>
      </w:pPr>
      <w:r w:rsidRPr="001B4554">
        <w:rPr>
          <w:rFonts w:ascii="Arabic Typesetting" w:hAnsi="Arabic Typesetting" w:cs="Arabic Typesetting"/>
          <w:color w:val="212121"/>
          <w:sz w:val="32"/>
          <w:szCs w:val="32"/>
          <w:shd w:val="clear" w:color="auto" w:fill="FFFFFF"/>
          <w:rtl/>
        </w:rPr>
        <w:t>يعرض هذا المقال لعقد زواج يهودي (مكتوب باللغة العبرية)، كُتب في صنعاء في عام 1899م، وُجد في وقت لاحق بين مخطوطات الجنيزة التي أخرجت من مصر</w:t>
      </w:r>
      <w:r w:rsidRPr="001B4554">
        <w:rPr>
          <w:rFonts w:ascii="Arabic Typesetting" w:hAnsi="Arabic Typesetting" w:cs="Arabic Typesetting" w:hint="eastAsia"/>
          <w:color w:val="212121"/>
          <w:sz w:val="32"/>
          <w:szCs w:val="32"/>
          <w:shd w:val="clear" w:color="auto" w:fill="FFFFFF"/>
          <w:rtl/>
          <w:lang w:bidi="ar-AE"/>
        </w:rPr>
        <w:t>،</w:t>
      </w:r>
      <w:r w:rsidRPr="001B4554">
        <w:rPr>
          <w:rFonts w:ascii="Arabic Typesetting" w:hAnsi="Arabic Typesetting" w:cs="Arabic Typesetting"/>
          <w:color w:val="212121"/>
          <w:sz w:val="32"/>
          <w:szCs w:val="32"/>
          <w:shd w:val="clear" w:color="auto" w:fill="FFFFFF"/>
          <w:rtl/>
          <w:lang w:bidi="ar-AE"/>
        </w:rPr>
        <w:t xml:space="preserve"> </w:t>
      </w:r>
      <w:r w:rsidRPr="001B4554">
        <w:rPr>
          <w:rFonts w:ascii="Arabic Typesetting" w:hAnsi="Arabic Typesetting" w:cs="Arabic Typesetting" w:hint="eastAsia"/>
          <w:color w:val="212121"/>
          <w:sz w:val="32"/>
          <w:szCs w:val="32"/>
          <w:shd w:val="clear" w:color="auto" w:fill="FFFFFF"/>
          <w:rtl/>
          <w:lang w:bidi="ar-AE"/>
        </w:rPr>
        <w:t>و</w:t>
      </w:r>
      <w:r w:rsidRPr="001B4554">
        <w:rPr>
          <w:rFonts w:ascii="Arabic Typesetting" w:hAnsi="Arabic Typesetting" w:cs="Arabic Typesetting"/>
          <w:color w:val="212121"/>
          <w:sz w:val="32"/>
          <w:szCs w:val="32"/>
          <w:shd w:val="clear" w:color="auto" w:fill="FFFFFF"/>
          <w:rtl/>
        </w:rPr>
        <w:t>كان مكتوبًا باللغات (الآرامية - واَلعبرية - والعربية) من قبل كاتب ماهر، وهذا العقد</w:t>
      </w:r>
      <w:r w:rsidRPr="001B4554">
        <w:rPr>
          <w:rFonts w:ascii="Arabic Typesetting" w:hAnsi="Arabic Typesetting" w:cs="Arabic Typesetting"/>
          <w:color w:val="212121"/>
          <w:sz w:val="32"/>
          <w:szCs w:val="32"/>
          <w:shd w:val="clear" w:color="auto" w:fill="FFFFFF"/>
          <w:rtl/>
          <w:lang w:bidi="ar-AE"/>
        </w:rPr>
        <w:t xml:space="preserve"> عبارة عن</w:t>
      </w:r>
      <w:r w:rsidRPr="001B4554">
        <w:rPr>
          <w:rFonts w:ascii="Arabic Typesetting" w:hAnsi="Arabic Typesetting" w:cs="Arabic Typesetting"/>
          <w:color w:val="212121"/>
          <w:sz w:val="32"/>
          <w:szCs w:val="32"/>
          <w:shd w:val="clear" w:color="auto" w:fill="FFFFFF"/>
          <w:rtl/>
        </w:rPr>
        <w:t xml:space="preserve"> عقد زواج بديل لعقد سابق فُقدت من الزوج. وعلى ظهر العقد جدول يتضمن ترتيبات ومواعيد تسديد المهر الذي يدين به الزوج لزوجته. ويدل هذا العقد على مهارة كاتبه والتزامه بالأعراف والأسس الدينية والقانونية الخاصة بالزواج عند اليهود في اليمن، الذين حافظوا عليها على مر القرون</w:t>
      </w:r>
      <w:r w:rsidRPr="001B4554">
        <w:rPr>
          <w:rFonts w:ascii="Arabic Typesetting" w:hAnsi="Arabic Typesetting" w:cs="Arabic Typesetting" w:hint="eastAsia"/>
          <w:color w:val="212121"/>
          <w:sz w:val="32"/>
          <w:szCs w:val="32"/>
          <w:shd w:val="clear" w:color="auto" w:fill="FFFFFF"/>
          <w:rtl/>
          <w:lang w:bidi="ar-AE"/>
        </w:rPr>
        <w:t>،</w:t>
      </w:r>
      <w:r w:rsidRPr="001B4554">
        <w:rPr>
          <w:rFonts w:ascii="Arabic Typesetting" w:hAnsi="Arabic Typesetting" w:cs="Arabic Typesetting"/>
          <w:color w:val="212121"/>
          <w:sz w:val="32"/>
          <w:szCs w:val="32"/>
          <w:shd w:val="clear" w:color="auto" w:fill="FFFFFF"/>
          <w:rtl/>
        </w:rPr>
        <w:t xml:space="preserve"> غادرا الزوجان اليمن بعد عام 1899م وقبل عام 1912، عندما حصل عليه جاك موسري، وهو جامع مصري للمخطوطات اليهودية</w:t>
      </w:r>
      <w:r w:rsidRPr="001B4554">
        <w:rPr>
          <w:rFonts w:ascii="Arabic Typesetting" w:hAnsi="Arabic Typesetting" w:cs="Arabic Typesetting" w:hint="eastAsia"/>
          <w:color w:val="212121"/>
          <w:sz w:val="32"/>
          <w:szCs w:val="32"/>
          <w:shd w:val="clear" w:color="auto" w:fill="FFFFFF"/>
          <w:rtl/>
          <w:lang w:bidi="ar-EG"/>
        </w:rPr>
        <w:t>،</w:t>
      </w:r>
      <w:r w:rsidRPr="001B4554">
        <w:rPr>
          <w:rFonts w:ascii="Arabic Typesetting" w:hAnsi="Arabic Typesetting" w:cs="Arabic Typesetting"/>
          <w:color w:val="212121"/>
          <w:sz w:val="32"/>
          <w:szCs w:val="32"/>
          <w:shd w:val="clear" w:color="auto" w:fill="FFFFFF"/>
          <w:rtl/>
        </w:rPr>
        <w:t xml:space="preserve"> </w:t>
      </w:r>
      <w:r w:rsidRPr="001B4554">
        <w:rPr>
          <w:rFonts w:ascii="Arabic Typesetting" w:hAnsi="Arabic Typesetting" w:cs="Arabic Typesetting" w:hint="eastAsia"/>
          <w:color w:val="212121"/>
          <w:sz w:val="32"/>
          <w:szCs w:val="32"/>
          <w:shd w:val="clear" w:color="auto" w:fill="FFFFFF"/>
          <w:rtl/>
          <w:lang w:bidi="ar-AE"/>
        </w:rPr>
        <w:t>ي</w:t>
      </w:r>
      <w:r w:rsidRPr="001B4554">
        <w:rPr>
          <w:rFonts w:ascii="Arabic Typesetting" w:hAnsi="Arabic Typesetting" w:cs="Arabic Typesetting"/>
          <w:color w:val="212121"/>
          <w:sz w:val="32"/>
          <w:szCs w:val="32"/>
          <w:shd w:val="clear" w:color="auto" w:fill="FFFFFF"/>
          <w:rtl/>
        </w:rPr>
        <w:t xml:space="preserve">تَكَسَّبَ </w:t>
      </w:r>
      <w:r w:rsidRPr="001B4554">
        <w:rPr>
          <w:rFonts w:ascii="Arabic Typesetting" w:hAnsi="Arabic Typesetting" w:cs="Arabic Typesetting" w:hint="eastAsia"/>
          <w:color w:val="212121"/>
          <w:sz w:val="32"/>
          <w:szCs w:val="32"/>
          <w:shd w:val="clear" w:color="auto" w:fill="FFFFFF"/>
          <w:rtl/>
          <w:lang w:bidi="ar-AE"/>
        </w:rPr>
        <w:t>بتجارة</w:t>
      </w:r>
      <w:r w:rsidRPr="001B4554">
        <w:rPr>
          <w:rFonts w:ascii="Arabic Typesetting" w:hAnsi="Arabic Typesetting" w:cs="Arabic Typesetting"/>
          <w:color w:val="212121"/>
          <w:sz w:val="32"/>
          <w:szCs w:val="32"/>
          <w:shd w:val="clear" w:color="auto" w:fill="FFFFFF"/>
          <w:rtl/>
          <w:lang w:bidi="ar-AE"/>
        </w:rPr>
        <w:t xml:space="preserve"> </w:t>
      </w:r>
      <w:r w:rsidRPr="001B4554">
        <w:rPr>
          <w:rFonts w:ascii="Arabic Typesetting" w:hAnsi="Arabic Typesetting" w:cs="Arabic Typesetting"/>
          <w:color w:val="212121"/>
          <w:sz w:val="32"/>
          <w:szCs w:val="32"/>
          <w:shd w:val="clear" w:color="auto" w:fill="FFFFFF"/>
          <w:rtl/>
        </w:rPr>
        <w:t>المَخْطُوطات.</w:t>
      </w:r>
      <w:r w:rsidRPr="00F308FE" w:rsidDel="001B4554">
        <w:rPr>
          <w:rFonts w:ascii="Arabic Typesetting" w:hAnsi="Arabic Typesetting" w:cs="Arabic Typesetting"/>
          <w:sz w:val="32"/>
          <w:szCs w:val="32"/>
          <w:lang w:val="fr-FR"/>
        </w:rPr>
        <w:t xml:space="preserve"> </w:t>
      </w:r>
    </w:p>
    <w:p w14:paraId="56DDE401" w14:textId="77777777" w:rsidR="00DB4AB8" w:rsidRDefault="00DB4AB8">
      <w:pPr>
        <w:pStyle w:val="Text"/>
        <w:rPr>
          <w:rFonts w:ascii="Brill" w:eastAsia="Brill" w:hAnsi="Brill" w:cs="Brill"/>
          <w:lang w:val="fr-FR"/>
        </w:rPr>
      </w:pPr>
    </w:p>
    <w:p w14:paraId="1980ED4E" w14:textId="77777777" w:rsidR="00DB4AB8" w:rsidRPr="00F308FE" w:rsidRDefault="00876BE0">
      <w:pPr>
        <w:pStyle w:val="Text"/>
        <w:jc w:val="both"/>
        <w:rPr>
          <w:rFonts w:ascii="Brill" w:eastAsia="Brill" w:hAnsi="Brill" w:cs="Brill"/>
          <w:sz w:val="28"/>
          <w:szCs w:val="28"/>
        </w:rPr>
      </w:pPr>
      <w:r w:rsidRPr="00F308FE">
        <w:rPr>
          <w:rFonts w:ascii="Brill" w:hAnsi="Brill"/>
          <w:sz w:val="28"/>
          <w:szCs w:val="28"/>
        </w:rPr>
        <w:t>Keywords</w:t>
      </w:r>
    </w:p>
    <w:p w14:paraId="021C953E" w14:textId="77777777" w:rsidR="00DB4AB8" w:rsidRDefault="00876BE0">
      <w:pPr>
        <w:pStyle w:val="Text"/>
        <w:jc w:val="both"/>
        <w:rPr>
          <w:rtl/>
        </w:rPr>
      </w:pPr>
      <w:r w:rsidRPr="00F308FE">
        <w:rPr>
          <w:rFonts w:ascii="Brill" w:hAnsi="Brill"/>
        </w:rPr>
        <w:t xml:space="preserve">Yemen, Cairo Genizah, Hebrew, Aramaic, history, 1899 C.E., Jewish community, Judaeo-Arabic, </w:t>
      </w:r>
      <w:r w:rsidRPr="009C31A0">
        <w:rPr>
          <w:rFonts w:ascii="Brill" w:hAnsi="Brill"/>
        </w:rPr>
        <w:t>marriage, Sanaa, Qā</w:t>
      </w:r>
      <w:r w:rsidRPr="009C31A0">
        <w:rPr>
          <w:rFonts w:ascii="Brill" w:hAnsi="Brill"/>
          <w:vertAlign w:val="superscript"/>
        </w:rPr>
        <w:t>ʿ</w:t>
      </w:r>
      <w:r w:rsidRPr="009C31A0">
        <w:rPr>
          <w:rFonts w:ascii="Brill" w:hAnsi="Brill"/>
        </w:rPr>
        <w:t xml:space="preserve"> Bīr al-</w:t>
      </w:r>
      <w:r w:rsidRPr="009C31A0">
        <w:rPr>
          <w:rFonts w:ascii="Brill" w:hAnsi="Brill"/>
          <w:vertAlign w:val="superscript"/>
        </w:rPr>
        <w:t>ʿ</w:t>
      </w:r>
      <w:r w:rsidRPr="009C31A0">
        <w:rPr>
          <w:rFonts w:ascii="Brill" w:hAnsi="Brill"/>
        </w:rPr>
        <w:t>Azab</w:t>
      </w:r>
    </w:p>
    <w:p w14:paraId="1D961F14" w14:textId="77777777" w:rsidR="00DB4AB8" w:rsidRPr="00F308FE" w:rsidRDefault="00DB4AB8">
      <w:pPr>
        <w:pStyle w:val="Text"/>
        <w:jc w:val="both"/>
        <w:rPr>
          <w:rFonts w:ascii="Brill" w:eastAsia="Brill" w:hAnsi="Brill" w:cs="Brill"/>
        </w:rPr>
      </w:pPr>
    </w:p>
    <w:p w14:paraId="2332F48C" w14:textId="77777777" w:rsidR="00DB4AB8" w:rsidRPr="00F308FE" w:rsidRDefault="00876BE0">
      <w:pPr>
        <w:pStyle w:val="Text"/>
        <w:jc w:val="both"/>
        <w:rPr>
          <w:rFonts w:ascii="Brill" w:eastAsia="Brill" w:hAnsi="Brill" w:cs="Brill"/>
          <w:sz w:val="28"/>
          <w:szCs w:val="28"/>
          <w:lang w:val="fr-FR"/>
        </w:rPr>
      </w:pPr>
      <w:r>
        <w:rPr>
          <w:rFonts w:ascii="Brill" w:hAnsi="Brill"/>
          <w:sz w:val="28"/>
          <w:szCs w:val="28"/>
          <w:lang w:val="fr-FR"/>
        </w:rPr>
        <w:t>Mots-clés</w:t>
      </w:r>
    </w:p>
    <w:p w14:paraId="74DC64C4" w14:textId="77777777" w:rsidR="00DB4AB8" w:rsidRPr="00F308FE" w:rsidRDefault="00876BE0">
      <w:pPr>
        <w:pStyle w:val="Text"/>
        <w:jc w:val="both"/>
        <w:rPr>
          <w:rFonts w:ascii="Brill" w:eastAsia="Brill" w:hAnsi="Brill" w:cs="Brill"/>
          <w:lang w:val="fr-FR"/>
        </w:rPr>
      </w:pPr>
      <w:r>
        <w:rPr>
          <w:rFonts w:ascii="Brill" w:hAnsi="Brill"/>
          <w:lang w:val="fr-FR"/>
        </w:rPr>
        <w:t xml:space="preserve">Yemen, Genizah du Caire, hébreu, araméen, histoire, 1899, communauté juive, judéo-arabe, </w:t>
      </w:r>
      <w:r w:rsidRPr="009C31A0">
        <w:rPr>
          <w:rFonts w:ascii="Brill" w:hAnsi="Brill"/>
          <w:lang w:val="fr-FR"/>
        </w:rPr>
        <w:t>marriage, Sanaa, Qā</w:t>
      </w:r>
      <w:r w:rsidRPr="009C31A0">
        <w:rPr>
          <w:rFonts w:ascii="Brill" w:hAnsi="Brill"/>
          <w:vertAlign w:val="superscript"/>
          <w:lang w:val="fr-FR"/>
        </w:rPr>
        <w:t>ʿ</w:t>
      </w:r>
      <w:r w:rsidRPr="009C31A0">
        <w:rPr>
          <w:rFonts w:ascii="Brill" w:hAnsi="Brill"/>
          <w:lang w:val="fr-FR"/>
        </w:rPr>
        <w:t xml:space="preserve"> Bīr al-</w:t>
      </w:r>
      <w:r w:rsidRPr="009C31A0">
        <w:rPr>
          <w:rFonts w:ascii="Brill" w:hAnsi="Brill"/>
          <w:vertAlign w:val="superscript"/>
          <w:lang w:val="fr-FR"/>
        </w:rPr>
        <w:t>ʿ</w:t>
      </w:r>
      <w:r w:rsidRPr="009C31A0">
        <w:rPr>
          <w:rFonts w:ascii="Brill" w:hAnsi="Brill"/>
          <w:lang w:val="fr-FR"/>
        </w:rPr>
        <w:t>Azab</w:t>
      </w:r>
    </w:p>
    <w:p w14:paraId="46129F1A" w14:textId="77777777" w:rsidR="00DB4AB8" w:rsidRPr="00F308FE" w:rsidRDefault="00DB4AB8">
      <w:pPr>
        <w:pStyle w:val="Text"/>
        <w:jc w:val="both"/>
        <w:rPr>
          <w:rFonts w:ascii="Arabic Typesetting" w:eastAsia="Brill" w:hAnsi="Arabic Typesetting" w:cs="Arabic Typesetting"/>
          <w:lang w:val="fr-FR"/>
        </w:rPr>
      </w:pPr>
    </w:p>
    <w:p w14:paraId="536E7180" w14:textId="77777777" w:rsidR="00DB4AB8" w:rsidRPr="00F308FE" w:rsidRDefault="00876BE0">
      <w:pPr>
        <w:pStyle w:val="Text"/>
        <w:bidi/>
        <w:rPr>
          <w:rFonts w:ascii="Arabic Typesetting" w:eastAsia="Tahoma" w:hAnsi="Arabic Typesetting" w:cs="Arabic Typesetting"/>
          <w:sz w:val="36"/>
          <w:szCs w:val="36"/>
          <w:rtl/>
        </w:rPr>
      </w:pPr>
      <w:r w:rsidRPr="00F308FE">
        <w:rPr>
          <w:rFonts w:ascii="Arabic Typesetting" w:hAnsi="Arabic Typesetting" w:cs="Arabic Typesetting" w:hint="eastAsia"/>
          <w:sz w:val="36"/>
          <w:szCs w:val="36"/>
          <w:rtl/>
          <w:lang w:val="ar-SA"/>
        </w:rPr>
        <w:t>تعابر</w:t>
      </w:r>
      <w:r w:rsidRPr="00F308FE">
        <w:rPr>
          <w:rFonts w:ascii="Arabic Typesetting" w:hAnsi="Arabic Typesetting" w:cs="Arabic Typesetting"/>
          <w:sz w:val="36"/>
          <w:szCs w:val="36"/>
          <w:rtl/>
          <w:lang w:val="ar-SA"/>
        </w:rPr>
        <w:t xml:space="preserve"> </w:t>
      </w:r>
      <w:r w:rsidRPr="00F308FE">
        <w:rPr>
          <w:rFonts w:ascii="Arabic Typesetting" w:hAnsi="Arabic Typesetting" w:cs="Arabic Typesetting" w:hint="eastAsia"/>
          <w:sz w:val="36"/>
          <w:szCs w:val="36"/>
          <w:rtl/>
          <w:lang w:val="ar-SA"/>
        </w:rPr>
        <w:t>رئيسية</w:t>
      </w:r>
    </w:p>
    <w:p w14:paraId="4F051929" w14:textId="77777777" w:rsidR="00DB4AB8" w:rsidRDefault="00F24011" w:rsidP="00F24011">
      <w:pPr>
        <w:pStyle w:val="Text"/>
        <w:bidi/>
        <w:rPr>
          <w:rFonts w:ascii="Brill" w:eastAsia="Brill" w:hAnsi="Brill" w:cs="Brill"/>
          <w:lang w:val="fr-FR"/>
        </w:rPr>
      </w:pPr>
      <w:r w:rsidRPr="00F24011">
        <w:rPr>
          <w:rFonts w:ascii="Arabic Typesetting" w:hAnsi="Arabic Typesetting" w:cs="Arabic Typesetting"/>
          <w:sz w:val="32"/>
          <w:szCs w:val="32"/>
          <w:rtl/>
          <w:lang w:val="ar-SA"/>
        </w:rPr>
        <w:t>اليمن، جنيزة القاهرة،</w:t>
      </w:r>
      <w:r w:rsidRPr="000430B5">
        <w:rPr>
          <w:rFonts w:ascii="Arabic Typesetting" w:hAnsi="Arabic Typesetting" w:cs="Arabic Typesetting"/>
          <w:sz w:val="32"/>
          <w:szCs w:val="32"/>
          <w:lang w:val="fr-FR"/>
        </w:rPr>
        <w:t> </w:t>
      </w:r>
      <w:r w:rsidRPr="00F24011">
        <w:rPr>
          <w:rFonts w:ascii="Arabic Typesetting" w:hAnsi="Arabic Typesetting" w:cs="Arabic Typesetting"/>
          <w:sz w:val="32"/>
          <w:szCs w:val="32"/>
          <w:rtl/>
          <w:lang w:val="ar-SA"/>
        </w:rPr>
        <w:t>العبرية، الآرامية، تاريخ، 1899، المجتمع اليهودي،</w:t>
      </w:r>
      <w:r w:rsidRPr="000430B5">
        <w:rPr>
          <w:rFonts w:ascii="Arabic Typesetting" w:hAnsi="Arabic Typesetting" w:cs="Arabic Typesetting"/>
          <w:sz w:val="32"/>
          <w:szCs w:val="32"/>
          <w:lang w:val="fr-FR"/>
        </w:rPr>
        <w:t> </w:t>
      </w:r>
      <w:r w:rsidRPr="00F24011">
        <w:rPr>
          <w:rFonts w:ascii="Arabic Typesetting" w:hAnsi="Arabic Typesetting" w:cs="Arabic Typesetting"/>
          <w:sz w:val="32"/>
          <w:szCs w:val="32"/>
          <w:rtl/>
          <w:lang w:val="ar-SA"/>
        </w:rPr>
        <w:t>اللغة العربية، زواج، صنعاء، قاع بير</w:t>
      </w:r>
      <w:r w:rsidRPr="000430B5">
        <w:rPr>
          <w:rFonts w:ascii="Arabic Typesetting" w:hAnsi="Arabic Typesetting" w:cs="Arabic Typesetting"/>
          <w:sz w:val="32"/>
          <w:szCs w:val="32"/>
          <w:lang w:val="fr-FR"/>
        </w:rPr>
        <w:t> </w:t>
      </w:r>
      <w:r w:rsidRPr="00F24011">
        <w:rPr>
          <w:rFonts w:ascii="Arabic Typesetting" w:hAnsi="Arabic Typesetting" w:cs="Arabic Typesetting"/>
          <w:sz w:val="32"/>
          <w:szCs w:val="32"/>
          <w:rtl/>
          <w:lang w:val="ar-SA"/>
        </w:rPr>
        <w:t>العزب</w:t>
      </w:r>
    </w:p>
    <w:p w14:paraId="11A315AF" w14:textId="77777777" w:rsidR="00DB4AB8" w:rsidRDefault="00DB4AB8">
      <w:pPr>
        <w:pStyle w:val="Text"/>
        <w:rPr>
          <w:rFonts w:ascii="Brill" w:eastAsia="Brill" w:hAnsi="Brill" w:cs="Brill"/>
          <w:lang w:val="fr-FR"/>
        </w:rPr>
      </w:pPr>
    </w:p>
    <w:p w14:paraId="3883A19B" w14:textId="77777777" w:rsidR="00F24011" w:rsidRDefault="00F24011">
      <w:pPr>
        <w:pStyle w:val="Text"/>
        <w:rPr>
          <w:rFonts w:ascii="Brill" w:eastAsia="Brill" w:hAnsi="Brill" w:cs="Brill"/>
          <w:lang w:val="fr-FR"/>
        </w:rPr>
      </w:pPr>
    </w:p>
    <w:p w14:paraId="2CDB98A4" w14:textId="77777777" w:rsidR="00DB4AB8" w:rsidRDefault="00876BE0">
      <w:pPr>
        <w:pStyle w:val="Text"/>
        <w:jc w:val="both"/>
        <w:rPr>
          <w:rFonts w:ascii="Brill" w:eastAsia="Brill" w:hAnsi="Brill" w:cs="Brill"/>
          <w:sz w:val="28"/>
          <w:szCs w:val="28"/>
        </w:rPr>
      </w:pPr>
      <w:r>
        <w:rPr>
          <w:rFonts w:ascii="Brill" w:hAnsi="Brill"/>
          <w:sz w:val="28"/>
          <w:szCs w:val="28"/>
        </w:rPr>
        <w:t>I. Introduction</w:t>
      </w:r>
    </w:p>
    <w:p w14:paraId="7F7BA38A" w14:textId="77777777" w:rsidR="00DB4AB8" w:rsidRDefault="00876BE0">
      <w:pPr>
        <w:pStyle w:val="Text"/>
        <w:spacing w:line="276" w:lineRule="auto"/>
        <w:jc w:val="both"/>
        <w:rPr>
          <w:rFonts w:ascii="Brill" w:eastAsia="Brill" w:hAnsi="Brill" w:cs="Brill"/>
        </w:rPr>
      </w:pPr>
      <w:r>
        <w:rPr>
          <w:rFonts w:ascii="Brill" w:hAnsi="Brill"/>
        </w:rPr>
        <w:t xml:space="preserve">The document presented here is a marriage deed, a </w:t>
      </w:r>
      <w:r>
        <w:rPr>
          <w:rFonts w:ascii="Brill" w:hAnsi="Brill"/>
          <w:i/>
          <w:iCs/>
        </w:rPr>
        <w:t>ketubba</w:t>
      </w:r>
      <w:r>
        <w:rPr>
          <w:rFonts w:ascii="Brill" w:hAnsi="Brill"/>
        </w:rPr>
        <w:t>, for two Yemeni Jews. It comes from the Jacques Mosseri Genizah Collection and is currently stored in Cambridge University Library.</w:t>
      </w:r>
      <w:r>
        <w:rPr>
          <w:rFonts w:ascii="Brill" w:eastAsia="Brill" w:hAnsi="Brill" w:cs="Brill"/>
          <w:vertAlign w:val="superscript"/>
        </w:rPr>
        <w:footnoteReference w:id="2"/>
      </w:r>
      <w:r>
        <w:rPr>
          <w:rFonts w:ascii="Brill" w:hAnsi="Brill"/>
        </w:rPr>
        <w:t xml:space="preserve"> It is of interest for two reasons: though discovered in Egypt, it originated in Yemen and because it was written in 1899 CE, it is the latest dated document to be found in the Genizah Collection.</w:t>
      </w:r>
      <w:r>
        <w:rPr>
          <w:rFonts w:ascii="Brill" w:eastAsia="Brill" w:hAnsi="Brill" w:cs="Brill"/>
          <w:vertAlign w:val="superscript"/>
        </w:rPr>
        <w:footnoteReference w:id="3"/>
      </w:r>
      <w:r>
        <w:rPr>
          <w:rFonts w:ascii="Brill" w:hAnsi="Brill"/>
        </w:rPr>
        <w:t xml:space="preserve"> While most of the manuscripts of the Cairo Genizah date to what is known as the classical Genizah period—the periods of Fatimid and Ayyubid governance in Egypt—there is also a substantial proportion that belongs to the later period under Ottoman rule. This includes leaves from books and documents in manuscript, mostly from the sixteenth and seventeenth centuries, but the finds extend all the way to the late nineteenth century.</w:t>
      </w:r>
    </w:p>
    <w:p w14:paraId="453DEEC7" w14:textId="77777777" w:rsidR="00DB4AB8" w:rsidRDefault="00876BE0" w:rsidP="000A4389">
      <w:pPr>
        <w:pStyle w:val="Text"/>
        <w:spacing w:line="276" w:lineRule="auto"/>
        <w:ind w:firstLine="567"/>
        <w:jc w:val="both"/>
        <w:rPr>
          <w:rFonts w:ascii="Brill" w:eastAsia="Brill" w:hAnsi="Brill" w:cs="Brill"/>
        </w:rPr>
      </w:pPr>
      <w:r>
        <w:rPr>
          <w:rFonts w:ascii="Brill" w:hAnsi="Brill"/>
        </w:rPr>
        <w:t>This manuscript is now part of a Genizah collection, but we cannot say for sure whether it was actually ever in the Cairo Genizah proper, that is, deposited in the sacred storeroom of the Ben Ezra Synagogue in Fusṭāṭ, Old Cairo; indeed, it is doubtful.</w:t>
      </w:r>
      <w:r>
        <w:rPr>
          <w:rFonts w:ascii="Brill" w:eastAsia="Brill" w:hAnsi="Brill" w:cs="Brill"/>
          <w:vertAlign w:val="superscript"/>
        </w:rPr>
        <w:footnoteReference w:id="4"/>
      </w:r>
      <w:r>
        <w:rPr>
          <w:rFonts w:ascii="Brill" w:hAnsi="Brill"/>
        </w:rPr>
        <w:t xml:space="preserve"> The material in the Jacques Mosseri Collection was gathered from a variety of sources over a decade after Solomon Schechter </w:t>
      </w:r>
      <w:r>
        <w:rPr>
          <w:rFonts w:ascii="Brill" w:hAnsi="Brill"/>
        </w:rPr>
        <w:lastRenderedPageBreak/>
        <w:t>had carried away the greater part of the manuscript hoard from the synagogue.</w:t>
      </w:r>
      <w:r>
        <w:rPr>
          <w:rFonts w:ascii="Brill" w:eastAsia="Brill" w:hAnsi="Brill" w:cs="Brill"/>
          <w:vertAlign w:val="superscript"/>
        </w:rPr>
        <w:footnoteReference w:id="5"/>
      </w:r>
      <w:r>
        <w:rPr>
          <w:rFonts w:ascii="Brill" w:hAnsi="Brill"/>
        </w:rPr>
        <w:t xml:space="preserve"> Jacques (Jack) Mosseri, a native of Egypt, was better placed to carry out a more wide-ranging search than the Cambridge scholar Schechter. In an article in </w:t>
      </w:r>
      <w:r>
        <w:rPr>
          <w:rFonts w:ascii="Brill" w:hAnsi="Brill"/>
          <w:i/>
          <w:iCs/>
        </w:rPr>
        <w:t>The Jewish Review</w:t>
      </w:r>
      <w:r>
        <w:rPr>
          <w:rFonts w:ascii="Brill" w:hAnsi="Brill"/>
        </w:rPr>
        <w:t xml:space="preserve">, Mosseri wrote that his discoveries came from the original Genizah (a few), from hoards buried in the synagogue precincts, the Jewish </w:t>
      </w:r>
      <w:r w:rsidRPr="000A4389">
        <w:rPr>
          <w:rFonts w:ascii="Brill" w:hAnsi="Brill"/>
        </w:rPr>
        <w:t>cemetery at al-Bas</w:t>
      </w:r>
      <w:r w:rsidR="000A4389" w:rsidRPr="000A4389">
        <w:rPr>
          <w:rFonts w:ascii="Brill" w:hAnsi="Brill" w:cs="Times New Roman"/>
        </w:rPr>
        <w:t>ā</w:t>
      </w:r>
      <w:r w:rsidRPr="000A4389">
        <w:rPr>
          <w:rFonts w:ascii="Brill" w:hAnsi="Brill"/>
        </w:rPr>
        <w:t>t</w:t>
      </w:r>
      <w:r w:rsidR="000A4389" w:rsidRPr="000A4389">
        <w:rPr>
          <w:rFonts w:ascii="Brill" w:hAnsi="Brill" w:cs="Times New Roman"/>
        </w:rPr>
        <w:t>ī</w:t>
      </w:r>
      <w:r w:rsidRPr="000A4389">
        <w:rPr>
          <w:rFonts w:ascii="Brill" w:hAnsi="Brill"/>
        </w:rPr>
        <w:t>n (between central Cairo and the suburb of al-Maʿ</w:t>
      </w:r>
      <w:r w:rsidR="000A4389" w:rsidRPr="000A4389">
        <w:rPr>
          <w:rFonts w:ascii="Brill" w:hAnsi="Brill" w:cs="Times New Roman"/>
        </w:rPr>
        <w:t>ā</w:t>
      </w:r>
      <w:r w:rsidRPr="000A4389">
        <w:rPr>
          <w:rFonts w:ascii="Brill" w:hAnsi="Brill"/>
        </w:rPr>
        <w:t>d</w:t>
      </w:r>
      <w:r w:rsidR="000A4389" w:rsidRPr="000A4389">
        <w:rPr>
          <w:rFonts w:ascii="Brill" w:hAnsi="Brill" w:cs="Times New Roman"/>
        </w:rPr>
        <w:t>ī</w:t>
      </w:r>
      <w:r w:rsidRPr="000A4389">
        <w:rPr>
          <w:rFonts w:ascii="Brill" w:hAnsi="Brill"/>
        </w:rPr>
        <w:t>) and from other</w:t>
      </w:r>
      <w:r>
        <w:rPr>
          <w:rFonts w:ascii="Brill" w:hAnsi="Brill"/>
        </w:rPr>
        <w:t xml:space="preserve"> sources in Cairo.</w:t>
      </w:r>
      <w:r>
        <w:rPr>
          <w:rFonts w:ascii="Brill" w:eastAsia="Brill" w:hAnsi="Brill" w:cs="Brill"/>
          <w:vertAlign w:val="superscript"/>
        </w:rPr>
        <w:footnoteReference w:id="6"/>
      </w:r>
    </w:p>
    <w:p w14:paraId="73FE15B1" w14:textId="77777777" w:rsidR="00DB4AB8" w:rsidRDefault="00876BE0" w:rsidP="000A4389">
      <w:pPr>
        <w:pStyle w:val="Text"/>
        <w:spacing w:line="276" w:lineRule="auto"/>
        <w:ind w:firstLine="567"/>
        <w:jc w:val="both"/>
        <w:rPr>
          <w:rFonts w:ascii="Brill" w:eastAsia="Brill" w:hAnsi="Brill" w:cs="Brill"/>
        </w:rPr>
      </w:pPr>
      <w:r>
        <w:rPr>
          <w:rFonts w:ascii="Brill" w:hAnsi="Brill"/>
        </w:rPr>
        <w:t xml:space="preserve">It would not be surprising, however, if this document, a marriage deed, had been deposited in the Genizah, since over the centuries large numbers of </w:t>
      </w:r>
      <w:r>
        <w:rPr>
          <w:rFonts w:ascii="Brill" w:hAnsi="Brill"/>
          <w:i/>
          <w:iCs/>
        </w:rPr>
        <w:t>ketubbot</w:t>
      </w:r>
      <w:r>
        <w:rPr>
          <w:rFonts w:ascii="Brill" w:hAnsi="Brill"/>
        </w:rPr>
        <w:t xml:space="preserve"> found their way there, from the tenth century onwards.</w:t>
      </w:r>
      <w:r>
        <w:rPr>
          <w:rFonts w:ascii="Brill" w:eastAsia="Brill" w:hAnsi="Brill" w:cs="Brill"/>
          <w:vertAlign w:val="superscript"/>
        </w:rPr>
        <w:footnoteReference w:id="7"/>
      </w:r>
      <w:r>
        <w:rPr>
          <w:rFonts w:ascii="Brill" w:hAnsi="Brill"/>
        </w:rPr>
        <w:t xml:space="preserve"> The fact that it is Yemenite, and of such a late date, marks it out as unusual. It is not a straightforward </w:t>
      </w:r>
      <w:r>
        <w:rPr>
          <w:rFonts w:ascii="Brill" w:hAnsi="Brill"/>
          <w:i/>
          <w:iCs/>
        </w:rPr>
        <w:t>ketubba</w:t>
      </w:r>
      <w:r>
        <w:rPr>
          <w:rFonts w:ascii="Brill" w:hAnsi="Brill"/>
        </w:rPr>
        <w:t xml:space="preserve">, but a replacement marriage deed, since the couple’s earlier deed was mislaid. Jewish law requires that a replacement </w:t>
      </w:r>
      <w:r>
        <w:rPr>
          <w:rFonts w:ascii="Brill" w:hAnsi="Brill"/>
          <w:i/>
          <w:iCs/>
        </w:rPr>
        <w:t>ketubba</w:t>
      </w:r>
      <w:r>
        <w:rPr>
          <w:rFonts w:ascii="Brill" w:hAnsi="Brill"/>
        </w:rPr>
        <w:t xml:space="preserve"> is written, in the case of loss, to ensure that the husband’s obligations to his bride are not forgotten, waived or ignored: a couple cannot cohabit without a written legal agreement. The husband, Sālim ibn Hārūn, did not know the date of his original </w:t>
      </w:r>
      <w:r>
        <w:rPr>
          <w:rFonts w:ascii="Brill" w:hAnsi="Brill"/>
          <w:i/>
          <w:iCs/>
        </w:rPr>
        <w:t>ketubba</w:t>
      </w:r>
      <w:r>
        <w:rPr>
          <w:rFonts w:ascii="Brill" w:hAnsi="Brill"/>
        </w:rPr>
        <w:t>, but the replacement was written in the Jewish quarter in Sanaa on 14th June 1899.</w:t>
      </w:r>
    </w:p>
    <w:p w14:paraId="7593197D" w14:textId="77777777" w:rsidR="00DB4AB8" w:rsidRDefault="00876BE0" w:rsidP="00F24011">
      <w:pPr>
        <w:pStyle w:val="Text"/>
        <w:spacing w:line="276" w:lineRule="auto"/>
        <w:ind w:firstLine="567"/>
        <w:jc w:val="both"/>
        <w:rPr>
          <w:rFonts w:ascii="Brill" w:eastAsia="Brill" w:hAnsi="Brill" w:cs="Brill"/>
        </w:rPr>
      </w:pPr>
      <w:r>
        <w:rPr>
          <w:rFonts w:ascii="Brill" w:hAnsi="Brill"/>
        </w:rPr>
        <w:t xml:space="preserve">Given that date and the fact that Jack Mosseri assembled his collection in 1909–1912, this document must have found its way either into the Cairo Genizah, or perhaps a different genizah in Cairo, or into some kind of community document repository in a relatively short period of time after being written. The couple were still in Yemen, in Sanaa, in the middle of 1899, but, by 1912 at the latest, the </w:t>
      </w:r>
      <w:r>
        <w:rPr>
          <w:rFonts w:ascii="Brill" w:hAnsi="Brill"/>
          <w:i/>
          <w:iCs/>
        </w:rPr>
        <w:t>ketubba</w:t>
      </w:r>
      <w:r>
        <w:rPr>
          <w:rFonts w:ascii="Brill" w:hAnsi="Brill"/>
        </w:rPr>
        <w:t xml:space="preserve"> was in Egypt, most probably in Cairo, to fall into the hands of the acquisitive Jack </w:t>
      </w:r>
      <w:r>
        <w:rPr>
          <w:rFonts w:ascii="Brill" w:hAnsi="Brill"/>
          <w:lang w:val="it-IT"/>
        </w:rPr>
        <w:t>Mosseri.</w:t>
      </w:r>
    </w:p>
    <w:p w14:paraId="2745C9B9" w14:textId="77777777" w:rsidR="00DB4AB8" w:rsidRDefault="00876BE0" w:rsidP="00F24011">
      <w:pPr>
        <w:pStyle w:val="Text"/>
        <w:spacing w:line="276" w:lineRule="auto"/>
        <w:ind w:firstLine="567"/>
        <w:jc w:val="both"/>
        <w:rPr>
          <w:rFonts w:ascii="Brill" w:eastAsia="Brill" w:hAnsi="Brill" w:cs="Brill"/>
        </w:rPr>
      </w:pPr>
      <w:r>
        <w:rPr>
          <w:rFonts w:ascii="Brill" w:hAnsi="Brill"/>
        </w:rPr>
        <w:t>There were a number of waves of Yemeni Jewish emigration in the nineteenth–early twentieth centuries following the opening up of Yemen to the wider world and the difficult political and economic situation of the Jews there.</w:t>
      </w:r>
      <w:r>
        <w:rPr>
          <w:rFonts w:ascii="Brill" w:eastAsia="Brill" w:hAnsi="Brill" w:cs="Brill"/>
          <w:vertAlign w:val="superscript"/>
        </w:rPr>
        <w:footnoteReference w:id="8"/>
      </w:r>
      <w:r>
        <w:rPr>
          <w:rFonts w:ascii="Brill" w:hAnsi="Brill"/>
        </w:rPr>
        <w:t xml:space="preserve"> Yemeni Jews emigrated in large numbers for Palestine, but also settled in Egypt and even India. The first Yemeni emigrants destined for </w:t>
      </w:r>
      <w:r>
        <w:rPr>
          <w:rFonts w:ascii="Brill" w:hAnsi="Brill"/>
        </w:rPr>
        <w:lastRenderedPageBreak/>
        <w:t>Palestine in 1881 took a route through Suez and then on to Alexandria, before taking ship for Jaffa.</w:t>
      </w:r>
      <w:r>
        <w:rPr>
          <w:rFonts w:ascii="Brill" w:eastAsia="Brill" w:hAnsi="Brill" w:cs="Brill"/>
          <w:vertAlign w:val="superscript"/>
        </w:rPr>
        <w:footnoteReference w:id="9"/>
      </w:r>
      <w:r>
        <w:rPr>
          <w:rFonts w:ascii="Brill" w:hAnsi="Brill"/>
        </w:rPr>
        <w:t xml:space="preserve"> This is too early for the owners of the </w:t>
      </w:r>
      <w:r>
        <w:rPr>
          <w:rFonts w:ascii="Brill" w:hAnsi="Brill"/>
          <w:i/>
          <w:iCs/>
        </w:rPr>
        <w:t>ketubba</w:t>
      </w:r>
      <w:r>
        <w:rPr>
          <w:rFonts w:ascii="Brill" w:hAnsi="Brill"/>
        </w:rPr>
        <w:t>, but they could have been among subsequent waves of Yemeni immigrants, particularly those in 1910, when two large groups from the Yemen reached Palestine.</w:t>
      </w:r>
      <w:r>
        <w:rPr>
          <w:rFonts w:ascii="Brill" w:eastAsia="Brill" w:hAnsi="Brill" w:cs="Brill"/>
          <w:vertAlign w:val="superscript"/>
        </w:rPr>
        <w:footnoteReference w:id="10"/>
      </w:r>
      <w:r>
        <w:rPr>
          <w:rFonts w:ascii="Brill" w:hAnsi="Brill"/>
        </w:rPr>
        <w:t xml:space="preserve"> Whether they themselves travelled to the Holy Land before returning to Egypt, perhaps due to the harsh conditions they found there, or whether they never left Egypt is impossible to say, with the evidence available. The difficult conditions, particularly in Jerusalem, did lead a number of Yemeni Jewish migrants to Palestine to return and re-settle in Egypt.</w:t>
      </w:r>
      <w:r>
        <w:rPr>
          <w:rFonts w:ascii="Brill" w:eastAsia="Brill" w:hAnsi="Brill" w:cs="Brill"/>
          <w:vertAlign w:val="superscript"/>
        </w:rPr>
        <w:footnoteReference w:id="11"/>
      </w:r>
    </w:p>
    <w:p w14:paraId="3B5874AE" w14:textId="77777777" w:rsidR="00DB4AB8" w:rsidRDefault="00DB4AB8">
      <w:pPr>
        <w:pStyle w:val="Text"/>
        <w:spacing w:line="276" w:lineRule="auto"/>
        <w:jc w:val="both"/>
        <w:rPr>
          <w:rFonts w:ascii="Brill" w:eastAsia="Brill" w:hAnsi="Brill" w:cs="Brill"/>
        </w:rPr>
      </w:pPr>
    </w:p>
    <w:p w14:paraId="4B811313" w14:textId="77777777" w:rsidR="00DB4AB8" w:rsidRDefault="00876BE0">
      <w:pPr>
        <w:pStyle w:val="Text"/>
        <w:spacing w:line="276" w:lineRule="auto"/>
        <w:jc w:val="both"/>
        <w:rPr>
          <w:rFonts w:ascii="Brill" w:eastAsia="Brill" w:hAnsi="Brill" w:cs="Brill"/>
          <w:sz w:val="28"/>
          <w:szCs w:val="28"/>
        </w:rPr>
      </w:pPr>
      <w:r>
        <w:rPr>
          <w:rFonts w:ascii="Brill" w:hAnsi="Brill"/>
          <w:sz w:val="28"/>
          <w:szCs w:val="28"/>
        </w:rPr>
        <w:t>II. Ketubbas</w:t>
      </w:r>
    </w:p>
    <w:p w14:paraId="31C58DE7" w14:textId="77777777" w:rsidR="00DB4AB8" w:rsidRDefault="00876BE0">
      <w:pPr>
        <w:pStyle w:val="Text"/>
        <w:spacing w:line="276" w:lineRule="auto"/>
        <w:jc w:val="both"/>
        <w:rPr>
          <w:rFonts w:ascii="Brill" w:eastAsia="Brill" w:hAnsi="Brill" w:cs="Brill"/>
        </w:rPr>
      </w:pPr>
      <w:r>
        <w:rPr>
          <w:rFonts w:ascii="Brill" w:hAnsi="Brill"/>
        </w:rPr>
        <w:t xml:space="preserve">As befits a document produced by the highly literate Yemenite Jewish community, the </w:t>
      </w:r>
      <w:r>
        <w:rPr>
          <w:rFonts w:ascii="Brill" w:hAnsi="Brill"/>
          <w:i/>
          <w:iCs/>
        </w:rPr>
        <w:t>ketubba</w:t>
      </w:r>
      <w:r>
        <w:rPr>
          <w:rFonts w:ascii="Brill" w:hAnsi="Brill"/>
        </w:rPr>
        <w:t xml:space="preserve"> is immaculate in linguistic style and execution. It is written predominantly in Babylonian Jewish Aramaic, the language of the Babylonian form of the </w:t>
      </w:r>
      <w:r>
        <w:rPr>
          <w:rFonts w:ascii="Brill" w:hAnsi="Brill"/>
          <w:i/>
          <w:iCs/>
        </w:rPr>
        <w:t>ketubba</w:t>
      </w:r>
      <w:r>
        <w:rPr>
          <w:rFonts w:ascii="Brill" w:hAnsi="Brill"/>
        </w:rPr>
        <w:t xml:space="preserve">, with additions in Hebrew and Judaeo-Arabic. With the sole exception of the word </w:t>
      </w:r>
      <w:r>
        <w:rPr>
          <w:rFonts w:ascii="Arial Unicode MS" w:hAnsi="Arial Unicode MS" w:cs="Times New Roman" w:hint="cs"/>
          <w:rtl/>
          <w:lang w:val="he-IL" w:bidi="he-IL"/>
        </w:rPr>
        <w:t>אלמכונה</w:t>
      </w:r>
      <w:r>
        <w:rPr>
          <w:rFonts w:ascii="Brill" w:hAnsi="Brill"/>
        </w:rPr>
        <w:t xml:space="preserve">, which is a mixed form (a Hebrew participle with the Arabic definite article), the languages are not intermixed, and there is no real evidence of overt linguistic influence of the Arabic vernacular on the two ancient languages of the marriage deed itself. The basic form of the deed is Babylonian Aramaic; Hebrew is used for later halakhic interpolations, such as the phrase taken from Moses Maimonides’ form of the marriage deed in his work the </w:t>
      </w:r>
      <w:r>
        <w:rPr>
          <w:rFonts w:ascii="Brill" w:hAnsi="Brill"/>
          <w:i/>
          <w:iCs/>
        </w:rPr>
        <w:t>Miš</w:t>
      </w:r>
      <w:r>
        <w:rPr>
          <w:rFonts w:ascii="Brill" w:hAnsi="Brill"/>
          <w:i/>
          <w:iCs/>
          <w:lang w:val="de-DE"/>
        </w:rPr>
        <w:t>ne Tora</w:t>
      </w:r>
      <w:r>
        <w:rPr>
          <w:rFonts w:ascii="Brill" w:hAnsi="Brill"/>
        </w:rPr>
        <w:t xml:space="preserve"> (ll. 16–17), and Arabic is used to specify the financial information in contemporary monetary terms (e.g. ll. 19–22).</w:t>
      </w:r>
    </w:p>
    <w:p w14:paraId="02E1B422" w14:textId="77777777" w:rsidR="00DB4AB8" w:rsidRDefault="00876BE0">
      <w:pPr>
        <w:pStyle w:val="Text"/>
        <w:spacing w:line="276" w:lineRule="auto"/>
        <w:ind w:firstLine="567"/>
        <w:jc w:val="both"/>
        <w:rPr>
          <w:rFonts w:ascii="Brill" w:eastAsia="Brill" w:hAnsi="Brill" w:cs="Brill"/>
        </w:rPr>
      </w:pPr>
      <w:r>
        <w:rPr>
          <w:rFonts w:ascii="Brill" w:hAnsi="Brill"/>
        </w:rPr>
        <w:t xml:space="preserve">The additional deed on verso is mostly written in Arabic, since it is a separate financial arrangement, relating to a debt owed by the husband to his wife, and not part of the Aramaic </w:t>
      </w:r>
      <w:r>
        <w:rPr>
          <w:rFonts w:ascii="Brill" w:hAnsi="Brill"/>
          <w:i/>
          <w:iCs/>
        </w:rPr>
        <w:t>ketubba</w:t>
      </w:r>
      <w:r>
        <w:rPr>
          <w:rFonts w:ascii="Brill" w:hAnsi="Brill"/>
        </w:rPr>
        <w:t xml:space="preserve"> proper.</w:t>
      </w:r>
    </w:p>
    <w:p w14:paraId="27C82E55" w14:textId="77777777" w:rsidR="00DB4AB8" w:rsidRDefault="00DB4AB8">
      <w:pPr>
        <w:pStyle w:val="Text"/>
        <w:spacing w:line="276" w:lineRule="auto"/>
        <w:jc w:val="both"/>
        <w:rPr>
          <w:rFonts w:ascii="Brill" w:eastAsia="Brill" w:hAnsi="Brill" w:cs="Brill"/>
        </w:rPr>
      </w:pPr>
    </w:p>
    <w:p w14:paraId="45A62C47" w14:textId="77777777" w:rsidR="00DB4AB8" w:rsidRDefault="00876BE0">
      <w:pPr>
        <w:pStyle w:val="Text"/>
        <w:spacing w:line="276" w:lineRule="auto"/>
        <w:jc w:val="both"/>
        <w:outlineLvl w:val="0"/>
        <w:rPr>
          <w:rFonts w:ascii="Brill" w:eastAsia="Brill" w:hAnsi="Brill" w:cs="Brill"/>
          <w:sz w:val="28"/>
          <w:szCs w:val="28"/>
        </w:rPr>
      </w:pPr>
      <w:r>
        <w:rPr>
          <w:rFonts w:ascii="Brill" w:hAnsi="Brill"/>
          <w:sz w:val="28"/>
          <w:szCs w:val="28"/>
        </w:rPr>
        <w:t>III. The Jacques Mosseri Collection at Cambridge University Library, Mosseri VII.19</w:t>
      </w:r>
    </w:p>
    <w:p w14:paraId="12FD6F85" w14:textId="77777777" w:rsidR="00DB4AB8" w:rsidRDefault="00876BE0">
      <w:pPr>
        <w:pStyle w:val="Text"/>
        <w:spacing w:line="276" w:lineRule="auto"/>
        <w:jc w:val="both"/>
        <w:outlineLvl w:val="0"/>
        <w:rPr>
          <w:rFonts w:ascii="Brill" w:eastAsia="Brill" w:hAnsi="Brill" w:cs="Brill"/>
          <w:sz w:val="26"/>
          <w:szCs w:val="26"/>
        </w:rPr>
      </w:pPr>
      <w:r>
        <w:rPr>
          <w:rFonts w:ascii="Brill" w:hAnsi="Brill"/>
          <w:sz w:val="26"/>
          <w:szCs w:val="26"/>
        </w:rPr>
        <w:t>1. A note on the transcription</w:t>
      </w:r>
    </w:p>
    <w:p w14:paraId="1FABFEFC" w14:textId="77777777" w:rsidR="00DB4AB8" w:rsidRDefault="00876BE0" w:rsidP="000B1328">
      <w:pPr>
        <w:pStyle w:val="Text"/>
        <w:spacing w:line="276" w:lineRule="auto"/>
        <w:jc w:val="both"/>
        <w:outlineLvl w:val="0"/>
        <w:rPr>
          <w:rFonts w:ascii="Brill" w:eastAsia="Brill" w:hAnsi="Brill" w:cs="Brill"/>
        </w:rPr>
      </w:pPr>
      <w:r>
        <w:rPr>
          <w:rFonts w:ascii="Brill" w:hAnsi="Brill"/>
        </w:rPr>
        <w:t xml:space="preserve">The scribe Levi ibn Yaḥyā uses various reading signs, such as Hebrew </w:t>
      </w:r>
      <w:r>
        <w:rPr>
          <w:rFonts w:ascii="Brill" w:hAnsi="Brill"/>
          <w:i/>
          <w:iCs/>
          <w:lang w:val="de-DE"/>
        </w:rPr>
        <w:t>gere</w:t>
      </w:r>
      <w:r>
        <w:rPr>
          <w:rFonts w:ascii="Brill" w:hAnsi="Brill"/>
          <w:i/>
          <w:iCs/>
        </w:rPr>
        <w:t>š</w:t>
      </w:r>
      <w:r>
        <w:rPr>
          <w:rFonts w:ascii="Brill" w:hAnsi="Brill"/>
        </w:rPr>
        <w:t xml:space="preserve">, for shortened words and for the Arabic </w:t>
      </w:r>
      <w:r>
        <w:rPr>
          <w:rFonts w:ascii="Brill" w:hAnsi="Brill"/>
          <w:i/>
          <w:iCs/>
        </w:rPr>
        <w:t>tāʾ marbūṭa</w:t>
      </w:r>
      <w:r>
        <w:rPr>
          <w:rFonts w:ascii="Brill" w:hAnsi="Brill"/>
        </w:rPr>
        <w:t xml:space="preserve">. He uses an occasional </w:t>
      </w:r>
      <w:r>
        <w:rPr>
          <w:rFonts w:ascii="Brill" w:hAnsi="Brill"/>
          <w:i/>
          <w:iCs/>
          <w:lang w:val="it-IT"/>
        </w:rPr>
        <w:t>fat</w:t>
      </w:r>
      <w:r>
        <w:rPr>
          <w:rFonts w:ascii="Brill" w:hAnsi="Brill"/>
          <w:i/>
          <w:iCs/>
        </w:rPr>
        <w:t>ḥa</w:t>
      </w:r>
      <w:r>
        <w:rPr>
          <w:rFonts w:ascii="Brill" w:hAnsi="Brill"/>
        </w:rPr>
        <w:t xml:space="preserve"> on Arabic words (in the additional text on verso; reproduced as a Hebrew </w:t>
      </w:r>
      <w:r>
        <w:rPr>
          <w:rFonts w:ascii="Brill" w:hAnsi="Brill"/>
          <w:i/>
          <w:iCs/>
          <w:lang w:val="de-DE"/>
        </w:rPr>
        <w:t>gere</w:t>
      </w:r>
      <w:r>
        <w:rPr>
          <w:rFonts w:ascii="Brill" w:hAnsi="Brill"/>
          <w:i/>
          <w:iCs/>
        </w:rPr>
        <w:t>š</w:t>
      </w:r>
      <w:r>
        <w:rPr>
          <w:rFonts w:ascii="Brill" w:hAnsi="Brill"/>
        </w:rPr>
        <w:t xml:space="preserve"> in our transcription). Supralinear dots are used to denote the spirant forms of certain Hebrew or Aramaic consonants, certain Arabic consonants that normally receive dots (e.g., on </w:t>
      </w:r>
      <w:r>
        <w:rPr>
          <w:rFonts w:ascii="Arial Unicode MS" w:hAnsi="Arial Unicode MS" w:cs="Times New Roman" w:hint="cs"/>
          <w:rtl/>
          <w:lang w:val="he-IL" w:bidi="he-IL"/>
        </w:rPr>
        <w:t>פצׄה</w:t>
      </w:r>
      <w:r>
        <w:rPr>
          <w:rFonts w:ascii="Brill" w:hAnsi="Brill"/>
        </w:rPr>
        <w:t xml:space="preserve">, </w:t>
      </w:r>
      <w:r w:rsidRPr="000B1328">
        <w:rPr>
          <w:rFonts w:ascii="Arabic Typesetting" w:hAnsi="Arabic Typesetting" w:cs="Arabic Typesetting"/>
          <w:sz w:val="32"/>
          <w:szCs w:val="32"/>
          <w:rtl/>
          <w:lang w:val="ar-SA"/>
        </w:rPr>
        <w:t>فضــــة</w:t>
      </w:r>
      <w:r>
        <w:rPr>
          <w:rFonts w:ascii="Brill" w:hAnsi="Brill"/>
          <w:lang w:val="es-ES_tradnl"/>
        </w:rPr>
        <w:t xml:space="preserve">, </w:t>
      </w:r>
      <w:r>
        <w:rPr>
          <w:rFonts w:ascii="Brill" w:hAnsi="Brill"/>
          <w:i/>
          <w:iCs/>
        </w:rPr>
        <w:t>fiḍḍa</w:t>
      </w:r>
      <w:r>
        <w:rPr>
          <w:rFonts w:ascii="Brill" w:hAnsi="Brill"/>
        </w:rPr>
        <w:t>, “</w:t>
      </w:r>
      <w:r>
        <w:rPr>
          <w:rFonts w:ascii="Brill" w:hAnsi="Brill"/>
          <w:lang w:val="it-IT"/>
        </w:rPr>
        <w:t>silver</w:t>
      </w:r>
      <w:r>
        <w:rPr>
          <w:rFonts w:ascii="Brill" w:hAnsi="Brill"/>
        </w:rPr>
        <w:t xml:space="preserve">”), and to mark Hebrew and Aramaic acronyms. He uses a horizontal line (a Hebrew </w:t>
      </w:r>
      <w:r>
        <w:rPr>
          <w:rFonts w:ascii="Brill" w:hAnsi="Brill"/>
          <w:i/>
          <w:iCs/>
          <w:lang w:val="de-DE"/>
        </w:rPr>
        <w:t>rafe</w:t>
      </w:r>
      <w:r>
        <w:rPr>
          <w:rFonts w:ascii="Brill" w:hAnsi="Brill"/>
        </w:rPr>
        <w:t xml:space="preserve">) for Arabic </w:t>
      </w:r>
      <w:r>
        <w:rPr>
          <w:rFonts w:ascii="Brill" w:hAnsi="Brill"/>
          <w:i/>
          <w:iCs/>
        </w:rPr>
        <w:t>š</w:t>
      </w:r>
      <w:r>
        <w:rPr>
          <w:rFonts w:ascii="Brill" w:hAnsi="Brill"/>
          <w:i/>
          <w:iCs/>
          <w:lang w:val="nl-NL"/>
        </w:rPr>
        <w:t>adda</w:t>
      </w:r>
      <w:r>
        <w:rPr>
          <w:rFonts w:ascii="Brill" w:hAnsi="Brill"/>
        </w:rPr>
        <w:t>.</w:t>
      </w:r>
    </w:p>
    <w:p w14:paraId="2461CFD5" w14:textId="77777777" w:rsidR="00DB4AB8" w:rsidRDefault="00DB4AB8">
      <w:pPr>
        <w:pStyle w:val="Text"/>
        <w:spacing w:line="276" w:lineRule="auto"/>
        <w:jc w:val="both"/>
        <w:outlineLvl w:val="0"/>
        <w:rPr>
          <w:rFonts w:ascii="Brill" w:eastAsia="Brill" w:hAnsi="Brill" w:cs="Brill"/>
        </w:rPr>
      </w:pPr>
    </w:p>
    <w:p w14:paraId="576EE064" w14:textId="77777777" w:rsidR="00DB4AB8" w:rsidRDefault="00876BE0">
      <w:pPr>
        <w:pStyle w:val="Text"/>
        <w:spacing w:line="276" w:lineRule="auto"/>
        <w:jc w:val="both"/>
        <w:outlineLvl w:val="0"/>
        <w:rPr>
          <w:rFonts w:ascii="Brill" w:eastAsia="Brill" w:hAnsi="Brill" w:cs="Brill"/>
          <w:sz w:val="26"/>
          <w:szCs w:val="26"/>
        </w:rPr>
      </w:pPr>
      <w:r>
        <w:rPr>
          <w:rFonts w:ascii="Brill" w:hAnsi="Brill"/>
          <w:sz w:val="26"/>
          <w:szCs w:val="26"/>
          <w:lang w:val="de-DE"/>
        </w:rPr>
        <w:t>2. Text edition</w:t>
      </w:r>
    </w:p>
    <w:p w14:paraId="53A33724" w14:textId="77777777" w:rsidR="00DB4AB8" w:rsidRDefault="00876BE0">
      <w:pPr>
        <w:pStyle w:val="Text"/>
        <w:spacing w:line="276" w:lineRule="auto"/>
        <w:jc w:val="both"/>
        <w:outlineLvl w:val="0"/>
        <w:rPr>
          <w:rtl/>
        </w:rPr>
      </w:pPr>
      <w:r>
        <w:rPr>
          <w:rFonts w:ascii="Brill" w:hAnsi="Brill"/>
          <w:lang w:val="es-ES_tradnl"/>
        </w:rPr>
        <w:lastRenderedPageBreak/>
        <w:t>Recto</w:t>
      </w:r>
    </w:p>
    <w:p w14:paraId="37873F9D" w14:textId="77777777" w:rsidR="00DB4AB8" w:rsidRDefault="00876BE0">
      <w:pPr>
        <w:pStyle w:val="Text"/>
        <w:bidi/>
        <w:spacing w:line="276" w:lineRule="auto"/>
        <w:rPr>
          <w:rtl/>
        </w:rPr>
      </w:pPr>
      <w:r>
        <w:rPr>
          <w:rtl/>
          <w:lang w:val="ar-SA"/>
        </w:rPr>
        <w:t>1</w:t>
      </w:r>
      <w:r>
        <w:rPr>
          <w:rtl/>
          <w:lang w:val="ar-SA"/>
        </w:rPr>
        <w:tab/>
      </w:r>
      <w:r>
        <w:rPr>
          <w:rtl/>
          <w:lang w:val="ar-SA"/>
        </w:rPr>
        <w:tab/>
      </w:r>
      <w:r>
        <w:rPr>
          <w:rtl/>
          <w:lang w:val="ar-SA"/>
        </w:rPr>
        <w:tab/>
      </w:r>
      <w:r>
        <w:rPr>
          <w:rFonts w:ascii="Arial Unicode MS" w:hAnsi="Arial Unicode MS" w:cs="Times New Roman" w:hint="cs"/>
          <w:rtl/>
          <w:lang w:val="he-IL" w:bidi="he-IL"/>
        </w:rPr>
        <w:t>לסימן</w:t>
      </w:r>
      <w:r>
        <w:rPr>
          <w:rtl/>
          <w:lang w:val="ar-SA"/>
        </w:rPr>
        <w:t xml:space="preserve"> </w:t>
      </w:r>
      <w:r>
        <w:rPr>
          <w:rFonts w:ascii="Arial Unicode MS" w:hAnsi="Arial Unicode MS" w:cs="Times New Roman" w:hint="cs"/>
          <w:rtl/>
          <w:lang w:val="he-IL" w:bidi="he-IL"/>
        </w:rPr>
        <w:t>טוב</w:t>
      </w:r>
      <w:r>
        <w:rPr>
          <w:rtl/>
          <w:lang w:val="ar-SA"/>
        </w:rPr>
        <w:t xml:space="preserve"> </w:t>
      </w:r>
      <w:r>
        <w:rPr>
          <w:rFonts w:ascii="Arial Unicode MS" w:hAnsi="Arial Unicode MS" w:cs="Times New Roman" w:hint="cs"/>
          <w:rtl/>
          <w:lang w:val="he-IL" w:bidi="he-IL"/>
        </w:rPr>
        <w:t>והצלחה</w:t>
      </w:r>
      <w:r>
        <w:rPr>
          <w:rtl/>
          <w:lang w:val="ar-SA"/>
        </w:rPr>
        <w:t xml:space="preserve"> </w:t>
      </w:r>
      <w:r>
        <w:rPr>
          <w:rFonts w:ascii="Arial Unicode MS" w:hAnsi="Arial Unicode MS" w:cs="Times New Roman" w:hint="cs"/>
          <w:rtl/>
          <w:lang w:val="he-IL" w:bidi="he-IL"/>
        </w:rPr>
        <w:t>ועושר</w:t>
      </w:r>
    </w:p>
    <w:p w14:paraId="5AA03436" w14:textId="77777777" w:rsidR="00DB4AB8" w:rsidRDefault="00876BE0">
      <w:pPr>
        <w:pStyle w:val="Text"/>
        <w:bidi/>
        <w:spacing w:line="276" w:lineRule="auto"/>
        <w:rPr>
          <w:rtl/>
        </w:rPr>
      </w:pPr>
      <w:r>
        <w:rPr>
          <w:rtl/>
          <w:lang w:val="ar-SA"/>
        </w:rPr>
        <w:t>2</w:t>
      </w:r>
      <w:r>
        <w:rPr>
          <w:rtl/>
          <w:lang w:val="ar-SA"/>
        </w:rPr>
        <w:tab/>
      </w:r>
      <w:r>
        <w:rPr>
          <w:rtl/>
          <w:lang w:val="ar-SA"/>
        </w:rPr>
        <w:tab/>
      </w:r>
      <w:r>
        <w:rPr>
          <w:rtl/>
          <w:lang w:val="ar-SA"/>
        </w:rPr>
        <w:tab/>
      </w:r>
      <w:r>
        <w:rPr>
          <w:rFonts w:ascii="Arial Unicode MS" w:hAnsi="Arial Unicode MS" w:cs="Times New Roman" w:hint="cs"/>
          <w:rtl/>
          <w:lang w:val="he-IL" w:bidi="he-IL"/>
        </w:rPr>
        <w:t>וכבוד</w:t>
      </w:r>
      <w:r>
        <w:rPr>
          <w:rtl/>
          <w:lang w:val="ar-SA"/>
        </w:rPr>
        <w:t xml:space="preserve"> </w:t>
      </w:r>
      <w:r>
        <w:rPr>
          <w:rFonts w:ascii="Arial Unicode MS" w:hAnsi="Arial Unicode MS" w:cs="Times New Roman" w:hint="cs"/>
          <w:rtl/>
          <w:lang w:val="he-IL" w:bidi="he-IL"/>
        </w:rPr>
        <w:t>והרוחה</w:t>
      </w:r>
    </w:p>
    <w:p w14:paraId="4EFFF513" w14:textId="77777777" w:rsidR="00DB4AB8" w:rsidRDefault="00876BE0">
      <w:pPr>
        <w:pStyle w:val="Text"/>
        <w:bidi/>
        <w:spacing w:line="276" w:lineRule="auto"/>
        <w:rPr>
          <w:rtl/>
        </w:rPr>
      </w:pPr>
      <w:r>
        <w:rPr>
          <w:rtl/>
          <w:lang w:val="ar-SA"/>
        </w:rPr>
        <w:t>3</w:t>
      </w:r>
      <w:r>
        <w:rPr>
          <w:rtl/>
          <w:lang w:val="ar-SA"/>
        </w:rPr>
        <w:tab/>
      </w:r>
      <w:r>
        <w:rPr>
          <w:rFonts w:ascii="Arial Unicode MS" w:hAnsi="Arial Unicode MS" w:cs="Times New Roman" w:hint="cs"/>
          <w:rtl/>
          <w:lang w:val="he-IL" w:bidi="he-IL"/>
        </w:rPr>
        <w:t>בארבעא</w:t>
      </w:r>
      <w:r>
        <w:rPr>
          <w:rtl/>
          <w:lang w:val="ar-SA"/>
        </w:rPr>
        <w:t xml:space="preserve"> </w:t>
      </w:r>
      <w:r>
        <w:rPr>
          <w:rFonts w:ascii="Arial Unicode MS" w:hAnsi="Arial Unicode MS" w:cs="Times New Roman" w:hint="cs"/>
          <w:rtl/>
          <w:lang w:val="he-IL" w:bidi="he-IL"/>
        </w:rPr>
        <w:t>בשבא</w:t>
      </w:r>
      <w:r>
        <w:rPr>
          <w:rtl/>
          <w:lang w:val="ar-SA"/>
        </w:rPr>
        <w:t xml:space="preserve"> </w:t>
      </w:r>
      <w:r>
        <w:rPr>
          <w:rFonts w:ascii="Arial Unicode MS" w:hAnsi="Arial Unicode MS" w:cs="Times New Roman" w:hint="cs"/>
          <w:rtl/>
          <w:lang w:val="he-IL" w:bidi="he-IL"/>
        </w:rPr>
        <w:t>דהוא</w:t>
      </w:r>
      <w:r>
        <w:rPr>
          <w:rtl/>
          <w:lang w:val="ar-SA"/>
        </w:rPr>
        <w:t xml:space="preserve"> </w:t>
      </w:r>
      <w:r>
        <w:rPr>
          <w:rFonts w:ascii="Arial Unicode MS" w:hAnsi="Arial Unicode MS" w:cs="Times New Roman" w:hint="cs"/>
          <w:rtl/>
          <w:lang w:val="he-IL" w:bidi="he-IL"/>
        </w:rPr>
        <w:t>שיתא</w:t>
      </w:r>
      <w:r>
        <w:rPr>
          <w:rtl/>
          <w:lang w:val="ar-SA"/>
        </w:rPr>
        <w:t xml:space="preserve"> </w:t>
      </w:r>
      <w:r>
        <w:rPr>
          <w:rFonts w:ascii="Arial Unicode MS" w:hAnsi="Arial Unicode MS" w:cs="Times New Roman" w:hint="cs"/>
          <w:rtl/>
          <w:lang w:val="he-IL" w:bidi="he-IL"/>
        </w:rPr>
        <w:t>יומין</w:t>
      </w:r>
      <w:r>
        <w:rPr>
          <w:rtl/>
          <w:lang w:val="ar-SA"/>
        </w:rPr>
        <w:t xml:space="preserve"> </w:t>
      </w:r>
      <w:r>
        <w:rPr>
          <w:rFonts w:ascii="Arial Unicode MS" w:hAnsi="Arial Unicode MS" w:cs="Times New Roman" w:hint="cs"/>
          <w:rtl/>
          <w:lang w:val="he-IL" w:bidi="he-IL"/>
        </w:rPr>
        <w:t>לחדש</w:t>
      </w:r>
      <w:r>
        <w:rPr>
          <w:rtl/>
          <w:lang w:val="ar-SA"/>
        </w:rPr>
        <w:t xml:space="preserve"> </w:t>
      </w:r>
      <w:r>
        <w:rPr>
          <w:rFonts w:ascii="Arial Unicode MS" w:hAnsi="Arial Unicode MS" w:cs="Times New Roman" w:hint="cs"/>
          <w:rtl/>
          <w:lang w:val="he-IL" w:bidi="he-IL"/>
        </w:rPr>
        <w:t>תמוז</w:t>
      </w:r>
      <w:r>
        <w:rPr>
          <w:rtl/>
          <w:lang w:val="ar-SA"/>
        </w:rPr>
        <w:t xml:space="preserve"> </w:t>
      </w:r>
      <w:r>
        <w:rPr>
          <w:rFonts w:ascii="Arial Unicode MS" w:hAnsi="Arial Unicode MS" w:cs="Times New Roman" w:hint="cs"/>
          <w:rtl/>
          <w:lang w:val="he-IL" w:bidi="he-IL"/>
        </w:rPr>
        <w:t>שנת</w:t>
      </w:r>
      <w:r>
        <w:rPr>
          <w:rtl/>
          <w:lang w:val="ar-SA"/>
        </w:rPr>
        <w:t xml:space="preserve"> </w:t>
      </w:r>
      <w:r>
        <w:rPr>
          <w:rFonts w:ascii="Arial Unicode MS" w:hAnsi="Arial Unicode MS" w:cs="Times New Roman" w:hint="cs"/>
          <w:rtl/>
          <w:lang w:val="he-IL" w:bidi="he-IL"/>
        </w:rPr>
        <w:t>תרין</w:t>
      </w:r>
      <w:r>
        <w:rPr>
          <w:rtl/>
          <w:lang w:val="ar-SA"/>
        </w:rPr>
        <w:t xml:space="preserve"> </w:t>
      </w:r>
      <w:r>
        <w:rPr>
          <w:rFonts w:ascii="Arial Unicode MS" w:hAnsi="Arial Unicode MS" w:cs="Times New Roman" w:hint="cs"/>
          <w:rtl/>
          <w:lang w:val="he-IL" w:bidi="he-IL"/>
        </w:rPr>
        <w:t>אלפין</w:t>
      </w:r>
      <w:r>
        <w:rPr>
          <w:rtl/>
          <w:lang w:val="ar-SA"/>
        </w:rPr>
        <w:t xml:space="preserve"> </w:t>
      </w:r>
      <w:r>
        <w:rPr>
          <w:rFonts w:ascii="Arial Unicode MS" w:hAnsi="Arial Unicode MS" w:cs="Times New Roman" w:hint="cs"/>
          <w:rtl/>
          <w:lang w:val="he-IL" w:bidi="he-IL"/>
        </w:rPr>
        <w:t>ומאתן</w:t>
      </w:r>
      <w:r>
        <w:rPr>
          <w:rtl/>
          <w:lang w:val="ar-SA"/>
        </w:rPr>
        <w:t xml:space="preserve"> </w:t>
      </w:r>
      <w:r>
        <w:rPr>
          <w:rFonts w:ascii="Arial Unicode MS" w:hAnsi="Arial Unicode MS" w:cs="Times New Roman" w:hint="cs"/>
          <w:rtl/>
          <w:lang w:val="he-IL" w:bidi="he-IL"/>
        </w:rPr>
        <w:t>ועסר</w:t>
      </w:r>
      <w:r>
        <w:rPr>
          <w:rtl/>
          <w:lang w:val="ar-SA"/>
        </w:rPr>
        <w:t xml:space="preserve"> </w:t>
      </w:r>
      <w:r>
        <w:rPr>
          <w:rFonts w:ascii="Arial Unicode MS" w:hAnsi="Arial Unicode MS" w:cs="Times New Roman" w:hint="cs"/>
          <w:rtl/>
          <w:lang w:val="he-IL" w:bidi="he-IL"/>
        </w:rPr>
        <w:t>שנין</w:t>
      </w:r>
    </w:p>
    <w:p w14:paraId="4C69C49A" w14:textId="77777777" w:rsidR="00DB4AB8" w:rsidRDefault="00876BE0">
      <w:pPr>
        <w:pStyle w:val="Text"/>
        <w:bidi/>
        <w:spacing w:line="276" w:lineRule="auto"/>
        <w:rPr>
          <w:rtl/>
        </w:rPr>
      </w:pPr>
      <w:r>
        <w:rPr>
          <w:rtl/>
          <w:lang w:val="ar-SA"/>
        </w:rPr>
        <w:t>4</w:t>
      </w:r>
      <w:r>
        <w:rPr>
          <w:rtl/>
          <w:lang w:val="ar-SA"/>
        </w:rPr>
        <w:tab/>
      </w:r>
      <w:r>
        <w:rPr>
          <w:rFonts w:ascii="Arial Unicode MS" w:hAnsi="Arial Unicode MS" w:cs="Times New Roman" w:hint="cs"/>
          <w:rtl/>
          <w:lang w:val="he-IL" w:bidi="he-IL"/>
        </w:rPr>
        <w:t>לשטרי</w:t>
      </w:r>
      <w:r>
        <w:rPr>
          <w:rtl/>
          <w:lang w:val="ar-SA"/>
        </w:rPr>
        <w:t xml:space="preserve"> </w:t>
      </w:r>
      <w:r>
        <w:rPr>
          <w:rFonts w:ascii="Arial Unicode MS" w:hAnsi="Arial Unicode MS" w:cs="Times New Roman" w:hint="cs"/>
          <w:rtl/>
          <w:lang w:val="he-IL" w:bidi="he-IL"/>
        </w:rPr>
        <w:t>במאתא</w:t>
      </w:r>
      <w:r>
        <w:rPr>
          <w:rtl/>
          <w:lang w:val="ar-SA"/>
        </w:rPr>
        <w:t xml:space="preserve"> </w:t>
      </w:r>
      <w:r>
        <w:rPr>
          <w:rFonts w:ascii="Arial Unicode MS" w:hAnsi="Arial Unicode MS" w:cs="Times New Roman" w:hint="cs"/>
          <w:rtl/>
          <w:lang w:val="he-IL" w:bidi="he-IL"/>
        </w:rPr>
        <w:t>קאע</w:t>
      </w:r>
      <w:r>
        <w:rPr>
          <w:rtl/>
          <w:lang w:val="ar-SA"/>
        </w:rPr>
        <w:t xml:space="preserve"> </w:t>
      </w:r>
      <w:r>
        <w:rPr>
          <w:rFonts w:ascii="Arial Unicode MS" w:hAnsi="Arial Unicode MS" w:cs="Times New Roman" w:hint="cs"/>
          <w:rtl/>
          <w:lang w:val="he-IL" w:bidi="he-IL"/>
        </w:rPr>
        <w:t>ביר</w:t>
      </w:r>
      <w:r>
        <w:rPr>
          <w:rtl/>
          <w:lang w:val="ar-SA"/>
        </w:rPr>
        <w:t xml:space="preserve"> </w:t>
      </w:r>
      <w:r>
        <w:rPr>
          <w:rFonts w:ascii="Arial Unicode MS" w:hAnsi="Arial Unicode MS" w:cs="Times New Roman" w:hint="cs"/>
          <w:rtl/>
          <w:lang w:val="he-IL" w:bidi="he-IL"/>
        </w:rPr>
        <w:t>אלעזב</w:t>
      </w:r>
      <w:r>
        <w:rPr>
          <w:rtl/>
          <w:lang w:val="ar-SA"/>
        </w:rPr>
        <w:t xml:space="preserve"> </w:t>
      </w:r>
      <w:r>
        <w:rPr>
          <w:rFonts w:ascii="Arial Unicode MS" w:hAnsi="Arial Unicode MS" w:cs="Times New Roman" w:hint="cs"/>
          <w:rtl/>
          <w:lang w:val="he-IL" w:bidi="he-IL"/>
        </w:rPr>
        <w:t>דעל</w:t>
      </w:r>
      <w:r>
        <w:rPr>
          <w:rtl/>
          <w:lang w:val="ar-SA"/>
        </w:rPr>
        <w:t xml:space="preserve"> </w:t>
      </w:r>
      <w:r>
        <w:rPr>
          <w:rFonts w:ascii="Arial Unicode MS" w:hAnsi="Arial Unicode MS" w:cs="Times New Roman" w:hint="cs"/>
          <w:rtl/>
          <w:lang w:val="he-IL" w:bidi="he-IL"/>
        </w:rPr>
        <w:t>בירין</w:t>
      </w:r>
      <w:r>
        <w:rPr>
          <w:rtl/>
          <w:lang w:val="ar-SA"/>
        </w:rPr>
        <w:t xml:space="preserve"> </w:t>
      </w:r>
      <w:r>
        <w:rPr>
          <w:rFonts w:ascii="Arial Unicode MS" w:hAnsi="Arial Unicode MS" w:cs="Times New Roman" w:hint="cs"/>
          <w:rtl/>
          <w:lang w:val="he-IL" w:bidi="he-IL"/>
        </w:rPr>
        <w:t>דמיין</w:t>
      </w:r>
      <w:r>
        <w:rPr>
          <w:rtl/>
          <w:lang w:val="ar-SA"/>
        </w:rPr>
        <w:t xml:space="preserve"> </w:t>
      </w:r>
      <w:r>
        <w:rPr>
          <w:rFonts w:ascii="Arial Unicode MS" w:hAnsi="Arial Unicode MS" w:cs="Times New Roman" w:hint="cs"/>
          <w:rtl/>
          <w:lang w:val="he-IL" w:bidi="he-IL"/>
        </w:rPr>
        <w:t>נבעין</w:t>
      </w:r>
      <w:r>
        <w:rPr>
          <w:rtl/>
          <w:lang w:val="ar-SA"/>
        </w:rPr>
        <w:t xml:space="preserve"> </w:t>
      </w:r>
      <w:r>
        <w:rPr>
          <w:rFonts w:ascii="Arial Unicode MS" w:hAnsi="Arial Unicode MS" w:cs="Times New Roman" w:hint="cs"/>
          <w:rtl/>
          <w:lang w:val="he-IL" w:bidi="he-IL"/>
        </w:rPr>
        <w:t>דילה</w:t>
      </w:r>
      <w:r>
        <w:rPr>
          <w:rtl/>
          <w:lang w:val="ar-SA"/>
        </w:rPr>
        <w:t xml:space="preserve"> </w:t>
      </w:r>
      <w:r>
        <w:rPr>
          <w:rFonts w:ascii="Arial Unicode MS" w:hAnsi="Arial Unicode MS" w:cs="Times New Roman" w:hint="cs"/>
          <w:rtl/>
          <w:lang w:val="he-IL" w:bidi="he-IL"/>
        </w:rPr>
        <w:t>מותבה</w:t>
      </w:r>
      <w:r>
        <w:rPr>
          <w:rtl/>
          <w:lang w:val="ar-SA"/>
        </w:rPr>
        <w:t xml:space="preserve"> </w:t>
      </w:r>
      <w:r>
        <w:rPr>
          <w:rFonts w:ascii="Arial Unicode MS" w:hAnsi="Arial Unicode MS" w:cs="Times New Roman" w:hint="cs"/>
          <w:rtl/>
          <w:lang w:val="he-IL" w:bidi="he-IL"/>
        </w:rPr>
        <w:t>ביומא</w:t>
      </w:r>
      <w:r>
        <w:rPr>
          <w:rtl/>
          <w:lang w:val="ar-SA"/>
        </w:rPr>
        <w:t xml:space="preserve"> </w:t>
      </w:r>
      <w:r>
        <w:rPr>
          <w:rFonts w:ascii="Arial Unicode MS" w:hAnsi="Arial Unicode MS" w:cs="Times New Roman" w:hint="cs"/>
          <w:rtl/>
          <w:lang w:val="he-IL" w:bidi="he-IL"/>
        </w:rPr>
        <w:t>דנן</w:t>
      </w:r>
    </w:p>
    <w:p w14:paraId="10A8149A" w14:textId="77777777" w:rsidR="00DB4AB8" w:rsidRDefault="00876BE0">
      <w:pPr>
        <w:pStyle w:val="Text"/>
        <w:bidi/>
        <w:spacing w:line="276" w:lineRule="auto"/>
        <w:rPr>
          <w:rtl/>
        </w:rPr>
      </w:pPr>
      <w:r>
        <w:rPr>
          <w:rtl/>
          <w:lang w:val="ar-SA"/>
        </w:rPr>
        <w:t>5</w:t>
      </w:r>
      <w:r>
        <w:rPr>
          <w:rtl/>
          <w:lang w:val="ar-SA"/>
        </w:rPr>
        <w:tab/>
      </w:r>
      <w:r>
        <w:rPr>
          <w:rFonts w:ascii="Arial Unicode MS" w:hAnsi="Arial Unicode MS" w:cs="Times New Roman" w:hint="cs"/>
          <w:rtl/>
          <w:lang w:val="he-IL" w:bidi="he-IL"/>
        </w:rPr>
        <w:t>אתא</w:t>
      </w:r>
      <w:r>
        <w:rPr>
          <w:rtl/>
          <w:lang w:val="ar-SA"/>
        </w:rPr>
        <w:t xml:space="preserve"> </w:t>
      </w:r>
      <w:r>
        <w:rPr>
          <w:rFonts w:ascii="Arial Unicode MS" w:hAnsi="Arial Unicode MS" w:cs="Times New Roman" w:hint="cs"/>
          <w:rtl/>
          <w:lang w:val="he-IL" w:bidi="he-IL"/>
        </w:rPr>
        <w:t>לקדמנא</w:t>
      </w:r>
      <w:r>
        <w:rPr>
          <w:rtl/>
          <w:lang w:val="ar-SA"/>
        </w:rPr>
        <w:t xml:space="preserve"> </w:t>
      </w:r>
      <w:r>
        <w:rPr>
          <w:rFonts w:ascii="Arial Unicode MS" w:hAnsi="Arial Unicode MS" w:cs="Times New Roman" w:hint="cs"/>
          <w:rtl/>
          <w:lang w:val="he-IL" w:bidi="he-IL"/>
        </w:rPr>
        <w:t>אנן</w:t>
      </w:r>
      <w:r>
        <w:rPr>
          <w:rtl/>
          <w:lang w:val="ar-SA"/>
        </w:rPr>
        <w:t xml:space="preserve"> </w:t>
      </w:r>
      <w:r>
        <w:rPr>
          <w:rFonts w:ascii="Arial Unicode MS" w:hAnsi="Arial Unicode MS" w:cs="Times New Roman" w:hint="cs"/>
          <w:rtl/>
          <w:lang w:val="he-IL" w:bidi="he-IL"/>
        </w:rPr>
        <w:t>סהדי</w:t>
      </w:r>
      <w:r>
        <w:rPr>
          <w:rtl/>
          <w:lang w:val="ar-SA"/>
        </w:rPr>
        <w:t xml:space="preserve"> </w:t>
      </w:r>
      <w:r>
        <w:rPr>
          <w:rFonts w:ascii="Arial Unicode MS" w:hAnsi="Arial Unicode MS" w:cs="Times New Roman" w:hint="cs"/>
          <w:rtl/>
          <w:lang w:val="he-IL" w:bidi="he-IL"/>
        </w:rPr>
        <w:t>דחתימין</w:t>
      </w:r>
      <w:r>
        <w:rPr>
          <w:rtl/>
          <w:lang w:val="ar-SA"/>
        </w:rPr>
        <w:t xml:space="preserve"> </w:t>
      </w:r>
      <w:r>
        <w:rPr>
          <w:rFonts w:ascii="Arial Unicode MS" w:hAnsi="Arial Unicode MS" w:cs="Times New Roman" w:hint="cs"/>
          <w:rtl/>
          <w:lang w:val="he-IL" w:bidi="he-IL"/>
        </w:rPr>
        <w:t>לתתא</w:t>
      </w:r>
      <w:r>
        <w:rPr>
          <w:rtl/>
          <w:lang w:val="ar-SA"/>
        </w:rPr>
        <w:t xml:space="preserve"> </w:t>
      </w:r>
      <w:r>
        <w:rPr>
          <w:rFonts w:ascii="Arial Unicode MS" w:hAnsi="Arial Unicode MS" w:cs="Times New Roman" w:hint="cs"/>
          <w:rtl/>
          <w:lang w:val="he-IL" w:bidi="he-IL"/>
        </w:rPr>
        <w:t>סאלם</w:t>
      </w:r>
      <w:r>
        <w:rPr>
          <w:rtl/>
          <w:lang w:val="ar-SA"/>
        </w:rPr>
        <w:t xml:space="preserve"> </w:t>
      </w:r>
      <w:r>
        <w:rPr>
          <w:rFonts w:ascii="Arial Unicode MS" w:hAnsi="Arial Unicode MS" w:cs="Times New Roman" w:hint="cs"/>
          <w:rtl/>
          <w:lang w:val="he-IL" w:bidi="he-IL"/>
        </w:rPr>
        <w:t>ןׄ</w:t>
      </w:r>
      <w:r>
        <w:rPr>
          <w:rtl/>
          <w:lang w:val="ar-SA"/>
        </w:rPr>
        <w:t xml:space="preserve"> </w:t>
      </w:r>
      <w:r>
        <w:rPr>
          <w:rFonts w:ascii="Arial Unicode MS" w:hAnsi="Arial Unicode MS" w:cs="Times New Roman" w:hint="cs"/>
          <w:rtl/>
          <w:lang w:val="he-IL" w:bidi="he-IL"/>
        </w:rPr>
        <w:t>הארון</w:t>
      </w:r>
      <w:r>
        <w:rPr>
          <w:rtl/>
          <w:lang w:val="ar-SA"/>
        </w:rPr>
        <w:t xml:space="preserve"> </w:t>
      </w:r>
      <w:r>
        <w:rPr>
          <w:rFonts w:ascii="Arial Unicode MS" w:hAnsi="Arial Unicode MS" w:cs="Times New Roman" w:hint="cs"/>
          <w:rtl/>
          <w:lang w:val="he-IL" w:bidi="he-IL"/>
        </w:rPr>
        <w:t>אלעזירי</w:t>
      </w:r>
      <w:r>
        <w:rPr>
          <w:rtl/>
          <w:lang w:val="ar-SA"/>
        </w:rPr>
        <w:t xml:space="preserve"> </w:t>
      </w:r>
      <w:r>
        <w:rPr>
          <w:rFonts w:ascii="Arial Unicode MS" w:hAnsi="Arial Unicode MS" w:cs="Times New Roman" w:hint="cs"/>
          <w:rtl/>
          <w:lang w:val="he-IL" w:bidi="he-IL"/>
        </w:rPr>
        <w:t>אלמכונה</w:t>
      </w:r>
      <w:r>
        <w:rPr>
          <w:rtl/>
          <w:lang w:val="ar-SA"/>
        </w:rPr>
        <w:t xml:space="preserve"> </w:t>
      </w:r>
      <w:r>
        <w:rPr>
          <w:rFonts w:ascii="Arial Unicode MS" w:hAnsi="Arial Unicode MS" w:cs="Times New Roman" w:hint="cs"/>
          <w:rtl/>
          <w:lang w:val="he-IL" w:bidi="he-IL"/>
        </w:rPr>
        <w:t>זהרה</w:t>
      </w:r>
      <w:r>
        <w:rPr>
          <w:rtl/>
          <w:lang w:val="ar-SA"/>
        </w:rPr>
        <w:t xml:space="preserve"> </w:t>
      </w:r>
      <w:r>
        <w:rPr>
          <w:rFonts w:ascii="Arial Unicode MS" w:hAnsi="Arial Unicode MS" w:cs="Times New Roman" w:hint="cs"/>
          <w:rtl/>
          <w:lang w:val="he-IL" w:bidi="he-IL"/>
        </w:rPr>
        <w:t>וכן</w:t>
      </w:r>
      <w:r>
        <w:rPr>
          <w:rtl/>
          <w:lang w:val="ar-SA"/>
        </w:rPr>
        <w:t xml:space="preserve"> </w:t>
      </w:r>
    </w:p>
    <w:p w14:paraId="1B2B0475" w14:textId="77777777" w:rsidR="00DB4AB8" w:rsidRDefault="00876BE0">
      <w:pPr>
        <w:pStyle w:val="Text"/>
        <w:bidi/>
        <w:spacing w:line="276" w:lineRule="auto"/>
        <w:rPr>
          <w:rtl/>
        </w:rPr>
      </w:pPr>
      <w:r>
        <w:rPr>
          <w:rtl/>
          <w:lang w:val="ar-SA"/>
        </w:rPr>
        <w:t>6</w:t>
      </w:r>
      <w:r>
        <w:rPr>
          <w:rtl/>
          <w:lang w:val="ar-SA"/>
        </w:rPr>
        <w:tab/>
      </w:r>
      <w:r>
        <w:rPr>
          <w:rFonts w:ascii="Arial Unicode MS" w:hAnsi="Arial Unicode MS" w:cs="Times New Roman" w:hint="cs"/>
          <w:rtl/>
          <w:lang w:val="he-IL" w:bidi="he-IL"/>
        </w:rPr>
        <w:t>אמר</w:t>
      </w:r>
      <w:r>
        <w:rPr>
          <w:rtl/>
          <w:lang w:val="ar-SA"/>
        </w:rPr>
        <w:t xml:space="preserve"> </w:t>
      </w:r>
      <w:r>
        <w:rPr>
          <w:rFonts w:ascii="Arial Unicode MS" w:hAnsi="Arial Unicode MS" w:cs="Times New Roman" w:hint="cs"/>
          <w:rtl/>
          <w:lang w:val="he-IL" w:bidi="he-IL"/>
        </w:rPr>
        <w:t>לנא</w:t>
      </w:r>
      <w:r>
        <w:rPr>
          <w:rtl/>
          <w:lang w:val="ar-SA"/>
        </w:rPr>
        <w:t xml:space="preserve"> </w:t>
      </w:r>
      <w:r>
        <w:rPr>
          <w:rFonts w:ascii="Arial Unicode MS" w:hAnsi="Arial Unicode MS" w:cs="Times New Roman" w:hint="cs"/>
          <w:rtl/>
          <w:lang w:val="he-IL" w:bidi="he-IL"/>
        </w:rPr>
        <w:t>אתון</w:t>
      </w:r>
      <w:r>
        <w:rPr>
          <w:rtl/>
          <w:lang w:val="ar-SA"/>
        </w:rPr>
        <w:t xml:space="preserve"> </w:t>
      </w:r>
      <w:r>
        <w:rPr>
          <w:rFonts w:ascii="Arial Unicode MS" w:hAnsi="Arial Unicode MS" w:cs="Times New Roman" w:hint="cs"/>
          <w:rtl/>
          <w:lang w:val="he-IL" w:bidi="he-IL"/>
        </w:rPr>
        <w:t>ידעי</w:t>
      </w:r>
      <w:r>
        <w:rPr>
          <w:rtl/>
          <w:lang w:val="ar-SA"/>
        </w:rPr>
        <w:t xml:space="preserve"> </w:t>
      </w:r>
      <w:r>
        <w:rPr>
          <w:rFonts w:ascii="Arial Unicode MS" w:hAnsi="Arial Unicode MS" w:cs="Times New Roman" w:hint="cs"/>
          <w:rtl/>
          <w:lang w:val="he-IL" w:bidi="he-IL"/>
        </w:rPr>
        <w:t>רבנן</w:t>
      </w:r>
      <w:r>
        <w:rPr>
          <w:rtl/>
          <w:lang w:val="ar-SA"/>
        </w:rPr>
        <w:t xml:space="preserve"> </w:t>
      </w:r>
      <w:r>
        <w:rPr>
          <w:rFonts w:ascii="Arial Unicode MS" w:hAnsi="Arial Unicode MS" w:cs="Times New Roman" w:hint="cs"/>
          <w:rtl/>
          <w:lang w:val="he-IL" w:bidi="he-IL"/>
        </w:rPr>
        <w:t>דאנא</w:t>
      </w:r>
      <w:r>
        <w:rPr>
          <w:rtl/>
          <w:lang w:val="ar-SA"/>
        </w:rPr>
        <w:t xml:space="preserve"> </w:t>
      </w:r>
      <w:r>
        <w:rPr>
          <w:rFonts w:ascii="Arial Unicode MS" w:hAnsi="Arial Unicode MS" w:cs="Times New Roman" w:hint="cs"/>
          <w:rtl/>
          <w:lang w:val="he-IL" w:bidi="he-IL"/>
        </w:rPr>
        <w:t>נסיבנא</w:t>
      </w:r>
      <w:r>
        <w:rPr>
          <w:rtl/>
          <w:lang w:val="ar-SA"/>
        </w:rPr>
        <w:t xml:space="preserve"> </w:t>
      </w:r>
      <w:r>
        <w:rPr>
          <w:rFonts w:ascii="Arial Unicode MS" w:hAnsi="Arial Unicode MS" w:cs="Times New Roman" w:hint="cs"/>
          <w:rtl/>
          <w:lang w:val="he-IL" w:bidi="he-IL"/>
        </w:rPr>
        <w:t>להדׄא</w:t>
      </w:r>
      <w:r>
        <w:rPr>
          <w:rtl/>
          <w:lang w:val="ar-SA"/>
        </w:rPr>
        <w:t xml:space="preserve"> </w:t>
      </w:r>
      <w:r>
        <w:rPr>
          <w:rFonts w:ascii="Arial Unicode MS" w:hAnsi="Arial Unicode MS" w:cs="Times New Roman" w:hint="cs"/>
          <w:rtl/>
          <w:lang w:val="he-IL" w:bidi="he-IL"/>
        </w:rPr>
        <w:t>גׄנא</w:t>
      </w:r>
      <w:r>
        <w:rPr>
          <w:rtl/>
          <w:lang w:val="ar-SA"/>
        </w:rPr>
        <w:t xml:space="preserve"> </w:t>
      </w:r>
      <w:r>
        <w:rPr>
          <w:rFonts w:ascii="Arial Unicode MS" w:hAnsi="Arial Unicode MS" w:cs="Times New Roman" w:hint="cs"/>
          <w:rtl/>
          <w:lang w:val="he-IL" w:bidi="he-IL"/>
        </w:rPr>
        <w:t>בנת</w:t>
      </w:r>
      <w:r>
        <w:rPr>
          <w:rtl/>
          <w:lang w:val="ar-SA"/>
        </w:rPr>
        <w:t xml:space="preserve"> </w:t>
      </w:r>
      <w:r>
        <w:rPr>
          <w:rFonts w:ascii="Arial Unicode MS" w:hAnsi="Arial Unicode MS" w:cs="Times New Roman" w:hint="cs"/>
          <w:rtl/>
          <w:lang w:val="he-IL" w:bidi="he-IL"/>
        </w:rPr>
        <w:t>סאלם</w:t>
      </w:r>
      <w:r>
        <w:rPr>
          <w:rtl/>
          <w:lang w:val="ar-SA"/>
        </w:rPr>
        <w:t xml:space="preserve"> </w:t>
      </w:r>
      <w:r>
        <w:rPr>
          <w:rFonts w:ascii="Arial Unicode MS" w:hAnsi="Arial Unicode MS" w:cs="Times New Roman" w:hint="cs"/>
          <w:rtl/>
          <w:lang w:val="he-IL" w:bidi="he-IL"/>
        </w:rPr>
        <w:t>ןׄ</w:t>
      </w:r>
      <w:r>
        <w:rPr>
          <w:rtl/>
          <w:lang w:val="ar-SA"/>
        </w:rPr>
        <w:t xml:space="preserve"> </w:t>
      </w:r>
      <w:r>
        <w:rPr>
          <w:rFonts w:ascii="Arial Unicode MS" w:hAnsi="Arial Unicode MS" w:cs="Times New Roman" w:hint="cs"/>
          <w:rtl/>
          <w:lang w:val="he-IL" w:bidi="he-IL"/>
        </w:rPr>
        <w:t>שכר</w:t>
      </w:r>
      <w:r>
        <w:rPr>
          <w:rtl/>
          <w:lang w:val="ar-SA"/>
        </w:rPr>
        <w:t xml:space="preserve"> </w:t>
      </w:r>
      <w:r>
        <w:rPr>
          <w:rFonts w:ascii="Arial Unicode MS" w:hAnsi="Arial Unicode MS" w:cs="Times New Roman" w:hint="cs"/>
          <w:rtl/>
          <w:lang w:val="he-IL" w:bidi="he-IL"/>
        </w:rPr>
        <w:t>אלתאם</w:t>
      </w:r>
      <w:r>
        <w:rPr>
          <w:rtl/>
          <w:lang w:val="ar-SA"/>
        </w:rPr>
        <w:t xml:space="preserve"> </w:t>
      </w:r>
      <w:r>
        <w:rPr>
          <w:rFonts w:ascii="Arial Unicode MS" w:hAnsi="Arial Unicode MS" w:cs="Times New Roman" w:hint="cs"/>
          <w:rtl/>
          <w:lang w:val="he-IL" w:bidi="he-IL"/>
        </w:rPr>
        <w:t>בתולתא</w:t>
      </w:r>
    </w:p>
    <w:p w14:paraId="5C56ABEF" w14:textId="77777777" w:rsidR="00DB4AB8" w:rsidRDefault="00876BE0">
      <w:pPr>
        <w:pStyle w:val="Text"/>
        <w:bidi/>
        <w:spacing w:line="276" w:lineRule="auto"/>
        <w:rPr>
          <w:rtl/>
        </w:rPr>
      </w:pPr>
      <w:r>
        <w:rPr>
          <w:rtl/>
          <w:lang w:val="ar-SA"/>
        </w:rPr>
        <w:t>7</w:t>
      </w:r>
      <w:r>
        <w:rPr>
          <w:rtl/>
          <w:lang w:val="ar-SA"/>
        </w:rPr>
        <w:tab/>
      </w:r>
      <w:r>
        <w:rPr>
          <w:rFonts w:ascii="Arial Unicode MS" w:hAnsi="Arial Unicode MS" w:cs="Times New Roman" w:hint="cs"/>
          <w:rtl/>
          <w:lang w:val="he-IL" w:bidi="he-IL"/>
        </w:rPr>
        <w:t>אנתתי</w:t>
      </w:r>
      <w:r>
        <w:rPr>
          <w:rtl/>
          <w:lang w:val="ar-SA"/>
        </w:rPr>
        <w:t xml:space="preserve"> </w:t>
      </w:r>
      <w:r>
        <w:rPr>
          <w:rFonts w:ascii="Arial Unicode MS" w:hAnsi="Arial Unicode MS" w:cs="Times New Roman" w:hint="cs"/>
          <w:rtl/>
          <w:lang w:val="he-IL" w:bidi="he-IL"/>
        </w:rPr>
        <w:t>בכתובה</w:t>
      </w:r>
      <w:r>
        <w:rPr>
          <w:rtl/>
          <w:lang w:val="ar-SA"/>
        </w:rPr>
        <w:t xml:space="preserve"> </w:t>
      </w:r>
      <w:r>
        <w:rPr>
          <w:rFonts w:ascii="Arial Unicode MS" w:hAnsi="Arial Unicode MS" w:cs="Times New Roman" w:hint="cs"/>
          <w:rtl/>
          <w:lang w:val="he-IL" w:bidi="he-IL"/>
        </w:rPr>
        <w:t>וקידושין</w:t>
      </w:r>
      <w:r>
        <w:rPr>
          <w:rtl/>
          <w:lang w:val="ar-SA"/>
        </w:rPr>
        <w:t xml:space="preserve"> </w:t>
      </w:r>
      <w:r>
        <w:rPr>
          <w:rFonts w:ascii="Arial Unicode MS" w:hAnsi="Arial Unicode MS" w:cs="Times New Roman" w:hint="cs"/>
          <w:rtl/>
          <w:lang w:val="he-IL" w:bidi="he-IL"/>
        </w:rPr>
        <w:t>ויתיבת</w:t>
      </w:r>
      <w:r>
        <w:rPr>
          <w:rtl/>
          <w:lang w:val="ar-SA"/>
        </w:rPr>
        <w:t xml:space="preserve"> </w:t>
      </w:r>
      <w:r>
        <w:rPr>
          <w:rFonts w:ascii="Arial Unicode MS" w:hAnsi="Arial Unicode MS" w:cs="Times New Roman" w:hint="cs"/>
          <w:rtl/>
          <w:lang w:val="he-IL" w:bidi="he-IL"/>
        </w:rPr>
        <w:t>בהדאי</w:t>
      </w:r>
      <w:r>
        <w:rPr>
          <w:rtl/>
          <w:lang w:val="ar-SA"/>
        </w:rPr>
        <w:t xml:space="preserve"> </w:t>
      </w:r>
      <w:r>
        <w:rPr>
          <w:rFonts w:ascii="Arial Unicode MS" w:hAnsi="Arial Unicode MS" w:cs="Times New Roman" w:hint="cs"/>
          <w:rtl/>
          <w:lang w:val="he-IL" w:bidi="he-IL"/>
        </w:rPr>
        <w:t>כמה</w:t>
      </w:r>
      <w:r>
        <w:rPr>
          <w:rtl/>
          <w:lang w:val="ar-SA"/>
        </w:rPr>
        <w:t xml:space="preserve"> </w:t>
      </w:r>
      <w:r>
        <w:rPr>
          <w:rFonts w:ascii="Arial Unicode MS" w:hAnsi="Arial Unicode MS" w:cs="Times New Roman" w:hint="cs"/>
          <w:rtl/>
          <w:lang w:val="he-IL" w:bidi="he-IL"/>
        </w:rPr>
        <w:t>שנין</w:t>
      </w:r>
      <w:r>
        <w:rPr>
          <w:rtl/>
          <w:lang w:val="ar-SA"/>
        </w:rPr>
        <w:t xml:space="preserve"> </w:t>
      </w:r>
      <w:r>
        <w:rPr>
          <w:rFonts w:ascii="Arial Unicode MS" w:hAnsi="Arial Unicode MS" w:cs="Times New Roman" w:hint="cs"/>
          <w:rtl/>
          <w:lang w:val="he-IL" w:bidi="he-IL"/>
        </w:rPr>
        <w:t>ויומי</w:t>
      </w:r>
      <w:r>
        <w:rPr>
          <w:rtl/>
          <w:lang w:val="ar-SA"/>
        </w:rPr>
        <w:t xml:space="preserve"> </w:t>
      </w:r>
      <w:r>
        <w:rPr>
          <w:rFonts w:ascii="Arial Unicode MS" w:hAnsi="Arial Unicode MS" w:cs="Times New Roman" w:hint="cs"/>
          <w:rtl/>
          <w:lang w:val="he-IL" w:bidi="he-IL"/>
        </w:rPr>
        <w:t>ואית</w:t>
      </w:r>
      <w:r>
        <w:rPr>
          <w:rtl/>
          <w:lang w:val="ar-SA"/>
        </w:rPr>
        <w:t xml:space="preserve"> </w:t>
      </w:r>
      <w:r>
        <w:rPr>
          <w:rFonts w:ascii="Arial Unicode MS" w:hAnsi="Arial Unicode MS" w:cs="Times New Roman" w:hint="cs"/>
          <w:rtl/>
          <w:lang w:val="he-IL" w:bidi="he-IL"/>
        </w:rPr>
        <w:t>לי</w:t>
      </w:r>
      <w:r>
        <w:rPr>
          <w:rtl/>
          <w:lang w:val="ar-SA"/>
        </w:rPr>
        <w:t xml:space="preserve"> </w:t>
      </w:r>
      <w:r>
        <w:rPr>
          <w:rFonts w:ascii="Arial Unicode MS" w:hAnsi="Arial Unicode MS" w:cs="Times New Roman" w:hint="cs"/>
          <w:rtl/>
          <w:lang w:val="he-IL" w:bidi="he-IL"/>
        </w:rPr>
        <w:t>זרעא</w:t>
      </w:r>
      <w:r>
        <w:rPr>
          <w:rtl/>
          <w:lang w:val="ar-SA"/>
        </w:rPr>
        <w:t xml:space="preserve"> </w:t>
      </w:r>
      <w:r>
        <w:rPr>
          <w:rFonts w:ascii="Arial Unicode MS" w:hAnsi="Arial Unicode MS" w:cs="Times New Roman" w:hint="cs"/>
          <w:rtl/>
          <w:lang w:val="he-IL" w:bidi="he-IL"/>
        </w:rPr>
        <w:t>מינה</w:t>
      </w:r>
      <w:r>
        <w:rPr>
          <w:rtl/>
          <w:lang w:val="ar-SA"/>
        </w:rPr>
        <w:t xml:space="preserve"> </w:t>
      </w:r>
      <w:r>
        <w:rPr>
          <w:rFonts w:ascii="Arial Unicode MS" w:hAnsi="Arial Unicode MS" w:cs="Times New Roman" w:hint="cs"/>
          <w:rtl/>
          <w:lang w:val="he-IL" w:bidi="he-IL"/>
        </w:rPr>
        <w:t>וכתובתה</w:t>
      </w:r>
    </w:p>
    <w:p w14:paraId="040EC8D8" w14:textId="77777777" w:rsidR="00DB4AB8" w:rsidRDefault="00876BE0">
      <w:pPr>
        <w:pStyle w:val="Text"/>
        <w:bidi/>
        <w:spacing w:line="276" w:lineRule="auto"/>
        <w:rPr>
          <w:rtl/>
        </w:rPr>
      </w:pPr>
      <w:r>
        <w:rPr>
          <w:rtl/>
          <w:lang w:val="ar-SA"/>
        </w:rPr>
        <w:t>8</w:t>
      </w:r>
      <w:r>
        <w:rPr>
          <w:rtl/>
          <w:lang w:val="ar-SA"/>
        </w:rPr>
        <w:tab/>
      </w:r>
      <w:r>
        <w:rPr>
          <w:rFonts w:ascii="Arial Unicode MS" w:hAnsi="Arial Unicode MS" w:cs="Times New Roman" w:hint="cs"/>
          <w:rtl/>
          <w:lang w:val="he-IL" w:bidi="he-IL"/>
        </w:rPr>
        <w:t>אירכסא</w:t>
      </w:r>
      <w:r>
        <w:rPr>
          <w:rtl/>
          <w:lang w:val="ar-SA"/>
        </w:rPr>
        <w:t xml:space="preserve"> </w:t>
      </w:r>
      <w:r>
        <w:rPr>
          <w:rFonts w:ascii="Arial Unicode MS" w:hAnsi="Arial Unicode MS" w:cs="Times New Roman" w:hint="cs"/>
          <w:rtl/>
          <w:lang w:val="he-IL" w:bidi="he-IL"/>
        </w:rPr>
        <w:t>לה</w:t>
      </w:r>
      <w:r>
        <w:rPr>
          <w:rtl/>
          <w:lang w:val="ar-SA"/>
        </w:rPr>
        <w:t xml:space="preserve"> </w:t>
      </w:r>
      <w:r>
        <w:rPr>
          <w:rFonts w:ascii="Arial Unicode MS" w:hAnsi="Arial Unicode MS" w:cs="Times New Roman" w:hint="cs"/>
          <w:rtl/>
          <w:lang w:val="he-IL" w:bidi="he-IL"/>
        </w:rPr>
        <w:t>וזמן</w:t>
      </w:r>
      <w:r>
        <w:rPr>
          <w:rtl/>
          <w:lang w:val="ar-SA"/>
        </w:rPr>
        <w:t xml:space="preserve"> </w:t>
      </w:r>
      <w:r>
        <w:rPr>
          <w:rFonts w:ascii="Arial Unicode MS" w:hAnsi="Arial Unicode MS" w:cs="Times New Roman" w:hint="cs"/>
          <w:rtl/>
          <w:lang w:val="he-IL" w:bidi="he-IL"/>
        </w:rPr>
        <w:t>שטר</w:t>
      </w:r>
      <w:r>
        <w:rPr>
          <w:rtl/>
          <w:lang w:val="ar-SA"/>
        </w:rPr>
        <w:t xml:space="preserve"> </w:t>
      </w:r>
      <w:r>
        <w:rPr>
          <w:rFonts w:ascii="Arial Unicode MS" w:hAnsi="Arial Unicode MS" w:cs="Times New Roman" w:hint="cs"/>
          <w:rtl/>
          <w:lang w:val="he-IL" w:bidi="he-IL"/>
        </w:rPr>
        <w:t>כתובה</w:t>
      </w:r>
      <w:r>
        <w:rPr>
          <w:rtl/>
          <w:lang w:val="ar-SA"/>
        </w:rPr>
        <w:t xml:space="preserve"> </w:t>
      </w:r>
      <w:r>
        <w:rPr>
          <w:rFonts w:ascii="Arial Unicode MS" w:hAnsi="Arial Unicode MS" w:cs="Times New Roman" w:hint="cs"/>
          <w:rtl/>
          <w:lang w:val="he-IL" w:bidi="he-IL"/>
        </w:rPr>
        <w:t>לא</w:t>
      </w:r>
      <w:r>
        <w:rPr>
          <w:rtl/>
          <w:lang w:val="ar-SA"/>
        </w:rPr>
        <w:t xml:space="preserve"> </w:t>
      </w:r>
      <w:r>
        <w:rPr>
          <w:rFonts w:ascii="Arial Unicode MS" w:hAnsi="Arial Unicode MS" w:cs="Times New Roman" w:hint="cs"/>
          <w:rtl/>
          <w:lang w:val="he-IL" w:bidi="he-IL"/>
        </w:rPr>
        <w:t>ידיע</w:t>
      </w:r>
      <w:r>
        <w:rPr>
          <w:rtl/>
          <w:lang w:val="ar-SA"/>
        </w:rPr>
        <w:t xml:space="preserve"> </w:t>
      </w:r>
      <w:r>
        <w:rPr>
          <w:rFonts w:ascii="Arial Unicode MS" w:hAnsi="Arial Unicode MS" w:cs="Times New Roman" w:hint="cs"/>
          <w:rtl/>
          <w:lang w:val="he-IL" w:bidi="he-IL"/>
        </w:rPr>
        <w:t>ואמרי</w:t>
      </w:r>
      <w:r>
        <w:rPr>
          <w:rtl/>
          <w:lang w:val="ar-SA"/>
        </w:rPr>
        <w:t xml:space="preserve"> </w:t>
      </w:r>
      <w:r>
        <w:rPr>
          <w:rFonts w:ascii="Arial Unicode MS" w:hAnsi="Arial Unicode MS" w:cs="Times New Roman" w:hint="cs"/>
          <w:rtl/>
          <w:lang w:val="he-IL" w:bidi="he-IL"/>
        </w:rPr>
        <w:t>רבנן</w:t>
      </w:r>
      <w:r>
        <w:rPr>
          <w:rtl/>
          <w:lang w:val="ar-SA"/>
        </w:rPr>
        <w:t xml:space="preserve"> </w:t>
      </w:r>
      <w:r>
        <w:rPr>
          <w:rFonts w:ascii="Arial Unicode MS" w:hAnsi="Arial Unicode MS" w:cs="Times New Roman" w:hint="cs"/>
          <w:rtl/>
          <w:lang w:val="he-IL" w:bidi="he-IL"/>
        </w:rPr>
        <w:t>אסור</w:t>
      </w:r>
      <w:r>
        <w:rPr>
          <w:rtl/>
          <w:lang w:val="ar-SA"/>
        </w:rPr>
        <w:t xml:space="preserve"> </w:t>
      </w:r>
      <w:r>
        <w:rPr>
          <w:rFonts w:ascii="Arial Unicode MS" w:hAnsi="Arial Unicode MS" w:cs="Times New Roman" w:hint="cs"/>
          <w:rtl/>
          <w:lang w:val="he-IL" w:bidi="he-IL"/>
        </w:rPr>
        <w:t>לו</w:t>
      </w:r>
      <w:r>
        <w:rPr>
          <w:rtl/>
          <w:lang w:val="ar-SA"/>
        </w:rPr>
        <w:t xml:space="preserve"> </w:t>
      </w:r>
      <w:r>
        <w:rPr>
          <w:rFonts w:ascii="Arial Unicode MS" w:hAnsi="Arial Unicode MS" w:cs="Times New Roman" w:hint="cs"/>
          <w:rtl/>
          <w:lang w:val="he-IL" w:bidi="he-IL"/>
        </w:rPr>
        <w:t>לאדם</w:t>
      </w:r>
      <w:r>
        <w:rPr>
          <w:rtl/>
          <w:lang w:val="ar-SA"/>
        </w:rPr>
        <w:t xml:space="preserve"> </w:t>
      </w:r>
      <w:r>
        <w:rPr>
          <w:rFonts w:ascii="Arial Unicode MS" w:hAnsi="Arial Unicode MS" w:cs="Times New Roman" w:hint="cs"/>
          <w:rtl/>
          <w:lang w:val="he-IL" w:bidi="he-IL"/>
        </w:rPr>
        <w:t>לשהות</w:t>
      </w:r>
      <w:r>
        <w:rPr>
          <w:rtl/>
          <w:lang w:val="ar-SA"/>
        </w:rPr>
        <w:t xml:space="preserve"> </w:t>
      </w:r>
      <w:r>
        <w:rPr>
          <w:rFonts w:ascii="Arial Unicode MS" w:hAnsi="Arial Unicode MS" w:cs="Times New Roman" w:hint="cs"/>
          <w:rtl/>
          <w:lang w:val="he-IL" w:bidi="he-IL"/>
        </w:rPr>
        <w:t>עם</w:t>
      </w:r>
      <w:r>
        <w:rPr>
          <w:rtl/>
          <w:lang w:val="ar-SA"/>
        </w:rPr>
        <w:t xml:space="preserve"> </w:t>
      </w:r>
      <w:r>
        <w:rPr>
          <w:rFonts w:ascii="Arial Unicode MS" w:hAnsi="Arial Unicode MS" w:cs="Times New Roman" w:hint="cs"/>
          <w:rtl/>
          <w:lang w:val="he-IL" w:bidi="he-IL"/>
        </w:rPr>
        <w:t>אשתו</w:t>
      </w:r>
    </w:p>
    <w:p w14:paraId="463BB1DA" w14:textId="77777777" w:rsidR="00DB4AB8" w:rsidRDefault="00876BE0">
      <w:pPr>
        <w:pStyle w:val="Text"/>
        <w:bidi/>
        <w:spacing w:line="276" w:lineRule="auto"/>
        <w:rPr>
          <w:rtl/>
        </w:rPr>
      </w:pPr>
      <w:r>
        <w:rPr>
          <w:rtl/>
          <w:lang w:val="ar-SA"/>
        </w:rPr>
        <w:t>9</w:t>
      </w:r>
      <w:r>
        <w:rPr>
          <w:rtl/>
          <w:lang w:val="ar-SA"/>
        </w:rPr>
        <w:tab/>
      </w:r>
      <w:r>
        <w:rPr>
          <w:rFonts w:ascii="Arial Unicode MS" w:hAnsi="Arial Unicode MS" w:cs="Times New Roman" w:hint="cs"/>
          <w:rtl/>
          <w:lang w:val="he-IL" w:bidi="he-IL"/>
        </w:rPr>
        <w:t>אפי׳</w:t>
      </w:r>
      <w:r>
        <w:rPr>
          <w:rtl/>
          <w:lang w:val="ar-SA"/>
        </w:rPr>
        <w:t xml:space="preserve"> </w:t>
      </w:r>
      <w:r>
        <w:rPr>
          <w:rFonts w:ascii="Arial Unicode MS" w:hAnsi="Arial Unicode MS" w:cs="Times New Roman" w:hint="cs"/>
          <w:rtl/>
          <w:lang w:val="he-IL" w:bidi="he-IL"/>
        </w:rPr>
        <w:t>שעה</w:t>
      </w:r>
      <w:r>
        <w:rPr>
          <w:rtl/>
          <w:lang w:val="ar-SA"/>
        </w:rPr>
        <w:t xml:space="preserve"> </w:t>
      </w:r>
      <w:r>
        <w:rPr>
          <w:rFonts w:ascii="Arial Unicode MS" w:hAnsi="Arial Unicode MS" w:cs="Times New Roman" w:hint="cs"/>
          <w:rtl/>
          <w:lang w:val="he-IL" w:bidi="he-IL"/>
        </w:rPr>
        <w:t>אחת</w:t>
      </w:r>
      <w:r>
        <w:rPr>
          <w:rtl/>
          <w:lang w:val="ar-SA"/>
        </w:rPr>
        <w:t xml:space="preserve"> </w:t>
      </w:r>
      <w:r>
        <w:rPr>
          <w:rFonts w:ascii="Arial Unicode MS" w:hAnsi="Arial Unicode MS" w:cs="Times New Roman" w:hint="cs"/>
          <w:rtl/>
          <w:lang w:val="he-IL" w:bidi="he-IL"/>
        </w:rPr>
        <w:t>בלא</w:t>
      </w:r>
      <w:r>
        <w:rPr>
          <w:rtl/>
          <w:lang w:val="ar-SA"/>
        </w:rPr>
        <w:t xml:space="preserve"> </w:t>
      </w:r>
      <w:r>
        <w:rPr>
          <w:rFonts w:ascii="Arial Unicode MS" w:hAnsi="Arial Unicode MS" w:cs="Times New Roman" w:hint="cs"/>
          <w:rtl/>
          <w:lang w:val="he-IL" w:bidi="he-IL"/>
        </w:rPr>
        <w:t>כתובה</w:t>
      </w:r>
      <w:r>
        <w:rPr>
          <w:rtl/>
          <w:lang w:val="ar-SA"/>
        </w:rPr>
        <w:t xml:space="preserve"> </w:t>
      </w:r>
      <w:r>
        <w:rPr>
          <w:rFonts w:ascii="Arial Unicode MS" w:hAnsi="Arial Unicode MS" w:cs="Times New Roman" w:hint="cs"/>
          <w:rtl/>
          <w:lang w:val="he-IL" w:bidi="he-IL"/>
        </w:rPr>
        <w:t>והשתא</w:t>
      </w:r>
      <w:r>
        <w:rPr>
          <w:rtl/>
          <w:lang w:val="ar-SA"/>
        </w:rPr>
        <w:t xml:space="preserve"> </w:t>
      </w:r>
      <w:r>
        <w:rPr>
          <w:rFonts w:ascii="Arial Unicode MS" w:hAnsi="Arial Unicode MS" w:cs="Times New Roman" w:hint="cs"/>
          <w:rtl/>
          <w:lang w:val="he-IL" w:bidi="he-IL"/>
        </w:rPr>
        <w:t>בעיתי</w:t>
      </w:r>
      <w:r>
        <w:rPr>
          <w:rtl/>
          <w:lang w:val="ar-SA"/>
        </w:rPr>
        <w:t xml:space="preserve"> </w:t>
      </w:r>
      <w:r>
        <w:rPr>
          <w:rFonts w:ascii="Arial Unicode MS" w:hAnsi="Arial Unicode MS" w:cs="Times New Roman" w:hint="cs"/>
          <w:rtl/>
          <w:lang w:val="he-IL" w:bidi="he-IL"/>
        </w:rPr>
        <w:t>למכתב</w:t>
      </w:r>
      <w:r>
        <w:rPr>
          <w:rtl/>
          <w:lang w:val="ar-SA"/>
        </w:rPr>
        <w:t xml:space="preserve"> </w:t>
      </w:r>
      <w:r>
        <w:rPr>
          <w:rFonts w:ascii="Arial Unicode MS" w:hAnsi="Arial Unicode MS" w:cs="Times New Roman" w:hint="cs"/>
          <w:rtl/>
          <w:lang w:val="he-IL" w:bidi="he-IL"/>
        </w:rPr>
        <w:t>לה</w:t>
      </w:r>
      <w:r>
        <w:rPr>
          <w:rtl/>
          <w:lang w:val="ar-SA"/>
        </w:rPr>
        <w:t xml:space="preserve"> </w:t>
      </w:r>
      <w:r>
        <w:rPr>
          <w:rFonts w:ascii="Arial Unicode MS" w:hAnsi="Arial Unicode MS" w:cs="Times New Roman" w:hint="cs"/>
          <w:rtl/>
          <w:lang w:val="he-IL" w:bidi="he-IL"/>
        </w:rPr>
        <w:t>כתובה</w:t>
      </w:r>
      <w:r>
        <w:rPr>
          <w:rtl/>
          <w:lang w:val="ar-SA"/>
        </w:rPr>
        <w:t xml:space="preserve"> </w:t>
      </w:r>
      <w:r>
        <w:rPr>
          <w:rFonts w:ascii="Arial Unicode MS" w:hAnsi="Arial Unicode MS" w:cs="Times New Roman" w:hint="cs"/>
          <w:rtl/>
          <w:lang w:val="he-IL" w:bidi="he-IL"/>
        </w:rPr>
        <w:t>ככתובתא</w:t>
      </w:r>
      <w:r>
        <w:rPr>
          <w:rtl/>
          <w:lang w:val="ar-SA"/>
        </w:rPr>
        <w:t xml:space="preserve"> </w:t>
      </w:r>
      <w:r>
        <w:rPr>
          <w:rFonts w:ascii="Arial Unicode MS" w:hAnsi="Arial Unicode MS" w:cs="Times New Roman" w:hint="cs"/>
          <w:rtl/>
          <w:lang w:val="he-IL" w:bidi="he-IL"/>
        </w:rPr>
        <w:t>קמייתא</w:t>
      </w:r>
    </w:p>
    <w:p w14:paraId="7B22D88D" w14:textId="77777777" w:rsidR="00DB4AB8" w:rsidRDefault="00876BE0">
      <w:pPr>
        <w:pStyle w:val="Text"/>
        <w:bidi/>
        <w:spacing w:line="276" w:lineRule="auto"/>
        <w:rPr>
          <w:rtl/>
        </w:rPr>
      </w:pPr>
      <w:r>
        <w:rPr>
          <w:rtl/>
          <w:lang w:val="ar-SA"/>
        </w:rPr>
        <w:t>10</w:t>
      </w:r>
      <w:r>
        <w:rPr>
          <w:rtl/>
          <w:lang w:val="ar-SA"/>
        </w:rPr>
        <w:tab/>
      </w:r>
      <w:r>
        <w:rPr>
          <w:rFonts w:ascii="Arial Unicode MS" w:hAnsi="Arial Unicode MS" w:cs="Times New Roman" w:hint="cs"/>
          <w:rtl/>
          <w:lang w:val="he-IL" w:bidi="he-IL"/>
        </w:rPr>
        <w:t>דארכסת</w:t>
      </w:r>
      <w:r>
        <w:rPr>
          <w:rtl/>
          <w:lang w:val="ar-SA"/>
        </w:rPr>
        <w:t xml:space="preserve"> </w:t>
      </w:r>
      <w:r>
        <w:rPr>
          <w:rFonts w:ascii="Arial Unicode MS" w:hAnsi="Arial Unicode MS" w:cs="Times New Roman" w:hint="cs"/>
          <w:rtl/>
          <w:lang w:val="he-IL" w:bidi="he-IL"/>
        </w:rPr>
        <w:t>ודין</w:t>
      </w:r>
      <w:r>
        <w:rPr>
          <w:rtl/>
          <w:lang w:val="ar-SA"/>
        </w:rPr>
        <w:t xml:space="preserve"> </w:t>
      </w:r>
      <w:r>
        <w:rPr>
          <w:rFonts w:ascii="Arial Unicode MS" w:hAnsi="Arial Unicode MS" w:cs="Times New Roman" w:hint="cs"/>
          <w:rtl/>
          <w:lang w:val="he-IL" w:bidi="he-IL"/>
        </w:rPr>
        <w:t>קיומה</w:t>
      </w:r>
      <w:r>
        <w:rPr>
          <w:rtl/>
          <w:lang w:val="ar-SA"/>
        </w:rPr>
        <w:t xml:space="preserve"> </w:t>
      </w:r>
      <w:r>
        <w:rPr>
          <w:rFonts w:ascii="Arial Unicode MS" w:hAnsi="Arial Unicode MS" w:cs="Times New Roman" w:hint="cs"/>
          <w:rtl/>
          <w:lang w:val="he-IL" w:bidi="he-IL"/>
        </w:rPr>
        <w:t>בזכות</w:t>
      </w:r>
      <w:r>
        <w:rPr>
          <w:rtl/>
          <w:lang w:val="ar-SA"/>
        </w:rPr>
        <w:t xml:space="preserve"> </w:t>
      </w:r>
      <w:r>
        <w:rPr>
          <w:rFonts w:ascii="Arial Unicode MS" w:hAnsi="Arial Unicode MS" w:cs="Times New Roman" w:hint="cs"/>
          <w:rtl/>
          <w:lang w:val="he-IL" w:bidi="he-IL"/>
        </w:rPr>
        <w:t>אברהם</w:t>
      </w:r>
      <w:r>
        <w:rPr>
          <w:rtl/>
          <w:lang w:val="ar-SA"/>
        </w:rPr>
        <w:t xml:space="preserve"> </w:t>
      </w:r>
      <w:r>
        <w:rPr>
          <w:rFonts w:ascii="Arial Unicode MS" w:hAnsi="Arial Unicode MS" w:cs="Times New Roman" w:hint="cs"/>
          <w:rtl/>
          <w:lang w:val="he-IL" w:bidi="he-IL"/>
        </w:rPr>
        <w:t>אבונא</w:t>
      </w:r>
      <w:r>
        <w:rPr>
          <w:rtl/>
          <w:lang w:val="ar-SA"/>
        </w:rPr>
        <w:t xml:space="preserve"> </w:t>
      </w:r>
      <w:r>
        <w:rPr>
          <w:rFonts w:ascii="Arial Unicode MS" w:hAnsi="Arial Unicode MS" w:cs="Times New Roman" w:hint="cs"/>
          <w:rtl/>
          <w:lang w:val="he-IL" w:bidi="he-IL"/>
        </w:rPr>
        <w:t>איךׄ</w:t>
      </w:r>
      <w:r>
        <w:rPr>
          <w:rtl/>
          <w:lang w:val="ar-SA"/>
        </w:rPr>
        <w:t xml:space="preserve"> </w:t>
      </w:r>
      <w:r>
        <w:rPr>
          <w:rFonts w:ascii="Arial Unicode MS" w:hAnsi="Arial Unicode MS" w:cs="Times New Roman" w:hint="cs"/>
          <w:rtl/>
          <w:lang w:val="he-IL" w:bidi="he-IL"/>
        </w:rPr>
        <w:t>סאלם</w:t>
      </w:r>
      <w:r>
        <w:rPr>
          <w:rtl/>
          <w:lang w:val="ar-SA"/>
        </w:rPr>
        <w:t xml:space="preserve"> </w:t>
      </w:r>
      <w:r>
        <w:rPr>
          <w:rFonts w:ascii="Arial Unicode MS" w:hAnsi="Arial Unicode MS" w:cs="Times New Roman" w:hint="cs"/>
          <w:rtl/>
          <w:lang w:val="he-IL" w:bidi="he-IL"/>
        </w:rPr>
        <w:t>ןׄׄ</w:t>
      </w:r>
      <w:r>
        <w:rPr>
          <w:rtl/>
          <w:lang w:val="ar-SA"/>
        </w:rPr>
        <w:t xml:space="preserve"> </w:t>
      </w:r>
      <w:r>
        <w:rPr>
          <w:rFonts w:ascii="Arial Unicode MS" w:hAnsi="Arial Unicode MS" w:cs="Times New Roman" w:hint="cs"/>
          <w:rtl/>
          <w:lang w:val="he-IL" w:bidi="he-IL"/>
        </w:rPr>
        <w:t>הארון</w:t>
      </w:r>
      <w:r>
        <w:rPr>
          <w:rtl/>
          <w:lang w:val="ar-SA"/>
        </w:rPr>
        <w:t xml:space="preserve"> </w:t>
      </w:r>
      <w:r>
        <w:rPr>
          <w:rFonts w:ascii="Arial Unicode MS" w:hAnsi="Arial Unicode MS" w:cs="Times New Roman" w:hint="cs"/>
          <w:rtl/>
          <w:lang w:val="he-IL" w:bidi="he-IL"/>
        </w:rPr>
        <w:t>אלעזירי</w:t>
      </w:r>
      <w:r>
        <w:rPr>
          <w:rtl/>
          <w:lang w:val="ar-SA"/>
        </w:rPr>
        <w:t xml:space="preserve"> </w:t>
      </w:r>
      <w:r>
        <w:rPr>
          <w:rFonts w:ascii="Arial Unicode MS" w:hAnsi="Arial Unicode MS" w:cs="Times New Roman" w:hint="cs"/>
          <w:rtl/>
          <w:lang w:val="he-IL" w:bidi="he-IL"/>
        </w:rPr>
        <w:t>זהרה</w:t>
      </w:r>
      <w:r>
        <w:rPr>
          <w:rtl/>
          <w:lang w:val="ar-SA"/>
        </w:rPr>
        <w:t xml:space="preserve"> </w:t>
      </w:r>
      <w:r>
        <w:rPr>
          <w:rFonts w:ascii="Arial Unicode MS" w:hAnsi="Arial Unicode MS" w:cs="Times New Roman" w:hint="cs"/>
          <w:rtl/>
          <w:lang w:val="he-IL" w:bidi="he-IL"/>
        </w:rPr>
        <w:t>חתנא</w:t>
      </w:r>
      <w:r>
        <w:rPr>
          <w:rtl/>
          <w:lang w:val="ar-SA"/>
        </w:rPr>
        <w:t xml:space="preserve"> </w:t>
      </w:r>
      <w:r>
        <w:rPr>
          <w:rFonts w:ascii="Arial Unicode MS" w:hAnsi="Arial Unicode MS" w:cs="Times New Roman" w:hint="cs"/>
          <w:rtl/>
          <w:lang w:val="he-IL" w:bidi="he-IL"/>
        </w:rPr>
        <w:t>אמר</w:t>
      </w:r>
    </w:p>
    <w:p w14:paraId="02DA89B2" w14:textId="77777777" w:rsidR="00DB4AB8" w:rsidRDefault="00876BE0">
      <w:pPr>
        <w:pStyle w:val="Text"/>
        <w:bidi/>
        <w:spacing w:line="276" w:lineRule="auto"/>
        <w:rPr>
          <w:rtl/>
        </w:rPr>
      </w:pPr>
      <w:r>
        <w:rPr>
          <w:rtl/>
          <w:lang w:val="ar-SA"/>
        </w:rPr>
        <w:t>11</w:t>
      </w:r>
      <w:r>
        <w:rPr>
          <w:rtl/>
          <w:lang w:val="ar-SA"/>
        </w:rPr>
        <w:tab/>
      </w:r>
      <w:r>
        <w:rPr>
          <w:rFonts w:ascii="Arial Unicode MS" w:hAnsi="Arial Unicode MS" w:cs="Times New Roman" w:hint="cs"/>
          <w:rtl/>
          <w:lang w:val="he-IL" w:bidi="he-IL"/>
        </w:rPr>
        <w:t>לה</w:t>
      </w:r>
      <w:r>
        <w:rPr>
          <w:rtl/>
          <w:lang w:val="ar-SA"/>
        </w:rPr>
        <w:t xml:space="preserve"> </w:t>
      </w:r>
      <w:r>
        <w:rPr>
          <w:rFonts w:ascii="Arial Unicode MS" w:hAnsi="Arial Unicode MS" w:cs="Times New Roman" w:hint="cs"/>
          <w:rtl/>
          <w:lang w:val="he-IL" w:bidi="he-IL"/>
        </w:rPr>
        <w:t>לגׄנא בנת</w:t>
      </w:r>
      <w:r>
        <w:rPr>
          <w:rtl/>
          <w:lang w:val="ar-SA"/>
        </w:rPr>
        <w:t xml:space="preserve"> </w:t>
      </w:r>
      <w:r>
        <w:rPr>
          <w:rFonts w:ascii="Arial Unicode MS" w:hAnsi="Arial Unicode MS" w:cs="Times New Roman" w:hint="cs"/>
          <w:rtl/>
          <w:lang w:val="he-IL" w:bidi="he-IL"/>
        </w:rPr>
        <w:t>סאלם</w:t>
      </w:r>
      <w:r>
        <w:rPr>
          <w:rtl/>
          <w:lang w:val="ar-SA"/>
        </w:rPr>
        <w:t xml:space="preserve"> </w:t>
      </w:r>
      <w:r>
        <w:rPr>
          <w:rFonts w:ascii="Arial Unicode MS" w:hAnsi="Arial Unicode MS" w:cs="Times New Roman" w:hint="cs"/>
          <w:rtl/>
          <w:lang w:val="he-IL" w:bidi="he-IL"/>
        </w:rPr>
        <w:t>ןׄ</w:t>
      </w:r>
      <w:r>
        <w:rPr>
          <w:rtl/>
          <w:lang w:val="ar-SA"/>
        </w:rPr>
        <w:t xml:space="preserve"> </w:t>
      </w:r>
      <w:r>
        <w:rPr>
          <w:rFonts w:ascii="Arial Unicode MS" w:hAnsi="Arial Unicode MS" w:cs="Times New Roman" w:hint="cs"/>
          <w:rtl/>
          <w:lang w:val="he-IL" w:bidi="he-IL"/>
        </w:rPr>
        <w:t>שכר</w:t>
      </w:r>
      <w:r>
        <w:rPr>
          <w:rtl/>
          <w:lang w:val="ar-SA"/>
        </w:rPr>
        <w:t xml:space="preserve"> </w:t>
      </w:r>
      <w:r>
        <w:rPr>
          <w:rFonts w:ascii="Arial Unicode MS" w:hAnsi="Arial Unicode MS" w:cs="Times New Roman" w:hint="cs"/>
          <w:rtl/>
          <w:lang w:val="he-IL" w:bidi="he-IL"/>
        </w:rPr>
        <w:t>אלתאם</w:t>
      </w:r>
      <w:r>
        <w:rPr>
          <w:rtl/>
          <w:lang w:val="ar-SA"/>
        </w:rPr>
        <w:t xml:space="preserve"> </w:t>
      </w:r>
      <w:r>
        <w:rPr>
          <w:rFonts w:ascii="Arial Unicode MS" w:hAnsi="Arial Unicode MS" w:cs="Times New Roman" w:hint="cs"/>
          <w:rtl/>
          <w:lang w:val="he-IL" w:bidi="he-IL"/>
        </w:rPr>
        <w:t>כלתא</w:t>
      </w:r>
      <w:r>
        <w:rPr>
          <w:rtl/>
          <w:lang w:val="ar-SA"/>
        </w:rPr>
        <w:t xml:space="preserve"> </w:t>
      </w:r>
      <w:r>
        <w:rPr>
          <w:rFonts w:ascii="Arial Unicode MS" w:hAnsi="Arial Unicode MS" w:cs="Times New Roman" w:hint="cs"/>
          <w:rtl/>
          <w:lang w:val="he-IL" w:bidi="he-IL"/>
        </w:rPr>
        <w:t>בתולתא</w:t>
      </w:r>
      <w:r>
        <w:rPr>
          <w:rtl/>
          <w:lang w:val="ar-SA"/>
        </w:rPr>
        <w:t xml:space="preserve"> </w:t>
      </w:r>
      <w:r>
        <w:rPr>
          <w:rFonts w:ascii="Arial Unicode MS" w:hAnsi="Arial Unicode MS" w:cs="Times New Roman" w:hint="cs"/>
          <w:rtl/>
          <w:lang w:val="he-IL" w:bidi="he-IL"/>
        </w:rPr>
        <w:t>הוי</w:t>
      </w:r>
      <w:r>
        <w:rPr>
          <w:rtl/>
          <w:lang w:val="ar-SA"/>
        </w:rPr>
        <w:t xml:space="preserve"> </w:t>
      </w:r>
      <w:r>
        <w:rPr>
          <w:rFonts w:ascii="Arial Unicode MS" w:hAnsi="Arial Unicode MS" w:cs="Times New Roman" w:hint="cs"/>
          <w:rtl/>
          <w:lang w:val="he-IL" w:bidi="he-IL"/>
        </w:rPr>
        <w:t>לי</w:t>
      </w:r>
      <w:r>
        <w:rPr>
          <w:rtl/>
          <w:lang w:val="ar-SA"/>
        </w:rPr>
        <w:t xml:space="preserve"> </w:t>
      </w:r>
      <w:r>
        <w:rPr>
          <w:rFonts w:ascii="Arial Unicode MS" w:hAnsi="Arial Unicode MS" w:cs="Times New Roman" w:hint="cs"/>
          <w:rtl/>
          <w:lang w:val="he-IL" w:bidi="he-IL"/>
        </w:rPr>
        <w:t>לאנתו</w:t>
      </w:r>
      <w:r>
        <w:rPr>
          <w:rtl/>
          <w:lang w:val="ar-SA"/>
        </w:rPr>
        <w:t xml:space="preserve"> </w:t>
      </w:r>
      <w:r>
        <w:rPr>
          <w:rFonts w:ascii="Arial Unicode MS" w:hAnsi="Arial Unicode MS" w:cs="Times New Roman" w:hint="cs"/>
          <w:rtl/>
          <w:lang w:val="he-IL" w:bidi="he-IL"/>
        </w:rPr>
        <w:t>כדת</w:t>
      </w:r>
      <w:r>
        <w:rPr>
          <w:rtl/>
          <w:lang w:val="ar-SA"/>
        </w:rPr>
        <w:t xml:space="preserve"> </w:t>
      </w:r>
      <w:r>
        <w:rPr>
          <w:rFonts w:ascii="Arial Unicode MS" w:hAnsi="Arial Unicode MS" w:cs="Times New Roman" w:hint="cs"/>
          <w:rtl/>
          <w:lang w:val="he-IL" w:bidi="he-IL"/>
        </w:rPr>
        <w:t>משה</w:t>
      </w:r>
      <w:r>
        <w:rPr>
          <w:rtl/>
          <w:lang w:val="ar-SA"/>
        </w:rPr>
        <w:t xml:space="preserve"> </w:t>
      </w:r>
      <w:r>
        <w:rPr>
          <w:rFonts w:ascii="Arial Unicode MS" w:hAnsi="Arial Unicode MS" w:cs="Times New Roman" w:hint="cs"/>
          <w:rtl/>
          <w:lang w:val="he-IL" w:bidi="he-IL"/>
        </w:rPr>
        <w:t>וישראל</w:t>
      </w:r>
      <w:r>
        <w:rPr>
          <w:rtl/>
          <w:lang w:val="ar-SA"/>
        </w:rPr>
        <w:t xml:space="preserve"> </w:t>
      </w:r>
      <w:r>
        <w:rPr>
          <w:rFonts w:ascii="Arial Unicode MS" w:hAnsi="Arial Unicode MS" w:cs="Times New Roman" w:hint="cs"/>
          <w:rtl/>
          <w:lang w:val="he-IL" w:bidi="he-IL"/>
        </w:rPr>
        <w:t>ואנא</w:t>
      </w:r>
    </w:p>
    <w:p w14:paraId="14E11781" w14:textId="77777777" w:rsidR="00DB4AB8" w:rsidRDefault="00876BE0">
      <w:pPr>
        <w:pStyle w:val="Text"/>
        <w:bidi/>
        <w:spacing w:line="276" w:lineRule="auto"/>
        <w:rPr>
          <w:rtl/>
        </w:rPr>
      </w:pPr>
      <w:r>
        <w:rPr>
          <w:rtl/>
          <w:lang w:val="ar-SA"/>
        </w:rPr>
        <w:t>12</w:t>
      </w:r>
      <w:r>
        <w:rPr>
          <w:rtl/>
          <w:lang w:val="ar-SA"/>
        </w:rPr>
        <w:tab/>
      </w:r>
      <w:r>
        <w:rPr>
          <w:rFonts w:ascii="Arial Unicode MS" w:hAnsi="Arial Unicode MS" w:cs="Times New Roman" w:hint="cs"/>
          <w:rtl/>
          <w:lang w:val="he-IL" w:bidi="he-IL"/>
        </w:rPr>
        <w:t>במימרא</w:t>
      </w:r>
      <w:r>
        <w:rPr>
          <w:rtl/>
          <w:lang w:val="ar-SA"/>
        </w:rPr>
        <w:t xml:space="preserve"> </w:t>
      </w:r>
      <w:r>
        <w:rPr>
          <w:rFonts w:ascii="Arial Unicode MS" w:hAnsi="Arial Unicode MS" w:cs="Times New Roman" w:hint="cs"/>
          <w:rtl/>
          <w:lang w:val="he-IL" w:bidi="he-IL"/>
        </w:rPr>
        <w:t>דשמיא</w:t>
      </w:r>
      <w:r>
        <w:rPr>
          <w:rtl/>
          <w:lang w:val="ar-SA"/>
        </w:rPr>
        <w:t xml:space="preserve"> </w:t>
      </w:r>
      <w:r>
        <w:rPr>
          <w:rFonts w:ascii="Arial Unicode MS" w:hAnsi="Arial Unicode MS" w:cs="Times New Roman" w:hint="cs"/>
          <w:rtl/>
          <w:lang w:val="he-IL" w:bidi="he-IL"/>
        </w:rPr>
        <w:t>אפלח</w:t>
      </w:r>
      <w:r>
        <w:rPr>
          <w:rtl/>
          <w:lang w:val="ar-SA"/>
        </w:rPr>
        <w:t xml:space="preserve"> </w:t>
      </w:r>
      <w:r>
        <w:rPr>
          <w:rFonts w:ascii="Arial Unicode MS" w:hAnsi="Arial Unicode MS" w:cs="Times New Roman" w:hint="cs"/>
          <w:rtl/>
          <w:lang w:val="he-IL" w:bidi="he-IL"/>
        </w:rPr>
        <w:t>ואייקר</w:t>
      </w:r>
      <w:r>
        <w:rPr>
          <w:rtl/>
          <w:lang w:val="ar-SA"/>
        </w:rPr>
        <w:t xml:space="preserve"> </w:t>
      </w:r>
      <w:r>
        <w:rPr>
          <w:rFonts w:ascii="Arial Unicode MS" w:hAnsi="Arial Unicode MS" w:cs="Times New Roman" w:hint="cs"/>
          <w:rtl/>
          <w:lang w:val="he-IL" w:bidi="he-IL"/>
        </w:rPr>
        <w:t>ואסובר</w:t>
      </w:r>
      <w:r>
        <w:rPr>
          <w:rtl/>
          <w:lang w:val="ar-SA"/>
        </w:rPr>
        <w:t xml:space="preserve"> </w:t>
      </w:r>
      <w:r>
        <w:rPr>
          <w:rFonts w:ascii="Arial Unicode MS" w:hAnsi="Arial Unicode MS" w:cs="Times New Roman" w:hint="cs"/>
          <w:rtl/>
          <w:lang w:val="he-IL" w:bidi="he-IL"/>
        </w:rPr>
        <w:t>ואזון</w:t>
      </w:r>
      <w:r>
        <w:rPr>
          <w:rtl/>
          <w:lang w:val="ar-SA"/>
        </w:rPr>
        <w:t xml:space="preserve"> </w:t>
      </w:r>
      <w:r>
        <w:rPr>
          <w:rFonts w:ascii="Arial Unicode MS" w:hAnsi="Arial Unicode MS" w:cs="Times New Roman" w:hint="cs"/>
          <w:rtl/>
          <w:lang w:val="he-IL" w:bidi="he-IL"/>
        </w:rPr>
        <w:t>ואפרניס</w:t>
      </w:r>
      <w:r>
        <w:rPr>
          <w:rtl/>
          <w:lang w:val="ar-SA"/>
        </w:rPr>
        <w:t xml:space="preserve"> </w:t>
      </w:r>
      <w:r>
        <w:rPr>
          <w:rFonts w:ascii="Arial Unicode MS" w:hAnsi="Arial Unicode MS" w:cs="Times New Roman" w:hint="cs"/>
          <w:rtl/>
          <w:lang w:val="he-IL" w:bidi="he-IL"/>
        </w:rPr>
        <w:t>ואכסי</w:t>
      </w:r>
      <w:r>
        <w:rPr>
          <w:rtl/>
          <w:lang w:val="ar-SA"/>
        </w:rPr>
        <w:t xml:space="preserve"> </w:t>
      </w:r>
      <w:r>
        <w:rPr>
          <w:rFonts w:ascii="Arial Unicode MS" w:hAnsi="Arial Unicode MS" w:cs="Times New Roman" w:hint="cs"/>
          <w:rtl/>
          <w:lang w:val="he-IL" w:bidi="he-IL"/>
        </w:rPr>
        <w:t>יתיכי</w:t>
      </w:r>
      <w:r>
        <w:rPr>
          <w:rtl/>
          <w:lang w:val="ar-SA"/>
        </w:rPr>
        <w:t xml:space="preserve"> </w:t>
      </w:r>
      <w:r>
        <w:rPr>
          <w:rFonts w:ascii="Arial Unicode MS" w:hAnsi="Arial Unicode MS" w:cs="Times New Roman" w:hint="cs"/>
          <w:rtl/>
          <w:lang w:val="he-IL" w:bidi="he-IL"/>
        </w:rPr>
        <w:t>כהלכת</w:t>
      </w:r>
      <w:r>
        <w:rPr>
          <w:rtl/>
          <w:lang w:val="ar-SA"/>
        </w:rPr>
        <w:t xml:space="preserve"> </w:t>
      </w:r>
      <w:r>
        <w:rPr>
          <w:rFonts w:ascii="Arial Unicode MS" w:hAnsi="Arial Unicode MS" w:cs="Times New Roman" w:hint="cs"/>
          <w:rtl/>
          <w:lang w:val="he-IL" w:bidi="he-IL"/>
        </w:rPr>
        <w:t>גוברין</w:t>
      </w:r>
      <w:r>
        <w:rPr>
          <w:rtl/>
          <w:lang w:val="ar-SA"/>
        </w:rPr>
        <w:t xml:space="preserve"> </w:t>
      </w:r>
      <w:r>
        <w:rPr>
          <w:rFonts w:ascii="Arial Unicode MS" w:hAnsi="Arial Unicode MS" w:cs="Times New Roman" w:hint="cs"/>
          <w:rtl/>
          <w:lang w:val="he-IL" w:bidi="he-IL"/>
        </w:rPr>
        <w:t>יהודאין</w:t>
      </w:r>
    </w:p>
    <w:p w14:paraId="1A4F7F4B" w14:textId="77777777" w:rsidR="00DB4AB8" w:rsidRDefault="00876BE0">
      <w:pPr>
        <w:pStyle w:val="Text"/>
        <w:bidi/>
        <w:spacing w:line="276" w:lineRule="auto"/>
        <w:rPr>
          <w:rtl/>
        </w:rPr>
      </w:pPr>
      <w:r>
        <w:rPr>
          <w:rtl/>
          <w:lang w:val="ar-SA"/>
        </w:rPr>
        <w:t>13</w:t>
      </w:r>
      <w:r>
        <w:rPr>
          <w:rtl/>
          <w:lang w:val="ar-SA"/>
        </w:rPr>
        <w:tab/>
      </w:r>
      <w:r>
        <w:rPr>
          <w:rFonts w:ascii="Arial Unicode MS" w:hAnsi="Arial Unicode MS" w:cs="Times New Roman" w:hint="cs"/>
          <w:rtl/>
          <w:lang w:val="he-IL" w:bidi="he-IL"/>
        </w:rPr>
        <w:t>דפלחין</w:t>
      </w:r>
      <w:r>
        <w:rPr>
          <w:rtl/>
          <w:lang w:val="ar-SA"/>
        </w:rPr>
        <w:t xml:space="preserve"> </w:t>
      </w:r>
      <w:r>
        <w:rPr>
          <w:rFonts w:ascii="Arial Unicode MS" w:hAnsi="Arial Unicode MS" w:cs="Times New Roman" w:hint="cs"/>
          <w:rtl/>
          <w:lang w:val="he-IL" w:bidi="he-IL"/>
        </w:rPr>
        <w:t>ומייקרין</w:t>
      </w:r>
      <w:r>
        <w:rPr>
          <w:rtl/>
          <w:lang w:val="ar-SA"/>
        </w:rPr>
        <w:t xml:space="preserve"> </w:t>
      </w:r>
      <w:r>
        <w:rPr>
          <w:rFonts w:ascii="Arial Unicode MS" w:hAnsi="Arial Unicode MS" w:cs="Times New Roman" w:hint="cs"/>
          <w:rtl/>
          <w:lang w:val="he-IL" w:bidi="he-IL"/>
        </w:rPr>
        <w:t>ומסוברין</w:t>
      </w:r>
      <w:r>
        <w:rPr>
          <w:rtl/>
          <w:lang w:val="ar-SA"/>
        </w:rPr>
        <w:t xml:space="preserve"> </w:t>
      </w:r>
      <w:r>
        <w:rPr>
          <w:rFonts w:ascii="Arial Unicode MS" w:hAnsi="Arial Unicode MS" w:cs="Times New Roman" w:hint="cs"/>
          <w:rtl/>
          <w:lang w:val="he-IL" w:bidi="he-IL"/>
        </w:rPr>
        <w:t>וזנין</w:t>
      </w:r>
      <w:r>
        <w:rPr>
          <w:rtl/>
          <w:lang w:val="ar-SA"/>
        </w:rPr>
        <w:t xml:space="preserve"> </w:t>
      </w:r>
      <w:r>
        <w:rPr>
          <w:rFonts w:ascii="Arial Unicode MS" w:hAnsi="Arial Unicode MS" w:cs="Times New Roman" w:hint="cs"/>
          <w:rtl/>
          <w:lang w:val="he-IL" w:bidi="he-IL"/>
        </w:rPr>
        <w:t>ומפרנסין</w:t>
      </w:r>
      <w:r>
        <w:rPr>
          <w:rtl/>
          <w:lang w:val="ar-SA"/>
        </w:rPr>
        <w:t xml:space="preserve"> </w:t>
      </w:r>
      <w:r>
        <w:rPr>
          <w:rFonts w:ascii="Arial Unicode MS" w:hAnsi="Arial Unicode MS" w:cs="Times New Roman" w:hint="cs"/>
          <w:rtl/>
          <w:lang w:val="he-IL" w:bidi="he-IL"/>
        </w:rPr>
        <w:t>ומכסין</w:t>
      </w:r>
      <w:r>
        <w:rPr>
          <w:rtl/>
          <w:lang w:val="ar-SA"/>
        </w:rPr>
        <w:t xml:space="preserve"> </w:t>
      </w:r>
      <w:r>
        <w:rPr>
          <w:rFonts w:ascii="Arial Unicode MS" w:hAnsi="Arial Unicode MS" w:cs="Times New Roman" w:hint="cs"/>
          <w:rtl/>
          <w:lang w:val="he-IL" w:bidi="he-IL"/>
        </w:rPr>
        <w:t>ית</w:t>
      </w:r>
      <w:r>
        <w:rPr>
          <w:rtl/>
          <w:lang w:val="ar-SA"/>
        </w:rPr>
        <w:t xml:space="preserve"> </w:t>
      </w:r>
      <w:r>
        <w:rPr>
          <w:rFonts w:ascii="Arial Unicode MS" w:hAnsi="Arial Unicode MS" w:cs="Times New Roman" w:hint="cs"/>
          <w:rtl/>
          <w:lang w:val="he-IL" w:bidi="he-IL"/>
        </w:rPr>
        <w:t>נשיהון</w:t>
      </w:r>
      <w:r>
        <w:rPr>
          <w:rtl/>
          <w:lang w:val="ar-SA"/>
        </w:rPr>
        <w:t xml:space="preserve"> </w:t>
      </w:r>
      <w:r>
        <w:rPr>
          <w:rFonts w:ascii="Arial Unicode MS" w:hAnsi="Arial Unicode MS" w:cs="Times New Roman" w:hint="cs"/>
          <w:rtl/>
          <w:lang w:val="he-IL" w:bidi="he-IL"/>
        </w:rPr>
        <w:t>בקשוט</w:t>
      </w:r>
      <w:r>
        <w:rPr>
          <w:rtl/>
          <w:lang w:val="ar-SA"/>
        </w:rPr>
        <w:t xml:space="preserve"> </w:t>
      </w:r>
      <w:r>
        <w:rPr>
          <w:rFonts w:ascii="Arial Unicode MS" w:hAnsi="Arial Unicode MS" w:cs="Times New Roman" w:hint="cs"/>
          <w:rtl/>
          <w:lang w:val="he-IL" w:bidi="he-IL"/>
        </w:rPr>
        <w:t>ויהיבנא</w:t>
      </w:r>
      <w:r>
        <w:rPr>
          <w:rtl/>
          <w:lang w:val="ar-SA"/>
        </w:rPr>
        <w:t xml:space="preserve"> </w:t>
      </w:r>
      <w:r>
        <w:rPr>
          <w:rFonts w:ascii="Arial Unicode MS" w:hAnsi="Arial Unicode MS" w:cs="Times New Roman" w:hint="cs"/>
          <w:rtl/>
          <w:lang w:val="he-IL" w:bidi="he-IL"/>
        </w:rPr>
        <w:t>ליכי</w:t>
      </w:r>
    </w:p>
    <w:p w14:paraId="76D3190A" w14:textId="77777777" w:rsidR="00DB4AB8" w:rsidRDefault="00876BE0">
      <w:pPr>
        <w:pStyle w:val="Text"/>
        <w:bidi/>
        <w:spacing w:line="276" w:lineRule="auto"/>
        <w:rPr>
          <w:rtl/>
        </w:rPr>
      </w:pPr>
      <w:r>
        <w:rPr>
          <w:rtl/>
          <w:lang w:val="ar-SA"/>
        </w:rPr>
        <w:t>14</w:t>
      </w:r>
      <w:r>
        <w:rPr>
          <w:rtl/>
          <w:lang w:val="ar-SA"/>
        </w:rPr>
        <w:tab/>
      </w:r>
      <w:r>
        <w:rPr>
          <w:rFonts w:ascii="Arial Unicode MS" w:hAnsi="Arial Unicode MS" w:cs="Times New Roman" w:hint="cs"/>
          <w:rtl/>
          <w:lang w:val="he-IL" w:bidi="he-IL"/>
        </w:rPr>
        <w:t>מוהרי</w:t>
      </w:r>
      <w:r>
        <w:rPr>
          <w:rtl/>
          <w:lang w:val="ar-SA"/>
        </w:rPr>
        <w:t xml:space="preserve"> </w:t>
      </w:r>
      <w:r>
        <w:rPr>
          <w:rFonts w:ascii="Arial Unicode MS" w:hAnsi="Arial Unicode MS" w:cs="Times New Roman" w:hint="cs"/>
          <w:rtl/>
          <w:lang w:val="he-IL" w:bidi="he-IL"/>
        </w:rPr>
        <w:t>בתוליכי</w:t>
      </w:r>
      <w:r>
        <w:rPr>
          <w:rtl/>
          <w:lang w:val="ar-SA"/>
        </w:rPr>
        <w:t xml:space="preserve"> </w:t>
      </w:r>
      <w:r>
        <w:rPr>
          <w:rFonts w:ascii="Arial Unicode MS" w:hAnsi="Arial Unicode MS" w:cs="Times New Roman" w:hint="cs"/>
          <w:rtl/>
          <w:lang w:val="he-IL" w:bidi="he-IL"/>
        </w:rPr>
        <w:t>כסף</w:t>
      </w:r>
      <w:r>
        <w:rPr>
          <w:rtl/>
          <w:lang w:val="ar-SA"/>
        </w:rPr>
        <w:t xml:space="preserve"> </w:t>
      </w:r>
      <w:r>
        <w:rPr>
          <w:rFonts w:ascii="Arial Unicode MS" w:hAnsi="Arial Unicode MS" w:cs="Times New Roman" w:hint="cs"/>
          <w:rtl/>
          <w:lang w:val="he-IL" w:bidi="he-IL"/>
        </w:rPr>
        <w:t>זוזי</w:t>
      </w:r>
      <w:r>
        <w:rPr>
          <w:rtl/>
          <w:lang w:val="ar-SA"/>
        </w:rPr>
        <w:t xml:space="preserve"> </w:t>
      </w:r>
      <w:r>
        <w:rPr>
          <w:rFonts w:ascii="Arial Unicode MS" w:hAnsi="Arial Unicode MS" w:cs="Times New Roman" w:hint="cs"/>
          <w:rtl/>
          <w:lang w:val="he-IL" w:bidi="he-IL"/>
        </w:rPr>
        <w:t>מאתן</w:t>
      </w:r>
      <w:r>
        <w:rPr>
          <w:rtl/>
          <w:lang w:val="ar-SA"/>
        </w:rPr>
        <w:t xml:space="preserve"> </w:t>
      </w:r>
      <w:r>
        <w:rPr>
          <w:rFonts w:ascii="Arial Unicode MS" w:hAnsi="Arial Unicode MS" w:cs="Times New Roman" w:hint="cs"/>
          <w:rtl/>
          <w:lang w:val="he-IL" w:bidi="he-IL"/>
        </w:rPr>
        <w:t>דאינון</w:t>
      </w:r>
      <w:r>
        <w:rPr>
          <w:rtl/>
          <w:lang w:val="ar-SA"/>
        </w:rPr>
        <w:t xml:space="preserve"> </w:t>
      </w:r>
      <w:r>
        <w:rPr>
          <w:rFonts w:ascii="Arial Unicode MS" w:hAnsi="Arial Unicode MS" w:cs="Times New Roman" w:hint="cs"/>
          <w:rtl/>
          <w:lang w:val="he-IL" w:bidi="he-IL"/>
        </w:rPr>
        <w:t>מזוזי</w:t>
      </w:r>
      <w:r>
        <w:rPr>
          <w:rtl/>
          <w:lang w:val="ar-SA"/>
        </w:rPr>
        <w:t xml:space="preserve"> </w:t>
      </w:r>
      <w:r>
        <w:rPr>
          <w:rFonts w:ascii="Arial Unicode MS" w:hAnsi="Arial Unicode MS" w:cs="Times New Roman" w:hint="cs"/>
          <w:rtl/>
          <w:lang w:val="he-IL" w:bidi="he-IL"/>
        </w:rPr>
        <w:t>כספא</w:t>
      </w:r>
      <w:r>
        <w:rPr>
          <w:rtl/>
          <w:lang w:val="ar-SA"/>
        </w:rPr>
        <w:t xml:space="preserve"> </w:t>
      </w:r>
      <w:r>
        <w:rPr>
          <w:rFonts w:ascii="Arial Unicode MS" w:hAnsi="Arial Unicode MS" w:cs="Times New Roman" w:hint="cs"/>
          <w:rtl/>
          <w:lang w:val="he-IL" w:bidi="he-IL"/>
        </w:rPr>
        <w:t>דכיא</w:t>
      </w:r>
      <w:r>
        <w:rPr>
          <w:rtl/>
          <w:lang w:val="ar-SA"/>
        </w:rPr>
        <w:t xml:space="preserve"> </w:t>
      </w:r>
      <w:r>
        <w:rPr>
          <w:rFonts w:ascii="Arial Unicode MS" w:hAnsi="Arial Unicode MS" w:cs="Times New Roman" w:hint="cs"/>
          <w:rtl/>
          <w:lang w:val="he-IL" w:bidi="he-IL"/>
        </w:rPr>
        <w:t>עסרין</w:t>
      </w:r>
      <w:r>
        <w:rPr>
          <w:rtl/>
          <w:lang w:val="ar-SA"/>
        </w:rPr>
        <w:t xml:space="preserve"> </w:t>
      </w:r>
      <w:r>
        <w:rPr>
          <w:rFonts w:ascii="Arial Unicode MS" w:hAnsi="Arial Unicode MS" w:cs="Times New Roman" w:hint="cs"/>
          <w:rtl/>
          <w:lang w:val="he-IL" w:bidi="he-IL"/>
        </w:rPr>
        <w:t>זוזין</w:t>
      </w:r>
      <w:r>
        <w:rPr>
          <w:rtl/>
          <w:lang w:val="ar-SA"/>
        </w:rPr>
        <w:t xml:space="preserve"> </w:t>
      </w:r>
      <w:r>
        <w:rPr>
          <w:rFonts w:ascii="Arial Unicode MS" w:hAnsi="Arial Unicode MS" w:cs="Times New Roman" w:hint="cs"/>
          <w:rtl/>
          <w:lang w:val="he-IL" w:bidi="he-IL"/>
        </w:rPr>
        <w:t>וחמשא</w:t>
      </w:r>
      <w:r>
        <w:rPr>
          <w:rtl/>
          <w:lang w:val="ar-SA"/>
        </w:rPr>
        <w:t xml:space="preserve"> </w:t>
      </w:r>
      <w:r>
        <w:rPr>
          <w:rFonts w:ascii="Arial Unicode MS" w:hAnsi="Arial Unicode MS" w:cs="Times New Roman" w:hint="cs"/>
          <w:rtl/>
          <w:lang w:val="he-IL" w:bidi="he-IL"/>
        </w:rPr>
        <w:t>זוזי</w:t>
      </w:r>
    </w:p>
    <w:p w14:paraId="1B7488B3" w14:textId="77777777" w:rsidR="00DB4AB8" w:rsidRDefault="00876BE0">
      <w:pPr>
        <w:pStyle w:val="Text"/>
        <w:bidi/>
        <w:spacing w:line="276" w:lineRule="auto"/>
        <w:rPr>
          <w:rtl/>
        </w:rPr>
      </w:pPr>
      <w:r>
        <w:rPr>
          <w:rtl/>
          <w:lang w:val="ar-SA"/>
        </w:rPr>
        <w:t>15</w:t>
      </w:r>
      <w:r>
        <w:rPr>
          <w:rtl/>
          <w:lang w:val="ar-SA"/>
        </w:rPr>
        <w:tab/>
      </w:r>
      <w:r>
        <w:rPr>
          <w:rFonts w:ascii="Arial Unicode MS" w:hAnsi="Arial Unicode MS" w:cs="Times New Roman" w:hint="cs"/>
          <w:rtl/>
          <w:lang w:val="he-IL" w:bidi="he-IL"/>
        </w:rPr>
        <w:t>דחאזו</w:t>
      </w:r>
      <w:r>
        <w:rPr>
          <w:rtl/>
          <w:lang w:val="ar-SA"/>
        </w:rPr>
        <w:t xml:space="preserve"> </w:t>
      </w:r>
      <w:r>
        <w:rPr>
          <w:rFonts w:ascii="Arial Unicode MS" w:hAnsi="Arial Unicode MS" w:cs="Times New Roman" w:hint="cs"/>
          <w:rtl/>
          <w:lang w:val="he-IL" w:bidi="he-IL"/>
        </w:rPr>
        <w:t>ליכי</w:t>
      </w:r>
      <w:r>
        <w:rPr>
          <w:rtl/>
          <w:lang w:val="ar-SA"/>
        </w:rPr>
        <w:t xml:space="preserve"> </w:t>
      </w:r>
      <w:r>
        <w:rPr>
          <w:rFonts w:ascii="Arial Unicode MS" w:hAnsi="Arial Unicode MS" w:cs="Times New Roman" w:hint="cs"/>
          <w:rtl/>
          <w:lang w:val="he-IL" w:bidi="he-IL"/>
        </w:rPr>
        <w:t>ומזוניכי</w:t>
      </w:r>
      <w:r>
        <w:rPr>
          <w:rtl/>
          <w:lang w:val="ar-SA"/>
        </w:rPr>
        <w:t xml:space="preserve"> </w:t>
      </w:r>
      <w:r>
        <w:rPr>
          <w:rFonts w:ascii="Arial Unicode MS" w:hAnsi="Arial Unicode MS" w:cs="Times New Roman" w:hint="cs"/>
          <w:rtl/>
          <w:lang w:val="he-IL" w:bidi="he-IL"/>
        </w:rPr>
        <w:t>וכסותיכי</w:t>
      </w:r>
      <w:r>
        <w:rPr>
          <w:rtl/>
          <w:lang w:val="ar-SA"/>
        </w:rPr>
        <w:t xml:space="preserve"> </w:t>
      </w:r>
      <w:r>
        <w:rPr>
          <w:rFonts w:ascii="Arial Unicode MS" w:hAnsi="Arial Unicode MS" w:cs="Times New Roman" w:hint="cs"/>
          <w:rtl/>
          <w:lang w:val="he-IL" w:bidi="he-IL"/>
        </w:rPr>
        <w:t>וסופקיכי</w:t>
      </w:r>
      <w:r>
        <w:rPr>
          <w:rtl/>
          <w:lang w:val="ar-SA"/>
        </w:rPr>
        <w:t xml:space="preserve"> </w:t>
      </w:r>
      <w:r>
        <w:rPr>
          <w:rFonts w:ascii="Arial Unicode MS" w:hAnsi="Arial Unicode MS" w:cs="Times New Roman" w:hint="cs"/>
          <w:rtl/>
          <w:lang w:val="he-IL" w:bidi="he-IL"/>
        </w:rPr>
        <w:t>ומיעל</w:t>
      </w:r>
      <w:r>
        <w:rPr>
          <w:rtl/>
          <w:lang w:val="ar-SA"/>
        </w:rPr>
        <w:t xml:space="preserve"> </w:t>
      </w:r>
      <w:r>
        <w:rPr>
          <w:rFonts w:ascii="Arial Unicode MS" w:hAnsi="Arial Unicode MS" w:cs="Times New Roman" w:hint="cs"/>
          <w:rtl/>
          <w:lang w:val="he-IL" w:bidi="he-IL"/>
        </w:rPr>
        <w:t>לותיכי</w:t>
      </w:r>
      <w:r>
        <w:rPr>
          <w:rtl/>
          <w:lang w:val="ar-SA"/>
        </w:rPr>
        <w:t xml:space="preserve"> </w:t>
      </w:r>
      <w:r>
        <w:rPr>
          <w:rFonts w:ascii="Arial Unicode MS" w:hAnsi="Arial Unicode MS" w:cs="Times New Roman" w:hint="cs"/>
          <w:rtl/>
          <w:lang w:val="he-IL" w:bidi="he-IL"/>
        </w:rPr>
        <w:t>כאורח</w:t>
      </w:r>
      <w:r>
        <w:rPr>
          <w:rtl/>
          <w:lang w:val="ar-SA"/>
        </w:rPr>
        <w:t xml:space="preserve"> </w:t>
      </w:r>
      <w:r>
        <w:rPr>
          <w:rFonts w:ascii="Arial Unicode MS" w:hAnsi="Arial Unicode MS" w:cs="Times New Roman" w:hint="cs"/>
          <w:rtl/>
          <w:lang w:val="he-IL" w:bidi="he-IL"/>
        </w:rPr>
        <w:t>כל</w:t>
      </w:r>
      <w:r>
        <w:rPr>
          <w:rtl/>
          <w:lang w:val="ar-SA"/>
        </w:rPr>
        <w:t xml:space="preserve"> </w:t>
      </w:r>
      <w:r>
        <w:rPr>
          <w:rFonts w:ascii="Arial Unicode MS" w:hAnsi="Arial Unicode MS" w:cs="Times New Roman" w:hint="cs"/>
          <w:rtl/>
          <w:lang w:val="he-IL" w:bidi="he-IL"/>
        </w:rPr>
        <w:t>ארעא</w:t>
      </w:r>
      <w:r>
        <w:rPr>
          <w:rtl/>
          <w:lang w:val="ar-SA"/>
        </w:rPr>
        <w:t xml:space="preserve"> </w:t>
      </w:r>
      <w:r>
        <w:rPr>
          <w:rFonts w:ascii="Arial Unicode MS" w:hAnsi="Arial Unicode MS" w:cs="Times New Roman" w:hint="cs"/>
          <w:rtl/>
          <w:lang w:val="he-IL" w:bidi="he-IL"/>
        </w:rPr>
        <w:t>וצביאת</w:t>
      </w:r>
      <w:r>
        <w:rPr>
          <w:rtl/>
          <w:lang w:val="ar-SA"/>
        </w:rPr>
        <w:t xml:space="preserve"> </w:t>
      </w:r>
      <w:r>
        <w:rPr>
          <w:rFonts w:ascii="Arial Unicode MS" w:hAnsi="Arial Unicode MS" w:cs="Times New Roman" w:hint="cs"/>
          <w:rtl/>
          <w:lang w:val="he-IL" w:bidi="he-IL"/>
        </w:rPr>
        <w:t>כלתא</w:t>
      </w:r>
    </w:p>
    <w:p w14:paraId="60ACFC70" w14:textId="77777777" w:rsidR="00DB4AB8" w:rsidRDefault="00876BE0">
      <w:pPr>
        <w:pStyle w:val="Text"/>
        <w:bidi/>
        <w:spacing w:line="276" w:lineRule="auto"/>
        <w:rPr>
          <w:rtl/>
        </w:rPr>
      </w:pPr>
      <w:r>
        <w:rPr>
          <w:rtl/>
          <w:lang w:val="ar-SA"/>
        </w:rPr>
        <w:t>16</w:t>
      </w:r>
      <w:r>
        <w:rPr>
          <w:rtl/>
          <w:lang w:val="ar-SA"/>
        </w:rPr>
        <w:tab/>
      </w:r>
      <w:r>
        <w:rPr>
          <w:rFonts w:ascii="Arial Unicode MS" w:hAnsi="Arial Unicode MS" w:cs="Times New Roman" w:hint="cs"/>
          <w:rtl/>
          <w:lang w:val="he-IL" w:bidi="he-IL"/>
        </w:rPr>
        <w:t>דא</w:t>
      </w:r>
      <w:r>
        <w:rPr>
          <w:rtl/>
          <w:lang w:val="ar-SA"/>
        </w:rPr>
        <w:t xml:space="preserve"> </w:t>
      </w:r>
      <w:r>
        <w:rPr>
          <w:rFonts w:ascii="Arial Unicode MS" w:hAnsi="Arial Unicode MS" w:cs="Times New Roman" w:hint="cs"/>
          <w:rtl/>
          <w:lang w:val="he-IL" w:bidi="he-IL"/>
        </w:rPr>
        <w:t>והות</w:t>
      </w:r>
      <w:r>
        <w:rPr>
          <w:rtl/>
          <w:lang w:val="ar-SA"/>
        </w:rPr>
        <w:t xml:space="preserve"> </w:t>
      </w:r>
      <w:r>
        <w:rPr>
          <w:rFonts w:ascii="Arial Unicode MS" w:hAnsi="Arial Unicode MS" w:cs="Times New Roman" w:hint="cs"/>
          <w:rtl/>
          <w:lang w:val="he-IL" w:bidi="he-IL"/>
        </w:rPr>
        <w:t>ליה</w:t>
      </w:r>
      <w:r>
        <w:rPr>
          <w:rtl/>
          <w:lang w:val="ar-SA"/>
        </w:rPr>
        <w:t xml:space="preserve"> </w:t>
      </w:r>
      <w:r>
        <w:rPr>
          <w:rFonts w:ascii="Arial Unicode MS" w:hAnsi="Arial Unicode MS" w:cs="Times New Roman" w:hint="cs"/>
          <w:rtl/>
          <w:lang w:val="he-IL" w:bidi="he-IL"/>
        </w:rPr>
        <w:t>לאנתו</w:t>
      </w:r>
      <w:r>
        <w:rPr>
          <w:rtl/>
          <w:lang w:val="ar-SA"/>
        </w:rPr>
        <w:t xml:space="preserve"> </w:t>
      </w:r>
      <w:r>
        <w:rPr>
          <w:rFonts w:ascii="Arial Unicode MS" w:hAnsi="Arial Unicode MS" w:cs="Times New Roman" w:hint="cs"/>
          <w:rtl/>
          <w:lang w:val="he-IL" w:bidi="he-IL"/>
        </w:rPr>
        <w:t>ודא</w:t>
      </w:r>
      <w:r>
        <w:rPr>
          <w:rtl/>
          <w:lang w:val="ar-SA"/>
        </w:rPr>
        <w:t xml:space="preserve"> </w:t>
      </w:r>
      <w:r>
        <w:rPr>
          <w:rFonts w:ascii="Arial Unicode MS" w:hAnsi="Arial Unicode MS" w:cs="Times New Roman" w:hint="cs"/>
          <w:rtl/>
          <w:lang w:val="he-IL" w:bidi="he-IL"/>
        </w:rPr>
        <w:t>נדוניא</w:t>
      </w:r>
      <w:r>
        <w:rPr>
          <w:rtl/>
          <w:lang w:val="ar-SA"/>
        </w:rPr>
        <w:t xml:space="preserve"> </w:t>
      </w:r>
      <w:r>
        <w:rPr>
          <w:rFonts w:ascii="Arial Unicode MS" w:hAnsi="Arial Unicode MS" w:cs="Times New Roman" w:hint="cs"/>
          <w:rtl/>
          <w:lang w:val="he-IL" w:bidi="he-IL"/>
        </w:rPr>
        <w:t>דהנעילת</w:t>
      </w:r>
      <w:r>
        <w:rPr>
          <w:rtl/>
          <w:lang w:val="ar-SA"/>
        </w:rPr>
        <w:t xml:space="preserve"> </w:t>
      </w:r>
      <w:r>
        <w:rPr>
          <w:rFonts w:ascii="Arial Unicode MS" w:hAnsi="Arial Unicode MS" w:cs="Times New Roman" w:hint="cs"/>
          <w:rtl/>
          <w:lang w:val="he-IL" w:bidi="he-IL"/>
        </w:rPr>
        <w:t>ליה</w:t>
      </w:r>
      <w:r>
        <w:rPr>
          <w:rtl/>
          <w:lang w:val="ar-SA"/>
        </w:rPr>
        <w:t xml:space="preserve"> </w:t>
      </w:r>
      <w:r>
        <w:rPr>
          <w:rFonts w:ascii="Arial Unicode MS" w:hAnsi="Arial Unicode MS" w:cs="Times New Roman" w:hint="cs"/>
          <w:rtl/>
          <w:lang w:val="he-IL" w:bidi="he-IL"/>
        </w:rPr>
        <w:t>מאיה׳</w:t>
      </w:r>
      <w:r>
        <w:rPr>
          <w:rtl/>
          <w:lang w:val="ar-SA"/>
        </w:rPr>
        <w:t xml:space="preserve"> </w:t>
      </w:r>
      <w:r>
        <w:rPr>
          <w:rFonts w:ascii="Arial Unicode MS" w:hAnsi="Arial Unicode MS" w:cs="Times New Roman" w:hint="cs"/>
          <w:rtl/>
          <w:lang w:val="he-IL" w:bidi="he-IL"/>
        </w:rPr>
        <w:t>קפלה</w:t>
      </w:r>
      <w:r>
        <w:rPr>
          <w:rtl/>
          <w:lang w:val="ar-SA"/>
        </w:rPr>
        <w:t xml:space="preserve"> </w:t>
      </w:r>
      <w:r>
        <w:rPr>
          <w:rFonts w:ascii="Arial Unicode MS" w:hAnsi="Arial Unicode MS" w:cs="Times New Roman" w:hint="cs"/>
          <w:rtl/>
          <w:lang w:val="he-IL" w:bidi="he-IL"/>
        </w:rPr>
        <w:t>פצׄה</w:t>
      </w:r>
      <w:r>
        <w:rPr>
          <w:rtl/>
          <w:lang w:val="ar-SA"/>
        </w:rPr>
        <w:t xml:space="preserve"> </w:t>
      </w:r>
      <w:r>
        <w:rPr>
          <w:rFonts w:ascii="Arial Unicode MS" w:hAnsi="Arial Unicode MS" w:cs="Times New Roman" w:hint="cs"/>
          <w:rtl/>
          <w:lang w:val="he-IL" w:bidi="he-IL"/>
        </w:rPr>
        <w:t>הכל</w:t>
      </w:r>
      <w:r>
        <w:rPr>
          <w:rtl/>
          <w:lang w:val="ar-SA"/>
        </w:rPr>
        <w:t xml:space="preserve"> </w:t>
      </w:r>
      <w:r>
        <w:rPr>
          <w:rFonts w:ascii="Arial Unicode MS" w:hAnsi="Arial Unicode MS" w:cs="Times New Roman" w:hint="cs"/>
          <w:rtl/>
          <w:lang w:val="he-IL" w:bidi="he-IL"/>
        </w:rPr>
        <w:t>נתקבל</w:t>
      </w:r>
      <w:r>
        <w:rPr>
          <w:rtl/>
          <w:lang w:val="ar-SA"/>
        </w:rPr>
        <w:t xml:space="preserve"> </w:t>
      </w:r>
      <w:r>
        <w:rPr>
          <w:rFonts w:ascii="Arial Unicode MS" w:hAnsi="Arial Unicode MS" w:cs="Times New Roman" w:hint="cs"/>
          <w:rtl/>
          <w:lang w:val="he-IL" w:bidi="he-IL"/>
        </w:rPr>
        <w:t>חתן</w:t>
      </w:r>
      <w:r>
        <w:rPr>
          <w:rtl/>
          <w:lang w:val="ar-SA"/>
        </w:rPr>
        <w:t xml:space="preserve"> </w:t>
      </w:r>
      <w:r>
        <w:rPr>
          <w:rFonts w:ascii="Arial Unicode MS" w:hAnsi="Arial Unicode MS" w:cs="Times New Roman" w:hint="cs"/>
          <w:rtl/>
          <w:lang w:val="he-IL" w:bidi="he-IL"/>
        </w:rPr>
        <w:t>זה</w:t>
      </w:r>
      <w:r>
        <w:rPr>
          <w:rtl/>
          <w:lang w:val="ar-SA"/>
        </w:rPr>
        <w:t xml:space="preserve"> </w:t>
      </w:r>
      <w:r>
        <w:rPr>
          <w:rFonts w:ascii="Arial Unicode MS" w:hAnsi="Arial Unicode MS" w:cs="Times New Roman" w:hint="cs"/>
          <w:rtl/>
          <w:lang w:val="he-IL" w:bidi="he-IL"/>
        </w:rPr>
        <w:t>ובא</w:t>
      </w:r>
    </w:p>
    <w:p w14:paraId="675D447A" w14:textId="77777777" w:rsidR="00DB4AB8" w:rsidRDefault="00876BE0">
      <w:pPr>
        <w:pStyle w:val="Text"/>
        <w:bidi/>
        <w:spacing w:line="276" w:lineRule="auto"/>
        <w:rPr>
          <w:rtl/>
        </w:rPr>
      </w:pPr>
      <w:r>
        <w:rPr>
          <w:rtl/>
          <w:lang w:val="ar-SA"/>
        </w:rPr>
        <w:t>17</w:t>
      </w:r>
      <w:r>
        <w:rPr>
          <w:rtl/>
          <w:lang w:val="ar-SA"/>
        </w:rPr>
        <w:tab/>
      </w:r>
      <w:r>
        <w:rPr>
          <w:rFonts w:ascii="Arial Unicode MS" w:hAnsi="Arial Unicode MS" w:cs="Times New Roman" w:hint="cs"/>
          <w:rtl/>
          <w:lang w:val="he-IL" w:bidi="he-IL"/>
        </w:rPr>
        <w:t>לידו</w:t>
      </w:r>
      <w:r>
        <w:rPr>
          <w:rtl/>
          <w:lang w:val="ar-SA"/>
        </w:rPr>
        <w:t xml:space="preserve"> </w:t>
      </w:r>
      <w:r>
        <w:rPr>
          <w:rFonts w:ascii="Arial Unicode MS" w:hAnsi="Arial Unicode MS" w:cs="Times New Roman" w:hint="cs"/>
          <w:rtl/>
          <w:lang w:val="he-IL" w:bidi="he-IL"/>
        </w:rPr>
        <w:t>ונעשה</w:t>
      </w:r>
      <w:r>
        <w:rPr>
          <w:rtl/>
          <w:lang w:val="ar-SA"/>
        </w:rPr>
        <w:t xml:space="preserve"> </w:t>
      </w:r>
      <w:r>
        <w:rPr>
          <w:rFonts w:ascii="Arial Unicode MS" w:hAnsi="Arial Unicode MS" w:cs="Times New Roman" w:hint="cs"/>
          <w:rtl/>
          <w:lang w:val="he-IL" w:bidi="he-IL"/>
        </w:rPr>
        <w:t>ברשותו</w:t>
      </w:r>
      <w:r>
        <w:rPr>
          <w:rtl/>
          <w:lang w:val="ar-SA"/>
        </w:rPr>
        <w:t xml:space="preserve"> </w:t>
      </w:r>
      <w:r>
        <w:rPr>
          <w:rFonts w:ascii="Arial Unicode MS" w:hAnsi="Arial Unicode MS" w:cs="Times New Roman" w:hint="cs"/>
          <w:rtl/>
          <w:lang w:val="he-IL" w:bidi="he-IL"/>
        </w:rPr>
        <w:t>וזקף</w:t>
      </w:r>
      <w:r>
        <w:rPr>
          <w:rtl/>
          <w:lang w:val="ar-SA"/>
        </w:rPr>
        <w:t xml:space="preserve"> </w:t>
      </w:r>
      <w:r>
        <w:rPr>
          <w:rFonts w:ascii="Arial Unicode MS" w:hAnsi="Arial Unicode MS" w:cs="Times New Roman" w:hint="cs"/>
          <w:rtl/>
          <w:lang w:val="he-IL" w:bidi="he-IL"/>
        </w:rPr>
        <w:t>הכל</w:t>
      </w:r>
      <w:r>
        <w:rPr>
          <w:rtl/>
          <w:lang w:val="ar-SA"/>
        </w:rPr>
        <w:t xml:space="preserve"> </w:t>
      </w:r>
      <w:r>
        <w:rPr>
          <w:rFonts w:ascii="Arial Unicode MS" w:hAnsi="Arial Unicode MS" w:cs="Times New Roman" w:hint="cs"/>
          <w:rtl/>
          <w:lang w:val="he-IL" w:bidi="he-IL"/>
        </w:rPr>
        <w:t>על</w:t>
      </w:r>
      <w:r>
        <w:rPr>
          <w:rtl/>
          <w:lang w:val="ar-SA"/>
        </w:rPr>
        <w:t xml:space="preserve"> </w:t>
      </w:r>
      <w:r>
        <w:rPr>
          <w:rFonts w:ascii="Arial Unicode MS" w:hAnsi="Arial Unicode MS" w:cs="Times New Roman" w:hint="cs"/>
          <w:rtl/>
          <w:lang w:val="he-IL" w:bidi="he-IL"/>
        </w:rPr>
        <w:t>עצמו</w:t>
      </w:r>
      <w:r>
        <w:rPr>
          <w:rtl/>
          <w:lang w:val="ar-SA"/>
        </w:rPr>
        <w:t xml:space="preserve"> </w:t>
      </w:r>
      <w:r>
        <w:rPr>
          <w:rFonts w:ascii="Arial Unicode MS" w:hAnsi="Arial Unicode MS" w:cs="Times New Roman" w:hint="cs"/>
          <w:rtl/>
          <w:lang w:val="he-IL" w:bidi="he-IL"/>
        </w:rPr>
        <w:t>כמלוה</w:t>
      </w:r>
      <w:r>
        <w:rPr>
          <w:rtl/>
          <w:lang w:val="ar-SA"/>
        </w:rPr>
        <w:t xml:space="preserve"> </w:t>
      </w:r>
      <w:r>
        <w:rPr>
          <w:rFonts w:ascii="Arial Unicode MS" w:hAnsi="Arial Unicode MS" w:cs="Times New Roman" w:hint="cs"/>
          <w:rtl/>
          <w:lang w:val="he-IL" w:bidi="he-IL"/>
        </w:rPr>
        <w:t>ורשו</w:t>
      </w:r>
      <w:r>
        <w:rPr>
          <w:rtl/>
          <w:lang w:val="ar-SA"/>
        </w:rPr>
        <w:t xml:space="preserve"> </w:t>
      </w:r>
      <w:r>
        <w:rPr>
          <w:rFonts w:ascii="Arial Unicode MS" w:hAnsi="Arial Unicode MS" w:cs="Times New Roman" w:hint="cs"/>
          <w:rtl/>
          <w:lang w:val="he-IL" w:bidi="he-IL"/>
        </w:rPr>
        <w:t>ודׄי יהב</w:t>
      </w:r>
      <w:r>
        <w:rPr>
          <w:rtl/>
          <w:lang w:val="ar-SA"/>
        </w:rPr>
        <w:t xml:space="preserve"> </w:t>
      </w:r>
      <w:r>
        <w:rPr>
          <w:rFonts w:ascii="Arial Unicode MS" w:hAnsi="Arial Unicode MS" w:cs="Times New Roman" w:hint="cs"/>
          <w:rtl/>
          <w:lang w:val="he-IL" w:bidi="he-IL"/>
        </w:rPr>
        <w:t>לה</w:t>
      </w:r>
      <w:r>
        <w:rPr>
          <w:rtl/>
          <w:lang w:val="ar-SA"/>
        </w:rPr>
        <w:t xml:space="preserve"> </w:t>
      </w:r>
      <w:r>
        <w:rPr>
          <w:rFonts w:ascii="Arial Unicode MS" w:hAnsi="Arial Unicode MS" w:cs="Times New Roman" w:hint="cs"/>
          <w:rtl/>
          <w:lang w:val="he-IL" w:bidi="he-IL"/>
        </w:rPr>
        <w:t>בעלה</w:t>
      </w:r>
      <w:r>
        <w:rPr>
          <w:rtl/>
          <w:lang w:val="ar-SA"/>
        </w:rPr>
        <w:t xml:space="preserve"> </w:t>
      </w:r>
      <w:r>
        <w:rPr>
          <w:rFonts w:ascii="Arial Unicode MS" w:hAnsi="Arial Unicode MS" w:cs="Times New Roman" w:hint="cs"/>
          <w:rtl/>
          <w:lang w:val="he-IL" w:bidi="he-IL"/>
        </w:rPr>
        <w:t>חתנא</w:t>
      </w:r>
      <w:r>
        <w:rPr>
          <w:rtl/>
          <w:lang w:val="ar-SA"/>
        </w:rPr>
        <w:t xml:space="preserve"> </w:t>
      </w:r>
      <w:r>
        <w:rPr>
          <w:rFonts w:ascii="Arial Unicode MS" w:hAnsi="Arial Unicode MS" w:cs="Times New Roman" w:hint="cs"/>
          <w:rtl/>
          <w:lang w:val="he-IL" w:bidi="he-IL"/>
        </w:rPr>
        <w:t>דנן</w:t>
      </w:r>
    </w:p>
    <w:p w14:paraId="0018FCD4" w14:textId="77777777" w:rsidR="00DB4AB8" w:rsidRDefault="00876BE0">
      <w:pPr>
        <w:pStyle w:val="Text"/>
        <w:bidi/>
        <w:spacing w:line="276" w:lineRule="auto"/>
        <w:rPr>
          <w:rtl/>
        </w:rPr>
      </w:pPr>
      <w:r>
        <w:rPr>
          <w:rtl/>
          <w:lang w:val="ar-SA"/>
        </w:rPr>
        <w:t>18</w:t>
      </w:r>
      <w:r>
        <w:rPr>
          <w:rtl/>
          <w:lang w:val="ar-SA"/>
        </w:rPr>
        <w:tab/>
      </w:r>
      <w:r>
        <w:rPr>
          <w:rFonts w:ascii="Arial Unicode MS" w:hAnsi="Arial Unicode MS" w:cs="Times New Roman" w:hint="cs"/>
          <w:rtl/>
          <w:lang w:val="he-IL" w:bidi="he-IL"/>
        </w:rPr>
        <w:t>במתנתא</w:t>
      </w:r>
      <w:r>
        <w:rPr>
          <w:rtl/>
          <w:lang w:val="ar-SA"/>
        </w:rPr>
        <w:t xml:space="preserve"> </w:t>
      </w:r>
      <w:r>
        <w:rPr>
          <w:rFonts w:ascii="Arial Unicode MS" w:hAnsi="Arial Unicode MS" w:cs="Times New Roman" w:hint="cs"/>
          <w:rtl/>
          <w:lang w:val="he-IL" w:bidi="he-IL"/>
        </w:rPr>
        <w:t>קמייתא</w:t>
      </w:r>
      <w:r>
        <w:rPr>
          <w:rtl/>
          <w:lang w:val="ar-SA"/>
        </w:rPr>
        <w:t xml:space="preserve"> </w:t>
      </w:r>
      <w:r>
        <w:rPr>
          <w:rFonts w:ascii="Arial Unicode MS" w:hAnsi="Arial Unicode MS" w:cs="Times New Roman" w:hint="cs"/>
          <w:rtl/>
          <w:lang w:val="he-IL" w:bidi="he-IL"/>
        </w:rPr>
        <w:t>מאיה׳</w:t>
      </w:r>
      <w:r>
        <w:rPr>
          <w:rtl/>
          <w:lang w:val="ar-SA"/>
        </w:rPr>
        <w:t xml:space="preserve"> </w:t>
      </w:r>
      <w:r>
        <w:rPr>
          <w:rFonts w:ascii="Arial Unicode MS" w:hAnsi="Arial Unicode MS" w:cs="Times New Roman" w:hint="cs"/>
          <w:rtl/>
          <w:lang w:val="he-IL" w:bidi="he-IL"/>
        </w:rPr>
        <w:t>קפלה</w:t>
      </w:r>
      <w:r>
        <w:rPr>
          <w:rtl/>
          <w:lang w:val="ar-SA"/>
        </w:rPr>
        <w:t xml:space="preserve"> </w:t>
      </w:r>
      <w:r>
        <w:rPr>
          <w:rFonts w:ascii="Arial Unicode MS" w:hAnsi="Arial Unicode MS" w:cs="Times New Roman" w:hint="cs"/>
          <w:rtl/>
          <w:lang w:val="he-IL" w:bidi="he-IL"/>
        </w:rPr>
        <w:t>פצׄה</w:t>
      </w:r>
      <w:r>
        <w:rPr>
          <w:rtl/>
          <w:lang w:val="ar-SA"/>
        </w:rPr>
        <w:t xml:space="preserve"> </w:t>
      </w:r>
      <w:r>
        <w:rPr>
          <w:rFonts w:ascii="Arial Unicode MS" w:hAnsi="Arial Unicode MS" w:cs="Times New Roman" w:hint="cs"/>
          <w:rtl/>
          <w:lang w:val="he-IL" w:bidi="he-IL"/>
        </w:rPr>
        <w:t>ודרתא</w:t>
      </w:r>
      <w:r>
        <w:rPr>
          <w:rtl/>
          <w:lang w:val="ar-SA"/>
        </w:rPr>
        <w:t xml:space="preserve"> </w:t>
      </w:r>
      <w:r>
        <w:rPr>
          <w:rFonts w:ascii="Arial Unicode MS" w:hAnsi="Arial Unicode MS" w:cs="Times New Roman" w:hint="cs"/>
          <w:rtl/>
          <w:lang w:val="he-IL" w:bidi="he-IL"/>
        </w:rPr>
        <w:t>במדור</w:t>
      </w:r>
      <w:r>
        <w:rPr>
          <w:rtl/>
          <w:lang w:val="ar-SA"/>
        </w:rPr>
        <w:t xml:space="preserve"> </w:t>
      </w:r>
      <w:r>
        <w:rPr>
          <w:rFonts w:ascii="Arial Unicode MS" w:hAnsi="Arial Unicode MS" w:cs="Times New Roman" w:hint="cs"/>
          <w:rtl/>
          <w:lang w:val="he-IL" w:bidi="he-IL"/>
        </w:rPr>
        <w:t>יהודאי</w:t>
      </w:r>
      <w:r>
        <w:rPr>
          <w:rtl/>
          <w:lang w:val="ar-SA"/>
        </w:rPr>
        <w:t xml:space="preserve"> </w:t>
      </w:r>
      <w:r>
        <w:rPr>
          <w:rFonts w:ascii="Arial Unicode MS" w:hAnsi="Arial Unicode MS" w:cs="Times New Roman" w:hint="cs"/>
          <w:rtl/>
          <w:lang w:val="he-IL" w:bidi="he-IL"/>
        </w:rPr>
        <w:t>במפקנה</w:t>
      </w:r>
      <w:r>
        <w:rPr>
          <w:rtl/>
          <w:lang w:val="ar-SA"/>
        </w:rPr>
        <w:t xml:space="preserve"> </w:t>
      </w:r>
      <w:r>
        <w:rPr>
          <w:rFonts w:ascii="Arial Unicode MS" w:hAnsi="Arial Unicode MS" w:cs="Times New Roman" w:hint="cs"/>
          <w:rtl/>
          <w:lang w:val="he-IL" w:bidi="he-IL"/>
        </w:rPr>
        <w:t>ומעלנה</w:t>
      </w:r>
      <w:r>
        <w:rPr>
          <w:rtl/>
          <w:lang w:val="ar-SA"/>
        </w:rPr>
        <w:t xml:space="preserve"> </w:t>
      </w:r>
      <w:r>
        <w:rPr>
          <w:rFonts w:ascii="Arial Unicode MS" w:hAnsi="Arial Unicode MS" w:cs="Times New Roman" w:hint="cs"/>
          <w:rtl/>
          <w:lang w:val="he-IL" w:bidi="he-IL"/>
        </w:rPr>
        <w:t>וכל</w:t>
      </w:r>
      <w:r>
        <w:rPr>
          <w:rtl/>
          <w:lang w:val="ar-SA"/>
        </w:rPr>
        <w:t xml:space="preserve"> </w:t>
      </w:r>
      <w:r>
        <w:rPr>
          <w:rFonts w:ascii="Arial Unicode MS" w:hAnsi="Arial Unicode MS" w:cs="Times New Roman" w:hint="cs"/>
          <w:rtl/>
          <w:lang w:val="he-IL" w:bidi="he-IL"/>
        </w:rPr>
        <w:t>צורכה</w:t>
      </w:r>
    </w:p>
    <w:p w14:paraId="59A7F1D5" w14:textId="77777777" w:rsidR="00DB4AB8" w:rsidRDefault="00876BE0">
      <w:pPr>
        <w:pStyle w:val="Text"/>
        <w:bidi/>
        <w:spacing w:line="276" w:lineRule="auto"/>
        <w:rPr>
          <w:rtl/>
        </w:rPr>
      </w:pPr>
      <w:r>
        <w:rPr>
          <w:rtl/>
          <w:lang w:val="ar-SA"/>
        </w:rPr>
        <w:t>19</w:t>
      </w:r>
      <w:r>
        <w:rPr>
          <w:rtl/>
          <w:lang w:val="ar-SA"/>
        </w:rPr>
        <w:tab/>
      </w:r>
      <w:r>
        <w:rPr>
          <w:rFonts w:ascii="Arial Unicode MS" w:hAnsi="Arial Unicode MS" w:cs="Times New Roman" w:hint="cs"/>
          <w:rtl/>
          <w:lang w:val="he-IL" w:bidi="he-IL"/>
        </w:rPr>
        <w:t>דחאזו</w:t>
      </w:r>
      <w:r>
        <w:rPr>
          <w:rtl/>
          <w:lang w:val="ar-SA"/>
        </w:rPr>
        <w:t xml:space="preserve"> </w:t>
      </w:r>
      <w:r>
        <w:rPr>
          <w:rFonts w:ascii="Arial Unicode MS" w:hAnsi="Arial Unicode MS" w:cs="Times New Roman" w:hint="cs"/>
          <w:rtl/>
          <w:lang w:val="he-IL" w:bidi="he-IL"/>
        </w:rPr>
        <w:t>לה</w:t>
      </w:r>
      <w:r>
        <w:rPr>
          <w:rtl/>
          <w:lang w:val="ar-SA"/>
        </w:rPr>
        <w:t xml:space="preserve"> </w:t>
      </w:r>
      <w:r>
        <w:rPr>
          <w:rFonts w:ascii="Arial Unicode MS" w:hAnsi="Arial Unicode MS" w:cs="Times New Roman" w:hint="cs"/>
          <w:rtl/>
          <w:lang w:val="he-IL" w:bidi="he-IL"/>
        </w:rPr>
        <w:t>מארעית</w:t>
      </w:r>
      <w:r>
        <w:rPr>
          <w:rtl/>
          <w:lang w:val="ar-SA"/>
        </w:rPr>
        <w:t xml:space="preserve"> </w:t>
      </w:r>
      <w:r>
        <w:rPr>
          <w:rFonts w:ascii="Arial Unicode MS" w:hAnsi="Arial Unicode MS" w:cs="Times New Roman" w:hint="cs"/>
          <w:rtl/>
          <w:lang w:val="he-IL" w:bidi="he-IL"/>
        </w:rPr>
        <w:t>תהומא</w:t>
      </w:r>
      <w:r>
        <w:rPr>
          <w:rtl/>
          <w:lang w:val="ar-SA"/>
        </w:rPr>
        <w:t xml:space="preserve"> </w:t>
      </w:r>
      <w:r>
        <w:rPr>
          <w:rFonts w:ascii="Arial Unicode MS" w:hAnsi="Arial Unicode MS" w:cs="Times New Roman" w:hint="cs"/>
          <w:rtl/>
          <w:lang w:val="he-IL" w:bidi="he-IL"/>
        </w:rPr>
        <w:t>ועד</w:t>
      </w:r>
      <w:r>
        <w:rPr>
          <w:rtl/>
          <w:lang w:val="ar-SA"/>
        </w:rPr>
        <w:t xml:space="preserve"> </w:t>
      </w:r>
      <w:r>
        <w:rPr>
          <w:rFonts w:ascii="Arial Unicode MS" w:hAnsi="Arial Unicode MS" w:cs="Times New Roman" w:hint="cs"/>
          <w:rtl/>
          <w:lang w:val="he-IL" w:bidi="he-IL"/>
        </w:rPr>
        <w:t>רום</w:t>
      </w:r>
      <w:r>
        <w:rPr>
          <w:rtl/>
          <w:lang w:val="ar-SA"/>
        </w:rPr>
        <w:t xml:space="preserve"> </w:t>
      </w:r>
      <w:r>
        <w:rPr>
          <w:rFonts w:ascii="Arial Unicode MS" w:hAnsi="Arial Unicode MS" w:cs="Times New Roman" w:hint="cs"/>
          <w:rtl/>
          <w:lang w:val="he-IL" w:bidi="he-IL"/>
        </w:rPr>
        <w:t>רקיעא</w:t>
      </w:r>
      <w:r>
        <w:rPr>
          <w:rtl/>
          <w:lang w:val="ar-SA"/>
        </w:rPr>
        <w:t xml:space="preserve"> </w:t>
      </w:r>
      <w:r>
        <w:rPr>
          <w:rFonts w:ascii="Arial Unicode MS" w:hAnsi="Arial Unicode MS" w:cs="Times New Roman" w:hint="cs"/>
          <w:rtl/>
          <w:lang w:val="he-IL" w:bidi="he-IL"/>
        </w:rPr>
        <w:t>ורצה</w:t>
      </w:r>
      <w:r>
        <w:rPr>
          <w:rtl/>
          <w:lang w:val="ar-SA"/>
        </w:rPr>
        <w:t xml:space="preserve"> </w:t>
      </w:r>
      <w:r>
        <w:rPr>
          <w:rFonts w:ascii="Arial Unicode MS" w:hAnsi="Arial Unicode MS" w:cs="Times New Roman" w:hint="cs"/>
          <w:rtl/>
          <w:lang w:val="he-IL" w:bidi="he-IL"/>
        </w:rPr>
        <w:t>והוסיף</w:t>
      </w:r>
      <w:r>
        <w:rPr>
          <w:rtl/>
          <w:lang w:val="ar-SA"/>
        </w:rPr>
        <w:t xml:space="preserve"> </w:t>
      </w:r>
      <w:r>
        <w:rPr>
          <w:rFonts w:ascii="Arial Unicode MS" w:hAnsi="Arial Unicode MS" w:cs="Times New Roman" w:hint="cs"/>
          <w:rtl/>
          <w:lang w:val="he-IL" w:bidi="he-IL"/>
        </w:rPr>
        <w:t>לה</w:t>
      </w:r>
      <w:r>
        <w:rPr>
          <w:rtl/>
          <w:lang w:val="ar-SA"/>
        </w:rPr>
        <w:t xml:space="preserve"> </w:t>
      </w:r>
      <w:r>
        <w:rPr>
          <w:rFonts w:ascii="Arial Unicode MS" w:hAnsi="Arial Unicode MS" w:cs="Times New Roman" w:hint="cs"/>
          <w:rtl/>
          <w:lang w:val="he-IL" w:bidi="he-IL"/>
        </w:rPr>
        <w:t>תוספת</w:t>
      </w:r>
      <w:r>
        <w:rPr>
          <w:rtl/>
          <w:lang w:val="ar-SA"/>
        </w:rPr>
        <w:t xml:space="preserve"> </w:t>
      </w:r>
      <w:r>
        <w:rPr>
          <w:rFonts w:ascii="Arial Unicode MS" w:hAnsi="Arial Unicode MS" w:cs="Times New Roman" w:hint="cs"/>
          <w:rtl/>
          <w:lang w:val="he-IL" w:bidi="he-IL"/>
        </w:rPr>
        <w:t>בסוף</w:t>
      </w:r>
      <w:r>
        <w:rPr>
          <w:rtl/>
          <w:lang w:val="ar-SA"/>
        </w:rPr>
        <w:t xml:space="preserve"> </w:t>
      </w:r>
      <w:r>
        <w:rPr>
          <w:rFonts w:ascii="Arial Unicode MS" w:hAnsi="Arial Unicode MS" w:cs="Times New Roman" w:hint="cs"/>
          <w:rtl/>
          <w:lang w:val="he-IL" w:bidi="he-IL"/>
        </w:rPr>
        <w:t>מוהרה</w:t>
      </w:r>
      <w:r>
        <w:rPr>
          <w:rtl/>
          <w:lang w:val="ar-SA"/>
        </w:rPr>
        <w:t xml:space="preserve"> </w:t>
      </w:r>
      <w:r>
        <w:rPr>
          <w:rFonts w:ascii="Arial Unicode MS" w:hAnsi="Arial Unicode MS" w:cs="Times New Roman" w:hint="cs"/>
          <w:rtl/>
          <w:lang w:val="he-IL" w:bidi="he-IL"/>
        </w:rPr>
        <w:t>מאיה׳</w:t>
      </w:r>
    </w:p>
    <w:p w14:paraId="1AF567A7" w14:textId="77777777" w:rsidR="00DB4AB8" w:rsidRDefault="00876BE0">
      <w:pPr>
        <w:pStyle w:val="Text"/>
        <w:bidi/>
        <w:spacing w:line="276" w:lineRule="auto"/>
        <w:ind w:left="720" w:hanging="720"/>
        <w:rPr>
          <w:rtl/>
        </w:rPr>
      </w:pPr>
      <w:r>
        <w:rPr>
          <w:rtl/>
          <w:lang w:val="ar-SA"/>
        </w:rPr>
        <w:t>20</w:t>
      </w:r>
      <w:r>
        <w:rPr>
          <w:rtl/>
          <w:lang w:val="ar-SA"/>
        </w:rPr>
        <w:tab/>
      </w:r>
      <w:r>
        <w:rPr>
          <w:rFonts w:ascii="Arial Unicode MS" w:hAnsi="Arial Unicode MS" w:cs="Times New Roman" w:hint="cs"/>
          <w:rtl/>
          <w:lang w:val="he-IL" w:bidi="he-IL"/>
        </w:rPr>
        <w:t>קפלה</w:t>
      </w:r>
      <w:r>
        <w:rPr>
          <w:rtl/>
          <w:lang w:val="ar-SA"/>
        </w:rPr>
        <w:t xml:space="preserve"> </w:t>
      </w:r>
      <w:r>
        <w:rPr>
          <w:rFonts w:ascii="Arial Unicode MS" w:hAnsi="Arial Unicode MS" w:cs="Times New Roman" w:hint="cs"/>
          <w:rtl/>
          <w:lang w:val="he-IL" w:bidi="he-IL"/>
        </w:rPr>
        <w:t>פצׄה</w:t>
      </w:r>
      <w:r>
        <w:rPr>
          <w:rtl/>
          <w:lang w:val="ar-SA"/>
        </w:rPr>
        <w:t xml:space="preserve"> </w:t>
      </w:r>
      <w:r>
        <w:rPr>
          <w:rFonts w:ascii="Arial Unicode MS" w:hAnsi="Arial Unicode MS" w:cs="Times New Roman" w:hint="cs"/>
          <w:rtl/>
          <w:lang w:val="he-IL" w:bidi="he-IL"/>
        </w:rPr>
        <w:t>אלכל</w:t>
      </w:r>
      <w:r>
        <w:rPr>
          <w:rtl/>
          <w:lang w:val="ar-SA"/>
        </w:rPr>
        <w:t xml:space="preserve"> </w:t>
      </w:r>
      <w:r>
        <w:rPr>
          <w:rFonts w:ascii="Arial Unicode MS" w:hAnsi="Arial Unicode MS" w:cs="Times New Roman" w:hint="cs"/>
          <w:rtl/>
          <w:lang w:val="he-IL" w:bidi="he-IL"/>
        </w:rPr>
        <w:t>מן</w:t>
      </w:r>
      <w:r>
        <w:rPr>
          <w:rtl/>
          <w:lang w:val="ar-SA"/>
        </w:rPr>
        <w:t xml:space="preserve"> </w:t>
      </w:r>
      <w:r>
        <w:rPr>
          <w:rFonts w:ascii="Arial Unicode MS" w:hAnsi="Arial Unicode MS" w:cs="Times New Roman" w:hint="cs"/>
          <w:rtl/>
          <w:lang w:val="he-IL" w:bidi="he-IL"/>
        </w:rPr>
        <w:t>הדׄה</w:t>
      </w:r>
      <w:r>
        <w:rPr>
          <w:rtl/>
          <w:lang w:val="ar-SA"/>
        </w:rPr>
        <w:t xml:space="preserve"> </w:t>
      </w:r>
      <w:r>
        <w:rPr>
          <w:rFonts w:ascii="Arial Unicode MS" w:hAnsi="Arial Unicode MS" w:cs="Times New Roman" w:hint="cs"/>
          <w:rtl/>
          <w:lang w:val="he-IL" w:bidi="he-IL"/>
        </w:rPr>
        <w:t>אלקפאל</w:t>
      </w:r>
      <w:r>
        <w:rPr>
          <w:rtl/>
          <w:lang w:val="ar-SA"/>
        </w:rPr>
        <w:t xml:space="preserve"> </w:t>
      </w:r>
      <w:r>
        <w:rPr>
          <w:rFonts w:ascii="Arial Unicode MS" w:hAnsi="Arial Unicode MS" w:cs="Times New Roman" w:hint="cs"/>
          <w:rtl/>
          <w:lang w:val="he-IL" w:bidi="he-IL"/>
        </w:rPr>
        <w:t>אלפצׄה</w:t>
      </w:r>
      <w:r>
        <w:rPr>
          <w:rtl/>
          <w:lang w:val="ar-SA"/>
        </w:rPr>
        <w:t xml:space="preserve"> </w:t>
      </w:r>
      <w:r>
        <w:rPr>
          <w:rFonts w:ascii="Arial Unicode MS" w:hAnsi="Arial Unicode MS" w:cs="Times New Roman" w:hint="cs"/>
          <w:rtl/>
          <w:lang w:val="he-IL" w:bidi="he-IL"/>
        </w:rPr>
        <w:t>אלמדׄכורה</w:t>
      </w:r>
      <w:r>
        <w:rPr>
          <w:rtl/>
          <w:lang w:val="ar-SA"/>
        </w:rPr>
        <w:t xml:space="preserve"> </w:t>
      </w:r>
      <w:r>
        <w:rPr>
          <w:rFonts w:ascii="Arial Unicode MS" w:hAnsi="Arial Unicode MS" w:cs="Times New Roman" w:hint="cs"/>
          <w:rtl/>
          <w:lang w:val="he-IL" w:bidi="he-IL"/>
        </w:rPr>
        <w:t>פוק</w:t>
      </w:r>
      <w:r>
        <w:rPr>
          <w:rtl/>
          <w:lang w:val="ar-SA"/>
        </w:rPr>
        <w:t xml:space="preserve"> </w:t>
      </w:r>
      <w:r>
        <w:rPr>
          <w:rFonts w:ascii="Arial Unicode MS" w:hAnsi="Arial Unicode MS" w:cs="Times New Roman" w:hint="cs"/>
          <w:rtl/>
          <w:lang w:val="he-IL" w:bidi="he-IL"/>
        </w:rPr>
        <w:t>אלדׄי</w:t>
      </w:r>
      <w:r>
        <w:rPr>
          <w:rtl/>
          <w:lang w:val="ar-SA"/>
        </w:rPr>
        <w:t xml:space="preserve"> </w:t>
      </w:r>
      <w:r>
        <w:rPr>
          <w:rFonts w:ascii="Arial Unicode MS" w:hAnsi="Arial Unicode MS" w:cs="Times New Roman" w:hint="cs"/>
          <w:rtl/>
          <w:lang w:val="he-IL" w:bidi="he-IL"/>
        </w:rPr>
        <w:t>יצח</w:t>
      </w:r>
      <w:r>
        <w:rPr>
          <w:rtl/>
          <w:lang w:val="ar-SA"/>
        </w:rPr>
        <w:t xml:space="preserve"> </w:t>
      </w:r>
      <w:r>
        <w:rPr>
          <w:rFonts w:ascii="Arial Unicode MS" w:hAnsi="Arial Unicode MS" w:cs="Times New Roman" w:hint="cs"/>
          <w:rtl/>
          <w:lang w:val="he-IL" w:bidi="he-IL"/>
        </w:rPr>
        <w:t>פי</w:t>
      </w:r>
      <w:r>
        <w:rPr>
          <w:rtl/>
          <w:lang w:val="ar-SA"/>
        </w:rPr>
        <w:t xml:space="preserve"> </w:t>
      </w:r>
      <w:r>
        <w:rPr>
          <w:rFonts w:ascii="Arial Unicode MS" w:hAnsi="Arial Unicode MS" w:cs="Times New Roman" w:hint="cs"/>
          <w:rtl/>
          <w:lang w:val="he-IL" w:bidi="he-IL"/>
        </w:rPr>
        <w:t>כל</w:t>
      </w:r>
      <w:r>
        <w:rPr>
          <w:rtl/>
          <w:lang w:val="ar-SA"/>
        </w:rPr>
        <w:t xml:space="preserve"> </w:t>
      </w:r>
      <w:r>
        <w:rPr>
          <w:rFonts w:ascii="Arial Unicode MS" w:hAnsi="Arial Unicode MS" w:cs="Times New Roman" w:hint="cs"/>
          <w:rtl/>
          <w:lang w:val="he-IL" w:bidi="he-IL"/>
        </w:rPr>
        <w:t>מאיה׳</w:t>
      </w:r>
      <w:r>
        <w:rPr>
          <w:rtl/>
          <w:lang w:val="ar-SA"/>
        </w:rPr>
        <w:t xml:space="preserve"> </w:t>
      </w:r>
      <w:r>
        <w:rPr>
          <w:rFonts w:ascii="Arial Unicode MS" w:hAnsi="Arial Unicode MS" w:cs="Times New Roman" w:hint="cs"/>
          <w:rtl/>
          <w:lang w:val="he-IL" w:bidi="he-IL"/>
        </w:rPr>
        <w:t>קפלה</w:t>
      </w:r>
      <w:r>
        <w:rPr>
          <w:rtl/>
          <w:lang w:val="ar-SA"/>
        </w:rPr>
        <w:t xml:space="preserve"> </w:t>
      </w:r>
      <w:r>
        <w:rPr>
          <w:rFonts w:ascii="Arial Unicode MS" w:hAnsi="Arial Unicode MS" w:cs="Times New Roman" w:hint="cs"/>
          <w:rtl/>
          <w:lang w:val="he-IL" w:bidi="he-IL"/>
        </w:rPr>
        <w:t>מנהא</w:t>
      </w:r>
    </w:p>
    <w:p w14:paraId="539628AA" w14:textId="77777777" w:rsidR="00DB4AB8" w:rsidRDefault="00876BE0">
      <w:pPr>
        <w:pStyle w:val="Text"/>
        <w:bidi/>
        <w:spacing w:line="276" w:lineRule="auto"/>
        <w:rPr>
          <w:rtl/>
        </w:rPr>
      </w:pPr>
      <w:r>
        <w:rPr>
          <w:rtl/>
          <w:lang w:val="ar-SA"/>
        </w:rPr>
        <w:t>21</w:t>
      </w:r>
      <w:r>
        <w:rPr>
          <w:rtl/>
          <w:lang w:val="ar-SA"/>
        </w:rPr>
        <w:tab/>
      </w:r>
      <w:r>
        <w:rPr>
          <w:rFonts w:ascii="Arial Unicode MS" w:hAnsi="Arial Unicode MS" w:cs="Times New Roman" w:hint="cs"/>
          <w:rtl/>
          <w:lang w:val="he-IL" w:bidi="he-IL"/>
        </w:rPr>
        <w:t>אתׄנין</w:t>
      </w:r>
      <w:r>
        <w:rPr>
          <w:rtl/>
          <w:lang w:val="ar-SA"/>
        </w:rPr>
        <w:t xml:space="preserve"> </w:t>
      </w:r>
      <w:r>
        <w:rPr>
          <w:rFonts w:ascii="Arial Unicode MS" w:hAnsi="Arial Unicode MS" w:cs="Times New Roman" w:hint="cs"/>
          <w:rtl/>
          <w:lang w:val="he-IL" w:bidi="he-IL"/>
        </w:rPr>
        <w:t>ועשרין</w:t>
      </w:r>
      <w:r>
        <w:rPr>
          <w:rtl/>
          <w:lang w:val="ar-SA"/>
        </w:rPr>
        <w:t xml:space="preserve"> </w:t>
      </w:r>
      <w:r>
        <w:rPr>
          <w:rFonts w:ascii="Arial Unicode MS" w:hAnsi="Arial Unicode MS" w:cs="Times New Roman" w:hint="cs"/>
          <w:rtl/>
          <w:lang w:val="he-IL" w:bidi="he-IL"/>
        </w:rPr>
        <w:t>קפלה</w:t>
      </w:r>
      <w:r>
        <w:rPr>
          <w:rtl/>
          <w:lang w:val="ar-SA"/>
        </w:rPr>
        <w:t xml:space="preserve"> </w:t>
      </w:r>
      <w:r>
        <w:rPr>
          <w:rFonts w:ascii="Arial Unicode MS" w:hAnsi="Arial Unicode MS" w:cs="Times New Roman" w:hint="cs"/>
          <w:rtl/>
          <w:lang w:val="he-IL" w:bidi="he-IL"/>
        </w:rPr>
        <w:t>פצׄה</w:t>
      </w:r>
      <w:r>
        <w:rPr>
          <w:rtl/>
          <w:lang w:val="ar-SA"/>
        </w:rPr>
        <w:t xml:space="preserve"> </w:t>
      </w:r>
      <w:r>
        <w:rPr>
          <w:rFonts w:ascii="Arial Unicode MS" w:hAnsi="Arial Unicode MS" w:cs="Times New Roman" w:hint="cs"/>
          <w:rtl/>
          <w:lang w:val="he-IL" w:bidi="he-IL"/>
        </w:rPr>
        <w:t>טייֿבה</w:t>
      </w:r>
      <w:r>
        <w:rPr>
          <w:rtl/>
          <w:lang w:val="ar-SA"/>
        </w:rPr>
        <w:t xml:space="preserve"> </w:t>
      </w:r>
      <w:r>
        <w:rPr>
          <w:rFonts w:ascii="Arial Unicode MS" w:hAnsi="Arial Unicode MS" w:cs="Times New Roman" w:hint="cs"/>
          <w:rtl/>
          <w:lang w:val="he-IL" w:bidi="he-IL"/>
        </w:rPr>
        <w:t>כׄאלצה</w:t>
      </w:r>
      <w:r>
        <w:rPr>
          <w:rtl/>
          <w:lang w:val="ar-SA"/>
        </w:rPr>
        <w:t xml:space="preserve"> </w:t>
      </w:r>
      <w:r>
        <w:rPr>
          <w:rFonts w:ascii="Arial Unicode MS" w:hAnsi="Arial Unicode MS" w:cs="Times New Roman" w:hint="cs"/>
          <w:rtl/>
          <w:lang w:val="he-IL" w:bidi="he-IL"/>
        </w:rPr>
        <w:t>בוזן</w:t>
      </w:r>
      <w:r>
        <w:rPr>
          <w:rtl/>
          <w:lang w:val="ar-SA"/>
        </w:rPr>
        <w:t xml:space="preserve"> </w:t>
      </w:r>
      <w:r>
        <w:rPr>
          <w:rFonts w:ascii="Arial Unicode MS" w:hAnsi="Arial Unicode MS" w:cs="Times New Roman" w:hint="cs"/>
          <w:rtl/>
          <w:lang w:val="he-IL" w:bidi="he-IL"/>
        </w:rPr>
        <w:t>אלצאגׄה</w:t>
      </w:r>
      <w:r>
        <w:rPr>
          <w:rtl/>
          <w:lang w:val="ar-SA"/>
        </w:rPr>
        <w:t xml:space="preserve"> </w:t>
      </w:r>
      <w:r>
        <w:rPr>
          <w:rFonts w:ascii="Arial Unicode MS" w:hAnsi="Arial Unicode MS" w:cs="Times New Roman" w:hint="cs"/>
          <w:rtl/>
          <w:lang w:val="he-IL" w:bidi="he-IL"/>
        </w:rPr>
        <w:t>אלצנעאני</w:t>
      </w:r>
      <w:r>
        <w:rPr>
          <w:rtl/>
          <w:lang w:val="ar-SA"/>
        </w:rPr>
        <w:t xml:space="preserve"> </w:t>
      </w:r>
      <w:r>
        <w:rPr>
          <w:rFonts w:ascii="Arial Unicode MS" w:hAnsi="Arial Unicode MS" w:cs="Times New Roman" w:hint="cs"/>
          <w:rtl/>
          <w:lang w:val="he-IL" w:bidi="he-IL"/>
        </w:rPr>
        <w:t>אלמערוף</w:t>
      </w:r>
      <w:r>
        <w:rPr>
          <w:rtl/>
          <w:lang w:val="ar-SA"/>
        </w:rPr>
        <w:t xml:space="preserve"> </w:t>
      </w:r>
      <w:r>
        <w:rPr>
          <w:rFonts w:ascii="Arial Unicode MS" w:hAnsi="Arial Unicode MS" w:cs="Times New Roman" w:hint="cs"/>
          <w:rtl/>
          <w:lang w:val="he-IL" w:bidi="he-IL"/>
        </w:rPr>
        <w:t>לאלפצׄה</w:t>
      </w:r>
      <w:r>
        <w:rPr>
          <w:rtl/>
          <w:lang w:val="ar-SA"/>
        </w:rPr>
        <w:t xml:space="preserve"> </w:t>
      </w:r>
      <w:r>
        <w:rPr>
          <w:rFonts w:ascii="Arial Unicode MS" w:hAnsi="Arial Unicode MS" w:cs="Times New Roman" w:hint="cs"/>
          <w:rtl/>
          <w:lang w:val="he-IL" w:bidi="he-IL"/>
        </w:rPr>
        <w:t>פי</w:t>
      </w:r>
      <w:r>
        <w:rPr>
          <w:rtl/>
          <w:lang w:val="ar-SA"/>
        </w:rPr>
        <w:t xml:space="preserve"> </w:t>
      </w:r>
      <w:r>
        <w:rPr>
          <w:rFonts w:ascii="Arial Unicode MS" w:hAnsi="Arial Unicode MS" w:cs="Times New Roman" w:hint="cs"/>
          <w:rtl/>
          <w:lang w:val="he-IL" w:bidi="he-IL"/>
        </w:rPr>
        <w:t>מדינה׳</w:t>
      </w:r>
    </w:p>
    <w:p w14:paraId="42A2E809" w14:textId="77777777" w:rsidR="00DB4AB8" w:rsidRDefault="00876BE0">
      <w:pPr>
        <w:pStyle w:val="Text"/>
        <w:bidi/>
        <w:spacing w:line="276" w:lineRule="auto"/>
        <w:rPr>
          <w:rtl/>
        </w:rPr>
      </w:pPr>
      <w:r>
        <w:rPr>
          <w:rtl/>
          <w:lang w:val="ar-SA"/>
        </w:rPr>
        <w:t>22</w:t>
      </w:r>
      <w:r>
        <w:rPr>
          <w:rtl/>
          <w:lang w:val="ar-SA"/>
        </w:rPr>
        <w:tab/>
      </w:r>
      <w:r>
        <w:rPr>
          <w:rFonts w:ascii="Arial Unicode MS" w:hAnsi="Arial Unicode MS" w:cs="Times New Roman" w:hint="cs"/>
          <w:rtl/>
          <w:lang w:val="he-IL" w:bidi="he-IL"/>
        </w:rPr>
        <w:t>צנעא</w:t>
      </w:r>
      <w:r>
        <w:rPr>
          <w:rtl/>
          <w:lang w:val="ar-SA"/>
        </w:rPr>
        <w:t xml:space="preserve"> </w:t>
      </w:r>
      <w:r>
        <w:rPr>
          <w:rFonts w:ascii="Arial Unicode MS" w:hAnsi="Arial Unicode MS" w:cs="Times New Roman" w:hint="cs"/>
          <w:rtl/>
          <w:lang w:val="he-IL" w:bidi="he-IL"/>
        </w:rPr>
        <w:t>פי</w:t>
      </w:r>
      <w:r>
        <w:rPr>
          <w:rtl/>
          <w:lang w:val="ar-SA"/>
        </w:rPr>
        <w:t xml:space="preserve"> </w:t>
      </w:r>
      <w:r>
        <w:rPr>
          <w:rFonts w:ascii="Arial Unicode MS" w:hAnsi="Arial Unicode MS" w:cs="Times New Roman" w:hint="cs"/>
          <w:rtl/>
          <w:lang w:val="he-IL" w:bidi="he-IL"/>
        </w:rPr>
        <w:t>סוק</w:t>
      </w:r>
      <w:r>
        <w:rPr>
          <w:rtl/>
          <w:lang w:val="ar-SA"/>
        </w:rPr>
        <w:t xml:space="preserve"> </w:t>
      </w:r>
      <w:r>
        <w:rPr>
          <w:rFonts w:ascii="Arial Unicode MS" w:hAnsi="Arial Unicode MS" w:cs="Times New Roman" w:hint="cs"/>
          <w:rtl/>
          <w:lang w:val="he-IL" w:bidi="he-IL"/>
        </w:rPr>
        <w:t>אלצׄווֿגׄ</w:t>
      </w:r>
      <w:r>
        <w:rPr>
          <w:rtl/>
          <w:lang w:val="ar-SA"/>
        </w:rPr>
        <w:t xml:space="preserve"> </w:t>
      </w:r>
      <w:r>
        <w:rPr>
          <w:rFonts w:ascii="Arial Unicode MS" w:hAnsi="Arial Unicode MS" w:cs="Times New Roman" w:hint="cs"/>
          <w:rtl/>
          <w:lang w:val="he-IL" w:bidi="he-IL"/>
        </w:rPr>
        <w:t>וכך</w:t>
      </w:r>
      <w:r>
        <w:rPr>
          <w:rtl/>
          <w:lang w:val="ar-SA"/>
        </w:rPr>
        <w:t xml:space="preserve"> </w:t>
      </w:r>
      <w:r>
        <w:rPr>
          <w:rFonts w:ascii="Arial Unicode MS" w:hAnsi="Arial Unicode MS" w:cs="Times New Roman" w:hint="cs"/>
          <w:rtl/>
          <w:lang w:val="he-IL" w:bidi="he-IL"/>
        </w:rPr>
        <w:t>אמר</w:t>
      </w:r>
      <w:r>
        <w:rPr>
          <w:rtl/>
          <w:lang w:val="ar-SA"/>
        </w:rPr>
        <w:t xml:space="preserve"> </w:t>
      </w:r>
      <w:r>
        <w:rPr>
          <w:rFonts w:ascii="Arial Unicode MS" w:hAnsi="Arial Unicode MS" w:cs="Times New Roman" w:hint="cs"/>
          <w:rtl/>
          <w:lang w:val="he-IL" w:bidi="he-IL"/>
        </w:rPr>
        <w:t>לנא</w:t>
      </w:r>
      <w:r>
        <w:rPr>
          <w:rtl/>
          <w:lang w:val="ar-SA"/>
        </w:rPr>
        <w:t xml:space="preserve"> </w:t>
      </w:r>
      <w:r>
        <w:rPr>
          <w:rFonts w:ascii="Arial Unicode MS" w:hAnsi="Arial Unicode MS" w:cs="Times New Roman" w:hint="cs"/>
          <w:rtl/>
          <w:lang w:val="he-IL" w:bidi="he-IL"/>
        </w:rPr>
        <w:t>חתנא</w:t>
      </w:r>
      <w:r>
        <w:rPr>
          <w:rtl/>
          <w:lang w:val="ar-SA"/>
        </w:rPr>
        <w:t xml:space="preserve"> </w:t>
      </w:r>
      <w:r>
        <w:rPr>
          <w:rFonts w:ascii="Arial Unicode MS" w:hAnsi="Arial Unicode MS" w:cs="Times New Roman" w:hint="cs"/>
          <w:rtl/>
          <w:lang w:val="he-IL" w:bidi="he-IL"/>
        </w:rPr>
        <w:t>דנן</w:t>
      </w:r>
      <w:r>
        <w:rPr>
          <w:rtl/>
          <w:lang w:val="ar-SA"/>
        </w:rPr>
        <w:t xml:space="preserve"> </w:t>
      </w:r>
      <w:r>
        <w:rPr>
          <w:rFonts w:ascii="Arial Unicode MS" w:hAnsi="Arial Unicode MS" w:cs="Times New Roman" w:hint="cs"/>
          <w:rtl/>
          <w:lang w:val="he-IL" w:bidi="he-IL"/>
        </w:rPr>
        <w:t>אחריות</w:t>
      </w:r>
      <w:r>
        <w:rPr>
          <w:rtl/>
          <w:lang w:val="ar-SA"/>
        </w:rPr>
        <w:t xml:space="preserve"> </w:t>
      </w:r>
      <w:r>
        <w:rPr>
          <w:rFonts w:ascii="Arial Unicode MS" w:hAnsi="Arial Unicode MS" w:cs="Times New Roman" w:hint="cs"/>
          <w:rtl/>
          <w:lang w:val="he-IL" w:bidi="he-IL"/>
        </w:rPr>
        <w:t>כתובה</w:t>
      </w:r>
      <w:r>
        <w:rPr>
          <w:rtl/>
          <w:lang w:val="ar-SA"/>
        </w:rPr>
        <w:t xml:space="preserve"> </w:t>
      </w:r>
      <w:r>
        <w:rPr>
          <w:rFonts w:ascii="Arial Unicode MS" w:hAnsi="Arial Unicode MS" w:cs="Times New Roman" w:hint="cs"/>
          <w:rtl/>
          <w:lang w:val="he-IL" w:bidi="he-IL"/>
        </w:rPr>
        <w:t>דא</w:t>
      </w:r>
      <w:r>
        <w:rPr>
          <w:rtl/>
          <w:lang w:val="ar-SA"/>
        </w:rPr>
        <w:t xml:space="preserve"> </w:t>
      </w:r>
      <w:r>
        <w:rPr>
          <w:rFonts w:ascii="Arial Unicode MS" w:hAnsi="Arial Unicode MS" w:cs="Times New Roman" w:hint="cs"/>
          <w:rtl/>
          <w:lang w:val="he-IL" w:bidi="he-IL"/>
        </w:rPr>
        <w:t>כולה</w:t>
      </w:r>
      <w:r>
        <w:rPr>
          <w:rtl/>
          <w:lang w:val="ar-SA"/>
        </w:rPr>
        <w:t xml:space="preserve"> </w:t>
      </w:r>
      <w:r>
        <w:rPr>
          <w:rFonts w:ascii="Arial Unicode MS" w:hAnsi="Arial Unicode MS" w:cs="Times New Roman" w:hint="cs"/>
          <w:rtl/>
          <w:lang w:val="he-IL" w:bidi="he-IL"/>
        </w:rPr>
        <w:t>עיקר</w:t>
      </w:r>
      <w:r>
        <w:rPr>
          <w:rtl/>
          <w:lang w:val="ar-SA"/>
        </w:rPr>
        <w:t xml:space="preserve"> </w:t>
      </w:r>
      <w:r>
        <w:rPr>
          <w:rFonts w:ascii="Arial Unicode MS" w:hAnsi="Arial Unicode MS" w:cs="Times New Roman" w:hint="cs"/>
          <w:rtl/>
          <w:lang w:val="he-IL" w:bidi="he-IL"/>
        </w:rPr>
        <w:t>ונדוניא</w:t>
      </w:r>
    </w:p>
    <w:p w14:paraId="7EAC78C8" w14:textId="77777777" w:rsidR="00DB4AB8" w:rsidRDefault="00876BE0">
      <w:pPr>
        <w:pStyle w:val="Text"/>
        <w:bidi/>
        <w:spacing w:line="276" w:lineRule="auto"/>
        <w:rPr>
          <w:rtl/>
        </w:rPr>
      </w:pPr>
      <w:r>
        <w:rPr>
          <w:rtl/>
          <w:lang w:val="ar-SA"/>
        </w:rPr>
        <w:t>23</w:t>
      </w:r>
      <w:r>
        <w:rPr>
          <w:rtl/>
          <w:lang w:val="ar-SA"/>
        </w:rPr>
        <w:tab/>
      </w:r>
      <w:r>
        <w:rPr>
          <w:rFonts w:ascii="Arial Unicode MS" w:hAnsi="Arial Unicode MS" w:cs="Times New Roman" w:hint="cs"/>
          <w:rtl/>
          <w:lang w:val="he-IL" w:bidi="he-IL"/>
        </w:rPr>
        <w:t>ומתנתא</w:t>
      </w:r>
      <w:r>
        <w:rPr>
          <w:rtl/>
          <w:lang w:val="ar-SA"/>
        </w:rPr>
        <w:t xml:space="preserve"> </w:t>
      </w:r>
      <w:r>
        <w:rPr>
          <w:rFonts w:ascii="Arial Unicode MS" w:hAnsi="Arial Unicode MS" w:cs="Times New Roman" w:hint="cs"/>
          <w:rtl/>
          <w:lang w:val="he-IL" w:bidi="he-IL"/>
        </w:rPr>
        <w:t>קמייתא</w:t>
      </w:r>
      <w:r>
        <w:rPr>
          <w:rtl/>
          <w:lang w:val="ar-SA"/>
        </w:rPr>
        <w:t xml:space="preserve"> </w:t>
      </w:r>
      <w:r>
        <w:rPr>
          <w:rFonts w:ascii="Arial Unicode MS" w:hAnsi="Arial Unicode MS" w:cs="Times New Roman" w:hint="cs"/>
          <w:rtl/>
          <w:lang w:val="he-IL" w:bidi="he-IL"/>
        </w:rPr>
        <w:t>ודרתא</w:t>
      </w:r>
      <w:r>
        <w:rPr>
          <w:rtl/>
          <w:lang w:val="ar-SA"/>
        </w:rPr>
        <w:t xml:space="preserve"> </w:t>
      </w:r>
      <w:r>
        <w:rPr>
          <w:rFonts w:ascii="Arial Unicode MS" w:hAnsi="Arial Unicode MS" w:cs="Times New Roman" w:hint="cs"/>
          <w:rtl/>
          <w:lang w:val="he-IL" w:bidi="he-IL"/>
        </w:rPr>
        <w:t>ותוספתא</w:t>
      </w:r>
      <w:r>
        <w:rPr>
          <w:rtl/>
          <w:lang w:val="ar-SA"/>
        </w:rPr>
        <w:t xml:space="preserve"> </w:t>
      </w:r>
      <w:r>
        <w:rPr>
          <w:rFonts w:ascii="Arial Unicode MS" w:hAnsi="Arial Unicode MS" w:cs="Times New Roman" w:hint="cs"/>
          <w:rtl/>
          <w:lang w:val="he-IL" w:bidi="he-IL"/>
        </w:rPr>
        <w:t>עם</w:t>
      </w:r>
      <w:r>
        <w:rPr>
          <w:rtl/>
          <w:lang w:val="ar-SA"/>
        </w:rPr>
        <w:t xml:space="preserve"> </w:t>
      </w:r>
      <w:r>
        <w:rPr>
          <w:rFonts w:ascii="Arial Unicode MS" w:hAnsi="Arial Unicode MS" w:cs="Times New Roman" w:hint="cs"/>
          <w:rtl/>
          <w:lang w:val="he-IL" w:bidi="he-IL"/>
        </w:rPr>
        <w:t>כל</w:t>
      </w:r>
      <w:r>
        <w:rPr>
          <w:rtl/>
          <w:lang w:val="ar-SA"/>
        </w:rPr>
        <w:t xml:space="preserve"> </w:t>
      </w:r>
      <w:r>
        <w:rPr>
          <w:rFonts w:ascii="Arial Unicode MS" w:hAnsi="Arial Unicode MS" w:cs="Times New Roman" w:hint="cs"/>
          <w:rtl/>
          <w:lang w:val="he-IL" w:bidi="he-IL"/>
        </w:rPr>
        <w:t>שאר</w:t>
      </w:r>
      <w:r>
        <w:rPr>
          <w:rtl/>
          <w:lang w:val="ar-SA"/>
        </w:rPr>
        <w:t xml:space="preserve"> </w:t>
      </w:r>
      <w:r>
        <w:rPr>
          <w:rFonts w:ascii="Arial Unicode MS" w:hAnsi="Arial Unicode MS" w:cs="Times New Roman" w:hint="cs"/>
          <w:rtl/>
          <w:lang w:val="he-IL" w:bidi="he-IL"/>
        </w:rPr>
        <w:t>תנאיי</w:t>
      </w:r>
      <w:r>
        <w:rPr>
          <w:rtl/>
          <w:lang w:val="ar-SA"/>
        </w:rPr>
        <w:t xml:space="preserve"> </w:t>
      </w:r>
      <w:r>
        <w:rPr>
          <w:rFonts w:ascii="Arial Unicode MS" w:hAnsi="Arial Unicode MS" w:cs="Times New Roman" w:hint="cs"/>
          <w:rtl/>
          <w:lang w:val="he-IL" w:bidi="he-IL"/>
        </w:rPr>
        <w:t>כתובה</w:t>
      </w:r>
      <w:r>
        <w:rPr>
          <w:rtl/>
          <w:lang w:val="ar-SA"/>
        </w:rPr>
        <w:t xml:space="preserve"> </w:t>
      </w:r>
      <w:r>
        <w:rPr>
          <w:rFonts w:ascii="Arial Unicode MS" w:hAnsi="Arial Unicode MS" w:cs="Times New Roman" w:hint="cs"/>
          <w:rtl/>
          <w:lang w:val="he-IL" w:bidi="he-IL"/>
        </w:rPr>
        <w:t>קבילית</w:t>
      </w:r>
      <w:r>
        <w:rPr>
          <w:rtl/>
          <w:lang w:val="ar-SA"/>
        </w:rPr>
        <w:t xml:space="preserve"> </w:t>
      </w:r>
      <w:r>
        <w:rPr>
          <w:rFonts w:ascii="Arial Unicode MS" w:hAnsi="Arial Unicode MS" w:cs="Times New Roman" w:hint="cs"/>
          <w:rtl/>
          <w:lang w:val="he-IL" w:bidi="he-IL"/>
        </w:rPr>
        <w:t>עלאי</w:t>
      </w:r>
      <w:r>
        <w:rPr>
          <w:rtl/>
          <w:lang w:val="ar-SA"/>
        </w:rPr>
        <w:t xml:space="preserve"> </w:t>
      </w:r>
      <w:r>
        <w:rPr>
          <w:rFonts w:ascii="Arial Unicode MS" w:hAnsi="Arial Unicode MS" w:cs="Times New Roman" w:hint="cs"/>
          <w:rtl/>
          <w:lang w:val="he-IL" w:bidi="he-IL"/>
        </w:rPr>
        <w:t>ועל</w:t>
      </w:r>
      <w:r>
        <w:rPr>
          <w:rtl/>
          <w:lang w:val="ar-SA"/>
        </w:rPr>
        <w:t xml:space="preserve"> </w:t>
      </w:r>
      <w:r>
        <w:rPr>
          <w:rFonts w:ascii="Arial Unicode MS" w:hAnsi="Arial Unicode MS" w:cs="Times New Roman" w:hint="cs"/>
          <w:rtl/>
          <w:lang w:val="he-IL" w:bidi="he-IL"/>
        </w:rPr>
        <w:t>ירתאי</w:t>
      </w:r>
    </w:p>
    <w:p w14:paraId="39A296DB" w14:textId="77777777" w:rsidR="00DB4AB8" w:rsidRDefault="00876BE0">
      <w:pPr>
        <w:pStyle w:val="Text"/>
        <w:bidi/>
        <w:spacing w:line="276" w:lineRule="auto"/>
        <w:rPr>
          <w:rtl/>
        </w:rPr>
      </w:pPr>
      <w:r>
        <w:rPr>
          <w:rtl/>
          <w:lang w:val="ar-SA"/>
        </w:rPr>
        <w:t xml:space="preserve">24 </w:t>
      </w:r>
      <w:r>
        <w:rPr>
          <w:rFonts w:cs="Times New Roman" w:hint="cs"/>
          <w:rtl/>
          <w:lang w:val="he-IL" w:bidi="he-IL"/>
        </w:rPr>
        <w:tab/>
        <w:t>בתראי</w:t>
      </w:r>
      <w:r>
        <w:rPr>
          <w:rtl/>
          <w:lang w:val="ar-SA"/>
        </w:rPr>
        <w:t xml:space="preserve"> </w:t>
      </w:r>
      <w:r>
        <w:rPr>
          <w:rFonts w:ascii="Arial Unicode MS" w:hAnsi="Arial Unicode MS" w:cs="Times New Roman" w:hint="cs"/>
          <w:rtl/>
          <w:lang w:val="he-IL" w:bidi="he-IL"/>
        </w:rPr>
        <w:t>ועל</w:t>
      </w:r>
      <w:r>
        <w:rPr>
          <w:rtl/>
          <w:lang w:val="ar-SA"/>
        </w:rPr>
        <w:t xml:space="preserve"> </w:t>
      </w:r>
      <w:r>
        <w:rPr>
          <w:rFonts w:ascii="Arial Unicode MS" w:hAnsi="Arial Unicode MS" w:cs="Times New Roman" w:hint="cs"/>
          <w:rtl/>
          <w:lang w:val="he-IL" w:bidi="he-IL"/>
        </w:rPr>
        <w:t>כל</w:t>
      </w:r>
      <w:r>
        <w:rPr>
          <w:rtl/>
          <w:lang w:val="ar-SA"/>
        </w:rPr>
        <w:t xml:space="preserve"> </w:t>
      </w:r>
      <w:r>
        <w:rPr>
          <w:rFonts w:ascii="Arial Unicode MS" w:hAnsi="Arial Unicode MS" w:cs="Times New Roman" w:hint="cs"/>
          <w:rtl/>
          <w:lang w:val="he-IL" w:bidi="he-IL"/>
        </w:rPr>
        <w:t>שפר</w:t>
      </w:r>
      <w:r>
        <w:rPr>
          <w:rtl/>
          <w:lang w:val="ar-SA"/>
        </w:rPr>
        <w:t xml:space="preserve"> </w:t>
      </w:r>
      <w:r>
        <w:rPr>
          <w:rFonts w:ascii="Arial Unicode MS" w:hAnsi="Arial Unicode MS" w:cs="Times New Roman" w:hint="cs"/>
          <w:rtl/>
          <w:lang w:val="he-IL" w:bidi="he-IL"/>
        </w:rPr>
        <w:t>ארגׄ</w:t>
      </w:r>
      <w:r>
        <w:rPr>
          <w:rtl/>
          <w:lang w:val="ar-SA"/>
        </w:rPr>
        <w:t xml:space="preserve"> </w:t>
      </w:r>
      <w:r>
        <w:rPr>
          <w:rFonts w:ascii="Arial Unicode MS" w:hAnsi="Arial Unicode MS" w:cs="Times New Roman" w:hint="cs"/>
          <w:rtl/>
          <w:lang w:val="he-IL" w:bidi="he-IL"/>
        </w:rPr>
        <w:t>נכסין</w:t>
      </w:r>
      <w:r>
        <w:rPr>
          <w:rtl/>
          <w:lang w:val="ar-SA"/>
        </w:rPr>
        <w:t xml:space="preserve"> </w:t>
      </w:r>
      <w:r>
        <w:rPr>
          <w:rFonts w:ascii="Arial Unicode MS" w:hAnsi="Arial Unicode MS" w:cs="Times New Roman" w:hint="cs"/>
          <w:rtl/>
          <w:lang w:val="he-IL" w:bidi="he-IL"/>
        </w:rPr>
        <w:t>וקניינין</w:t>
      </w:r>
      <w:r>
        <w:rPr>
          <w:rtl/>
          <w:lang w:val="ar-SA"/>
        </w:rPr>
        <w:t xml:space="preserve"> </w:t>
      </w:r>
      <w:r>
        <w:rPr>
          <w:rFonts w:ascii="Arial Unicode MS" w:hAnsi="Arial Unicode MS" w:cs="Times New Roman" w:hint="cs"/>
          <w:rtl/>
          <w:lang w:val="he-IL" w:bidi="he-IL"/>
        </w:rPr>
        <w:t>דאית</w:t>
      </w:r>
      <w:r>
        <w:rPr>
          <w:rtl/>
          <w:lang w:val="ar-SA"/>
        </w:rPr>
        <w:t xml:space="preserve"> </w:t>
      </w:r>
      <w:r>
        <w:rPr>
          <w:rFonts w:ascii="Arial Unicode MS" w:hAnsi="Arial Unicode MS" w:cs="Times New Roman" w:hint="cs"/>
          <w:rtl/>
          <w:lang w:val="he-IL" w:bidi="he-IL"/>
        </w:rPr>
        <w:t>לי</w:t>
      </w:r>
      <w:r>
        <w:rPr>
          <w:rtl/>
          <w:lang w:val="ar-SA"/>
        </w:rPr>
        <w:t xml:space="preserve"> </w:t>
      </w:r>
      <w:r>
        <w:rPr>
          <w:rFonts w:ascii="Arial Unicode MS" w:hAnsi="Arial Unicode MS" w:cs="Times New Roman" w:hint="cs"/>
          <w:rtl/>
          <w:lang w:val="he-IL" w:bidi="he-IL"/>
        </w:rPr>
        <w:t>תחות</w:t>
      </w:r>
      <w:r>
        <w:rPr>
          <w:rtl/>
          <w:lang w:val="ar-SA"/>
        </w:rPr>
        <w:t xml:space="preserve"> </w:t>
      </w:r>
      <w:r>
        <w:rPr>
          <w:rFonts w:ascii="Arial Unicode MS" w:hAnsi="Arial Unicode MS" w:cs="Times New Roman" w:hint="cs"/>
          <w:rtl/>
          <w:lang w:val="he-IL" w:bidi="he-IL"/>
        </w:rPr>
        <w:t>כל</w:t>
      </w:r>
      <w:r>
        <w:rPr>
          <w:rtl/>
          <w:lang w:val="ar-SA"/>
        </w:rPr>
        <w:t xml:space="preserve"> </w:t>
      </w:r>
      <w:r>
        <w:rPr>
          <w:rFonts w:ascii="Arial Unicode MS" w:hAnsi="Arial Unicode MS" w:cs="Times New Roman" w:hint="cs"/>
          <w:rtl/>
          <w:lang w:val="he-IL" w:bidi="he-IL"/>
        </w:rPr>
        <w:t>שמיא</w:t>
      </w:r>
      <w:r>
        <w:rPr>
          <w:rtl/>
          <w:lang w:val="ar-SA"/>
        </w:rPr>
        <w:t xml:space="preserve"> </w:t>
      </w:r>
      <w:r>
        <w:rPr>
          <w:rFonts w:ascii="Arial Unicode MS" w:hAnsi="Arial Unicode MS" w:cs="Times New Roman" w:hint="cs"/>
          <w:rtl/>
          <w:lang w:val="he-IL" w:bidi="he-IL"/>
        </w:rPr>
        <w:t>דקניתי</w:t>
      </w:r>
      <w:r>
        <w:rPr>
          <w:rtl/>
          <w:lang w:val="ar-SA"/>
        </w:rPr>
        <w:t xml:space="preserve"> </w:t>
      </w:r>
      <w:r>
        <w:rPr>
          <w:rFonts w:ascii="Arial Unicode MS" w:hAnsi="Arial Unicode MS" w:cs="Times New Roman" w:hint="cs"/>
          <w:rtl/>
          <w:lang w:val="he-IL" w:bidi="he-IL"/>
        </w:rPr>
        <w:t>ודעתיד</w:t>
      </w:r>
      <w:r>
        <w:rPr>
          <w:rtl/>
          <w:lang w:val="ar-SA"/>
        </w:rPr>
        <w:t xml:space="preserve"> </w:t>
      </w:r>
      <w:r>
        <w:rPr>
          <w:rFonts w:ascii="Arial Unicode MS" w:hAnsi="Arial Unicode MS" w:cs="Times New Roman" w:hint="cs"/>
          <w:rtl/>
          <w:lang w:val="he-IL" w:bidi="he-IL"/>
        </w:rPr>
        <w:t>אנא</w:t>
      </w:r>
      <w:r>
        <w:rPr>
          <w:rtl/>
          <w:lang w:val="ar-SA"/>
        </w:rPr>
        <w:t xml:space="preserve"> </w:t>
      </w:r>
      <w:r>
        <w:rPr>
          <w:rFonts w:ascii="Arial Unicode MS" w:hAnsi="Arial Unicode MS" w:cs="Times New Roman" w:hint="cs"/>
          <w:rtl/>
          <w:lang w:val="he-IL" w:bidi="he-IL"/>
        </w:rPr>
        <w:t>למקני</w:t>
      </w:r>
    </w:p>
    <w:p w14:paraId="2D820F53" w14:textId="77777777" w:rsidR="00DB4AB8" w:rsidRDefault="00876BE0">
      <w:pPr>
        <w:pStyle w:val="Text"/>
        <w:bidi/>
        <w:spacing w:line="276" w:lineRule="auto"/>
        <w:rPr>
          <w:rtl/>
        </w:rPr>
      </w:pPr>
      <w:r>
        <w:rPr>
          <w:rtl/>
          <w:lang w:val="ar-SA"/>
        </w:rPr>
        <w:t>25</w:t>
      </w:r>
      <w:r>
        <w:rPr>
          <w:rtl/>
          <w:lang w:val="ar-SA"/>
        </w:rPr>
        <w:tab/>
      </w:r>
      <w:r>
        <w:rPr>
          <w:rFonts w:ascii="Arial Unicode MS" w:hAnsi="Arial Unicode MS" w:cs="Times New Roman" w:hint="cs"/>
          <w:rtl/>
          <w:lang w:val="he-IL" w:bidi="he-IL"/>
        </w:rPr>
        <w:t>מקרקעי</w:t>
      </w:r>
      <w:r>
        <w:rPr>
          <w:rtl/>
          <w:lang w:val="ar-SA"/>
        </w:rPr>
        <w:t xml:space="preserve"> </w:t>
      </w:r>
      <w:r>
        <w:rPr>
          <w:rFonts w:ascii="Arial Unicode MS" w:hAnsi="Arial Unicode MS" w:cs="Times New Roman" w:hint="cs"/>
          <w:rtl/>
          <w:lang w:val="he-IL" w:bidi="he-IL"/>
        </w:rPr>
        <w:t>ומט׳</w:t>
      </w:r>
      <w:r>
        <w:rPr>
          <w:rtl/>
          <w:lang w:val="ar-SA"/>
        </w:rPr>
        <w:t xml:space="preserve"> </w:t>
      </w:r>
      <w:r>
        <w:rPr>
          <w:rFonts w:ascii="Arial Unicode MS" w:hAnsi="Arial Unicode MS" w:cs="Times New Roman" w:hint="cs"/>
          <w:rtl/>
          <w:lang w:val="he-IL" w:bidi="he-IL"/>
        </w:rPr>
        <w:t>מט׳</w:t>
      </w:r>
      <w:r>
        <w:rPr>
          <w:rtl/>
          <w:lang w:val="ar-SA"/>
        </w:rPr>
        <w:t xml:space="preserve"> </w:t>
      </w:r>
      <w:r>
        <w:rPr>
          <w:rFonts w:ascii="Arial Unicode MS" w:hAnsi="Arial Unicode MS" w:cs="Times New Roman" w:hint="cs"/>
          <w:rtl/>
          <w:lang w:val="he-IL" w:bidi="he-IL"/>
        </w:rPr>
        <w:t>אגמׄקׄ</w:t>
      </w:r>
      <w:r>
        <w:rPr>
          <w:rtl/>
          <w:lang w:val="ar-SA"/>
        </w:rPr>
        <w:t xml:space="preserve"> </w:t>
      </w:r>
      <w:r>
        <w:rPr>
          <w:rFonts w:ascii="Arial Unicode MS" w:hAnsi="Arial Unicode MS" w:cs="Times New Roman" w:hint="cs"/>
          <w:rtl/>
          <w:lang w:val="he-IL" w:bidi="he-IL"/>
        </w:rPr>
        <w:t>כלהון</w:t>
      </w:r>
      <w:r>
        <w:rPr>
          <w:rtl/>
          <w:lang w:val="ar-SA"/>
        </w:rPr>
        <w:t xml:space="preserve"> </w:t>
      </w:r>
      <w:r>
        <w:rPr>
          <w:rFonts w:ascii="Arial Unicode MS" w:hAnsi="Arial Unicode MS" w:cs="Times New Roman" w:hint="cs"/>
          <w:rtl/>
          <w:lang w:val="he-IL" w:bidi="he-IL"/>
        </w:rPr>
        <w:t>יהון</w:t>
      </w:r>
      <w:r>
        <w:rPr>
          <w:rtl/>
          <w:lang w:val="ar-SA"/>
        </w:rPr>
        <w:t xml:space="preserve"> </w:t>
      </w:r>
      <w:r>
        <w:rPr>
          <w:rFonts w:ascii="Arial Unicode MS" w:hAnsi="Arial Unicode MS" w:cs="Times New Roman" w:hint="cs"/>
          <w:rtl/>
          <w:lang w:val="he-IL" w:bidi="he-IL"/>
        </w:rPr>
        <w:t>אחראין</w:t>
      </w:r>
      <w:r>
        <w:rPr>
          <w:rtl/>
          <w:lang w:val="ar-SA"/>
        </w:rPr>
        <w:t xml:space="preserve"> </w:t>
      </w:r>
      <w:r>
        <w:rPr>
          <w:rFonts w:ascii="Arial Unicode MS" w:hAnsi="Arial Unicode MS" w:cs="Times New Roman" w:hint="cs"/>
          <w:rtl/>
          <w:lang w:val="he-IL" w:bidi="he-IL"/>
        </w:rPr>
        <w:t>וערבאין</w:t>
      </w:r>
      <w:r>
        <w:rPr>
          <w:rtl/>
          <w:lang w:val="ar-SA"/>
        </w:rPr>
        <w:t xml:space="preserve"> </w:t>
      </w:r>
      <w:r>
        <w:rPr>
          <w:rFonts w:ascii="Arial Unicode MS" w:hAnsi="Arial Unicode MS" w:cs="Times New Roman" w:hint="cs"/>
          <w:rtl/>
          <w:lang w:val="he-IL" w:bidi="he-IL"/>
        </w:rPr>
        <w:t>לכתובה</w:t>
      </w:r>
      <w:r>
        <w:rPr>
          <w:rtl/>
          <w:lang w:val="ar-SA"/>
        </w:rPr>
        <w:t xml:space="preserve"> </w:t>
      </w:r>
      <w:r>
        <w:rPr>
          <w:rFonts w:ascii="Arial Unicode MS" w:hAnsi="Arial Unicode MS" w:cs="Times New Roman" w:hint="cs"/>
          <w:rtl/>
          <w:lang w:val="he-IL" w:bidi="he-IL"/>
        </w:rPr>
        <w:t>דא</w:t>
      </w:r>
      <w:r>
        <w:rPr>
          <w:rtl/>
          <w:lang w:val="ar-SA"/>
        </w:rPr>
        <w:t xml:space="preserve"> </w:t>
      </w:r>
      <w:r>
        <w:rPr>
          <w:rFonts w:ascii="Arial Unicode MS" w:hAnsi="Arial Unicode MS" w:cs="Times New Roman" w:hint="cs"/>
          <w:rtl/>
          <w:lang w:val="he-IL" w:bidi="he-IL"/>
        </w:rPr>
        <w:t>כולה</w:t>
      </w:r>
      <w:r>
        <w:rPr>
          <w:rtl/>
          <w:lang w:val="ar-SA"/>
        </w:rPr>
        <w:t xml:space="preserve"> </w:t>
      </w:r>
      <w:r>
        <w:rPr>
          <w:rFonts w:ascii="Arial Unicode MS" w:hAnsi="Arial Unicode MS" w:cs="Times New Roman" w:hint="cs"/>
          <w:rtl/>
          <w:lang w:val="he-IL" w:bidi="he-IL"/>
        </w:rPr>
        <w:t>עיקר</w:t>
      </w:r>
      <w:r>
        <w:rPr>
          <w:rtl/>
          <w:lang w:val="ar-SA"/>
        </w:rPr>
        <w:t xml:space="preserve"> </w:t>
      </w:r>
      <w:r>
        <w:rPr>
          <w:rFonts w:ascii="Arial Unicode MS" w:hAnsi="Arial Unicode MS" w:cs="Times New Roman" w:hint="cs"/>
          <w:rtl/>
          <w:lang w:val="he-IL" w:bidi="he-IL"/>
        </w:rPr>
        <w:t>ונדוניא</w:t>
      </w:r>
    </w:p>
    <w:p w14:paraId="7192ACBB" w14:textId="77777777" w:rsidR="00DB4AB8" w:rsidRDefault="00876BE0">
      <w:pPr>
        <w:pStyle w:val="Text"/>
        <w:bidi/>
        <w:spacing w:line="276" w:lineRule="auto"/>
        <w:rPr>
          <w:rtl/>
        </w:rPr>
      </w:pPr>
      <w:r>
        <w:rPr>
          <w:rtl/>
          <w:lang w:val="ar-SA"/>
        </w:rPr>
        <w:t>26</w:t>
      </w:r>
      <w:r>
        <w:rPr>
          <w:rtl/>
          <w:lang w:val="ar-SA"/>
        </w:rPr>
        <w:tab/>
      </w:r>
      <w:r>
        <w:rPr>
          <w:rFonts w:ascii="Arial Unicode MS" w:hAnsi="Arial Unicode MS" w:cs="Times New Roman" w:hint="cs"/>
          <w:rtl/>
          <w:lang w:val="he-IL" w:bidi="he-IL"/>
        </w:rPr>
        <w:t>ומתנתא</w:t>
      </w:r>
      <w:r>
        <w:rPr>
          <w:rtl/>
          <w:lang w:val="ar-SA"/>
        </w:rPr>
        <w:t xml:space="preserve"> </w:t>
      </w:r>
      <w:r>
        <w:rPr>
          <w:rFonts w:ascii="Arial Unicode MS" w:hAnsi="Arial Unicode MS" w:cs="Times New Roman" w:hint="cs"/>
          <w:rtl/>
          <w:lang w:val="he-IL" w:bidi="he-IL"/>
        </w:rPr>
        <w:t>קמייתא</w:t>
      </w:r>
      <w:r>
        <w:rPr>
          <w:rtl/>
          <w:lang w:val="ar-SA"/>
        </w:rPr>
        <w:t xml:space="preserve"> </w:t>
      </w:r>
      <w:r>
        <w:rPr>
          <w:rFonts w:ascii="Arial Unicode MS" w:hAnsi="Arial Unicode MS" w:cs="Times New Roman" w:hint="cs"/>
          <w:rtl/>
          <w:lang w:val="he-IL" w:bidi="he-IL"/>
        </w:rPr>
        <w:t>ודרתא</w:t>
      </w:r>
      <w:r>
        <w:rPr>
          <w:rtl/>
          <w:lang w:val="ar-SA"/>
        </w:rPr>
        <w:t xml:space="preserve"> </w:t>
      </w:r>
      <w:r>
        <w:rPr>
          <w:rFonts w:ascii="Arial Unicode MS" w:hAnsi="Arial Unicode MS" w:cs="Times New Roman" w:hint="cs"/>
          <w:rtl/>
          <w:lang w:val="he-IL" w:bidi="he-IL"/>
        </w:rPr>
        <w:t>ותוספתא</w:t>
      </w:r>
      <w:r>
        <w:rPr>
          <w:rtl/>
          <w:lang w:val="ar-SA"/>
        </w:rPr>
        <w:t xml:space="preserve"> </w:t>
      </w:r>
      <w:r>
        <w:rPr>
          <w:rFonts w:ascii="Arial Unicode MS" w:hAnsi="Arial Unicode MS" w:cs="Times New Roman" w:hint="cs"/>
          <w:rtl/>
          <w:lang w:val="he-IL" w:bidi="he-IL"/>
        </w:rPr>
        <w:t>להתפרעא</w:t>
      </w:r>
      <w:r>
        <w:rPr>
          <w:rtl/>
          <w:lang w:val="ar-SA"/>
        </w:rPr>
        <w:t xml:space="preserve"> </w:t>
      </w:r>
      <w:r>
        <w:rPr>
          <w:rFonts w:ascii="Arial Unicode MS" w:hAnsi="Arial Unicode MS" w:cs="Times New Roman" w:hint="cs"/>
          <w:rtl/>
          <w:lang w:val="he-IL" w:bidi="he-IL"/>
        </w:rPr>
        <w:t>מנהון</w:t>
      </w:r>
      <w:r>
        <w:rPr>
          <w:rtl/>
          <w:lang w:val="ar-SA"/>
        </w:rPr>
        <w:t xml:space="preserve"> </w:t>
      </w:r>
      <w:r>
        <w:rPr>
          <w:rFonts w:ascii="Arial Unicode MS" w:hAnsi="Arial Unicode MS" w:cs="Times New Roman" w:hint="cs"/>
          <w:rtl/>
          <w:lang w:val="he-IL" w:bidi="he-IL"/>
        </w:rPr>
        <w:t>בחיאי</w:t>
      </w:r>
      <w:r>
        <w:rPr>
          <w:rtl/>
          <w:lang w:val="ar-SA"/>
        </w:rPr>
        <w:t xml:space="preserve"> </w:t>
      </w:r>
      <w:r>
        <w:rPr>
          <w:rFonts w:ascii="Arial Unicode MS" w:hAnsi="Arial Unicode MS" w:cs="Times New Roman" w:hint="cs"/>
          <w:rtl/>
          <w:lang w:val="he-IL" w:bidi="he-IL"/>
        </w:rPr>
        <w:t>ובתר</w:t>
      </w:r>
      <w:r>
        <w:rPr>
          <w:rtl/>
          <w:lang w:val="ar-SA"/>
        </w:rPr>
        <w:t xml:space="preserve"> </w:t>
      </w:r>
      <w:r>
        <w:rPr>
          <w:rFonts w:ascii="Arial Unicode MS" w:hAnsi="Arial Unicode MS" w:cs="Times New Roman" w:hint="cs"/>
          <w:rtl/>
          <w:lang w:val="he-IL" w:bidi="he-IL"/>
        </w:rPr>
        <w:t>חיאי</w:t>
      </w:r>
      <w:r>
        <w:rPr>
          <w:rtl/>
          <w:lang w:val="ar-SA"/>
        </w:rPr>
        <w:t xml:space="preserve"> </w:t>
      </w:r>
      <w:r>
        <w:rPr>
          <w:rFonts w:ascii="Arial Unicode MS" w:hAnsi="Arial Unicode MS" w:cs="Times New Roman" w:hint="cs"/>
          <w:rtl/>
          <w:lang w:val="he-IL" w:bidi="he-IL"/>
        </w:rPr>
        <w:t>ואפי׳</w:t>
      </w:r>
      <w:r>
        <w:rPr>
          <w:rtl/>
          <w:lang w:val="ar-SA"/>
        </w:rPr>
        <w:t xml:space="preserve"> </w:t>
      </w:r>
      <w:r>
        <w:rPr>
          <w:rFonts w:ascii="Arial Unicode MS" w:hAnsi="Arial Unicode MS" w:cs="Times New Roman" w:hint="cs"/>
          <w:rtl/>
          <w:lang w:val="he-IL" w:bidi="he-IL"/>
        </w:rPr>
        <w:t>מגלימא</w:t>
      </w:r>
    </w:p>
    <w:p w14:paraId="22F96A03" w14:textId="77777777" w:rsidR="00DB4AB8" w:rsidRDefault="00876BE0">
      <w:pPr>
        <w:pStyle w:val="Text"/>
        <w:bidi/>
        <w:spacing w:line="276" w:lineRule="auto"/>
        <w:rPr>
          <w:rtl/>
        </w:rPr>
      </w:pPr>
      <w:r>
        <w:rPr>
          <w:rtl/>
          <w:lang w:val="ar-SA"/>
        </w:rPr>
        <w:t>27</w:t>
      </w:r>
      <w:r>
        <w:rPr>
          <w:rtl/>
          <w:lang w:val="ar-SA"/>
        </w:rPr>
        <w:tab/>
      </w:r>
      <w:r>
        <w:rPr>
          <w:rFonts w:ascii="Arial Unicode MS" w:hAnsi="Arial Unicode MS" w:cs="Times New Roman" w:hint="cs"/>
          <w:rtl/>
          <w:lang w:val="he-IL" w:bidi="he-IL"/>
        </w:rPr>
        <w:t>דאכתפאי</w:t>
      </w:r>
      <w:r>
        <w:rPr>
          <w:rtl/>
          <w:lang w:val="ar-SA"/>
        </w:rPr>
        <w:t xml:space="preserve"> </w:t>
      </w:r>
      <w:r>
        <w:rPr>
          <w:rFonts w:ascii="Arial Unicode MS" w:hAnsi="Arial Unicode MS" w:cs="Times New Roman" w:hint="cs"/>
          <w:rtl/>
          <w:lang w:val="he-IL" w:bidi="he-IL"/>
        </w:rPr>
        <w:t>ואי</w:t>
      </w:r>
      <w:r>
        <w:rPr>
          <w:rtl/>
          <w:lang w:val="ar-SA"/>
        </w:rPr>
        <w:t xml:space="preserve"> </w:t>
      </w:r>
      <w:r>
        <w:rPr>
          <w:rFonts w:ascii="Arial Unicode MS" w:hAnsi="Arial Unicode MS" w:cs="Times New Roman" w:hint="cs"/>
          <w:rtl/>
          <w:lang w:val="he-IL" w:bidi="he-IL"/>
        </w:rPr>
        <w:t>משתכחא</w:t>
      </w:r>
      <w:r>
        <w:rPr>
          <w:rtl/>
          <w:lang w:val="ar-SA"/>
        </w:rPr>
        <w:t xml:space="preserve"> </w:t>
      </w:r>
      <w:r>
        <w:rPr>
          <w:rFonts w:ascii="Arial Unicode MS" w:hAnsi="Arial Unicode MS" w:cs="Times New Roman" w:hint="cs"/>
          <w:rtl/>
          <w:lang w:val="he-IL" w:bidi="he-IL"/>
        </w:rPr>
        <w:t>כתובתה</w:t>
      </w:r>
      <w:r>
        <w:rPr>
          <w:rtl/>
          <w:lang w:val="ar-SA"/>
        </w:rPr>
        <w:t xml:space="preserve"> </w:t>
      </w:r>
      <w:r>
        <w:rPr>
          <w:rFonts w:ascii="Arial Unicode MS" w:hAnsi="Arial Unicode MS" w:cs="Times New Roman" w:hint="cs"/>
          <w:rtl/>
          <w:lang w:val="he-IL" w:bidi="he-IL"/>
        </w:rPr>
        <w:t>קמייתא</w:t>
      </w:r>
      <w:r>
        <w:rPr>
          <w:rtl/>
          <w:lang w:val="ar-SA"/>
        </w:rPr>
        <w:t xml:space="preserve"> </w:t>
      </w:r>
      <w:r>
        <w:rPr>
          <w:rFonts w:ascii="Arial Unicode MS" w:hAnsi="Arial Unicode MS" w:cs="Times New Roman" w:hint="cs"/>
          <w:rtl/>
          <w:lang w:val="he-IL" w:bidi="he-IL"/>
        </w:rPr>
        <w:t>לית</w:t>
      </w:r>
      <w:r>
        <w:rPr>
          <w:rtl/>
          <w:lang w:val="ar-SA"/>
        </w:rPr>
        <w:t xml:space="preserve"> </w:t>
      </w:r>
      <w:r>
        <w:rPr>
          <w:rFonts w:ascii="Arial Unicode MS" w:hAnsi="Arial Unicode MS" w:cs="Times New Roman" w:hint="cs"/>
          <w:rtl/>
          <w:lang w:val="he-IL" w:bidi="he-IL"/>
        </w:rPr>
        <w:t>לה</w:t>
      </w:r>
      <w:r>
        <w:rPr>
          <w:rtl/>
          <w:lang w:val="ar-SA"/>
        </w:rPr>
        <w:t xml:space="preserve"> </w:t>
      </w:r>
      <w:r>
        <w:rPr>
          <w:rFonts w:ascii="Arial Unicode MS" w:hAnsi="Arial Unicode MS" w:cs="Times New Roman" w:hint="cs"/>
          <w:rtl/>
          <w:lang w:val="he-IL" w:bidi="he-IL"/>
        </w:rPr>
        <w:t>למגבי</w:t>
      </w:r>
      <w:r>
        <w:rPr>
          <w:rtl/>
          <w:lang w:val="ar-SA"/>
        </w:rPr>
        <w:t xml:space="preserve"> </w:t>
      </w:r>
      <w:r>
        <w:rPr>
          <w:rFonts w:ascii="Arial Unicode MS" w:hAnsi="Arial Unicode MS" w:cs="Times New Roman" w:hint="cs"/>
          <w:rtl/>
          <w:lang w:val="he-IL" w:bidi="he-IL"/>
        </w:rPr>
        <w:t>אלא</w:t>
      </w:r>
      <w:r>
        <w:rPr>
          <w:rtl/>
          <w:lang w:val="ar-SA"/>
        </w:rPr>
        <w:t xml:space="preserve"> </w:t>
      </w:r>
      <w:r>
        <w:rPr>
          <w:rFonts w:ascii="Arial Unicode MS" w:hAnsi="Arial Unicode MS" w:cs="Times New Roman" w:hint="cs"/>
          <w:rtl/>
          <w:lang w:val="he-IL" w:bidi="he-IL"/>
        </w:rPr>
        <w:t>אי</w:t>
      </w:r>
      <w:r>
        <w:rPr>
          <w:rtl/>
          <w:lang w:val="ar-SA"/>
        </w:rPr>
        <w:t xml:space="preserve"> </w:t>
      </w:r>
      <w:r>
        <w:rPr>
          <w:rFonts w:ascii="Arial Unicode MS" w:hAnsi="Arial Unicode MS" w:cs="Times New Roman" w:hint="cs"/>
          <w:rtl/>
          <w:lang w:val="he-IL" w:bidi="he-IL"/>
        </w:rPr>
        <w:t>האיך</w:t>
      </w:r>
      <w:r>
        <w:rPr>
          <w:rtl/>
          <w:lang w:val="ar-SA"/>
        </w:rPr>
        <w:t xml:space="preserve"> </w:t>
      </w:r>
      <w:r>
        <w:rPr>
          <w:rFonts w:ascii="Arial Unicode MS" w:hAnsi="Arial Unicode MS" w:cs="Times New Roman" w:hint="cs"/>
          <w:rtl/>
          <w:lang w:val="he-IL" w:bidi="he-IL"/>
        </w:rPr>
        <w:t>אי</w:t>
      </w:r>
      <w:r>
        <w:rPr>
          <w:rtl/>
          <w:lang w:val="ar-SA"/>
        </w:rPr>
        <w:t xml:space="preserve"> </w:t>
      </w:r>
      <w:r>
        <w:rPr>
          <w:rFonts w:ascii="Arial Unicode MS" w:hAnsi="Arial Unicode MS" w:cs="Times New Roman" w:hint="cs"/>
          <w:rtl/>
          <w:lang w:val="he-IL" w:bidi="he-IL"/>
        </w:rPr>
        <w:t>האיי</w:t>
      </w:r>
      <w:r>
        <w:rPr>
          <w:rtl/>
          <w:lang w:val="ar-SA"/>
        </w:rPr>
        <w:t xml:space="preserve"> </w:t>
      </w:r>
      <w:r>
        <w:rPr>
          <w:rFonts w:ascii="Arial Unicode MS" w:hAnsi="Arial Unicode MS" w:cs="Times New Roman" w:hint="cs"/>
          <w:rtl/>
          <w:lang w:val="he-IL" w:bidi="he-IL"/>
        </w:rPr>
        <w:t>וקנינו</w:t>
      </w:r>
    </w:p>
    <w:p w14:paraId="5564B41B" w14:textId="77777777" w:rsidR="00DB4AB8" w:rsidRDefault="00876BE0">
      <w:pPr>
        <w:pStyle w:val="Text"/>
        <w:bidi/>
        <w:spacing w:line="276" w:lineRule="auto"/>
        <w:rPr>
          <w:rtl/>
        </w:rPr>
      </w:pPr>
      <w:r>
        <w:rPr>
          <w:rtl/>
          <w:lang w:val="ar-SA"/>
        </w:rPr>
        <w:t>28</w:t>
      </w:r>
      <w:r>
        <w:rPr>
          <w:rtl/>
          <w:lang w:val="ar-SA"/>
        </w:rPr>
        <w:tab/>
      </w:r>
      <w:r>
        <w:rPr>
          <w:rFonts w:ascii="Arial Unicode MS" w:hAnsi="Arial Unicode MS" w:cs="Times New Roman" w:hint="cs"/>
          <w:rtl/>
          <w:lang w:val="he-IL" w:bidi="he-IL"/>
        </w:rPr>
        <w:t>מן</w:t>
      </w:r>
      <w:r>
        <w:rPr>
          <w:rtl/>
          <w:lang w:val="ar-SA"/>
        </w:rPr>
        <w:t xml:space="preserve"> </w:t>
      </w:r>
      <w:r>
        <w:rPr>
          <w:rFonts w:ascii="Arial Unicode MS" w:hAnsi="Arial Unicode MS" w:cs="Times New Roman" w:hint="cs"/>
          <w:rtl/>
          <w:lang w:val="he-IL" w:bidi="he-IL"/>
        </w:rPr>
        <w:t>סאלם</w:t>
      </w:r>
      <w:r>
        <w:rPr>
          <w:rtl/>
          <w:lang w:val="ar-SA"/>
        </w:rPr>
        <w:t xml:space="preserve"> </w:t>
      </w:r>
      <w:r>
        <w:rPr>
          <w:rFonts w:ascii="Arial Unicode MS" w:hAnsi="Arial Unicode MS" w:cs="Times New Roman" w:hint="cs"/>
          <w:rtl/>
          <w:lang w:val="he-IL" w:bidi="he-IL"/>
        </w:rPr>
        <w:t>חתנא</w:t>
      </w:r>
      <w:r>
        <w:rPr>
          <w:rtl/>
          <w:lang w:val="ar-SA"/>
        </w:rPr>
        <w:t xml:space="preserve"> </w:t>
      </w:r>
      <w:r>
        <w:rPr>
          <w:rFonts w:ascii="Arial Unicode MS" w:hAnsi="Arial Unicode MS" w:cs="Times New Roman" w:hint="cs"/>
          <w:rtl/>
          <w:lang w:val="he-IL" w:bidi="he-IL"/>
        </w:rPr>
        <w:t>דנן</w:t>
      </w:r>
      <w:r>
        <w:rPr>
          <w:rtl/>
          <w:lang w:val="ar-SA"/>
        </w:rPr>
        <w:t xml:space="preserve"> </w:t>
      </w:r>
      <w:r>
        <w:rPr>
          <w:rFonts w:ascii="Arial Unicode MS" w:hAnsi="Arial Unicode MS" w:cs="Times New Roman" w:hint="cs"/>
          <w:rtl/>
          <w:lang w:val="he-IL" w:bidi="he-IL"/>
        </w:rPr>
        <w:t>לכלתא</w:t>
      </w:r>
      <w:r>
        <w:rPr>
          <w:rtl/>
          <w:lang w:val="ar-SA"/>
        </w:rPr>
        <w:t xml:space="preserve"> </w:t>
      </w:r>
      <w:r>
        <w:rPr>
          <w:rFonts w:ascii="Arial Unicode MS" w:hAnsi="Arial Unicode MS" w:cs="Times New Roman" w:hint="cs"/>
          <w:rtl/>
          <w:lang w:val="he-IL" w:bidi="he-IL"/>
        </w:rPr>
        <w:t>גׄנא</w:t>
      </w:r>
      <w:r>
        <w:rPr>
          <w:rtl/>
          <w:lang w:val="ar-SA"/>
        </w:rPr>
        <w:t xml:space="preserve"> </w:t>
      </w:r>
      <w:r>
        <w:rPr>
          <w:rFonts w:ascii="Arial Unicode MS" w:hAnsi="Arial Unicode MS" w:cs="Times New Roman" w:hint="cs"/>
          <w:rtl/>
          <w:lang w:val="he-IL" w:bidi="he-IL"/>
        </w:rPr>
        <w:t>דא</w:t>
      </w:r>
      <w:r>
        <w:rPr>
          <w:rtl/>
          <w:lang w:val="ar-SA"/>
        </w:rPr>
        <w:t xml:space="preserve"> </w:t>
      </w:r>
      <w:r>
        <w:rPr>
          <w:rFonts w:ascii="Arial Unicode MS" w:hAnsi="Arial Unicode MS" w:cs="Times New Roman" w:hint="cs"/>
          <w:rtl/>
          <w:lang w:val="he-IL" w:bidi="he-IL"/>
        </w:rPr>
        <w:t>על</w:t>
      </w:r>
      <w:r>
        <w:rPr>
          <w:rtl/>
          <w:lang w:val="ar-SA"/>
        </w:rPr>
        <w:t xml:space="preserve"> </w:t>
      </w:r>
      <w:r>
        <w:rPr>
          <w:rFonts w:ascii="Arial Unicode MS" w:hAnsi="Arial Unicode MS" w:cs="Times New Roman" w:hint="cs"/>
          <w:rtl/>
          <w:lang w:val="he-IL" w:bidi="he-IL"/>
        </w:rPr>
        <w:t>כל</w:t>
      </w:r>
      <w:r>
        <w:rPr>
          <w:rtl/>
          <w:lang w:val="ar-SA"/>
        </w:rPr>
        <w:t xml:space="preserve"> </w:t>
      </w:r>
      <w:r>
        <w:rPr>
          <w:rFonts w:ascii="Arial Unicode MS" w:hAnsi="Arial Unicode MS" w:cs="Times New Roman" w:hint="cs"/>
          <w:rtl/>
          <w:lang w:val="he-IL" w:bidi="he-IL"/>
        </w:rPr>
        <w:t>מאי</w:t>
      </w:r>
      <w:r>
        <w:rPr>
          <w:rtl/>
          <w:lang w:val="ar-SA"/>
        </w:rPr>
        <w:t xml:space="preserve"> </w:t>
      </w:r>
      <w:r>
        <w:rPr>
          <w:rFonts w:ascii="Arial Unicode MS" w:hAnsi="Arial Unicode MS" w:cs="Times New Roman" w:hint="cs"/>
          <w:rtl/>
          <w:lang w:val="he-IL" w:bidi="he-IL"/>
        </w:rPr>
        <w:t>דכתיב</w:t>
      </w:r>
      <w:r>
        <w:rPr>
          <w:rtl/>
          <w:lang w:val="ar-SA"/>
        </w:rPr>
        <w:t xml:space="preserve"> </w:t>
      </w:r>
      <w:r>
        <w:rPr>
          <w:rFonts w:ascii="Arial Unicode MS" w:hAnsi="Arial Unicode MS" w:cs="Times New Roman" w:hint="cs"/>
          <w:rtl/>
          <w:lang w:val="he-IL" w:bidi="he-IL"/>
        </w:rPr>
        <w:t>ומפרש</w:t>
      </w:r>
      <w:r>
        <w:rPr>
          <w:rtl/>
          <w:lang w:val="ar-SA"/>
        </w:rPr>
        <w:t xml:space="preserve"> </w:t>
      </w:r>
      <w:r>
        <w:rPr>
          <w:rFonts w:ascii="Arial Unicode MS" w:hAnsi="Arial Unicode MS" w:cs="Times New Roman" w:hint="cs"/>
          <w:rtl/>
          <w:lang w:val="he-IL" w:bidi="he-IL"/>
        </w:rPr>
        <w:t>לעיל</w:t>
      </w:r>
      <w:r>
        <w:rPr>
          <w:rtl/>
          <w:lang w:val="ar-SA"/>
        </w:rPr>
        <w:t xml:space="preserve"> </w:t>
      </w:r>
      <w:r>
        <w:rPr>
          <w:rFonts w:ascii="Arial Unicode MS" w:hAnsi="Arial Unicode MS" w:cs="Times New Roman" w:hint="cs"/>
          <w:rtl/>
          <w:lang w:val="he-IL" w:bidi="he-IL"/>
        </w:rPr>
        <w:t>קׄשׄ</w:t>
      </w:r>
      <w:r>
        <w:rPr>
          <w:rtl/>
          <w:lang w:val="ar-SA"/>
        </w:rPr>
        <w:t xml:space="preserve"> </w:t>
      </w:r>
      <w:r>
        <w:rPr>
          <w:rFonts w:ascii="Arial Unicode MS" w:hAnsi="Arial Unicode MS" w:cs="Times New Roman" w:hint="cs"/>
          <w:rtl/>
          <w:lang w:val="he-IL" w:bidi="he-IL"/>
        </w:rPr>
        <w:t>חגׄמׄ</w:t>
      </w:r>
      <w:r>
        <w:rPr>
          <w:rtl/>
          <w:lang w:val="ar-SA"/>
        </w:rPr>
        <w:t xml:space="preserve"> </w:t>
      </w:r>
      <w:r>
        <w:rPr>
          <w:rFonts w:ascii="Arial Unicode MS" w:hAnsi="Arial Unicode MS" w:cs="Times New Roman" w:hint="cs"/>
          <w:rtl/>
          <w:lang w:val="he-IL" w:bidi="he-IL"/>
        </w:rPr>
        <w:t>בכלי</w:t>
      </w:r>
      <w:r>
        <w:rPr>
          <w:rtl/>
          <w:lang w:val="ar-SA"/>
        </w:rPr>
        <w:t xml:space="preserve"> </w:t>
      </w:r>
      <w:r>
        <w:rPr>
          <w:rFonts w:ascii="Arial Unicode MS" w:hAnsi="Arial Unicode MS" w:cs="Times New Roman" w:hint="cs"/>
          <w:rtl/>
          <w:lang w:val="he-IL" w:bidi="he-IL"/>
        </w:rPr>
        <w:t>הכשר</w:t>
      </w:r>
    </w:p>
    <w:p w14:paraId="135E406F" w14:textId="77777777" w:rsidR="00DB4AB8" w:rsidRDefault="00876BE0">
      <w:pPr>
        <w:pStyle w:val="Text"/>
        <w:bidi/>
        <w:spacing w:line="276" w:lineRule="auto"/>
        <w:rPr>
          <w:rtl/>
        </w:rPr>
      </w:pPr>
      <w:r>
        <w:rPr>
          <w:rtl/>
          <w:lang w:val="ar-SA"/>
        </w:rPr>
        <w:t>29</w:t>
      </w:r>
      <w:r>
        <w:rPr>
          <w:rtl/>
          <w:lang w:val="ar-SA"/>
        </w:rPr>
        <w:tab/>
      </w:r>
      <w:r>
        <w:rPr>
          <w:rFonts w:ascii="Arial Unicode MS" w:hAnsi="Arial Unicode MS" w:cs="Times New Roman" w:hint="cs"/>
          <w:rtl/>
          <w:lang w:val="he-IL" w:bidi="he-IL"/>
        </w:rPr>
        <w:t>לקנות</w:t>
      </w:r>
      <w:r>
        <w:rPr>
          <w:rtl/>
          <w:lang w:val="ar-SA"/>
        </w:rPr>
        <w:t xml:space="preserve"> </w:t>
      </w:r>
      <w:r>
        <w:rPr>
          <w:rFonts w:ascii="Arial Unicode MS" w:hAnsi="Arial Unicode MS" w:cs="Times New Roman" w:hint="cs"/>
          <w:rtl/>
          <w:lang w:val="he-IL" w:bidi="he-IL"/>
        </w:rPr>
        <w:t>בו</w:t>
      </w:r>
      <w:r>
        <w:rPr>
          <w:rtl/>
          <w:lang w:val="ar-SA"/>
        </w:rPr>
        <w:t xml:space="preserve"> </w:t>
      </w:r>
      <w:r>
        <w:rPr>
          <w:rFonts w:ascii="Arial Unicode MS" w:hAnsi="Arial Unicode MS" w:cs="Times New Roman" w:hint="cs"/>
          <w:rtl/>
          <w:lang w:val="he-IL" w:bidi="he-IL"/>
        </w:rPr>
        <w:t>בביטול</w:t>
      </w:r>
      <w:r>
        <w:rPr>
          <w:rtl/>
          <w:lang w:val="ar-SA"/>
        </w:rPr>
        <w:t xml:space="preserve"> </w:t>
      </w:r>
      <w:r>
        <w:rPr>
          <w:rFonts w:ascii="Arial Unicode MS" w:hAnsi="Arial Unicode MS" w:cs="Times New Roman" w:hint="cs"/>
          <w:rtl/>
          <w:lang w:val="he-IL" w:bidi="he-IL"/>
        </w:rPr>
        <w:t>כל</w:t>
      </w:r>
      <w:r>
        <w:rPr>
          <w:rtl/>
          <w:lang w:val="ar-SA"/>
        </w:rPr>
        <w:t xml:space="preserve"> </w:t>
      </w:r>
      <w:r>
        <w:rPr>
          <w:rFonts w:ascii="Arial Unicode MS" w:hAnsi="Arial Unicode MS" w:cs="Times New Roman" w:hint="cs"/>
          <w:rtl/>
          <w:lang w:val="he-IL" w:bidi="he-IL"/>
        </w:rPr>
        <w:t>מודעי</w:t>
      </w:r>
      <w:r>
        <w:rPr>
          <w:rtl/>
          <w:lang w:val="ar-SA"/>
        </w:rPr>
        <w:t xml:space="preserve"> </w:t>
      </w:r>
      <w:r>
        <w:rPr>
          <w:rFonts w:ascii="Arial Unicode MS" w:hAnsi="Arial Unicode MS" w:cs="Times New Roman" w:hint="cs"/>
          <w:rtl/>
          <w:lang w:val="he-IL" w:bidi="he-IL"/>
        </w:rPr>
        <w:t>ותנאיי</w:t>
      </w:r>
      <w:r>
        <w:rPr>
          <w:rtl/>
          <w:lang w:val="ar-SA"/>
        </w:rPr>
        <w:t xml:space="preserve"> ̇</w:t>
      </w:r>
      <w:r>
        <w:rPr>
          <w:rFonts w:ascii="Arial Unicode MS" w:hAnsi="Arial Unicode MS" w:cs="Times New Roman" w:hint="cs"/>
          <w:rtl/>
          <w:lang w:val="he-IL" w:bidi="he-IL"/>
        </w:rPr>
        <w:t>ע</w:t>
      </w:r>
      <w:r>
        <w:rPr>
          <w:rtl/>
          <w:lang w:val="ar-SA"/>
        </w:rPr>
        <w:t>̇</w:t>
      </w:r>
      <w:r>
        <w:rPr>
          <w:rFonts w:ascii="Arial Unicode MS" w:hAnsi="Arial Unicode MS" w:cs="Times New Roman" w:hint="cs"/>
          <w:rtl/>
          <w:lang w:val="he-IL" w:bidi="he-IL"/>
        </w:rPr>
        <w:t>ס</w:t>
      </w:r>
      <w:r>
        <w:rPr>
          <w:rtl/>
          <w:lang w:val="ar-SA"/>
        </w:rPr>
        <w:t xml:space="preserve"> </w:t>
      </w:r>
      <w:r>
        <w:rPr>
          <w:rFonts w:ascii="Arial Unicode MS" w:hAnsi="Arial Unicode MS" w:cs="Times New Roman" w:hint="cs"/>
          <w:rtl/>
          <w:lang w:val="he-IL" w:bidi="he-IL"/>
        </w:rPr>
        <w:t>ושטר</w:t>
      </w:r>
      <w:r>
        <w:rPr>
          <w:rtl/>
          <w:lang w:val="ar-SA"/>
        </w:rPr>
        <w:t xml:space="preserve"> </w:t>
      </w:r>
      <w:r>
        <w:rPr>
          <w:rFonts w:ascii="Arial Unicode MS" w:hAnsi="Arial Unicode MS" w:cs="Times New Roman" w:hint="cs"/>
          <w:rtl/>
          <w:lang w:val="he-IL" w:bidi="he-IL"/>
        </w:rPr>
        <w:t>כתובה</w:t>
      </w:r>
      <w:r>
        <w:rPr>
          <w:rtl/>
          <w:lang w:val="ar-SA"/>
        </w:rPr>
        <w:t xml:space="preserve"> </w:t>
      </w:r>
      <w:r>
        <w:rPr>
          <w:rFonts w:ascii="Arial Unicode MS" w:hAnsi="Arial Unicode MS" w:cs="Times New Roman" w:hint="cs"/>
          <w:rtl/>
          <w:lang w:val="he-IL" w:bidi="he-IL"/>
        </w:rPr>
        <w:t>דא</w:t>
      </w:r>
      <w:r>
        <w:rPr>
          <w:rtl/>
          <w:lang w:val="ar-SA"/>
        </w:rPr>
        <w:t xml:space="preserve"> </w:t>
      </w:r>
      <w:r>
        <w:rPr>
          <w:rFonts w:ascii="Arial Unicode MS" w:hAnsi="Arial Unicode MS" w:cs="Times New Roman" w:hint="cs"/>
          <w:rtl/>
          <w:lang w:val="he-IL" w:bidi="he-IL"/>
        </w:rPr>
        <w:t>לא</w:t>
      </w:r>
      <w:r>
        <w:rPr>
          <w:rtl/>
          <w:lang w:val="ar-SA"/>
        </w:rPr>
        <w:t xml:space="preserve"> </w:t>
      </w:r>
      <w:r>
        <w:rPr>
          <w:rFonts w:ascii="Arial Unicode MS" w:hAnsi="Arial Unicode MS" w:cs="Times New Roman" w:hint="cs"/>
          <w:rtl/>
          <w:lang w:val="he-IL" w:bidi="he-IL"/>
        </w:rPr>
        <w:t>כאס׳</w:t>
      </w:r>
      <w:r>
        <w:rPr>
          <w:rtl/>
          <w:lang w:val="ar-SA"/>
        </w:rPr>
        <w:t xml:space="preserve"> </w:t>
      </w:r>
      <w:r>
        <w:rPr>
          <w:rFonts w:ascii="Arial Unicode MS" w:hAnsi="Arial Unicode MS" w:cs="Times New Roman" w:hint="cs"/>
          <w:rtl/>
          <w:lang w:val="he-IL" w:bidi="he-IL"/>
        </w:rPr>
        <w:t>ולא</w:t>
      </w:r>
      <w:r>
        <w:rPr>
          <w:rtl/>
          <w:lang w:val="ar-SA"/>
        </w:rPr>
        <w:t xml:space="preserve"> </w:t>
      </w:r>
      <w:r>
        <w:rPr>
          <w:rFonts w:ascii="Arial Unicode MS" w:hAnsi="Arial Unicode MS" w:cs="Times New Roman" w:hint="cs"/>
          <w:rtl/>
          <w:lang w:val="he-IL" w:bidi="he-IL"/>
        </w:rPr>
        <w:t>כטׄדׄ</w:t>
      </w:r>
      <w:r>
        <w:rPr>
          <w:rtl/>
          <w:lang w:val="ar-SA"/>
        </w:rPr>
        <w:t xml:space="preserve"> </w:t>
      </w:r>
      <w:r>
        <w:rPr>
          <w:rFonts w:ascii="Arial Unicode MS" w:hAnsi="Arial Unicode MS" w:cs="Times New Roman" w:hint="cs"/>
          <w:rtl/>
          <w:lang w:val="he-IL" w:bidi="he-IL"/>
        </w:rPr>
        <w:t>אלא</w:t>
      </w:r>
      <w:r>
        <w:rPr>
          <w:rtl/>
          <w:lang w:val="ar-SA"/>
        </w:rPr>
        <w:t xml:space="preserve"> </w:t>
      </w:r>
      <w:r>
        <w:rPr>
          <w:rFonts w:ascii="Arial Unicode MS" w:hAnsi="Arial Unicode MS" w:cs="Times New Roman" w:hint="cs"/>
          <w:rtl/>
          <w:lang w:val="he-IL" w:bidi="he-IL"/>
        </w:rPr>
        <w:t>כחומר</w:t>
      </w:r>
    </w:p>
    <w:p w14:paraId="21DAA6E3" w14:textId="77777777" w:rsidR="00DB4AB8" w:rsidRDefault="00876BE0">
      <w:pPr>
        <w:pStyle w:val="Text"/>
        <w:bidi/>
        <w:spacing w:line="276" w:lineRule="auto"/>
        <w:rPr>
          <w:rtl/>
        </w:rPr>
      </w:pPr>
      <w:r>
        <w:rPr>
          <w:rtl/>
          <w:lang w:val="ar-SA"/>
        </w:rPr>
        <w:t>30</w:t>
      </w:r>
      <w:r>
        <w:rPr>
          <w:rtl/>
          <w:lang w:val="ar-SA"/>
        </w:rPr>
        <w:tab/>
      </w:r>
      <w:r>
        <w:rPr>
          <w:rFonts w:ascii="Arial Unicode MS" w:hAnsi="Arial Unicode MS" w:cs="Times New Roman" w:hint="cs"/>
          <w:rtl/>
          <w:lang w:val="he-IL" w:bidi="he-IL"/>
        </w:rPr>
        <w:t>חוזק</w:t>
      </w:r>
      <w:r>
        <w:rPr>
          <w:rtl/>
          <w:lang w:val="ar-SA"/>
        </w:rPr>
        <w:t xml:space="preserve"> </w:t>
      </w:r>
      <w:r>
        <w:rPr>
          <w:rFonts w:ascii="Arial Unicode MS" w:hAnsi="Arial Unicode MS" w:cs="Times New Roman" w:hint="cs"/>
          <w:rtl/>
          <w:lang w:val="he-IL" w:bidi="he-IL"/>
        </w:rPr>
        <w:t>כל</w:t>
      </w:r>
      <w:r>
        <w:rPr>
          <w:rtl/>
          <w:lang w:val="ar-SA"/>
        </w:rPr>
        <w:t xml:space="preserve"> </w:t>
      </w:r>
      <w:r>
        <w:rPr>
          <w:rFonts w:ascii="Arial Unicode MS" w:hAnsi="Arial Unicode MS" w:cs="Times New Roman" w:hint="cs"/>
          <w:rtl/>
          <w:lang w:val="he-IL" w:bidi="he-IL"/>
        </w:rPr>
        <w:t>שטרי</w:t>
      </w:r>
      <w:r>
        <w:rPr>
          <w:rtl/>
          <w:lang w:val="ar-SA"/>
        </w:rPr>
        <w:t xml:space="preserve"> </w:t>
      </w:r>
      <w:r>
        <w:rPr>
          <w:rFonts w:ascii="Arial Unicode MS" w:hAnsi="Arial Unicode MS" w:cs="Times New Roman" w:hint="cs"/>
          <w:rtl/>
          <w:lang w:val="he-IL" w:bidi="he-IL"/>
        </w:rPr>
        <w:t>כתובות</w:t>
      </w:r>
      <w:r>
        <w:rPr>
          <w:rtl/>
          <w:lang w:val="ar-SA"/>
        </w:rPr>
        <w:t xml:space="preserve"> </w:t>
      </w:r>
      <w:r>
        <w:rPr>
          <w:rFonts w:ascii="Arial Unicode MS" w:hAnsi="Arial Unicode MS" w:cs="Times New Roman" w:hint="cs"/>
          <w:rtl/>
          <w:lang w:val="he-IL" w:bidi="he-IL"/>
        </w:rPr>
        <w:t>הנוהגות</w:t>
      </w:r>
      <w:r>
        <w:rPr>
          <w:rtl/>
          <w:lang w:val="ar-SA"/>
        </w:rPr>
        <w:t xml:space="preserve"> </w:t>
      </w:r>
      <w:r>
        <w:rPr>
          <w:rFonts w:ascii="Arial Unicode MS" w:hAnsi="Arial Unicode MS" w:cs="Times New Roman" w:hint="cs"/>
          <w:rtl/>
          <w:lang w:val="he-IL" w:bidi="he-IL"/>
        </w:rPr>
        <w:t>בישראל</w:t>
      </w:r>
      <w:r>
        <w:rPr>
          <w:rtl/>
          <w:lang w:val="ar-SA"/>
        </w:rPr>
        <w:t xml:space="preserve"> </w:t>
      </w:r>
      <w:r>
        <w:rPr>
          <w:rFonts w:ascii="Arial Unicode MS" w:hAnsi="Arial Unicode MS" w:cs="Times New Roman" w:hint="cs"/>
          <w:rtl/>
          <w:lang w:val="he-IL" w:bidi="he-IL"/>
        </w:rPr>
        <w:t>וכהוגן</w:t>
      </w:r>
      <w:r>
        <w:rPr>
          <w:rtl/>
          <w:lang w:val="ar-SA"/>
        </w:rPr>
        <w:t xml:space="preserve"> </w:t>
      </w:r>
      <w:r>
        <w:rPr>
          <w:rFonts w:ascii="Arial Unicode MS" w:hAnsi="Arial Unicode MS" w:cs="Times New Roman" w:hint="cs"/>
          <w:rtl/>
          <w:lang w:val="he-IL" w:bidi="he-IL"/>
        </w:rPr>
        <w:t>וכתׄרׄ</w:t>
      </w:r>
      <w:r>
        <w:rPr>
          <w:rtl/>
          <w:lang w:val="ar-SA"/>
        </w:rPr>
        <w:t xml:space="preserve"> </w:t>
      </w:r>
      <w:r>
        <w:rPr>
          <w:rFonts w:ascii="Arial Unicode MS" w:hAnsi="Arial Unicode MS" w:cs="Times New Roman" w:hint="cs"/>
          <w:rtl/>
          <w:lang w:val="he-IL" w:bidi="he-IL"/>
        </w:rPr>
        <w:t>זׄלׄ</w:t>
      </w:r>
      <w:r>
        <w:rPr>
          <w:rtl/>
          <w:lang w:val="ar-SA"/>
        </w:rPr>
        <w:t xml:space="preserve"> </w:t>
      </w:r>
      <w:r>
        <w:rPr>
          <w:rFonts w:ascii="Arial Unicode MS" w:hAnsi="Arial Unicode MS" w:cs="Times New Roman" w:hint="cs"/>
          <w:rtl/>
          <w:lang w:val="he-IL" w:bidi="he-IL"/>
        </w:rPr>
        <w:t>וכבר</w:t>
      </w:r>
      <w:r>
        <w:rPr>
          <w:rtl/>
          <w:lang w:val="ar-SA"/>
        </w:rPr>
        <w:t xml:space="preserve"> </w:t>
      </w:r>
      <w:r>
        <w:rPr>
          <w:rFonts w:ascii="Arial Unicode MS" w:hAnsi="Arial Unicode MS" w:cs="Times New Roman" w:hint="cs"/>
          <w:rtl/>
          <w:lang w:val="he-IL" w:bidi="he-IL"/>
        </w:rPr>
        <w:t>נכלל</w:t>
      </w:r>
      <w:r>
        <w:rPr>
          <w:rtl/>
          <w:lang w:val="ar-SA"/>
        </w:rPr>
        <w:t xml:space="preserve"> </w:t>
      </w:r>
      <w:r>
        <w:rPr>
          <w:rFonts w:ascii="Arial Unicode MS" w:hAnsi="Arial Unicode MS" w:cs="Times New Roman" w:hint="cs"/>
          <w:rtl/>
          <w:lang w:val="he-IL" w:bidi="he-IL"/>
        </w:rPr>
        <w:t>בכתובה</w:t>
      </w:r>
      <w:r>
        <w:rPr>
          <w:rtl/>
          <w:lang w:val="ar-SA"/>
        </w:rPr>
        <w:t xml:space="preserve"> </w:t>
      </w:r>
      <w:r>
        <w:rPr>
          <w:rFonts w:ascii="Arial Unicode MS" w:hAnsi="Arial Unicode MS" w:cs="Times New Roman" w:hint="cs"/>
          <w:rtl/>
          <w:lang w:val="he-IL" w:bidi="he-IL"/>
        </w:rPr>
        <w:t>זו</w:t>
      </w:r>
      <w:r>
        <w:rPr>
          <w:rtl/>
          <w:lang w:val="ar-SA"/>
        </w:rPr>
        <w:t xml:space="preserve"> </w:t>
      </w:r>
      <w:r>
        <w:rPr>
          <w:rFonts w:ascii="Arial Unicode MS" w:hAnsi="Arial Unicode MS" w:cs="Times New Roman" w:hint="cs"/>
          <w:rtl/>
          <w:lang w:val="he-IL" w:bidi="he-IL"/>
        </w:rPr>
        <w:t>כל</w:t>
      </w:r>
    </w:p>
    <w:p w14:paraId="5C410DA8" w14:textId="77777777" w:rsidR="00DB4AB8" w:rsidRDefault="00876BE0">
      <w:pPr>
        <w:pStyle w:val="Text"/>
        <w:bidi/>
        <w:spacing w:line="276" w:lineRule="auto"/>
        <w:rPr>
          <w:rtl/>
        </w:rPr>
      </w:pPr>
      <w:r>
        <w:rPr>
          <w:rtl/>
          <w:lang w:val="ar-SA"/>
        </w:rPr>
        <w:t>31</w:t>
      </w:r>
      <w:r>
        <w:rPr>
          <w:rtl/>
          <w:lang w:val="ar-SA"/>
        </w:rPr>
        <w:tab/>
      </w:r>
      <w:r>
        <w:rPr>
          <w:rFonts w:ascii="Arial Unicode MS" w:hAnsi="Arial Unicode MS" w:cs="Times New Roman" w:hint="cs"/>
          <w:rtl/>
          <w:lang w:val="he-IL" w:bidi="he-IL"/>
        </w:rPr>
        <w:t>ענייני</w:t>
      </w:r>
      <w:r>
        <w:rPr>
          <w:rtl/>
          <w:lang w:val="ar-SA"/>
        </w:rPr>
        <w:t xml:space="preserve"> </w:t>
      </w:r>
      <w:r>
        <w:rPr>
          <w:rFonts w:ascii="Arial Unicode MS" w:hAnsi="Arial Unicode MS" w:cs="Times New Roman" w:hint="cs"/>
          <w:rtl/>
          <w:lang w:val="he-IL" w:bidi="he-IL"/>
        </w:rPr>
        <w:t>מזונות</w:t>
      </w:r>
      <w:r>
        <w:rPr>
          <w:rtl/>
          <w:lang w:val="ar-SA"/>
        </w:rPr>
        <w:t xml:space="preserve"> </w:t>
      </w:r>
      <w:r>
        <w:rPr>
          <w:rFonts w:ascii="Arial Unicode MS" w:hAnsi="Arial Unicode MS" w:cs="Times New Roman" w:hint="cs"/>
          <w:rtl/>
          <w:lang w:val="he-IL" w:bidi="he-IL"/>
        </w:rPr>
        <w:t>וכסות</w:t>
      </w:r>
      <w:r>
        <w:rPr>
          <w:rtl/>
          <w:lang w:val="ar-SA"/>
        </w:rPr>
        <w:t xml:space="preserve"> </w:t>
      </w:r>
      <w:r>
        <w:rPr>
          <w:rFonts w:ascii="Arial Unicode MS" w:hAnsi="Arial Unicode MS" w:cs="Times New Roman" w:hint="cs"/>
          <w:rtl/>
          <w:lang w:val="he-IL" w:bidi="he-IL"/>
        </w:rPr>
        <w:t>שבדיני</w:t>
      </w:r>
      <w:r>
        <w:rPr>
          <w:rtl/>
          <w:lang w:val="ar-SA"/>
        </w:rPr>
        <w:t xml:space="preserve"> </w:t>
      </w:r>
      <w:r>
        <w:rPr>
          <w:rFonts w:ascii="Arial Unicode MS" w:hAnsi="Arial Unicode MS" w:cs="Times New Roman" w:hint="cs"/>
          <w:rtl/>
          <w:lang w:val="he-IL" w:bidi="he-IL"/>
        </w:rPr>
        <w:t>אוהׄעׄ</w:t>
      </w:r>
      <w:r>
        <w:rPr>
          <w:rtl/>
          <w:lang w:val="ar-SA"/>
        </w:rPr>
        <w:t xml:space="preserve"> </w:t>
      </w:r>
      <w:r>
        <w:rPr>
          <w:rFonts w:ascii="Arial Unicode MS" w:hAnsi="Arial Unicode MS" w:cs="Times New Roman" w:hint="cs"/>
          <w:rtl/>
          <w:lang w:val="he-IL" w:bidi="he-IL"/>
        </w:rPr>
        <w:t>לעת</w:t>
      </w:r>
      <w:r>
        <w:rPr>
          <w:rtl/>
          <w:lang w:val="ar-SA"/>
        </w:rPr>
        <w:t xml:space="preserve"> </w:t>
      </w:r>
      <w:r>
        <w:rPr>
          <w:rFonts w:ascii="Arial Unicode MS" w:hAnsi="Arial Unicode MS" w:cs="Times New Roman" w:hint="cs"/>
          <w:rtl/>
          <w:lang w:val="he-IL" w:bidi="he-IL"/>
        </w:rPr>
        <w:t>הצורך</w:t>
      </w:r>
      <w:r>
        <w:rPr>
          <w:rtl/>
          <w:lang w:val="ar-SA"/>
        </w:rPr>
        <w:t xml:space="preserve"> </w:t>
      </w:r>
      <w:r>
        <w:rPr>
          <w:rFonts w:ascii="Arial Unicode MS" w:hAnsi="Arial Unicode MS" w:cs="Times New Roman" w:hint="cs"/>
          <w:rtl/>
          <w:lang w:val="he-IL" w:bidi="he-IL"/>
        </w:rPr>
        <w:t>חׄוׄ</w:t>
      </w:r>
      <w:r>
        <w:rPr>
          <w:rtl/>
          <w:lang w:val="ar-SA"/>
        </w:rPr>
        <w:t xml:space="preserve"> </w:t>
      </w:r>
      <w:r>
        <w:rPr>
          <w:rFonts w:ascii="Arial Unicode MS" w:hAnsi="Arial Unicode MS" w:cs="Times New Roman" w:hint="cs"/>
          <w:rtl/>
          <w:lang w:val="he-IL" w:bidi="he-IL"/>
        </w:rPr>
        <w:t>שעדׄכׄ כתב</w:t>
      </w:r>
      <w:r>
        <w:rPr>
          <w:rtl/>
          <w:lang w:val="ar-SA"/>
        </w:rPr>
        <w:t xml:space="preserve"> </w:t>
      </w:r>
      <w:r>
        <w:rPr>
          <w:rFonts w:ascii="Arial Unicode MS" w:hAnsi="Arial Unicode MS" w:cs="Times New Roman" w:hint="cs"/>
          <w:rtl/>
          <w:lang w:val="he-IL" w:bidi="he-IL"/>
        </w:rPr>
        <w:t>לה</w:t>
      </w:r>
      <w:r>
        <w:rPr>
          <w:rtl/>
          <w:lang w:val="ar-SA"/>
        </w:rPr>
        <w:t xml:space="preserve"> </w:t>
      </w:r>
      <w:r>
        <w:rPr>
          <w:rFonts w:ascii="Arial Unicode MS" w:hAnsi="Arial Unicode MS" w:cs="Times New Roman" w:hint="cs"/>
          <w:rtl/>
          <w:lang w:val="he-IL" w:bidi="he-IL"/>
        </w:rPr>
        <w:t>מתנתא</w:t>
      </w:r>
      <w:r>
        <w:rPr>
          <w:rtl/>
          <w:lang w:val="ar-SA"/>
        </w:rPr>
        <w:t xml:space="preserve"> </w:t>
      </w:r>
      <w:r>
        <w:rPr>
          <w:rFonts w:ascii="Arial Unicode MS" w:hAnsi="Arial Unicode MS" w:cs="Times New Roman" w:hint="cs"/>
          <w:rtl/>
          <w:lang w:val="he-IL" w:bidi="he-IL"/>
        </w:rPr>
        <w:t>ותוספתא</w:t>
      </w:r>
    </w:p>
    <w:p w14:paraId="46B5D2E7" w14:textId="77777777" w:rsidR="00DB4AB8" w:rsidRDefault="00876BE0">
      <w:pPr>
        <w:pStyle w:val="Text"/>
        <w:bidi/>
        <w:spacing w:line="276" w:lineRule="auto"/>
        <w:rPr>
          <w:rtl/>
        </w:rPr>
      </w:pPr>
      <w:r>
        <w:rPr>
          <w:rtl/>
          <w:lang w:val="ar-SA"/>
        </w:rPr>
        <w:t>32</w:t>
      </w:r>
      <w:r>
        <w:rPr>
          <w:rtl/>
          <w:lang w:val="ar-SA"/>
        </w:rPr>
        <w:tab/>
      </w:r>
      <w:r>
        <w:rPr>
          <w:rFonts w:ascii="Arial Unicode MS" w:hAnsi="Arial Unicode MS" w:cs="Times New Roman" w:hint="cs"/>
          <w:rtl/>
          <w:lang w:val="he-IL" w:bidi="he-IL"/>
        </w:rPr>
        <w:t>ומחילת</w:t>
      </w:r>
      <w:r>
        <w:rPr>
          <w:rtl/>
          <w:lang w:val="ar-SA"/>
        </w:rPr>
        <w:t xml:space="preserve"> </w:t>
      </w:r>
      <w:r>
        <w:rPr>
          <w:rFonts w:ascii="Arial Unicode MS" w:hAnsi="Arial Unicode MS" w:cs="Times New Roman" w:hint="cs"/>
          <w:rtl/>
          <w:lang w:val="he-IL" w:bidi="he-IL"/>
        </w:rPr>
        <w:t>חצי</w:t>
      </w:r>
      <w:r>
        <w:rPr>
          <w:rtl/>
          <w:lang w:val="ar-SA"/>
        </w:rPr>
        <w:t xml:space="preserve"> </w:t>
      </w:r>
      <w:r>
        <w:rPr>
          <w:rFonts w:ascii="Arial Unicode MS" w:hAnsi="Arial Unicode MS" w:cs="Times New Roman" w:hint="cs"/>
          <w:rtl/>
          <w:lang w:val="he-IL" w:bidi="he-IL"/>
        </w:rPr>
        <w:t>הנדוניא</w:t>
      </w:r>
      <w:r>
        <w:rPr>
          <w:rtl/>
          <w:lang w:val="ar-SA"/>
        </w:rPr>
        <w:t xml:space="preserve"> </w:t>
      </w:r>
      <w:r>
        <w:rPr>
          <w:rFonts w:ascii="Arial Unicode MS" w:hAnsi="Arial Unicode MS" w:cs="Times New Roman" w:hint="cs"/>
          <w:rtl/>
          <w:lang w:val="he-IL" w:bidi="he-IL"/>
        </w:rPr>
        <w:t>והכל</w:t>
      </w:r>
      <w:r>
        <w:rPr>
          <w:rtl/>
          <w:lang w:val="ar-SA"/>
        </w:rPr>
        <w:t xml:space="preserve"> </w:t>
      </w:r>
      <w:r>
        <w:rPr>
          <w:rFonts w:ascii="Arial Unicode MS" w:hAnsi="Arial Unicode MS" w:cs="Times New Roman" w:hint="cs"/>
          <w:rtl/>
          <w:lang w:val="he-IL" w:bidi="he-IL"/>
        </w:rPr>
        <w:t>שריר</w:t>
      </w:r>
      <w:r>
        <w:rPr>
          <w:rtl/>
          <w:lang w:val="ar-SA"/>
        </w:rPr>
        <w:t xml:space="preserve"> </w:t>
      </w:r>
      <w:r>
        <w:rPr>
          <w:rFonts w:ascii="Arial Unicode MS" w:hAnsi="Arial Unicode MS" w:cs="Times New Roman" w:hint="cs"/>
          <w:rtl/>
          <w:lang w:val="he-IL" w:bidi="he-IL"/>
        </w:rPr>
        <w:t>וקיים</w:t>
      </w:r>
      <w:r>
        <w:rPr>
          <w:rtl/>
          <w:lang w:val="ar-SA"/>
        </w:rPr>
        <w:t xml:space="preserve"> </w:t>
      </w:r>
      <w:r>
        <w:rPr>
          <w:rFonts w:ascii="Arial Unicode MS" w:hAnsi="Arial Unicode MS" w:cs="Times New Roman" w:hint="cs"/>
          <w:rtl/>
          <w:lang w:val="he-IL" w:bidi="he-IL"/>
        </w:rPr>
        <w:t>הצׄ</w:t>
      </w:r>
      <w:r>
        <w:rPr>
          <w:rtl/>
          <w:lang w:val="ar-SA"/>
        </w:rPr>
        <w:t xml:space="preserve"> </w:t>
      </w:r>
      <w:r>
        <w:rPr>
          <w:rFonts w:ascii="Arial Unicode MS" w:hAnsi="Arial Unicode MS" w:cs="Times New Roman" w:hint="cs"/>
          <w:rtl/>
          <w:lang w:val="he-IL" w:bidi="he-IL"/>
        </w:rPr>
        <w:t>לוי</w:t>
      </w:r>
      <w:r>
        <w:rPr>
          <w:rtl/>
          <w:lang w:val="ar-SA"/>
        </w:rPr>
        <w:t xml:space="preserve"> </w:t>
      </w:r>
      <w:r>
        <w:rPr>
          <w:rFonts w:ascii="Arial Unicode MS" w:hAnsi="Arial Unicode MS" w:cs="Times New Roman" w:hint="cs"/>
          <w:rtl/>
          <w:lang w:val="he-IL" w:bidi="he-IL"/>
        </w:rPr>
        <w:t>ןׄ</w:t>
      </w:r>
      <w:r>
        <w:rPr>
          <w:rtl/>
          <w:lang w:val="ar-SA"/>
        </w:rPr>
        <w:t xml:space="preserve"> </w:t>
      </w:r>
      <w:r>
        <w:rPr>
          <w:rFonts w:ascii="Arial Unicode MS" w:hAnsi="Arial Unicode MS" w:cs="Times New Roman" w:hint="cs"/>
          <w:rtl/>
          <w:lang w:val="he-IL" w:bidi="he-IL"/>
        </w:rPr>
        <w:t>יחיא</w:t>
      </w:r>
      <w:r>
        <w:rPr>
          <w:rtl/>
          <w:lang w:val="ar-SA"/>
        </w:rPr>
        <w:t xml:space="preserve"> </w:t>
      </w:r>
      <w:r>
        <w:rPr>
          <w:rFonts w:ascii="Arial Unicode MS" w:hAnsi="Arial Unicode MS" w:cs="Times New Roman" w:hint="cs"/>
          <w:rtl/>
          <w:lang w:val="he-IL" w:bidi="he-IL"/>
        </w:rPr>
        <w:t>אלנגאר</w:t>
      </w:r>
      <w:r>
        <w:rPr>
          <w:rtl/>
          <w:lang w:val="ar-SA"/>
        </w:rPr>
        <w:t xml:space="preserve"> </w:t>
      </w:r>
      <w:r>
        <w:rPr>
          <w:rFonts w:ascii="Arial Unicode MS" w:hAnsi="Arial Unicode MS" w:cs="Times New Roman" w:hint="cs"/>
          <w:rtl/>
          <w:lang w:val="he-IL" w:bidi="he-IL"/>
        </w:rPr>
        <w:t>שיֿל</w:t>
      </w:r>
    </w:p>
    <w:p w14:paraId="4868BED6" w14:textId="77777777" w:rsidR="00DB4AB8" w:rsidRDefault="00876BE0">
      <w:pPr>
        <w:pStyle w:val="Text"/>
        <w:bidi/>
        <w:spacing w:line="276" w:lineRule="auto"/>
        <w:rPr>
          <w:rtl/>
        </w:rPr>
      </w:pPr>
      <w:r>
        <w:rPr>
          <w:rtl/>
          <w:lang w:val="ar-SA"/>
        </w:rPr>
        <w:t xml:space="preserve">                                                                                                            </w:t>
      </w:r>
      <w:r>
        <w:rPr>
          <w:rFonts w:ascii="Arial Unicode MS" w:hAnsi="Arial Unicode MS" w:cs="Times New Roman" w:hint="cs"/>
          <w:rtl/>
          <w:lang w:val="he-IL" w:bidi="he-IL"/>
        </w:rPr>
        <w:t>סט</w:t>
      </w:r>
    </w:p>
    <w:p w14:paraId="756DE630" w14:textId="77777777" w:rsidR="00DB4AB8" w:rsidRDefault="00DB4AB8">
      <w:pPr>
        <w:pStyle w:val="Text"/>
        <w:bidi/>
        <w:spacing w:line="276" w:lineRule="auto"/>
        <w:rPr>
          <w:rtl/>
          <w:lang w:val="ar-SA"/>
        </w:rPr>
      </w:pPr>
    </w:p>
    <w:p w14:paraId="1424C676" w14:textId="77777777" w:rsidR="00DB4AB8" w:rsidRDefault="00876BE0">
      <w:pPr>
        <w:pStyle w:val="Text"/>
        <w:spacing w:line="276" w:lineRule="auto"/>
        <w:rPr>
          <w:rtl/>
        </w:rPr>
      </w:pPr>
      <w:r>
        <w:rPr>
          <w:rFonts w:ascii="Brill" w:hAnsi="Brill"/>
          <w:lang w:val="de-DE"/>
        </w:rPr>
        <w:t>Verso</w:t>
      </w:r>
    </w:p>
    <w:p w14:paraId="61DE5CA1" w14:textId="77777777" w:rsidR="00DB4AB8" w:rsidRDefault="00876BE0">
      <w:pPr>
        <w:pStyle w:val="Text"/>
        <w:bidi/>
        <w:spacing w:line="276" w:lineRule="auto"/>
        <w:rPr>
          <w:rtl/>
        </w:rPr>
      </w:pPr>
      <w:r>
        <w:rPr>
          <w:rtl/>
          <w:lang w:val="ar-SA"/>
        </w:rPr>
        <w:t>1</w:t>
      </w:r>
      <w:r>
        <w:rPr>
          <w:rtl/>
          <w:lang w:val="ar-SA"/>
        </w:rPr>
        <w:tab/>
      </w:r>
      <w:r>
        <w:rPr>
          <w:rFonts w:ascii="Arial Unicode MS" w:hAnsi="Arial Unicode MS" w:cs="Times New Roman" w:hint="cs"/>
          <w:rtl/>
          <w:lang w:val="he-IL" w:bidi="he-IL"/>
        </w:rPr>
        <w:t>קנה</w:t>
      </w:r>
      <w:r>
        <w:rPr>
          <w:rtl/>
          <w:lang w:val="ar-SA"/>
        </w:rPr>
        <w:t xml:space="preserve"> </w:t>
      </w:r>
      <w:r>
        <w:rPr>
          <w:rFonts w:ascii="Arial Unicode MS" w:hAnsi="Arial Unicode MS" w:cs="Times New Roman" w:hint="cs"/>
          <w:rtl/>
          <w:lang w:val="he-IL" w:bidi="he-IL"/>
        </w:rPr>
        <w:t>סאלם</w:t>
      </w:r>
      <w:r>
        <w:rPr>
          <w:rtl/>
          <w:lang w:val="ar-SA"/>
        </w:rPr>
        <w:t xml:space="preserve"> </w:t>
      </w:r>
      <w:r>
        <w:rPr>
          <w:rFonts w:ascii="Arial Unicode MS" w:hAnsi="Arial Unicode MS" w:cs="Times New Roman" w:hint="cs"/>
          <w:rtl/>
          <w:lang w:val="he-IL" w:bidi="he-IL"/>
        </w:rPr>
        <w:t>ןׄ</w:t>
      </w:r>
      <w:r>
        <w:rPr>
          <w:rtl/>
          <w:lang w:val="ar-SA"/>
        </w:rPr>
        <w:t xml:space="preserve"> </w:t>
      </w:r>
      <w:r>
        <w:rPr>
          <w:rFonts w:ascii="Arial Unicode MS" w:hAnsi="Arial Unicode MS" w:cs="Times New Roman" w:hint="cs"/>
          <w:rtl/>
          <w:lang w:val="he-IL" w:bidi="he-IL"/>
        </w:rPr>
        <w:t>הארון</w:t>
      </w:r>
      <w:r>
        <w:rPr>
          <w:rtl/>
          <w:lang w:val="ar-SA"/>
        </w:rPr>
        <w:t xml:space="preserve"> </w:t>
      </w:r>
      <w:r>
        <w:rPr>
          <w:rFonts w:ascii="Arial Unicode MS" w:hAnsi="Arial Unicode MS" w:cs="Times New Roman" w:hint="cs"/>
          <w:rtl/>
          <w:lang w:val="he-IL" w:bidi="he-IL"/>
        </w:rPr>
        <w:t>זהרה</w:t>
      </w:r>
      <w:r>
        <w:rPr>
          <w:rtl/>
          <w:lang w:val="ar-SA"/>
        </w:rPr>
        <w:t xml:space="preserve"> </w:t>
      </w:r>
      <w:r>
        <w:rPr>
          <w:rFonts w:ascii="Arial Unicode MS" w:hAnsi="Arial Unicode MS" w:cs="Times New Roman" w:hint="cs"/>
          <w:rtl/>
          <w:lang w:val="he-IL" w:bidi="he-IL"/>
        </w:rPr>
        <w:t>אלעזירי</w:t>
      </w:r>
      <w:r>
        <w:rPr>
          <w:rtl/>
          <w:lang w:val="ar-SA"/>
        </w:rPr>
        <w:t xml:space="preserve"> </w:t>
      </w:r>
      <w:r>
        <w:rPr>
          <w:rFonts w:ascii="Arial Unicode MS" w:hAnsi="Arial Unicode MS" w:cs="Times New Roman" w:hint="cs"/>
          <w:rtl/>
          <w:lang w:val="he-IL" w:bidi="he-IL"/>
        </w:rPr>
        <w:t>קשׄמׄ כתׄרׄ זׄלׄ באן</w:t>
      </w:r>
      <w:r>
        <w:rPr>
          <w:rtl/>
          <w:lang w:val="ar-SA"/>
        </w:rPr>
        <w:t xml:space="preserve"> </w:t>
      </w:r>
      <w:r>
        <w:rPr>
          <w:rFonts w:ascii="Arial Unicode MS" w:hAnsi="Arial Unicode MS" w:cs="Times New Roman" w:hint="cs"/>
          <w:rtl/>
          <w:lang w:val="he-IL" w:bidi="he-IL"/>
        </w:rPr>
        <w:t>ענד</w:t>
      </w:r>
      <w:r>
        <w:rPr>
          <w:rFonts w:ascii="Arial Unicode MS" w:hAnsi="Arial Unicode MS" w:cs="Tahoma" w:hint="cs"/>
          <w:rtl/>
          <w:lang w:val="he-IL" w:bidi="he-IL"/>
        </w:rPr>
        <w:t>׳</w:t>
      </w:r>
      <w:r>
        <w:rPr>
          <w:rFonts w:ascii="Arial Unicode MS" w:hAnsi="Arial Unicode MS" w:cs="Times New Roman" w:hint="cs"/>
          <w:rtl/>
          <w:lang w:val="he-IL" w:bidi="he-IL"/>
        </w:rPr>
        <w:t>ה</w:t>
      </w:r>
      <w:r>
        <w:rPr>
          <w:rtl/>
          <w:lang w:val="ar-SA"/>
        </w:rPr>
        <w:t xml:space="preserve"> </w:t>
      </w:r>
      <w:r>
        <w:rPr>
          <w:rFonts w:ascii="Arial Unicode MS" w:hAnsi="Arial Unicode MS" w:cs="Times New Roman" w:hint="cs"/>
          <w:rtl/>
          <w:lang w:val="he-IL" w:bidi="he-IL"/>
        </w:rPr>
        <w:t>ופי</w:t>
      </w:r>
      <w:r>
        <w:rPr>
          <w:rtl/>
          <w:lang w:val="ar-SA"/>
        </w:rPr>
        <w:t xml:space="preserve"> </w:t>
      </w:r>
      <w:r>
        <w:rPr>
          <w:rFonts w:ascii="Arial Unicode MS" w:hAnsi="Arial Unicode MS" w:cs="Times New Roman" w:hint="cs"/>
          <w:rtl/>
          <w:lang w:val="he-IL" w:bidi="he-IL"/>
        </w:rPr>
        <w:t>דׄמתה</w:t>
      </w:r>
      <w:r>
        <w:rPr>
          <w:rtl/>
          <w:lang w:val="ar-SA"/>
        </w:rPr>
        <w:t xml:space="preserve"> </w:t>
      </w:r>
      <w:r>
        <w:rPr>
          <w:rFonts w:ascii="Arial Unicode MS" w:hAnsi="Arial Unicode MS" w:cs="Times New Roman" w:hint="cs"/>
          <w:rtl/>
          <w:lang w:val="he-IL" w:bidi="he-IL"/>
        </w:rPr>
        <w:t>לזוגת</w:t>
      </w:r>
      <w:r>
        <w:rPr>
          <w:rFonts w:ascii="Arial Unicode MS" w:hAnsi="Arial Unicode MS" w:cs="Tahoma" w:hint="cs"/>
          <w:rtl/>
          <w:lang w:val="he-IL" w:bidi="he-IL"/>
        </w:rPr>
        <w:t>׳</w:t>
      </w:r>
      <w:r>
        <w:rPr>
          <w:rFonts w:ascii="Arial Unicode MS" w:hAnsi="Arial Unicode MS" w:cs="Times New Roman" w:hint="cs"/>
          <w:rtl/>
          <w:lang w:val="he-IL" w:bidi="he-IL"/>
        </w:rPr>
        <w:t>ה</w:t>
      </w:r>
    </w:p>
    <w:p w14:paraId="2A947C6F" w14:textId="77777777" w:rsidR="00DB4AB8" w:rsidRDefault="00876BE0">
      <w:pPr>
        <w:pStyle w:val="Text"/>
        <w:bidi/>
        <w:spacing w:line="276" w:lineRule="auto"/>
        <w:rPr>
          <w:rtl/>
        </w:rPr>
      </w:pPr>
      <w:r>
        <w:rPr>
          <w:rtl/>
          <w:lang w:val="ar-SA"/>
        </w:rPr>
        <w:t>2</w:t>
      </w:r>
      <w:r>
        <w:rPr>
          <w:rtl/>
          <w:lang w:val="ar-SA"/>
        </w:rPr>
        <w:tab/>
      </w:r>
      <w:r>
        <w:rPr>
          <w:rFonts w:ascii="Arial Unicode MS" w:hAnsi="Arial Unicode MS" w:cs="Times New Roman" w:hint="cs"/>
          <w:rtl/>
          <w:lang w:val="he-IL" w:bidi="he-IL"/>
        </w:rPr>
        <w:t>גׄנא</w:t>
      </w:r>
      <w:r>
        <w:rPr>
          <w:rtl/>
          <w:lang w:val="ar-SA"/>
        </w:rPr>
        <w:t xml:space="preserve"> </w:t>
      </w:r>
      <w:r>
        <w:rPr>
          <w:rFonts w:ascii="Arial Unicode MS" w:hAnsi="Arial Unicode MS" w:cs="Times New Roman" w:hint="cs"/>
          <w:rtl/>
          <w:lang w:val="he-IL" w:bidi="he-IL"/>
        </w:rPr>
        <w:t>דא</w:t>
      </w:r>
      <w:r>
        <w:rPr>
          <w:rtl/>
          <w:lang w:val="ar-SA"/>
        </w:rPr>
        <w:t xml:space="preserve"> </w:t>
      </w:r>
      <w:r>
        <w:rPr>
          <w:rFonts w:ascii="Arial Unicode MS" w:hAnsi="Arial Unicode MS" w:cs="Times New Roman" w:hint="cs"/>
          <w:rtl/>
          <w:lang w:val="he-IL" w:bidi="he-IL"/>
        </w:rPr>
        <w:t>תׄמאנייה</w:t>
      </w:r>
      <w:r>
        <w:rPr>
          <w:rtl/>
          <w:lang w:val="ar-SA"/>
        </w:rPr>
        <w:t xml:space="preserve"> </w:t>
      </w:r>
      <w:r>
        <w:rPr>
          <w:rFonts w:ascii="Arial Unicode MS" w:hAnsi="Arial Unicode MS" w:cs="Times New Roman" w:hint="cs"/>
          <w:rtl/>
          <w:lang w:val="he-IL" w:bidi="he-IL"/>
        </w:rPr>
        <w:t>ותׄלאתׄין</w:t>
      </w:r>
      <w:r>
        <w:rPr>
          <w:rtl/>
          <w:lang w:val="ar-SA"/>
        </w:rPr>
        <w:t xml:space="preserve"> </w:t>
      </w:r>
      <w:r>
        <w:rPr>
          <w:rFonts w:ascii="Arial Unicode MS" w:hAnsi="Arial Unicode MS" w:cs="Times New Roman" w:hint="cs"/>
          <w:rtl/>
          <w:lang w:val="he-IL" w:bidi="he-IL"/>
        </w:rPr>
        <w:t>קרש</w:t>
      </w:r>
      <w:r>
        <w:rPr>
          <w:rtl/>
          <w:lang w:val="ar-SA"/>
        </w:rPr>
        <w:t xml:space="preserve"> </w:t>
      </w:r>
      <w:r>
        <w:rPr>
          <w:rFonts w:ascii="Arial Unicode MS" w:hAnsi="Arial Unicode MS" w:cs="Times New Roman" w:hint="cs"/>
          <w:rtl/>
          <w:lang w:val="he-IL" w:bidi="he-IL"/>
        </w:rPr>
        <w:t>ונצף</w:t>
      </w:r>
      <w:r>
        <w:rPr>
          <w:rtl/>
          <w:lang w:val="ar-SA"/>
        </w:rPr>
        <w:t xml:space="preserve"> </w:t>
      </w:r>
      <w:r>
        <w:rPr>
          <w:rFonts w:ascii="Arial Unicode MS" w:hAnsi="Arial Unicode MS" w:cs="Times New Roman" w:hint="cs"/>
          <w:rtl/>
          <w:lang w:val="he-IL" w:bidi="he-IL"/>
        </w:rPr>
        <w:t>אלגמיע</w:t>
      </w:r>
      <w:r>
        <w:rPr>
          <w:rtl/>
          <w:lang w:val="ar-SA"/>
        </w:rPr>
        <w:t xml:space="preserve"> </w:t>
      </w:r>
      <w:r>
        <w:rPr>
          <w:rFonts w:ascii="Arial Unicode MS" w:hAnsi="Arial Unicode MS" w:cs="Times New Roman" w:hint="cs"/>
          <w:rtl/>
          <w:lang w:val="he-IL" w:bidi="he-IL"/>
        </w:rPr>
        <w:t>פראנצי</w:t>
      </w:r>
      <w:r>
        <w:rPr>
          <w:rtl/>
          <w:lang w:val="ar-SA"/>
        </w:rPr>
        <w:t xml:space="preserve"> </w:t>
      </w:r>
      <w:r>
        <w:rPr>
          <w:rFonts w:ascii="Arial Unicode MS" w:hAnsi="Arial Unicode MS" w:cs="Times New Roman" w:hint="cs"/>
          <w:rtl/>
          <w:lang w:val="he-IL" w:bidi="he-IL"/>
        </w:rPr>
        <w:t>חׄגׄ</w:t>
      </w:r>
      <w:r>
        <w:rPr>
          <w:rtl/>
          <w:lang w:val="ar-SA"/>
        </w:rPr>
        <w:t xml:space="preserve"> </w:t>
      </w:r>
      <w:r>
        <w:rPr>
          <w:rFonts w:ascii="Arial Unicode MS" w:hAnsi="Arial Unicode MS" w:cs="Times New Roman" w:hint="cs"/>
          <w:rtl/>
          <w:lang w:val="he-IL" w:bidi="he-IL"/>
        </w:rPr>
        <w:t>ומלוה</w:t>
      </w:r>
      <w:r>
        <w:rPr>
          <w:rtl/>
          <w:lang w:val="ar-SA"/>
        </w:rPr>
        <w:t xml:space="preserve"> </w:t>
      </w:r>
      <w:r>
        <w:rPr>
          <w:rFonts w:ascii="Arial Unicode MS" w:hAnsi="Arial Unicode MS" w:cs="Times New Roman" w:hint="cs"/>
          <w:rtl/>
          <w:lang w:val="he-IL" w:bidi="he-IL"/>
        </w:rPr>
        <w:t>זקופה</w:t>
      </w:r>
    </w:p>
    <w:p w14:paraId="1D76700A" w14:textId="77777777" w:rsidR="00DB4AB8" w:rsidRDefault="00876BE0">
      <w:pPr>
        <w:pStyle w:val="Text"/>
        <w:bidi/>
        <w:spacing w:line="276" w:lineRule="auto"/>
        <w:rPr>
          <w:rtl/>
        </w:rPr>
      </w:pPr>
      <w:r>
        <w:rPr>
          <w:rtl/>
          <w:lang w:val="ar-SA"/>
        </w:rPr>
        <w:t>3</w:t>
      </w:r>
      <w:r>
        <w:rPr>
          <w:rtl/>
          <w:lang w:val="ar-SA"/>
        </w:rPr>
        <w:tab/>
      </w:r>
      <w:r>
        <w:rPr>
          <w:rFonts w:ascii="Arial Unicode MS" w:hAnsi="Arial Unicode MS" w:cs="Times New Roman" w:hint="cs"/>
          <w:rtl/>
          <w:lang w:val="he-IL" w:bidi="he-IL"/>
        </w:rPr>
        <w:t>דׄאלך</w:t>
      </w:r>
      <w:r>
        <w:rPr>
          <w:rtl/>
          <w:lang w:val="ar-SA"/>
        </w:rPr>
        <w:t xml:space="preserve"> </w:t>
      </w:r>
      <w:r>
        <w:rPr>
          <w:rFonts w:ascii="Arial Unicode MS" w:hAnsi="Arial Unicode MS" w:cs="Times New Roman" w:hint="cs"/>
          <w:rtl/>
          <w:lang w:val="he-IL" w:bidi="he-IL"/>
        </w:rPr>
        <w:t>בתופייה׳</w:t>
      </w:r>
      <w:r>
        <w:rPr>
          <w:rtl/>
          <w:lang w:val="ar-SA"/>
        </w:rPr>
        <w:t xml:space="preserve"> </w:t>
      </w:r>
      <w:r>
        <w:rPr>
          <w:rFonts w:ascii="Arial Unicode MS" w:hAnsi="Arial Unicode MS" w:cs="Times New Roman" w:hint="cs"/>
          <w:rtl/>
          <w:lang w:val="he-IL" w:bidi="he-IL"/>
        </w:rPr>
        <w:t>אלשרט</w:t>
      </w:r>
      <w:r>
        <w:rPr>
          <w:rtl/>
          <w:lang w:val="ar-SA"/>
        </w:rPr>
        <w:t xml:space="preserve"> </w:t>
      </w:r>
      <w:r>
        <w:rPr>
          <w:rFonts w:ascii="Arial Unicode MS" w:hAnsi="Arial Unicode MS" w:cs="Times New Roman" w:hint="cs"/>
          <w:rtl/>
          <w:lang w:val="he-IL" w:bidi="he-IL"/>
        </w:rPr>
        <w:t>ובעד</w:t>
      </w:r>
      <w:r>
        <w:rPr>
          <w:rtl/>
          <w:lang w:val="ar-SA"/>
        </w:rPr>
        <w:t xml:space="preserve"> </w:t>
      </w:r>
      <w:r>
        <w:rPr>
          <w:rFonts w:ascii="Arial Unicode MS" w:hAnsi="Arial Unicode MS" w:cs="Times New Roman" w:hint="cs"/>
          <w:rtl/>
          <w:lang w:val="he-IL" w:bidi="he-IL"/>
        </w:rPr>
        <w:t>אסקאט</w:t>
      </w:r>
      <w:r>
        <w:rPr>
          <w:rtl/>
          <w:lang w:val="ar-SA"/>
        </w:rPr>
        <w:t xml:space="preserve"> </w:t>
      </w:r>
      <w:r>
        <w:rPr>
          <w:rFonts w:ascii="Arial Unicode MS" w:hAnsi="Arial Unicode MS" w:cs="Times New Roman" w:hint="cs"/>
          <w:rtl/>
          <w:lang w:val="he-IL" w:bidi="he-IL"/>
        </w:rPr>
        <w:t>אלנדוניא</w:t>
      </w:r>
      <w:r>
        <w:rPr>
          <w:rtl/>
          <w:lang w:val="ar-SA"/>
        </w:rPr>
        <w:t xml:space="preserve"> </w:t>
      </w:r>
      <w:r>
        <w:rPr>
          <w:rFonts w:ascii="Arial Unicode MS" w:hAnsi="Arial Unicode MS" w:cs="Times New Roman" w:hint="cs"/>
          <w:rtl/>
          <w:lang w:val="he-IL" w:bidi="he-IL"/>
        </w:rPr>
        <w:t>אגל</w:t>
      </w:r>
      <w:r>
        <w:rPr>
          <w:rtl/>
          <w:lang w:val="ar-SA"/>
        </w:rPr>
        <w:t xml:space="preserve"> </w:t>
      </w:r>
      <w:r>
        <w:rPr>
          <w:rFonts w:ascii="Arial Unicode MS" w:hAnsi="Arial Unicode MS" w:cs="Times New Roman" w:hint="cs"/>
          <w:rtl/>
          <w:lang w:val="he-IL" w:bidi="he-IL"/>
        </w:rPr>
        <w:t>תסלימהא</w:t>
      </w:r>
      <w:r>
        <w:rPr>
          <w:rtl/>
          <w:lang w:val="ar-SA"/>
        </w:rPr>
        <w:t xml:space="preserve"> </w:t>
      </w:r>
      <w:r>
        <w:rPr>
          <w:rFonts w:ascii="Arial Unicode MS" w:hAnsi="Arial Unicode MS" w:cs="Times New Roman" w:hint="cs"/>
          <w:rtl/>
          <w:lang w:val="he-IL" w:bidi="he-IL"/>
        </w:rPr>
        <w:t>לאלוקת</w:t>
      </w:r>
      <w:r>
        <w:rPr>
          <w:rtl/>
          <w:lang w:val="ar-SA"/>
        </w:rPr>
        <w:t xml:space="preserve"> </w:t>
      </w:r>
      <w:r>
        <w:rPr>
          <w:rFonts w:ascii="Arial Unicode MS" w:hAnsi="Arial Unicode MS" w:cs="Times New Roman" w:hint="cs"/>
          <w:rtl/>
          <w:lang w:val="he-IL" w:bidi="he-IL"/>
        </w:rPr>
        <w:t>אלמסתעמל</w:t>
      </w:r>
    </w:p>
    <w:p w14:paraId="63B4EE92" w14:textId="77777777" w:rsidR="00DB4AB8" w:rsidRDefault="00876BE0">
      <w:pPr>
        <w:pStyle w:val="Text"/>
        <w:bidi/>
        <w:spacing w:line="276" w:lineRule="auto"/>
        <w:rPr>
          <w:rtl/>
        </w:rPr>
      </w:pPr>
      <w:r>
        <w:rPr>
          <w:rtl/>
          <w:lang w:val="ar-SA"/>
        </w:rPr>
        <w:t>4</w:t>
      </w:r>
      <w:r>
        <w:rPr>
          <w:rtl/>
          <w:lang w:val="ar-SA"/>
        </w:rPr>
        <w:tab/>
      </w:r>
      <w:r>
        <w:rPr>
          <w:rFonts w:ascii="Arial Unicode MS" w:hAnsi="Arial Unicode MS" w:cs="Times New Roman" w:hint="cs"/>
          <w:rtl/>
          <w:lang w:val="he-IL" w:bidi="he-IL"/>
        </w:rPr>
        <w:t>עליה</w:t>
      </w:r>
      <w:r>
        <w:rPr>
          <w:rtl/>
          <w:lang w:val="ar-SA"/>
        </w:rPr>
        <w:t xml:space="preserve"> </w:t>
      </w:r>
      <w:r>
        <w:rPr>
          <w:rFonts w:ascii="Arial Unicode MS" w:hAnsi="Arial Unicode MS" w:cs="Times New Roman" w:hint="cs"/>
          <w:rtl/>
          <w:lang w:val="he-IL" w:bidi="he-IL"/>
        </w:rPr>
        <w:t>ולא</w:t>
      </w:r>
      <w:r>
        <w:rPr>
          <w:rtl/>
          <w:lang w:val="ar-SA"/>
        </w:rPr>
        <w:t xml:space="preserve"> </w:t>
      </w:r>
      <w:r>
        <w:rPr>
          <w:rFonts w:ascii="Arial Unicode MS" w:hAnsi="Arial Unicode MS" w:cs="Times New Roman" w:hint="cs"/>
          <w:rtl/>
          <w:lang w:val="he-IL" w:bidi="he-IL"/>
        </w:rPr>
        <w:t>ישמיט</w:t>
      </w:r>
      <w:r>
        <w:rPr>
          <w:rtl/>
          <w:lang w:val="ar-SA"/>
        </w:rPr>
        <w:t xml:space="preserve"> </w:t>
      </w:r>
      <w:r>
        <w:rPr>
          <w:rFonts w:ascii="Arial Unicode MS" w:hAnsi="Arial Unicode MS" w:cs="Times New Roman" w:hint="cs"/>
          <w:rtl/>
          <w:lang w:val="he-IL" w:bidi="he-IL"/>
        </w:rPr>
        <w:t>עליה</w:t>
      </w:r>
      <w:r>
        <w:rPr>
          <w:rtl/>
          <w:lang w:val="ar-SA"/>
        </w:rPr>
        <w:t xml:space="preserve"> </w:t>
      </w:r>
      <w:r>
        <w:rPr>
          <w:rFonts w:ascii="Arial Unicode MS" w:hAnsi="Arial Unicode MS" w:cs="Times New Roman" w:hint="cs"/>
          <w:rtl/>
          <w:lang w:val="he-IL" w:bidi="he-IL"/>
        </w:rPr>
        <w:t>חוב</w:t>
      </w:r>
      <w:r>
        <w:rPr>
          <w:rtl/>
          <w:lang w:val="ar-SA"/>
        </w:rPr>
        <w:t xml:space="preserve"> </w:t>
      </w:r>
      <w:r>
        <w:rPr>
          <w:rFonts w:ascii="Arial Unicode MS" w:hAnsi="Arial Unicode MS" w:cs="Times New Roman" w:hint="cs"/>
          <w:rtl/>
          <w:lang w:val="he-IL" w:bidi="he-IL"/>
        </w:rPr>
        <w:t>זה</w:t>
      </w:r>
      <w:r>
        <w:rPr>
          <w:rtl/>
          <w:lang w:val="ar-SA"/>
        </w:rPr>
        <w:t xml:space="preserve"> </w:t>
      </w:r>
      <w:r>
        <w:rPr>
          <w:rFonts w:ascii="Arial Unicode MS" w:hAnsi="Arial Unicode MS" w:cs="Times New Roman" w:hint="cs"/>
          <w:rtl/>
          <w:lang w:val="he-IL" w:bidi="he-IL"/>
        </w:rPr>
        <w:t>ואפי׳</w:t>
      </w:r>
      <w:r>
        <w:rPr>
          <w:rtl/>
          <w:lang w:val="ar-SA"/>
        </w:rPr>
        <w:t xml:space="preserve"> </w:t>
      </w:r>
      <w:r>
        <w:rPr>
          <w:rFonts w:ascii="Arial Unicode MS" w:hAnsi="Arial Unicode MS" w:cs="Times New Roman" w:hint="cs"/>
          <w:rtl/>
          <w:lang w:val="he-IL" w:bidi="he-IL"/>
        </w:rPr>
        <w:t>בשביעית</w:t>
      </w:r>
      <w:r>
        <w:rPr>
          <w:rtl/>
          <w:lang w:val="ar-SA"/>
        </w:rPr>
        <w:t xml:space="preserve"> </w:t>
      </w:r>
      <w:r>
        <w:rPr>
          <w:rFonts w:ascii="Arial Unicode MS" w:hAnsi="Arial Unicode MS" w:cs="Times New Roman" w:hint="cs"/>
          <w:rtl/>
          <w:lang w:val="he-IL" w:bidi="he-IL"/>
        </w:rPr>
        <w:t>ושעבד</w:t>
      </w:r>
      <w:r>
        <w:rPr>
          <w:rtl/>
          <w:lang w:val="ar-SA"/>
        </w:rPr>
        <w:t xml:space="preserve"> </w:t>
      </w:r>
      <w:r>
        <w:rPr>
          <w:rFonts w:ascii="Arial Unicode MS" w:hAnsi="Arial Unicode MS" w:cs="Times New Roman" w:hint="cs"/>
          <w:rtl/>
          <w:lang w:val="he-IL" w:bidi="he-IL"/>
        </w:rPr>
        <w:t>כל</w:t>
      </w:r>
      <w:r>
        <w:rPr>
          <w:rtl/>
          <w:lang w:val="ar-SA"/>
        </w:rPr>
        <w:t xml:space="preserve"> </w:t>
      </w:r>
      <w:r>
        <w:rPr>
          <w:rFonts w:ascii="Arial Unicode MS" w:hAnsi="Arial Unicode MS" w:cs="Times New Roman" w:hint="cs"/>
          <w:rtl/>
          <w:lang w:val="he-IL" w:bidi="he-IL"/>
        </w:rPr>
        <w:t>נכסיו</w:t>
      </w:r>
      <w:r>
        <w:rPr>
          <w:rtl/>
          <w:lang w:val="ar-SA"/>
        </w:rPr>
        <w:t xml:space="preserve"> </w:t>
      </w:r>
      <w:r>
        <w:rPr>
          <w:rFonts w:ascii="Arial Unicode MS" w:hAnsi="Arial Unicode MS" w:cs="Times New Roman" w:hint="cs"/>
          <w:rtl/>
          <w:lang w:val="he-IL" w:bidi="he-IL"/>
        </w:rPr>
        <w:t>קרקע</w:t>
      </w:r>
      <w:r>
        <w:rPr>
          <w:rtl/>
          <w:lang w:val="ar-SA"/>
        </w:rPr>
        <w:t xml:space="preserve"> </w:t>
      </w:r>
      <w:r>
        <w:rPr>
          <w:rFonts w:ascii="Arial Unicode MS" w:hAnsi="Arial Unicode MS" w:cs="Times New Roman" w:hint="cs"/>
          <w:rtl/>
          <w:lang w:val="he-IL" w:bidi="he-IL"/>
        </w:rPr>
        <w:t>ומט׳</w:t>
      </w:r>
    </w:p>
    <w:p w14:paraId="2F31470F" w14:textId="77777777" w:rsidR="00DB4AB8" w:rsidRDefault="00876BE0">
      <w:pPr>
        <w:pStyle w:val="Text"/>
        <w:bidi/>
        <w:spacing w:line="276" w:lineRule="auto"/>
        <w:rPr>
          <w:rFonts w:ascii="Brill" w:eastAsia="Brill" w:hAnsi="Brill" w:cs="Brill"/>
          <w:rtl/>
        </w:rPr>
      </w:pPr>
      <w:r>
        <w:rPr>
          <w:rtl/>
          <w:lang w:val="ar-SA"/>
        </w:rPr>
        <w:t>5</w:t>
      </w:r>
      <w:r>
        <w:rPr>
          <w:rtl/>
          <w:lang w:val="ar-SA"/>
        </w:rPr>
        <w:tab/>
      </w:r>
      <w:r>
        <w:rPr>
          <w:rFonts w:ascii="Arial Unicode MS" w:hAnsi="Arial Unicode MS" w:cs="Times New Roman" w:hint="cs"/>
          <w:rtl/>
          <w:lang w:val="he-IL" w:bidi="he-IL"/>
        </w:rPr>
        <w:t>דקנה</w:t>
      </w:r>
      <w:r>
        <w:rPr>
          <w:rtl/>
          <w:lang w:val="ar-SA"/>
        </w:rPr>
        <w:t xml:space="preserve"> </w:t>
      </w:r>
      <w:r>
        <w:rPr>
          <w:rFonts w:ascii="Arial Unicode MS" w:hAnsi="Arial Unicode MS" w:cs="Times New Roman" w:hint="cs"/>
          <w:rtl/>
          <w:lang w:val="he-IL" w:bidi="he-IL"/>
        </w:rPr>
        <w:t>ודיקני</w:t>
      </w:r>
      <w:r>
        <w:rPr>
          <w:rtl/>
          <w:lang w:val="ar-SA"/>
        </w:rPr>
        <w:t xml:space="preserve"> </w:t>
      </w:r>
      <w:r>
        <w:rPr>
          <w:rFonts w:ascii="Arial Unicode MS" w:hAnsi="Arial Unicode MS" w:cs="Times New Roman" w:hint="cs"/>
          <w:rtl/>
          <w:lang w:val="he-IL" w:bidi="he-IL"/>
        </w:rPr>
        <w:t>לא</w:t>
      </w:r>
      <w:r>
        <w:rPr>
          <w:rtl/>
          <w:lang w:val="ar-SA"/>
        </w:rPr>
        <w:t xml:space="preserve"> </w:t>
      </w:r>
      <w:r>
        <w:rPr>
          <w:rFonts w:ascii="Arial Unicode MS" w:hAnsi="Arial Unicode MS" w:cs="Times New Roman" w:hint="cs"/>
          <w:rtl/>
          <w:lang w:val="he-IL" w:bidi="he-IL"/>
        </w:rPr>
        <w:t>כאס׳</w:t>
      </w:r>
      <w:r>
        <w:rPr>
          <w:rtl/>
          <w:lang w:val="ar-SA"/>
        </w:rPr>
        <w:t xml:space="preserve"> </w:t>
      </w:r>
      <w:r>
        <w:rPr>
          <w:rFonts w:ascii="Arial Unicode MS" w:hAnsi="Arial Unicode MS" w:cs="Times New Roman" w:hint="cs"/>
          <w:rtl/>
          <w:lang w:val="he-IL" w:bidi="he-IL"/>
        </w:rPr>
        <w:t>ולא</w:t>
      </w:r>
      <w:r>
        <w:rPr>
          <w:rtl/>
          <w:lang w:val="ar-SA"/>
        </w:rPr>
        <w:t xml:space="preserve"> </w:t>
      </w:r>
      <w:r>
        <w:rPr>
          <w:rFonts w:ascii="Arial Unicode MS" w:hAnsi="Arial Unicode MS" w:cs="Times New Roman" w:hint="cs"/>
          <w:rtl/>
          <w:lang w:val="he-IL" w:bidi="he-IL"/>
        </w:rPr>
        <w:t>כטׄדׄ</w:t>
      </w:r>
      <w:r>
        <w:rPr>
          <w:rtl/>
          <w:lang w:val="ar-SA"/>
        </w:rPr>
        <w:t xml:space="preserve"> </w:t>
      </w:r>
      <w:r>
        <w:rPr>
          <w:rFonts w:ascii="Arial Unicode MS" w:hAnsi="Arial Unicode MS" w:cs="Times New Roman" w:hint="cs"/>
          <w:rtl/>
          <w:lang w:val="he-IL" w:bidi="he-IL"/>
        </w:rPr>
        <w:t>יום</w:t>
      </w:r>
      <w:r>
        <w:rPr>
          <w:rtl/>
          <w:lang w:val="ar-SA"/>
        </w:rPr>
        <w:t xml:space="preserve"> </w:t>
      </w:r>
      <w:r>
        <w:rPr>
          <w:rFonts w:ascii="Arial Unicode MS" w:hAnsi="Arial Unicode MS" w:cs="Times New Roman" w:hint="cs"/>
          <w:rtl/>
          <w:lang w:val="he-IL" w:bidi="he-IL"/>
        </w:rPr>
        <w:t>הנז׳</w:t>
      </w:r>
      <w:r>
        <w:rPr>
          <w:rtl/>
          <w:lang w:val="ar-SA"/>
        </w:rPr>
        <w:t xml:space="preserve"> </w:t>
      </w:r>
      <w:r>
        <w:rPr>
          <w:rFonts w:ascii="Arial Unicode MS" w:hAnsi="Arial Unicode MS" w:cs="Times New Roman" w:hint="cs"/>
          <w:rtl/>
          <w:lang w:val="he-IL" w:bidi="he-IL"/>
        </w:rPr>
        <w:t>בפנים</w:t>
      </w:r>
      <w:r>
        <w:rPr>
          <w:rtl/>
          <w:lang w:val="ar-SA"/>
        </w:rPr>
        <w:t xml:space="preserve"> </w:t>
      </w:r>
      <w:r>
        <w:rPr>
          <w:rFonts w:ascii="Arial Unicode MS" w:hAnsi="Arial Unicode MS" w:cs="Times New Roman" w:hint="cs"/>
          <w:rtl/>
          <w:lang w:val="he-IL" w:bidi="he-IL"/>
        </w:rPr>
        <w:t>וקיים</w:t>
      </w:r>
      <w:r>
        <w:rPr>
          <w:rtl/>
          <w:lang w:val="ar-SA"/>
        </w:rPr>
        <w:t xml:space="preserve"> </w:t>
      </w:r>
      <w:r>
        <w:rPr>
          <w:rFonts w:ascii="Arial Unicode MS" w:hAnsi="Arial Unicode MS" w:cs="Times New Roman" w:hint="cs"/>
          <w:rtl/>
          <w:lang w:val="he-IL" w:bidi="he-IL"/>
        </w:rPr>
        <w:t>הצ׳</w:t>
      </w:r>
      <w:r>
        <w:rPr>
          <w:rtl/>
          <w:lang w:val="ar-SA"/>
        </w:rPr>
        <w:t xml:space="preserve"> </w:t>
      </w:r>
      <w:r>
        <w:rPr>
          <w:rFonts w:ascii="Arial Unicode MS" w:hAnsi="Arial Unicode MS" w:cs="Times New Roman" w:hint="cs"/>
          <w:rtl/>
          <w:lang w:val="he-IL" w:bidi="he-IL"/>
        </w:rPr>
        <w:t>לוי</w:t>
      </w:r>
      <w:r>
        <w:rPr>
          <w:rtl/>
          <w:lang w:val="ar-SA"/>
        </w:rPr>
        <w:t xml:space="preserve"> </w:t>
      </w:r>
      <w:r>
        <w:rPr>
          <w:rFonts w:ascii="Arial Unicode MS" w:hAnsi="Arial Unicode MS" w:cs="Times New Roman" w:hint="cs"/>
          <w:rtl/>
          <w:lang w:val="he-IL" w:bidi="he-IL"/>
        </w:rPr>
        <w:t>ןׄ</w:t>
      </w:r>
      <w:r>
        <w:rPr>
          <w:rtl/>
          <w:lang w:val="ar-SA"/>
        </w:rPr>
        <w:t xml:space="preserve"> </w:t>
      </w:r>
      <w:r>
        <w:rPr>
          <w:rFonts w:ascii="Arial Unicode MS" w:hAnsi="Arial Unicode MS" w:cs="Times New Roman" w:hint="cs"/>
          <w:rtl/>
          <w:lang w:val="he-IL" w:bidi="he-IL"/>
        </w:rPr>
        <w:t>יחיא</w:t>
      </w:r>
      <w:r>
        <w:rPr>
          <w:rtl/>
          <w:lang w:val="ar-SA"/>
        </w:rPr>
        <w:t xml:space="preserve"> </w:t>
      </w:r>
      <w:r>
        <w:rPr>
          <w:rFonts w:ascii="Arial Unicode MS" w:hAnsi="Arial Unicode MS" w:cs="Times New Roman" w:hint="cs"/>
          <w:rtl/>
          <w:lang w:val="he-IL" w:bidi="he-IL"/>
        </w:rPr>
        <w:t>אלנגאר</w:t>
      </w:r>
      <w:r>
        <w:rPr>
          <w:rtl/>
          <w:lang w:val="ar-SA"/>
        </w:rPr>
        <w:t xml:space="preserve"> </w:t>
      </w:r>
      <w:r>
        <w:rPr>
          <w:rFonts w:ascii="Arial Unicode MS" w:hAnsi="Arial Unicode MS" w:cs="Times New Roman" w:hint="cs"/>
          <w:rtl/>
          <w:lang w:val="he-IL" w:bidi="he-IL"/>
        </w:rPr>
        <w:t>שיׄלׄ</w:t>
      </w:r>
    </w:p>
    <w:p w14:paraId="107FD322" w14:textId="77777777" w:rsidR="00DB4AB8" w:rsidRDefault="00876BE0">
      <w:pPr>
        <w:pStyle w:val="Text"/>
        <w:bidi/>
        <w:spacing w:line="276" w:lineRule="auto"/>
        <w:rPr>
          <w:rtl/>
        </w:rPr>
      </w:pPr>
      <w:r>
        <w:rPr>
          <w:rtl/>
          <w:lang w:val="ar-SA"/>
        </w:rPr>
        <w:tab/>
      </w:r>
      <w:r>
        <w:rPr>
          <w:rtl/>
          <w:lang w:val="ar-SA"/>
        </w:rPr>
        <w:tab/>
      </w:r>
      <w:r>
        <w:rPr>
          <w:rtl/>
          <w:lang w:val="ar-SA"/>
        </w:rPr>
        <w:tab/>
      </w:r>
      <w:r>
        <w:rPr>
          <w:rtl/>
          <w:lang w:val="ar-SA"/>
        </w:rPr>
        <w:tab/>
      </w:r>
      <w:r>
        <w:rPr>
          <w:rtl/>
          <w:lang w:val="ar-SA"/>
        </w:rPr>
        <w:tab/>
      </w:r>
      <w:r>
        <w:rPr>
          <w:rtl/>
          <w:lang w:val="ar-SA"/>
        </w:rPr>
        <w:tab/>
      </w:r>
      <w:r>
        <w:rPr>
          <w:rtl/>
          <w:lang w:val="ar-SA"/>
        </w:rPr>
        <w:tab/>
      </w:r>
      <w:r>
        <w:rPr>
          <w:rtl/>
          <w:lang w:val="ar-SA"/>
        </w:rPr>
        <w:tab/>
      </w:r>
      <w:r>
        <w:rPr>
          <w:rtl/>
          <w:lang w:val="ar-SA"/>
        </w:rPr>
        <w:tab/>
        <w:t xml:space="preserve">        </w:t>
      </w:r>
      <w:r>
        <w:rPr>
          <w:rFonts w:ascii="Arial Unicode MS" w:hAnsi="Arial Unicode MS" w:cs="Times New Roman" w:hint="cs"/>
          <w:rtl/>
          <w:lang w:val="he-IL" w:bidi="he-IL"/>
        </w:rPr>
        <w:t>סׄטׄ</w:t>
      </w:r>
    </w:p>
    <w:p w14:paraId="12D37A2C" w14:textId="77777777" w:rsidR="00DB4AB8" w:rsidRDefault="00DB4AB8">
      <w:pPr>
        <w:pStyle w:val="Text"/>
        <w:spacing w:line="276" w:lineRule="auto"/>
        <w:jc w:val="both"/>
        <w:rPr>
          <w:rFonts w:ascii="Brill" w:eastAsia="Brill" w:hAnsi="Brill" w:cs="Brill"/>
        </w:rPr>
      </w:pPr>
    </w:p>
    <w:p w14:paraId="5602B403" w14:textId="77777777" w:rsidR="00DB4AB8" w:rsidRDefault="00876BE0">
      <w:pPr>
        <w:pStyle w:val="Text"/>
        <w:spacing w:line="276" w:lineRule="auto"/>
        <w:jc w:val="both"/>
        <w:outlineLvl w:val="0"/>
        <w:rPr>
          <w:rFonts w:ascii="Brill" w:eastAsia="Brill" w:hAnsi="Brill" w:cs="Brill"/>
          <w:sz w:val="26"/>
          <w:szCs w:val="26"/>
        </w:rPr>
      </w:pPr>
      <w:r>
        <w:rPr>
          <w:rFonts w:ascii="Brill" w:hAnsi="Brill"/>
          <w:sz w:val="26"/>
          <w:szCs w:val="26"/>
        </w:rPr>
        <w:lastRenderedPageBreak/>
        <w:t>3. Translation</w:t>
      </w:r>
    </w:p>
    <w:p w14:paraId="40C0C29D" w14:textId="77777777" w:rsidR="00DB4AB8" w:rsidRDefault="00876BE0">
      <w:pPr>
        <w:pStyle w:val="Text"/>
        <w:spacing w:line="276" w:lineRule="auto"/>
        <w:jc w:val="both"/>
        <w:outlineLvl w:val="0"/>
        <w:rPr>
          <w:rFonts w:ascii="Brill" w:eastAsia="Brill" w:hAnsi="Brill" w:cs="Brill"/>
        </w:rPr>
      </w:pPr>
      <w:r>
        <w:rPr>
          <w:rFonts w:ascii="Brill" w:hAnsi="Brill"/>
        </w:rPr>
        <w:t>The Jacques Mosseri Collection at Cambridge University Library, Mosseri VII.19</w:t>
      </w:r>
    </w:p>
    <w:p w14:paraId="3DF6CD9D" w14:textId="77777777" w:rsidR="00DB4AB8" w:rsidRDefault="00DB4AB8">
      <w:pPr>
        <w:pStyle w:val="Text"/>
        <w:spacing w:line="276" w:lineRule="auto"/>
        <w:jc w:val="both"/>
        <w:outlineLvl w:val="0"/>
        <w:rPr>
          <w:rFonts w:ascii="Brill" w:eastAsia="Brill" w:hAnsi="Brill" w:cs="Brill"/>
        </w:rPr>
      </w:pPr>
    </w:p>
    <w:p w14:paraId="403ACBF0" w14:textId="77777777" w:rsidR="00DB4AB8" w:rsidRDefault="00876BE0">
      <w:pPr>
        <w:pStyle w:val="Text"/>
        <w:spacing w:line="276" w:lineRule="auto"/>
        <w:jc w:val="both"/>
        <w:outlineLvl w:val="0"/>
        <w:rPr>
          <w:rFonts w:ascii="Brill" w:eastAsia="Brill" w:hAnsi="Brill" w:cs="Brill"/>
        </w:rPr>
      </w:pPr>
      <w:r>
        <w:rPr>
          <w:rFonts w:ascii="Brill" w:hAnsi="Brill"/>
        </w:rPr>
        <w:t>Recto</w:t>
      </w:r>
    </w:p>
    <w:p w14:paraId="2AAE901A" w14:textId="77777777" w:rsidR="00DB4AB8" w:rsidRDefault="00876BE0">
      <w:pPr>
        <w:pStyle w:val="Text"/>
        <w:spacing w:line="276" w:lineRule="auto"/>
        <w:jc w:val="both"/>
        <w:rPr>
          <w:rFonts w:ascii="Brill" w:eastAsia="Brill" w:hAnsi="Brill" w:cs="Brill"/>
        </w:rPr>
      </w:pPr>
      <w:r>
        <w:rPr>
          <w:rFonts w:ascii="Brill" w:hAnsi="Brill"/>
        </w:rPr>
        <w:t xml:space="preserve">1 </w:t>
      </w:r>
      <w:r>
        <w:rPr>
          <w:rFonts w:ascii="Brill" w:hAnsi="Brill"/>
        </w:rPr>
        <w:tab/>
        <w:t>For a good sign, and success, and wealth</w:t>
      </w:r>
      <w:r>
        <w:rPr>
          <w:rtl/>
          <w:lang w:val="he-IL" w:bidi="he-IL"/>
        </w:rPr>
        <w:t xml:space="preserve"> </w:t>
      </w:r>
    </w:p>
    <w:p w14:paraId="05DB0E17" w14:textId="77777777" w:rsidR="00DB4AB8" w:rsidRDefault="00876BE0">
      <w:pPr>
        <w:pStyle w:val="Text"/>
        <w:spacing w:line="276" w:lineRule="auto"/>
        <w:jc w:val="both"/>
        <w:rPr>
          <w:rFonts w:ascii="Brill" w:eastAsia="Brill" w:hAnsi="Brill" w:cs="Brill"/>
        </w:rPr>
      </w:pPr>
      <w:r>
        <w:rPr>
          <w:rFonts w:ascii="Brill" w:hAnsi="Brill"/>
        </w:rPr>
        <w:t>2</w:t>
      </w:r>
      <w:r>
        <w:rPr>
          <w:rFonts w:ascii="Brill" w:hAnsi="Brill"/>
        </w:rPr>
        <w:tab/>
        <w:t>and honour and comfort</w:t>
      </w:r>
    </w:p>
    <w:p w14:paraId="3FB83743" w14:textId="77777777" w:rsidR="00DB4AB8" w:rsidRDefault="00876BE0">
      <w:pPr>
        <w:pStyle w:val="Text"/>
        <w:spacing w:line="276" w:lineRule="auto"/>
        <w:ind w:left="720" w:hanging="720"/>
        <w:jc w:val="both"/>
        <w:rPr>
          <w:rFonts w:ascii="Brill" w:eastAsia="Brill" w:hAnsi="Brill" w:cs="Brill"/>
        </w:rPr>
      </w:pPr>
      <w:r>
        <w:rPr>
          <w:rFonts w:ascii="Brill" w:hAnsi="Brill"/>
        </w:rPr>
        <w:t>3</w:t>
      </w:r>
      <w:r>
        <w:rPr>
          <w:rFonts w:ascii="Brill" w:hAnsi="Brill"/>
        </w:rPr>
        <w:tab/>
        <w:t xml:space="preserve">On the fourth day of the week, which is the sixth day of the month of Tammuz, in the year two thousand two hundred and ten </w:t>
      </w:r>
    </w:p>
    <w:p w14:paraId="192CD3F1" w14:textId="77777777" w:rsidR="00DB4AB8" w:rsidRDefault="00876BE0">
      <w:pPr>
        <w:pStyle w:val="Text"/>
        <w:spacing w:line="276" w:lineRule="auto"/>
        <w:ind w:left="720" w:hanging="720"/>
        <w:jc w:val="both"/>
        <w:rPr>
          <w:rFonts w:ascii="Brill" w:eastAsia="Brill" w:hAnsi="Brill" w:cs="Brill"/>
        </w:rPr>
      </w:pPr>
      <w:r>
        <w:rPr>
          <w:rFonts w:ascii="Brill" w:hAnsi="Brill"/>
        </w:rPr>
        <w:t>4</w:t>
      </w:r>
      <w:r>
        <w:rPr>
          <w:rFonts w:ascii="Brill" w:hAnsi="Brill"/>
        </w:rPr>
        <w:tab/>
        <w:t>of the Era of Documents,</w:t>
      </w:r>
      <w:r>
        <w:rPr>
          <w:rFonts w:ascii="Brill" w:eastAsia="Brill" w:hAnsi="Brill" w:cs="Brill"/>
          <w:vertAlign w:val="superscript"/>
        </w:rPr>
        <w:footnoteReference w:id="12"/>
      </w:r>
      <w:r>
        <w:rPr>
          <w:rFonts w:ascii="Brill" w:hAnsi="Brill"/>
        </w:rPr>
        <w:t xml:space="preserve"> in the town of Qā</w:t>
      </w:r>
      <w:r>
        <w:rPr>
          <w:rFonts w:ascii="Brill" w:hAnsi="Brill"/>
          <w:vertAlign w:val="superscript"/>
        </w:rPr>
        <w:t>ʿ</w:t>
      </w:r>
      <w:r>
        <w:rPr>
          <w:rFonts w:ascii="Brill" w:hAnsi="Brill"/>
        </w:rPr>
        <w:t xml:space="preserve"> Bīr al-</w:t>
      </w:r>
      <w:r>
        <w:rPr>
          <w:rFonts w:ascii="Brill" w:hAnsi="Brill"/>
          <w:vertAlign w:val="superscript"/>
        </w:rPr>
        <w:t>ʿ</w:t>
      </w:r>
      <w:r>
        <w:rPr>
          <w:rFonts w:ascii="Brill" w:hAnsi="Brill"/>
        </w:rPr>
        <w:t>Azab,</w:t>
      </w:r>
      <w:r>
        <w:rPr>
          <w:rFonts w:ascii="Brill" w:eastAsia="Brill" w:hAnsi="Brill" w:cs="Brill"/>
          <w:vertAlign w:val="superscript"/>
        </w:rPr>
        <w:footnoteReference w:id="13"/>
      </w:r>
      <w:r>
        <w:rPr>
          <w:rFonts w:ascii="Brill" w:hAnsi="Brill"/>
        </w:rPr>
        <w:t xml:space="preserve"> which is located on her own wellsprings,</w:t>
      </w:r>
      <w:r>
        <w:rPr>
          <w:rFonts w:ascii="Brill" w:eastAsia="Brill" w:hAnsi="Brill" w:cs="Brill"/>
          <w:vertAlign w:val="superscript"/>
        </w:rPr>
        <w:footnoteReference w:id="14"/>
      </w:r>
      <w:r>
        <w:rPr>
          <w:rFonts w:ascii="Brill" w:hAnsi="Brill"/>
        </w:rPr>
        <w:t xml:space="preserve"> at this day</w:t>
      </w:r>
    </w:p>
    <w:p w14:paraId="67CB8CC8" w14:textId="77777777" w:rsidR="00DB4AB8" w:rsidRDefault="00876BE0">
      <w:pPr>
        <w:pStyle w:val="Text"/>
        <w:spacing w:line="276" w:lineRule="auto"/>
        <w:ind w:left="720" w:hanging="720"/>
        <w:jc w:val="both"/>
        <w:rPr>
          <w:rFonts w:ascii="Brill" w:eastAsia="Brill" w:hAnsi="Brill" w:cs="Brill"/>
        </w:rPr>
      </w:pPr>
      <w:r>
        <w:rPr>
          <w:rFonts w:ascii="Brill" w:hAnsi="Brill"/>
        </w:rPr>
        <w:t>5</w:t>
      </w:r>
      <w:r>
        <w:rPr>
          <w:rFonts w:ascii="Brill" w:hAnsi="Brill"/>
        </w:rPr>
        <w:tab/>
        <w:t>there came before us—we, the undersigned witnesses—Sālim ibn Hārūn</w:t>
      </w:r>
      <w:r>
        <w:rPr>
          <w:rFonts w:ascii="Brill" w:eastAsia="Brill" w:hAnsi="Brill" w:cs="Brill"/>
          <w:vertAlign w:val="superscript"/>
        </w:rPr>
        <w:footnoteReference w:id="15"/>
      </w:r>
      <w:r>
        <w:rPr>
          <w:rFonts w:ascii="Brill" w:hAnsi="Brill"/>
        </w:rPr>
        <w:t xml:space="preserve"> al-</w:t>
      </w:r>
      <w:r>
        <w:rPr>
          <w:rFonts w:ascii="Brill" w:hAnsi="Brill"/>
          <w:vertAlign w:val="superscript"/>
        </w:rPr>
        <w:t>ʿ</w:t>
      </w:r>
      <w:r>
        <w:rPr>
          <w:rFonts w:ascii="Brill" w:hAnsi="Brill"/>
        </w:rPr>
        <w:t>Uzayrī known as</w:t>
      </w:r>
      <w:r>
        <w:rPr>
          <w:rFonts w:ascii="Brill" w:eastAsia="Brill" w:hAnsi="Brill" w:cs="Brill"/>
          <w:vertAlign w:val="superscript"/>
        </w:rPr>
        <w:footnoteReference w:id="16"/>
      </w:r>
      <w:r>
        <w:rPr>
          <w:rFonts w:ascii="Brill" w:hAnsi="Brill"/>
        </w:rPr>
        <w:t xml:space="preserve"> Zihreh</w:t>
      </w:r>
      <w:r>
        <w:rPr>
          <w:rFonts w:ascii="Brill" w:eastAsia="Brill" w:hAnsi="Brill" w:cs="Brill"/>
          <w:vertAlign w:val="superscript"/>
        </w:rPr>
        <w:footnoteReference w:id="17"/>
      </w:r>
      <w:r>
        <w:rPr>
          <w:rFonts w:ascii="Brill" w:hAnsi="Brill"/>
        </w:rPr>
        <w:t xml:space="preserve"> and</w:t>
      </w:r>
    </w:p>
    <w:p w14:paraId="06E4B265" w14:textId="77777777" w:rsidR="00DB4AB8" w:rsidRDefault="00876BE0">
      <w:pPr>
        <w:pStyle w:val="Text"/>
        <w:spacing w:line="276" w:lineRule="auto"/>
        <w:ind w:left="720" w:hanging="720"/>
        <w:jc w:val="both"/>
        <w:rPr>
          <w:rFonts w:ascii="Brill" w:eastAsia="Brill" w:hAnsi="Brill" w:cs="Brill"/>
        </w:rPr>
      </w:pPr>
      <w:r>
        <w:rPr>
          <w:rFonts w:ascii="Brill" w:hAnsi="Brill"/>
        </w:rPr>
        <w:t>6</w:t>
      </w:r>
      <w:r>
        <w:rPr>
          <w:rFonts w:ascii="Brill" w:hAnsi="Brill"/>
        </w:rPr>
        <w:tab/>
        <w:t>told us: “You know, O masters, that I married</w:t>
      </w:r>
      <w:r>
        <w:rPr>
          <w:rFonts w:ascii="Brill" w:eastAsia="Brill" w:hAnsi="Brill" w:cs="Brill"/>
          <w:vertAlign w:val="superscript"/>
        </w:rPr>
        <w:footnoteReference w:id="18"/>
      </w:r>
      <w:r>
        <w:rPr>
          <w:rFonts w:ascii="Brill" w:hAnsi="Brill"/>
        </w:rPr>
        <w:t xml:space="preserve"> this </w:t>
      </w:r>
      <w:r w:rsidR="00A858C9" w:rsidRPr="00A858C9">
        <w:rPr>
          <w:rFonts w:ascii="Brill" w:hAnsi="Brill" w:cs="Times New Roman"/>
        </w:rPr>
        <w:t>Ġ</w:t>
      </w:r>
      <w:r>
        <w:rPr>
          <w:rFonts w:ascii="Brill" w:hAnsi="Brill"/>
        </w:rPr>
        <w:t>inā bint Sālim ibn Šakir al-Tām, the virgin</w:t>
      </w:r>
      <w:r>
        <w:rPr>
          <w:rFonts w:ascii="Brill" w:eastAsia="Brill" w:hAnsi="Brill" w:cs="Brill"/>
          <w:vertAlign w:val="superscript"/>
        </w:rPr>
        <w:footnoteReference w:id="19"/>
      </w:r>
    </w:p>
    <w:p w14:paraId="0E9C8916" w14:textId="77777777" w:rsidR="00DB4AB8" w:rsidRDefault="00876BE0">
      <w:pPr>
        <w:pStyle w:val="Text"/>
        <w:spacing w:line="276" w:lineRule="auto"/>
        <w:ind w:left="720" w:hanging="720"/>
        <w:jc w:val="both"/>
        <w:rPr>
          <w:rFonts w:ascii="Brill" w:eastAsia="Brill" w:hAnsi="Brill" w:cs="Brill"/>
          <w:i/>
          <w:iCs/>
        </w:rPr>
      </w:pPr>
      <w:r>
        <w:rPr>
          <w:rFonts w:ascii="Brill" w:hAnsi="Brill"/>
        </w:rPr>
        <w:t>7</w:t>
      </w:r>
      <w:r>
        <w:rPr>
          <w:rFonts w:ascii="Brill" w:hAnsi="Brill"/>
        </w:rPr>
        <w:tab/>
        <w:t xml:space="preserve">who is my wife with a </w:t>
      </w:r>
      <w:r>
        <w:rPr>
          <w:rFonts w:ascii="Brill" w:hAnsi="Brill"/>
          <w:i/>
          <w:iCs/>
        </w:rPr>
        <w:t>ketubba</w:t>
      </w:r>
      <w:r>
        <w:rPr>
          <w:rFonts w:ascii="Brill" w:hAnsi="Brill"/>
        </w:rPr>
        <w:t xml:space="preserve"> and </w:t>
      </w:r>
      <w:r>
        <w:rPr>
          <w:rFonts w:ascii="Brill" w:hAnsi="Brill"/>
          <w:i/>
          <w:iCs/>
        </w:rPr>
        <w:t>qiddušin,</w:t>
      </w:r>
      <w:r>
        <w:rPr>
          <w:rFonts w:ascii="Brill" w:eastAsia="Brill" w:hAnsi="Brill" w:cs="Brill"/>
          <w:vertAlign w:val="superscript"/>
        </w:rPr>
        <w:footnoteReference w:id="20"/>
      </w:r>
      <w:r>
        <w:rPr>
          <w:rFonts w:ascii="Brill" w:hAnsi="Brill"/>
        </w:rPr>
        <w:t xml:space="preserve"> and she lived together with me for many years and days, and I have children from her. Now, her </w:t>
      </w:r>
      <w:r>
        <w:rPr>
          <w:rFonts w:ascii="Brill" w:hAnsi="Brill"/>
          <w:i/>
          <w:iCs/>
        </w:rPr>
        <w:t>ketubba</w:t>
      </w:r>
    </w:p>
    <w:p w14:paraId="2643D3E8" w14:textId="77777777" w:rsidR="00DB4AB8" w:rsidRDefault="00876BE0">
      <w:pPr>
        <w:pStyle w:val="Text"/>
        <w:spacing w:line="276" w:lineRule="auto"/>
        <w:ind w:left="720" w:hanging="720"/>
        <w:jc w:val="both"/>
        <w:rPr>
          <w:rFonts w:ascii="Brill" w:eastAsia="Brill" w:hAnsi="Brill" w:cs="Brill"/>
        </w:rPr>
      </w:pPr>
      <w:r>
        <w:rPr>
          <w:rFonts w:ascii="Brill" w:hAnsi="Brill"/>
        </w:rPr>
        <w:lastRenderedPageBreak/>
        <w:t>8</w:t>
      </w:r>
      <w:r>
        <w:rPr>
          <w:rFonts w:ascii="Brill" w:hAnsi="Brill"/>
        </w:rPr>
        <w:tab/>
        <w:t>was lost,</w:t>
      </w:r>
      <w:r>
        <w:rPr>
          <w:rFonts w:ascii="Brill" w:eastAsia="Brill" w:hAnsi="Brill" w:cs="Brill"/>
          <w:vertAlign w:val="superscript"/>
        </w:rPr>
        <w:footnoteReference w:id="21"/>
      </w:r>
      <w:r>
        <w:rPr>
          <w:rFonts w:ascii="Brill" w:hAnsi="Brill"/>
        </w:rPr>
        <w:t xml:space="preserve"> and the date of her </w:t>
      </w:r>
      <w:r>
        <w:rPr>
          <w:rFonts w:ascii="Brill" w:hAnsi="Brill"/>
          <w:i/>
          <w:iCs/>
        </w:rPr>
        <w:t>ketubba</w:t>
      </w:r>
      <w:r>
        <w:rPr>
          <w:rFonts w:ascii="Brill" w:hAnsi="Brill"/>
        </w:rPr>
        <w:t xml:space="preserve"> deed is not known. Our sages said: “It is prohibited for any man to keep his wife </w:t>
      </w:r>
    </w:p>
    <w:p w14:paraId="132526A1" w14:textId="77777777" w:rsidR="00DB4AB8" w:rsidRDefault="00876BE0">
      <w:pPr>
        <w:pStyle w:val="Text"/>
        <w:spacing w:line="276" w:lineRule="auto"/>
        <w:ind w:left="720" w:hanging="720"/>
        <w:jc w:val="both"/>
        <w:rPr>
          <w:rFonts w:ascii="Brill" w:eastAsia="Brill" w:hAnsi="Brill" w:cs="Brill"/>
        </w:rPr>
      </w:pPr>
      <w:r>
        <w:rPr>
          <w:rFonts w:ascii="Brill" w:hAnsi="Brill"/>
        </w:rPr>
        <w:t>9</w:t>
      </w:r>
      <w:r>
        <w:rPr>
          <w:rFonts w:ascii="Brill" w:hAnsi="Brill"/>
        </w:rPr>
        <w:tab/>
        <w:t>without a </w:t>
      </w:r>
      <w:r>
        <w:rPr>
          <w:rFonts w:ascii="Brill" w:hAnsi="Brill"/>
          <w:i/>
          <w:iCs/>
        </w:rPr>
        <w:t>ketubba </w:t>
      </w:r>
      <w:r>
        <w:rPr>
          <w:rFonts w:ascii="Brill" w:hAnsi="Brill"/>
        </w:rPr>
        <w:t>even</w:t>
      </w:r>
      <w:r>
        <w:rPr>
          <w:rFonts w:ascii="Brill" w:eastAsia="Brill" w:hAnsi="Brill" w:cs="Brill"/>
          <w:vertAlign w:val="superscript"/>
        </w:rPr>
        <w:footnoteReference w:id="22"/>
      </w:r>
      <w:r>
        <w:rPr>
          <w:rFonts w:ascii="Brill" w:hAnsi="Brill"/>
        </w:rPr>
        <w:t xml:space="preserve"> for one hour”,</w:t>
      </w:r>
      <w:r>
        <w:rPr>
          <w:rFonts w:ascii="Brill" w:eastAsia="Brill" w:hAnsi="Brill" w:cs="Brill"/>
          <w:vertAlign w:val="superscript"/>
        </w:rPr>
        <w:footnoteReference w:id="23"/>
      </w:r>
      <w:r>
        <w:rPr>
          <w:rFonts w:ascii="Brill" w:hAnsi="Brill"/>
        </w:rPr>
        <w:t xml:space="preserve"> so now I wish to write her a </w:t>
      </w:r>
      <w:r>
        <w:rPr>
          <w:rFonts w:ascii="Brill" w:hAnsi="Brill"/>
          <w:i/>
          <w:iCs/>
        </w:rPr>
        <w:t>ketubba</w:t>
      </w:r>
      <w:r>
        <w:rPr>
          <w:rFonts w:ascii="Brill" w:hAnsi="Brill"/>
        </w:rPr>
        <w:t xml:space="preserve">, like her former </w:t>
      </w:r>
    </w:p>
    <w:p w14:paraId="13479C92" w14:textId="77777777" w:rsidR="00DB4AB8" w:rsidRDefault="00876BE0">
      <w:pPr>
        <w:pStyle w:val="Text"/>
        <w:spacing w:line="276" w:lineRule="auto"/>
        <w:ind w:left="720" w:hanging="720"/>
        <w:jc w:val="both"/>
        <w:rPr>
          <w:rFonts w:ascii="Brill" w:eastAsia="Brill" w:hAnsi="Brill" w:cs="Brill"/>
        </w:rPr>
      </w:pPr>
      <w:r>
        <w:rPr>
          <w:rFonts w:ascii="Brill" w:hAnsi="Brill"/>
        </w:rPr>
        <w:t>10</w:t>
      </w:r>
      <w:r>
        <w:rPr>
          <w:rFonts w:ascii="Brill" w:hAnsi="Brill"/>
        </w:rPr>
        <w:tab/>
        <w:t xml:space="preserve">lost </w:t>
      </w:r>
      <w:r>
        <w:rPr>
          <w:rFonts w:ascii="Brill" w:hAnsi="Brill"/>
          <w:i/>
          <w:iCs/>
        </w:rPr>
        <w:t>ketubba</w:t>
      </w:r>
      <w:r>
        <w:rPr>
          <w:rFonts w:ascii="Brill" w:hAnsi="Brill"/>
        </w:rPr>
        <w:t>, and its validation is for the sake of Abraham the patriarch”. Thus,</w:t>
      </w:r>
      <w:r>
        <w:rPr>
          <w:rFonts w:ascii="Brill" w:eastAsia="Brill" w:hAnsi="Brill" w:cs="Brill"/>
          <w:vertAlign w:val="superscript"/>
        </w:rPr>
        <w:footnoteReference w:id="24"/>
      </w:r>
      <w:r>
        <w:rPr>
          <w:rFonts w:ascii="Brill" w:hAnsi="Brill"/>
        </w:rPr>
        <w:t xml:space="preserve"> Sālim ibn Hārūn al-ʿUzayrī Zihreh, the groom, said</w:t>
      </w:r>
    </w:p>
    <w:p w14:paraId="3D4E5BB7" w14:textId="77777777" w:rsidR="00DB4AB8" w:rsidRDefault="00876BE0">
      <w:pPr>
        <w:pStyle w:val="Text"/>
        <w:spacing w:line="276" w:lineRule="auto"/>
        <w:ind w:left="720" w:hanging="720"/>
        <w:jc w:val="both"/>
        <w:rPr>
          <w:rFonts w:ascii="Brill" w:eastAsia="Brill" w:hAnsi="Brill" w:cs="Brill"/>
        </w:rPr>
      </w:pPr>
      <w:r>
        <w:rPr>
          <w:rFonts w:ascii="Brill" w:hAnsi="Brill"/>
        </w:rPr>
        <w:t>11</w:t>
      </w:r>
      <w:r>
        <w:rPr>
          <w:rFonts w:ascii="Brill" w:hAnsi="Brill"/>
        </w:rPr>
        <w:tab/>
        <w:t xml:space="preserve">to </w:t>
      </w:r>
      <w:r w:rsidR="00A858C9" w:rsidRPr="00175888">
        <w:rPr>
          <w:rFonts w:ascii="Brill" w:hAnsi="Brill" w:cs="Times New Roman"/>
        </w:rPr>
        <w:t>Ġ</w:t>
      </w:r>
      <w:r w:rsidRPr="00A858C9">
        <w:rPr>
          <w:rFonts w:ascii="Brill" w:hAnsi="Brill"/>
        </w:rPr>
        <w:t>inā</w:t>
      </w:r>
      <w:r>
        <w:rPr>
          <w:rFonts w:ascii="Brill" w:hAnsi="Brill"/>
        </w:rPr>
        <w:t xml:space="preserve"> bint Sālim ibn Šakir al-Tām, the virgin bride, “Be my wife, according to the law of Moses and Israel. </w:t>
      </w:r>
    </w:p>
    <w:p w14:paraId="02214AAF" w14:textId="77777777" w:rsidR="00DB4AB8" w:rsidRDefault="00876BE0">
      <w:pPr>
        <w:pStyle w:val="Text"/>
        <w:spacing w:line="276" w:lineRule="auto"/>
        <w:ind w:left="720" w:hanging="720"/>
        <w:jc w:val="both"/>
        <w:rPr>
          <w:rFonts w:ascii="Brill" w:eastAsia="Brill" w:hAnsi="Brill" w:cs="Brill"/>
        </w:rPr>
      </w:pPr>
      <w:r>
        <w:rPr>
          <w:rFonts w:ascii="Brill" w:hAnsi="Brill"/>
        </w:rPr>
        <w:t>12</w:t>
      </w:r>
      <w:r>
        <w:rPr>
          <w:rFonts w:ascii="Brill" w:hAnsi="Brill"/>
        </w:rPr>
        <w:tab/>
        <w:t>And I by the command of Heaven will serve, honour, support, nourish, provide and clothe you, in the manner of Jewish men</w:t>
      </w:r>
    </w:p>
    <w:p w14:paraId="523ACED3" w14:textId="77777777" w:rsidR="00DB4AB8" w:rsidRDefault="00876BE0">
      <w:pPr>
        <w:pStyle w:val="Text"/>
        <w:spacing w:line="276" w:lineRule="auto"/>
        <w:ind w:left="720" w:hanging="720"/>
        <w:jc w:val="both"/>
        <w:rPr>
          <w:rFonts w:ascii="Brill" w:eastAsia="Brill" w:hAnsi="Brill" w:cs="Brill"/>
        </w:rPr>
      </w:pPr>
      <w:r>
        <w:rPr>
          <w:rFonts w:ascii="Brill" w:hAnsi="Brill"/>
        </w:rPr>
        <w:t>13</w:t>
      </w:r>
      <w:r>
        <w:rPr>
          <w:rFonts w:ascii="Brill" w:hAnsi="Brill"/>
        </w:rPr>
        <w:tab/>
        <w:t>who serve, honour, support, nourish, provide and clothe their wives faithfully. And I am giving you</w:t>
      </w:r>
    </w:p>
    <w:p w14:paraId="351D57C9" w14:textId="77777777" w:rsidR="00DB4AB8" w:rsidRDefault="00876BE0">
      <w:pPr>
        <w:pStyle w:val="Text"/>
        <w:spacing w:line="276" w:lineRule="auto"/>
        <w:ind w:left="720" w:hanging="720"/>
        <w:jc w:val="both"/>
        <w:rPr>
          <w:rFonts w:ascii="Brill" w:eastAsia="Brill" w:hAnsi="Brill" w:cs="Brill"/>
        </w:rPr>
      </w:pPr>
      <w:r>
        <w:rPr>
          <w:rFonts w:ascii="Brill" w:hAnsi="Brill"/>
        </w:rPr>
        <w:t>14</w:t>
      </w:r>
      <w:r>
        <w:rPr>
          <w:rFonts w:ascii="Brill" w:hAnsi="Brill"/>
        </w:rPr>
        <w:tab/>
        <w:t xml:space="preserve">the </w:t>
      </w:r>
      <w:r>
        <w:rPr>
          <w:rFonts w:ascii="Brill" w:hAnsi="Brill"/>
          <w:i/>
          <w:iCs/>
        </w:rPr>
        <w:t>mohar</w:t>
      </w:r>
      <w:r>
        <w:rPr>
          <w:rFonts w:ascii="Brill" w:eastAsia="Brill" w:hAnsi="Brill" w:cs="Brill"/>
          <w:vertAlign w:val="superscript"/>
        </w:rPr>
        <w:footnoteReference w:id="25"/>
      </w:r>
      <w:r>
        <w:rPr>
          <w:rFonts w:ascii="Brill" w:hAnsi="Brill"/>
        </w:rPr>
        <w:t xml:space="preserve"> of your virginity, two hundred silver </w:t>
      </w:r>
      <w:r>
        <w:rPr>
          <w:rFonts w:ascii="Brill" w:hAnsi="Brill"/>
          <w:i/>
          <w:iCs/>
        </w:rPr>
        <w:t>zuz</w:t>
      </w:r>
      <w:r>
        <w:rPr>
          <w:rFonts w:ascii="Brill" w:hAnsi="Brill"/>
        </w:rPr>
        <w:t xml:space="preserve">, which are equivalent to twenty-five pure silver </w:t>
      </w:r>
      <w:r>
        <w:rPr>
          <w:rFonts w:ascii="Brill" w:hAnsi="Brill"/>
          <w:i/>
          <w:iCs/>
        </w:rPr>
        <w:t>zuz</w:t>
      </w:r>
      <w:r>
        <w:rPr>
          <w:rFonts w:ascii="Brill" w:hAnsi="Brill"/>
        </w:rPr>
        <w:t>,</w:t>
      </w:r>
      <w:r>
        <w:rPr>
          <w:rFonts w:ascii="Brill" w:eastAsia="Brill" w:hAnsi="Brill" w:cs="Brill"/>
          <w:vertAlign w:val="superscript"/>
        </w:rPr>
        <w:footnoteReference w:id="26"/>
      </w:r>
    </w:p>
    <w:p w14:paraId="41BD9069" w14:textId="77777777" w:rsidR="00DB4AB8" w:rsidRDefault="00876BE0">
      <w:pPr>
        <w:pStyle w:val="Text"/>
        <w:spacing w:line="276" w:lineRule="auto"/>
        <w:ind w:left="720" w:hanging="720"/>
        <w:jc w:val="both"/>
        <w:rPr>
          <w:rFonts w:ascii="Brill" w:eastAsia="Brill" w:hAnsi="Brill" w:cs="Brill"/>
        </w:rPr>
      </w:pPr>
      <w:r>
        <w:rPr>
          <w:rFonts w:ascii="Brill" w:hAnsi="Brill"/>
        </w:rPr>
        <w:t>15</w:t>
      </w:r>
      <w:r>
        <w:rPr>
          <w:rFonts w:ascii="Brill" w:hAnsi="Brill"/>
        </w:rPr>
        <w:tab/>
        <w:t>which are due for you, and your sustenance, your clothing and your needs</w:t>
      </w:r>
      <w:r>
        <w:rPr>
          <w:rFonts w:ascii="Brill" w:eastAsia="Brill" w:hAnsi="Brill" w:cs="Brill"/>
          <w:vertAlign w:val="superscript"/>
        </w:rPr>
        <w:footnoteReference w:id="27"/>
      </w:r>
      <w:r>
        <w:rPr>
          <w:rFonts w:ascii="Brill" w:hAnsi="Brill"/>
        </w:rPr>
        <w:t xml:space="preserve"> and to come to you as is the custom of the entire world.”</w:t>
      </w:r>
      <w:r>
        <w:rPr>
          <w:rFonts w:ascii="Brill" w:eastAsia="Brill" w:hAnsi="Brill" w:cs="Brill"/>
          <w:vertAlign w:val="superscript"/>
        </w:rPr>
        <w:footnoteReference w:id="28"/>
      </w:r>
      <w:r>
        <w:rPr>
          <w:rFonts w:ascii="Brill" w:hAnsi="Brill"/>
        </w:rPr>
        <w:t xml:space="preserve"> And this bride consented and became </w:t>
      </w:r>
    </w:p>
    <w:p w14:paraId="2059F68C" w14:textId="77777777" w:rsidR="00DB4AB8" w:rsidRDefault="00876BE0">
      <w:pPr>
        <w:pStyle w:val="Text"/>
        <w:spacing w:line="276" w:lineRule="auto"/>
        <w:ind w:left="720" w:hanging="720"/>
        <w:jc w:val="both"/>
        <w:rPr>
          <w:rFonts w:ascii="Brill" w:eastAsia="Brill" w:hAnsi="Brill" w:cs="Brill"/>
        </w:rPr>
      </w:pPr>
      <w:r>
        <w:rPr>
          <w:rFonts w:ascii="Brill" w:hAnsi="Brill"/>
        </w:rPr>
        <w:t>16</w:t>
      </w:r>
      <w:r>
        <w:rPr>
          <w:rFonts w:ascii="Brill" w:hAnsi="Brill"/>
        </w:rPr>
        <w:tab/>
        <w:t>his wife. And the total dowry which she brought in to him one hundred</w:t>
      </w:r>
      <w:r>
        <w:rPr>
          <w:rFonts w:ascii="Brill" w:eastAsia="Brill" w:hAnsi="Brill" w:cs="Brill"/>
          <w:vertAlign w:val="superscript"/>
        </w:rPr>
        <w:footnoteReference w:id="29"/>
      </w:r>
      <w:r>
        <w:rPr>
          <w:rFonts w:ascii="Brill" w:hAnsi="Brill"/>
        </w:rPr>
        <w:t xml:space="preserve"> silver </w:t>
      </w:r>
      <w:r>
        <w:rPr>
          <w:rFonts w:ascii="Brill" w:hAnsi="Brill"/>
          <w:i/>
          <w:iCs/>
        </w:rPr>
        <w:t>qafla.</w:t>
      </w:r>
      <w:r>
        <w:rPr>
          <w:rFonts w:ascii="Brill" w:eastAsia="Brill" w:hAnsi="Brill" w:cs="Brill"/>
          <w:vertAlign w:val="superscript"/>
        </w:rPr>
        <w:footnoteReference w:id="30"/>
      </w:r>
      <w:r>
        <w:rPr>
          <w:rFonts w:ascii="Brill" w:hAnsi="Brill"/>
        </w:rPr>
        <w:t xml:space="preserve"> This groom has received all of it: </w:t>
      </w:r>
    </w:p>
    <w:p w14:paraId="365409A3" w14:textId="77777777" w:rsidR="00DB4AB8" w:rsidRDefault="00876BE0">
      <w:pPr>
        <w:pStyle w:val="Text"/>
        <w:spacing w:line="276" w:lineRule="auto"/>
        <w:ind w:left="720" w:hanging="720"/>
        <w:jc w:val="both"/>
        <w:rPr>
          <w:rFonts w:ascii="Brill" w:eastAsia="Brill" w:hAnsi="Brill" w:cs="Brill"/>
        </w:rPr>
      </w:pPr>
      <w:r>
        <w:rPr>
          <w:rFonts w:ascii="Brill" w:hAnsi="Brill"/>
        </w:rPr>
        <w:lastRenderedPageBreak/>
        <w:t>17</w:t>
      </w:r>
      <w:r>
        <w:rPr>
          <w:rFonts w:ascii="Brill" w:hAnsi="Brill"/>
        </w:rPr>
        <w:tab/>
        <w:t>he has taken possession of it; it has come under his control, and he has undertaken all of it as a loan and debt binding him.</w:t>
      </w:r>
      <w:r>
        <w:rPr>
          <w:rFonts w:ascii="Brill" w:eastAsia="Brill" w:hAnsi="Brill" w:cs="Brill"/>
          <w:vertAlign w:val="superscript"/>
        </w:rPr>
        <w:footnoteReference w:id="31"/>
      </w:r>
      <w:r>
        <w:rPr>
          <w:rFonts w:ascii="Brill" w:hAnsi="Brill"/>
        </w:rPr>
        <w:t xml:space="preserve"> And this is what her husband the groom gave her</w:t>
      </w:r>
    </w:p>
    <w:p w14:paraId="51029592" w14:textId="77777777" w:rsidR="00DB4AB8" w:rsidRDefault="00876BE0">
      <w:pPr>
        <w:pStyle w:val="Text"/>
        <w:spacing w:line="276" w:lineRule="auto"/>
        <w:ind w:left="720" w:hanging="720"/>
        <w:jc w:val="both"/>
        <w:rPr>
          <w:rFonts w:ascii="Brill" w:eastAsia="Brill" w:hAnsi="Brill" w:cs="Brill"/>
        </w:rPr>
      </w:pPr>
      <w:r>
        <w:rPr>
          <w:rFonts w:ascii="Brill" w:hAnsi="Brill"/>
        </w:rPr>
        <w:t>18</w:t>
      </w:r>
      <w:r>
        <w:rPr>
          <w:rFonts w:ascii="Brill" w:hAnsi="Brill"/>
        </w:rPr>
        <w:tab/>
        <w:t>as a first gift:</w:t>
      </w:r>
      <w:r>
        <w:rPr>
          <w:rFonts w:ascii="Brill" w:eastAsia="Brill" w:hAnsi="Brill" w:cs="Brill"/>
          <w:vertAlign w:val="superscript"/>
        </w:rPr>
        <w:footnoteReference w:id="32"/>
      </w:r>
      <w:r>
        <w:rPr>
          <w:rFonts w:ascii="Brill" w:hAnsi="Brill"/>
        </w:rPr>
        <w:t xml:space="preserve"> one hundred silver </w:t>
      </w:r>
      <w:r>
        <w:rPr>
          <w:rFonts w:ascii="Brill" w:hAnsi="Brill"/>
          <w:i/>
          <w:iCs/>
        </w:rPr>
        <w:t>qafla</w:t>
      </w:r>
      <w:r>
        <w:rPr>
          <w:rFonts w:ascii="Brill" w:hAnsi="Brill"/>
        </w:rPr>
        <w:t>, and a dwelling in a Jewish property, including its exits and entrances,</w:t>
      </w:r>
      <w:r>
        <w:rPr>
          <w:rFonts w:ascii="Brill" w:eastAsia="Brill" w:hAnsi="Brill" w:cs="Brill"/>
          <w:vertAlign w:val="superscript"/>
        </w:rPr>
        <w:footnoteReference w:id="33"/>
      </w:r>
      <w:r>
        <w:rPr>
          <w:rFonts w:ascii="Brill" w:hAnsi="Brill"/>
        </w:rPr>
        <w:t xml:space="preserve"> and all </w:t>
      </w:r>
    </w:p>
    <w:p w14:paraId="6B30D655" w14:textId="77777777" w:rsidR="00DB4AB8" w:rsidRDefault="00876BE0">
      <w:pPr>
        <w:pStyle w:val="Text"/>
        <w:spacing w:line="276" w:lineRule="auto"/>
        <w:ind w:left="720" w:hanging="720"/>
        <w:jc w:val="both"/>
        <w:rPr>
          <w:rFonts w:ascii="Brill" w:eastAsia="Brill" w:hAnsi="Brill" w:cs="Brill"/>
        </w:rPr>
      </w:pPr>
      <w:r>
        <w:rPr>
          <w:rFonts w:ascii="Brill" w:hAnsi="Brill"/>
        </w:rPr>
        <w:t>19</w:t>
      </w:r>
      <w:r>
        <w:rPr>
          <w:rFonts w:ascii="Brill" w:hAnsi="Brill"/>
        </w:rPr>
        <w:tab/>
        <w:t>that is due to her from the base of the world to the top of the sky. And he wanted</w:t>
      </w:r>
      <w:r>
        <w:rPr>
          <w:rFonts w:ascii="Brill" w:eastAsia="Brill" w:hAnsi="Brill" w:cs="Brill"/>
          <w:vertAlign w:val="superscript"/>
        </w:rPr>
        <w:footnoteReference w:id="34"/>
      </w:r>
      <w:r>
        <w:rPr>
          <w:rFonts w:ascii="Brill" w:hAnsi="Brill"/>
        </w:rPr>
        <w:t xml:space="preserve"> to give her an additional gift as the last part of her </w:t>
      </w:r>
      <w:r>
        <w:rPr>
          <w:rFonts w:ascii="Brill" w:hAnsi="Brill"/>
          <w:i/>
          <w:iCs/>
        </w:rPr>
        <w:t>mohar</w:t>
      </w:r>
      <w:r>
        <w:rPr>
          <w:rFonts w:ascii="Brill" w:hAnsi="Brill"/>
        </w:rPr>
        <w:t>, one hundred</w:t>
      </w:r>
    </w:p>
    <w:p w14:paraId="4B9B61FB" w14:textId="77777777" w:rsidR="00DB4AB8" w:rsidRDefault="00876BE0">
      <w:pPr>
        <w:pStyle w:val="Text"/>
        <w:spacing w:line="276" w:lineRule="auto"/>
        <w:ind w:left="720" w:hanging="720"/>
        <w:jc w:val="both"/>
        <w:rPr>
          <w:rFonts w:ascii="Brill" w:eastAsia="Brill" w:hAnsi="Brill" w:cs="Brill"/>
        </w:rPr>
      </w:pPr>
      <w:r>
        <w:rPr>
          <w:rFonts w:ascii="Brill" w:hAnsi="Brill"/>
        </w:rPr>
        <w:t>20</w:t>
      </w:r>
      <w:r>
        <w:rPr>
          <w:rFonts w:ascii="Brill" w:hAnsi="Brill"/>
        </w:rPr>
        <w:tab/>
        <w:t xml:space="preserve">silver </w:t>
      </w:r>
      <w:r>
        <w:rPr>
          <w:rFonts w:ascii="Brill" w:hAnsi="Brill"/>
          <w:i/>
          <w:iCs/>
        </w:rPr>
        <w:t>qafla</w:t>
      </w:r>
      <w:r>
        <w:rPr>
          <w:rFonts w:ascii="Brill" w:hAnsi="Brill"/>
        </w:rPr>
        <w:t>. All</w:t>
      </w:r>
      <w:r>
        <w:rPr>
          <w:rFonts w:ascii="Brill" w:eastAsia="Brill" w:hAnsi="Brill" w:cs="Brill"/>
          <w:vertAlign w:val="superscript"/>
        </w:rPr>
        <w:footnoteReference w:id="35"/>
      </w:r>
      <w:r>
        <w:rPr>
          <w:rFonts w:ascii="Brill" w:hAnsi="Brill"/>
        </w:rPr>
        <w:t xml:space="preserve"> of the above-mentioned silver </w:t>
      </w:r>
      <w:r>
        <w:rPr>
          <w:rFonts w:ascii="Brill" w:hAnsi="Brill"/>
          <w:i/>
          <w:iCs/>
        </w:rPr>
        <w:t>qafla</w:t>
      </w:r>
      <w:r>
        <w:rPr>
          <w:rFonts w:ascii="Brill" w:hAnsi="Brill"/>
        </w:rPr>
        <w:t xml:space="preserve">—which every hundred </w:t>
      </w:r>
      <w:r>
        <w:rPr>
          <w:rFonts w:ascii="Brill" w:hAnsi="Brill"/>
          <w:i/>
          <w:iCs/>
        </w:rPr>
        <w:t>qafla</w:t>
      </w:r>
      <w:r>
        <w:rPr>
          <w:rFonts w:ascii="Brill" w:hAnsi="Brill"/>
        </w:rPr>
        <w:t xml:space="preserve"> is equivalent to</w:t>
      </w:r>
    </w:p>
    <w:p w14:paraId="230AB1A1" w14:textId="77777777" w:rsidR="00DB4AB8" w:rsidRDefault="00876BE0">
      <w:pPr>
        <w:pStyle w:val="Text"/>
        <w:spacing w:line="276" w:lineRule="auto"/>
        <w:ind w:left="720" w:hanging="720"/>
        <w:jc w:val="both"/>
        <w:rPr>
          <w:rFonts w:ascii="Brill" w:eastAsia="Brill" w:hAnsi="Brill" w:cs="Brill"/>
        </w:rPr>
      </w:pPr>
      <w:r>
        <w:rPr>
          <w:rFonts w:ascii="Brill" w:hAnsi="Brill"/>
        </w:rPr>
        <w:t>21</w:t>
      </w:r>
      <w:r>
        <w:rPr>
          <w:rFonts w:ascii="Brill" w:hAnsi="Brill"/>
        </w:rPr>
        <w:tab/>
        <w:t>twenty-two good,</w:t>
      </w:r>
      <w:r>
        <w:rPr>
          <w:rFonts w:ascii="Brill" w:eastAsia="Brill" w:hAnsi="Brill" w:cs="Brill"/>
          <w:vertAlign w:val="superscript"/>
        </w:rPr>
        <w:footnoteReference w:id="36"/>
      </w:r>
      <w:r>
        <w:rPr>
          <w:rFonts w:ascii="Brill" w:hAnsi="Brill"/>
        </w:rPr>
        <w:t xml:space="preserve"> pure silver </w:t>
      </w:r>
      <w:r>
        <w:rPr>
          <w:rFonts w:ascii="Brill" w:hAnsi="Brill"/>
          <w:i/>
          <w:iCs/>
        </w:rPr>
        <w:t>qafla</w:t>
      </w:r>
      <w:r>
        <w:rPr>
          <w:rFonts w:ascii="Brill" w:hAnsi="Brill"/>
        </w:rPr>
        <w:t xml:space="preserve"> of the standard weight of Sanaa, which is known as the silver of the city</w:t>
      </w:r>
    </w:p>
    <w:p w14:paraId="6C4D1FFD" w14:textId="77777777" w:rsidR="00DB4AB8" w:rsidRDefault="00876BE0">
      <w:pPr>
        <w:pStyle w:val="Text"/>
        <w:spacing w:line="276" w:lineRule="auto"/>
        <w:ind w:left="720" w:hanging="720"/>
        <w:jc w:val="both"/>
        <w:rPr>
          <w:rFonts w:ascii="Brill" w:eastAsia="Brill" w:hAnsi="Brill" w:cs="Brill"/>
        </w:rPr>
      </w:pPr>
      <w:r>
        <w:rPr>
          <w:rFonts w:ascii="Brill" w:hAnsi="Brill"/>
        </w:rPr>
        <w:t>22</w:t>
      </w:r>
      <w:r>
        <w:rPr>
          <w:rFonts w:ascii="Brill" w:hAnsi="Brill"/>
        </w:rPr>
        <w:tab/>
        <w:t>of Sanaa in the market of the silversmiths.</w:t>
      </w:r>
      <w:r>
        <w:rPr>
          <w:rFonts w:ascii="Brill" w:eastAsia="Brill" w:hAnsi="Brill" w:cs="Brill"/>
          <w:vertAlign w:val="superscript"/>
        </w:rPr>
        <w:footnoteReference w:id="37"/>
      </w:r>
      <w:r>
        <w:rPr>
          <w:rFonts w:ascii="Brill" w:hAnsi="Brill"/>
        </w:rPr>
        <w:t xml:space="preserve"> And thus this groom said to us: “The responsibility for this </w:t>
      </w:r>
      <w:r>
        <w:rPr>
          <w:rFonts w:ascii="Brill" w:hAnsi="Brill"/>
          <w:i/>
          <w:iCs/>
        </w:rPr>
        <w:t>ketubba</w:t>
      </w:r>
      <w:r>
        <w:rPr>
          <w:rFonts w:ascii="Brill" w:hAnsi="Brill"/>
        </w:rPr>
        <w:t xml:space="preserve"> as a whole—the basic payment, the dowry, </w:t>
      </w:r>
    </w:p>
    <w:p w14:paraId="65D11715" w14:textId="77777777" w:rsidR="00DB4AB8" w:rsidRDefault="00876BE0">
      <w:pPr>
        <w:pStyle w:val="Text"/>
        <w:spacing w:line="276" w:lineRule="auto"/>
        <w:ind w:left="720" w:hanging="720"/>
        <w:jc w:val="both"/>
        <w:rPr>
          <w:rFonts w:ascii="Brill" w:eastAsia="Brill" w:hAnsi="Brill" w:cs="Brill"/>
        </w:rPr>
      </w:pPr>
      <w:r>
        <w:rPr>
          <w:rFonts w:ascii="Brill" w:hAnsi="Brill"/>
        </w:rPr>
        <w:t>23</w:t>
      </w:r>
      <w:r>
        <w:rPr>
          <w:rFonts w:ascii="Brill" w:hAnsi="Brill"/>
        </w:rPr>
        <w:tab/>
        <w:t xml:space="preserve">the first gift, the residence, and the additional payment along with all the remainder of the conditions of the </w:t>
      </w:r>
      <w:r>
        <w:rPr>
          <w:rFonts w:ascii="Brill" w:hAnsi="Brill"/>
          <w:i/>
          <w:iCs/>
        </w:rPr>
        <w:t>ketubba</w:t>
      </w:r>
      <w:r>
        <w:rPr>
          <w:rFonts w:ascii="Brill" w:hAnsi="Brill"/>
        </w:rPr>
        <w:t>—I take it upon myself and upon my heirs</w:t>
      </w:r>
    </w:p>
    <w:p w14:paraId="216F694E" w14:textId="77777777" w:rsidR="00DB4AB8" w:rsidRDefault="00876BE0">
      <w:pPr>
        <w:pStyle w:val="Text"/>
        <w:spacing w:line="276" w:lineRule="auto"/>
        <w:ind w:left="720" w:hanging="720"/>
        <w:jc w:val="both"/>
        <w:rPr>
          <w:rFonts w:ascii="Brill" w:eastAsia="Brill" w:hAnsi="Brill" w:cs="Brill"/>
        </w:rPr>
      </w:pPr>
      <w:r>
        <w:rPr>
          <w:rFonts w:ascii="Brill" w:hAnsi="Brill"/>
        </w:rPr>
        <w:t>24</w:t>
      </w:r>
      <w:r>
        <w:rPr>
          <w:rFonts w:ascii="Brill" w:hAnsi="Brill"/>
        </w:rPr>
        <w:tab/>
        <w:t>after me. And as for all the choicest</w:t>
      </w:r>
      <w:r>
        <w:rPr>
          <w:rFonts w:ascii="Brill" w:eastAsia="Brill" w:hAnsi="Brill" w:cs="Brill"/>
          <w:vertAlign w:val="superscript"/>
        </w:rPr>
        <w:footnoteReference w:id="38"/>
      </w:r>
      <w:r>
        <w:rPr>
          <w:rFonts w:ascii="Brill" w:hAnsi="Brill"/>
        </w:rPr>
        <w:t xml:space="preserve"> possessions and purchases that I have under all the heavens, which I have bought and that I shall buy,</w:t>
      </w:r>
    </w:p>
    <w:p w14:paraId="4A27A5A9" w14:textId="77777777" w:rsidR="00DB4AB8" w:rsidRDefault="00876BE0">
      <w:pPr>
        <w:pStyle w:val="Text"/>
        <w:spacing w:line="276" w:lineRule="auto"/>
        <w:ind w:left="720" w:hanging="720"/>
        <w:jc w:val="both"/>
        <w:rPr>
          <w:rFonts w:ascii="Brill" w:eastAsia="Brill" w:hAnsi="Brill" w:cs="Brill"/>
        </w:rPr>
      </w:pPr>
      <w:r>
        <w:rPr>
          <w:rFonts w:ascii="Brill" w:hAnsi="Brill"/>
        </w:rPr>
        <w:t>25</w:t>
      </w:r>
      <w:r>
        <w:rPr>
          <w:rFonts w:ascii="Brill" w:hAnsi="Brill"/>
        </w:rPr>
        <w:tab/>
        <w:t>property that is immovable or movable</w:t>
      </w:r>
      <w:r>
        <w:rPr>
          <w:rtl/>
          <w:lang w:val="he-IL" w:bidi="he-IL"/>
        </w:rPr>
        <w:t xml:space="preserve"> </w:t>
      </w:r>
      <w:r>
        <w:rPr>
          <w:rFonts w:ascii="Brill" w:hAnsi="Brill"/>
        </w:rPr>
        <w:t>or movable by virtue of real estate</w:t>
      </w:r>
      <w:r>
        <w:rPr>
          <w:rFonts w:ascii="Brill" w:eastAsia="Brill" w:hAnsi="Brill" w:cs="Brill"/>
          <w:vertAlign w:val="superscript"/>
        </w:rPr>
        <w:footnoteReference w:id="39"/>
      </w:r>
      <w:r>
        <w:rPr>
          <w:rFonts w:ascii="Brill" w:hAnsi="Brill"/>
        </w:rPr>
        <w:t xml:space="preserve">—all of them will be surety and guarantees for the whole of this </w:t>
      </w:r>
      <w:r>
        <w:rPr>
          <w:rFonts w:ascii="Brill" w:hAnsi="Brill"/>
          <w:i/>
          <w:iCs/>
        </w:rPr>
        <w:t>ketubba</w:t>
      </w:r>
      <w:r>
        <w:rPr>
          <w:rFonts w:ascii="Brill" w:hAnsi="Brill"/>
        </w:rPr>
        <w:t>, the basic payment, the dowry</w:t>
      </w:r>
    </w:p>
    <w:p w14:paraId="6E0B1371" w14:textId="77777777" w:rsidR="00DB4AB8" w:rsidRDefault="00876BE0">
      <w:pPr>
        <w:pStyle w:val="Text"/>
        <w:spacing w:line="276" w:lineRule="auto"/>
        <w:ind w:left="720" w:hanging="720"/>
        <w:jc w:val="both"/>
        <w:rPr>
          <w:rFonts w:ascii="Brill" w:eastAsia="Brill" w:hAnsi="Brill" w:cs="Brill"/>
        </w:rPr>
      </w:pPr>
      <w:r>
        <w:rPr>
          <w:rFonts w:ascii="Brill" w:hAnsi="Brill"/>
        </w:rPr>
        <w:lastRenderedPageBreak/>
        <w:t>26</w:t>
      </w:r>
      <w:r>
        <w:rPr>
          <w:rFonts w:ascii="Brill" w:hAnsi="Brill"/>
        </w:rPr>
        <w:tab/>
        <w:t>the first gift, the residence and the additional payment, for it to be paid from them, in my lifetime and after my lifetime, and even</w:t>
      </w:r>
      <w:r>
        <w:rPr>
          <w:rFonts w:ascii="Brill" w:eastAsia="Brill" w:hAnsi="Brill" w:cs="Brill"/>
          <w:vertAlign w:val="superscript"/>
        </w:rPr>
        <w:footnoteReference w:id="40"/>
      </w:r>
      <w:r>
        <w:rPr>
          <w:rFonts w:ascii="Brill" w:hAnsi="Brill"/>
        </w:rPr>
        <w:t xml:space="preserve"> from the shirt</w:t>
      </w:r>
    </w:p>
    <w:p w14:paraId="39F5C818" w14:textId="77777777" w:rsidR="00DB4AB8" w:rsidRDefault="00876BE0">
      <w:pPr>
        <w:pStyle w:val="Text"/>
        <w:spacing w:line="276" w:lineRule="auto"/>
        <w:ind w:left="720" w:hanging="720"/>
        <w:jc w:val="both"/>
        <w:rPr>
          <w:rFonts w:ascii="Brill" w:eastAsia="Brill" w:hAnsi="Brill" w:cs="Brill"/>
        </w:rPr>
      </w:pPr>
      <w:r>
        <w:rPr>
          <w:rFonts w:ascii="Brill" w:hAnsi="Brill"/>
        </w:rPr>
        <w:t>27</w:t>
      </w:r>
      <w:r>
        <w:rPr>
          <w:rFonts w:ascii="Brill" w:hAnsi="Brill"/>
        </w:rPr>
        <w:tab/>
        <w:t>off my back.</w:t>
      </w:r>
      <w:r>
        <w:rPr>
          <w:rFonts w:ascii="Brill" w:eastAsia="Brill" w:hAnsi="Brill" w:cs="Brill"/>
          <w:vertAlign w:val="superscript"/>
        </w:rPr>
        <w:footnoteReference w:id="41"/>
      </w:r>
      <w:r>
        <w:rPr>
          <w:rFonts w:ascii="Brill" w:hAnsi="Brill"/>
        </w:rPr>
        <w:t xml:space="preserve"> And if her former </w:t>
      </w:r>
      <w:r>
        <w:rPr>
          <w:rFonts w:ascii="Brill" w:hAnsi="Brill"/>
          <w:i/>
          <w:iCs/>
        </w:rPr>
        <w:t>ketubba</w:t>
      </w:r>
      <w:r>
        <w:rPr>
          <w:rFonts w:ascii="Brill" w:hAnsi="Brill"/>
        </w:rPr>
        <w:t xml:space="preserve"> should be found, then she is not allowed to collect [from it] but only [from] that one or this one. And we have performed a </w:t>
      </w:r>
      <w:r>
        <w:rPr>
          <w:rFonts w:ascii="Brill" w:hAnsi="Brill"/>
          <w:i/>
          <w:iCs/>
        </w:rPr>
        <w:t>qinyan</w:t>
      </w:r>
      <w:r>
        <w:rPr>
          <w:rFonts w:ascii="Brill" w:eastAsia="Brill" w:hAnsi="Brill" w:cs="Brill"/>
          <w:vertAlign w:val="superscript"/>
        </w:rPr>
        <w:footnoteReference w:id="42"/>
      </w:r>
    </w:p>
    <w:p w14:paraId="250A05E1" w14:textId="77777777" w:rsidR="00DB4AB8" w:rsidRDefault="00876BE0">
      <w:pPr>
        <w:pStyle w:val="Text"/>
        <w:spacing w:line="276" w:lineRule="auto"/>
        <w:ind w:left="720" w:hanging="720"/>
        <w:jc w:val="both"/>
        <w:rPr>
          <w:rFonts w:ascii="Brill" w:eastAsia="Brill" w:hAnsi="Brill" w:cs="Brill"/>
        </w:rPr>
      </w:pPr>
      <w:r>
        <w:rPr>
          <w:rFonts w:ascii="Brill" w:hAnsi="Brill"/>
        </w:rPr>
        <w:t>28</w:t>
      </w:r>
      <w:r>
        <w:rPr>
          <w:rFonts w:ascii="Brill" w:hAnsi="Brill"/>
        </w:rPr>
        <w:tab/>
        <w:t xml:space="preserve">from Sālim, this groom, to his bride this </w:t>
      </w:r>
      <w:r w:rsidR="00A858C9" w:rsidRPr="00175888">
        <w:rPr>
          <w:rFonts w:ascii="Brill" w:hAnsi="Brill" w:cs="Times New Roman"/>
        </w:rPr>
        <w:t>Ġ</w:t>
      </w:r>
      <w:r w:rsidRPr="00A858C9">
        <w:rPr>
          <w:rFonts w:ascii="Brill" w:hAnsi="Brill"/>
        </w:rPr>
        <w:t>inā</w:t>
      </w:r>
      <w:r>
        <w:rPr>
          <w:rFonts w:ascii="Brill" w:hAnsi="Brill"/>
        </w:rPr>
        <w:t xml:space="preserve"> on everything that is written and explained above, a complete, strict and valid </w:t>
      </w:r>
      <w:r>
        <w:rPr>
          <w:rFonts w:ascii="Brill" w:hAnsi="Brill"/>
          <w:i/>
          <w:iCs/>
        </w:rPr>
        <w:t>qinyan</w:t>
      </w:r>
      <w:r>
        <w:rPr>
          <w:rFonts w:ascii="Brill" w:hAnsi="Brill"/>
        </w:rPr>
        <w:t>,</w:t>
      </w:r>
      <w:r>
        <w:rPr>
          <w:rFonts w:ascii="Brill" w:eastAsia="Brill" w:hAnsi="Brill" w:cs="Brill"/>
          <w:vertAlign w:val="superscript"/>
        </w:rPr>
        <w:footnoteReference w:id="43"/>
      </w:r>
      <w:r>
        <w:rPr>
          <w:rFonts w:ascii="Brill" w:hAnsi="Brill"/>
        </w:rPr>
        <w:t xml:space="preserve"> with an implement </w:t>
      </w:r>
    </w:p>
    <w:p w14:paraId="0C905552" w14:textId="77777777" w:rsidR="00DB4AB8" w:rsidRDefault="00876BE0">
      <w:pPr>
        <w:pStyle w:val="Text"/>
        <w:spacing w:line="276" w:lineRule="auto"/>
        <w:ind w:left="720" w:hanging="720"/>
        <w:jc w:val="both"/>
        <w:rPr>
          <w:rFonts w:ascii="Brill" w:eastAsia="Brill" w:hAnsi="Brill" w:cs="Brill"/>
        </w:rPr>
      </w:pPr>
      <w:r>
        <w:rPr>
          <w:rFonts w:ascii="Brill" w:hAnsi="Brill"/>
        </w:rPr>
        <w:t>29</w:t>
      </w:r>
      <w:r>
        <w:rPr>
          <w:rFonts w:ascii="Brill" w:hAnsi="Brill"/>
        </w:rPr>
        <w:tab/>
        <w:t>fit for making an acquisition, with a nullification of all legal documents and stipulations to the very end.</w:t>
      </w:r>
      <w:r>
        <w:rPr>
          <w:rFonts w:ascii="Brill" w:eastAsia="Brill" w:hAnsi="Brill" w:cs="Brill"/>
          <w:vertAlign w:val="superscript"/>
        </w:rPr>
        <w:footnoteReference w:id="44"/>
      </w:r>
      <w:r>
        <w:rPr>
          <w:rFonts w:ascii="Brill" w:hAnsi="Brill"/>
        </w:rPr>
        <w:t xml:space="preserve"> And this </w:t>
      </w:r>
      <w:r>
        <w:rPr>
          <w:rFonts w:ascii="Brill" w:hAnsi="Brill"/>
          <w:i/>
          <w:iCs/>
        </w:rPr>
        <w:t>ketubba</w:t>
      </w:r>
      <w:r>
        <w:rPr>
          <w:rFonts w:ascii="Brill" w:hAnsi="Brill"/>
        </w:rPr>
        <w:t xml:space="preserve"> is not like an </w:t>
      </w:r>
      <w:r>
        <w:rPr>
          <w:rFonts w:ascii="Brill" w:hAnsi="Brill"/>
          <w:i/>
          <w:iCs/>
        </w:rPr>
        <w:t>asmaḵta</w:t>
      </w:r>
      <w:r>
        <w:rPr>
          <w:rFonts w:ascii="Brill" w:hAnsi="Brill"/>
        </w:rPr>
        <w:t>,</w:t>
      </w:r>
      <w:r>
        <w:rPr>
          <w:rFonts w:ascii="Brill" w:eastAsia="Brill" w:hAnsi="Brill" w:cs="Brill"/>
          <w:vertAlign w:val="superscript"/>
        </w:rPr>
        <w:footnoteReference w:id="45"/>
      </w:r>
      <w:r>
        <w:rPr>
          <w:rFonts w:ascii="Brill" w:hAnsi="Brill"/>
        </w:rPr>
        <w:t xml:space="preserve"> nor like formularies,</w:t>
      </w:r>
      <w:r>
        <w:rPr>
          <w:rFonts w:ascii="Brill" w:eastAsia="Brill" w:hAnsi="Brill" w:cs="Brill"/>
          <w:vertAlign w:val="superscript"/>
        </w:rPr>
        <w:footnoteReference w:id="46"/>
      </w:r>
      <w:r>
        <w:rPr>
          <w:rFonts w:ascii="Brill" w:hAnsi="Brill"/>
        </w:rPr>
        <w:t xml:space="preserve"> but rather like the firm stringency</w:t>
      </w:r>
    </w:p>
    <w:p w14:paraId="1825D055" w14:textId="77777777" w:rsidR="00DB4AB8" w:rsidRDefault="00876BE0">
      <w:pPr>
        <w:pStyle w:val="Text"/>
        <w:spacing w:line="276" w:lineRule="auto"/>
        <w:ind w:left="720" w:hanging="720"/>
        <w:jc w:val="both"/>
        <w:rPr>
          <w:rFonts w:ascii="Brill" w:eastAsia="Brill" w:hAnsi="Brill" w:cs="Brill"/>
        </w:rPr>
      </w:pPr>
      <w:r>
        <w:rPr>
          <w:rFonts w:ascii="Brill" w:hAnsi="Brill"/>
        </w:rPr>
        <w:t>30</w:t>
      </w:r>
      <w:r>
        <w:rPr>
          <w:rFonts w:ascii="Brill" w:hAnsi="Brill"/>
        </w:rPr>
        <w:tab/>
        <w:t xml:space="preserve">of all </w:t>
      </w:r>
      <w:r>
        <w:rPr>
          <w:rFonts w:ascii="Brill" w:hAnsi="Brill"/>
          <w:i/>
          <w:iCs/>
        </w:rPr>
        <w:t>ketubba</w:t>
      </w:r>
      <w:r>
        <w:rPr>
          <w:rFonts w:ascii="Brill" w:hAnsi="Brill"/>
        </w:rPr>
        <w:t xml:space="preserve"> deeds that are customary in Israel, and that are regulated and that are according to the enactment of our sages, of blessed memory.</w:t>
      </w:r>
      <w:r>
        <w:rPr>
          <w:rFonts w:ascii="Brill" w:eastAsia="Brill" w:hAnsi="Brill" w:cs="Brill"/>
          <w:vertAlign w:val="superscript"/>
        </w:rPr>
        <w:footnoteReference w:id="47"/>
      </w:r>
      <w:r>
        <w:rPr>
          <w:rFonts w:ascii="Brill" w:hAnsi="Brill"/>
        </w:rPr>
        <w:t xml:space="preserve"> And already included in this </w:t>
      </w:r>
      <w:r>
        <w:rPr>
          <w:rFonts w:ascii="Brill" w:hAnsi="Brill"/>
          <w:i/>
          <w:iCs/>
        </w:rPr>
        <w:t>ketubba</w:t>
      </w:r>
      <w:r>
        <w:rPr>
          <w:rFonts w:ascii="Brill" w:hAnsi="Brill"/>
        </w:rPr>
        <w:t xml:space="preserve"> are all</w:t>
      </w:r>
    </w:p>
    <w:p w14:paraId="7DB6006D" w14:textId="77777777" w:rsidR="00DB4AB8" w:rsidRDefault="00876BE0">
      <w:pPr>
        <w:pStyle w:val="Text"/>
        <w:spacing w:line="276" w:lineRule="auto"/>
        <w:ind w:left="720" w:hanging="720"/>
        <w:jc w:val="both"/>
        <w:rPr>
          <w:rFonts w:ascii="Brill" w:eastAsia="Brill" w:hAnsi="Brill" w:cs="Brill"/>
          <w:i/>
          <w:iCs/>
        </w:rPr>
      </w:pPr>
      <w:r>
        <w:rPr>
          <w:rFonts w:ascii="Brill" w:hAnsi="Brill"/>
        </w:rPr>
        <w:t>31</w:t>
      </w:r>
      <w:r>
        <w:rPr>
          <w:rFonts w:ascii="Brill" w:hAnsi="Brill"/>
        </w:rPr>
        <w:tab/>
        <w:t>matters of sustenance and clothing according to the laws of the nations of the world.</w:t>
      </w:r>
      <w:r>
        <w:rPr>
          <w:rFonts w:ascii="Brill" w:eastAsia="Brill" w:hAnsi="Brill" w:cs="Brill"/>
          <w:vertAlign w:val="superscript"/>
        </w:rPr>
        <w:footnoteReference w:id="48"/>
      </w:r>
      <w:r>
        <w:rPr>
          <w:rFonts w:ascii="Brill" w:hAnsi="Brill"/>
        </w:rPr>
        <w:t xml:space="preserve"> In a time of need,</w:t>
      </w:r>
      <w:r>
        <w:rPr>
          <w:rFonts w:ascii="Brill" w:eastAsia="Brill" w:hAnsi="Brill" w:cs="Brill"/>
          <w:vertAlign w:val="superscript"/>
        </w:rPr>
        <w:footnoteReference w:id="49"/>
      </w:r>
      <w:r>
        <w:rPr>
          <w:rFonts w:ascii="Brill" w:hAnsi="Brill"/>
        </w:rPr>
        <w:t xml:space="preserve"> God forbid,</w:t>
      </w:r>
      <w:r>
        <w:rPr>
          <w:rFonts w:ascii="Brill" w:eastAsia="Brill" w:hAnsi="Brill" w:cs="Brill"/>
          <w:vertAlign w:val="superscript"/>
        </w:rPr>
        <w:footnoteReference w:id="50"/>
      </w:r>
      <w:r>
        <w:rPr>
          <w:rFonts w:ascii="Brill" w:hAnsi="Brill"/>
        </w:rPr>
        <w:t>for this reason</w:t>
      </w:r>
      <w:r>
        <w:rPr>
          <w:rFonts w:ascii="Brill" w:eastAsia="Brill" w:hAnsi="Brill" w:cs="Brill"/>
          <w:vertAlign w:val="superscript"/>
        </w:rPr>
        <w:footnoteReference w:id="51"/>
      </w:r>
      <w:r>
        <w:rPr>
          <w:rFonts w:ascii="Brill" w:hAnsi="Brill"/>
        </w:rPr>
        <w:t xml:space="preserve"> he wrote her a gift, an additional </w:t>
      </w:r>
      <w:r>
        <w:rPr>
          <w:rFonts w:ascii="Brill" w:hAnsi="Brill"/>
          <w:i/>
          <w:iCs/>
        </w:rPr>
        <w:t>mohar</w:t>
      </w:r>
    </w:p>
    <w:p w14:paraId="4A3B549A" w14:textId="77777777" w:rsidR="00DB4AB8" w:rsidRDefault="00876BE0">
      <w:pPr>
        <w:pStyle w:val="Text"/>
        <w:spacing w:line="276" w:lineRule="auto"/>
        <w:ind w:left="720" w:hanging="720"/>
        <w:jc w:val="both"/>
        <w:rPr>
          <w:rFonts w:ascii="Brill" w:eastAsia="Brill" w:hAnsi="Brill" w:cs="Brill"/>
        </w:rPr>
      </w:pPr>
      <w:r>
        <w:rPr>
          <w:rFonts w:ascii="Brill" w:hAnsi="Brill"/>
        </w:rPr>
        <w:t>32</w:t>
      </w:r>
      <w:r>
        <w:rPr>
          <w:rFonts w:ascii="Brill" w:hAnsi="Brill"/>
        </w:rPr>
        <w:tab/>
        <w:t>and the division of the dowry in half.</w:t>
      </w:r>
      <w:r>
        <w:rPr>
          <w:rFonts w:ascii="Brill" w:eastAsia="Brill" w:hAnsi="Brill" w:cs="Brill"/>
          <w:vertAlign w:val="superscript"/>
        </w:rPr>
        <w:footnoteReference w:id="52"/>
      </w:r>
      <w:r>
        <w:rPr>
          <w:rFonts w:ascii="Brill" w:hAnsi="Brill"/>
        </w:rPr>
        <w:t xml:space="preserve"> Everything is valid and established. The humble</w:t>
      </w:r>
      <w:r>
        <w:rPr>
          <w:rFonts w:ascii="Brill" w:eastAsia="Brill" w:hAnsi="Brill" w:cs="Brill"/>
          <w:vertAlign w:val="superscript"/>
        </w:rPr>
        <w:footnoteReference w:id="53"/>
      </w:r>
      <w:r>
        <w:rPr>
          <w:rFonts w:ascii="Brill" w:hAnsi="Brill"/>
        </w:rPr>
        <w:t xml:space="preserve"> Levi ibn Yaḥyā al-Naǧǧār, may he live forever,</w:t>
      </w:r>
      <w:r>
        <w:rPr>
          <w:rFonts w:ascii="Brill" w:eastAsia="Brill" w:hAnsi="Brill" w:cs="Brill"/>
          <w:vertAlign w:val="superscript"/>
        </w:rPr>
        <w:footnoteReference w:id="54"/>
      </w:r>
      <w:r>
        <w:rPr>
          <w:rFonts w:ascii="Brill" w:hAnsi="Brill"/>
        </w:rPr>
        <w:t xml:space="preserve"> may his end be good.</w:t>
      </w:r>
      <w:r>
        <w:rPr>
          <w:rFonts w:ascii="Brill" w:eastAsia="Brill" w:hAnsi="Brill" w:cs="Brill"/>
          <w:vertAlign w:val="superscript"/>
        </w:rPr>
        <w:footnoteReference w:id="55"/>
      </w:r>
    </w:p>
    <w:p w14:paraId="61296D49" w14:textId="77777777" w:rsidR="00DB4AB8" w:rsidRDefault="00DB4AB8">
      <w:pPr>
        <w:pStyle w:val="Text"/>
        <w:spacing w:line="276" w:lineRule="auto"/>
        <w:jc w:val="both"/>
        <w:rPr>
          <w:rFonts w:ascii="Brill" w:eastAsia="Brill" w:hAnsi="Brill" w:cs="Brill"/>
        </w:rPr>
      </w:pPr>
    </w:p>
    <w:p w14:paraId="0D528574" w14:textId="77777777" w:rsidR="00DB4AB8" w:rsidRDefault="00876BE0">
      <w:pPr>
        <w:pStyle w:val="Text"/>
        <w:spacing w:line="276" w:lineRule="auto"/>
        <w:jc w:val="both"/>
        <w:rPr>
          <w:rFonts w:ascii="Brill" w:eastAsia="Brill" w:hAnsi="Brill" w:cs="Brill"/>
        </w:rPr>
      </w:pPr>
      <w:r>
        <w:rPr>
          <w:rFonts w:ascii="Brill" w:hAnsi="Brill"/>
        </w:rPr>
        <w:t>Verso</w:t>
      </w:r>
    </w:p>
    <w:p w14:paraId="31D67740" w14:textId="77777777" w:rsidR="00DB4AB8" w:rsidRDefault="00876BE0">
      <w:pPr>
        <w:pStyle w:val="Text"/>
        <w:spacing w:line="276" w:lineRule="auto"/>
        <w:ind w:left="720" w:hanging="720"/>
        <w:jc w:val="both"/>
        <w:rPr>
          <w:rFonts w:ascii="Brill" w:eastAsia="Brill" w:hAnsi="Brill" w:cs="Brill"/>
        </w:rPr>
      </w:pPr>
      <w:r>
        <w:rPr>
          <w:rFonts w:ascii="Brill" w:hAnsi="Brill"/>
        </w:rPr>
        <w:t>1</w:t>
      </w:r>
      <w:r>
        <w:rPr>
          <w:rFonts w:ascii="Brill" w:hAnsi="Brill"/>
        </w:rPr>
        <w:tab/>
        <w:t>Sālim ibn Hārūn Zihreh al-</w:t>
      </w:r>
      <w:r>
        <w:rPr>
          <w:rFonts w:ascii="Brill" w:hAnsi="Brill"/>
          <w:vertAlign w:val="superscript"/>
        </w:rPr>
        <w:t>ʿ</w:t>
      </w:r>
      <w:r>
        <w:rPr>
          <w:rFonts w:ascii="Brill" w:hAnsi="Brill"/>
        </w:rPr>
        <w:t xml:space="preserve">Uzayrī performed a </w:t>
      </w:r>
      <w:r>
        <w:rPr>
          <w:rFonts w:ascii="Brill" w:hAnsi="Brill"/>
          <w:i/>
          <w:iCs/>
        </w:rPr>
        <w:t>qinyan</w:t>
      </w:r>
      <w:r>
        <w:rPr>
          <w:rFonts w:ascii="Brill" w:hAnsi="Brill"/>
        </w:rPr>
        <w:t xml:space="preserve">—a complete, effective from now </w:t>
      </w:r>
      <w:r>
        <w:rPr>
          <w:rFonts w:ascii="Brill" w:hAnsi="Brill"/>
          <w:i/>
          <w:iCs/>
        </w:rPr>
        <w:t>qinyan</w:t>
      </w:r>
      <w:r>
        <w:rPr>
          <w:rFonts w:ascii="Brill" w:hAnsi="Brill"/>
        </w:rPr>
        <w:t>,</w:t>
      </w:r>
      <w:r>
        <w:rPr>
          <w:rFonts w:ascii="Brill" w:eastAsia="Brill" w:hAnsi="Brill" w:cs="Brill"/>
          <w:vertAlign w:val="superscript"/>
        </w:rPr>
        <w:footnoteReference w:id="56"/>
      </w:r>
      <w:r>
        <w:rPr>
          <w:rFonts w:ascii="Brill" w:hAnsi="Brill"/>
        </w:rPr>
        <w:t xml:space="preserve"> in accordance with the law of our sages, of blessed memory</w:t>
      </w:r>
      <w:r>
        <w:rPr>
          <w:rFonts w:ascii="Brill" w:eastAsia="Brill" w:hAnsi="Brill" w:cs="Brill"/>
          <w:vertAlign w:val="superscript"/>
        </w:rPr>
        <w:footnoteReference w:id="57"/>
      </w:r>
      <w:r>
        <w:rPr>
          <w:rFonts w:ascii="Brill" w:hAnsi="Brill"/>
        </w:rPr>
        <w:t>—that he holds</w:t>
      </w:r>
      <w:r>
        <w:rPr>
          <w:rFonts w:ascii="Brill" w:eastAsia="Brill" w:hAnsi="Brill" w:cs="Brill"/>
          <w:vertAlign w:val="superscript"/>
        </w:rPr>
        <w:footnoteReference w:id="58"/>
      </w:r>
      <w:r>
        <w:rPr>
          <w:rFonts w:ascii="Brill" w:hAnsi="Brill"/>
        </w:rPr>
        <w:t xml:space="preserve"> and has as a debt to his wife,</w:t>
      </w:r>
    </w:p>
    <w:p w14:paraId="0BA9B05D" w14:textId="77777777" w:rsidR="00DB4AB8" w:rsidRDefault="00876BE0">
      <w:pPr>
        <w:pStyle w:val="Text"/>
        <w:spacing w:line="276" w:lineRule="auto"/>
        <w:ind w:left="720" w:hanging="720"/>
        <w:jc w:val="both"/>
        <w:rPr>
          <w:rFonts w:ascii="Brill" w:eastAsia="Brill" w:hAnsi="Brill" w:cs="Brill"/>
        </w:rPr>
      </w:pPr>
      <w:r>
        <w:rPr>
          <w:rFonts w:ascii="Brill" w:hAnsi="Brill"/>
        </w:rPr>
        <w:t>2</w:t>
      </w:r>
      <w:r>
        <w:rPr>
          <w:rFonts w:ascii="Brill" w:hAnsi="Brill"/>
        </w:rPr>
        <w:tab/>
        <w:t xml:space="preserve">this </w:t>
      </w:r>
      <w:r w:rsidR="00924496" w:rsidRPr="00A858C9">
        <w:rPr>
          <w:rFonts w:ascii="Brill" w:hAnsi="Brill" w:cs="Times New Roman"/>
        </w:rPr>
        <w:t>Ġ</w:t>
      </w:r>
      <w:r>
        <w:rPr>
          <w:rFonts w:ascii="Brill" w:hAnsi="Brill"/>
        </w:rPr>
        <w:t xml:space="preserve">inā, thirty-eight and a half </w:t>
      </w:r>
      <w:r>
        <w:rPr>
          <w:rFonts w:ascii="Brill" w:hAnsi="Brill"/>
          <w:i/>
          <w:iCs/>
        </w:rPr>
        <w:t>qirš</w:t>
      </w:r>
      <w:r>
        <w:rPr>
          <w:rFonts w:ascii="Brill" w:eastAsia="Brill" w:hAnsi="Brill" w:cs="Brill"/>
          <w:vertAlign w:val="superscript"/>
        </w:rPr>
        <w:footnoteReference w:id="59"/>
      </w:r>
      <w:r>
        <w:rPr>
          <w:rFonts w:ascii="Brill" w:hAnsi="Brill"/>
        </w:rPr>
        <w:t>—all in Francs—as a complete debt</w:t>
      </w:r>
      <w:r>
        <w:rPr>
          <w:rFonts w:ascii="Brill" w:eastAsia="Brill" w:hAnsi="Brill" w:cs="Brill"/>
          <w:vertAlign w:val="superscript"/>
        </w:rPr>
        <w:footnoteReference w:id="60"/>
      </w:r>
      <w:r>
        <w:rPr>
          <w:rFonts w:ascii="Brill" w:hAnsi="Brill"/>
        </w:rPr>
        <w:t xml:space="preserve"> and an outstanding loan,</w:t>
      </w:r>
    </w:p>
    <w:p w14:paraId="07DF98A9" w14:textId="77777777" w:rsidR="00DB4AB8" w:rsidRDefault="00876BE0">
      <w:pPr>
        <w:pStyle w:val="Text"/>
        <w:spacing w:line="276" w:lineRule="auto"/>
        <w:ind w:left="720" w:hanging="720"/>
        <w:jc w:val="both"/>
        <w:rPr>
          <w:rFonts w:ascii="Brill" w:eastAsia="Brill" w:hAnsi="Brill" w:cs="Brill"/>
        </w:rPr>
      </w:pPr>
      <w:r>
        <w:rPr>
          <w:rFonts w:ascii="Brill" w:hAnsi="Brill"/>
        </w:rPr>
        <w:t>3</w:t>
      </w:r>
      <w:r>
        <w:rPr>
          <w:rFonts w:ascii="Brill" w:hAnsi="Brill"/>
        </w:rPr>
        <w:tab/>
        <w:t>and this is after the payment of the marriage gift (lit. “stipulation”) and after the deduction of the dowry. This payment is postponed until the time it is imposed on him.</w:t>
      </w:r>
    </w:p>
    <w:p w14:paraId="27F039B4" w14:textId="77777777" w:rsidR="00DB4AB8" w:rsidRDefault="00876BE0">
      <w:pPr>
        <w:pStyle w:val="Text"/>
        <w:spacing w:line="276" w:lineRule="auto"/>
        <w:ind w:left="720" w:hanging="720"/>
        <w:jc w:val="both"/>
        <w:rPr>
          <w:rFonts w:ascii="Brill" w:eastAsia="Brill" w:hAnsi="Brill" w:cs="Brill"/>
        </w:rPr>
      </w:pPr>
      <w:r>
        <w:rPr>
          <w:rFonts w:ascii="Brill" w:hAnsi="Brill"/>
        </w:rPr>
        <w:t>4</w:t>
      </w:r>
      <w:r>
        <w:rPr>
          <w:rFonts w:ascii="Brill" w:hAnsi="Brill"/>
        </w:rPr>
        <w:tab/>
        <w:t>And he will not</w:t>
      </w:r>
      <w:r>
        <w:rPr>
          <w:rFonts w:ascii="Brill" w:eastAsia="Brill" w:hAnsi="Brill" w:cs="Brill"/>
          <w:vertAlign w:val="superscript"/>
        </w:rPr>
        <w:footnoteReference w:id="61"/>
      </w:r>
      <w:r>
        <w:rPr>
          <w:rFonts w:ascii="Brill" w:hAnsi="Brill"/>
        </w:rPr>
        <w:t xml:space="preserve"> release himself from this debt, even</w:t>
      </w:r>
      <w:r>
        <w:rPr>
          <w:rFonts w:ascii="Brill" w:eastAsia="Brill" w:hAnsi="Brill" w:cs="Brill"/>
          <w:vertAlign w:val="superscript"/>
        </w:rPr>
        <w:footnoteReference w:id="62"/>
      </w:r>
      <w:r>
        <w:rPr>
          <w:rFonts w:ascii="Brill" w:hAnsi="Brill"/>
        </w:rPr>
        <w:t xml:space="preserve"> in the seventh [year].</w:t>
      </w:r>
      <w:r>
        <w:rPr>
          <w:rFonts w:ascii="Brill" w:eastAsia="Brill" w:hAnsi="Brill" w:cs="Brill"/>
          <w:vertAlign w:val="superscript"/>
        </w:rPr>
        <w:footnoteReference w:id="63"/>
      </w:r>
      <w:r>
        <w:rPr>
          <w:rFonts w:ascii="Brill" w:hAnsi="Brill"/>
        </w:rPr>
        <w:t xml:space="preserve"> And he mortgaged all his property, land and movable,</w:t>
      </w:r>
      <w:r>
        <w:rPr>
          <w:rFonts w:ascii="Brill" w:eastAsia="Brill" w:hAnsi="Brill" w:cs="Brill"/>
          <w:vertAlign w:val="superscript"/>
        </w:rPr>
        <w:footnoteReference w:id="64"/>
      </w:r>
    </w:p>
    <w:p w14:paraId="45E26B9B" w14:textId="77777777" w:rsidR="00DB4AB8" w:rsidRDefault="00876BE0">
      <w:pPr>
        <w:pStyle w:val="Text"/>
        <w:spacing w:line="276" w:lineRule="auto"/>
        <w:ind w:left="720" w:hanging="720"/>
        <w:jc w:val="both"/>
        <w:rPr>
          <w:rFonts w:ascii="Brill" w:eastAsia="Brill" w:hAnsi="Brill" w:cs="Brill"/>
        </w:rPr>
      </w:pPr>
      <w:r>
        <w:rPr>
          <w:rFonts w:ascii="Brill" w:hAnsi="Brill"/>
        </w:rPr>
        <w:t>5</w:t>
      </w:r>
      <w:r>
        <w:rPr>
          <w:rFonts w:ascii="Brill" w:hAnsi="Brill"/>
        </w:rPr>
        <w:tab/>
        <w:t>that he purchased</w:t>
      </w:r>
      <w:r>
        <w:rPr>
          <w:rFonts w:ascii="Brill" w:eastAsia="Brill" w:hAnsi="Brill" w:cs="Brill"/>
          <w:vertAlign w:val="superscript"/>
        </w:rPr>
        <w:footnoteReference w:id="65"/>
      </w:r>
      <w:r>
        <w:rPr>
          <w:rFonts w:ascii="Brill" w:hAnsi="Brill"/>
        </w:rPr>
        <w:t xml:space="preserve"> and will purchase, not like an </w:t>
      </w:r>
      <w:r>
        <w:rPr>
          <w:rFonts w:ascii="Brill" w:hAnsi="Brill"/>
          <w:i/>
          <w:iCs/>
          <w:lang w:val="it-IT"/>
        </w:rPr>
        <w:t>asma</w:t>
      </w:r>
      <w:r>
        <w:rPr>
          <w:rFonts w:ascii="Brill" w:hAnsi="Brill"/>
          <w:i/>
          <w:iCs/>
        </w:rPr>
        <w:t>ḵta</w:t>
      </w:r>
      <w:r>
        <w:rPr>
          <w:rFonts w:ascii="Brill" w:hAnsi="Brill"/>
        </w:rPr>
        <w:t>, nor like formularies,</w:t>
      </w:r>
      <w:r>
        <w:rPr>
          <w:rFonts w:ascii="Brill" w:eastAsia="Brill" w:hAnsi="Brill" w:cs="Brill"/>
          <w:vertAlign w:val="superscript"/>
        </w:rPr>
        <w:footnoteReference w:id="66"/>
      </w:r>
      <w:r>
        <w:rPr>
          <w:rFonts w:ascii="Brill" w:hAnsi="Brill"/>
        </w:rPr>
        <w:t xml:space="preserve"> at the day mentioned above. And everything is valid. The humble</w:t>
      </w:r>
      <w:r>
        <w:rPr>
          <w:rFonts w:ascii="Brill" w:eastAsia="Brill" w:hAnsi="Brill" w:cs="Brill"/>
          <w:vertAlign w:val="superscript"/>
        </w:rPr>
        <w:footnoteReference w:id="67"/>
      </w:r>
      <w:r>
        <w:rPr>
          <w:rFonts w:ascii="Brill" w:hAnsi="Brill"/>
        </w:rPr>
        <w:t xml:space="preserve"> Levi ibn Yaḥyā al-Naǧǧār, may he live forever,</w:t>
      </w:r>
      <w:r>
        <w:rPr>
          <w:rFonts w:ascii="Brill" w:eastAsia="Brill" w:hAnsi="Brill" w:cs="Brill"/>
          <w:vertAlign w:val="superscript"/>
        </w:rPr>
        <w:footnoteReference w:id="68"/>
      </w:r>
      <w:r>
        <w:rPr>
          <w:rFonts w:ascii="Brill" w:hAnsi="Brill"/>
        </w:rPr>
        <w:t xml:space="preserve"> may his end be good.</w:t>
      </w:r>
      <w:r>
        <w:rPr>
          <w:rFonts w:ascii="Brill" w:eastAsia="Brill" w:hAnsi="Brill" w:cs="Brill"/>
          <w:vertAlign w:val="superscript"/>
        </w:rPr>
        <w:footnoteReference w:id="69"/>
      </w:r>
    </w:p>
    <w:p w14:paraId="1A470283" w14:textId="77777777" w:rsidR="00DB4AB8" w:rsidRPr="00064E99" w:rsidRDefault="00DB4AB8" w:rsidP="00064E99">
      <w:pPr>
        <w:pStyle w:val="Text"/>
        <w:spacing w:line="276" w:lineRule="auto"/>
        <w:ind w:left="720" w:hanging="720"/>
        <w:jc w:val="both"/>
        <w:rPr>
          <w:rFonts w:ascii="Brill" w:eastAsia="Brill" w:hAnsi="Brill" w:cs="Brill"/>
          <w:sz w:val="28"/>
          <w:szCs w:val="28"/>
        </w:rPr>
      </w:pPr>
    </w:p>
    <w:p w14:paraId="31380FF7" w14:textId="77777777" w:rsidR="00064E99" w:rsidRPr="00064E99" w:rsidRDefault="00064E99" w:rsidP="00064E99">
      <w:pPr>
        <w:pStyle w:val="Text"/>
        <w:spacing w:line="276" w:lineRule="auto"/>
        <w:ind w:left="720" w:hanging="720"/>
        <w:jc w:val="both"/>
        <w:rPr>
          <w:rFonts w:ascii="Brill" w:hAnsi="Brill"/>
          <w:sz w:val="28"/>
          <w:szCs w:val="28"/>
        </w:rPr>
      </w:pPr>
      <w:r w:rsidRPr="00064E99">
        <w:rPr>
          <w:rFonts w:ascii="Brill" w:hAnsi="Brill"/>
          <w:sz w:val="28"/>
          <w:szCs w:val="28"/>
        </w:rPr>
        <w:t>Bibliography</w:t>
      </w:r>
    </w:p>
    <w:p w14:paraId="4EC94F4C" w14:textId="77777777" w:rsidR="00064E99" w:rsidRPr="00064E99" w:rsidRDefault="00064E99" w:rsidP="009520FE">
      <w:pPr>
        <w:pStyle w:val="Text"/>
        <w:spacing w:line="276" w:lineRule="auto"/>
        <w:ind w:left="720" w:hanging="720"/>
        <w:jc w:val="both"/>
        <w:rPr>
          <w:rFonts w:ascii="Brill" w:hAnsi="Brill"/>
        </w:rPr>
      </w:pPr>
      <w:r w:rsidRPr="00064E99">
        <w:rPr>
          <w:rFonts w:ascii="Brill" w:hAnsi="Brill"/>
        </w:rPr>
        <w:t xml:space="preserve">Ariel, Ari. </w:t>
      </w:r>
      <w:r w:rsidR="009520FE" w:rsidRPr="00064E99">
        <w:rPr>
          <w:rFonts w:ascii="Brill" w:hAnsi="Brill"/>
        </w:rPr>
        <w:t>201</w:t>
      </w:r>
      <w:r w:rsidR="009520FE">
        <w:rPr>
          <w:rFonts w:ascii="Brill" w:hAnsi="Brill"/>
        </w:rPr>
        <w:t>3</w:t>
      </w:r>
      <w:r w:rsidRPr="00064E99">
        <w:rPr>
          <w:rFonts w:ascii="Brill" w:hAnsi="Brill"/>
        </w:rPr>
        <w:t xml:space="preserve">. </w:t>
      </w:r>
      <w:r w:rsidRPr="00064E99">
        <w:rPr>
          <w:rFonts w:ascii="Brill" w:hAnsi="Brill"/>
          <w:i/>
          <w:iCs/>
        </w:rPr>
        <w:t>Jewish-Muslim Relations and Migration from Yemen to Palestine in the Late Nineteenth and Twentieth Centuries</w:t>
      </w:r>
      <w:r w:rsidRPr="00064E99">
        <w:rPr>
          <w:rFonts w:ascii="Brill" w:hAnsi="Brill"/>
        </w:rPr>
        <w:t>, Leiden, E. J. Brill.</w:t>
      </w:r>
    </w:p>
    <w:p w14:paraId="2F528B02" w14:textId="136CEFAF" w:rsidR="00064E99" w:rsidRPr="00064E99" w:rsidRDefault="00064E99">
      <w:pPr>
        <w:pStyle w:val="Text"/>
        <w:spacing w:line="276" w:lineRule="auto"/>
        <w:ind w:left="720" w:hanging="720"/>
        <w:jc w:val="both"/>
        <w:rPr>
          <w:rFonts w:ascii="Brill" w:hAnsi="Brill"/>
        </w:rPr>
      </w:pPr>
      <w:r w:rsidRPr="00064E99">
        <w:rPr>
          <w:rFonts w:ascii="Brill" w:hAnsi="Brill"/>
          <w:lang w:val="fr-FR"/>
        </w:rPr>
        <w:lastRenderedPageBreak/>
        <w:t>Biberstein-Kazimirski, Albert. 1860. </w:t>
      </w:r>
      <w:r w:rsidRPr="00064E99">
        <w:rPr>
          <w:rFonts w:ascii="Brill" w:hAnsi="Brill"/>
          <w:i/>
          <w:iCs/>
          <w:lang w:val="fr-FR"/>
        </w:rPr>
        <w:t>Dictionnaire arabe-français: Contenant toutes les racines de la langue arabe, leurs dérivés, tant dans l'idiome vulgaire que dans l'idiome littéral, ainsi que les dialectes d'Alger et de Maroc</w:t>
      </w:r>
      <w:r w:rsidRPr="00064E99">
        <w:rPr>
          <w:rFonts w:ascii="Brill" w:hAnsi="Brill"/>
          <w:lang w:val="fr-FR"/>
        </w:rPr>
        <w:t>, Paris, Maisonneuve, 2 vols.</w:t>
      </w:r>
    </w:p>
    <w:p w14:paraId="0CAB86B3"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 xml:space="preserve">Elon, Menachem. 2007. “Acquisition”, in: Michael Berenbaum &amp; Fred Skolnik (eds.), </w:t>
      </w:r>
      <w:r w:rsidRPr="00064E99">
        <w:rPr>
          <w:rFonts w:ascii="Brill" w:hAnsi="Brill"/>
          <w:i/>
          <w:iCs/>
        </w:rPr>
        <w:t>Encyclopaedia Judaica</w:t>
      </w:r>
      <w:r w:rsidRPr="00064E99">
        <w:rPr>
          <w:rFonts w:ascii="Brill" w:hAnsi="Brill"/>
        </w:rPr>
        <w:t>, vol. 1, pp. 359–363.</w:t>
      </w:r>
    </w:p>
    <w:p w14:paraId="2B5B32A2"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 xml:space="preserve">Epstein, Jacob &amp; Ezra Melamed. 1960. </w:t>
      </w:r>
      <w:r w:rsidRPr="00064E99">
        <w:rPr>
          <w:rFonts w:ascii="Brill" w:hAnsi="Brill"/>
          <w:i/>
          <w:iCs/>
        </w:rPr>
        <w:t>A grammar of Babylonian Aramaic</w:t>
      </w:r>
      <w:r w:rsidRPr="00064E99">
        <w:rPr>
          <w:rFonts w:ascii="Brill" w:hAnsi="Brill"/>
        </w:rPr>
        <w:t xml:space="preserve"> (Hebrew), Jerusalem, Hoṣaʾat sefarim ʿa. š. Y. L. Magnes, pp. 40–41.</w:t>
      </w:r>
    </w:p>
    <w:p w14:paraId="64B22DC4"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Friedman, Mordechai Akiva. 1980. </w:t>
      </w:r>
      <w:r w:rsidRPr="00064E99">
        <w:rPr>
          <w:rFonts w:ascii="Brill" w:hAnsi="Brill"/>
          <w:i/>
          <w:iCs/>
        </w:rPr>
        <w:t xml:space="preserve">Jewish marriage in Palestine: A Cairo Geniza study, </w:t>
      </w:r>
      <w:r w:rsidRPr="00064E99">
        <w:rPr>
          <w:rFonts w:ascii="Brill" w:hAnsi="Brill"/>
        </w:rPr>
        <w:t>Tel-Aviv, Tel-Aviv University, 2 vols.</w:t>
      </w:r>
    </w:p>
    <w:p w14:paraId="2292ABE5" w14:textId="416655D6" w:rsidR="00064E99" w:rsidRPr="00064E99" w:rsidRDefault="00064E99" w:rsidP="00064E99">
      <w:pPr>
        <w:pStyle w:val="Text"/>
        <w:spacing w:line="276" w:lineRule="auto"/>
        <w:ind w:left="720" w:hanging="720"/>
        <w:jc w:val="both"/>
        <w:rPr>
          <w:rFonts w:ascii="Brill" w:hAnsi="Brill"/>
        </w:rPr>
      </w:pPr>
      <w:r w:rsidRPr="00064E99">
        <w:rPr>
          <w:rFonts w:ascii="Brill" w:hAnsi="Brill"/>
        </w:rPr>
        <w:t xml:space="preserve">Goitein, Shlomo Dov. 1983. </w:t>
      </w:r>
      <w:r w:rsidRPr="00064E99">
        <w:rPr>
          <w:rFonts w:ascii="Brill" w:hAnsi="Brill"/>
          <w:i/>
          <w:iCs/>
        </w:rPr>
        <w:t xml:space="preserve">The Yemenites: History, communal </w:t>
      </w:r>
      <w:commentRangeStart w:id="1"/>
      <w:r w:rsidRPr="00064E99">
        <w:rPr>
          <w:rFonts w:ascii="Brill" w:hAnsi="Brill"/>
          <w:i/>
          <w:iCs/>
        </w:rPr>
        <w:t>organi</w:t>
      </w:r>
      <w:r w:rsidR="00B9167A">
        <w:rPr>
          <w:rFonts w:ascii="Brill" w:hAnsi="Brill"/>
          <w:i/>
          <w:iCs/>
        </w:rPr>
        <w:t>z</w:t>
      </w:r>
      <w:r w:rsidRPr="00064E99">
        <w:rPr>
          <w:rFonts w:ascii="Brill" w:hAnsi="Brill"/>
          <w:i/>
          <w:iCs/>
        </w:rPr>
        <w:t>ation</w:t>
      </w:r>
      <w:commentRangeEnd w:id="1"/>
      <w:r w:rsidR="00A858C9">
        <w:rPr>
          <w:rStyle w:val="CommentReference"/>
          <w:rFonts w:cs="Times New Roman"/>
          <w:color w:val="auto"/>
          <w:lang w:eastAsia="en-US"/>
        </w:rPr>
        <w:commentReference w:id="1"/>
      </w:r>
      <w:r w:rsidRPr="00064E99">
        <w:rPr>
          <w:rFonts w:ascii="Brill" w:hAnsi="Brill"/>
          <w:i/>
          <w:iCs/>
        </w:rPr>
        <w:t xml:space="preserve">, spiritual life, </w:t>
      </w:r>
      <w:r w:rsidRPr="00064E99">
        <w:rPr>
          <w:rFonts w:ascii="Brill" w:hAnsi="Brill"/>
        </w:rPr>
        <w:t>Jerusalem [in Hebrew</w:t>
      </w:r>
      <w:r w:rsidR="00A858C9">
        <w:rPr>
          <w:rFonts w:ascii="Brill" w:hAnsi="Brill"/>
        </w:rPr>
        <w:t>;</w:t>
      </w:r>
      <w:r w:rsidRPr="00064E99">
        <w:rPr>
          <w:rFonts w:ascii="Brill" w:hAnsi="Brill"/>
        </w:rPr>
        <w:t xml:space="preserve"> English and Hebrew Ed: </w:t>
      </w:r>
      <w:r w:rsidRPr="00064E99">
        <w:rPr>
          <w:rFonts w:ascii="Brill" w:hAnsi="Brill"/>
          <w:i/>
          <w:iCs/>
        </w:rPr>
        <w:t>The Yemenites: History, communal organization and spiritual life</w:t>
      </w:r>
      <w:r w:rsidRPr="00064E99">
        <w:rPr>
          <w:rFonts w:ascii="Brill" w:hAnsi="Brill"/>
        </w:rPr>
        <w:t>, Jerusalem, Ben-Zvi Institute, 1999].</w:t>
      </w:r>
    </w:p>
    <w:p w14:paraId="6FD9350C"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 xml:space="preserve">Hoffman, Adina &amp; Peter Cole. 2011. </w:t>
      </w:r>
      <w:r w:rsidRPr="00064E99">
        <w:rPr>
          <w:rFonts w:ascii="Brill" w:hAnsi="Brill"/>
          <w:i/>
          <w:iCs/>
        </w:rPr>
        <w:t>Sacred Trash: The Lost and Found World of the Cairo Geniza</w:t>
      </w:r>
      <w:r w:rsidRPr="00064E99">
        <w:rPr>
          <w:rFonts w:ascii="Brill" w:hAnsi="Brill"/>
        </w:rPr>
        <w:t>, New York, Nextbook.</w:t>
      </w:r>
    </w:p>
    <w:p w14:paraId="69A63546" w14:textId="0DF7D8B9" w:rsidR="001C48C0" w:rsidRPr="00064E99" w:rsidRDefault="00064E99">
      <w:pPr>
        <w:pStyle w:val="Text"/>
        <w:spacing w:line="276" w:lineRule="auto"/>
        <w:ind w:left="720" w:hanging="720"/>
        <w:jc w:val="both"/>
        <w:rPr>
          <w:rFonts w:ascii="Brill" w:hAnsi="Brill"/>
        </w:rPr>
      </w:pPr>
      <w:r w:rsidRPr="00064E99">
        <w:rPr>
          <w:rFonts w:ascii="Brill" w:hAnsi="Brill"/>
        </w:rPr>
        <w:t xml:space="preserve">Lewcock, Ronald, Paulo Costa, Robert Bertram Serjeant &amp; Robert Wilson. 1983. “The Urban Development of Ṣanʿāʾ”, in: Robert Bertram Serjeant &amp; Ronald Lewcock (eds.), </w:t>
      </w:r>
      <w:r w:rsidRPr="00064E99">
        <w:rPr>
          <w:rFonts w:ascii="Brill" w:hAnsi="Brill"/>
          <w:i/>
          <w:iCs/>
        </w:rPr>
        <w:t>Ṣanʿāʾ: An Arabian Islamic city</w:t>
      </w:r>
      <w:r w:rsidRPr="00064E99">
        <w:rPr>
          <w:rFonts w:ascii="Brill" w:hAnsi="Brill"/>
        </w:rPr>
        <w:t>, London, World of Islam Festival Trust, pp. 122–141.</w:t>
      </w:r>
    </w:p>
    <w:p w14:paraId="2856B99D" w14:textId="4DCFC2BE" w:rsidR="001C48C0" w:rsidRPr="00064E99" w:rsidRDefault="001C48C0" w:rsidP="001C48C0">
      <w:pPr>
        <w:pStyle w:val="Text"/>
        <w:spacing w:line="276" w:lineRule="auto"/>
        <w:ind w:left="720" w:hanging="720"/>
        <w:jc w:val="both"/>
        <w:rPr>
          <w:rFonts w:ascii="Brill" w:hAnsi="Brill"/>
        </w:rPr>
      </w:pPr>
      <w:r w:rsidRPr="00064E99">
        <w:rPr>
          <w:rFonts w:ascii="Brill" w:hAnsi="Brill"/>
        </w:rPr>
        <w:t xml:space="preserve">Mosseri, </w:t>
      </w:r>
      <w:r>
        <w:rPr>
          <w:rFonts w:ascii="Brill" w:hAnsi="Brill"/>
        </w:rPr>
        <w:t>Jack (Jaques</w:t>
      </w:r>
      <w:r w:rsidRPr="00064E99">
        <w:rPr>
          <w:rFonts w:ascii="Brill" w:hAnsi="Brill"/>
        </w:rPr>
        <w:t>).</w:t>
      </w:r>
      <w:r>
        <w:rPr>
          <w:rFonts w:ascii="Brill" w:hAnsi="Brill"/>
        </w:rPr>
        <w:t xml:space="preserve"> 1911.</w:t>
      </w:r>
      <w:r w:rsidRPr="00064E99">
        <w:rPr>
          <w:rFonts w:ascii="Brill" w:hAnsi="Brill"/>
        </w:rPr>
        <w:t xml:space="preserve"> </w:t>
      </w:r>
      <w:commentRangeStart w:id="2"/>
      <w:r w:rsidRPr="00064E99">
        <w:rPr>
          <w:rFonts w:ascii="Brill" w:hAnsi="Brill"/>
        </w:rPr>
        <w:t xml:space="preserve">“In the Land of the Pharaohs: Interview with Mr. Jack N. Mosseri, of Cairo”, </w:t>
      </w:r>
      <w:r w:rsidRPr="00064E99">
        <w:rPr>
          <w:rFonts w:ascii="Brill" w:hAnsi="Brill"/>
          <w:i/>
          <w:iCs/>
        </w:rPr>
        <w:t>The Jewish Chronicle</w:t>
      </w:r>
      <w:r w:rsidRPr="00064E99">
        <w:rPr>
          <w:rFonts w:ascii="Brill" w:hAnsi="Brill"/>
        </w:rPr>
        <w:t xml:space="preserve"> 5 May 1911, pp. 17 &amp; 27.</w:t>
      </w:r>
      <w:commentRangeEnd w:id="2"/>
      <w:r>
        <w:rPr>
          <w:rStyle w:val="CommentReference"/>
          <w:rFonts w:cs="Times New Roman"/>
          <w:color w:val="auto"/>
          <w:lang w:eastAsia="en-US"/>
        </w:rPr>
        <w:commentReference w:id="2"/>
      </w:r>
    </w:p>
    <w:p w14:paraId="5A0BC3EB"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 xml:space="preserve">Mosseri, Jacques (Jack). 1913–1914. “A new hoard of Jewish MSS. in Cairo”, </w:t>
      </w:r>
      <w:r w:rsidRPr="00064E99">
        <w:rPr>
          <w:rFonts w:ascii="Brill" w:hAnsi="Brill"/>
          <w:i/>
          <w:iCs/>
        </w:rPr>
        <w:t>The Jewish Review</w:t>
      </w:r>
      <w:r w:rsidRPr="00064E99">
        <w:rPr>
          <w:rFonts w:ascii="Brill" w:hAnsi="Brill"/>
        </w:rPr>
        <w:t xml:space="preserve"> 4, pp. 208–216.</w:t>
      </w:r>
    </w:p>
    <w:p w14:paraId="1067F4CD"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 xml:space="preserve">Nini, Yehuda. 1991. </w:t>
      </w:r>
      <w:r w:rsidRPr="00064E99">
        <w:rPr>
          <w:rFonts w:ascii="Brill" w:hAnsi="Brill"/>
          <w:i/>
          <w:iCs/>
        </w:rPr>
        <w:t>The Jews of the Yemen, 1800–1914</w:t>
      </w:r>
      <w:r w:rsidRPr="00064E99">
        <w:rPr>
          <w:rFonts w:ascii="Brill" w:hAnsi="Brill"/>
        </w:rPr>
        <w:t>, trans. H. Galai</w:t>
      </w:r>
      <w:r w:rsidRPr="00064E99">
        <w:rPr>
          <w:rFonts w:ascii="Brill" w:hAnsi="Brill"/>
          <w:i/>
          <w:iCs/>
        </w:rPr>
        <w:t>,</w:t>
      </w:r>
      <w:r w:rsidRPr="00064E99">
        <w:rPr>
          <w:rFonts w:ascii="Brill" w:hAnsi="Brill"/>
        </w:rPr>
        <w:t> Reading, Harwood Academic.</w:t>
      </w:r>
    </w:p>
    <w:p w14:paraId="7F271B8F"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Parfitt, Tudor. 1996. </w:t>
      </w:r>
      <w:r w:rsidRPr="00064E99">
        <w:rPr>
          <w:rFonts w:ascii="Brill" w:hAnsi="Brill"/>
          <w:i/>
          <w:iCs/>
        </w:rPr>
        <w:t xml:space="preserve">The road to redemption: The Jews of the Yemen, 1900–1950, </w:t>
      </w:r>
      <w:r w:rsidRPr="00064E99">
        <w:rPr>
          <w:rFonts w:ascii="Brill" w:hAnsi="Brill"/>
        </w:rPr>
        <w:t>Leiden, E. J. Brill.</w:t>
      </w:r>
    </w:p>
    <w:p w14:paraId="1A593AE8"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 xml:space="preserve">Reif, Stefan Clive. 2000. </w:t>
      </w:r>
      <w:r w:rsidRPr="00064E99">
        <w:rPr>
          <w:rFonts w:ascii="Brill" w:hAnsi="Brill"/>
          <w:i/>
          <w:iCs/>
        </w:rPr>
        <w:t>A Jewish Archive from Old Cairo: The History of Cambridge University’s Genizah Collection</w:t>
      </w:r>
      <w:r w:rsidRPr="00064E99">
        <w:rPr>
          <w:rFonts w:ascii="Brill" w:hAnsi="Brill"/>
        </w:rPr>
        <w:t>, Richmond, Curzon.</w:t>
      </w:r>
    </w:p>
    <w:p w14:paraId="6C3596CB"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 xml:space="preserve">Serjeant, Robert Bertram, Costa, Paulo &amp; Ronald Lewcock. 1983. “The Ghayls of Ṣanʿāʾ”, in: Robert Bertram Serjeant &amp; Ronald Lewcock (eds.), </w:t>
      </w:r>
      <w:r w:rsidRPr="00064E99">
        <w:rPr>
          <w:rFonts w:ascii="Brill" w:hAnsi="Brill"/>
          <w:i/>
          <w:iCs/>
        </w:rPr>
        <w:t>Ṣanʿāʾ: An Arabian Islamic city</w:t>
      </w:r>
      <w:r w:rsidRPr="00064E99">
        <w:rPr>
          <w:rFonts w:ascii="Brill" w:hAnsi="Brill"/>
        </w:rPr>
        <w:t>, London, World of Islam Festival Trust, pp. 19–31.</w:t>
      </w:r>
    </w:p>
    <w:p w14:paraId="5EE6D2A5"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 xml:space="preserve">Schereschewsky, Ben-Zion &amp; Menahem Elon. 2007. “Dowry”, in: Michael Berenbaum &amp; Fred Skolnik (eds.), </w:t>
      </w:r>
      <w:r w:rsidRPr="00064E99">
        <w:rPr>
          <w:rFonts w:ascii="Brill" w:hAnsi="Brill"/>
          <w:i/>
          <w:iCs/>
        </w:rPr>
        <w:t>Encyclopaedia Judaica</w:t>
      </w:r>
      <w:r w:rsidRPr="00064E99">
        <w:rPr>
          <w:rFonts w:ascii="Brill" w:hAnsi="Brill"/>
        </w:rPr>
        <w:t>, Detroit, Macmillan Reference USA, vol. 5 [2nd ed.].</w:t>
      </w:r>
    </w:p>
    <w:p w14:paraId="582BE92B"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Tobi, Yosef Yuval. 1999. </w:t>
      </w:r>
      <w:r w:rsidRPr="00064E99">
        <w:rPr>
          <w:rFonts w:ascii="Brill" w:hAnsi="Brill"/>
          <w:i/>
          <w:iCs/>
        </w:rPr>
        <w:t>The Jews of Yemen: Studies in their history and culture</w:t>
      </w:r>
      <w:r w:rsidRPr="00064E99">
        <w:rPr>
          <w:rFonts w:ascii="Brill" w:hAnsi="Brill"/>
        </w:rPr>
        <w:t>, Leiden, E. J. Brill.</w:t>
      </w:r>
    </w:p>
    <w:p w14:paraId="279CFFAC" w14:textId="77777777" w:rsidR="00064E99" w:rsidRPr="00064E99" w:rsidRDefault="00064E99" w:rsidP="00064E99">
      <w:pPr>
        <w:pStyle w:val="Text"/>
        <w:spacing w:line="276" w:lineRule="auto"/>
        <w:ind w:left="720" w:hanging="720"/>
        <w:jc w:val="both"/>
        <w:rPr>
          <w:rFonts w:ascii="Brill" w:hAnsi="Brill"/>
        </w:rPr>
      </w:pPr>
      <w:r w:rsidRPr="00064E99">
        <w:rPr>
          <w:rFonts w:ascii="Brill" w:hAnsi="Brill"/>
        </w:rPr>
        <w:t>Yaʿakov, Doron. 2013. “Yemen, Pronunciation Traditions”, in: Geoffrey Khan (ed.), </w:t>
      </w:r>
      <w:r w:rsidRPr="00064E99">
        <w:rPr>
          <w:rFonts w:ascii="Brill" w:hAnsi="Brill"/>
          <w:i/>
          <w:iCs/>
        </w:rPr>
        <w:t>Encyclopedia of Hebrew Language and Linguistics</w:t>
      </w:r>
      <w:r w:rsidRPr="00064E99">
        <w:rPr>
          <w:rFonts w:ascii="Brill" w:hAnsi="Brill"/>
        </w:rPr>
        <w:t xml:space="preserve">. Consulted online on 01 January 2018 </w:t>
      </w:r>
      <w:hyperlink r:id="rId9" w:history="1">
        <w:r w:rsidRPr="00F24011">
          <w:rPr>
            <w:rStyle w:val="Hyperlink"/>
            <w:rFonts w:ascii="Gentium" w:hAnsi="Gentium"/>
          </w:rPr>
          <w:t>http://dx.doi.org/10.1163/22124241_ehll_EHLL_COM_00000908</w:t>
        </w:r>
      </w:hyperlink>
      <w:r w:rsidRPr="00064E99">
        <w:rPr>
          <w:rFonts w:ascii="Brill" w:hAnsi="Brill"/>
        </w:rPr>
        <w:t xml:space="preserve"> [First published online: 2013].</w:t>
      </w:r>
    </w:p>
    <w:p w14:paraId="0EDFB712" w14:textId="77777777" w:rsidR="00064E99" w:rsidRPr="00064E99" w:rsidRDefault="00064E99" w:rsidP="00064E99">
      <w:pPr>
        <w:pStyle w:val="Text"/>
        <w:spacing w:line="276" w:lineRule="auto"/>
        <w:ind w:left="720" w:hanging="720"/>
        <w:jc w:val="both"/>
        <w:rPr>
          <w:rFonts w:ascii="Brill" w:hAnsi="Brill"/>
        </w:rPr>
      </w:pPr>
    </w:p>
    <w:p w14:paraId="377EE104" w14:textId="77777777" w:rsidR="00DB4AB8" w:rsidRDefault="00876BE0">
      <w:pPr>
        <w:pStyle w:val="Text"/>
        <w:spacing w:line="276" w:lineRule="auto"/>
        <w:ind w:left="720" w:hanging="720"/>
        <w:jc w:val="both"/>
        <w:rPr>
          <w:rFonts w:ascii="Brill" w:eastAsia="Brill" w:hAnsi="Brill" w:cs="Brill"/>
          <w:sz w:val="22"/>
          <w:szCs w:val="22"/>
        </w:rPr>
      </w:pPr>
      <w:r>
        <w:rPr>
          <w:rFonts w:ascii="Brill" w:hAnsi="Brill"/>
          <w:sz w:val="22"/>
          <w:szCs w:val="22"/>
        </w:rPr>
        <w:t>CAPTIONS</w:t>
      </w:r>
    </w:p>
    <w:p w14:paraId="198B2821" w14:textId="77777777" w:rsidR="00DB4AB8" w:rsidRDefault="00876BE0">
      <w:pPr>
        <w:pStyle w:val="Text"/>
        <w:shd w:val="clear" w:color="auto" w:fill="FFFFFF"/>
        <w:spacing w:line="276" w:lineRule="auto"/>
        <w:jc w:val="both"/>
        <w:rPr>
          <w:rFonts w:ascii="Brill" w:eastAsia="Brill" w:hAnsi="Brill" w:cs="Brill"/>
          <w:color w:val="222222"/>
          <w:sz w:val="22"/>
          <w:szCs w:val="22"/>
          <w:u w:color="222222"/>
        </w:rPr>
      </w:pPr>
      <w:r>
        <w:rPr>
          <w:rFonts w:ascii="Brill" w:hAnsi="Brill"/>
          <w:color w:val="222222"/>
          <w:sz w:val="22"/>
          <w:szCs w:val="22"/>
          <w:u w:color="222222"/>
        </w:rPr>
        <w:t xml:space="preserve">The text of the </w:t>
      </w:r>
      <w:r>
        <w:rPr>
          <w:rFonts w:ascii="Brill" w:hAnsi="Brill"/>
          <w:i/>
          <w:iCs/>
          <w:color w:val="222222"/>
          <w:sz w:val="22"/>
          <w:szCs w:val="22"/>
          <w:u w:color="222222"/>
        </w:rPr>
        <w:t>ketubba</w:t>
      </w:r>
      <w:r>
        <w:rPr>
          <w:rFonts w:ascii="Brill" w:hAnsi="Brill"/>
          <w:color w:val="222222"/>
          <w:sz w:val="22"/>
          <w:szCs w:val="22"/>
          <w:u w:color="222222"/>
        </w:rPr>
        <w:t>, Jacques Mosseri Collection at Cambridge University Library, Mosseri VII.19, recto. By kind permission of the Syndics of Cambridge University Library.</w:t>
      </w:r>
    </w:p>
    <w:p w14:paraId="0A8F2D05" w14:textId="77777777" w:rsidR="00DB4AB8" w:rsidRDefault="00876BE0">
      <w:pPr>
        <w:pStyle w:val="Text"/>
        <w:shd w:val="clear" w:color="auto" w:fill="FFFFFF"/>
        <w:spacing w:line="276" w:lineRule="auto"/>
        <w:jc w:val="both"/>
        <w:rPr>
          <w:rFonts w:ascii="Brill" w:eastAsia="Brill" w:hAnsi="Brill" w:cs="Brill"/>
          <w:color w:val="222222"/>
          <w:sz w:val="22"/>
          <w:szCs w:val="22"/>
          <w:u w:color="222222"/>
        </w:rPr>
      </w:pPr>
      <w:r>
        <w:rPr>
          <w:rFonts w:ascii="Brill" w:hAnsi="Brill"/>
          <w:color w:val="222222"/>
          <w:sz w:val="22"/>
          <w:szCs w:val="22"/>
          <w:u w:color="222222"/>
        </w:rPr>
        <w:t> </w:t>
      </w:r>
    </w:p>
    <w:p w14:paraId="31BEC0AE" w14:textId="77777777" w:rsidR="00DB4AB8" w:rsidRDefault="00876BE0">
      <w:pPr>
        <w:pStyle w:val="Text"/>
        <w:shd w:val="clear" w:color="auto" w:fill="FFFFFF"/>
        <w:spacing w:line="276" w:lineRule="auto"/>
        <w:jc w:val="both"/>
      </w:pPr>
      <w:r>
        <w:rPr>
          <w:rFonts w:ascii="Brill" w:hAnsi="Brill"/>
          <w:color w:val="222222"/>
          <w:sz w:val="22"/>
          <w:szCs w:val="22"/>
          <w:u w:color="222222"/>
        </w:rPr>
        <w:lastRenderedPageBreak/>
        <w:t>The additional deed of debt, Mosseri VII.19, verso. By kind permission of the Syndics of Cambridge University Library.</w:t>
      </w:r>
    </w:p>
    <w:sectPr w:rsidR="00DB4AB8">
      <w:headerReference w:type="default" r:id="rId10"/>
      <w:footerReference w:type="default" r:id="rId11"/>
      <w:pgSz w:w="11900" w:h="16840"/>
      <w:pgMar w:top="1440" w:right="1440" w:bottom="1440" w:left="1440" w:header="708" w:footer="70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Anonyme" w:date="2018-04-12T09:31:00Z" w:initials="Anonyme">
    <w:p w14:paraId="11A72663" w14:textId="77777777" w:rsidR="00A858C9" w:rsidRDefault="00A858C9">
      <w:pPr>
        <w:pStyle w:val="CommentText"/>
      </w:pPr>
      <w:r>
        <w:rPr>
          <w:rStyle w:val="CommentReference"/>
        </w:rPr>
        <w:annotationRef/>
      </w:r>
    </w:p>
    <w:p w14:paraId="54785AD0" w14:textId="77777777" w:rsidR="00A858C9" w:rsidRDefault="00A858C9">
      <w:pPr>
        <w:pStyle w:val="CommentText"/>
      </w:pPr>
    </w:p>
    <w:p w14:paraId="2840B5E8" w14:textId="77777777" w:rsidR="00A858C9" w:rsidRDefault="00A858C9">
      <w:pPr>
        <w:pStyle w:val="CommentText"/>
      </w:pPr>
      <w:r>
        <w:t>Here we have “organization” (English spelling), and next line “organization” (American spelling). All correct?</w:t>
      </w:r>
    </w:p>
    <w:p w14:paraId="558F3EAD" w14:textId="77777777" w:rsidR="00B662BE" w:rsidRDefault="00B662BE">
      <w:pPr>
        <w:pStyle w:val="CommentText"/>
      </w:pPr>
    </w:p>
    <w:p w14:paraId="736451EE" w14:textId="31AD98AE" w:rsidR="00B662BE" w:rsidRPr="00B662BE" w:rsidRDefault="00B662BE">
      <w:pPr>
        <w:pStyle w:val="CommentText"/>
        <w:rPr>
          <w:b/>
          <w:bCs/>
        </w:rPr>
      </w:pPr>
      <w:r w:rsidRPr="00B662BE">
        <w:rPr>
          <w:b/>
          <w:bCs/>
        </w:rPr>
        <w:t>Ben, please answer. Amir</w:t>
      </w:r>
      <w:r w:rsidR="001C48C0">
        <w:rPr>
          <w:b/>
          <w:bCs/>
        </w:rPr>
        <w:t xml:space="preserve"> FIXED</w:t>
      </w:r>
    </w:p>
  </w:comment>
  <w:comment w:id="2" w:author="Anonyme" w:date="2018-04-12T09:33:00Z" w:initials="Anonyme">
    <w:p w14:paraId="221B8731" w14:textId="77777777" w:rsidR="001C48C0" w:rsidRDefault="001C48C0" w:rsidP="001C48C0">
      <w:pPr>
        <w:pStyle w:val="CommentText"/>
      </w:pPr>
      <w:r>
        <w:rPr>
          <w:rStyle w:val="CommentReference"/>
        </w:rPr>
        <w:annotationRef/>
      </w:r>
    </w:p>
    <w:p w14:paraId="151E1D66" w14:textId="77777777" w:rsidR="001C48C0" w:rsidRDefault="001C48C0" w:rsidP="001C48C0">
      <w:pPr>
        <w:pStyle w:val="CommentText"/>
      </w:pPr>
    </w:p>
    <w:p w14:paraId="3F5A872E" w14:textId="77777777" w:rsidR="001C48C0" w:rsidRDefault="001C48C0" w:rsidP="001C48C0">
      <w:pPr>
        <w:pStyle w:val="CommentText"/>
      </w:pPr>
      <w:r>
        <w:t>Where in the bibliography should we insert this reference?</w:t>
      </w:r>
    </w:p>
    <w:p w14:paraId="0F00C13C" w14:textId="77777777" w:rsidR="001C48C0" w:rsidRDefault="001C48C0" w:rsidP="001C48C0">
      <w:pPr>
        <w:pStyle w:val="CommentText"/>
      </w:pPr>
    </w:p>
    <w:p w14:paraId="2B01E640" w14:textId="77777777" w:rsidR="001C48C0" w:rsidRDefault="001C48C0" w:rsidP="001C48C0">
      <w:pPr>
        <w:pStyle w:val="CommentText"/>
      </w:pPr>
      <w:r>
        <w:t>Ben, what do you think? Amir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36451EE" w15:done="0"/>
  <w15:commentEx w15:paraId="2B01E64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36451EE" w16cid:durableId="1E79D522"/>
  <w16cid:commentId w16cid:paraId="2B01E640" w16cid:durableId="1E79DD6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A9A3E7" w14:textId="77777777" w:rsidR="00D23433" w:rsidRDefault="00D23433">
      <w:r>
        <w:separator/>
      </w:r>
    </w:p>
  </w:endnote>
  <w:endnote w:type="continuationSeparator" w:id="0">
    <w:p w14:paraId="37BD7226" w14:textId="77777777" w:rsidR="00D23433" w:rsidRDefault="00D234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 w:name="Calibri">
    <w:panose1 w:val="020F0502020204030204"/>
    <w:charset w:val="00"/>
    <w:family w:val="swiss"/>
    <w:pitch w:val="variable"/>
    <w:sig w:usb0="E0002AFF" w:usb1="C000247B" w:usb2="00000009" w:usb3="00000000" w:csb0="000001FF" w:csb1="00000000"/>
  </w:font>
  <w:font w:name="Brill">
    <w:panose1 w:val="020F0602050406030203"/>
    <w:charset w:val="00"/>
    <w:family w:val="swiss"/>
    <w:pitch w:val="variable"/>
    <w:sig w:usb0="E00002FF" w:usb1="4200E4FB" w:usb2="02000000" w:usb3="00000000" w:csb0="0000019F" w:csb1="00000000"/>
  </w:font>
  <w:font w:name="Tahoma">
    <w:panose1 w:val="020B0604030504040204"/>
    <w:charset w:val="00"/>
    <w:family w:val="swiss"/>
    <w:pitch w:val="variable"/>
    <w:sig w:usb0="E1002EFF" w:usb1="C000605B" w:usb2="00000029" w:usb3="00000000" w:csb0="000101FF" w:csb1="00000000"/>
  </w:font>
  <w:font w:name="Arabic Typesetting">
    <w:altName w:val="Arial"/>
    <w:panose1 w:val="020B0604020202020204"/>
    <w:charset w:val="00"/>
    <w:family w:val="script"/>
    <w:pitch w:val="variable"/>
    <w:sig w:usb0="A000206F" w:usb1="C0000000" w:usb2="00000008" w:usb3="00000000" w:csb0="000000D3" w:csb1="00000000"/>
  </w:font>
  <w:font w:name="Gentium">
    <w:altName w:val="Times New Roman"/>
    <w:panose1 w:val="020B0604020202020204"/>
    <w:charset w:val="00"/>
    <w:family w:val="auto"/>
    <w:pitch w:val="variable"/>
    <w:sig w:usb0="00000001" w:usb1="00000003" w:usb2="00000000" w:usb3="00000000" w:csb0="0000001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37BFD6" w14:textId="77777777" w:rsidR="00DB4AB8" w:rsidRDefault="00876BE0">
    <w:pPr>
      <w:pStyle w:val="Footer"/>
      <w:tabs>
        <w:tab w:val="clear" w:pos="9072"/>
        <w:tab w:val="right" w:pos="9000"/>
      </w:tabs>
      <w:jc w:val="right"/>
    </w:pPr>
    <w:r>
      <w:rPr>
        <w:rFonts w:ascii="Brill" w:hAnsi="Brill"/>
      </w:rPr>
      <w:fldChar w:fldCharType="begin"/>
    </w:r>
    <w:r>
      <w:rPr>
        <w:rFonts w:ascii="Brill" w:hAnsi="Brill"/>
      </w:rPr>
      <w:instrText xml:space="preserve"> PAGE </w:instrText>
    </w:r>
    <w:r>
      <w:rPr>
        <w:rFonts w:ascii="Brill" w:hAnsi="Brill"/>
      </w:rPr>
      <w:fldChar w:fldCharType="separate"/>
    </w:r>
    <w:r w:rsidR="00B662BE">
      <w:rPr>
        <w:rFonts w:ascii="Brill" w:hAnsi="Brill"/>
        <w:noProof/>
      </w:rPr>
      <w:t>11</w:t>
    </w:r>
    <w:r>
      <w:rPr>
        <w:rFonts w:ascii="Brill" w:hAnsi="Bril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2CB6CF" w14:textId="77777777" w:rsidR="00D23433" w:rsidRDefault="00D23433">
      <w:r>
        <w:separator/>
      </w:r>
    </w:p>
  </w:footnote>
  <w:footnote w:type="continuationSeparator" w:id="0">
    <w:p w14:paraId="4D6927A0" w14:textId="77777777" w:rsidR="00D23433" w:rsidRDefault="00D23433">
      <w:r>
        <w:continuationSeparator/>
      </w:r>
    </w:p>
  </w:footnote>
  <w:footnote w:type="continuationNotice" w:id="1">
    <w:p w14:paraId="718CB7E8" w14:textId="77777777" w:rsidR="00D23433" w:rsidRDefault="00D23433"/>
  </w:footnote>
  <w:footnote w:id="2">
    <w:p w14:paraId="7073288B"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Images of it can be viewed online through Cambridge Digital Library: </w:t>
      </w:r>
      <w:hyperlink r:id="rId1" w:history="1">
        <w:r w:rsidRPr="00F24011">
          <w:rPr>
            <w:rStyle w:val="Hyperlink0"/>
            <w:rFonts w:ascii="Gentium" w:hAnsi="Gentium"/>
          </w:rPr>
          <w:t>https://cudl.lib.cam.ac.uk/view/MS-MOSSERI-VII-00019/1</w:t>
        </w:r>
      </w:hyperlink>
      <w:r>
        <w:rPr>
          <w:rFonts w:ascii="Brill" w:hAnsi="Brill"/>
          <w:sz w:val="20"/>
          <w:szCs w:val="20"/>
        </w:rPr>
        <w:t xml:space="preserve"> (accessed 3 January 2018). The authors would like to express their thanks to Dr Dotan Arad of Bar Ilan University and Dr Menashe Anzi of Ben Gurion University of the Negev for their very helpful comments on this article.</w:t>
      </w:r>
    </w:p>
  </w:footnote>
  <w:footnote w:id="3">
    <w:p w14:paraId="0CE758F5"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earliest dated manuscript in the Cairo Genizah—and indeed the earliest dated medieval Hebrew manuscript so far discovered—is Cambridge University Library T-S NS 246.26.2, which is a bifolium from a Bible written in Iran in 903–904 CE. These two manuscripts show the great extent of the Genizah, covering a period of at least 996 years and a huge geographical area.</w:t>
      </w:r>
    </w:p>
  </w:footnote>
  <w:footnote w:id="4">
    <w:p w14:paraId="224C573E"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Good surveys of the Cairo Genizah, its origins and the history of its discovery, are A. Hoffman and P. Cole, </w:t>
      </w:r>
      <w:r>
        <w:rPr>
          <w:rFonts w:ascii="Brill" w:hAnsi="Brill"/>
          <w:i/>
          <w:iCs/>
          <w:sz w:val="20"/>
          <w:szCs w:val="20"/>
        </w:rPr>
        <w:t>Sacred Trash: The Lost and Found World of the Cairo Geniza</w:t>
      </w:r>
      <w:r>
        <w:rPr>
          <w:rFonts w:ascii="Brill" w:hAnsi="Brill"/>
          <w:sz w:val="20"/>
          <w:szCs w:val="20"/>
        </w:rPr>
        <w:t xml:space="preserve">, 2011; and S. C. Reif, </w:t>
      </w:r>
      <w:r>
        <w:rPr>
          <w:rFonts w:ascii="Brill" w:hAnsi="Brill"/>
          <w:i/>
          <w:iCs/>
          <w:sz w:val="20"/>
          <w:szCs w:val="20"/>
        </w:rPr>
        <w:t>A Jewish Archive from Old Cairo: The History of Cambridge University’s Genizah Collection</w:t>
      </w:r>
      <w:r>
        <w:rPr>
          <w:rFonts w:ascii="Brill" w:hAnsi="Brill"/>
          <w:sz w:val="20"/>
          <w:szCs w:val="20"/>
        </w:rPr>
        <w:t>, 2000.</w:t>
      </w:r>
    </w:p>
  </w:footnote>
  <w:footnote w:id="5">
    <w:p w14:paraId="65BBADC1"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Jack Mosseri’s intention was to gather enough manuscripts to safeguard the cultural heritage of Jewish Egypt in its own country. He regretted that Schechter had so easily carried off the Cairo Genizah, saying in an interview: “It is somewhat unfortunate… that these literary treasures were taken away from Egypt… We did not at the time appreciate the nature of the hoard with which we so light-heartedly parted.” See “In the Land of the Pharaohs: Interview with Mr. Jack N. Mosseri, of Cairo”, </w:t>
      </w:r>
      <w:r>
        <w:rPr>
          <w:rFonts w:ascii="Brill" w:hAnsi="Brill"/>
          <w:i/>
          <w:iCs/>
          <w:sz w:val="20"/>
          <w:szCs w:val="20"/>
        </w:rPr>
        <w:t>The Jewish Chronicle</w:t>
      </w:r>
      <w:r>
        <w:rPr>
          <w:rFonts w:ascii="Brill" w:hAnsi="Brill"/>
          <w:sz w:val="20"/>
          <w:szCs w:val="20"/>
        </w:rPr>
        <w:t xml:space="preserve"> 5 May 1911, p. 17.</w:t>
      </w:r>
    </w:p>
  </w:footnote>
  <w:footnote w:id="6">
    <w:p w14:paraId="6C05A2D9"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See J. Mosseri, “A new hoard of Jewish MSS. in Cairo”, 1913–1914, pp. 208–216.</w:t>
      </w:r>
    </w:p>
  </w:footnote>
  <w:footnote w:id="7">
    <w:p w14:paraId="2F454197"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This can be seen, for example, by a search for the keyword “ketubba” on Cambridge Digital Library (</w:t>
      </w:r>
      <w:hyperlink r:id="rId2" w:history="1">
        <w:r w:rsidRPr="00F24011">
          <w:rPr>
            <w:rStyle w:val="Hyperlink0"/>
            <w:rFonts w:ascii="Gentium" w:hAnsi="Gentium"/>
          </w:rPr>
          <w:t>https://cudl.lib.cam.ac.uk</w:t>
        </w:r>
        <w:r>
          <w:rPr>
            <w:rStyle w:val="Hyperlink0"/>
          </w:rPr>
          <w:t>)</w:t>
        </w:r>
      </w:hyperlink>
      <w:r>
        <w:rPr>
          <w:rFonts w:ascii="Brill" w:hAnsi="Brill"/>
          <w:sz w:val="20"/>
          <w:szCs w:val="20"/>
        </w:rPr>
        <w:t>, which has descriptions and images for currently (3 January 2018) about 10% of the total number of Cambridge’s Genizah fragments. The search returns 284 relevant manuscripts.</w:t>
      </w:r>
    </w:p>
  </w:footnote>
  <w:footnote w:id="8">
    <w:p w14:paraId="0EF200EB"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On the political and economic situation of the Jews in the nineteenth century, see J. Tobi, </w:t>
      </w:r>
      <w:r>
        <w:rPr>
          <w:rFonts w:ascii="Brill" w:hAnsi="Brill"/>
          <w:i/>
          <w:iCs/>
          <w:sz w:val="20"/>
          <w:szCs w:val="20"/>
        </w:rPr>
        <w:t>The Jews of Yemen: Studies in their history and culture</w:t>
      </w:r>
      <w:r>
        <w:rPr>
          <w:rFonts w:ascii="Brill" w:hAnsi="Brill"/>
          <w:sz w:val="20"/>
          <w:szCs w:val="20"/>
        </w:rPr>
        <w:t xml:space="preserve">, 1999, pp. 85–86. Ari Ariel states that “economic hardship was the major factor in provoking Jewish migration”, see A. Ariel, </w:t>
      </w:r>
      <w:r>
        <w:rPr>
          <w:rFonts w:ascii="Brill" w:hAnsi="Brill"/>
          <w:i/>
          <w:iCs/>
          <w:sz w:val="20"/>
          <w:szCs w:val="20"/>
        </w:rPr>
        <w:t>Jewish-Muslim Relations and Migration from Yemen to Palestine in the Late Nineteenth and Twentieth Centuries</w:t>
      </w:r>
      <w:r>
        <w:rPr>
          <w:rFonts w:ascii="Brill" w:hAnsi="Brill"/>
          <w:sz w:val="20"/>
          <w:szCs w:val="20"/>
        </w:rPr>
        <w:t>, 2014, p. 43.</w:t>
      </w:r>
    </w:p>
  </w:footnote>
  <w:footnote w:id="9">
    <w:p w14:paraId="751A00A6"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See T. Parfitt, </w:t>
      </w:r>
      <w:r>
        <w:rPr>
          <w:rFonts w:ascii="Brill" w:hAnsi="Brill"/>
          <w:i/>
          <w:iCs/>
          <w:sz w:val="20"/>
          <w:szCs w:val="20"/>
        </w:rPr>
        <w:t xml:space="preserve">The road to redemption: The Jews of the Yemen, 1900–1950, </w:t>
      </w:r>
      <w:r>
        <w:rPr>
          <w:rFonts w:ascii="Brill" w:hAnsi="Brill"/>
          <w:sz w:val="20"/>
          <w:szCs w:val="20"/>
        </w:rPr>
        <w:t>1996, p. 50.</w:t>
      </w:r>
    </w:p>
  </w:footnote>
  <w:footnote w:id="10">
    <w:p w14:paraId="0197D2E0"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 Parfitt, </w:t>
      </w:r>
      <w:r>
        <w:rPr>
          <w:rFonts w:ascii="Brill" w:hAnsi="Brill"/>
          <w:i/>
          <w:iCs/>
          <w:sz w:val="20"/>
          <w:szCs w:val="20"/>
        </w:rPr>
        <w:t>The road to redemption</w:t>
      </w:r>
      <w:r>
        <w:rPr>
          <w:rFonts w:ascii="Brill" w:hAnsi="Brill"/>
          <w:sz w:val="20"/>
          <w:szCs w:val="20"/>
        </w:rPr>
        <w:t xml:space="preserve">, 1996, pp. 54–55. There was a suspension of migration from Sanaa, following the siege of 1905, but by 1910 it had resumed; see Y. Nini, </w:t>
      </w:r>
      <w:r>
        <w:rPr>
          <w:rFonts w:ascii="Brill" w:hAnsi="Brill"/>
          <w:i/>
          <w:iCs/>
          <w:sz w:val="20"/>
          <w:szCs w:val="20"/>
        </w:rPr>
        <w:t>The Jews of the Yemen, 1800–1914</w:t>
      </w:r>
      <w:r>
        <w:rPr>
          <w:rFonts w:ascii="Brill" w:hAnsi="Brill"/>
          <w:sz w:val="20"/>
          <w:szCs w:val="20"/>
        </w:rPr>
        <w:t>, 1991, p. 216.</w:t>
      </w:r>
    </w:p>
  </w:footnote>
  <w:footnote w:id="11">
    <w:p w14:paraId="38818483"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On the conditions in Jerusalem see J. Tobi, </w:t>
      </w:r>
      <w:r>
        <w:rPr>
          <w:rFonts w:ascii="Brill" w:hAnsi="Brill"/>
          <w:i/>
          <w:iCs/>
          <w:sz w:val="20"/>
          <w:szCs w:val="20"/>
        </w:rPr>
        <w:t>The Jews of Yemen</w:t>
      </w:r>
      <w:r>
        <w:rPr>
          <w:rFonts w:ascii="Brill" w:hAnsi="Brill"/>
          <w:sz w:val="20"/>
          <w:szCs w:val="20"/>
        </w:rPr>
        <w:t>, p. 102.</w:t>
      </w:r>
    </w:p>
  </w:footnote>
  <w:footnote w:id="12">
    <w:p w14:paraId="5BC564B7" w14:textId="77777777" w:rsidR="00DB4AB8" w:rsidRDefault="00876BE0">
      <w:pPr>
        <w:pStyle w:val="FootnoteText"/>
        <w:spacing w:line="276" w:lineRule="auto"/>
        <w:jc w:val="both"/>
      </w:pPr>
      <w:r>
        <w:rPr>
          <w:rFonts w:ascii="Brill" w:eastAsia="Brill" w:hAnsi="Brill" w:cs="Brill"/>
          <w:vertAlign w:val="superscript"/>
        </w:rPr>
        <w:footnoteRef/>
      </w:r>
      <w:r>
        <w:rPr>
          <w:rFonts w:ascii="Times New Roman" w:hAnsi="Times New Roman"/>
          <w:sz w:val="20"/>
          <w:szCs w:val="20"/>
          <w:rtl/>
          <w:lang w:val="ar-SA"/>
        </w:rPr>
        <w:t xml:space="preserve"> </w:t>
      </w:r>
      <w:r>
        <w:rPr>
          <w:rFonts w:ascii="Brill" w:hAnsi="Brill"/>
          <w:sz w:val="20"/>
          <w:szCs w:val="20"/>
        </w:rPr>
        <w:t xml:space="preserve"> Tammuz is the fourth month of the Jewish year, and 6th Tammuz 2210 equates to 14th June 1899. The “Era of Documents” is the system of dating deriving from the era of the Seleucid Empire. In the Middle Ages, it was particularly favoured among the Babylonian Jews, hence its continued use among Yemeni Jews. See M. A. Friedman, </w:t>
      </w:r>
      <w:r>
        <w:rPr>
          <w:rFonts w:ascii="Brill" w:hAnsi="Brill"/>
          <w:i/>
          <w:iCs/>
          <w:sz w:val="20"/>
          <w:szCs w:val="20"/>
        </w:rPr>
        <w:t xml:space="preserve">Jewish marriage in Palestine: A Cairo Geniza study, </w:t>
      </w:r>
      <w:r>
        <w:rPr>
          <w:rFonts w:ascii="Brill" w:hAnsi="Brill"/>
          <w:sz w:val="20"/>
          <w:szCs w:val="20"/>
        </w:rPr>
        <w:t>1980, vol. 1, p. 106.</w:t>
      </w:r>
    </w:p>
  </w:footnote>
  <w:footnote w:id="13">
    <w:p w14:paraId="3EB59E97" w14:textId="77777777" w:rsidR="00DB4AB8" w:rsidRDefault="00876BE0">
      <w:pPr>
        <w:pStyle w:val="FootnoteText"/>
        <w:spacing w:line="276" w:lineRule="auto"/>
        <w:jc w:val="both"/>
      </w:pPr>
      <w:r>
        <w:rPr>
          <w:rFonts w:ascii="Brill" w:eastAsia="Brill" w:hAnsi="Brill" w:cs="Brill"/>
          <w:vertAlign w:val="superscript"/>
        </w:rPr>
        <w:footnoteRef/>
      </w:r>
      <w:r>
        <w:rPr>
          <w:rFonts w:ascii="Times New Roman" w:hAnsi="Times New Roman"/>
          <w:sz w:val="20"/>
          <w:szCs w:val="20"/>
          <w:rtl/>
          <w:lang w:val="ar-SA"/>
        </w:rPr>
        <w:t xml:space="preserve"> </w:t>
      </w:r>
      <w:r>
        <w:rPr>
          <w:rFonts w:ascii="Brill" w:hAnsi="Brill"/>
          <w:sz w:val="20"/>
          <w:szCs w:val="20"/>
        </w:rPr>
        <w:t>The Jewish quarter, Qāʿ al-Yahūd, was situated in the west of the city of Sanaa, in Bīr al-</w:t>
      </w:r>
      <w:r>
        <w:rPr>
          <w:rFonts w:ascii="Brill" w:hAnsi="Brill"/>
          <w:sz w:val="20"/>
          <w:szCs w:val="20"/>
          <w:vertAlign w:val="superscript"/>
        </w:rPr>
        <w:t>ʿ</w:t>
      </w:r>
      <w:r>
        <w:rPr>
          <w:rFonts w:ascii="Brill" w:hAnsi="Brill"/>
          <w:sz w:val="20"/>
          <w:szCs w:val="20"/>
        </w:rPr>
        <w:t xml:space="preserve">Azab. The quarter was established there after the expulsion of the Jews from the old city of Sanaa in 1679. See R. Lewcock, P. Costa, R. B. Serjeant &amp; R. Wilson, “The Urban Development of Ṣanʿāʾ”, in R. B. Serjeant &amp; R. Lewcock (eds.), </w:t>
      </w:r>
      <w:r>
        <w:rPr>
          <w:rFonts w:ascii="Brill" w:hAnsi="Brill"/>
          <w:i/>
          <w:iCs/>
          <w:sz w:val="20"/>
          <w:szCs w:val="20"/>
        </w:rPr>
        <w:t>Ṣanʿāʾ: An Arabian Islamic city</w:t>
      </w:r>
      <w:r>
        <w:rPr>
          <w:rFonts w:ascii="Brill" w:hAnsi="Brill"/>
          <w:sz w:val="20"/>
          <w:szCs w:val="20"/>
        </w:rPr>
        <w:t>, London, 1983, p. 136.</w:t>
      </w:r>
    </w:p>
  </w:footnote>
  <w:footnote w:id="14">
    <w:p w14:paraId="5891E617"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same phrase is used to describe Sanaa itself, “Ṣanʿāʾ, which is on her own wellsprings”, in another Jewish document from the Yemen, Sassoon 1055a, l. 2, dated 1662 CE; it is edited in S. D. Goitein, </w:t>
      </w:r>
      <w:r>
        <w:rPr>
          <w:rFonts w:ascii="Brill" w:hAnsi="Brill"/>
          <w:i/>
          <w:iCs/>
          <w:sz w:val="20"/>
          <w:szCs w:val="20"/>
        </w:rPr>
        <w:t>The Yemenites: History, communal organisation, spiritual life</w:t>
      </w:r>
      <w:r>
        <w:rPr>
          <w:rFonts w:ascii="Brill" w:hAnsi="Brill"/>
          <w:sz w:val="20"/>
          <w:szCs w:val="20"/>
        </w:rPr>
        <w:t xml:space="preserve">, 1983, p. 152. Wells and perpetual springs were the most important source of the city’s water; see R. B. Serjeant, P. Costa &amp; R. Lewcock, “The Ghayls of Ṣanʿāʾ”, in R. B. Serjeant &amp; R. Lewcock (eds.), </w:t>
      </w:r>
      <w:r>
        <w:rPr>
          <w:rFonts w:ascii="Brill" w:hAnsi="Brill"/>
          <w:i/>
          <w:iCs/>
          <w:sz w:val="20"/>
          <w:szCs w:val="20"/>
        </w:rPr>
        <w:t>Ṣanʿāʾ</w:t>
      </w:r>
      <w:r>
        <w:rPr>
          <w:rFonts w:ascii="Brill" w:hAnsi="Brill"/>
          <w:sz w:val="20"/>
          <w:szCs w:val="20"/>
        </w:rPr>
        <w:t>, 1983, p. 19.</w:t>
      </w:r>
    </w:p>
  </w:footnote>
  <w:footnote w:id="15">
    <w:p w14:paraId="7034D506"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This is the Arabic version of the Hebrew name Šalem b. Aaron.</w:t>
      </w:r>
    </w:p>
  </w:footnote>
  <w:footnote w:id="16">
    <w:p w14:paraId="35DD2AC3"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scribe uses a mixed form, </w:t>
      </w:r>
      <w:r>
        <w:rPr>
          <w:rFonts w:cs="Times New Roman" w:hint="cs"/>
          <w:sz w:val="20"/>
          <w:szCs w:val="20"/>
          <w:rtl/>
          <w:lang w:val="he-IL" w:bidi="he-IL"/>
        </w:rPr>
        <w:t>אלמכונה</w:t>
      </w:r>
      <w:r>
        <w:rPr>
          <w:rFonts w:ascii="Brill" w:hAnsi="Brill"/>
          <w:sz w:val="20"/>
          <w:szCs w:val="20"/>
        </w:rPr>
        <w:t xml:space="preserve">, a Hebrew participle with an Arabic definite article, for “who is known as”, instead of the Hebrew </w:t>
      </w:r>
      <w:r>
        <w:rPr>
          <w:rFonts w:cs="Times New Roman" w:hint="cs"/>
          <w:sz w:val="20"/>
          <w:szCs w:val="20"/>
          <w:rtl/>
          <w:lang w:val="he-IL" w:bidi="he-IL"/>
        </w:rPr>
        <w:t>המכונה</w:t>
      </w:r>
      <w:r>
        <w:rPr>
          <w:rFonts w:ascii="Brill" w:hAnsi="Brill"/>
          <w:sz w:val="20"/>
          <w:szCs w:val="20"/>
        </w:rPr>
        <w:t>.</w:t>
      </w:r>
    </w:p>
  </w:footnote>
  <w:footnote w:id="17">
    <w:p w14:paraId="00BE3DC1"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Zihreh, Arabic </w:t>
      </w:r>
      <w:r>
        <w:rPr>
          <w:rFonts w:cs="Times New Roman" w:hint="cs"/>
          <w:sz w:val="20"/>
          <w:szCs w:val="20"/>
          <w:rtl/>
          <w:lang w:val="ar-SA"/>
        </w:rPr>
        <w:t>زُهرة</w:t>
      </w:r>
      <w:r>
        <w:rPr>
          <w:rFonts w:ascii="Brill" w:hAnsi="Brill" w:cs="Brill"/>
          <w:sz w:val="20"/>
          <w:szCs w:val="20"/>
          <w:cs/>
        </w:rPr>
        <w:t>‎</w:t>
      </w:r>
      <w:r>
        <w:rPr>
          <w:rFonts w:ascii="Brill" w:hAnsi="Brill"/>
          <w:sz w:val="20"/>
          <w:szCs w:val="20"/>
        </w:rPr>
        <w:t>. The family name ʿUzayrī was extremely common among the Jews of Yemen, and so often a nickname was added to distinguish different families. The nickname used here, Zihreh, is a very common woman’s name in Yemen, but is not usually found as a nickname. It seems likely that this nickname was bestowed after a woman of the family who was successful, perhaps, in business. We are very grateful to Prof. Yosef Yuval Tobi for this information.</w:t>
      </w:r>
    </w:p>
  </w:footnote>
  <w:footnote w:id="18">
    <w:p w14:paraId="1D53D075"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“I married” or “I am married to” are both acceptable translations. The use of the participle with a 1 sing. suffixed pronoun </w:t>
      </w:r>
      <w:r>
        <w:rPr>
          <w:rFonts w:ascii="Times New Roman" w:hAnsi="Times New Roman"/>
          <w:sz w:val="20"/>
          <w:szCs w:val="20"/>
          <w:rtl/>
          <w:lang w:val="he-IL" w:bidi="he-IL"/>
        </w:rPr>
        <w:t>–</w:t>
      </w:r>
      <w:r>
        <w:rPr>
          <w:rFonts w:cs="Times New Roman" w:hint="cs"/>
          <w:sz w:val="20"/>
          <w:szCs w:val="20"/>
          <w:rtl/>
          <w:lang w:val="he-IL" w:bidi="he-IL"/>
        </w:rPr>
        <w:t>נא</w:t>
      </w:r>
      <w:r>
        <w:rPr>
          <w:rFonts w:ascii="Brill" w:hAnsi="Brill"/>
          <w:sz w:val="20"/>
          <w:szCs w:val="20"/>
        </w:rPr>
        <w:t xml:space="preserve"> for the present tense is characteristic of Babylonian Aramaic; see J. Epstein &amp; E. Melamed, </w:t>
      </w:r>
      <w:r>
        <w:rPr>
          <w:rFonts w:ascii="Brill" w:hAnsi="Brill"/>
          <w:i/>
          <w:iCs/>
          <w:sz w:val="20"/>
          <w:szCs w:val="20"/>
        </w:rPr>
        <w:t>A grammar of Babylonian Aramaic</w:t>
      </w:r>
      <w:r>
        <w:rPr>
          <w:rFonts w:ascii="Brill" w:hAnsi="Brill"/>
          <w:sz w:val="20"/>
          <w:szCs w:val="20"/>
        </w:rPr>
        <w:t xml:space="preserve"> (Hebrew), 1960, pp. 40–41. See also </w:t>
      </w:r>
      <w:r>
        <w:rPr>
          <w:rFonts w:cs="Times New Roman" w:hint="cs"/>
          <w:sz w:val="20"/>
          <w:szCs w:val="20"/>
          <w:rtl/>
          <w:lang w:val="he-IL" w:bidi="he-IL"/>
        </w:rPr>
        <w:t>יהיבנא</w:t>
      </w:r>
      <w:r>
        <w:rPr>
          <w:rFonts w:ascii="Brill" w:hAnsi="Brill"/>
          <w:sz w:val="20"/>
          <w:szCs w:val="20"/>
        </w:rPr>
        <w:t xml:space="preserve">, “I hereby give”, in l. 13.  </w:t>
      </w:r>
    </w:p>
  </w:footnote>
  <w:footnote w:id="19">
    <w:p w14:paraId="3370ECF3"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That is to say, she was a virgin when the original contract was written.</w:t>
      </w:r>
    </w:p>
  </w:footnote>
  <w:footnote w:id="20">
    <w:p w14:paraId="0E3F0075" w14:textId="77777777" w:rsidR="00DB4AB8" w:rsidRDefault="00876BE0">
      <w:pPr>
        <w:pStyle w:val="FootnoteText"/>
        <w:spacing w:line="276" w:lineRule="auto"/>
        <w:jc w:val="both"/>
      </w:pPr>
      <w:r>
        <w:rPr>
          <w:rFonts w:ascii="Brill" w:eastAsia="Brill" w:hAnsi="Brill" w:cs="Brill"/>
          <w:vertAlign w:val="superscript"/>
        </w:rPr>
        <w:footnoteRef/>
      </w:r>
      <w:r>
        <w:rPr>
          <w:rFonts w:ascii="Times New Roman" w:hAnsi="Times New Roman"/>
          <w:sz w:val="20"/>
          <w:szCs w:val="20"/>
          <w:rtl/>
          <w:lang w:val="ar-SA"/>
        </w:rPr>
        <w:t xml:space="preserve"> </w:t>
      </w:r>
      <w:r>
        <w:rPr>
          <w:rFonts w:ascii="Brill" w:hAnsi="Brill"/>
          <w:sz w:val="20"/>
          <w:szCs w:val="20"/>
        </w:rPr>
        <w:t>That is, with a written marriage contract (</w:t>
      </w:r>
      <w:r>
        <w:rPr>
          <w:rFonts w:ascii="Brill" w:hAnsi="Brill"/>
          <w:i/>
          <w:iCs/>
          <w:sz w:val="20"/>
          <w:szCs w:val="20"/>
        </w:rPr>
        <w:t>ketubba</w:t>
      </w:r>
      <w:r>
        <w:rPr>
          <w:rFonts w:ascii="Brill" w:hAnsi="Brill"/>
          <w:sz w:val="20"/>
          <w:szCs w:val="20"/>
        </w:rPr>
        <w:t>) and act of betrothal (</w:t>
      </w:r>
      <w:r>
        <w:rPr>
          <w:rFonts w:ascii="Brill" w:hAnsi="Brill"/>
          <w:i/>
          <w:iCs/>
          <w:sz w:val="20"/>
          <w:szCs w:val="20"/>
        </w:rPr>
        <w:t>qiddušin</w:t>
      </w:r>
      <w:r>
        <w:rPr>
          <w:rFonts w:ascii="Brill" w:hAnsi="Brill"/>
          <w:sz w:val="20"/>
          <w:szCs w:val="20"/>
        </w:rPr>
        <w:t xml:space="preserve">), as required by Jewish law. See M. A. Friedman, </w:t>
      </w:r>
      <w:r>
        <w:rPr>
          <w:rFonts w:ascii="Brill" w:hAnsi="Brill"/>
          <w:i/>
          <w:iCs/>
          <w:sz w:val="20"/>
          <w:szCs w:val="20"/>
        </w:rPr>
        <w:t>Jewish marriage</w:t>
      </w:r>
      <w:r>
        <w:rPr>
          <w:rFonts w:ascii="Brill" w:hAnsi="Brill"/>
          <w:sz w:val="20"/>
          <w:szCs w:val="20"/>
        </w:rPr>
        <w:t>, 1980, vol. 1, pp. 192–215.</w:t>
      </w:r>
    </w:p>
  </w:footnote>
  <w:footnote w:id="21">
    <w:p w14:paraId="22013FFE"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term used is </w:t>
      </w:r>
      <w:r>
        <w:rPr>
          <w:rFonts w:cs="Times New Roman" w:hint="cs"/>
          <w:sz w:val="20"/>
          <w:szCs w:val="20"/>
          <w:rtl/>
          <w:lang w:val="he-IL" w:bidi="he-IL"/>
        </w:rPr>
        <w:t>כתובא דארכסא</w:t>
      </w:r>
      <w:r>
        <w:rPr>
          <w:rFonts w:ascii="Brill" w:hAnsi="Brill"/>
          <w:sz w:val="20"/>
          <w:szCs w:val="20"/>
        </w:rPr>
        <w:t xml:space="preserve"> in Aramaic. This term is commonly used to denote a lost </w:t>
      </w:r>
      <w:r>
        <w:rPr>
          <w:rFonts w:ascii="Brill" w:hAnsi="Brill"/>
          <w:i/>
          <w:iCs/>
          <w:sz w:val="20"/>
          <w:szCs w:val="20"/>
        </w:rPr>
        <w:t>ketubba</w:t>
      </w:r>
      <w:r>
        <w:rPr>
          <w:rFonts w:ascii="Brill" w:hAnsi="Brill"/>
          <w:sz w:val="20"/>
          <w:szCs w:val="20"/>
        </w:rPr>
        <w:t>, and in all the Yemenites prayer-books (</w:t>
      </w:r>
      <w:r>
        <w:rPr>
          <w:rFonts w:ascii="Brill" w:hAnsi="Brill"/>
          <w:i/>
          <w:iCs/>
          <w:sz w:val="20"/>
          <w:szCs w:val="20"/>
        </w:rPr>
        <w:t>tiklāls</w:t>
      </w:r>
      <w:r>
        <w:rPr>
          <w:rFonts w:ascii="Brill" w:hAnsi="Brill"/>
          <w:sz w:val="20"/>
          <w:szCs w:val="20"/>
        </w:rPr>
        <w:t>) you can find the formula for writing them. We wish to thank Prof. Yosef Yuval Tobi for bringing this to our attention.</w:t>
      </w:r>
    </w:p>
  </w:footnote>
  <w:footnote w:id="22">
    <w:p w14:paraId="2500A6F0"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Hebrew </w:t>
      </w:r>
      <w:r>
        <w:rPr>
          <w:rFonts w:cs="Times New Roman" w:hint="cs"/>
          <w:sz w:val="20"/>
          <w:szCs w:val="20"/>
          <w:rtl/>
          <w:lang w:val="he-IL" w:bidi="he-IL"/>
        </w:rPr>
        <w:t>אפילו</w:t>
      </w:r>
      <w:r>
        <w:rPr>
          <w:rFonts w:ascii="Brill" w:hAnsi="Brill"/>
          <w:sz w:val="20"/>
          <w:szCs w:val="20"/>
        </w:rPr>
        <w:t xml:space="preserve">, “even”, is shortened to </w:t>
      </w:r>
      <w:r>
        <w:rPr>
          <w:rFonts w:cs="Times New Roman" w:hint="cs"/>
          <w:sz w:val="20"/>
          <w:szCs w:val="20"/>
          <w:rtl/>
          <w:lang w:val="he-IL" w:bidi="he-IL"/>
        </w:rPr>
        <w:t>אפי׳</w:t>
      </w:r>
      <w:r>
        <w:rPr>
          <w:rFonts w:ascii="Brill" w:hAnsi="Brill"/>
          <w:sz w:val="20"/>
          <w:szCs w:val="20"/>
        </w:rPr>
        <w:t xml:space="preserve"> throughout the document.</w:t>
      </w:r>
    </w:p>
  </w:footnote>
  <w:footnote w:id="23">
    <w:p w14:paraId="2511151A" w14:textId="77777777" w:rsidR="00DB4AB8" w:rsidRDefault="00876BE0">
      <w:pPr>
        <w:pStyle w:val="FootnoteText"/>
        <w:spacing w:line="276" w:lineRule="auto"/>
        <w:jc w:val="both"/>
      </w:pPr>
      <w:r>
        <w:rPr>
          <w:rFonts w:ascii="Brill" w:eastAsia="Brill" w:hAnsi="Brill" w:cs="Brill"/>
          <w:vertAlign w:val="superscript"/>
        </w:rPr>
        <w:footnoteRef/>
      </w:r>
      <w:r>
        <w:rPr>
          <w:rFonts w:ascii="Times New Roman" w:hAnsi="Times New Roman"/>
          <w:sz w:val="20"/>
          <w:szCs w:val="20"/>
          <w:rtl/>
          <w:lang w:val="ar-SA"/>
        </w:rPr>
        <w:t xml:space="preserve"> </w:t>
      </w:r>
      <w:r>
        <w:rPr>
          <w:rFonts w:ascii="Brill" w:hAnsi="Brill"/>
          <w:sz w:val="20"/>
          <w:szCs w:val="20"/>
        </w:rPr>
        <w:t xml:space="preserve"> A quotation from the Babylonian Talmud, Bava Qama 89b.</w:t>
      </w:r>
    </w:p>
  </w:footnote>
  <w:footnote w:id="24">
    <w:p w14:paraId="1B63425A"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“Thus”, </w:t>
      </w:r>
      <w:r>
        <w:rPr>
          <w:rFonts w:cs="Times New Roman" w:hint="cs"/>
          <w:sz w:val="20"/>
          <w:szCs w:val="20"/>
          <w:rtl/>
          <w:lang w:val="he-IL" w:bidi="he-IL"/>
        </w:rPr>
        <w:t>איך</w:t>
      </w:r>
      <w:r>
        <w:rPr>
          <w:rFonts w:ascii="Brill" w:hAnsi="Brill"/>
          <w:sz w:val="20"/>
          <w:szCs w:val="20"/>
        </w:rPr>
        <w:t xml:space="preserve">, is a particle used in legal deeds to introduce direct speech. The dot above the final </w:t>
      </w:r>
      <w:r>
        <w:rPr>
          <w:rFonts w:ascii="Brill" w:hAnsi="Brill"/>
          <w:i/>
          <w:iCs/>
          <w:sz w:val="20"/>
          <w:szCs w:val="20"/>
        </w:rPr>
        <w:t>kaf</w:t>
      </w:r>
      <w:r>
        <w:rPr>
          <w:rFonts w:ascii="Brill" w:hAnsi="Brill"/>
          <w:sz w:val="20"/>
          <w:szCs w:val="20"/>
        </w:rPr>
        <w:t xml:space="preserve"> presumably denotes the spirant, post-vocalic pronunciation, of the letter, </w:t>
      </w:r>
      <w:r>
        <w:rPr>
          <w:rFonts w:ascii="Brill" w:hAnsi="Brill"/>
          <w:i/>
          <w:iCs/>
          <w:sz w:val="20"/>
          <w:szCs w:val="20"/>
        </w:rPr>
        <w:t>ḵ</w:t>
      </w:r>
      <w:r>
        <w:rPr>
          <w:rFonts w:ascii="Brill" w:hAnsi="Brill"/>
          <w:sz w:val="20"/>
          <w:szCs w:val="20"/>
        </w:rPr>
        <w:t>.</w:t>
      </w:r>
    </w:p>
  </w:footnote>
  <w:footnote w:id="25">
    <w:p w14:paraId="49F545DB" w14:textId="77777777" w:rsidR="00DB4AB8" w:rsidRDefault="00876BE0">
      <w:pPr>
        <w:pStyle w:val="FootnoteText"/>
        <w:spacing w:line="276" w:lineRule="auto"/>
        <w:jc w:val="both"/>
      </w:pPr>
      <w:r>
        <w:rPr>
          <w:rFonts w:ascii="Brill" w:eastAsia="Brill" w:hAnsi="Brill" w:cs="Brill"/>
          <w:vertAlign w:val="superscript"/>
        </w:rPr>
        <w:footnoteRef/>
      </w:r>
      <w:r>
        <w:rPr>
          <w:rFonts w:ascii="Times New Roman" w:hAnsi="Times New Roman"/>
          <w:sz w:val="20"/>
          <w:szCs w:val="20"/>
          <w:rtl/>
          <w:lang w:val="ar-SA"/>
        </w:rPr>
        <w:t xml:space="preserve"> </w:t>
      </w:r>
      <w:r>
        <w:rPr>
          <w:rFonts w:ascii="Brill" w:hAnsi="Brill"/>
          <w:sz w:val="20"/>
          <w:szCs w:val="20"/>
        </w:rPr>
        <w:t xml:space="preserve"> The </w:t>
      </w:r>
      <w:r>
        <w:rPr>
          <w:rFonts w:ascii="Brill" w:hAnsi="Brill"/>
          <w:i/>
          <w:iCs/>
          <w:sz w:val="20"/>
          <w:szCs w:val="20"/>
        </w:rPr>
        <w:t>mohar</w:t>
      </w:r>
      <w:r>
        <w:rPr>
          <w:rFonts w:ascii="Brill" w:hAnsi="Brill"/>
          <w:sz w:val="20"/>
          <w:szCs w:val="20"/>
        </w:rPr>
        <w:t xml:space="preserve"> is the customary marriage payment. The basic sum for a virgin bride was 200 </w:t>
      </w:r>
      <w:r>
        <w:rPr>
          <w:rFonts w:ascii="Brill" w:hAnsi="Brill"/>
          <w:i/>
          <w:iCs/>
          <w:sz w:val="20"/>
          <w:szCs w:val="20"/>
        </w:rPr>
        <w:t>zuz</w:t>
      </w:r>
      <w:r>
        <w:rPr>
          <w:rFonts w:ascii="Brill" w:hAnsi="Brill"/>
          <w:sz w:val="20"/>
          <w:szCs w:val="20"/>
        </w:rPr>
        <w:t xml:space="preserve"> (Mišna Ketubbot 5:1), a widow was half as much. See B.-Z. Schereschewsky and M. Elon, “Dowry”, in M. Berenbaum and F. Skolnik (eds.), </w:t>
      </w:r>
      <w:r>
        <w:rPr>
          <w:rFonts w:ascii="Brill" w:hAnsi="Brill"/>
          <w:i/>
          <w:iCs/>
          <w:sz w:val="20"/>
          <w:szCs w:val="20"/>
        </w:rPr>
        <w:t>Encyclopaedia Judaica</w:t>
      </w:r>
      <w:r>
        <w:rPr>
          <w:rFonts w:ascii="Brill" w:hAnsi="Brill"/>
          <w:sz w:val="20"/>
          <w:szCs w:val="20"/>
        </w:rPr>
        <w:t>, 2nd ed., 2007, vol. 5, pp. 768–772. From </w:t>
      </w:r>
      <w:r>
        <w:rPr>
          <w:rFonts w:ascii="Brill" w:hAnsi="Brill"/>
          <w:i/>
          <w:iCs/>
          <w:sz w:val="20"/>
          <w:szCs w:val="20"/>
        </w:rPr>
        <w:t>Gale Virtual Reference Library</w:t>
      </w:r>
      <w:r>
        <w:rPr>
          <w:rFonts w:ascii="Brill" w:hAnsi="Brill"/>
          <w:sz w:val="20"/>
          <w:szCs w:val="20"/>
        </w:rPr>
        <w:t xml:space="preserve"> (accessed 30 December 2017). </w:t>
      </w:r>
    </w:p>
  </w:footnote>
  <w:footnote w:id="26">
    <w:p w14:paraId="6185CBDE"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While the western (Palestinian) Jewish custom retained the basic level of 200 </w:t>
      </w:r>
      <w:r>
        <w:rPr>
          <w:rFonts w:ascii="Brill" w:hAnsi="Brill"/>
          <w:i/>
          <w:iCs/>
          <w:sz w:val="20"/>
          <w:szCs w:val="20"/>
        </w:rPr>
        <w:t>zuz</w:t>
      </w:r>
      <w:r>
        <w:rPr>
          <w:rFonts w:ascii="Brill" w:hAnsi="Brill"/>
          <w:sz w:val="20"/>
          <w:szCs w:val="20"/>
        </w:rPr>
        <w:t xml:space="preserve"> for a virgin bride, the Babylonian custom preferred 25 </w:t>
      </w:r>
      <w:r>
        <w:rPr>
          <w:rFonts w:ascii="Brill" w:hAnsi="Brill"/>
          <w:i/>
          <w:iCs/>
          <w:sz w:val="20"/>
          <w:szCs w:val="20"/>
        </w:rPr>
        <w:t>zuz</w:t>
      </w:r>
      <w:r>
        <w:rPr>
          <w:rFonts w:ascii="Brill" w:hAnsi="Brill"/>
          <w:sz w:val="20"/>
          <w:szCs w:val="20"/>
        </w:rPr>
        <w:t xml:space="preserve">. Here, the </w:t>
      </w:r>
      <w:r>
        <w:rPr>
          <w:rFonts w:ascii="Brill" w:hAnsi="Brill"/>
          <w:i/>
          <w:iCs/>
          <w:sz w:val="20"/>
          <w:szCs w:val="20"/>
        </w:rPr>
        <w:t>ketubba</w:t>
      </w:r>
      <w:r>
        <w:rPr>
          <w:rFonts w:ascii="Brill" w:hAnsi="Brill"/>
          <w:sz w:val="20"/>
          <w:szCs w:val="20"/>
        </w:rPr>
        <w:t xml:space="preserve"> has both, equating the Babylonian 25 </w:t>
      </w:r>
      <w:r>
        <w:rPr>
          <w:rFonts w:ascii="Brill" w:hAnsi="Brill"/>
          <w:i/>
          <w:iCs/>
          <w:sz w:val="20"/>
          <w:szCs w:val="20"/>
        </w:rPr>
        <w:t>zuz</w:t>
      </w:r>
      <w:r>
        <w:rPr>
          <w:rFonts w:ascii="Brill" w:hAnsi="Brill"/>
          <w:sz w:val="20"/>
          <w:szCs w:val="20"/>
        </w:rPr>
        <w:t xml:space="preserve"> of “pure silver” with the rabbinically mandated 200. For more on the different interpretations of the </w:t>
      </w:r>
      <w:r>
        <w:rPr>
          <w:rFonts w:ascii="Brill" w:hAnsi="Brill"/>
          <w:i/>
          <w:iCs/>
          <w:sz w:val="20"/>
          <w:szCs w:val="20"/>
        </w:rPr>
        <w:t>mohar</w:t>
      </w:r>
      <w:r>
        <w:rPr>
          <w:rFonts w:ascii="Brill" w:hAnsi="Brill"/>
          <w:sz w:val="20"/>
          <w:szCs w:val="20"/>
        </w:rPr>
        <w:t xml:space="preserve"> payment, see M. A. Friedman, </w:t>
      </w:r>
      <w:r>
        <w:rPr>
          <w:rFonts w:ascii="Brill" w:hAnsi="Brill"/>
          <w:i/>
          <w:iCs/>
          <w:sz w:val="20"/>
          <w:szCs w:val="20"/>
        </w:rPr>
        <w:t>Jewish marriage</w:t>
      </w:r>
      <w:r>
        <w:rPr>
          <w:rFonts w:ascii="Brill" w:hAnsi="Brill"/>
          <w:sz w:val="20"/>
          <w:szCs w:val="20"/>
        </w:rPr>
        <w:t>, 1980, vol. 1, pp. 251–257.</w:t>
      </w:r>
    </w:p>
  </w:footnote>
  <w:footnote w:id="27">
    <w:p w14:paraId="64EAFBFB"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document has the form </w:t>
      </w:r>
      <w:r>
        <w:rPr>
          <w:rFonts w:cs="Times New Roman" w:hint="cs"/>
          <w:sz w:val="20"/>
          <w:szCs w:val="20"/>
          <w:rtl/>
          <w:lang w:val="he-IL" w:bidi="he-IL"/>
        </w:rPr>
        <w:t>סופקיכי</w:t>
      </w:r>
      <w:r>
        <w:rPr>
          <w:rFonts w:ascii="Brill" w:hAnsi="Brill"/>
          <w:sz w:val="20"/>
          <w:szCs w:val="20"/>
        </w:rPr>
        <w:t xml:space="preserve"> for the expected </w:t>
      </w:r>
      <w:r>
        <w:rPr>
          <w:rFonts w:cs="Times New Roman" w:hint="cs"/>
          <w:sz w:val="20"/>
          <w:szCs w:val="20"/>
          <w:rtl/>
          <w:lang w:val="he-IL" w:bidi="he-IL"/>
        </w:rPr>
        <w:t>סיפוקיכי</w:t>
      </w:r>
      <w:r>
        <w:rPr>
          <w:rFonts w:ascii="Brill" w:hAnsi="Brill"/>
          <w:sz w:val="20"/>
          <w:szCs w:val="20"/>
        </w:rPr>
        <w:t xml:space="preserve">, showing short i &gt; u, possibly just an error, due to the similarity of the letters </w:t>
      </w:r>
      <w:r>
        <w:rPr>
          <w:rFonts w:ascii="Brill" w:hAnsi="Brill"/>
          <w:i/>
          <w:iCs/>
          <w:sz w:val="20"/>
          <w:szCs w:val="20"/>
        </w:rPr>
        <w:t>yod</w:t>
      </w:r>
      <w:r>
        <w:rPr>
          <w:rFonts w:ascii="Brill" w:hAnsi="Brill"/>
          <w:sz w:val="20"/>
          <w:szCs w:val="20"/>
        </w:rPr>
        <w:t xml:space="preserve"> and </w:t>
      </w:r>
      <w:r>
        <w:rPr>
          <w:rFonts w:ascii="Brill" w:hAnsi="Brill"/>
          <w:i/>
          <w:iCs/>
          <w:sz w:val="20"/>
          <w:szCs w:val="20"/>
        </w:rPr>
        <w:t>waw</w:t>
      </w:r>
      <w:r>
        <w:rPr>
          <w:rFonts w:ascii="Brill" w:hAnsi="Brill"/>
          <w:sz w:val="20"/>
          <w:szCs w:val="20"/>
        </w:rPr>
        <w:t>.</w:t>
      </w:r>
    </w:p>
  </w:footnote>
  <w:footnote w:id="28">
    <w:p w14:paraId="25D1C173"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last phrase “to come to you…” is the standard euphemism for sexual intercourse used in all Babylonian marriage contracts. It is derived from the Jewish Aramaic translation of Genesis 19:31.</w:t>
      </w:r>
    </w:p>
  </w:footnote>
  <w:footnote w:id="29">
    <w:p w14:paraId="7AF71684"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scribe uses the </w:t>
      </w:r>
      <w:r>
        <w:rPr>
          <w:rFonts w:ascii="Brill" w:hAnsi="Brill"/>
          <w:i/>
          <w:iCs/>
          <w:sz w:val="20"/>
          <w:szCs w:val="20"/>
        </w:rPr>
        <w:t>gereš</w:t>
      </w:r>
      <w:r>
        <w:rPr>
          <w:rFonts w:ascii="Brill" w:hAnsi="Brill"/>
          <w:sz w:val="20"/>
          <w:szCs w:val="20"/>
        </w:rPr>
        <w:t xml:space="preserve"> sign after </w:t>
      </w:r>
      <w:r>
        <w:rPr>
          <w:rFonts w:cs="Times New Roman" w:hint="cs"/>
          <w:sz w:val="20"/>
          <w:szCs w:val="20"/>
          <w:rtl/>
          <w:lang w:val="he-IL" w:bidi="he-IL"/>
        </w:rPr>
        <w:t>מאיה</w:t>
      </w:r>
      <w:r>
        <w:rPr>
          <w:rFonts w:ascii="Brill" w:hAnsi="Brill"/>
          <w:sz w:val="20"/>
          <w:szCs w:val="20"/>
        </w:rPr>
        <w:t xml:space="preserve"> to indicate the Arabic </w:t>
      </w:r>
      <w:r>
        <w:rPr>
          <w:rFonts w:ascii="Brill" w:hAnsi="Brill"/>
          <w:i/>
          <w:iCs/>
          <w:sz w:val="20"/>
          <w:szCs w:val="20"/>
        </w:rPr>
        <w:t xml:space="preserve">tāʾ marbūṭa </w:t>
      </w:r>
      <w:r>
        <w:rPr>
          <w:rFonts w:ascii="Brill" w:hAnsi="Brill"/>
          <w:sz w:val="20"/>
          <w:szCs w:val="20"/>
        </w:rPr>
        <w:t xml:space="preserve">in </w:t>
      </w:r>
      <w:r>
        <w:rPr>
          <w:rFonts w:ascii="Brill" w:hAnsi="Brill"/>
          <w:i/>
          <w:iCs/>
          <w:sz w:val="20"/>
          <w:szCs w:val="20"/>
        </w:rPr>
        <w:t>iḍāfa</w:t>
      </w:r>
      <w:r>
        <w:rPr>
          <w:rFonts w:ascii="Brill" w:hAnsi="Brill"/>
          <w:sz w:val="20"/>
          <w:szCs w:val="20"/>
        </w:rPr>
        <w:t xml:space="preserve"> constructions. He uses it again in the same noun phrase in l. 18, 19 and 20, in l. 21 in the phrase “the city of Ṣanʿāʾ” and in verso l. 3 “fulfilment of a contract”.</w:t>
      </w:r>
    </w:p>
  </w:footnote>
  <w:footnote w:id="30">
    <w:p w14:paraId="7427B991" w14:textId="77777777" w:rsidR="00DB4AB8" w:rsidRPr="00924496" w:rsidRDefault="00876BE0" w:rsidP="00924496">
      <w:pPr>
        <w:pStyle w:val="FootnoteText"/>
        <w:spacing w:line="276" w:lineRule="auto"/>
        <w:jc w:val="both"/>
      </w:pPr>
      <w:r>
        <w:rPr>
          <w:rFonts w:ascii="Brill" w:eastAsia="Brill" w:hAnsi="Brill" w:cs="Brill"/>
          <w:vertAlign w:val="superscript"/>
        </w:rPr>
        <w:footnoteRef/>
      </w:r>
      <w:r>
        <w:rPr>
          <w:rFonts w:ascii="Times New Roman" w:hAnsi="Times New Roman"/>
          <w:sz w:val="20"/>
          <w:szCs w:val="20"/>
          <w:rtl/>
          <w:lang w:val="ar-SA"/>
        </w:rPr>
        <w:t xml:space="preserve"> </w:t>
      </w:r>
      <w:r>
        <w:rPr>
          <w:rFonts w:ascii="Brill" w:hAnsi="Brill"/>
          <w:sz w:val="20"/>
          <w:szCs w:val="20"/>
        </w:rPr>
        <w:t xml:space="preserve"> Arabic, </w:t>
      </w:r>
      <w:r>
        <w:rPr>
          <w:rFonts w:ascii="Brill" w:hAnsi="Brill"/>
          <w:i/>
          <w:iCs/>
          <w:sz w:val="20"/>
          <w:szCs w:val="20"/>
        </w:rPr>
        <w:t>qafla fiḍḍa</w:t>
      </w:r>
      <w:r>
        <w:rPr>
          <w:rFonts w:ascii="Brill" w:hAnsi="Brill"/>
          <w:sz w:val="20"/>
          <w:szCs w:val="20"/>
        </w:rPr>
        <w:t xml:space="preserve">, </w:t>
      </w:r>
      <w:r w:rsidRPr="00924496">
        <w:rPr>
          <w:rFonts w:ascii="Arabic Typesetting" w:hAnsi="Arabic Typesetting" w:cs="Arabic Typesetting"/>
          <w:sz w:val="32"/>
          <w:szCs w:val="32"/>
          <w:rtl/>
          <w:lang w:val="ar-SA"/>
        </w:rPr>
        <w:t>قفلة فضة</w:t>
      </w:r>
      <w:r>
        <w:rPr>
          <w:rFonts w:ascii="Brill" w:hAnsi="Brill"/>
          <w:sz w:val="20"/>
          <w:szCs w:val="20"/>
        </w:rPr>
        <w:t xml:space="preserve">. </w:t>
      </w:r>
      <w:r w:rsidRPr="00924496">
        <w:rPr>
          <w:rFonts w:ascii="Brill" w:hAnsi="Brill"/>
          <w:sz w:val="20"/>
          <w:szCs w:val="20"/>
        </w:rPr>
        <w:t>Qafla is a unit of weight and a coin “of correct weight”: “qui a le poids voulu (pièce de monnaie)” in A.</w:t>
      </w:r>
      <w:r w:rsidRPr="00924496">
        <w:rPr>
          <w:rFonts w:ascii="Brill" w:hAnsi="Brill"/>
          <w:color w:val="3A3A3A"/>
          <w:sz w:val="20"/>
          <w:szCs w:val="20"/>
          <w:u w:color="3A3A3A"/>
          <w:shd w:val="clear" w:color="auto" w:fill="FFFFFF"/>
        </w:rPr>
        <w:t xml:space="preserve"> </w:t>
      </w:r>
      <w:r w:rsidRPr="00924496">
        <w:rPr>
          <w:rFonts w:ascii="Brill" w:hAnsi="Brill"/>
          <w:sz w:val="20"/>
          <w:szCs w:val="20"/>
        </w:rPr>
        <w:t>Biberstein-Kazimirski, </w:t>
      </w:r>
      <w:r w:rsidRPr="00924496">
        <w:rPr>
          <w:rFonts w:ascii="Brill" w:hAnsi="Brill"/>
          <w:i/>
          <w:iCs/>
          <w:sz w:val="20"/>
          <w:szCs w:val="20"/>
        </w:rPr>
        <w:t>Dictionnaire arabe-français</w:t>
      </w:r>
      <w:r w:rsidRPr="00924496">
        <w:rPr>
          <w:rFonts w:ascii="Brill" w:hAnsi="Brill"/>
          <w:sz w:val="20"/>
          <w:szCs w:val="20"/>
        </w:rPr>
        <w:t>, 1860, vol. 2, p. 791.</w:t>
      </w:r>
    </w:p>
  </w:footnote>
  <w:footnote w:id="31">
    <w:p w14:paraId="3306D402"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Hebrew phrase from </w:t>
      </w:r>
      <w:r>
        <w:rPr>
          <w:rFonts w:cs="Times New Roman" w:hint="cs"/>
          <w:sz w:val="20"/>
          <w:szCs w:val="20"/>
          <w:rtl/>
          <w:lang w:val="he-IL" w:bidi="he-IL"/>
        </w:rPr>
        <w:t>הכל</w:t>
      </w:r>
      <w:r>
        <w:rPr>
          <w:rFonts w:ascii="Brill" w:hAnsi="Brill"/>
          <w:sz w:val="20"/>
          <w:szCs w:val="20"/>
        </w:rPr>
        <w:t xml:space="preserve"> “all of it” (l. 16) to </w:t>
      </w:r>
      <w:r>
        <w:rPr>
          <w:rFonts w:cs="Times New Roman" w:hint="cs"/>
          <w:sz w:val="20"/>
          <w:szCs w:val="20"/>
          <w:rtl/>
          <w:lang w:val="he-IL" w:bidi="he-IL"/>
        </w:rPr>
        <w:t>כמלוה</w:t>
      </w:r>
      <w:r>
        <w:rPr>
          <w:rFonts w:ascii="Brill" w:hAnsi="Brill"/>
          <w:sz w:val="20"/>
          <w:szCs w:val="20"/>
        </w:rPr>
        <w:t xml:space="preserve"> “as a loan” (l. 17) is taken from the form of the </w:t>
      </w:r>
      <w:r>
        <w:rPr>
          <w:rFonts w:ascii="Brill" w:hAnsi="Brill"/>
          <w:i/>
          <w:iCs/>
          <w:sz w:val="20"/>
          <w:szCs w:val="20"/>
        </w:rPr>
        <w:t>ketubba</w:t>
      </w:r>
      <w:r>
        <w:rPr>
          <w:rFonts w:ascii="Brill" w:hAnsi="Brill"/>
          <w:sz w:val="20"/>
          <w:szCs w:val="20"/>
        </w:rPr>
        <w:t xml:space="preserve"> in Moses Maimonides’ </w:t>
      </w:r>
      <w:r>
        <w:rPr>
          <w:rFonts w:ascii="Brill" w:hAnsi="Brill"/>
          <w:i/>
          <w:iCs/>
          <w:sz w:val="20"/>
          <w:szCs w:val="20"/>
        </w:rPr>
        <w:t>Mišne Tora</w:t>
      </w:r>
      <w:r>
        <w:rPr>
          <w:rFonts w:ascii="Brill" w:hAnsi="Brill"/>
          <w:sz w:val="20"/>
          <w:szCs w:val="20"/>
        </w:rPr>
        <w:t xml:space="preserve">, Yibbum ve-Ḥaliṣa 4:33. See M. A. Friedman, </w:t>
      </w:r>
      <w:r>
        <w:rPr>
          <w:rFonts w:ascii="Brill" w:hAnsi="Brill"/>
          <w:i/>
          <w:iCs/>
          <w:sz w:val="20"/>
          <w:szCs w:val="20"/>
        </w:rPr>
        <w:t>Jewish marriage</w:t>
      </w:r>
      <w:r>
        <w:rPr>
          <w:rFonts w:ascii="Brill" w:hAnsi="Brill"/>
          <w:sz w:val="20"/>
          <w:szCs w:val="20"/>
        </w:rPr>
        <w:t>, 1980, vol. 1, p. 305.</w:t>
      </w:r>
    </w:p>
  </w:footnote>
  <w:footnote w:id="32">
    <w:p w14:paraId="28000C99" w14:textId="77777777" w:rsidR="00DB4AB8" w:rsidRDefault="00876BE0">
      <w:pPr>
        <w:pStyle w:val="FootnoteText"/>
        <w:spacing w:line="276" w:lineRule="auto"/>
        <w:jc w:val="both"/>
      </w:pPr>
      <w:r>
        <w:rPr>
          <w:rFonts w:ascii="Brill" w:eastAsia="Brill" w:hAnsi="Brill" w:cs="Brill"/>
          <w:vertAlign w:val="superscript"/>
        </w:rPr>
        <w:footnoteRef/>
      </w:r>
      <w:r>
        <w:rPr>
          <w:rFonts w:ascii="Times New Roman" w:hAnsi="Times New Roman"/>
          <w:sz w:val="20"/>
          <w:szCs w:val="20"/>
          <w:rtl/>
          <w:lang w:val="ar-SA"/>
        </w:rPr>
        <w:t xml:space="preserve"> </w:t>
      </w:r>
      <w:r>
        <w:rPr>
          <w:rFonts w:ascii="Brill" w:hAnsi="Brill"/>
          <w:sz w:val="20"/>
          <w:szCs w:val="20"/>
        </w:rPr>
        <w:t xml:space="preserve">The practice of the groom giving a gift to the bride, known as “the first gift”, when the marriage is contracted is attested in Yemenite marriage deeds as early as the end of the 11th century, see M. A. Friedman, </w:t>
      </w:r>
      <w:r>
        <w:rPr>
          <w:rFonts w:ascii="Brill" w:hAnsi="Brill"/>
          <w:i/>
          <w:iCs/>
          <w:sz w:val="20"/>
          <w:szCs w:val="20"/>
        </w:rPr>
        <w:t>Jewish marriage</w:t>
      </w:r>
      <w:r>
        <w:rPr>
          <w:rFonts w:ascii="Brill" w:hAnsi="Brill"/>
          <w:sz w:val="20"/>
          <w:szCs w:val="20"/>
        </w:rPr>
        <w:t>, 1980, vol. 1, p. 281.</w:t>
      </w:r>
    </w:p>
  </w:footnote>
  <w:footnote w:id="33">
    <w:p w14:paraId="24F00214"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This is an interesting phrase, which presumably means that he will not lodge her in a house or apartment shared with non-Jews.</w:t>
      </w:r>
    </w:p>
  </w:footnote>
  <w:footnote w:id="34">
    <w:p w14:paraId="268C9175"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For this additional gift clause the language switches to Hebrew again, from </w:t>
      </w:r>
      <w:r>
        <w:rPr>
          <w:rFonts w:cs="Times New Roman" w:hint="cs"/>
          <w:sz w:val="20"/>
          <w:szCs w:val="20"/>
          <w:rtl/>
          <w:lang w:val="he-IL" w:bidi="he-IL"/>
        </w:rPr>
        <w:t>ורצה</w:t>
      </w:r>
      <w:r>
        <w:rPr>
          <w:rFonts w:ascii="Brill" w:hAnsi="Brill"/>
          <w:sz w:val="20"/>
          <w:szCs w:val="20"/>
        </w:rPr>
        <w:t xml:space="preserve"> “and he wanted” (l. 19).</w:t>
      </w:r>
    </w:p>
  </w:footnote>
  <w:footnote w:id="35">
    <w:p w14:paraId="79B50753"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This clause explaining the coinage is in Judaeo-Arabic, from </w:t>
      </w:r>
      <w:r>
        <w:rPr>
          <w:rFonts w:cs="Times New Roman" w:hint="cs"/>
          <w:sz w:val="20"/>
          <w:szCs w:val="20"/>
          <w:rtl/>
          <w:lang w:val="he-IL" w:bidi="he-IL"/>
        </w:rPr>
        <w:t>אלכל</w:t>
      </w:r>
      <w:r>
        <w:rPr>
          <w:rFonts w:ascii="Brill" w:hAnsi="Brill"/>
          <w:sz w:val="20"/>
          <w:szCs w:val="20"/>
        </w:rPr>
        <w:t xml:space="preserve"> “all” (l. 20) to </w:t>
      </w:r>
      <w:r>
        <w:rPr>
          <w:rFonts w:cs="Times New Roman" w:hint="cs"/>
          <w:sz w:val="20"/>
          <w:szCs w:val="20"/>
          <w:rtl/>
          <w:lang w:val="he-IL" w:bidi="he-IL"/>
        </w:rPr>
        <w:t>אלצווג</w:t>
      </w:r>
      <w:r>
        <w:rPr>
          <w:rFonts w:ascii="Brill" w:hAnsi="Brill"/>
          <w:sz w:val="20"/>
          <w:szCs w:val="20"/>
        </w:rPr>
        <w:t xml:space="preserve"> “[silver]smiths” (l. 22).</w:t>
      </w:r>
    </w:p>
  </w:footnote>
  <w:footnote w:id="36">
    <w:p w14:paraId="30E6E27B"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line reflects an Arabic </w:t>
      </w:r>
      <w:r>
        <w:rPr>
          <w:rFonts w:ascii="Brill" w:hAnsi="Brill"/>
          <w:i/>
          <w:iCs/>
          <w:sz w:val="20"/>
          <w:szCs w:val="20"/>
        </w:rPr>
        <w:t>šadda</w:t>
      </w:r>
      <w:r>
        <w:rPr>
          <w:rFonts w:ascii="Brill" w:hAnsi="Brill"/>
          <w:sz w:val="20"/>
          <w:szCs w:val="20"/>
        </w:rPr>
        <w:t xml:space="preserve"> over </w:t>
      </w:r>
      <w:r>
        <w:rPr>
          <w:rFonts w:cs="Times New Roman" w:hint="cs"/>
          <w:sz w:val="20"/>
          <w:szCs w:val="20"/>
          <w:rtl/>
          <w:lang w:val="he-IL" w:bidi="he-IL"/>
        </w:rPr>
        <w:t>טייבה</w:t>
      </w:r>
      <w:r>
        <w:rPr>
          <w:rFonts w:ascii="Brill" w:hAnsi="Brill"/>
          <w:sz w:val="20"/>
          <w:szCs w:val="20"/>
        </w:rPr>
        <w:t xml:space="preserve"> “good”, </w:t>
      </w:r>
      <w:r>
        <w:rPr>
          <w:rFonts w:ascii="Brill" w:hAnsi="Brill"/>
          <w:i/>
          <w:iCs/>
          <w:sz w:val="20"/>
          <w:szCs w:val="20"/>
        </w:rPr>
        <w:t>ṭayyiba</w:t>
      </w:r>
      <w:r>
        <w:rPr>
          <w:rFonts w:ascii="Brill" w:hAnsi="Brill"/>
          <w:sz w:val="20"/>
          <w:szCs w:val="20"/>
        </w:rPr>
        <w:t>.</w:t>
      </w:r>
    </w:p>
  </w:footnote>
  <w:footnote w:id="37">
    <w:p w14:paraId="248B4EBE"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Arabic </w:t>
      </w:r>
      <w:r>
        <w:rPr>
          <w:rFonts w:ascii="Brill" w:hAnsi="Brill"/>
          <w:i/>
          <w:iCs/>
          <w:sz w:val="20"/>
          <w:szCs w:val="20"/>
        </w:rPr>
        <w:t>ṣuwwāġ</w:t>
      </w:r>
      <w:r>
        <w:rPr>
          <w:rFonts w:ascii="Brill" w:hAnsi="Brill"/>
          <w:sz w:val="20"/>
          <w:szCs w:val="20"/>
        </w:rPr>
        <w:t xml:space="preserve"> (</w:t>
      </w:r>
      <w:r w:rsidRPr="000B1328">
        <w:rPr>
          <w:rFonts w:ascii="Arabic Typesetting" w:hAnsi="Arabic Typesetting" w:cs="Arabic Typesetting"/>
          <w:sz w:val="32"/>
          <w:szCs w:val="32"/>
          <w:rtl/>
          <w:lang w:val="ar-SA"/>
        </w:rPr>
        <w:t>صواغ</w:t>
      </w:r>
      <w:r>
        <w:rPr>
          <w:rFonts w:ascii="Brill" w:hAnsi="Brill"/>
          <w:sz w:val="20"/>
          <w:szCs w:val="20"/>
        </w:rPr>
        <w:t xml:space="preserve">, also </w:t>
      </w:r>
      <w:r w:rsidRPr="000B1328">
        <w:rPr>
          <w:rFonts w:ascii="Arabic Typesetting" w:hAnsi="Arabic Typesetting" w:cs="Arabic Typesetting"/>
          <w:sz w:val="32"/>
          <w:szCs w:val="32"/>
          <w:rtl/>
          <w:lang w:val="ar-SA"/>
        </w:rPr>
        <w:t>صياغ</w:t>
      </w:r>
      <w:r>
        <w:rPr>
          <w:rFonts w:ascii="Times New Roman" w:hAnsi="Times New Roman"/>
          <w:sz w:val="20"/>
          <w:szCs w:val="20"/>
          <w:rtl/>
          <w:lang w:val="ar-SA"/>
        </w:rPr>
        <w:t> </w:t>
      </w:r>
      <w:r>
        <w:rPr>
          <w:rFonts w:ascii="Brill" w:hAnsi="Brill"/>
          <w:sz w:val="20"/>
          <w:szCs w:val="20"/>
        </w:rPr>
        <w:t>), “[silver]smiths”. The scribe used a line to denote</w:t>
      </w:r>
      <w:r>
        <w:rPr>
          <w:rFonts w:ascii="Brill" w:hAnsi="Brill"/>
          <w:i/>
          <w:iCs/>
          <w:sz w:val="20"/>
          <w:szCs w:val="20"/>
        </w:rPr>
        <w:t xml:space="preserve"> šadda</w:t>
      </w:r>
      <w:r>
        <w:rPr>
          <w:rFonts w:ascii="Brill" w:hAnsi="Brill"/>
          <w:sz w:val="20"/>
          <w:szCs w:val="20"/>
        </w:rPr>
        <w:t xml:space="preserve">, but the dot above the </w:t>
      </w:r>
      <w:r>
        <w:rPr>
          <w:rFonts w:cs="Times New Roman" w:hint="cs"/>
          <w:sz w:val="20"/>
          <w:szCs w:val="20"/>
          <w:rtl/>
          <w:lang w:val="he-IL" w:bidi="he-IL"/>
        </w:rPr>
        <w:t>צ</w:t>
      </w:r>
      <w:r>
        <w:rPr>
          <w:rFonts w:ascii="Brill" w:hAnsi="Brill"/>
          <w:sz w:val="20"/>
          <w:szCs w:val="20"/>
        </w:rPr>
        <w:t xml:space="preserve"> is presumably an error. </w:t>
      </w:r>
    </w:p>
  </w:footnote>
  <w:footnote w:id="38">
    <w:p w14:paraId="0F58A27F" w14:textId="77777777" w:rsidR="00DB4AB8" w:rsidRDefault="00876BE0" w:rsidP="00924496">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choicest of”, </w:t>
      </w:r>
      <w:r>
        <w:rPr>
          <w:rFonts w:cs="Times New Roman" w:hint="cs"/>
          <w:sz w:val="20"/>
          <w:szCs w:val="20"/>
          <w:rtl/>
          <w:lang w:val="he-IL" w:bidi="he-IL"/>
        </w:rPr>
        <w:t>שפר ארג</w:t>
      </w:r>
      <w:r>
        <w:rPr>
          <w:rFonts w:ascii="Brill" w:hAnsi="Brill"/>
          <w:sz w:val="20"/>
          <w:szCs w:val="20"/>
        </w:rPr>
        <w:t xml:space="preserve">, occurs regularly in marriage contracts and other legal deeds. It is originally an Aramaic expression from the Targum Yerušalmi to Genesis 45:18. The dot above the </w:t>
      </w:r>
      <w:r>
        <w:rPr>
          <w:rFonts w:ascii="Brill" w:hAnsi="Brill"/>
          <w:i/>
          <w:iCs/>
          <w:sz w:val="20"/>
          <w:szCs w:val="20"/>
        </w:rPr>
        <w:t>gimel</w:t>
      </w:r>
      <w:r>
        <w:rPr>
          <w:rFonts w:ascii="Brill" w:hAnsi="Brill"/>
          <w:sz w:val="20"/>
          <w:szCs w:val="20"/>
        </w:rPr>
        <w:t xml:space="preserve"> denotes the </w:t>
      </w:r>
      <w:r>
        <w:rPr>
          <w:rFonts w:ascii="Brill" w:hAnsi="Brill"/>
          <w:i/>
          <w:iCs/>
          <w:sz w:val="20"/>
          <w:szCs w:val="20"/>
        </w:rPr>
        <w:t>rafe</w:t>
      </w:r>
      <w:r>
        <w:rPr>
          <w:rFonts w:ascii="Brill" w:hAnsi="Brill"/>
          <w:sz w:val="20"/>
          <w:szCs w:val="20"/>
        </w:rPr>
        <w:t xml:space="preserve">, spirant, pronunciation of </w:t>
      </w:r>
      <w:r>
        <w:rPr>
          <w:rFonts w:cs="Times New Roman" w:hint="cs"/>
          <w:sz w:val="20"/>
          <w:szCs w:val="20"/>
          <w:rtl/>
          <w:lang w:val="he-IL" w:bidi="he-IL"/>
        </w:rPr>
        <w:t>גֿ</w:t>
      </w:r>
      <w:r>
        <w:rPr>
          <w:rFonts w:ascii="Brill" w:hAnsi="Brill"/>
          <w:sz w:val="20"/>
          <w:szCs w:val="20"/>
        </w:rPr>
        <w:t>, which the Yemenites, with their conservative traditions, maintained in their pronunciation, usually as a voiced uvular fricative (though it could also be an affricate). See D. Yaʿakov, “Yemen, Pronunciation Traditions”, in G. Khan (ed.), </w:t>
      </w:r>
      <w:r>
        <w:rPr>
          <w:rFonts w:ascii="Brill" w:hAnsi="Brill"/>
          <w:i/>
          <w:iCs/>
          <w:sz w:val="20"/>
          <w:szCs w:val="20"/>
        </w:rPr>
        <w:t>Encyclopedia of Hebrew Language and Linguistics</w:t>
      </w:r>
      <w:r>
        <w:rPr>
          <w:rFonts w:ascii="Brill" w:hAnsi="Brill"/>
          <w:sz w:val="20"/>
          <w:szCs w:val="20"/>
        </w:rPr>
        <w:t>, consulted online.</w:t>
      </w:r>
    </w:p>
  </w:footnote>
  <w:footnote w:id="39">
    <w:p w14:paraId="565EA2F3"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scribe has abbreviated the phrase </w:t>
      </w:r>
      <w:r>
        <w:rPr>
          <w:rFonts w:cs="Times New Roman" w:hint="cs"/>
          <w:sz w:val="20"/>
          <w:szCs w:val="20"/>
          <w:rtl/>
          <w:lang w:val="he-IL" w:bidi="he-IL"/>
        </w:rPr>
        <w:t>מטלטלי אגב מקרקעי</w:t>
      </w:r>
      <w:r>
        <w:rPr>
          <w:rFonts w:ascii="Brill" w:hAnsi="Brill"/>
          <w:sz w:val="20"/>
          <w:szCs w:val="20"/>
        </w:rPr>
        <w:t xml:space="preserve"> </w:t>
      </w:r>
      <w:r>
        <w:rPr>
          <w:rFonts w:cs="Times New Roman" w:hint="cs"/>
          <w:sz w:val="20"/>
          <w:szCs w:val="20"/>
          <w:rtl/>
          <w:lang w:val="he-IL" w:bidi="he-IL"/>
        </w:rPr>
        <w:t>מטלטלי</w:t>
      </w:r>
      <w:r>
        <w:rPr>
          <w:rFonts w:ascii="Brill" w:hAnsi="Brill"/>
          <w:sz w:val="20"/>
          <w:szCs w:val="20"/>
        </w:rPr>
        <w:t>, “movable property, movable property by virtue of real estate”. In Jewish law, a distinction is made between immovable, i.e., land (real estate), and movable property (goods and chattels).</w:t>
      </w:r>
    </w:p>
  </w:footnote>
  <w:footnote w:id="40">
    <w:p w14:paraId="079E22B1"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Again, the scribe shortens </w:t>
      </w:r>
      <w:r>
        <w:rPr>
          <w:rFonts w:cs="Times New Roman" w:hint="cs"/>
          <w:sz w:val="20"/>
          <w:szCs w:val="20"/>
          <w:rtl/>
          <w:lang w:val="he-IL" w:bidi="he-IL"/>
        </w:rPr>
        <w:t>אפילו</w:t>
      </w:r>
      <w:r>
        <w:rPr>
          <w:rFonts w:ascii="Brill" w:hAnsi="Brill"/>
          <w:sz w:val="20"/>
          <w:szCs w:val="20"/>
        </w:rPr>
        <w:t>.</w:t>
      </w:r>
    </w:p>
  </w:footnote>
  <w:footnote w:id="41">
    <w:p w14:paraId="58A58EAE"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This expression made its way into the </w:t>
      </w:r>
      <w:r>
        <w:rPr>
          <w:rFonts w:ascii="Brill" w:hAnsi="Brill"/>
          <w:i/>
          <w:iCs/>
          <w:sz w:val="20"/>
          <w:szCs w:val="20"/>
        </w:rPr>
        <w:t>ketubba</w:t>
      </w:r>
      <w:r>
        <w:rPr>
          <w:rFonts w:ascii="Brill" w:hAnsi="Brill"/>
          <w:sz w:val="20"/>
          <w:szCs w:val="20"/>
        </w:rPr>
        <w:t xml:space="preserve"> formulary from the Babylonian Talmud, e.g. Bava Qamma 11b:12 </w:t>
      </w:r>
      <w:r>
        <w:rPr>
          <w:rFonts w:cs="Times New Roman" w:hint="cs"/>
          <w:sz w:val="20"/>
          <w:szCs w:val="20"/>
          <w:rtl/>
          <w:lang w:val="he-IL" w:bidi="he-IL"/>
        </w:rPr>
        <w:t>ואפ׳ מגלימא דעל כתפיה</w:t>
      </w:r>
      <w:r>
        <w:rPr>
          <w:rFonts w:ascii="Brill" w:hAnsi="Brill"/>
          <w:sz w:val="20"/>
          <w:szCs w:val="20"/>
        </w:rPr>
        <w:t xml:space="preserve">, where it is used in the context of the repayment of debts. See M. A. Friedman, </w:t>
      </w:r>
      <w:r>
        <w:rPr>
          <w:rFonts w:ascii="Brill" w:hAnsi="Brill"/>
          <w:i/>
          <w:iCs/>
          <w:sz w:val="20"/>
          <w:szCs w:val="20"/>
        </w:rPr>
        <w:t>Jewish marriage</w:t>
      </w:r>
      <w:r>
        <w:rPr>
          <w:rFonts w:ascii="Brill" w:hAnsi="Brill"/>
          <w:sz w:val="20"/>
          <w:szCs w:val="20"/>
        </w:rPr>
        <w:t>, vol. 1, p. 462.</w:t>
      </w:r>
    </w:p>
  </w:footnote>
  <w:footnote w:id="42">
    <w:p w14:paraId="625F93C2"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Literally “acquisition”, a legal act of symbolic purchase that established the marriage. See M. Elon, “Acquisition” in M. Berenbaum &amp; F. Skolnik (eds.), </w:t>
      </w:r>
      <w:r>
        <w:rPr>
          <w:rFonts w:ascii="Brill" w:hAnsi="Brill"/>
          <w:i/>
          <w:iCs/>
          <w:sz w:val="20"/>
          <w:szCs w:val="20"/>
        </w:rPr>
        <w:t>Encyclopaedia Judaica</w:t>
      </w:r>
      <w:r>
        <w:rPr>
          <w:rFonts w:ascii="Brill" w:hAnsi="Brill"/>
          <w:sz w:val="20"/>
          <w:szCs w:val="20"/>
        </w:rPr>
        <w:t>, 2007, vol. 1, pp. 359–363.</w:t>
      </w:r>
    </w:p>
  </w:footnote>
  <w:footnote w:id="43">
    <w:p w14:paraId="07B45E8F"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scribe abbreviates the legal phrase </w:t>
      </w:r>
      <w:r>
        <w:rPr>
          <w:rFonts w:cs="Times New Roman" w:hint="cs"/>
          <w:sz w:val="20"/>
          <w:szCs w:val="20"/>
          <w:rtl/>
          <w:lang w:val="he-IL" w:bidi="he-IL"/>
        </w:rPr>
        <w:t>קנין שלם חמור גמור</w:t>
      </w:r>
      <w:r>
        <w:rPr>
          <w:rFonts w:ascii="Brill" w:hAnsi="Brill"/>
          <w:sz w:val="20"/>
          <w:szCs w:val="20"/>
        </w:rPr>
        <w:t>.</w:t>
      </w:r>
    </w:p>
  </w:footnote>
  <w:footnote w:id="44">
    <w:p w14:paraId="2D9C48B3"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This is a translation of </w:t>
      </w:r>
      <w:r>
        <w:rPr>
          <w:rFonts w:cs="Times New Roman" w:hint="cs"/>
          <w:sz w:val="20"/>
          <w:szCs w:val="20"/>
          <w:rtl/>
          <w:lang w:val="he-IL" w:bidi="he-IL"/>
        </w:rPr>
        <w:t>עד סוף</w:t>
      </w:r>
      <w:r>
        <w:rPr>
          <w:rFonts w:ascii="Brill" w:hAnsi="Brill"/>
          <w:sz w:val="20"/>
          <w:szCs w:val="20"/>
        </w:rPr>
        <w:t>, “till the end”, which is abbreviated in the deed.</w:t>
      </w:r>
    </w:p>
  </w:footnote>
  <w:footnote w:id="45">
    <w:p w14:paraId="5F9DD012"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An </w:t>
      </w:r>
      <w:r>
        <w:rPr>
          <w:rFonts w:ascii="Brill" w:hAnsi="Brill"/>
          <w:i/>
          <w:iCs/>
          <w:sz w:val="20"/>
          <w:szCs w:val="20"/>
        </w:rPr>
        <w:t>asmaḵta</w:t>
      </w:r>
      <w:r>
        <w:rPr>
          <w:rFonts w:ascii="Brill" w:hAnsi="Brill"/>
          <w:sz w:val="20"/>
          <w:szCs w:val="20"/>
        </w:rPr>
        <w:t xml:space="preserve">, </w:t>
      </w:r>
      <w:r>
        <w:rPr>
          <w:rFonts w:cs="Times New Roman" w:hint="cs"/>
          <w:sz w:val="20"/>
          <w:szCs w:val="20"/>
          <w:rtl/>
          <w:lang w:val="he-IL" w:bidi="he-IL"/>
        </w:rPr>
        <w:t>אסמכתא</w:t>
      </w:r>
      <w:r>
        <w:rPr>
          <w:rFonts w:ascii="Brill" w:hAnsi="Brill"/>
          <w:sz w:val="20"/>
          <w:szCs w:val="20"/>
        </w:rPr>
        <w:t xml:space="preserve"> (abbreviated in the text), is a type of surety for payment of debt, sometimes translated “promise” or “promissory note”.</w:t>
      </w:r>
    </w:p>
  </w:footnote>
  <w:footnote w:id="46">
    <w:p w14:paraId="44442299"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“Formularies” or “templates for documents”, </w:t>
      </w:r>
      <w:r>
        <w:rPr>
          <w:rFonts w:cs="Times New Roman" w:hint="cs"/>
          <w:sz w:val="20"/>
          <w:szCs w:val="20"/>
          <w:rtl/>
          <w:lang w:val="he-IL" w:bidi="he-IL"/>
        </w:rPr>
        <w:t>טופסי דשטרי</w:t>
      </w:r>
      <w:r>
        <w:rPr>
          <w:rFonts w:ascii="Brill" w:hAnsi="Brill"/>
          <w:sz w:val="20"/>
          <w:szCs w:val="20"/>
        </w:rPr>
        <w:t>, is abbreviated in the text.</w:t>
      </w:r>
    </w:p>
  </w:footnote>
  <w:footnote w:id="47">
    <w:p w14:paraId="04F01C2E"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deed abbreviates the formula </w:t>
      </w:r>
      <w:r>
        <w:rPr>
          <w:rFonts w:cs="Times New Roman" w:hint="cs"/>
          <w:sz w:val="20"/>
          <w:szCs w:val="20"/>
          <w:rtl/>
          <w:lang w:val="he-IL" w:bidi="he-IL"/>
        </w:rPr>
        <w:t>וכתקנת רבותינו זכרונם לברכה</w:t>
      </w:r>
      <w:r>
        <w:rPr>
          <w:rFonts w:ascii="Brill" w:hAnsi="Brill"/>
          <w:sz w:val="20"/>
          <w:szCs w:val="20"/>
        </w:rPr>
        <w:t xml:space="preserve">. A </w:t>
      </w:r>
      <w:r>
        <w:rPr>
          <w:rFonts w:ascii="Brill" w:hAnsi="Brill"/>
          <w:i/>
          <w:iCs/>
          <w:sz w:val="20"/>
          <w:szCs w:val="20"/>
        </w:rPr>
        <w:t>taqqana</w:t>
      </w:r>
      <w:r>
        <w:rPr>
          <w:rFonts w:ascii="Brill" w:hAnsi="Brill"/>
          <w:sz w:val="20"/>
          <w:szCs w:val="20"/>
        </w:rPr>
        <w:t xml:space="preserve"> is a legislative enactment that supersedes an earlier law or is new.</w:t>
      </w:r>
    </w:p>
  </w:footnote>
  <w:footnote w:id="48">
    <w:p w14:paraId="0A75C6F6"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That is, the laws of the state, as distinct from Jewish law, abbreviated from </w:t>
      </w:r>
      <w:r>
        <w:rPr>
          <w:rFonts w:cs="Times New Roman" w:hint="cs"/>
          <w:sz w:val="20"/>
          <w:szCs w:val="20"/>
          <w:rtl/>
          <w:lang w:val="he-IL" w:bidi="he-IL"/>
        </w:rPr>
        <w:t>אומות העולם</w:t>
      </w:r>
      <w:r>
        <w:rPr>
          <w:rFonts w:ascii="Brill" w:hAnsi="Brill"/>
          <w:sz w:val="20"/>
          <w:szCs w:val="20"/>
        </w:rPr>
        <w:t>.</w:t>
      </w:r>
    </w:p>
  </w:footnote>
  <w:footnote w:id="49">
    <w:p w14:paraId="635E9253"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In the event of divorce or death.</w:t>
      </w:r>
    </w:p>
  </w:footnote>
  <w:footnote w:id="50">
    <w:p w14:paraId="3E205484"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Hebrew idiom </w:t>
      </w:r>
      <w:r>
        <w:rPr>
          <w:rFonts w:cs="Times New Roman" w:hint="cs"/>
          <w:sz w:val="20"/>
          <w:szCs w:val="20"/>
          <w:rtl/>
          <w:lang w:val="he-IL" w:bidi="he-IL"/>
        </w:rPr>
        <w:t>חס ושלום</w:t>
      </w:r>
      <w:r>
        <w:rPr>
          <w:rFonts w:ascii="Brill" w:hAnsi="Brill"/>
          <w:sz w:val="20"/>
          <w:szCs w:val="20"/>
        </w:rPr>
        <w:t xml:space="preserve"> is abbreviated.</w:t>
      </w:r>
    </w:p>
  </w:footnote>
  <w:footnote w:id="51">
    <w:p w14:paraId="79572809"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Hebrew phrase </w:t>
      </w:r>
      <w:r>
        <w:rPr>
          <w:rFonts w:cs="Times New Roman" w:hint="cs"/>
          <w:sz w:val="20"/>
          <w:szCs w:val="20"/>
          <w:rtl/>
          <w:lang w:val="he-IL" w:bidi="he-IL"/>
        </w:rPr>
        <w:t>שעל דעת כן</w:t>
      </w:r>
      <w:r>
        <w:rPr>
          <w:rFonts w:ascii="Brill" w:hAnsi="Brill"/>
          <w:sz w:val="20"/>
          <w:szCs w:val="20"/>
        </w:rPr>
        <w:t xml:space="preserve"> is abbreviated.</w:t>
      </w:r>
    </w:p>
  </w:footnote>
  <w:footnote w:id="52">
    <w:p w14:paraId="1FA7EA8A" w14:textId="77777777" w:rsidR="00DB4AB8" w:rsidRDefault="00876BE0">
      <w:pPr>
        <w:pStyle w:val="FootnoteText"/>
        <w:spacing w:line="276" w:lineRule="auto"/>
        <w:jc w:val="both"/>
      </w:pPr>
      <w:r>
        <w:rPr>
          <w:rFonts w:ascii="Brill" w:eastAsia="Brill" w:hAnsi="Brill" w:cs="Brill"/>
          <w:vertAlign w:val="superscript"/>
        </w:rPr>
        <w:footnoteRef/>
      </w:r>
      <w:r>
        <w:rPr>
          <w:rFonts w:ascii="Times New Roman" w:hAnsi="Times New Roman"/>
          <w:sz w:val="20"/>
          <w:szCs w:val="20"/>
          <w:rtl/>
          <w:lang w:val="ar-SA"/>
        </w:rPr>
        <w:t xml:space="preserve"> </w:t>
      </w:r>
      <w:r>
        <w:rPr>
          <w:rFonts w:ascii="Brill" w:hAnsi="Brill"/>
          <w:sz w:val="20"/>
          <w:szCs w:val="20"/>
        </w:rPr>
        <w:t xml:space="preserve">If the wife dies before her husband and there are no children from the marriage, then the husband gives half her dowry back to her father’s household. On this stipulation, see M. A. Friedman, </w:t>
      </w:r>
      <w:r>
        <w:rPr>
          <w:rFonts w:ascii="Brill" w:hAnsi="Brill"/>
          <w:i/>
          <w:iCs/>
          <w:sz w:val="20"/>
          <w:szCs w:val="20"/>
        </w:rPr>
        <w:t>Jewish marriage</w:t>
      </w:r>
      <w:r>
        <w:rPr>
          <w:rFonts w:ascii="Brill" w:hAnsi="Brill"/>
          <w:sz w:val="20"/>
          <w:szCs w:val="20"/>
        </w:rPr>
        <w:t>, 1980, vol. 1, pp. 391–418.</w:t>
      </w:r>
    </w:p>
  </w:footnote>
  <w:footnote w:id="53">
    <w:p w14:paraId="07DD80FC"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humble”, abbreviated from </w:t>
      </w:r>
      <w:r>
        <w:rPr>
          <w:rFonts w:cs="Times New Roman" w:hint="cs"/>
          <w:sz w:val="20"/>
          <w:szCs w:val="20"/>
          <w:rtl/>
          <w:lang w:val="he-IL" w:bidi="he-IL"/>
        </w:rPr>
        <w:t>הצעיר</w:t>
      </w:r>
      <w:r>
        <w:rPr>
          <w:rFonts w:ascii="Brill" w:hAnsi="Brill"/>
          <w:sz w:val="20"/>
          <w:szCs w:val="20"/>
        </w:rPr>
        <w:t>.</w:t>
      </w:r>
    </w:p>
  </w:footnote>
  <w:footnote w:id="54">
    <w:p w14:paraId="57A9F6A6"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Abbreviating </w:t>
      </w:r>
      <w:r>
        <w:rPr>
          <w:rFonts w:cs="Times New Roman" w:hint="cs"/>
          <w:sz w:val="20"/>
          <w:szCs w:val="20"/>
          <w:rtl/>
          <w:lang w:val="he-IL" w:bidi="he-IL"/>
        </w:rPr>
        <w:t>שיחיה לעד</w:t>
      </w:r>
      <w:r>
        <w:rPr>
          <w:rFonts w:ascii="Brill" w:hAnsi="Brill"/>
          <w:sz w:val="20"/>
          <w:szCs w:val="20"/>
        </w:rPr>
        <w:t>.</w:t>
      </w:r>
    </w:p>
  </w:footnote>
  <w:footnote w:id="55">
    <w:p w14:paraId="2E681380"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acronym </w:t>
      </w:r>
      <w:r>
        <w:rPr>
          <w:rFonts w:cs="Times New Roman" w:hint="cs"/>
          <w:sz w:val="20"/>
          <w:szCs w:val="20"/>
          <w:rtl/>
          <w:lang w:val="he-IL" w:bidi="he-IL"/>
        </w:rPr>
        <w:t>ס״ט</w:t>
      </w:r>
      <w:r>
        <w:rPr>
          <w:rFonts w:ascii="Brill" w:hAnsi="Brill"/>
          <w:sz w:val="20"/>
          <w:szCs w:val="20"/>
        </w:rPr>
        <w:t xml:space="preserve">, “may his end be good”, can be either Aramaic </w:t>
      </w:r>
      <w:r>
        <w:rPr>
          <w:rFonts w:cs="Times New Roman" w:hint="cs"/>
          <w:sz w:val="20"/>
          <w:szCs w:val="20"/>
          <w:rtl/>
          <w:lang w:val="he-IL" w:bidi="he-IL"/>
        </w:rPr>
        <w:t>ספיה טב</w:t>
      </w:r>
      <w:r>
        <w:rPr>
          <w:rFonts w:ascii="Brill" w:hAnsi="Brill"/>
          <w:sz w:val="20"/>
          <w:szCs w:val="20"/>
        </w:rPr>
        <w:t xml:space="preserve"> or Hebrew </w:t>
      </w:r>
      <w:r>
        <w:rPr>
          <w:rFonts w:cs="Times New Roman" w:hint="cs"/>
          <w:sz w:val="20"/>
          <w:szCs w:val="20"/>
          <w:rtl/>
          <w:lang w:val="he-IL" w:bidi="he-IL"/>
        </w:rPr>
        <w:t>סופו טוב</w:t>
      </w:r>
      <w:r>
        <w:rPr>
          <w:rFonts w:ascii="Brill" w:hAnsi="Brill"/>
          <w:sz w:val="20"/>
          <w:szCs w:val="20"/>
        </w:rPr>
        <w:t>. It is a blessing placed usually only on the living, hence the scribe’s father is still alive.</w:t>
      </w:r>
    </w:p>
  </w:footnote>
  <w:footnote w:id="56">
    <w:p w14:paraId="69C0DD21"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scribe abbreviates the phrase </w:t>
      </w:r>
      <w:r>
        <w:rPr>
          <w:rFonts w:cs="Times New Roman" w:hint="cs"/>
          <w:sz w:val="20"/>
          <w:szCs w:val="20"/>
          <w:rtl/>
          <w:lang w:val="he-IL" w:bidi="he-IL"/>
        </w:rPr>
        <w:t>קנין שלם מעכשיו</w:t>
      </w:r>
      <w:r>
        <w:rPr>
          <w:rFonts w:ascii="Brill" w:hAnsi="Brill"/>
          <w:sz w:val="20"/>
          <w:szCs w:val="20"/>
        </w:rPr>
        <w:t xml:space="preserve">. </w:t>
      </w:r>
    </w:p>
  </w:footnote>
  <w:footnote w:id="57">
    <w:p w14:paraId="26F02DB5"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As before, the scribe abbreviates the formula </w:t>
      </w:r>
      <w:r>
        <w:rPr>
          <w:rFonts w:cs="Times New Roman" w:hint="cs"/>
          <w:sz w:val="20"/>
          <w:szCs w:val="20"/>
          <w:rtl/>
          <w:lang w:val="he-IL" w:bidi="he-IL"/>
        </w:rPr>
        <w:t>וכתורת רבותינו זכרונם לברכה</w:t>
      </w:r>
      <w:r>
        <w:rPr>
          <w:rFonts w:ascii="Brill" w:hAnsi="Brill"/>
          <w:sz w:val="20"/>
          <w:szCs w:val="20"/>
        </w:rPr>
        <w:t>.</w:t>
      </w:r>
    </w:p>
  </w:footnote>
  <w:footnote w:id="58">
    <w:p w14:paraId="67162FC0"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scribe switches to Judaeo-Arabic again here.</w:t>
      </w:r>
    </w:p>
  </w:footnote>
  <w:footnote w:id="59">
    <w:p w14:paraId="5932BF07"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Ottoman currency, </w:t>
      </w:r>
      <w:r>
        <w:rPr>
          <w:rFonts w:ascii="Brill" w:hAnsi="Brill"/>
          <w:i/>
          <w:iCs/>
          <w:sz w:val="20"/>
          <w:szCs w:val="20"/>
        </w:rPr>
        <w:t>qirš</w:t>
      </w:r>
      <w:r>
        <w:rPr>
          <w:rFonts w:ascii="Brill" w:hAnsi="Brill"/>
          <w:sz w:val="20"/>
          <w:szCs w:val="20"/>
        </w:rPr>
        <w:t>.</w:t>
      </w:r>
    </w:p>
  </w:footnote>
  <w:footnote w:id="60">
    <w:p w14:paraId="0AD74710"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Abbreviating the Hebrew </w:t>
      </w:r>
      <w:r>
        <w:rPr>
          <w:rFonts w:cs="Times New Roman" w:hint="cs"/>
          <w:sz w:val="20"/>
          <w:szCs w:val="20"/>
          <w:rtl/>
          <w:lang w:val="he-IL" w:bidi="he-IL"/>
        </w:rPr>
        <w:t>חוב גמור</w:t>
      </w:r>
      <w:r>
        <w:rPr>
          <w:rFonts w:ascii="Brill" w:hAnsi="Brill"/>
          <w:sz w:val="20"/>
          <w:szCs w:val="20"/>
        </w:rPr>
        <w:t>.</w:t>
      </w:r>
    </w:p>
  </w:footnote>
  <w:footnote w:id="61">
    <w:p w14:paraId="7FCDEA47"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scribe switches back to Hebrew here, for the </w:t>
      </w:r>
      <w:r>
        <w:rPr>
          <w:rFonts w:ascii="Brill" w:hAnsi="Brill"/>
          <w:i/>
          <w:iCs/>
          <w:sz w:val="20"/>
          <w:szCs w:val="20"/>
        </w:rPr>
        <w:t>šemitta</w:t>
      </w:r>
      <w:r>
        <w:rPr>
          <w:rFonts w:ascii="Brill" w:hAnsi="Brill"/>
          <w:sz w:val="20"/>
          <w:szCs w:val="20"/>
        </w:rPr>
        <w:t xml:space="preserve"> (release) formula.</w:t>
      </w:r>
    </w:p>
  </w:footnote>
  <w:footnote w:id="62">
    <w:p w14:paraId="19A1B236"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Abbreviating </w:t>
      </w:r>
      <w:r>
        <w:rPr>
          <w:rFonts w:cs="Times New Roman" w:hint="cs"/>
          <w:sz w:val="20"/>
          <w:szCs w:val="20"/>
          <w:rtl/>
          <w:lang w:val="he-IL" w:bidi="he-IL"/>
        </w:rPr>
        <w:t>אפילו</w:t>
      </w:r>
      <w:r>
        <w:rPr>
          <w:rFonts w:ascii="Brill" w:hAnsi="Brill"/>
          <w:sz w:val="20"/>
          <w:szCs w:val="20"/>
        </w:rPr>
        <w:t xml:space="preserve"> again.</w:t>
      </w:r>
    </w:p>
  </w:footnote>
  <w:footnote w:id="63">
    <w:p w14:paraId="6B3E8460"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According to Jewish law, in the last year of the seven-year sabbatical cycle, land should remain fallow and debts be cancelled.</w:t>
      </w:r>
    </w:p>
  </w:footnote>
  <w:footnote w:id="64">
    <w:p w14:paraId="58695102"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Abbreviating Hebrew </w:t>
      </w:r>
      <w:r>
        <w:rPr>
          <w:rFonts w:cs="Times New Roman" w:hint="cs"/>
          <w:sz w:val="20"/>
          <w:szCs w:val="20"/>
          <w:rtl/>
          <w:lang w:val="he-IL" w:bidi="he-IL"/>
        </w:rPr>
        <w:t>מטלטלין</w:t>
      </w:r>
      <w:r>
        <w:rPr>
          <w:rFonts w:ascii="Brill" w:hAnsi="Brill"/>
          <w:sz w:val="20"/>
          <w:szCs w:val="20"/>
        </w:rPr>
        <w:t>, “movable property”.</w:t>
      </w:r>
    </w:p>
  </w:footnote>
  <w:footnote w:id="65">
    <w:p w14:paraId="5B559690"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The scribe switches back to Aramaic here.</w:t>
      </w:r>
    </w:p>
  </w:footnote>
  <w:footnote w:id="66">
    <w:p w14:paraId="7D7DEE2C"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He abbreviates the phrase </w:t>
      </w:r>
      <w:r>
        <w:rPr>
          <w:rFonts w:cs="Times New Roman" w:hint="cs"/>
          <w:sz w:val="20"/>
          <w:szCs w:val="20"/>
          <w:rtl/>
          <w:lang w:val="he-IL" w:bidi="he-IL"/>
        </w:rPr>
        <w:t>לא כאסמכתא ולא כטופסי דשטרי</w:t>
      </w:r>
      <w:r>
        <w:rPr>
          <w:rFonts w:ascii="Brill" w:hAnsi="Brill"/>
          <w:sz w:val="20"/>
          <w:szCs w:val="20"/>
        </w:rPr>
        <w:t>.</w:t>
      </w:r>
    </w:p>
  </w:footnote>
  <w:footnote w:id="67">
    <w:p w14:paraId="63270259"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Abbreviating </w:t>
      </w:r>
      <w:r>
        <w:rPr>
          <w:rFonts w:cs="Times New Roman" w:hint="cs"/>
          <w:sz w:val="20"/>
          <w:szCs w:val="20"/>
          <w:rtl/>
          <w:lang w:val="he-IL" w:bidi="he-IL"/>
        </w:rPr>
        <w:t>הצעיר</w:t>
      </w:r>
      <w:r>
        <w:rPr>
          <w:rFonts w:ascii="Brill" w:hAnsi="Brill"/>
          <w:sz w:val="20"/>
          <w:szCs w:val="20"/>
        </w:rPr>
        <w:t>.</w:t>
      </w:r>
    </w:p>
  </w:footnote>
  <w:footnote w:id="68">
    <w:p w14:paraId="6A91ED9E"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For </w:t>
      </w:r>
      <w:r>
        <w:rPr>
          <w:rFonts w:cs="Times New Roman" w:hint="cs"/>
          <w:sz w:val="20"/>
          <w:szCs w:val="20"/>
          <w:rtl/>
          <w:lang w:val="he-IL" w:bidi="he-IL"/>
        </w:rPr>
        <w:t>שי״ל</w:t>
      </w:r>
      <w:r>
        <w:rPr>
          <w:rFonts w:ascii="Brill" w:hAnsi="Brill"/>
          <w:sz w:val="20"/>
          <w:szCs w:val="20"/>
        </w:rPr>
        <w:t xml:space="preserve"> see footnote 52 above.</w:t>
      </w:r>
    </w:p>
  </w:footnote>
  <w:footnote w:id="69">
    <w:p w14:paraId="7B55A5B4" w14:textId="77777777" w:rsidR="00DB4AB8" w:rsidRDefault="00876BE0">
      <w:pPr>
        <w:pStyle w:val="FootnoteText"/>
        <w:spacing w:line="276" w:lineRule="auto"/>
        <w:jc w:val="both"/>
      </w:pPr>
      <w:r>
        <w:rPr>
          <w:rFonts w:ascii="Brill" w:eastAsia="Brill" w:hAnsi="Brill" w:cs="Brill"/>
          <w:vertAlign w:val="superscript"/>
        </w:rPr>
        <w:footnoteRef/>
      </w:r>
      <w:r>
        <w:rPr>
          <w:rFonts w:ascii="Brill" w:hAnsi="Brill"/>
          <w:sz w:val="20"/>
          <w:szCs w:val="20"/>
        </w:rPr>
        <w:t xml:space="preserve"> For </w:t>
      </w:r>
      <w:r>
        <w:rPr>
          <w:rFonts w:cs="Times New Roman" w:hint="cs"/>
          <w:sz w:val="20"/>
          <w:szCs w:val="20"/>
          <w:rtl/>
          <w:lang w:val="he-IL" w:bidi="he-IL"/>
        </w:rPr>
        <w:t>ס״ט</w:t>
      </w:r>
      <w:r>
        <w:rPr>
          <w:rFonts w:ascii="Brill" w:hAnsi="Brill"/>
          <w:sz w:val="20"/>
          <w:szCs w:val="20"/>
        </w:rPr>
        <w:t xml:space="preserve"> see footnote 53 above.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303316" w14:textId="77777777" w:rsidR="00DB4AB8" w:rsidRDefault="00DB4AB8">
    <w:pPr>
      <w:pStyle w:val="Kopf-undFuzeilen"/>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47"/>
  <w:defaultTabStop w:val="720"/>
  <w:hyphenationZone w:val="425"/>
  <w:characterSpacingControl w:val="doNotCompress"/>
  <w:footnotePr>
    <w:footnote w:id="-1"/>
    <w:footnote w:id="0"/>
    <w:footnote w:id="1"/>
  </w:footnotePr>
  <w:endnotePr>
    <w:endnote w:id="-1"/>
    <w:endnote w:id="0"/>
  </w:endnotePr>
  <w:compat>
    <w:useFELayout/>
    <w:compatSetting w:name="compatibilityMode" w:uri="http://schemas.microsoft.com/office/word" w:val="14"/>
    <w:compatSetting w:name="useWord2013TrackBottomHyphenation" w:uri="http://schemas.microsoft.com/office/word" w:val="1"/>
  </w:compat>
  <w:rsids>
    <w:rsidRoot w:val="00DB4AB8"/>
    <w:rsid w:val="000430B5"/>
    <w:rsid w:val="00061D68"/>
    <w:rsid w:val="00064E99"/>
    <w:rsid w:val="000A4389"/>
    <w:rsid w:val="000B1328"/>
    <w:rsid w:val="000E0FA5"/>
    <w:rsid w:val="001B4554"/>
    <w:rsid w:val="001C48C0"/>
    <w:rsid w:val="00263ECB"/>
    <w:rsid w:val="002A2087"/>
    <w:rsid w:val="00324B86"/>
    <w:rsid w:val="003F6547"/>
    <w:rsid w:val="00876BE0"/>
    <w:rsid w:val="00924496"/>
    <w:rsid w:val="009520FE"/>
    <w:rsid w:val="009C31A0"/>
    <w:rsid w:val="00A54DB5"/>
    <w:rsid w:val="00A858C9"/>
    <w:rsid w:val="00B662BE"/>
    <w:rsid w:val="00B81F75"/>
    <w:rsid w:val="00B9167A"/>
    <w:rsid w:val="00C13DB2"/>
    <w:rsid w:val="00D23433"/>
    <w:rsid w:val="00DB4AB8"/>
    <w:rsid w:val="00EA1D06"/>
    <w:rsid w:val="00F24011"/>
    <w:rsid w:val="00F308F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DF7ED"/>
  <w15:docId w15:val="{6CCF8FE8-4786-8142-AE37-1AF957E27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fr-FR" w:eastAsia="fr-FR"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Kopf-undFuzeilen">
    <w:name w:val="Kopf- und Fußzeilen"/>
    <w:pPr>
      <w:tabs>
        <w:tab w:val="right" w:pos="9020"/>
      </w:tabs>
    </w:pPr>
    <w:rPr>
      <w:rFonts w:ascii="Helvetica Neue" w:hAnsi="Helvetica Neue" w:cs="Arial Unicode MS"/>
      <w:color w:val="000000"/>
      <w:sz w:val="24"/>
      <w:szCs w:val="24"/>
    </w:rPr>
  </w:style>
  <w:style w:type="paragraph" w:styleId="Footer">
    <w:name w:val="footer"/>
    <w:pPr>
      <w:tabs>
        <w:tab w:val="center" w:pos="4536"/>
        <w:tab w:val="right" w:pos="9072"/>
      </w:tabs>
    </w:pPr>
    <w:rPr>
      <w:rFonts w:cs="Arial Unicode MS"/>
      <w:color w:val="000000"/>
      <w:sz w:val="24"/>
      <w:szCs w:val="24"/>
      <w:u w:color="000000"/>
      <w:lang w:val="en-US"/>
    </w:rPr>
  </w:style>
  <w:style w:type="paragraph" w:customStyle="1" w:styleId="Text">
    <w:name w:val="Text"/>
    <w:rPr>
      <w:rFonts w:cs="Arial Unicode MS"/>
      <w:color w:val="000000"/>
      <w:sz w:val="24"/>
      <w:szCs w:val="24"/>
      <w:u w:color="000000"/>
      <w:lang w:val="en-US"/>
    </w:rPr>
  </w:style>
  <w:style w:type="paragraph" w:styleId="FootnoteText">
    <w:name w:val="footnote text"/>
    <w:rPr>
      <w:rFonts w:ascii="Calibri" w:eastAsia="Calibri" w:hAnsi="Calibri" w:cs="Calibri"/>
      <w:color w:val="000000"/>
      <w:sz w:val="24"/>
      <w:szCs w:val="24"/>
      <w:u w:color="000000"/>
      <w:lang w:val="en-US"/>
    </w:rPr>
  </w:style>
  <w:style w:type="character" w:customStyle="1" w:styleId="Link">
    <w:name w:val="Link"/>
    <w:rPr>
      <w:color w:val="0563C1"/>
      <w:u w:val="single" w:color="0563C1"/>
    </w:rPr>
  </w:style>
  <w:style w:type="character" w:customStyle="1" w:styleId="Hyperlink0">
    <w:name w:val="Hyperlink.0"/>
    <w:basedOn w:val="Link"/>
    <w:rPr>
      <w:rFonts w:ascii="Brill" w:eastAsia="Brill" w:hAnsi="Brill" w:cs="Brill"/>
      <w:color w:val="0563C1"/>
      <w:sz w:val="20"/>
      <w:szCs w:val="20"/>
      <w:u w:val="none" w:color="0563C1"/>
    </w:rPr>
  </w:style>
  <w:style w:type="character" w:customStyle="1" w:styleId="Hyperlink1">
    <w:name w:val="Hyperlink.1"/>
    <w:basedOn w:val="Link"/>
    <w:rPr>
      <w:rFonts w:ascii="Brill" w:eastAsia="Brill" w:hAnsi="Brill" w:cs="Brill"/>
      <w:color w:val="0563C1"/>
      <w:sz w:val="20"/>
      <w:szCs w:val="20"/>
      <w:u w:val="none" w:color="0563C1"/>
      <w:lang w:val="en-US"/>
    </w:rPr>
  </w:style>
  <w:style w:type="paragraph" w:styleId="BalloonText">
    <w:name w:val="Balloon Text"/>
    <w:basedOn w:val="Normal"/>
    <w:link w:val="BalloonTextChar"/>
    <w:uiPriority w:val="99"/>
    <w:semiHidden/>
    <w:unhideWhenUsed/>
    <w:rsid w:val="00F308FE"/>
    <w:rPr>
      <w:rFonts w:ascii="Tahoma" w:hAnsi="Tahoma" w:cs="Tahoma"/>
      <w:sz w:val="16"/>
      <w:szCs w:val="16"/>
    </w:rPr>
  </w:style>
  <w:style w:type="character" w:customStyle="1" w:styleId="BalloonTextChar">
    <w:name w:val="Balloon Text Char"/>
    <w:basedOn w:val="DefaultParagraphFont"/>
    <w:link w:val="BalloonText"/>
    <w:uiPriority w:val="99"/>
    <w:semiHidden/>
    <w:rsid w:val="00F308FE"/>
    <w:rPr>
      <w:rFonts w:ascii="Tahoma" w:hAnsi="Tahoma" w:cs="Tahoma"/>
      <w:sz w:val="16"/>
      <w:szCs w:val="16"/>
      <w:lang w:val="en-US" w:eastAsia="en-US"/>
    </w:rPr>
  </w:style>
  <w:style w:type="character" w:styleId="CommentReference">
    <w:name w:val="annotation reference"/>
    <w:basedOn w:val="DefaultParagraphFont"/>
    <w:uiPriority w:val="99"/>
    <w:semiHidden/>
    <w:unhideWhenUsed/>
    <w:rsid w:val="00064E99"/>
    <w:rPr>
      <w:sz w:val="16"/>
      <w:szCs w:val="16"/>
    </w:rPr>
  </w:style>
  <w:style w:type="paragraph" w:styleId="CommentText">
    <w:name w:val="annotation text"/>
    <w:basedOn w:val="Normal"/>
    <w:link w:val="CommentTextChar"/>
    <w:uiPriority w:val="99"/>
    <w:semiHidden/>
    <w:unhideWhenUsed/>
    <w:rsid w:val="00064E99"/>
    <w:rPr>
      <w:sz w:val="20"/>
      <w:szCs w:val="20"/>
    </w:rPr>
  </w:style>
  <w:style w:type="character" w:customStyle="1" w:styleId="CommentTextChar">
    <w:name w:val="Comment Text Char"/>
    <w:basedOn w:val="DefaultParagraphFont"/>
    <w:link w:val="CommentText"/>
    <w:uiPriority w:val="99"/>
    <w:semiHidden/>
    <w:rsid w:val="00064E99"/>
    <w:rPr>
      <w:lang w:val="en-US" w:eastAsia="en-US"/>
    </w:rPr>
  </w:style>
  <w:style w:type="paragraph" w:styleId="CommentSubject">
    <w:name w:val="annotation subject"/>
    <w:basedOn w:val="CommentText"/>
    <w:next w:val="CommentText"/>
    <w:link w:val="CommentSubjectChar"/>
    <w:uiPriority w:val="99"/>
    <w:semiHidden/>
    <w:unhideWhenUsed/>
    <w:rsid w:val="00064E99"/>
    <w:rPr>
      <w:b/>
      <w:bCs/>
    </w:rPr>
  </w:style>
  <w:style w:type="character" w:customStyle="1" w:styleId="CommentSubjectChar">
    <w:name w:val="Comment Subject Char"/>
    <w:basedOn w:val="CommentTextChar"/>
    <w:link w:val="CommentSubject"/>
    <w:uiPriority w:val="99"/>
    <w:semiHidden/>
    <w:rsid w:val="00064E99"/>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theme" Target="theme/theme1.xml"/><Relationship Id="rId3" Type="http://schemas.openxmlformats.org/officeDocument/2006/relationships/webSettings" Target="webSettings.xml"/><Relationship Id="rId7" Type="http://schemas.microsoft.com/office/2011/relationships/commentsExtended" Target="commentsExtended.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dx.doi.org/10.1163/22124241_ehll_EHLL_COM_00000908"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cudl.lib.cam.ac.uk)" TargetMode="External"/><Relationship Id="rId1" Type="http://schemas.openxmlformats.org/officeDocument/2006/relationships/hyperlink" Target="https://cudl.lib.cam.ac.uk/view/MS-MOSSERI-VII-00019/1" TargetMode="Externa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12</Pages>
  <Words>2992</Words>
  <Characters>17058</Characters>
  <Application>Microsoft Office Word</Application>
  <DocSecurity>0</DocSecurity>
  <Lines>142</Lines>
  <Paragraphs>40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20010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amir ashur</dc:creator>
  <cp:lastModifiedBy>B.M. Outhwaite</cp:lastModifiedBy>
  <cp:revision>5</cp:revision>
  <dcterms:created xsi:type="dcterms:W3CDTF">2018-04-12T06:34:00Z</dcterms:created>
  <dcterms:modified xsi:type="dcterms:W3CDTF">2018-04-13T11:56:00Z</dcterms:modified>
</cp:coreProperties>
</file>