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69229C5" w14:textId="7A9D53C7" w:rsidR="00786A2B" w:rsidRDefault="00786A2B">
      <w:pPr>
        <w:rPr>
          <w:i/>
          <w:iCs/>
          <w:u w:val="single"/>
        </w:rPr>
      </w:pPr>
      <w:r>
        <w:rPr>
          <w:i/>
          <w:iCs/>
          <w:u w:val="single"/>
        </w:rPr>
        <w:t xml:space="preserve">Table </w:t>
      </w:r>
      <w:r w:rsidR="00D00872">
        <w:rPr>
          <w:i/>
          <w:iCs/>
          <w:u w:val="single"/>
        </w:rPr>
        <w:t>1</w:t>
      </w:r>
      <w:r>
        <w:rPr>
          <w:i/>
          <w:iCs/>
          <w:u w:val="single"/>
        </w:rPr>
        <w:t>: Summary of Injury models, Advantages and Limitations</w:t>
      </w:r>
    </w:p>
    <w:tbl>
      <w:tblPr>
        <w:tblStyle w:val="TableGrid"/>
        <w:tblW w:w="9923" w:type="dxa"/>
        <w:tblInd w:w="-289" w:type="dxa"/>
        <w:tblCellMar>
          <w:top w:w="28" w:type="dxa"/>
          <w:bottom w:w="85" w:type="dxa"/>
        </w:tblCellMar>
        <w:tblLook w:val="04A0" w:firstRow="1" w:lastRow="0" w:firstColumn="1" w:lastColumn="0" w:noHBand="0" w:noVBand="1"/>
      </w:tblPr>
      <w:tblGrid>
        <w:gridCol w:w="1275"/>
        <w:gridCol w:w="1325"/>
        <w:gridCol w:w="2362"/>
        <w:gridCol w:w="2552"/>
        <w:gridCol w:w="2409"/>
      </w:tblGrid>
      <w:tr w:rsidR="004939D2" w14:paraId="47444D10" w14:textId="77777777" w:rsidTr="00EE54CD">
        <w:tc>
          <w:tcPr>
            <w:tcW w:w="1275" w:type="dxa"/>
          </w:tcPr>
          <w:p w14:paraId="7B38EF33" w14:textId="626207F5" w:rsidR="004939D2" w:rsidRDefault="004939D2" w:rsidP="004939D2">
            <w:pPr>
              <w:rPr>
                <w:rFonts w:ascii="Myriad Pro" w:hAnsi="Myriad Pro" w:cs="Times New Roman"/>
                <w:b/>
                <w:bCs/>
                <w:sz w:val="18"/>
                <w:szCs w:val="18"/>
              </w:rPr>
            </w:pPr>
            <w:r>
              <w:rPr>
                <w:rFonts w:ascii="Myriad Pro" w:hAnsi="Myriad Pro" w:cs="Times New Roman"/>
                <w:b/>
                <w:bCs/>
                <w:sz w:val="18"/>
                <w:szCs w:val="18"/>
              </w:rPr>
              <w:t>Injury Model Type</w:t>
            </w:r>
          </w:p>
        </w:tc>
        <w:tc>
          <w:tcPr>
            <w:tcW w:w="1325" w:type="dxa"/>
          </w:tcPr>
          <w:p w14:paraId="523D5EDA" w14:textId="65D826C8" w:rsidR="004939D2" w:rsidRPr="00547E4B" w:rsidRDefault="004939D2" w:rsidP="004939D2">
            <w:pPr>
              <w:rPr>
                <w:rFonts w:ascii="Myriad Pro" w:hAnsi="Myriad Pro" w:cs="Times New Roman"/>
                <w:b/>
                <w:bCs/>
                <w:sz w:val="18"/>
                <w:szCs w:val="18"/>
              </w:rPr>
            </w:pPr>
            <w:r>
              <w:rPr>
                <w:rFonts w:ascii="Myriad Pro" w:hAnsi="Myriad Pro" w:cs="Times New Roman"/>
                <w:b/>
                <w:bCs/>
                <w:sz w:val="18"/>
                <w:szCs w:val="18"/>
              </w:rPr>
              <w:t>Description</w:t>
            </w:r>
          </w:p>
        </w:tc>
        <w:tc>
          <w:tcPr>
            <w:tcW w:w="2362" w:type="dxa"/>
          </w:tcPr>
          <w:p w14:paraId="176CBD9F" w14:textId="3054AC43" w:rsidR="004939D2" w:rsidRPr="00547E4B" w:rsidRDefault="004939D2" w:rsidP="004939D2">
            <w:pPr>
              <w:rPr>
                <w:rFonts w:ascii="Myriad Pro" w:hAnsi="Myriad Pro" w:cs="Times New Roman"/>
                <w:b/>
                <w:bCs/>
                <w:sz w:val="18"/>
                <w:szCs w:val="18"/>
              </w:rPr>
            </w:pPr>
            <w:r>
              <w:rPr>
                <w:rFonts w:ascii="Myriad Pro" w:hAnsi="Myriad Pro" w:cs="Times New Roman"/>
                <w:b/>
                <w:bCs/>
                <w:sz w:val="18"/>
                <w:szCs w:val="18"/>
              </w:rPr>
              <w:t>Relevant Methods</w:t>
            </w:r>
          </w:p>
        </w:tc>
        <w:tc>
          <w:tcPr>
            <w:tcW w:w="2552" w:type="dxa"/>
          </w:tcPr>
          <w:p w14:paraId="41B329DE" w14:textId="3B614581" w:rsidR="004939D2" w:rsidRPr="00547E4B" w:rsidRDefault="004939D2" w:rsidP="004939D2">
            <w:pPr>
              <w:rPr>
                <w:rFonts w:ascii="Myriad Pro" w:hAnsi="Myriad Pro" w:cs="Times New Roman"/>
                <w:b/>
                <w:bCs/>
                <w:sz w:val="18"/>
                <w:szCs w:val="18"/>
              </w:rPr>
            </w:pPr>
            <w:r>
              <w:rPr>
                <w:rFonts w:ascii="Myriad Pro" w:hAnsi="Myriad Pro" w:cs="Times New Roman"/>
                <w:b/>
                <w:bCs/>
                <w:sz w:val="18"/>
                <w:szCs w:val="18"/>
              </w:rPr>
              <w:t>Advantages</w:t>
            </w:r>
          </w:p>
        </w:tc>
        <w:tc>
          <w:tcPr>
            <w:tcW w:w="2409" w:type="dxa"/>
          </w:tcPr>
          <w:p w14:paraId="115A10D4" w14:textId="1DB4446D" w:rsidR="004939D2" w:rsidRDefault="004939D2" w:rsidP="004939D2">
            <w:pPr>
              <w:rPr>
                <w:rFonts w:ascii="Myriad Pro" w:hAnsi="Myriad Pro" w:cs="Times New Roman"/>
                <w:b/>
                <w:bCs/>
                <w:sz w:val="18"/>
                <w:szCs w:val="18"/>
              </w:rPr>
            </w:pPr>
            <w:r>
              <w:rPr>
                <w:rFonts w:ascii="Myriad Pro" w:hAnsi="Myriad Pro" w:cs="Times New Roman"/>
                <w:b/>
                <w:bCs/>
                <w:sz w:val="18"/>
                <w:szCs w:val="18"/>
              </w:rPr>
              <w:t>Limitations</w:t>
            </w:r>
          </w:p>
        </w:tc>
      </w:tr>
      <w:tr w:rsidR="004939D2" w14:paraId="6875DC70" w14:textId="77777777" w:rsidTr="00EE54CD">
        <w:trPr>
          <w:trHeight w:val="1642"/>
        </w:trPr>
        <w:tc>
          <w:tcPr>
            <w:tcW w:w="1275" w:type="dxa"/>
          </w:tcPr>
          <w:p w14:paraId="224D338F" w14:textId="27B1C5EB" w:rsidR="004939D2" w:rsidRDefault="004939D2" w:rsidP="004939D2">
            <w:pPr>
              <w:rPr>
                <w:rFonts w:ascii="Myriad Pro" w:hAnsi="Myriad Pro" w:cs="Times New Roman"/>
                <w:sz w:val="18"/>
                <w:szCs w:val="18"/>
              </w:rPr>
            </w:pPr>
            <w:r>
              <w:rPr>
                <w:rFonts w:ascii="Myriad Pro" w:hAnsi="Myriad Pro" w:cs="Times New Roman"/>
                <w:sz w:val="18"/>
                <w:szCs w:val="18"/>
              </w:rPr>
              <w:t>Compression</w:t>
            </w:r>
          </w:p>
        </w:tc>
        <w:tc>
          <w:tcPr>
            <w:tcW w:w="1325" w:type="dxa"/>
          </w:tcPr>
          <w:p w14:paraId="06BFB923" w14:textId="6A028450" w:rsidR="004939D2" w:rsidRPr="00547E4B" w:rsidRDefault="004939D2" w:rsidP="004939D2">
            <w:pPr>
              <w:rPr>
                <w:rFonts w:ascii="Myriad Pro" w:hAnsi="Myriad Pro" w:cs="Times New Roman"/>
                <w:sz w:val="18"/>
                <w:szCs w:val="18"/>
              </w:rPr>
            </w:pPr>
            <w:r>
              <w:rPr>
                <w:rFonts w:ascii="Myriad Pro" w:hAnsi="Myriad Pro" w:cs="Times New Roman"/>
                <w:sz w:val="18"/>
                <w:szCs w:val="18"/>
              </w:rPr>
              <w:t>Prolonged spinal cord compression</w:t>
            </w:r>
          </w:p>
        </w:tc>
        <w:tc>
          <w:tcPr>
            <w:tcW w:w="2362" w:type="dxa"/>
          </w:tcPr>
          <w:p w14:paraId="618FB7C6"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sidRPr="00716905">
              <w:rPr>
                <w:rFonts w:ascii="Myriad Pro" w:hAnsi="Myriad Pro" w:cs="Times New Roman"/>
                <w:sz w:val="18"/>
                <w:szCs w:val="18"/>
              </w:rPr>
              <w:t>Microvascular clip</w:t>
            </w:r>
            <w:r w:rsidRPr="00716905">
              <w:rPr>
                <w:rFonts w:ascii="Myriad Pro" w:hAnsi="Myriad Pro" w:cs="Times New Roman"/>
                <w:sz w:val="18"/>
                <w:szCs w:val="18"/>
                <w:vertAlign w:val="superscript"/>
              </w:rPr>
              <w:fldChar w:fldCharType="begin" w:fldLock="1"/>
            </w:r>
            <w:r>
              <w:rPr>
                <w:rFonts w:ascii="Myriad Pro" w:hAnsi="Myriad Pro" w:cs="Times New Roman"/>
                <w:sz w:val="18"/>
                <w:szCs w:val="18"/>
                <w:vertAlign w:val="superscript"/>
              </w:rPr>
              <w:instrText>ADDIN CSL_CITATION {"citationItems":[{"id":"ITEM-1","itemData":{"DOI":"http://dx.doi.org/10.1124/jpet.108.136903","ISBN":"0022-3565  1521-0103","abstract":"Activation of peroxisome proliferator-activated receptor (PPAR)-alpha, a member of the nuclear receptor superfamily, modulates inflammation and tissue injury events associated with spinal cord trauma in mice. Palmitoylethanolamide (PEA), the naturally occurring amide of palmitic acid and ethanolamine, reduces pain and inflammation through a mechanism dependent on PPAR-alpha activation. The aim of the present study was to evaluate the effect of the PEA on secondary damage induced by experimental spinal cord injury (SCI) in mice. SCI was induced by application of vascular clips to the dura mater via a four-level T &lt;inf&gt;5&lt;/inf&gt;-T&lt;inf&gt;8&lt;/inf&gt; laminectomy. This resulted in severe trauma characterized by edema, neutrophil infiltration, and production of inflammatory mediators, tissue damage, and apoptosis. Repeated PEA administration (10 mg/kg i.p.; 30 min before and 1 and 6 h after SCI) significantly reduced: 1) the degree of spinal cord inflammation and tissue injury, 2) neutrophil infiltration, 3) nitrotyrosine formation, 4) proinflammatory cytokine expression, 5) nuclear transcription factor activation-kappaB activation, 6) inducible nitric-oxide synthase expression, and 6) apoptosis. Moreover, PEA treatment significantly ameliorated the recovery of motor limb function. Together, the results indicate that PEA reduces inflammation and tissue injury associated with SCI and suggest a regulatory role for endogenous PPAR-alpha signaling in the inflammatory response associated with spinal cord trauma. Copyright © 2008 by The American Society for Pharmacology and Experimental Therapeutics. ","author":[{"dropping-particle":"","family":"Genovese","given":"T","non-dropping-particle":"","parse-names":false,"suffix":""},{"dropping-particle":"","family":"Esposito","given":"E","non-dropping-particle":"","parse-names":false,"suffix":""},{"dropping-particle":"","family":"Mazzon","given":"E","non-dropping-particle":"","parse-names":false,"suffix":""},{"dropping-particle":"","family":"Paola","given":"R","non-dropping-particle":"Di","parse-names":false,"suffix":""},{"dropping-particle":"","family":"Meli","given":"R","non-dropping-particle":"","parse-names":false,"suffix":""},{"dropping-particle":"","family":"Bramanti","given":"P","non-dropping-particle":"","parse-names":false,"suffix":""},{"dropping-particle":"","family":"Piomelli","given":"D","non-dropping-particle":"","parse-names":false,"suffix":""},{"dropping-particle":"","family":"Calignano","given":"A","non-dropping-particle":"","parse-names":false,"suffix":""},{"dropping-particle":"","family":"Cuzzocrea","given":"S","non-dropping-particle":"","parse-names":false,"suffix":""}],"container-title":"Journal of Pharmacology and Experimental Therapeutics ","id":"ITEM-1","issue":"1 ","issued":{"date-parts":[["2008"]]},"language":"English ","note":"Embase","page":"12-23","publisher-place":"(Genovese, Esposito, Mazzon, Di Paola, Bramanti, Cuzzocrea) IRCCS Centro Neurolesi Bonino-Pulejo, Messina, Italy (Esposito, Meli, Calignano) Department of Experimental Pharmacology, University of Naples Federico II, Naples, Italy (Piomelli) Department of ","title":"Effects of palmitoylethanolamide on signaling pathways implicated in the development of spinal cord injury ","type":"article","volume":"326 "},"uris":["http://www.mendeley.com/documents/?uuid=2cfc6621-414e-4b93-83ad-6e8ba5e71c9d"]},{"id":"ITEM-2","itemData":{"DOI":"http://dx.doi.org/10.1016/j.expneurol.2006.09.002","ISBN":"0014-4886  1090-2430","abstract":"Spinal cord injury (SCI) pain exhibits many symptoms associated with peripheral neuropathic pain, including increased tactile hypersensitivity. One novel approach to ameliorate SCI pain is the use of cannabinoid (CB) ligands. The current study evaluated the efficacy of the nonselective CB receptor agonist WIN 55,212-2 on tactile hypersensitivity in rats following a brief compression to the thoracic spinal cord. The withdrawal thresholds of the hind paws following SCI were significantly decreased, indicating tactile hypersensitivity. Systemic injection of WIN 55,212-2 increased withdrawal thresholds in a dose-dependent manner. Pretreatment with the CB&lt;inf&gt;1&lt;/inf&gt; receptor subtype-selective antagonist AM 251 completely abolished the antinociceptive effect of WIN 55,212-2 whereas pretreatment with the CB&lt;inf&gt;2&lt;/inf&gt; receptor subtype-selective antagonist AM 630 did not alter the antinociceptive effect of WIN 55,212-2. These data indicate that a CB&lt;inf&gt;1&lt;/inf&gt;-selective agonist may be novel therapeutic treatment for clinical SCI pain. © 2006 Elsevier Inc. All rights reserved. ","author":[{"dropping-particle":"","family":"Hama","given":"A","non-dropping-particle":"","parse-names":false,"suffix":""},{"dropping-particle":"","family":"Sagen","given":"J","non-dropping-particle":"","parse-names":false,"suffix":""}],"container-title":"Experimental Neurology ","id":"ITEM-2","issue":"1 ","issued":{"date-parts":[["2007"]]},"language":"English ","note":"Embase","page":"454-457","publisher-place":"(Hama, Sagen) University of Miami Miller School of Medicine, The Miami Project to Cure Paralysis, 1095 NW 14th Terrace, (R-48), Miami, FL 33136, United States  A. Hama, University of Miami Miller School of Medicine, The Miami Project to Cure Paralysis, 10","title":"Antinociceptive effect of cannabinoid agonist WIN 55,212-2 in rats with a spinal cord injury ","type":"article","volume":"204 "},"uris":["http://www.mendeley.com/documents/?uuid=7f87b37c-91ea-4f57-ba57-fbf4e7ecb896"]},{"id":"ITEM-3","itemData":{"DOI":"http://dx.doi.org/10.1682/JRRD.2008.04.0049","ISBN":"0748-7711","abstract":"A significant complaint associated with spinal cord injury (SCI) is chronic pain, which includes symptoms such as cutaneous hypersensitivity and spontaneous unevoked pain and is difficult to treat with currently available drugs. One complication with current analgesics is tolerance, a decrease in efficacy with repeated treatment over time. One promising class of pharmacological treatment is cannabinoid (CB) receptor agonists. The current study assessed the efficacy of the CB receptor agonist WIN 55,212-2 (WIN) in a rat model of neuropathic SCI pain. Brief spinal compression leads to significant hindpaw hypersensitivity to tactile stimulation. WIN dose-dependently increased withdrawal thresholds and continued to demonstrate efficacy over a twice-daily 7-day treatment regimen. By contrast, the efficacy of morphine in SCI rats decreased over the same treatment period. Similarly, the antinociceptive efficacy of WIN to acute noxious heat in uninjured rats diminished over time. These data suggest that the sustained efficacy of a CB receptor agonist for pain could depend on the pain state. Such agonists may hold promise for long-term use in alleviating chronic SCI pain. ","author":[{"dropping-particle":"","family":"Hama","given":"A","non-dropping-particle":"","parse-names":false,"suffix":""},{"dropping-particle":"","family":"Sagen","given":"J","non-dropping-particle":"","parse-names":false,"suffix":""}],"container-title":"Journal of Rehabilitation Research and Development ","id":"ITEM-3","issue":"1 ","issued":{"date-parts":[["2009"]]},"language":"English ","note":"Embase","page":"135-144","publisher-place":"(Hama, Sagen) Miami Project to Cure Paralysis, University of Miami Leonard M. Miller School of Medicine, Miami, FL, United States (Hama) Miami Project to Cure Paralysis, University of Miami Leonard M. Miller School of Medicine, 1095 NW 14th Terrace (R-48)","title":"Sustained antinociceptive effect of cannabinoid receptor agonist WIN 55,212-2 over time in rat model of neuropathic spinal cord injury pain ","type":"article","volume":"46 "},"uris":["http://www.mendeley.com/documents/?uuid=aa2d859c-617b-414c-ac62-4ac6fcaa8184"]},{"id":"ITEM-4","itemData":{"DOI":"http://dx.doi.org/10.1016/j.neuropharm.2009.12.010","ISBN":"0028-3908","abstract":"Pre-clinical evidence demonstrates that neuropathic spinal cord injury (SCI) pain is maintained by a number of neurobiological mechanisms, suggesting that treatments directed at several pain-related targets may be more advantageous compared to a treatment focused on a single target. The current study evaluated the efficacy of the non-opiate analgesic acetaminophen, which has several putative analgesic mechanisms, combined with analgesic drugs used to treat neuropathic pain in a rat model of below-level neuropathic SCI pain. Following an acute compression of the mid-thoracic spinal cord, rats exhibited robust hind paw hypersensitivity to innocuous mechanical stimulation. Fifty percent antinociceptive doses of gabapentin, morphine, tramadol or memantine were combined with an ineffective dose of acetaminophen; acetaminophen alone was not antinociceptive. The combination of acetaminophen with either tramadol or memantine resulted in an additive antinociceptive effect. Acetaminophen combined with either morphine or gabapentin, however, resulted in supra-additive (synergistic) efficacy. One of the analgesic mechanisms of acetaminophen is inhibiting the uptake of endocannabinoids from the extracellular space. Pre-treatment with AM251, a cannabinoid-1 receptor (CB1) antagonist, significantly diminished the antinociceptive effect of the acetaminophen + gabapentin combination. Pre-treatment with AM630, a cannabinoid-2 receptor (CB2) antagonist, did not have an effect on this combination. By contrast, both AM251 and AM630 reduced the efficacy of the acetaminophen + morphine combination. None of the active drugs alone were affected by either CB receptor antagonist. The results imply that modulation of the endocannabinoid system in addition to other mechanisms mediate the synergistic antinociceptive effects of acetaminophen combinations. Despite the presence of a cannabinoid mechanism, synergism was not present in all acetaminophen combinations. The combination of currently available drugs may be an appropriate option in ameliorating neuropathic SCI pain if single drug therapy is ineffective. © 2009 Elsevier Ltd. ","author":[{"dropping-particle":"","family":"Hama","given":"A T","non-dropping-particle":"","parse-names":false,"suffix":""},{"dropping-particle":"","family":"Sagen","given":"J","non-dropping-particle":"","parse-names":false,"suffix":""}],"container-title":"Neuropharmacology ","id":"ITEM-4","issue":"4-5 ","issued":{"date-parts":[["2010"]]},"language":"English ","note":"Embase","page":"758-766","publisher-place":"(Hama, Sagen) The Miami Project to Cure Paralysis, University of Miami Miller School of Medicine, 1095 NW 14th Terrace (R-48), Miami, FL 33136, United States  A.T. Hama, The Miami Project to Cure Paralysis, University of Miami Miller School of Medicine, 1","title":"Cannabinoid receptor-mediated antinociception with acetaminophen drug combinations in rats with neuropathic spinal cord injury pain ","type":"article","volume":"58 "},"uris":["http://www.mendeley.com/documents/?uuid=46f7852c-b3ee-41bf-b5cc-73d869c24a56"]},{"id":"ITEM-5","itemData":{"DOI":"http://dx.doi.org/10.1016/j.brainres.2011.07.031","ISBN":"0006-8993  1872-6240","abstract":"Activation of CNS cannabinoid subtype-1 (CB1) receptors has been shown to mediate the antinociceptive and other effects of systemically administered CB receptor agonists. The endogenous peptide CB receptor ligand hemopressin (HE) has previously demonstrated an antinociceptive effect in rats with a hind paw inflammation, without exhibiting characteristic CB1 receptor-mediated side-effects. The current study evaluated the effect of intrathecal (i.t.) and intracerebroventricular (i.c.v.) injection of HE in a rat model of neuropathic spinal cord injury (SCI) pain. The non-subtype selective CB receptor agonist WIN 55,212-2 was also centrally administered in SCI rats as a comparator. Four weeks following an acute compression of the mid-thoracic spinal cord, rats displayed markedly decreased hind paw withdrawal thresholds, indicative of below-level neuropathic pain. Central administration of WIN 55,212-2 significantly increased withdrawal thresholds, whereas HE did not. Hemopressin has been reported to block CB1 receptors in vitro, similar to the CB1 receptor antagonist rimonabant. Pretreatment with rimonabant completely blocked the antinociceptive effect of centrally administered WIN 55,212-2, but pretreatment with HE did not. While the data confirm that activation of either supraspinal or spinal CB1 receptors leads to significant antinociception in SCI rats, the current data do not support an antinociceptive effect from an acute blockade of central CB1 receptors, HE's putative antinociceptive mechanism, in neuropathic SCI rats. Although such a mechanism could be useful in other models of pain with a significant inflammatory component, the current data indicate that activation of CB1 receptors is needed to ameliorate neuropathic SCI pain. © 2011 Elsevier B.V. All rights reserved. ","author":[{"dropping-particle":"","family":"Hama","given":"A","non-dropping-particle":"","parse-names":false,"suffix":""},{"dropping-particle":"","family":"Sagen","given":"J","non-dropping-particle":"","parse-names":false,"suffix":""}],"container-title":"Brain Research ","id":"ITEM-5","issued":{"date-parts":[["2011"]]},"language":"English ","note":"Embase","page":"44-54","publisher-place":"(Hama, Sagen) Miami Project to Cure Paralysis, University of Miami Miller School of Medicine, 1095 NW 14th Terrace (R-48), Miami, FL 33136, United States  A. Hama, Miami Project to Cure Paralysis, University of Miami Miller School of Medicine, 1095 NW 14t","title":"Activation of spinal and supraspinal cannabinoid-1 receptors leads to antinociception in a rat model of neuropathic spinal cord injury pain ","type":"article","volume":"1412 "},"uris":["http://www.mendeley.com/documents/?uuid=f5745367-b54b-4417-ae50-798fa20b8bce"]},{"id":"ITEM-6","itemData":{"DOI":"http://dx.doi.org/10.1002/prp2.34","ISBN":"2052-1707","abstract":"A lack of efficacy of some analgesic drugs has been previously described in rats with neuropathic spinal cord injury (SCI) pain. It has been suggested that repeated dosing in these animals over time may eventually lead to efficacy. However, it is also possible that efficacy may diminish over time with repeated dosing. This study evaluated the efficacy of various drugs upon repeated dosing over time in a rat model of SCI pain. Four weeks following an acute spinal cord compression at the mid-thoracic level, rats developed decreased hind paw withdrawal threshold, suggestive of below level neuropathic hypersensitivity. Either cannabinoid (CB) receptor agonist CP 55,940, the anticonvulsant carbamazepine or gabapentin, the antidepressant amitriptyline or vehicle was administered over a period of 7 days. Neither carbamazepine nor amitriptyline demonstrated efficacy either after a single or repeated dosing. Beginning with a 50% efficacious dose of gabapentin, the effect of gabapentin in SCI rats neither increased nor decreased over the treatment period. The antinociceptive effect of CP 55,940 was maintained for the entire treatment period, which was mediated by CB1 but not CB2 receptors. The current data suggest that sustained antinociception can be obtained with some drugs in rats with neuropathic SCI pain. Furthermore, the current data do not substantiate the notion that repeated treatment with initially ineffective drugs will eventually lead to efficacy; treatments that are not acutely effective are unlikely to demonstrate clinical efficacy. Copyright © 2014 The Authors. Pharmacology Research &amp; Perspectives published by John Wiley &amp; Sons Ltd, British Pharmacological Society and American Society for Pharmacology and Experimental Therapeutics. ","author":[{"dropping-particle":"","family":"Hama","given":"A T","non-dropping-particle":"","parse-names":false,"suffix":""},{"dropping-particle":"","family":"Pearson","given":"J P","non-dropping-particle":"","parse-names":false,"suffix":""},{"dropping-particle":"","family":"Sagen","given":"J","non-dropping-particle":"","parse-names":false,"suffix":""}],"container-title":"Pharmacology Research and Perspectives ","id":"ITEM-6","issue":"2 ","issued":{"date-parts":[["2014"]]},"language":"English ","note":"Embase","publisher-place":"(Hama, Sagen) The Miami Project to Cure Paralysis, University of Miami Miller School of Medicine, Miami, FL 33136, United States (Pearson) Ironwood Pharmaceuticals, Inc, Cambridge, MA 02142, United States  A.T. Hama, The Miami Project to Cure Paralysis, U","title":"Effects of repeated dosing with mechanistically distinct antinociceptive ligands in a rat model of neuropathic spinal cord injury pain ","type":"article","volume":"2 "},"uris":["http://www.mendeley.com/documents/?uuid=dbbab316-c568-44c0-8b31-111000ebc672"]},{"id":"ITEM-7","itemData":{"DOI":"http://dx.doi.org/10.1089/neu.2016.4808","ISBN":"0897-7151  1557-9042","abstract":"Modulation of N-acylethanolamine-hydrolyzing acid amidase (NAAA) represents a potential alternative strategy in the treatment of neuroinflammation. Recent studies showed that pharmacological modulation of NAAA could be achieved with the oxazoline of palmitoylethanolamide (PEA; PEA-OXA). The aim of this study was to evaluate the neuroprotective effects of PEA-OXA in the secondary neuroinflammatory events induced by spinal and brain trauma in mice. Animals were subjected to spinal cord and brain injury models and PEA-OXA (10 mg/kg) was administered both intraperitoneally and orally 1 h and 6 h after trauma. PEA-OXA treatment markedly reduced the histological alterations induced by spinal cord injury (SCI) and traumatic brain injury (TBI) and ameliorated the motor function and behavioral deficits, as well. In addition, the expression of neurotrophic factors, such as glial cell line-derived neurotrophic factor, brain-derived neurotrophic factor, and neurotrophin-3 were increased by PEA-OXA treatment. Moreover, PEA-OXA also significantly decreased glial fibrillary acidic protein hyperexpression, the nuclear translocation of nuclear factor (NF)-kappaB, phosphorylation of Ser536 on the NF-kappaB subunit p65, and degradation of IkappaB-alpha, as well as diminished the expression of pro-inflammatory mediators such as cyclooxygenase-2 (COX-2), inducible nitric oxide synthase, tumor necrosis factor (TNF)-alpha and interleukin (IL)-1beta. The modulation of intracellular NAAA by PEA-OXA treatment could thus represent a novel therapy to control neuroinflammatory conditions associated with SCI and TBI. © Copyright 2017, Mary Ann Liebert, Inc. 2017. ","author":[{"dropping-particle":"","family":"Impellizzeri","given":"D","non-dropping-particle":"","parse-names":false,"suffix":""},{"dropping-particle":"","family":"Cordaro","given":"M","non-dropping-particle":"","parse-names":false,"suffix":""},{"dropping-particle":"","family":"Bruschetta","given":"G","non-dropping-particle":"","parse-names":false,"suffix":""},{"dropping-particle":"","family":"Siracusa","given":"R","non-dropping-particle":"","parse-names":false,"suffix":""},{"dropping-particle":"","family":"Crupi","given":"R","non-dropping-particle":"","parse-names":false,"suffix":""},{"dropping-particle":"","family":"Esposito","given":"E","non-dropping-particle":"","parse-names":false,"suffix":""},{"dropping-particle":"","family":"Cuzzocrea","given":"S","non-dropping-particle":"","parse-names":false,"suffix":""}],"container-title":"Journal of Neurotrauma ","id":"ITEM-7","issue":"18 ","issued":{"date-parts":[["2017"]]},"language":"English ","note":"Embase","page":"2609-2623","publisher-place":"(Impellizzeri, Cordaro, Bruschetta, Siracusa, Crupi, Esposito, Cuzzocrea) Department of Chemical, Biological, Pharmaceutical, and Environmental Sciences, University of Messina, Viale Ferdinando Stagno D'Alcontres, Messina 31-98166, Italy (Cuzzocrea) Manch","title":"N-Palmitoylethanolamine-Oxazoline as a New Therapeutic Strategy to Control Neuroinflammation: Neuroprotective Effects in Experimental Models of Spinal Cord and Brain Injury ","type":"article","volume":"34 "},"uris":["http://www.mendeley.com/documents/?uuid=67ecec48-13bc-450c-bb2e-d13a34b122b3"]},{"id":"ITEM-8","itemData":{"DOI":"http://dx.doi.org/10.1186/1742-2094-10-20","ISBN":"1742-2094","abstract":"Background: Palmitoylethanolamide (PEA) is an endogenous fatty acid amide displaying anti-inflammatory and analgesic actions. Moreover, several data have suggested that PEA reduced inflammation and tissue injury associated with spinal cord trauma and showed a regulatory role for peroxisome proliferator-activated receptor (PPAR)-alpha signaling in the neuroprotective effect of PEA. However, several other mechanisms could explain the anti-inflammatory and anti-hyperalgesic effects of PEA, including the activation of PPAR-delta and PPAR-gamma. The aim of the present study was to carefully investigate the exact contribution of PPAR-delta and PPAR-gamma in addition to PPAR-alpha, in the protective effect of PEA on secondary inflammatory damage associated with an experimental model of spinal cord injury (SCI).Methods: SCI was induced in mice through a spinal cord compression by the application of vascular clips (force of 24 g) to the dura via a four-level T5 to T8 laminectomy, and PEA (10 mg/kg, intraperitoneally, 1 and 6 hours after SCI) was injected into wildtype mice and into mice lacking PPAR-alpha (PPAR-alphaKO). To deepen the ability of specific PPAR-delta and PPAR-gamma antagonists to reverse the effect of PEA, mice were administered GSK0660 or GW9662, 30 minutes before PEA injection.Results: Genetic ablation of PPAR-alpha in mice exacerbated spinal cord damage, while PEA-induced neuroprotection seemed be abolished in PPARalphaKO mice. Twenty-four hours after spinal cord damage, immunohistological and biochemical studies were performed on spinal cord tissue. Our results indicate that PPAR-delta and PPAR-gamma also mediated the protection induced by PEA. In particular, PEA was less effective in PPAR-alphaKO, GSK0660-treated or GW9662-pretreated mice, as evaluated by the degree of spinal cord inflammation and tissue injury, neutrophil infiltration, proinflammmatory cytokine, inducible nitric oxide synthase expression and motor function. PEA is also able to restore PPAR-delta and PPAR-gamma expression in spinal cord tissue.Conclusion: This study indicates that PPAR-delta and PPAR-gamma can also contribute to the anti-inflammatory activity of PEA in SCI. © 2013 Paterniti et al.; licensee BioMed Central Ltd. ","author":[{"dropping-particle":"","family":"Paterniti","given":"I","non-dropping-particle":"","parse-names":false,"suffix":""},{"dropping-particle":"","family":"Impellizzeri","given":"D","non-dropping-particle":"","parse-names":false,"suffix":""},{"dropping-particle":"","family":"Crupi","given":"R","non-dropping-particle":"","parse-names":false,"suffix":""},{"dropping-particle":"","family":"Morabito","given":"R","non-dropping-particle":"","parse-names":false,"suffix":""},{"dropping-particle":"","family":"Campolo","given":"M","non-dropping-particle":"","parse-names":false,"suffix":""},{"dropping-particle":"","family":"Esposito","given":"E","non-dropping-particle":"","parse-names":false,"suffix":""},{"dropping-particle":"","family":"Cuzzocrea","given":"S","non-dropping-particle":"","parse-names":false,"suffix":""}],"container-title":"Journal of Neuroinflammation ","id":"ITEM-8","issued":{"date-parts":[["2013"]]},"language":"English ","note":"Embase","publisher-place":"(Paterniti, Impellizzeri, Crupi, Morabito, Campolo, Esposito, Cuzzocrea) Department of Biological and Environmental Sciences, University of Messina, Viale Ferdinando Stagno D'Alcontres, Messina 31-98166, Italy (Cuzzocrea) Manchester Biomedical Research Ce","title":"Molecular evidence for the involvement of PPAR-delta and PPAR-gamma in anti-inflammatory and neuroprotective activities of palmitoylethanolamide after spinal cord trauma ","type":"article","volume":"10 (no pag"},"uris":["http://www.mendeley.com/documents/?uuid=d7100582-c9fe-4a32-b8a8-a7a32dac973f"]},{"id":"ITEM-9","itemData":{"DOI":"10.1186/1742-2094-10-91","ISSN":"17422094","abstract":"Background: It has recently been demonstrated that palmitoylethanolamide (PEA), an endogenous lipid amide belonging to the N-acylethanolamine family, exerts neuroprotection in central nervous system (CNS) pathologies. In recent studies, we have demonstrated that treatment with PEA significantly reduced inflammatory secondary events associated with spinal cord injury (SCI). Since oxidative stress is considered to play an important role in neuroinflammatory disorders, in the present work we studied a new composite, a formulation including PEA and the antioxidant compound luteolin (Lut), subjected to an ultramicronization process, co-ultraPEALut. We investigated the effect of co-ultraPEALut (in the respective fixed doses of 10:1 in mass) in both an ex vivo organotypic spinal cord culture model and an in vivo model of SCI.Methods: For the organotypic cultures, spinal cords were prepared from mice at postnatal day 6 and were cut into transverse slices of 400 μm thickness to generate the lumbar organotypic slice cultures. After 7 days of culturing, the slices were mechanically injured onto the center of the slice and the co-ultraPEALut was applied at different concentrations (0.00009, 0.0009 and 0.009 g/l) 1 hour before damage. For in vivo studies, SCI was induced in mice through spinal cord compression by the application of vascular clips (force of 24 g) to the dura via a four-level T5 to T8 laminectomy, and co-ultraPEALut (1 mg/kg ip) was administered at 1 and 6 hours after SCI. At 24 hours after SCI, mice were sacrificed and the spinal cords were collected for further evaluation. Additional animals were treated similarly and sacrificed 10 days after SCI.Results: Pretreatment with co-ultraPEALut significantly reduced cyclooxygenase-2 (COX-2) and inducible nitric oxide synthase (iNOS) expression in a concentration-dependent manner, restored neuronal nitric oxide synthase (nNOS) expression at all three tested concentrations, and protected cells by cell death (MTT assay) in spinal cord organotypic cultures. Moreover, we demonstrated in vivo that co-ultraPEALut 1 mg/kg reduced the severity of trauma induced by compression and improved the motor activity evaluated at 10 days post-injury.Conclusion: The present study demonstrates that the protective effect of PEA on SCI-associated neuroinflammation could be improved by co-ultramicronization with Lut possibly due to its antioxidant properties. © 2013 Paterniti et al.; licensee BioMed Central Ltd.","author":[{"dropping-particle":"","family":"Paterniti","given":"Irene","non-dropping-particle":"","parse-names":false,"suffix":""},{"dropping-particle":"","family":"Impellizzeri","given":"Daniela","non-dropping-particle":"","parse-names":false,"suffix":""},{"dropping-particle":"","family":"Paola","given":"Rosanna","non-dropping-particle":"Di","parse-names":false,"suffix":""},{"dropping-particle":"","family":"Navarra","given":"Michele","non-dropping-particle":"","parse-names":false,"suffix":""},{"dropping-particle":"","family":"Cuzzocrea","given":"Salvatore","non-dropping-particle":"","parse-names":false,"suffix":""},{"dropping-particle":"","family":"Esposito","given":"Emanuela","non-dropping-particle":"","parse-names":false,"suffix":""}],"container-title":"Journal of Neuroinflammation","id":"ITEM-9","issued":{"date-parts":[["2013"]]},"page":"1-11","title":"A new co-ultramicronized composite including palmitoylethanolamide and luteolin to prevent neuroinflammation in spinal cord injury","type":"article-journal","volume":"10"},"uris":["http://www.mendeley.com/documents/?uuid=83caf321-577d-4e8f-890f-e4eb0b745118"]}],"mendeley":{"formattedCitation":"[32–36,43,45,47,48]","plainTextFormattedCitation":"[32–36,43,45,47,48]","previouslyFormattedCitation":"[32–36,43,45,47,48]"},"properties":{"noteIndex":0},"schema":"https://github.com/citation-style-language/schema/raw/master/csl-citation.json"}</w:instrText>
            </w:r>
            <w:r w:rsidRPr="00716905">
              <w:rPr>
                <w:rFonts w:ascii="Myriad Pro" w:hAnsi="Myriad Pro" w:cs="Times New Roman"/>
                <w:sz w:val="18"/>
                <w:szCs w:val="18"/>
                <w:vertAlign w:val="superscript"/>
              </w:rPr>
              <w:fldChar w:fldCharType="separate"/>
            </w:r>
            <w:r w:rsidRPr="002624CC">
              <w:rPr>
                <w:rFonts w:ascii="Myriad Pro" w:hAnsi="Myriad Pro" w:cs="Times New Roman"/>
                <w:noProof/>
                <w:sz w:val="18"/>
                <w:szCs w:val="18"/>
              </w:rPr>
              <w:t>[32–36,43,45,47,48]</w:t>
            </w:r>
            <w:r w:rsidRPr="00716905">
              <w:rPr>
                <w:rFonts w:ascii="Myriad Pro" w:hAnsi="Myriad Pro" w:cs="Times New Roman"/>
                <w:sz w:val="18"/>
                <w:szCs w:val="18"/>
              </w:rPr>
              <w:fldChar w:fldCharType="end"/>
            </w:r>
          </w:p>
          <w:p w14:paraId="7B518112" w14:textId="2D095042" w:rsidR="004939D2" w:rsidRPr="00EE54CD" w:rsidRDefault="004939D2" w:rsidP="004939D2">
            <w:pPr>
              <w:pStyle w:val="ListParagraph"/>
              <w:numPr>
                <w:ilvl w:val="0"/>
                <w:numId w:val="1"/>
              </w:numPr>
              <w:spacing w:line="240" w:lineRule="auto"/>
              <w:ind w:left="209" w:hanging="218"/>
              <w:rPr>
                <w:rFonts w:ascii="Myriad Pro" w:hAnsi="Myriad Pro" w:cs="Times New Roman"/>
                <w:sz w:val="18"/>
                <w:szCs w:val="18"/>
              </w:rPr>
            </w:pPr>
            <w:r>
              <w:rPr>
                <w:rFonts w:ascii="Myriad Pro" w:hAnsi="Myriad Pro" w:cs="Times New Roman"/>
                <w:sz w:val="18"/>
                <w:szCs w:val="18"/>
              </w:rPr>
              <w:t>Compression via s</w:t>
            </w:r>
            <w:r w:rsidRPr="00D85845">
              <w:rPr>
                <w:rFonts w:ascii="Myriad Pro" w:hAnsi="Myriad Pro" w:cs="Times New Roman"/>
                <w:sz w:val="18"/>
                <w:szCs w:val="18"/>
              </w:rPr>
              <w:t>ilicon tube insertion into the vertebral canal</w:t>
            </w:r>
            <w:r w:rsidRPr="00D85845">
              <w:rPr>
                <w:rFonts w:ascii="Myriad Pro" w:hAnsi="Myriad Pro" w:cs="Times New Roman"/>
                <w:sz w:val="18"/>
                <w:szCs w:val="18"/>
                <w:vertAlign w:val="superscript"/>
              </w:rPr>
              <w:fldChar w:fldCharType="begin" w:fldLock="1"/>
            </w:r>
            <w:r w:rsidRPr="00D85845">
              <w:rPr>
                <w:rFonts w:ascii="Myriad Pro" w:hAnsi="Myriad Pro" w:cs="Times New Roman"/>
                <w:sz w:val="18"/>
                <w:szCs w:val="18"/>
                <w:vertAlign w:val="superscript"/>
              </w:rPr>
              <w:instrText>ADDIN CSL_CITATION {"citationItems":[{"id":"ITEM-1","itemData":{"DOI":"http://dx.doi.org/10.1016/j.neulet.2015.04.016","ISBN":"0304-3940  1872-7972","abstract":"Increased matrix metalloproteinase (MMP) activity contributes to glial scar formation that inhibits the repair path after spinal cord injury (SCI). We examined whether treatment with N-(2-chloroethyl)-5Z,8Z,11Z,14Z-eicosatetraenamide (ACEA), a selective synthetic cannabinoid receptor (CB1R) agonist, inhibits MMP and improves functional and histological recovery in a mouse spinal cord compression injury model. Injured mice randomly received either intraperitoneal ACEA (3. mg/kg/day) or vehicle for up to 3 weeks. Behavioral, histological and biochemical assays were performed. Rotarod assessment and the Basso Mouse Scale score showed an improved performance following ACEA treatment concomitant with a decrease in compression lesion volume. MMP-9 and MMP-2 activity was measured at 1, 7 and 14 days post-SCI. SCI markedly increased MMP-9, but had negligible effect on MMP-2 activity. ACEA-treatment decreased MMP-9 activity by 80%, 49%, and 56%, respectively (P&lt;. 0.05) and had a smaller effect on MMP-2 activity. The CB1R antagonist SR141716, but not the CB2R antagonist SR144528, blocked ACEA-mediated decrease in MMP-9 activity confirming the role of the CB1R in the process. Collectively these data demonstrate that post-injury CB1R agonism can improve SCI outcome and also indicate marked attenuation of MMP-9 proteolytic enzyme activity as a biochemical mechanism. Copyright © 2015 Elsevier Ireland Ltd. ","author":[{"dropping-particle":"","family":"Hong","given":"J","non-dropping-particle":"","parse-names":false,"suffix":""},{"dropping-particle":"","family":"Nandiwada","given":"V","non-dropping-particle":"","parse-names":false,"suffix":""},{"dropping-particle":"","family":"Jones","given":"V","non-dropping-particle":"","parse-names":false,"suffix":""},{"dropping-particle":"","family":"Lu","given":"M","non-dropping-particle":"","parse-names":false,"suffix":""},{"dropping-particle":"","family":"Warner","given":"D S","non-dropping-particle":"","parse-names":false,"suffix":""},{"dropping-particle":"","family":"Mukhopadhyay","given":"S","non-dropping-particle":"","parse-names":false,"suffix":""},{"dropping-particle":"","family":"Sheng","given":"H","non-dropping-particle":"","parse-names":false,"suffix":""}],"container-title":"Neuroscience Letters ","id":"ITEM-1","issued":{"date-parts":[["2015"]]},"language":"English ","note":"Embase","page":"19-24","publisher-place":"(Hong, Lu, Warner, Sheng) The Multidisciplinary Neuroprotection Laboratories, Department of Anesthesiology, Duke University Medical Center, Durham, NC, United States (Hong) Department of Neurosurgery, Tangshan Gongren Hospital, Hebei, China (Lu) Departmen","title":"CB1 cannabinoid receptor agonist inhibits matrix metalloproteinase activity in spinal cord injury: A possible mechanism of improved recovery ","type":"article","volume":"597 "},"uris":["http://www.mendeley.com/documents/?uuid=448c9853-5856-4896-ba0c-60c20ea72a12"]}],"mendeley":{"formattedCitation":"[44]","plainTextFormattedCitation":"[44]","previouslyFormattedCitation":"[44]"},"properties":{"noteIndex":0},"schema":"https://github.com/citation-style-language/schema/raw/master/csl-citation.json"}</w:instrText>
            </w:r>
            <w:r w:rsidRPr="00D85845">
              <w:rPr>
                <w:rFonts w:ascii="Myriad Pro" w:hAnsi="Myriad Pro" w:cs="Times New Roman"/>
                <w:sz w:val="18"/>
                <w:szCs w:val="18"/>
                <w:vertAlign w:val="superscript"/>
              </w:rPr>
              <w:fldChar w:fldCharType="separate"/>
            </w:r>
            <w:r w:rsidRPr="00D85845">
              <w:rPr>
                <w:rFonts w:ascii="Myriad Pro" w:hAnsi="Myriad Pro" w:cs="Times New Roman"/>
                <w:noProof/>
                <w:sz w:val="18"/>
                <w:szCs w:val="18"/>
              </w:rPr>
              <w:t>[44]</w:t>
            </w:r>
            <w:r w:rsidRPr="00D85845">
              <w:rPr>
                <w:rFonts w:ascii="Myriad Pro" w:hAnsi="Myriad Pro" w:cs="Times New Roman"/>
                <w:sz w:val="18"/>
                <w:szCs w:val="18"/>
              </w:rPr>
              <w:fldChar w:fldCharType="end"/>
            </w:r>
          </w:p>
        </w:tc>
        <w:tc>
          <w:tcPr>
            <w:tcW w:w="2552" w:type="dxa"/>
          </w:tcPr>
          <w:p w14:paraId="5CDA6EF1"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Pr>
                <w:rFonts w:ascii="Myriad Pro" w:hAnsi="Myriad Pro" w:cs="Times New Roman"/>
                <w:sz w:val="18"/>
                <w:szCs w:val="18"/>
              </w:rPr>
              <w:t>Mimics fracture dislocations and burst fractures</w:t>
            </w:r>
            <w:r w:rsidRPr="00EE54CD">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sidRPr="00EE54CD">
              <w:rPr>
                <w:rFonts w:ascii="Myriad Pro" w:hAnsi="Myriad Pro" w:cs="Times New Roman"/>
                <w:noProof/>
                <w:sz w:val="18"/>
                <w:szCs w:val="18"/>
              </w:rPr>
              <w:fldChar w:fldCharType="separate"/>
            </w:r>
            <w:r w:rsidRPr="002624CC">
              <w:rPr>
                <w:rFonts w:ascii="Myriad Pro" w:hAnsi="Myriad Pro" w:cs="Times New Roman"/>
                <w:noProof/>
                <w:sz w:val="18"/>
                <w:szCs w:val="18"/>
              </w:rPr>
              <w:t>[61]</w:t>
            </w:r>
            <w:r w:rsidRPr="00EE54CD">
              <w:rPr>
                <w:rFonts w:ascii="Myriad Pro" w:hAnsi="Myriad Pro" w:cs="Times New Roman"/>
                <w:noProof/>
                <w:sz w:val="18"/>
                <w:szCs w:val="18"/>
              </w:rPr>
              <w:fldChar w:fldCharType="end"/>
            </w:r>
            <w:r>
              <w:rPr>
                <w:rFonts w:ascii="Myriad Pro" w:hAnsi="Myriad Pro" w:cs="Times New Roman"/>
                <w:noProof/>
                <w:sz w:val="18"/>
                <w:szCs w:val="18"/>
              </w:rPr>
              <w:t>.</w:t>
            </w:r>
            <w:r>
              <w:rPr>
                <w:rFonts w:ascii="Myriad Pro" w:hAnsi="Myriad Pro" w:cs="Times New Roman"/>
                <w:sz w:val="18"/>
                <w:szCs w:val="18"/>
              </w:rPr>
              <w:t xml:space="preserve"> </w:t>
            </w:r>
          </w:p>
          <w:p w14:paraId="42DF0D02"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sidRPr="00716905">
              <w:rPr>
                <w:rFonts w:ascii="Myriad Pro" w:hAnsi="Myriad Pro" w:cs="Times New Roman"/>
                <w:noProof/>
                <w:sz w:val="18"/>
                <w:szCs w:val="18"/>
              </w:rPr>
              <w:t xml:space="preserve">Relatively simple and inexpensive. </w:t>
            </w:r>
          </w:p>
          <w:p w14:paraId="0202F06E"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sidRPr="00716905">
              <w:rPr>
                <w:rFonts w:ascii="Myriad Pro" w:hAnsi="Myriad Pro" w:cs="Times New Roman"/>
                <w:noProof/>
                <w:sz w:val="18"/>
                <w:szCs w:val="18"/>
              </w:rPr>
              <w:t xml:space="preserve">Can be used in different regions of spinal cord. </w:t>
            </w:r>
          </w:p>
          <w:p w14:paraId="45CE5240"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sidRPr="00716905">
              <w:rPr>
                <w:rFonts w:ascii="Myriad Pro" w:hAnsi="Myriad Pro" w:cs="Times New Roman"/>
                <w:noProof/>
                <w:sz w:val="18"/>
                <w:szCs w:val="18"/>
              </w:rPr>
              <w:t xml:space="preserve">Clips of varying closing force are available to crudely vary severity of SCI. </w:t>
            </w:r>
          </w:p>
          <w:p w14:paraId="1FCFB88D" w14:textId="7B0C3891" w:rsidR="004939D2" w:rsidRPr="00EE54CD" w:rsidRDefault="004939D2" w:rsidP="004939D2">
            <w:pPr>
              <w:pStyle w:val="ListParagraph"/>
              <w:numPr>
                <w:ilvl w:val="0"/>
                <w:numId w:val="1"/>
              </w:numPr>
              <w:spacing w:line="240" w:lineRule="auto"/>
              <w:ind w:left="209" w:hanging="218"/>
              <w:rPr>
                <w:rFonts w:ascii="Myriad Pro" w:hAnsi="Myriad Pro" w:cs="Times New Roman"/>
                <w:sz w:val="18"/>
                <w:szCs w:val="18"/>
              </w:rPr>
            </w:pPr>
            <w:r w:rsidRPr="00716905">
              <w:rPr>
                <w:rFonts w:ascii="Myriad Pro" w:hAnsi="Myriad Pro" w:cs="Times New Roman"/>
                <w:noProof/>
                <w:sz w:val="18"/>
                <w:szCs w:val="18"/>
              </w:rPr>
              <w:t>Incorporates a degree of vascular occlusion and ischaemia</w:t>
            </w:r>
            <w:r w:rsidRPr="00EE54CD">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sidRPr="00EE54CD">
              <w:rPr>
                <w:rFonts w:ascii="Myriad Pro" w:hAnsi="Myriad Pro" w:cs="Times New Roman"/>
                <w:noProof/>
                <w:sz w:val="18"/>
                <w:szCs w:val="18"/>
              </w:rPr>
              <w:fldChar w:fldCharType="separate"/>
            </w:r>
            <w:r w:rsidRPr="002624CC">
              <w:rPr>
                <w:rFonts w:ascii="Myriad Pro" w:hAnsi="Myriad Pro" w:cs="Times New Roman"/>
                <w:noProof/>
                <w:sz w:val="18"/>
                <w:szCs w:val="18"/>
              </w:rPr>
              <w:t>[61]</w:t>
            </w:r>
            <w:r w:rsidRPr="00EE54CD">
              <w:rPr>
                <w:rFonts w:ascii="Myriad Pro" w:hAnsi="Myriad Pro" w:cs="Times New Roman"/>
                <w:noProof/>
                <w:sz w:val="18"/>
                <w:szCs w:val="18"/>
              </w:rPr>
              <w:fldChar w:fldCharType="end"/>
            </w:r>
            <w:r>
              <w:rPr>
                <w:rFonts w:ascii="Myriad Pro" w:hAnsi="Myriad Pro" w:cs="Times New Roman"/>
                <w:noProof/>
                <w:sz w:val="18"/>
                <w:szCs w:val="18"/>
              </w:rPr>
              <w:t>.</w:t>
            </w:r>
            <w:r>
              <w:rPr>
                <w:rFonts w:ascii="Myriad Pro" w:hAnsi="Myriad Pro" w:cs="Times New Roman"/>
                <w:sz w:val="18"/>
                <w:szCs w:val="18"/>
              </w:rPr>
              <w:t xml:space="preserve"> </w:t>
            </w:r>
            <w:r w:rsidRPr="00716905">
              <w:rPr>
                <w:rFonts w:ascii="Myriad Pro" w:hAnsi="Myriad Pro" w:cs="Times New Roman"/>
                <w:noProof/>
                <w:sz w:val="18"/>
                <w:szCs w:val="18"/>
              </w:rPr>
              <w:t xml:space="preserve"> </w:t>
            </w:r>
          </w:p>
        </w:tc>
        <w:tc>
          <w:tcPr>
            <w:tcW w:w="2409" w:type="dxa"/>
          </w:tcPr>
          <w:p w14:paraId="4D6F5E67"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Pr>
                <w:rFonts w:ascii="Myriad Pro" w:hAnsi="Myriad Pro" w:cs="Times New Roman"/>
                <w:sz w:val="18"/>
                <w:szCs w:val="18"/>
              </w:rPr>
              <w:t>Difficult to standardise due to v</w:t>
            </w:r>
            <w:r w:rsidRPr="00716905">
              <w:rPr>
                <w:rFonts w:ascii="Myriad Pro" w:hAnsi="Myriad Pro" w:cs="Times New Roman"/>
                <w:sz w:val="18"/>
                <w:szCs w:val="18"/>
              </w:rPr>
              <w:t>ariability in the actual force applied by clips and extent of cord compression</w:t>
            </w:r>
            <w:r w:rsidRPr="00716905">
              <w:rPr>
                <w:rFonts w:ascii="Myriad Pro" w:hAnsi="Myriad Pro" w:cs="Times New Roman"/>
                <w:sz w:val="18"/>
                <w:szCs w:val="18"/>
              </w:rPr>
              <w:fldChar w:fldCharType="begin" w:fldLock="1"/>
            </w:r>
            <w:r>
              <w:rPr>
                <w:rFonts w:ascii="Myriad Pro" w:hAnsi="Myriad Pro" w:cs="Times New Roman"/>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sidRPr="00716905">
              <w:rPr>
                <w:rFonts w:ascii="Myriad Pro" w:hAnsi="Myriad Pro" w:cs="Times New Roman"/>
                <w:sz w:val="18"/>
                <w:szCs w:val="18"/>
              </w:rPr>
              <w:fldChar w:fldCharType="separate"/>
            </w:r>
            <w:r w:rsidRPr="002624CC">
              <w:rPr>
                <w:rFonts w:ascii="Myriad Pro" w:hAnsi="Myriad Pro" w:cs="Times New Roman"/>
                <w:noProof/>
                <w:sz w:val="18"/>
                <w:szCs w:val="18"/>
              </w:rPr>
              <w:t>[61]</w:t>
            </w:r>
            <w:r w:rsidRPr="00716905">
              <w:rPr>
                <w:rFonts w:ascii="Myriad Pro" w:hAnsi="Myriad Pro" w:cs="Times New Roman"/>
                <w:sz w:val="18"/>
                <w:szCs w:val="18"/>
              </w:rPr>
              <w:fldChar w:fldCharType="end"/>
            </w:r>
            <w:r w:rsidRPr="00716905">
              <w:rPr>
                <w:rFonts w:ascii="Myriad Pro" w:hAnsi="Myriad Pro" w:cs="Times New Roman"/>
                <w:sz w:val="18"/>
                <w:szCs w:val="18"/>
              </w:rPr>
              <w:t>.</w:t>
            </w:r>
          </w:p>
          <w:p w14:paraId="448578C6" w14:textId="77777777" w:rsidR="004939D2" w:rsidRPr="00716905" w:rsidRDefault="004939D2" w:rsidP="004939D2">
            <w:pPr>
              <w:pStyle w:val="ListParagraph"/>
              <w:numPr>
                <w:ilvl w:val="0"/>
                <w:numId w:val="1"/>
              </w:numPr>
              <w:spacing w:line="240" w:lineRule="auto"/>
              <w:ind w:left="209" w:hanging="218"/>
              <w:rPr>
                <w:rFonts w:ascii="Myriad Pro" w:hAnsi="Myriad Pro" w:cs="Times New Roman"/>
                <w:sz w:val="18"/>
                <w:szCs w:val="18"/>
              </w:rPr>
            </w:pPr>
            <w:r w:rsidRPr="00716905">
              <w:rPr>
                <w:rFonts w:ascii="Myriad Pro" w:hAnsi="Myriad Pro" w:cs="Times New Roman"/>
                <w:noProof/>
                <w:sz w:val="18"/>
                <w:szCs w:val="18"/>
              </w:rPr>
              <w:t xml:space="preserve">Lacks acute </w:t>
            </w:r>
            <w:r>
              <w:rPr>
                <w:rFonts w:ascii="Myriad Pro" w:hAnsi="Myriad Pro" w:cs="Times New Roman"/>
                <w:noProof/>
                <w:sz w:val="18"/>
                <w:szCs w:val="18"/>
              </w:rPr>
              <w:t xml:space="preserve">impact </w:t>
            </w:r>
            <w:r w:rsidRPr="00716905">
              <w:rPr>
                <w:rFonts w:ascii="Myriad Pro" w:hAnsi="Myriad Pro" w:cs="Times New Roman"/>
                <w:noProof/>
                <w:sz w:val="18"/>
                <w:szCs w:val="18"/>
              </w:rPr>
              <w:t xml:space="preserve">phase of </w:t>
            </w:r>
            <w:r>
              <w:rPr>
                <w:rFonts w:ascii="Myriad Pro" w:hAnsi="Myriad Pro" w:cs="Times New Roman"/>
                <w:noProof/>
                <w:sz w:val="18"/>
                <w:szCs w:val="18"/>
              </w:rPr>
              <w:t>contusion models</w:t>
            </w:r>
            <w:r w:rsidRPr="00716905">
              <w:rPr>
                <w:rFonts w:ascii="Myriad Pro" w:hAnsi="Myriad Pro" w:cs="Times New Roman"/>
                <w:noProof/>
                <w:sz w:val="18"/>
                <w:szCs w:val="18"/>
              </w:rPr>
              <w:t>.</w:t>
            </w:r>
          </w:p>
          <w:p w14:paraId="1F931413" w14:textId="77777777" w:rsidR="004939D2" w:rsidRDefault="004939D2" w:rsidP="004939D2">
            <w:pPr>
              <w:rPr>
                <w:rFonts w:ascii="Myriad Pro" w:hAnsi="Myriad Pro" w:cs="Times New Roman"/>
                <w:noProof/>
                <w:sz w:val="18"/>
                <w:szCs w:val="18"/>
              </w:rPr>
            </w:pPr>
          </w:p>
        </w:tc>
      </w:tr>
      <w:tr w:rsidR="004939D2" w:rsidRPr="00EE54CD" w14:paraId="264EA3C5" w14:textId="77777777" w:rsidTr="00EE54CD">
        <w:tc>
          <w:tcPr>
            <w:tcW w:w="1275" w:type="dxa"/>
          </w:tcPr>
          <w:p w14:paraId="0C96B618" w14:textId="41B75CF5" w:rsidR="004939D2" w:rsidRDefault="004939D2" w:rsidP="004939D2">
            <w:pPr>
              <w:rPr>
                <w:rFonts w:ascii="Myriad Pro" w:hAnsi="Myriad Pro" w:cs="Times New Roman"/>
                <w:sz w:val="18"/>
                <w:szCs w:val="18"/>
              </w:rPr>
            </w:pPr>
            <w:r>
              <w:rPr>
                <w:rFonts w:ascii="Myriad Pro" w:hAnsi="Myriad Pro" w:cs="Times New Roman"/>
                <w:sz w:val="18"/>
                <w:szCs w:val="18"/>
              </w:rPr>
              <w:t>Contusion</w:t>
            </w:r>
          </w:p>
        </w:tc>
        <w:tc>
          <w:tcPr>
            <w:tcW w:w="1325" w:type="dxa"/>
          </w:tcPr>
          <w:p w14:paraId="0CD45E6F" w14:textId="32760098" w:rsidR="004939D2" w:rsidRPr="00547E4B" w:rsidRDefault="004939D2" w:rsidP="004939D2">
            <w:pPr>
              <w:rPr>
                <w:rFonts w:ascii="Myriad Pro" w:hAnsi="Myriad Pro" w:cs="Times New Roman"/>
                <w:sz w:val="18"/>
                <w:szCs w:val="18"/>
              </w:rPr>
            </w:pPr>
            <w:r>
              <w:rPr>
                <w:rFonts w:ascii="Myriad Pro" w:hAnsi="Myriad Pro" w:cs="Times New Roman"/>
                <w:sz w:val="18"/>
                <w:szCs w:val="18"/>
              </w:rPr>
              <w:t xml:space="preserve">Acute, blunt trauma to spinal cord.  </w:t>
            </w:r>
          </w:p>
        </w:tc>
        <w:tc>
          <w:tcPr>
            <w:tcW w:w="2362" w:type="dxa"/>
          </w:tcPr>
          <w:p w14:paraId="31D5E915"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Pr>
                <w:rFonts w:ascii="Myriad Pro" w:hAnsi="Myriad Pro" w:cs="Times New Roman"/>
                <w:sz w:val="18"/>
                <w:szCs w:val="18"/>
              </w:rPr>
              <w:t>Infinite Horizons impactor device</w:t>
            </w:r>
            <w:r w:rsidRPr="0042667E">
              <w:rPr>
                <w:rFonts w:ascii="Myriad Pro" w:hAnsi="Myriad Pro" w:cs="Times New Roman"/>
                <w:sz w:val="18"/>
                <w:szCs w:val="18"/>
                <w:vertAlign w:val="superscript"/>
              </w:rPr>
              <w:fldChar w:fldCharType="begin" w:fldLock="1"/>
            </w:r>
            <w:r w:rsidRPr="0042667E">
              <w:rPr>
                <w:rFonts w:ascii="Myriad Pro" w:hAnsi="Myriad Pro" w:cs="Times New Roman"/>
                <w:sz w:val="18"/>
                <w:szCs w:val="18"/>
                <w:vertAlign w:val="superscript"/>
              </w:rPr>
              <w:instrText>ADDIN CSL_CITATION {"citationItems":[{"id":"ITEM-1","itemData":{"DOI":"http://dx.doi.org/10.1371/journal.pone.0049057","ISBN":"1932-6203","abstract":"Spinal cord injury (SCI) induces a cascade of processes that may further expand the damage (secondary injury) or, alternatively, may be part of a safeguard response. Here we show that after a moderate-severe contusive SCI in rats there is a significant and very early increase in the spinal cord content of the endocannabinoids 2-arachidonoylglycerol (2-AG) and arachidonoyl ethanolamide (anandamide, AEA). Since 2-AG and AEA act through CB1 and CB2 cannabinoid receptors, we administered at 20 minutes after lesion a single injection of their respective antagonists AM281 and AM630 alone or in combination to block the effects of this early endocannabinoid accumulation. We observed that AM281, AM630 or AM281 plus AM630 administration impairs the spontaneous motor recovery of rats according to the Basso-Beattie-Bresnahan (BBB) locomotor scale. However, blockade of CB1, CB2 or both receptors produced different effects at the histopathological level. Thus, AM630 administration results at 90 days after lesion in increased MHC-II expression by spinal cord microglia/monocytes and reduced number of serotoninergic fibres in lumbar spinal cord (below the lesion). AM281 exerted the same effects but also increased oedema volume estimated by MRI. Co-administration of AM281 and AM630 produced the effects observed with the administration of either AM281 or AM630 and also reduced white matter and myelin preservation and enhanced microgliosis in the epicentre. Overall, our results suggest that the endocannabinoids acting through CB1 and CB2 receptors are part of an early neuroprotective response triggered after SCI that is involved in the spontaneous recovery after an incomplete lesion. © 2012 Arevalo-Martin et al. ","author":[{"dropping-particle":"","family":"Arevalo-Martin","given":"A","non-dropping-particle":"","parse-names":false,"suffix":""},{"dropping-particle":"","family":"Garcia-Ovejero","given":"D","non-dropping-particle":"","parse-names":false,"suffix":""},{"dropping-particle":"","family":"Sierra-Palomares","given":"Y","non-dropping-particle":"","parse-names":false,"suffix":""},{"dropping-particle":"","family":"Paniagua-Torija","given":"B","non-dropping-particle":"","parse-names":false,"suffix":""},{"dropping-particle":"","family":"Gonzalez-Gil","given":"I","non-dropping-particle":"","parse-names":false,"suffix":""},{"dropping-particle":"","family":"Ortega-Gutierrez","given":"S","non-dropping-particle":"","parse-names":false,"suffix":""},{"dropping-particle":"","family":"Molina-Holgado","given":"E","non-dropping-particle":"","parse-names":false,"suffix":""}],"container-title":"PLoS ONE ","id":"ITEM-1","issue":"11 ","issued":{"date-parts":[["2012"]]},"language":"English ","note":"Embase","publisher-place":"(Arevalo-Martin, Garcia-Ovejero, Sierra-Palomares, Paniagua-Torija, Molina-Holgado) Laboratorio de Neuroinflamacion, Hospital Nacional de Paraplejicos, SESCAM, Toledo, Spain (Gonzalez-Gil, Ortega-Gutierrez) Departamento de Quimica Organica I, Facultad de ","title":"Early Endogenous Activation of CB1 and CB2 Receptors after Spinal Cord Injury Is a Protective Response Involved in Spontaneous Recovery ","type":"article","volume":"7 "},"uris":["http://www.mendeley.com/documents/?uuid=934a8c3f-4616-45ee-80ee-3dbec6614f85"]}],"mendeley":{"formattedCitation":"[31]","plainTextFormattedCitation":"[31]","previouslyFormattedCitation":"[31]"},"properties":{"noteIndex":0},"schema":"https://github.com/citation-style-language/schema/raw/master/csl-citation.json"}</w:instrText>
            </w:r>
            <w:r w:rsidRPr="0042667E">
              <w:rPr>
                <w:rFonts w:ascii="Myriad Pro" w:hAnsi="Myriad Pro" w:cs="Times New Roman"/>
                <w:sz w:val="18"/>
                <w:szCs w:val="18"/>
                <w:vertAlign w:val="superscript"/>
              </w:rPr>
              <w:fldChar w:fldCharType="separate"/>
            </w:r>
            <w:r w:rsidRPr="0042667E">
              <w:rPr>
                <w:rFonts w:ascii="Myriad Pro" w:hAnsi="Myriad Pro" w:cs="Times New Roman"/>
                <w:noProof/>
                <w:sz w:val="18"/>
                <w:szCs w:val="18"/>
              </w:rPr>
              <w:t>[31]</w:t>
            </w:r>
            <w:r w:rsidRPr="0042667E">
              <w:rPr>
                <w:rFonts w:ascii="Myriad Pro" w:hAnsi="Myriad Pro" w:cs="Times New Roman"/>
                <w:sz w:val="18"/>
                <w:szCs w:val="18"/>
              </w:rPr>
              <w:fldChar w:fldCharType="end"/>
            </w:r>
            <w:r w:rsidRPr="0042667E">
              <w:rPr>
                <w:rFonts w:ascii="Myriad Pro" w:hAnsi="Myriad Pro" w:cs="Times New Roman"/>
                <w:sz w:val="18"/>
                <w:szCs w:val="18"/>
                <w:vertAlign w:val="superscript"/>
              </w:rPr>
              <w:fldChar w:fldCharType="begin" w:fldLock="1"/>
            </w:r>
            <w:r w:rsidRPr="0042667E">
              <w:rPr>
                <w:rFonts w:ascii="Myriad Pro" w:hAnsi="Myriad Pro" w:cs="Times New Roman"/>
                <w:sz w:val="18"/>
                <w:szCs w:val="18"/>
                <w:vertAlign w:val="superscript"/>
              </w:rPr>
              <w:instrText>ADDIN CSL_CITATION {"citationItems":[{"id":"ITEM-1","itemData":{"DOI":"http://dx.doi.org/10.1016/j.cellimm.2018.02.016","ISBN":"0008-8749  1090-2163","abstract":"We evaluated the effects of the non-psychoactive cannabinoid cannabidiol (CBD) on the inflammatory response and recovery of function following spinal cord injury (SCI). Female C57Bl/6 mice were exposed to spinal cord contusion injury (T9-10) and received vehicle or CBD (1.5 mg/kg IP) injections for 10 weeks following injury. The effect of SCI and CBD treatment on inflammation was assessed via microarray, qRT-PCR and flow cytometry. Locomotor and bladder function and changes in thermal and mechanical hind paw sensitivity were also evaluated. There was a significant decrease in pro-inflammatory cytokines and chemokines associated with T-cell differentiation and invasion in the SCI-CBD group as well as a decrease in T cell invasion into the injured cord. A higher percentage of SCI mice in the vehicle-treated group (SCI-VEH) went on to develop moderate to severe (0-65.9% baseline thermal threshold) thermal sensitivity as compared with CBD-treated (SCI-CBD) mice. CBD did not affect recovery of locomotor or bladder function following SCI. Taken together, CBD treatment attenuated the development of thermal sensitivity following spinal cord injury and this effect may be related to protection against pathological T-cell invasion. Copyright © 2018 Elsevier Inc. ","author":[{"dropping-particle":"","family":"Li","given":"H","non-dropping-particle":"","parse-names":false,"suffix":""},{"dropping-particle":"","family":"Kong","given":"W","non-dropping-particle":"","parse-names":false,"suffix":""},{"dropping-particle":"","family":"Chambers","given":"C R","non-dropping-particle":"","parse-names":false,"suffix":""},{"dropping-particle":"","family":"Yu","given":"D","non-dropping-particle":"","parse-names":false,"suffix":""},{"dropping-particle":"","family":"Ganea","given":"D","non-dropping-particle":"","parse-names":false,"suffix":""},{"dropping-particle":"","family":"Tuma","given":"R F","non-dropping-particle":"","parse-names":false,"suffix":""},{"dropping-particle":"","family":"Ward","given":"S J","non-dropping-particle":"","parse-names":false,"suffix":""}],"container-title":"Cellular Immunology ","id":"ITEM-1","issued":{"date-parts":[["2018"]]},"language":"English ","note":"Embase","page":"1-9","publisher-place":"(Li, Chambers) Center for Substance Abuse Research, Lewis Katz School of Medicine, Temple University, Philadelphia, PA 19140, United States (Kong, Ganea) Microbiology and Immunology Department, Lewis Katz School of Medicine, Temple University, Philadelphi","title":"The non-psychoactive phytocannabinoid cannabidiol (CBD) attenuates pro-inflammatory mediators, T cell infiltration, and thermal sensitivity following spinal cord injury in mice ","type":"article","volume":"329 "},"uris":["http://www.mendeley.com/documents/?uuid=8076948f-95f3-4063-8ed6-058483424885"]}],"mendeley":{"formattedCitation":"[46]","plainTextFormattedCitation":"[46]","previouslyFormattedCitation":"[46]"},"properties":{"noteIndex":0},"schema":"https://github.com/citation-style-language/schema/raw/master/csl-citation.json"}</w:instrText>
            </w:r>
            <w:r w:rsidRPr="0042667E">
              <w:rPr>
                <w:rFonts w:ascii="Myriad Pro" w:hAnsi="Myriad Pro" w:cs="Times New Roman"/>
                <w:sz w:val="18"/>
                <w:szCs w:val="18"/>
                <w:vertAlign w:val="superscript"/>
              </w:rPr>
              <w:fldChar w:fldCharType="separate"/>
            </w:r>
            <w:r w:rsidRPr="0042667E">
              <w:rPr>
                <w:rFonts w:ascii="Myriad Pro" w:hAnsi="Myriad Pro" w:cs="Times New Roman"/>
                <w:noProof/>
                <w:sz w:val="18"/>
                <w:szCs w:val="18"/>
              </w:rPr>
              <w:t>[46]</w:t>
            </w:r>
            <w:r w:rsidRPr="0042667E">
              <w:rPr>
                <w:rFonts w:ascii="Myriad Pro" w:hAnsi="Myriad Pro" w:cs="Times New Roman"/>
                <w:sz w:val="18"/>
                <w:szCs w:val="18"/>
              </w:rPr>
              <w:fldChar w:fldCharType="end"/>
            </w:r>
          </w:p>
          <w:p w14:paraId="765BA118" w14:textId="77777777" w:rsidR="004939D2" w:rsidRDefault="004939D2" w:rsidP="004939D2">
            <w:pPr>
              <w:pStyle w:val="ListParagraph"/>
              <w:numPr>
                <w:ilvl w:val="0"/>
                <w:numId w:val="1"/>
              </w:numPr>
              <w:spacing w:line="240" w:lineRule="auto"/>
              <w:ind w:left="209" w:hanging="218"/>
              <w:rPr>
                <w:rFonts w:ascii="Myriad Pro" w:hAnsi="Myriad Pro" w:cs="Times New Roman"/>
                <w:sz w:val="18"/>
                <w:szCs w:val="18"/>
              </w:rPr>
            </w:pPr>
            <w:r>
              <w:rPr>
                <w:rFonts w:ascii="Myriad Pro" w:hAnsi="Myriad Pro" w:cs="Times New Roman"/>
                <w:sz w:val="18"/>
                <w:szCs w:val="18"/>
              </w:rPr>
              <w:t>New York University Weight drop device</w:t>
            </w:r>
            <w:r w:rsidRPr="0042667E">
              <w:rPr>
                <w:rFonts w:ascii="Myriad Pro" w:hAnsi="Myriad Pro" w:cs="Times New Roman"/>
                <w:sz w:val="18"/>
                <w:szCs w:val="18"/>
                <w:vertAlign w:val="superscript"/>
              </w:rPr>
              <w:fldChar w:fldCharType="begin" w:fldLock="1"/>
            </w:r>
            <w:r>
              <w:rPr>
                <w:rFonts w:ascii="Myriad Pro" w:hAnsi="Myriad Pro" w:cs="Times New Roman"/>
                <w:sz w:val="18"/>
                <w:szCs w:val="18"/>
                <w:vertAlign w:val="superscript"/>
              </w:rPr>
              <w:instrText>ADDIN CSL_CITATION {"citationItems":[{"id":"ITEM-1","itemData":{"DOI":"http://dx.doi.org/10.1016/j.brainres.2017.06.020","ISBN":"0006-8993  1872-6240","abstract":"The essential role of GAPDH/Siah1 signaling pathway in the pathogenesis of various injurious conditions such as traumatic spinal cord injury (SCI) has been gradually recognized. However, the drugs targeting this signaling pathway are still lacking. The endocannabinoid system, including its receptors (CB1 and CB2), act as neuroprotective and immunomodulatory modulators in SCI. WIN55212-2, an agonist for CB1 and CB2 receptors, has been demonstrated with anti-inflammatory and anti-apoptotic effects in multiple neurological diseases. Therefore, the present study aimed to investigate whether WIN55212-2 could promote functional recovery after traumatic SCI via inhibition of the GAPDH/Siah1 signaling. The traumatic SCI was induced by dropping a 10-g impactor from 25 mm on the dorsal surface of T9 and T10. Our results showed that WIN55212-2 alleviated the activation of GAPDH/Siah1 signaling pathway after SCI, as indicated by the reduction in GAPDH nuclear expression, GAPDH-Siah1 complex formation and iNOS protein expression. Furthermore, WIN55212-2 reduced apoptosis, production of IL-1beta and TNF-alpha and activation of NF-kappaB signaling in the spinal cord after SCI. The behavioral tests showed that WIN55212-2 improved the functional recovery after traumatic SCI as indicated by sustained increase in the locomotor scores. However, these neuroprotective effects of WIN55212-2 were blocked in the presence of the combined treatment of AM630 (an antagonist of CB2) rather than AM251 (an antagonist of CB1). In conclusion, our study indicates that, WIN55212-2 improves the functional recovery after SCI via inhibition of GAPDH/Siah1 cascades in a CB2 receptor dependent manner, indicative of its therapeutic potential for traumatic SCI or other traumatic conditions. Copyright © 2017 ","author":[{"dropping-particle":"","family":"Su","given":"B X","non-dropping-particle":"","parse-names":false,"suffix":""},{"dropping-particle":"","family":"Chen","given":"X","non-dropping-particle":"","parse-names":false,"suffix":""},{"dropping-particle":"","family":"Huo","given":"J","non-dropping-particle":"","parse-names":false,"suffix":""},{"dropping-particle":"","family":"Guo","given":"S Y","non-dropping-particle":"","parse-names":false,"suffix":""},{"dropping-particle":"","family":"Ma","given":"R","non-dropping-particle":"","parse-names":false,"suffix":""},{"dropping-particle":"","family":"Liu","given":"Y W","non-dropping-particle":"","parse-names":false,"suffix":""}],"container-title":"Brain Research ","id":"ITEM-1","issued":{"date-parts":[["2017"]]},"language":"English ","note":"Embase","page":"85-92","publisher-place":"(Su, Huo, Ma) Department of Anesthesiology, Xijing Hospital, Fourth Military Medical University, Xi'an 710032, China (Chen) Department of Anesthesiology, Shaanxi Provincial People's Hospital, Xi'an 710068, China (Guo) Department of Pharmaceutics, Tangdu H","title":"The synthetic cannabinoid WIN55212-2 ameliorates traumatic spinal cord injury via inhibition of GAPDH/Siah1 in a CB2-receptor dependent manner ","type":"article","volume":"1671 "},"uris":["http://www.mendeley.com/documents/?uuid=a3bf46ea-108b-4e74-affa-39c4f26ae608"]}],"mendeley":{"formattedCitation":"[41]","plainTextFormattedCitation":"[41]","previouslyFormattedCitation":"[41]"},"properties":{"noteIndex":0},"schema":"https://github.com/citation-style-language/schema/raw/master/csl-citation.json"}</w:instrText>
            </w:r>
            <w:r w:rsidRPr="0042667E">
              <w:rPr>
                <w:rFonts w:ascii="Myriad Pro" w:hAnsi="Myriad Pro" w:cs="Times New Roman"/>
                <w:sz w:val="18"/>
                <w:szCs w:val="18"/>
                <w:vertAlign w:val="superscript"/>
              </w:rPr>
              <w:fldChar w:fldCharType="separate"/>
            </w:r>
            <w:r w:rsidRPr="002624CC">
              <w:rPr>
                <w:rFonts w:ascii="Myriad Pro" w:hAnsi="Myriad Pro" w:cs="Times New Roman"/>
                <w:noProof/>
                <w:sz w:val="18"/>
                <w:szCs w:val="18"/>
              </w:rPr>
              <w:t>[41]</w:t>
            </w:r>
            <w:r w:rsidRPr="0042667E">
              <w:rPr>
                <w:rFonts w:ascii="Myriad Pro" w:hAnsi="Myriad Pro" w:cs="Times New Roman"/>
                <w:sz w:val="18"/>
                <w:szCs w:val="18"/>
              </w:rPr>
              <w:fldChar w:fldCharType="end"/>
            </w:r>
            <w:r>
              <w:rPr>
                <w:rFonts w:ascii="Myriad Pro" w:hAnsi="Myriad Pro" w:cs="Times New Roman"/>
                <w:sz w:val="18"/>
                <w:szCs w:val="18"/>
              </w:rPr>
              <w:t xml:space="preserve">,  </w:t>
            </w:r>
          </w:p>
          <w:p w14:paraId="62B32EBE" w14:textId="501AB9B0" w:rsidR="004939D2" w:rsidRDefault="004939D2" w:rsidP="004939D2">
            <w:pPr>
              <w:numPr>
                <w:ilvl w:val="0"/>
                <w:numId w:val="1"/>
              </w:numPr>
              <w:ind w:left="209" w:hanging="218"/>
              <w:rPr>
                <w:rFonts w:ascii="Myriad Pro" w:hAnsi="Myriad Pro" w:cs="Times New Roman"/>
                <w:sz w:val="18"/>
                <w:szCs w:val="18"/>
              </w:rPr>
            </w:pPr>
            <w:proofErr w:type="spellStart"/>
            <w:r w:rsidRPr="0042667E">
              <w:rPr>
                <w:rFonts w:ascii="Myriad Pro" w:hAnsi="Myriad Pro" w:cs="Times New Roman"/>
                <w:sz w:val="18"/>
                <w:szCs w:val="18"/>
              </w:rPr>
              <w:t>Multicenter</w:t>
            </w:r>
            <w:proofErr w:type="spellEnd"/>
            <w:r w:rsidRPr="0042667E">
              <w:rPr>
                <w:rFonts w:ascii="Myriad Pro" w:hAnsi="Myriad Pro" w:cs="Times New Roman"/>
                <w:sz w:val="18"/>
                <w:szCs w:val="18"/>
              </w:rPr>
              <w:t xml:space="preserve"> Animal Spinal Cord Injury Study (MASCIS) weight-drop impactor</w:t>
            </w:r>
            <w:r w:rsidRPr="00D85845">
              <w:rPr>
                <w:rFonts w:ascii="Myriad Pro" w:hAnsi="Myriad Pro" w:cs="Times New Roman"/>
                <w:sz w:val="18"/>
                <w:szCs w:val="18"/>
                <w:vertAlign w:val="superscript"/>
              </w:rPr>
              <w:fldChar w:fldCharType="begin" w:fldLock="1"/>
            </w:r>
            <w:r w:rsidRPr="00D85845">
              <w:rPr>
                <w:rFonts w:ascii="Myriad Pro" w:hAnsi="Myriad Pro" w:cs="Times New Roman"/>
                <w:sz w:val="18"/>
                <w:szCs w:val="18"/>
                <w:vertAlign w:val="superscript"/>
              </w:rPr>
              <w:instrText>ADDIN CSL_CITATION {"citationItems":[{"id":"ITEM-1","itemData":{"DOI":"http://dx.doi.org/10.1016/j.spinee.2010.08.015","ISBN":"1529-9430","abstract":"Background context: There is increasing evidence for a role of the cannabinoid (CB) system in the development of neuropathic pain (NP) after spinal cord injury (SCI). The nonspecific CB&lt;inf&gt;1&lt;/inf&gt; and CB&lt;inf&gt;2&lt;/inf&gt; receptor agonists, WIN 55, 212-2 (WIN), have previously been shown to alleviate both mechanical and thermal hyperalgesia (TH) after peripheral nerve injury. Purpose: The present study was designed to identify the CB receptors involved in the antihyperalgesic effect of WIN by using selective antagonists for CB&lt;inf&gt;1&lt;/inf&gt; and CB&lt;inf&gt;2&lt;/inf&gt; receptors. Study design: This is an in vivo and behavioral study using a moderate T9 contusion SCI. After injury, TH of the hind paws was measured on postinjury days 21 through 42. Methods: Sprague-Dawley rats underwent a contusion SCI using the Multicenter Animal Spinal Cord Injury Study (MASCIS) weight-drop impactor, which induced a moderate T9 SCI. Only animals showing consistent plantar stepping and consistent forelimb and hind limb coordination (Basso, Beattie, and Bresnahan score=15) were tested for TH. Animals exhibiting decreased withdrawal latency time, indicating TH, on or before Day 42, were selected for pharmacological intervention. Animals not exhibiting TH did not receive pharmacological intervention and were sacrificed. Rats underwent hind paw testing before any drug administration (after injury), 45 minutes after selective CB antagonist (AM 251 or AM 630) administration (postantagonist) and again 45 minutes after WIN administration (post-WIN). There were a total of seven treatment groups: saline vehicle control; Dimethyl sulfoxide (DMSO) vehicle control; low-dose WIN (0.2 mg/kg); and high-dose WIN (2.0 mg/kg); AM 251 (3 mg/kg) and AM 630 (1 mg/kg) were given subcutaneously in a total volume of 0.5 mL. Followed by intraperitoneal injection of WIN after each antagonist, sham-operated rats repeated pharmacological intervention used with treatment Groups 5 and 6. Results: Thermal hyperalgesia was significantly ameliorated in a dose-dependent manner with systemically administered WIN. Cannabinoid receptor Type 1 antagonist AM 251 pretreatment did not affect the antihyperalgesic effect of WIN. By contrast, pretreatment with the CB &lt;inf&gt;2&lt;/inf&gt; receptor antagonist AM 630 significantly attenuated the effect of WIN. Conclusion: Taken together, these results suggest a role of the CB &lt;inf&gt;2&lt;/inf&gt; receptor in modulating SCI-induced TH. Selective activation of the CB&lt;inf&gt;2&lt;/inf&gt; receptor could potentia…","author":[{"dropping-particle":"","family":"Ahmed","given":"M M","non-dropping-particle":"","parse-names":false,"suffix":""},{"dropping-particle":"","family":"Rajpal","given":"S","non-dropping-particle":"","parse-names":false,"suffix":""},{"dropping-particle":"","family":"Sweeney","given":"C","non-dropping-particle":"","parse-names":false,"suffix":""},{"dropping-particle":"","family":"Gerovac","given":"T A","non-dropping-particle":"","parse-names":false,"suffix":""},{"dropping-particle":"","family":"Allcock","given":"B","non-dropping-particle":"","parse-names":false,"suffix":""},{"dropping-particle":"","family":"McChesney","given":"S","non-dropping-particle":"","parse-names":false,"suffix":""},{"dropping-particle":"","family":"Patel","given":"A U","non-dropping-particle":"","parse-names":false,"suffix":""},{"dropping-particle":"","family":"Tilghman","given":"J I","non-dropping-particle":"","parse-names":false,"suffix":""},{"dropping-particle":"","family":"Miranpuri","given":"G S","non-dropping-particle":"","parse-names":false,"suffix":""},{"dropping-particle":"","family":"Resnick","given":"D K","non-dropping-particle":"","parse-names":false,"suffix":""}],"container-title":"Spine Journal ","id":"ITEM-1","issue":"12 ","issued":{"date-parts":[["2010"]]},"language":"English ","note":"Embase","page":"1049-1054","publisher-place":"(Ahmed, Rajpal, Sweeney, Gerovac, Allcock, McChesney, Patel, Tilghman, Miranpuri, Resnick) Department of Neurological Surgery, University of Wisconsin, School of Medicine and Public Health, 600 Highland Ave., Madison, WI 53792, United States  D. K. Resnic","title":"Cannabinoid subtype-2 receptors modulate the antihyperalgesic effect of WIN 55,212-2 in rats with neuropathic spinal cord injury pain ","type":"article","volume":"10 "},"uris":["http://www.mendeley.com/documents/?uuid=61d568c6-10c5-4b77-8ca9-f48a80aa5f2a"]}],"mendeley":{"formattedCitation":"[30]","plainTextFormattedCitation":"[30]","previouslyFormattedCitation":"[30]"},"properties":{"noteIndex":0},"schema":"https://github.com/citation-style-language/schema/raw/master/csl-citation.json"}</w:instrText>
            </w:r>
            <w:r w:rsidRPr="00D85845">
              <w:rPr>
                <w:rFonts w:ascii="Myriad Pro" w:hAnsi="Myriad Pro" w:cs="Times New Roman"/>
                <w:sz w:val="18"/>
                <w:szCs w:val="18"/>
                <w:vertAlign w:val="superscript"/>
              </w:rPr>
              <w:fldChar w:fldCharType="separate"/>
            </w:r>
            <w:r w:rsidRPr="00D85845">
              <w:rPr>
                <w:rFonts w:ascii="Myriad Pro" w:hAnsi="Myriad Pro" w:cs="Times New Roman"/>
                <w:noProof/>
                <w:sz w:val="18"/>
                <w:szCs w:val="18"/>
              </w:rPr>
              <w:t>[30]</w:t>
            </w:r>
            <w:r w:rsidRPr="00D85845">
              <w:rPr>
                <w:rFonts w:ascii="Myriad Pro" w:hAnsi="Myriad Pro" w:cs="Times New Roman"/>
                <w:sz w:val="18"/>
                <w:szCs w:val="18"/>
              </w:rPr>
              <w:fldChar w:fldCharType="end"/>
            </w:r>
          </w:p>
        </w:tc>
        <w:tc>
          <w:tcPr>
            <w:tcW w:w="2552" w:type="dxa"/>
          </w:tcPr>
          <w:p w14:paraId="7977305C" w14:textId="77777777" w:rsidR="004939D2" w:rsidRPr="00716905"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sidRPr="00716905">
              <w:rPr>
                <w:rFonts w:ascii="Myriad Pro" w:hAnsi="Myriad Pro" w:cs="Times New Roman"/>
                <w:noProof/>
                <w:sz w:val="18"/>
                <w:szCs w:val="18"/>
              </w:rPr>
              <w:t xml:space="preserve">Controlled </w:t>
            </w:r>
            <w:r>
              <w:rPr>
                <w:rFonts w:ascii="Myriad Pro" w:hAnsi="Myriad Pro" w:cs="Times New Roman"/>
                <w:noProof/>
                <w:sz w:val="18"/>
                <w:szCs w:val="18"/>
              </w:rPr>
              <w:t>method of inducing SCI of defined severity</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[61]</w:t>
            </w:r>
            <w:r>
              <w:rPr>
                <w:rFonts w:ascii="Myriad Pro" w:hAnsi="Myriad Pro" w:cs="Times New Roman"/>
                <w:noProof/>
                <w:sz w:val="18"/>
                <w:szCs w:val="18"/>
              </w:rPr>
              <w:fldChar w:fldCharType="end"/>
            </w:r>
            <w:r>
              <w:rPr>
                <w:rFonts w:ascii="Myriad Pro" w:hAnsi="Myriad Pro" w:cs="Times New Roman"/>
                <w:noProof/>
                <w:sz w:val="18"/>
                <w:szCs w:val="18"/>
              </w:rPr>
              <w:t xml:space="preserve">. </w:t>
            </w:r>
          </w:p>
          <w:p w14:paraId="6C873BCB" w14:textId="77777777" w:rsidR="004939D2" w:rsidRPr="00716905"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Representative of human SCI</w:t>
            </w:r>
            <w:r w:rsidRPr="00637CED">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{"citationItems":[{"id":"ITEM-1","itemData":{"DOI":"10.1038/sc.2016.187","ISSN":"14765624","PMID":"28117332","abstract":"Study Design:PRISMA-guided systematic review.Objectives:To provide a comprehensive framework of the current animal models for investigating spinal cord injury (SCI) and categorize them based on the aims, patterns and levels of injury, and outcome measurements as well as animal species.Setting:Sina Trauma and Surgery Research Center, Tehran University of Medical Sciences, Tehran, Iran.Methods:An electronic search of the Medline database for literature describing animal models of SCI was performed on 1 January 2016 using the following keywords: ' spinal cord injuries' and 'animal models'. The search retrieved 2870 articles. Reviews and non-original articles were excluded. Data extraction was independently performed by two reviewers.Results:Among the 2209 included studies, testing the effects of drug's or growth factor's interventions was the most common aim (36.6%) followed by surveying pathophysiologic changes (30.2%). The most common spinal region involved was thoracic (81%). Contusion was the most common pattern of injury (41%) followed by transection (32.5%) and compression (19.4%). The most common species involved in animal models of SCI was the rat (72.4%). Two or more types of outcome assessments were used in the majority of the studies, and the most common assessment method was biological plus behavioral (50.8%).Conclusions:Prior to choosing an animal model, the objectives of the proposed study must precisely be defined. Contusion and compression models better simulate the biomechanics and neuropathology of human injury, whereas transection models are valuable to study anatomic regeneration. Rodents are the most common and probably best-suited species for preliminary SCI studies.","author":[{"dropping-particle":"","family":"Sharif-Alhoseini","given":"M.","non-dropping-particle":"","parse-names":false,"suffix":""},{"dropping-particle":"","family":"Khormali","given":"M.","non-dropping-particle":"","parse-names":false,"suffix":""},{"dropping-particle":"","family":"Rezaei","given":"M.","non-dropping-particle":"","parse-names":false,"suffix":""},{"dropping-particle":"","family":"Safdarian","given":"M.","non-dropping-particle":"","parse-names":false,"suffix":""},{"dropping-particle":"","family":"Hajighadery","given":"A.","non-dropping-particle":"","parse-names":false,"suffix":""},{"dropping-particle":"","family":"Khalatbari","given":"M. M.","non-dropping-particle":"","parse-names":false,"suffix":""},{"dropping-particle":"","family":"Safdarian","given":"M.","non-dropping-particle":"","parse-names":false,"suffix":""},{"dropping-particle":"","family":"Meknatkhah","given":"S.","non-dropping-particle":"","parse-names":false,"suffix":""},{"dropping-particle":"","family":"Rezvan","given":"M.","non-dropping-particle":"","parse-names":false,"suffix":""},{"dropping-particle":"","family":"Chalangari","given":"M.","non-dropping-particle":"","parse-names":false,"suffix":""},{"dropping-particle":"","family":"Derakhshan","given":"P.","non-dropping-particle":"","parse-names":false,"suffix":""},{"dropping-particle":"","family":"Rahimi-Movaghar","given":"V.","non-dropping-particle":"","parse-names":false,"suffix":""}],"container-title":"Spinal Cord","id":"ITEM-1","issue":"8","issued":{"date-parts":[["2017","8","1"]]},"page":"714-721","publisher":"Nature Publishing Group","title":"Animal models of spinal cord injury: A systematic review","type":"article","volume":"55"},"uris":["http://www.mendeley.com/documents/?uuid=43ccc264-0ba4-3d66-b65b-e3e2266680d1"]}],"mendeley":{"formattedCitation":"[51]","plainTextFormattedCitation":"[51]","previouslyFormattedCitation":"[51]"},"properties":{"noteIndex":0},"schema":"https://github.com/citation-style-language/schema/raw/master/csl-citation.json"}</w:instrText>
            </w:r>
            <w:r w:rsidRPr="00637CED">
              <w:rPr>
                <w:rFonts w:ascii="Myriad Pro" w:hAnsi="Myriad Pro" w:cs="Times New Roman"/>
                <w:noProof/>
                <w:sz w:val="18"/>
                <w:szCs w:val="18"/>
              </w:rPr>
              <w:fldChar w:fldCharType="separate"/>
            </w:r>
            <w:r w:rsidRPr="005A5AE1">
              <w:rPr>
                <w:rFonts w:ascii="Myriad Pro" w:hAnsi="Myriad Pro" w:cs="Times New Roman"/>
                <w:noProof/>
                <w:sz w:val="18"/>
                <w:szCs w:val="18"/>
              </w:rPr>
              <w:t>[51]</w:t>
            </w:r>
            <w:r w:rsidRPr="00637CED">
              <w:rPr>
                <w:rFonts w:ascii="Myriad Pro" w:hAnsi="Myriad Pro" w:cs="Times New Roman"/>
                <w:noProof/>
                <w:sz w:val="18"/>
                <w:szCs w:val="18"/>
              </w:rPr>
              <w:fldChar w:fldCharType="end"/>
            </w:r>
            <w:r>
              <w:rPr>
                <w:rFonts w:ascii="Myriad Pro" w:hAnsi="Myriad Pro" w:cs="Times New Roman"/>
                <w:noProof/>
                <w:sz w:val="18"/>
                <w:szCs w:val="18"/>
              </w:rPr>
              <w:t>.</w:t>
            </w:r>
          </w:p>
          <w:p w14:paraId="1B0DDD0D"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Some devices allow real-time measurement of the force applied and allows sub-optimal injuries to be excluded</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[61]</w:t>
            </w:r>
            <w:r>
              <w:rPr>
                <w:rFonts w:ascii="Myriad Pro" w:hAnsi="Myriad Pro" w:cs="Times New Roman"/>
                <w:noProof/>
                <w:sz w:val="18"/>
                <w:szCs w:val="18"/>
              </w:rPr>
              <w:fldChar w:fldCharType="end"/>
            </w:r>
            <w:r>
              <w:rPr>
                <w:rFonts w:ascii="Myriad Pro" w:hAnsi="Myriad Pro" w:cs="Times New Roman"/>
                <w:noProof/>
                <w:sz w:val="18"/>
                <w:szCs w:val="18"/>
              </w:rPr>
              <w:t>.</w:t>
            </w:r>
          </w:p>
          <w:p w14:paraId="06854496" w14:textId="77777777" w:rsidR="004939D2" w:rsidRPr="00EE54CD" w:rsidRDefault="004939D2" w:rsidP="004939D2">
            <w:pPr>
              <w:pStyle w:val="ListParagraph"/>
              <w:spacing w:line="240" w:lineRule="auto"/>
              <w:ind w:left="209"/>
              <w:rPr>
                <w:rFonts w:ascii="Myriad Pro" w:hAnsi="Myriad Pro" w:cs="Times New Roman"/>
                <w:noProof/>
                <w:sz w:val="18"/>
                <w:szCs w:val="18"/>
              </w:rPr>
            </w:pPr>
          </w:p>
        </w:tc>
        <w:tc>
          <w:tcPr>
            <w:tcW w:w="2409" w:type="dxa"/>
          </w:tcPr>
          <w:p w14:paraId="62FC5BC2"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 xml:space="preserve">Requires specialist impactor equipment. </w:t>
            </w:r>
          </w:p>
          <w:p w14:paraId="065910D3"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Often severe animal disability post-injury requiring significant aftercare.</w:t>
            </w:r>
          </w:p>
          <w:p w14:paraId="21E71EFC"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Infinite Horizons: inconsistent injury due to difficulties stabilising spinal cord during impact</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[61]</w:t>
            </w:r>
            <w:r>
              <w:rPr>
                <w:rFonts w:ascii="Myriad Pro" w:hAnsi="Myriad Pro" w:cs="Times New Roman"/>
                <w:noProof/>
                <w:sz w:val="18"/>
                <w:szCs w:val="18"/>
              </w:rPr>
              <w:fldChar w:fldCharType="end"/>
            </w:r>
            <w:r>
              <w:rPr>
                <w:rFonts w:ascii="Myriad Pro" w:hAnsi="Myriad Pro" w:cs="Times New Roman"/>
                <w:noProof/>
                <w:sz w:val="18"/>
                <w:szCs w:val="18"/>
              </w:rPr>
              <w:t>.</w:t>
            </w:r>
          </w:p>
          <w:p w14:paraId="01C2B962" w14:textId="1483C43E" w:rsidR="004939D2" w:rsidRPr="00EE54CD"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MASICS: Unable to control duration of impact. Risk of weight bounce cauing multiple impacts</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[61]</w:t>
            </w:r>
            <w:r>
              <w:rPr>
                <w:rFonts w:ascii="Myriad Pro" w:hAnsi="Myriad Pro" w:cs="Times New Roman"/>
                <w:noProof/>
                <w:sz w:val="18"/>
                <w:szCs w:val="18"/>
              </w:rPr>
              <w:fldChar w:fldCharType="end"/>
            </w:r>
            <w:r>
              <w:rPr>
                <w:rFonts w:ascii="Myriad Pro" w:hAnsi="Myriad Pro" w:cs="Times New Roman"/>
                <w:noProof/>
                <w:sz w:val="18"/>
                <w:szCs w:val="18"/>
              </w:rPr>
              <w:t>.</w:t>
            </w:r>
          </w:p>
        </w:tc>
      </w:tr>
      <w:tr w:rsidR="004939D2" w:rsidRPr="00EE54CD" w14:paraId="19DC9841" w14:textId="77777777" w:rsidTr="00EE54CD">
        <w:tc>
          <w:tcPr>
            <w:tcW w:w="1275" w:type="dxa"/>
          </w:tcPr>
          <w:p w14:paraId="31ED74C4" w14:textId="1E0C4C00" w:rsidR="004939D2" w:rsidRDefault="004939D2" w:rsidP="004939D2">
            <w:pPr>
              <w:rPr>
                <w:rFonts w:ascii="Myriad Pro" w:hAnsi="Myriad Pro" w:cs="Times New Roman"/>
                <w:sz w:val="18"/>
                <w:szCs w:val="18"/>
              </w:rPr>
            </w:pPr>
            <w:r>
              <w:rPr>
                <w:rFonts w:ascii="Myriad Pro" w:hAnsi="Myriad Pro" w:cs="Times New Roman"/>
                <w:sz w:val="18"/>
                <w:szCs w:val="18"/>
              </w:rPr>
              <w:t>Ischaemia / Ischaemia-Reperfusion.</w:t>
            </w:r>
          </w:p>
        </w:tc>
        <w:tc>
          <w:tcPr>
            <w:tcW w:w="1325" w:type="dxa"/>
          </w:tcPr>
          <w:p w14:paraId="7DA55685" w14:textId="58CC6ECB" w:rsidR="004939D2" w:rsidRDefault="004939D2" w:rsidP="004939D2">
            <w:pPr>
              <w:rPr>
                <w:rFonts w:ascii="Myriad Pro" w:hAnsi="Myriad Pro" w:cs="Times New Roman"/>
                <w:sz w:val="18"/>
                <w:szCs w:val="18"/>
              </w:rPr>
            </w:pPr>
            <w:r>
              <w:rPr>
                <w:rFonts w:ascii="Myriad Pro" w:hAnsi="Myriad Pro" w:cs="Times New Roman"/>
                <w:sz w:val="18"/>
                <w:szCs w:val="18"/>
              </w:rPr>
              <w:t xml:space="preserve">Spinal cord hypoperfusion. </w:t>
            </w:r>
          </w:p>
        </w:tc>
        <w:tc>
          <w:tcPr>
            <w:tcW w:w="2362" w:type="dxa"/>
          </w:tcPr>
          <w:p w14:paraId="5DDA858F" w14:textId="77777777" w:rsidR="004939D2" w:rsidRDefault="004939D2" w:rsidP="004939D2">
            <w:pPr>
              <w:numPr>
                <w:ilvl w:val="0"/>
                <w:numId w:val="1"/>
              </w:numPr>
              <w:ind w:left="209" w:hanging="218"/>
              <w:rPr>
                <w:rFonts w:ascii="Myriad Pro" w:hAnsi="Myriad Pro" w:cs="Times New Roman"/>
                <w:sz w:val="18"/>
                <w:szCs w:val="18"/>
              </w:rPr>
            </w:pPr>
            <w:r>
              <w:rPr>
                <w:rFonts w:ascii="Myriad Pro" w:hAnsi="Myriad Pro" w:cs="Times New Roman"/>
                <w:sz w:val="18"/>
                <w:szCs w:val="18"/>
              </w:rPr>
              <w:t>Ischaemia: Aortic occlusion with balloon catheter</w:t>
            </w:r>
            <w:r w:rsidRPr="00D85845">
              <w:rPr>
                <w:rFonts w:ascii="Myriad Pro" w:hAnsi="Myriad Pro" w:cs="Times New Roman"/>
                <w:sz w:val="18"/>
                <w:szCs w:val="18"/>
                <w:vertAlign w:val="superscript"/>
              </w:rPr>
              <w:fldChar w:fldCharType="begin" w:fldLock="1"/>
            </w:r>
            <w:r>
              <w:rPr>
                <w:rFonts w:ascii="Myriad Pro" w:hAnsi="Myriad Pro" w:cs="Times New Roman"/>
                <w:sz w:val="18"/>
                <w:szCs w:val="18"/>
                <w:vertAlign w:val="superscript"/>
              </w:rPr>
              <w:instrText>ADDIN CSL_CITATION {"citationItems":[{"id":"ITEM-1","itemData":{"DOI":"http://dx.doi.org/10.1016/j.jtcvs.2018.07.045","ISBN":"0022-5223  1097-685X","ISSN":"0022-5223","abstract":"Objective: The aim of the study was to examine whether the cannabinoid agonist WIN55212-2 could attenuate ischemic spinal cord injury (SCI) in rats through inhibition of GAPDH/Siah1 signaling. Method(s): Male Sprague-Dawley rats were distributed randomly into 5 groups: (1) sham group that received no aortic occlusion and injected intraperitoneally (i.p.) with vehicle control after reperfusion; (2) control group that received a 12-minute aortic occlusion and injected i.p. with vehicle control after reperfusion; (3) WIN55212-2 group (WIN) that received the aortic occlusion and injected i.p. with 1 mg/kg of WIN55212-2 after reperfusion; and (4) WIN55212-2 plus AM251 group and (5) WIN55212-2 plus AM630 group that received the same surgical operation as the WIN group, except that 1 mg/kg of AM251 or AM630 was injected i.p. 30 min before each dose of WIN55212-2 injection, respectively. Neurologic function was assessed 48 hours after reperfusion. Histopathologic examination was performed to determine the number of normal neurons in anterior spinal cord. Protein expression of active caspase-3, total caspase-3, glyceraldehyde 3-phosphate dehydrogenase (GAPDH), inducible nitric oxide synthase (iNOS), nuclear factor kappa light chain enhancer of activated B cells (NF-kappaB), Siah1, tumor necrosis factor alpha and interleukin 1beta were determined with Western blot and enzyme-linked immunosorbent assay; coimmunoprecipitation assays were also used to determine GAPDH/Siah1 complexing. Finally, terminal deoxynucleotidyl transferase dUTP nick end labeling staining was used to determine neuronal apoptosis in the lumbar spinal cord. Result(s): The nuclear translocation of GAPDH and Siah1 in the spinal cord was initiated after ischemic spinal cord injury (SCI) along with the increased formation of GAPDH/Siah1 complexes. However, the activation of GAPDH/Siah1 was blocked by WIN. In addition, the treatment of WIN55212-2 promoted neuronal survival in the spinal cord, reduced apoptosis and inflammation, and improved neurologic scores. Furthermore, these beneficial effects of WIN55212-2 were abolished by the combined treatment of the CB2 antagonist AM630, but not the CB1 antagonist AM251. Conclusion(s): Our findings reveal GAPDH/Siah1 signaling cascades as a novel therapeutic target for ischemic SCI and identify WIN55212-2 with the potential to treat ischemic SCI by targeting this pathway.Copyright © 2018 The American Association for Thoracic Surgery","author":[{"dropping-particle":"","family":"Huo","given":"Jia","non-dropping-particle":"","parse-names":false,"suffix":""},{"dropping-particle":"","family":"Ma","given":"Rui","non-dropping-particle":"","parse-names":false,"suffix":""},{"dropping-particle":"","family":"Chai","given":"Xin","non-dropping-particle":"","parse-names":false,"suffix":""},{"dropping-particle":"","family":"Liang","given":"Hong Jin","non-dropping-particle":"","parse-names":false,"suffix":""},{"dropping-particle":"","family":"Jiang","given":"Peng","non-dropping-particle":"","parse-names":false,"suffix":""},{"dropping-particle":"","family":"Zhu","given":"Xiao ling","non-dropping-particle":"","parse-names":false,"suffix":""},{"dropping-particle":"","family":"Chen","given":"Xin","non-dropping-particle":"","parse-names":false,"suffix":""},{"dropping-particle":"","family":"Su","given":"Bin Xiao","non-dropping-particle":"","parse-names":false,"suffix":""},{"dropping-particle":"","family":"J.","given":"Huo","non-dropping-particle":"","parse-names":false,"suffix":""},{"dropping-particle":"","family":"R.","given":"Ma","non-dropping-particle":"","parse-names":false,"suffix":""},{"dropping-particle":"","family":"X.","given":"Chai Chen","non-dropping-particle":"","parse-names":false,"suffix":""},{"dropping-particle":"","family":"H.-J.","given":"Liang","non-dropping-particle":"","parse-names":false,"suffix":""},{"dropping-particle":"","family":"P.","given":"Jiang","non-dropping-particle":"","parse-names":false,"suffix":""},{"dropping-particle":"","family":"X.-L.","given":"Zhu","non-dropping-particle":"","parse-names":false,"suffix":""},{"dropping-particle":"","family":"X.","given":"Chai Chen","non-dropping-particle":"","parse-names":false,"suffix":""},{"dropping-particle":"","family":"Huo","given":"Jia","non-dropping-particle":"","parse-names":false,"suffix":""},{"dropping-particle":"","family":"Ma","given":"Rui","non-dropping-particle":"","parse-names":false,"suffix":""},{"dropping-particle":"","family":"Chai","given":"Xin","non-dropping-particle":"","parse-names":false,"suffix":""},{"dropping-particle":"","family":"Liang","given":"Hong Jin","non-dropping-particle":"","parse-names":false,"suffix":""},{"dropping-particle":"","family":"Jiang","given":"Peng","non-dropping-particle":"","parse-names":false,"suffix":""},{"dropping-particle":"","family":"Zhu","given":"Xiao ling","non-dropping-particle":"","parse-names":false,"suffix":""},{"dropping-particle":"","family":"Chen","given":"Xin","non-dropping-particle":"","parse-names":false,"suffix":""},{"dropping-particle":"","family":"Su","given":"Bin Xiao","non-dropping-particle":"","parse-names":false,"suffix":""}],"container-title":"Journal of Thoracic and Cardiovascular Surgery","id":"ITEM-1","issue":"2","issued":{"date-parts":[["2019"]]},"language":"English ","note":"From Duplicate 3 (Inhibiting a spinal cord signaling pathway protects against ischemia injury in rats - Huo, J; Ma, R; Chai, X; Liang, H J; Jiang, P; Zhu, X L; Chen, X; Su, B X)\n\nEmbase","page":"494-503.e1","publisher":"Mosby Inc. (E-mail: customerservice@mosby.com)","publisher-place":"(Huo, Chai, Liang, Jiang, Zhu, Su) Department of Anesthesiology, Xijing Hospital, Fourth Military Medical University, Xi'an, China (Ma) Department of Anesthesiology, Xi'an Children's Hospital, Xi'an, China (Chen) Department of Anesthesiology, Shaanxi Prov","title":"Inhibiting a spinal cord signaling pathway protects against ischemia injury in rats","type":"article-journal","volume":"157"},"uris":["http://www.mendeley.com/documents/?uuid=ec8545b1-3dcf-4122-9f12-a3060d18b471"]}],"mendeley":{"formattedCitation":"[37]","plainTextFormattedCitation":"[37]","previouslyFormattedCitation":"[37]"},"properties":{"noteIndex":0},"schema":"https://github.com/citation-style-language/schema/raw/master/csl-citation.json"}</w:instrText>
            </w:r>
            <w:r w:rsidRPr="00D85845">
              <w:rPr>
                <w:rFonts w:ascii="Myriad Pro" w:hAnsi="Myriad Pro" w:cs="Times New Roman"/>
                <w:sz w:val="18"/>
                <w:szCs w:val="18"/>
                <w:vertAlign w:val="superscript"/>
              </w:rPr>
              <w:fldChar w:fldCharType="separate"/>
            </w:r>
            <w:r w:rsidRPr="002624CC">
              <w:rPr>
                <w:rFonts w:ascii="Myriad Pro" w:hAnsi="Myriad Pro" w:cs="Times New Roman"/>
                <w:noProof/>
                <w:sz w:val="18"/>
                <w:szCs w:val="18"/>
              </w:rPr>
              <w:t>[37]</w:t>
            </w:r>
            <w:r w:rsidRPr="00D85845">
              <w:rPr>
                <w:rFonts w:ascii="Myriad Pro" w:hAnsi="Myriad Pro" w:cs="Times New Roman"/>
                <w:sz w:val="18"/>
                <w:szCs w:val="18"/>
              </w:rPr>
              <w:fldChar w:fldCharType="end"/>
            </w:r>
          </w:p>
          <w:p w14:paraId="3AA2BD19" w14:textId="05D1B246" w:rsidR="004939D2" w:rsidRDefault="004939D2" w:rsidP="004939D2">
            <w:pPr>
              <w:numPr>
                <w:ilvl w:val="0"/>
                <w:numId w:val="1"/>
              </w:numPr>
              <w:ind w:left="209" w:hanging="218"/>
              <w:rPr>
                <w:rFonts w:ascii="Myriad Pro" w:hAnsi="Myriad Pro" w:cs="Times New Roman"/>
                <w:sz w:val="18"/>
                <w:szCs w:val="18"/>
              </w:rPr>
            </w:pPr>
            <w:r>
              <w:rPr>
                <w:rFonts w:ascii="Myriad Pro" w:hAnsi="Myriad Pro" w:cs="Times New Roman"/>
                <w:sz w:val="18"/>
                <w:szCs w:val="18"/>
              </w:rPr>
              <w:t>Ischaemia-Reperfusion via aortic occlusion</w:t>
            </w:r>
            <w:r w:rsidRPr="00EE54CD">
              <w:rPr>
                <w:rFonts w:ascii="Myriad Pro" w:hAnsi="Myriad Pro" w:cs="Times New Roman"/>
                <w:sz w:val="18"/>
                <w:szCs w:val="18"/>
              </w:rPr>
              <w:fldChar w:fldCharType="begin" w:fldLock="1"/>
            </w:r>
            <w:r>
              <w:rPr>
                <w:rFonts w:ascii="Myriad Pro" w:hAnsi="Myriad Pro" w:cs="Times New Roman"/>
                <w:sz w:val="18"/>
                <w:szCs w:val="18"/>
              </w:rPr>
              <w:instrText>ADDIN CSL_CITATION {"citationItems":[{"id":"ITEM-1","itemData":{"DOI":"http://dx.doi.org/10.1016/j.jtcvs.2009.07.014","ISBN":"0022-5223","abstract":"Objective: The aim of this study was to examine the influence of endogenous cannabinoids on neuroprotection of the spinal cord afforded by limb remote ischemic preconditioning. Methods: In experiment 1 (RIPC group), 3 cycles of limb remote ischemic preconditioning within different episodes (2, 3, or 5 minutes) were induced before spinal cord ischemia in rats (N = 5, n = 8). In experiment 2, animals were pretreated intravenously by the vehicles, cannabinoid 1 (AM251, 1 mg/kg) or cannaboid 2 (AM630, 1 mg/kg) receptor antagonist 15 minutes before remote ischemic preconditioning, or else they were subjected to a sham operation. Thirty minutes after the pretreatment, spinal cord ischemia was induced (N = 8, n = 8). In experiment 3, the arachidonylethanolamide and 2-arachidonoylglycerol contents in the spinal cord after remote ischemic preconditioning and spinal cord ischemia were detected in rats (N = 2, n = 12). Spinal cord ischemia was induced by 12 minutes of thoracic aorta occlusion in rats. Neurologic function was assessed 24 and 48 hours after reperfusion. Histopathologic examination was performed and the number of normal neurons in anterior spinal cord were counted. Results: In experiment 1, 3 cycles of limb remote ischemic preconditioning (3 minutes of ischemia/3 minutes of reperfusion) induced ischemic tolerance on the spinal cords of the rats. The RIPC group showed a significant reduction in motor deficit index (P &lt; .01) as well as an increase in the number of normal neurons (P &lt; .01). In experiment 2, the cannabinoid 1 receptor antagonist AM251 pretreatment abolished the protective effects of remote preconditioning. In experiment 3, arachidonylethanolamide content in spinal cord was elevated by remote ischemic preconditioning in rats. Conclusion: These results indicated that endogenous cannabinoids, through acting on cannabinoid 1 receptors, were involved in the neuroprotective phenomenon on spinal cords of limb remote ischemic preconditioning. © 2009 The American Association for Thoracic Surgery. ","author":[{"dropping-particle":"","family":"Su","given":"B","non-dropping-particle":"","parse-names":false,"suffix":""},{"dropping-particle":"","family":"Dong","given":"H","non-dropping-particle":"","parse-names":false,"suffix":""},{"dropping-particle":"","family":"Ma","given":"R","non-dropping-particle":"","parse-names":false,"suffix":""},{"dropping-particle":"","family":"Zhang","given":"X","non-dropping-particle":"","parse-names":false,"suffix":""},{"dropping-particle":"","family":"Ding","given":"Q","non-dropping-particle":"","parse-names":false,"suffix":""},{"dropping-particle":"","family":"Xiong","given":"L","non-dropping-particle":"","parse-names":false,"suffix":""}],"container-title":"Journal of Thoracic and Cardiovascular Surgery ","id":"ITEM-1","issue":"6 ","issued":{"date-parts":[["2009"]]},"language":"English ","note":"Embase","page":"1409-1416","publisher-place":"(Su, Dong, Ma, Zhang, Ding, Xiong) Department of Anesthesiology, Xijing Hospital, Fourth Military Medical University, Xi'an, Shaanxi, China  L. Xiong, Department of Anesthesiology, Xijing Hospital, Fourth Military Medical University, Xi'an, Shaanxi, China","title":"Cannabinoid 1 receptor mediation of spinal cord ischemic tolerance induced by limb remote ischemia preconditioning in rats ","type":"article","volume":"138 "},"uris":["http://www.mendeley.com/documents/?uuid=a16ababa-2e03-429e-972f-bbdb2d92f2cb"]}],"mendeley":{"formattedCitation":"[42]","plainTextFormattedCitation":"[42]","previouslyFormattedCitation":"[42]"},"properties":{"noteIndex":0},"schema":"https://github.com/citation-style-language/schema/raw/master/csl-citation.json"}</w:instrText>
            </w:r>
            <w:r w:rsidRPr="00EE54CD">
              <w:rPr>
                <w:rFonts w:ascii="Myriad Pro" w:hAnsi="Myriad Pro" w:cs="Times New Roman"/>
                <w:sz w:val="18"/>
                <w:szCs w:val="18"/>
              </w:rPr>
              <w:fldChar w:fldCharType="separate"/>
            </w:r>
            <w:r w:rsidRPr="002624CC">
              <w:rPr>
                <w:rFonts w:ascii="Myriad Pro" w:hAnsi="Myriad Pro" w:cs="Times New Roman"/>
                <w:noProof/>
                <w:sz w:val="18"/>
                <w:szCs w:val="18"/>
              </w:rPr>
              <w:t>[42]</w:t>
            </w:r>
            <w:r w:rsidRPr="00EE54CD">
              <w:rPr>
                <w:rFonts w:ascii="Myriad Pro" w:hAnsi="Myriad Pro" w:cs="Times New Roman"/>
                <w:sz w:val="18"/>
                <w:szCs w:val="18"/>
              </w:rPr>
              <w:fldChar w:fldCharType="end"/>
            </w:r>
            <w:r>
              <w:rPr>
                <w:rFonts w:ascii="Myriad Pro" w:hAnsi="Myriad Pro" w:cs="Times New Roman"/>
                <w:sz w:val="18"/>
                <w:szCs w:val="18"/>
              </w:rPr>
              <w:t xml:space="preserve"> or clamping</w:t>
            </w:r>
            <w:r w:rsidRPr="00EE54CD">
              <w:rPr>
                <w:rFonts w:ascii="Myriad Pro" w:hAnsi="Myriad Pro" w:cs="Times New Roman"/>
                <w:sz w:val="18"/>
                <w:szCs w:val="18"/>
              </w:rPr>
              <w:fldChar w:fldCharType="begin" w:fldLock="1"/>
            </w:r>
            <w:r>
              <w:rPr>
                <w:rFonts w:ascii="Myriad Pro" w:hAnsi="Myriad Pro" w:cs="Times New Roman"/>
                <w:sz w:val="18"/>
                <w:szCs w:val="18"/>
              </w:rPr>
              <w:instrText>ADDIN CSL_CITATION {"citationItems":[{"id":"ITEM-1","itemData":{"DOI":"http://dx.doi.org/10.1159/000484460","ISBN":"1015-8987  1421-9778","abstract":"Background/Aims: Remote ischemic preconditioning (RIPC) has protective effects on spinal cord ischemia reperfusion (I/R) injury, but the potential mechanisms remain unclear. In our study, the effects and underlying mechanisms of RIPC on blood-spinal cord barrier (BSCB) breakdown following I/R injury were investigated. Methods: Animals underwent intraperitoneal administration with cannabinoid-1 (CB1) receptor antagonist AM251, cannabinoid-2 (CB2) receptor antagonist AM630 or vehicle 15 minutes before three 3-minute occlusion-reperfusion cycles on the right femoral artery or a sham operation. 30 minutes after the preconditioning, aortic arch was exposed with or without 14-minute occlusion. Neurological function was assessed with Tarlov scoring system. The disruption of BSCB was assessed by measuring Evans Blue (EB) extravasation. The expression of tight junction protein occludin was determined by western blot analyses. The expression and localization of CB1 and CB2 receptors were assessed by western blot and immunofluorescence. Results: RIPC attenuated the motor dysfunction, BSCB disruption and downregulation of occludin after I/R injury, which were impaired by blocking CB1 and CB2 receptors. Moreover, RIPC upregulated the elevated perivascular expression of CB1 and CB2 receptors following I/R injury. Conclusions: These results indicated that RIPC, through activation and upregulation of CB1 and CB2 receptors, was involved in preserving the integrity of BSCB after spinal cord I/R injury. Copyright © 2017 The Author(s). ","author":[{"dropping-particle":"","family":"Jing","given":"N","non-dropping-particle":"","parse-names":false,"suffix":""},{"dropping-particle":"","family":"Fang","given":"B","non-dropping-particle":"","parse-names":false,"suffix":""},{"dropping-particle":"","family":"Wang","given":"Z L","non-dropping-particle":"","parse-names":false,"suffix":""},{"dropping-particle":"","family":"Ma","given":"H","non-dropping-particle":"","parse-names":false,"suffix":""}],"container-title":"Cellular Physiology and Biochemistry ","id":"ITEM-1","issue":"6 ","issued":{"date-parts":[["2017"]]},"language":"English ","note":"Embase","page":"2516-2524","publisher-place":"(Jing, Fang, Wang, Ma) Department of Anesthesiology, Affiliated Hospital, China Medical University, North Nanjing Street, No. 155, Shenyang, China ","title":"Remote Ischemia Preconditioning Attenuates Blood-Spinal Cord Barrier Breakdown in Rats Undergoing Spinal Cord Ischemia Reperfusion Injury: Associated with Activation and Upregulation of CB1 and CB2 Receptors ","type":"article","volume":"43 "},"uris":["http://www.mendeley.com/documents/?uuid=14e43407-4105-4a2c-a695-85eb5ca04e0f"]}],"mendeley":{"formattedCitation":"[38]","plainTextFormattedCitation":"[38]","previouslyFormattedCitation":"[38]"},"properties":{"noteIndex":0},"schema":"https://github.com/citation-style-language/schema/raw/master/csl-citation.json"}</w:instrText>
            </w:r>
            <w:r w:rsidRPr="00EE54CD">
              <w:rPr>
                <w:rFonts w:ascii="Myriad Pro" w:hAnsi="Myriad Pro" w:cs="Times New Roman"/>
                <w:sz w:val="18"/>
                <w:szCs w:val="18"/>
              </w:rPr>
              <w:fldChar w:fldCharType="separate"/>
            </w:r>
            <w:r w:rsidRPr="002624CC">
              <w:rPr>
                <w:rFonts w:ascii="Myriad Pro" w:hAnsi="Myriad Pro" w:cs="Times New Roman"/>
                <w:noProof/>
                <w:sz w:val="18"/>
                <w:szCs w:val="18"/>
              </w:rPr>
              <w:t>[38]</w:t>
            </w:r>
            <w:r w:rsidRPr="00EE54CD">
              <w:rPr>
                <w:rFonts w:ascii="Myriad Pro" w:hAnsi="Myriad Pro" w:cs="Times New Roman"/>
                <w:sz w:val="18"/>
                <w:szCs w:val="18"/>
              </w:rPr>
              <w:fldChar w:fldCharType="end"/>
            </w:r>
          </w:p>
        </w:tc>
        <w:tc>
          <w:tcPr>
            <w:tcW w:w="2552" w:type="dxa"/>
          </w:tcPr>
          <w:p w14:paraId="103D430C" w14:textId="3A8C049A" w:rsidR="004939D2" w:rsidRPr="00EE54CD"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May be representative of ischaemia which can occur in surgery involving the aorta e.g. aneurysm repair</w:t>
            </w:r>
            <w:r w:rsidRPr="00716905">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{"citationItems":[{"id":"ITEM-1","itemData":{"DOI":"10.4103/1673-5374.143436","ISSN":"18767958","abstract":"Because there is no curative treatment for spinal cord injury, establishing an ideal animal model is important to identify injury mechanisms and develop therapies for individuals suffering from spinal cord injuries. In this article, we systematically review and analyze various kinds of animal models of spinal cord injury and assess their advantages and disadvantages for further studies.","author":[{"dropping-particle":"","family":"Zhang","given":"Ning","non-dropping-particle":"","parse-names":false,"suffix":""},{"dropping-particle":"","family":"Fang","given":"Ma Rong","non-dropping-particle":"","parse-names":false,"suffix":""},{"dropping-particle":"","family":"Chen","given":"Hao Hao","non-dropping-particle":"","parse-names":false,"suffix":""},{"dropping-particle":"","family":"Gou","given":"Fang Ming","non-dropping-particle":"","parse-names":false,"suffix":""},{"dropping-particle":"","family":"Ding","given":"Ming Xing","non-dropping-particle":"","parse-names":false,"suffix":""}],"container-title":"Neural Regeneration Research","id":"ITEM-1","issue":"22","issued":{"date-parts":[["2014","11","15"]]},"page":"2008-2012","publisher":"Editorial Board of Neural Regeneration Research","title":"Evaluation of spinal cord injury animal models","type":"article-journal","volume":"9"},"uris":["http://www.mendeley.com/documents/?uuid=25487ef7-9daf-35b0-af10-36d0daf79f10"]}],"mendeley":{"formattedCitation":"[62]","plainTextFormattedCitation":"[62]","previouslyFormattedCitation":"[62]"},"properties":{"noteIndex":0},"schema":"https://github.com/citation-style-language/schema/raw/master/csl-citation.json"}</w:instrText>
            </w:r>
            <w:r w:rsidRPr="00716905">
              <w:rPr>
                <w:rFonts w:ascii="Myriad Pro" w:hAnsi="Myriad Pro" w:cs="Times New Roman"/>
                <w:noProof/>
                <w:sz w:val="18"/>
                <w:szCs w:val="18"/>
              </w:rPr>
              <w:fldChar w:fldCharType="separate"/>
            </w:r>
            <w:r w:rsidRPr="002624CC">
              <w:rPr>
                <w:rFonts w:ascii="Myriad Pro" w:hAnsi="Myriad Pro" w:cs="Times New Roman"/>
                <w:noProof/>
                <w:sz w:val="18"/>
                <w:szCs w:val="18"/>
              </w:rPr>
              <w:t>[62]</w:t>
            </w:r>
            <w:r w:rsidRPr="00716905">
              <w:rPr>
                <w:rFonts w:ascii="Myriad Pro" w:hAnsi="Myriad Pro" w:cs="Times New Roman"/>
                <w:noProof/>
                <w:sz w:val="18"/>
                <w:szCs w:val="18"/>
              </w:rPr>
              <w:fldChar w:fldCharType="end"/>
            </w:r>
            <w:r>
              <w:rPr>
                <w:rFonts w:ascii="Myriad Pro" w:hAnsi="Myriad Pro" w:cs="Times New Roman"/>
                <w:noProof/>
                <w:sz w:val="18"/>
                <w:szCs w:val="18"/>
              </w:rPr>
              <w:t>.</w:t>
            </w:r>
          </w:p>
        </w:tc>
        <w:tc>
          <w:tcPr>
            <w:tcW w:w="2409" w:type="dxa"/>
          </w:tcPr>
          <w:p w14:paraId="47F95DCE"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Varying compensatory supply from collateral arteries</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{"citationItems":[{"id":"ITEM-1","itemData":{"DOI":"10.1002/ar.23694","ISSN":"19328494","PMID":"28972696","abstract":"Animal models are used to examine the results of experimental spinal cord injury. Alterations in spinal cord blood supply caused by complex spinal cord injuries contribute significantly to the diversity and severity of the spinal cord damage, particularly ischemic changes. However, the literature has not completely clarified our knowledge of anatomy of the complex three-dimensional arterial system of the spinal cord in experimental animals, which can impede the translation of experimental results to human clinical applications. As the literary sources dealing with the spinal cord arterial blood supply in experimental animals are limited and scattered, the authors performed a review of the anatomy of the arterial blood supply to the spinal cord in several experimental animals, including pigs, dogs, cats, rabbits, guinea pigs, rats, and mice and created a coherent format discussing the interspecies differences. This provides researchers with a valuable tool for the selection of the most suitable animal model for their experiments in the study of spinal cord ischemia and provides clinicians with a basis for the appropriate translation of research work to their clinical applications. Anat Rec, 300:2091–2106, 2017. © 2017 Wiley Periodicals, Inc.","author":[{"dropping-particle":"","family":"Mazensky","given":"David","non-dropping-particle":"","parse-names":false,"suffix":""},{"dropping-particle":"","family":"Flesarova","given":"Slavka","non-dropping-particle":"","parse-names":false,"suffix":""},{"dropping-particle":"","family":"Sulla","given":"Igor","non-dropping-particle":"","parse-names":false,"suffix":""}],"container-title":"Anatomical Record","id":"ITEM-1","issue":"12","issued":{"date-parts":[["2017","12","1"]]},"page":"2091-2106","publisher":"Blackwell Publishing Inc.","title":"Arterial Blood Supply to the Spinal Cord in Animal Models of Spinal Cord Injury. A Review","type":"article","volume":"300"},"uris":["http://www.mendeley.com/documents/?uuid=0679a260-3add-3f94-8669-fb5c518a0d6c"]}],"mendeley":{"formattedCitation":"[63]","plainTextFormattedCitation":"[63]","previouslyFormattedCitation":"[63]"},"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[63]</w:t>
            </w:r>
            <w:r>
              <w:rPr>
                <w:rFonts w:ascii="Myriad Pro" w:hAnsi="Myriad Pro" w:cs="Times New Roman"/>
                <w:noProof/>
                <w:sz w:val="18"/>
                <w:szCs w:val="18"/>
              </w:rPr>
              <w:fldChar w:fldCharType="end"/>
            </w:r>
            <w:r>
              <w:rPr>
                <w:rFonts w:ascii="Myriad Pro" w:hAnsi="Myriad Pro" w:cs="Times New Roman"/>
                <w:noProof/>
                <w:sz w:val="18"/>
                <w:szCs w:val="18"/>
              </w:rPr>
              <w:t>.</w:t>
            </w:r>
          </w:p>
          <w:p w14:paraId="449085CC"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Excludes any acute mechanical trauma and therefore may be of limited utility to human SCI.</w:t>
            </w:r>
          </w:p>
          <w:p w14:paraId="10CCBF89" w14:textId="54805A37" w:rsidR="004939D2" w:rsidRPr="00EE54CD"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Difficult to standardise as magnitude of SC damage in mouse models is influenced by strain, core temperature, body weight and plasma glucose levels</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{"citationItems":[{"id":"ITEM-1","itemData":{"DOI":"10.1002/ar.23694","ISSN":"19328494","PMID":"28972696","abstract":"Animal models are used to examine the results of experimental spinal cord injury. Alterations in spinal cord blood supply caused by complex spinal cord injuries contribute significantly to the diversity and severity of the spinal cord damage, particularly ischemic changes. However, the literature has not completely clarified our knowledge of anatomy of the complex three-dimensional arterial system of the spinal cord in experimental animals, which can impede the translation of experimental results to human clinical applications. As the literary sources dealing with the spinal cord arterial blood supply in experimental animals are limited and scattered, the authors performed a review of the anatomy of the arterial blood supply to the spinal cord in several experimental animals, including pigs, dogs, cats, rabbits, guinea pigs, rats, and mice and created a coherent format discussing the interspecies differences. This provides researchers with a valuable tool for the selection of the most suitable animal model for their experiments in the study of spinal cord ischemia and provides clinicians with a basis for the appropriate translation of research work to their clinical applications. Anat Rec, 300:2091–2106, 2017. © 2017 Wiley Periodicals, Inc.","author":[{"dropping-particle":"","family":"Mazensky","given":"David","non-dropping-particle":"","parse-names":false,"suffix":""},{"dropping-particle":"","family":"Flesarova","given":"Slavka","non-dropping-particle":"","parse-names":false,"suffix":""},{"dropping-particle":"","family":"Sulla","given":"Igor","non-dropping-particle":"","parse-names":false,"suffix":""}],"container-title":"Anatomical Record","id":"ITEM-1","issue":"12","issued":{"date-parts":[["2017","12","1"]]},"page":"2091-2106","publisher":"Blackwell Publishing Inc.","title":"Arterial Blood Supply to the Spinal Cord in Animal Models of Spinal Cord Injury. A Review","type":"article","volume":"300"},"uris":["http://www.mendeley.com/documents/?uuid=0679a260-3add-3f94-8669-fb5c518a0d6c"]}],"mendeley":{"formattedCitation":"[63]","plainTextFormattedCitation":"[63]","previouslyFormattedCitation":"[63]"},"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[63]</w:t>
            </w:r>
            <w:r>
              <w:rPr>
                <w:rFonts w:ascii="Myriad Pro" w:hAnsi="Myriad Pro" w:cs="Times New Roman"/>
                <w:noProof/>
                <w:sz w:val="18"/>
                <w:szCs w:val="18"/>
              </w:rPr>
              <w:fldChar w:fldCharType="end"/>
            </w:r>
            <w:r>
              <w:rPr>
                <w:rFonts w:ascii="Myriad Pro" w:hAnsi="Myriad Pro" w:cs="Times New Roman"/>
                <w:noProof/>
                <w:sz w:val="18"/>
                <w:szCs w:val="18"/>
              </w:rPr>
              <w:t>.</w:t>
            </w:r>
          </w:p>
        </w:tc>
      </w:tr>
      <w:tr w:rsidR="004939D2" w:rsidRPr="00EE54CD" w14:paraId="6730A00A" w14:textId="77777777" w:rsidTr="00EE54CD">
        <w:tc>
          <w:tcPr>
            <w:tcW w:w="1275" w:type="dxa"/>
          </w:tcPr>
          <w:p w14:paraId="3EC9B2E8" w14:textId="5B11E325" w:rsidR="004939D2" w:rsidRDefault="004939D2" w:rsidP="004939D2">
            <w:pPr>
              <w:rPr>
                <w:rFonts w:ascii="Myriad Pro" w:hAnsi="Myriad Pro" w:cs="Times New Roman"/>
                <w:sz w:val="18"/>
                <w:szCs w:val="18"/>
              </w:rPr>
            </w:pPr>
            <w:r>
              <w:rPr>
                <w:rFonts w:ascii="Myriad Pro" w:hAnsi="Myriad Pro" w:cs="Times New Roman"/>
                <w:sz w:val="18"/>
                <w:szCs w:val="18"/>
              </w:rPr>
              <w:t>Cryogenic</w:t>
            </w:r>
          </w:p>
        </w:tc>
        <w:tc>
          <w:tcPr>
            <w:tcW w:w="1325" w:type="dxa"/>
          </w:tcPr>
          <w:p w14:paraId="5AE13816" w14:textId="5843E33F" w:rsidR="004939D2" w:rsidRPr="00547E4B" w:rsidRDefault="004939D2" w:rsidP="004939D2">
            <w:pPr>
              <w:rPr>
                <w:rFonts w:ascii="Myriad Pro" w:hAnsi="Myriad Pro" w:cs="Times New Roman"/>
                <w:sz w:val="18"/>
                <w:szCs w:val="18"/>
              </w:rPr>
            </w:pPr>
            <w:r>
              <w:rPr>
                <w:rFonts w:ascii="Myriad Pro" w:hAnsi="Myriad Pro" w:cs="Times New Roman"/>
                <w:sz w:val="18"/>
                <w:szCs w:val="18"/>
              </w:rPr>
              <w:t xml:space="preserve">Localised thermal insult to spinal cord. </w:t>
            </w:r>
          </w:p>
        </w:tc>
        <w:tc>
          <w:tcPr>
            <w:tcW w:w="2362" w:type="dxa"/>
          </w:tcPr>
          <w:p w14:paraId="0D317A9D" w14:textId="0E0A213D" w:rsidR="004939D2" w:rsidRDefault="004939D2" w:rsidP="004939D2">
            <w:pPr>
              <w:numPr>
                <w:ilvl w:val="0"/>
                <w:numId w:val="1"/>
              </w:numPr>
              <w:ind w:left="209" w:hanging="218"/>
              <w:rPr>
                <w:rFonts w:ascii="Myriad Pro" w:hAnsi="Myriad Pro" w:cs="Times New Roman"/>
                <w:sz w:val="18"/>
                <w:szCs w:val="18"/>
              </w:rPr>
            </w:pPr>
            <w:r>
              <w:rPr>
                <w:rFonts w:ascii="Myriad Pro" w:hAnsi="Myriad Pro" w:cs="Times New Roman"/>
                <w:sz w:val="18"/>
                <w:szCs w:val="18"/>
              </w:rPr>
              <w:t>Liquid nitrogen jet</w:t>
            </w:r>
            <w:r w:rsidRPr="00D85845">
              <w:rPr>
                <w:rFonts w:ascii="Myriad Pro" w:hAnsi="Myriad Pro" w:cs="Times New Roman"/>
                <w:sz w:val="18"/>
                <w:szCs w:val="18"/>
                <w:vertAlign w:val="superscript"/>
              </w:rPr>
              <w:fldChar w:fldCharType="begin" w:fldLock="1"/>
            </w:r>
            <w:r>
              <w:rPr>
                <w:rFonts w:ascii="Myriad Pro" w:hAnsi="Myriad Pro" w:cs="Times New Roman"/>
                <w:sz w:val="18"/>
                <w:szCs w:val="18"/>
                <w:vertAlign w:val="superscript"/>
              </w:rPr>
              <w:instrText>ADDIN CSL_CITATION {"citationItems":[{"id":"ITEM-1","itemData":{"DOI":"http://dx.doi.org/10.1007/s12640-011-9273-8","ISBN":"1029-8428  1476-3524","abstract":"Cannabidiol (CBD), a non-psychoactive constituent of cannabis, has been reported to induce neuroprotective effects in several experimental models of brain injury. We aimed at investigating whether this drug could also improve locomotor recovery of rats submitted to spinal cord cryoinjury. Rats were distributed into five experimental groups. Animals were submitted to laminectomy in vertebral segment T10 followed or not by application of liquid nitrogen for 5 s into the spinal cord at the same level to cause cryoinjury. The animals received injections of vehicle or CBD (20 mg/kg) immediately before, 3 h after and daily for 6 days after surgery. The Basso, Beattie, and Bresnahan motor evaluation test was used to assess motor function postlesion one day before surgery and on the first, third, and seventh postoperative days. The extent of injury was evaluated by hematoxylin-eosin histology and FosB expression. Cryogenic lesion of the spinal cord resulted in a significant motor deficit. Cannabidiol-treated rats exhibited a higher Basso, Beattie, and Bresnahan locomotor score at the end of the first week after spinal cord injury: lesion + vehicle, day 1: zero, day 7: four, and lesion + Cannabidiol 20 mg/kg, day 1: zero, day 7: seven. Moreover, at this moment there was a significant reduction in the extent of tissue injury and FosB expression in the ventral horn of the spinal cord. The present study confirmed that application of liquid nitrogen to the spinal cord induces reproducible and quantifiable spinal cord injury associated with locomotor function impairments. Cannabidiol improved locomotor functional recovery and reduced injury extent, suggesting that it could be useful in the treatment of spinal cord lesions. © Springer Science+Business Media, LLC 2011. ","author":[{"dropping-particle":"","family":"Kwiatkoski","given":"M","non-dropping-particle":"","parse-names":false,"suffix":""},{"dropping-particle":"","family":"Guimaraes","given":"F S","non-dropping-particle":"","parse-names":false,"suffix":""},{"dropping-particle":"","family":"Del-Bel","given":"E","non-dropping-particle":"","parse-names":false,"suffix":""}],"container-title":"Neurotoxicity Research ","id":"ITEM-1","issue":"3 ","issued":{"date-parts":[["2012"]]},"language":"English ","note":"Embase","page":"271-280","publisher-place":"(Kwiatkoski, Del-Bel) Department of Physiology, Faculty of Medicine of Ribeirao Preto (FMRP), Universidade de Sao Paulo, Ribeirao Preto, SP 14049-904, Brazil (Kwiatkoski, Del-Bel) Department MEF-Physiology, School of Odontology, Universidade de Sao Paulo,","title":"Cannabidiol-treated rats exhibited higher motor score after cryogenic spinal cord injury ","type":"article","volume":"21 "},"uris":["http://www.mendeley.com/documents/?uuid=68339ff5-82ee-44d5-869e-57be69a68478"]}],"mendeley":{"formattedCitation":"[39]","plainTextFormattedCitation":"[39]","previouslyFormattedCitation":"[39]"},"properties":{"noteIndex":0},"schema":"https://github.com/citation-style-language/schema/raw/master/csl-citation.json"}</w:instrText>
            </w:r>
            <w:r w:rsidRPr="00D85845">
              <w:rPr>
                <w:rFonts w:ascii="Myriad Pro" w:hAnsi="Myriad Pro" w:cs="Times New Roman"/>
                <w:sz w:val="18"/>
                <w:szCs w:val="18"/>
                <w:vertAlign w:val="superscript"/>
              </w:rPr>
              <w:fldChar w:fldCharType="separate"/>
            </w:r>
            <w:r w:rsidRPr="002624CC">
              <w:rPr>
                <w:rFonts w:ascii="Myriad Pro" w:hAnsi="Myriad Pro" w:cs="Times New Roman"/>
                <w:noProof/>
                <w:sz w:val="18"/>
                <w:szCs w:val="18"/>
              </w:rPr>
              <w:t>[39]</w:t>
            </w:r>
            <w:r w:rsidRPr="00D85845">
              <w:rPr>
                <w:rFonts w:ascii="Myriad Pro" w:hAnsi="Myriad Pro" w:cs="Times New Roman"/>
                <w:sz w:val="18"/>
                <w:szCs w:val="18"/>
              </w:rPr>
              <w:fldChar w:fldCharType="end"/>
            </w:r>
          </w:p>
        </w:tc>
        <w:tc>
          <w:tcPr>
            <w:tcW w:w="2552" w:type="dxa"/>
          </w:tcPr>
          <w:p w14:paraId="3E398B9D" w14:textId="755FD9A3" w:rsidR="004939D2" w:rsidRPr="00547E4B" w:rsidRDefault="004939D2" w:rsidP="004939D2">
            <w:pPr>
              <w:pStyle w:val="ListParagraph"/>
              <w:numPr>
                <w:ilvl w:val="0"/>
                <w:numId w:val="1"/>
              </w:numPr>
              <w:spacing w:line="240" w:lineRule="auto"/>
              <w:ind w:left="209" w:hanging="218"/>
              <w:rPr>
                <w:rFonts w:ascii="Myriad Pro" w:hAnsi="Myriad Pro" w:cs="Times New Roman"/>
                <w:sz w:val="18"/>
                <w:szCs w:val="18"/>
              </w:rPr>
            </w:pPr>
            <w:r>
              <w:rPr>
                <w:rFonts w:ascii="Myriad Pro" w:hAnsi="Myriad Pro" w:cs="Times New Roman"/>
                <w:noProof/>
                <w:sz w:val="18"/>
                <w:szCs w:val="18"/>
              </w:rPr>
              <w:t>Produces localised damage without affecting continuity of spinal cord</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{"citationItems":[{"id":"ITEM-1","itemData":{"DOI":"10.1097/00005072-198611000-00009","ISSN":"15546578","PMID":"3772400","abstract":"In an effort to develop a method of tissue injury which would provide a model for the study of axonal regrowth in adult mammalian central nervous system (CNS), we have analyzed the effects of freezing in the dorsal columns of more than 200 rat spinal cords. The effects of temperature and time of exposure upon the size, shape, distribution and histologic characteristics of the lesion have been assessed during the first seven days following the injury. The upper threshold for injury occurs at −3°C for 15 minutes. Between −3°C and −12°C the tissue changes vary in extent and characteristics. Selective damage to axons and myelin occurs with sparing of the supportive cells followed by proliferation of a cellular matrix. At seven days, the lesions produced by −8°C for 15 to 60 minutes have neither axons nor myelin sheaths and consist of a dense cellular matrix of macrophages and presumed glial cells. With these tissue characteristics, and the preservation of tissue continuity without obstructive barriers, this model would appear to be potentially suitable for the study of axonal regrowth potential in mammalian CNS. © 1986 by the American Association of Neuropathologists.","author":[{"dropping-particle":"","family":"Collins","given":"George H.","non-dropping-particle":"","parse-names":false,"suffix":""},{"dropping-particle":"","family":"West","given":"Norman R.","non-dropping-particle":"","parse-names":false,"suffix":""},{"dropping-particle":"","family":"Parmely","given":"John D.","non-dropping-particle":"","parse-names":false,"suffix":""},{"dropping-particle":"","family":"Samson","given":"Florence M.","non-dropping-particle":"","parse-names":false,"suffix":""},{"dropping-particle":"","family":"Ward","given":"Debra A.","non-dropping-particle":"","parse-names":false,"suffix":""}],"container-title":"Journal of Neuropathology and Experimental Neurology","id":"ITEM-1","issue":"6","issued":{"date-parts":[["1986"]]},"page":"721-741","publisher":"J Neuropathol Exp Neurol","title":"The histopathology of freezing injury to the rat spinal cord. A light microscope study. I. Early degenerative changes","type":"article-journal","volume":"45"},"uris":["http://www.mendeley.com/documents/?uuid=85f0fa1b-ba06-3edb-8a84-cab2b57ab6f4"]}],"mendeley":{"formattedCitation":"[64]","plainTextFormattedCitation":"[64]","previouslyFormattedCitation":"[64]"},"properties":{"noteIndex":0},"schema":"https://github.com/citation-style-language/schema/raw/master/csl-citation.json"}</w:instrText>
            </w:r>
            <w:r>
              <w:rPr>
                <w:rFonts w:ascii="Myriad Pro" w:hAnsi="Myriad Pro" w:cs="Times New Roman"/>
                <w:noProof/>
                <w:sz w:val="18"/>
                <w:szCs w:val="18"/>
              </w:rPr>
              <w:fldChar w:fldCharType="separate"/>
            </w:r>
            <w:r w:rsidRPr="002624CC">
              <w:rPr>
                <w:rFonts w:ascii="Myriad Pro" w:hAnsi="Myriad Pro" w:cs="Times New Roman"/>
                <w:noProof/>
                <w:sz w:val="18"/>
                <w:szCs w:val="18"/>
              </w:rPr>
              <w:t>[64]</w:t>
            </w:r>
            <w:r>
              <w:rPr>
                <w:rFonts w:ascii="Myriad Pro" w:hAnsi="Myriad Pro" w:cs="Times New Roman"/>
                <w:noProof/>
                <w:sz w:val="18"/>
                <w:szCs w:val="18"/>
              </w:rPr>
              <w:fldChar w:fldCharType="end"/>
            </w:r>
            <w:r>
              <w:rPr>
                <w:rFonts w:ascii="Myriad Pro" w:hAnsi="Myriad Pro" w:cs="Times New Roman"/>
                <w:noProof/>
                <w:sz w:val="18"/>
                <w:szCs w:val="18"/>
              </w:rPr>
              <w:t xml:space="preserve">. </w:t>
            </w:r>
          </w:p>
        </w:tc>
        <w:tc>
          <w:tcPr>
            <w:tcW w:w="2409" w:type="dxa"/>
          </w:tcPr>
          <w:p w14:paraId="40ADD0D0" w14:textId="792D4928" w:rsidR="004939D2" w:rsidRPr="00EE54CD"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 xml:space="preserve">Not representative of injuries which cause human SCI. </w:t>
            </w:r>
          </w:p>
        </w:tc>
      </w:tr>
      <w:tr w:rsidR="004939D2" w:rsidRPr="00EE54CD" w14:paraId="3F00F95D" w14:textId="77777777" w:rsidTr="00EE54CD">
        <w:tc>
          <w:tcPr>
            <w:tcW w:w="1275" w:type="dxa"/>
          </w:tcPr>
          <w:p w14:paraId="4F788FBA" w14:textId="595C88FA" w:rsidR="004939D2" w:rsidRDefault="004939D2" w:rsidP="004939D2">
            <w:pPr>
              <w:rPr>
                <w:rFonts w:ascii="Myriad Pro" w:hAnsi="Myriad Pro" w:cs="Times New Roman"/>
                <w:sz w:val="18"/>
                <w:szCs w:val="18"/>
              </w:rPr>
            </w:pPr>
            <w:r>
              <w:rPr>
                <w:rFonts w:ascii="Myriad Pro" w:hAnsi="Myriad Pro" w:cs="Times New Roman"/>
                <w:sz w:val="18"/>
                <w:szCs w:val="18"/>
              </w:rPr>
              <w:t>Transection (partial)</w:t>
            </w:r>
          </w:p>
        </w:tc>
        <w:tc>
          <w:tcPr>
            <w:tcW w:w="1325" w:type="dxa"/>
          </w:tcPr>
          <w:p w14:paraId="5F2EA238" w14:textId="4DFFCBFE" w:rsidR="004939D2" w:rsidRPr="00547E4B" w:rsidRDefault="004939D2" w:rsidP="004939D2">
            <w:pPr>
              <w:rPr>
                <w:rFonts w:ascii="Myriad Pro" w:hAnsi="Myriad Pro" w:cs="Times New Roman"/>
                <w:sz w:val="18"/>
                <w:szCs w:val="18"/>
              </w:rPr>
            </w:pPr>
            <w:r>
              <w:rPr>
                <w:rFonts w:ascii="Myriad Pro" w:hAnsi="Myriad Pro" w:cs="Times New Roman"/>
                <w:sz w:val="18"/>
                <w:szCs w:val="18"/>
              </w:rPr>
              <w:t xml:space="preserve">Partial cut of spinal cord.  </w:t>
            </w:r>
          </w:p>
        </w:tc>
        <w:tc>
          <w:tcPr>
            <w:tcW w:w="2362" w:type="dxa"/>
          </w:tcPr>
          <w:p w14:paraId="1B121B68" w14:textId="16A3B338" w:rsidR="004939D2" w:rsidRDefault="004939D2" w:rsidP="004939D2">
            <w:pPr>
              <w:numPr>
                <w:ilvl w:val="0"/>
                <w:numId w:val="1"/>
              </w:numPr>
              <w:ind w:left="209" w:hanging="218"/>
              <w:rPr>
                <w:rFonts w:ascii="Myriad Pro" w:hAnsi="Myriad Pro" w:cs="Times New Roman"/>
                <w:sz w:val="18"/>
                <w:szCs w:val="18"/>
              </w:rPr>
            </w:pPr>
            <w:r>
              <w:rPr>
                <w:rFonts w:ascii="Myriad Pro" w:hAnsi="Myriad Pro" w:cs="Times New Roman"/>
                <w:sz w:val="18"/>
                <w:szCs w:val="18"/>
              </w:rPr>
              <w:t>S</w:t>
            </w:r>
            <w:r w:rsidRPr="00D85845">
              <w:rPr>
                <w:rFonts w:ascii="Myriad Pro" w:hAnsi="Myriad Pro" w:cs="Times New Roman"/>
                <w:sz w:val="18"/>
                <w:szCs w:val="18"/>
              </w:rPr>
              <w:t xml:space="preserve">pinal cord hemisection </w:t>
            </w:r>
            <w:r w:rsidRPr="00D85845">
              <w:rPr>
                <w:rFonts w:ascii="Myriad Pro" w:hAnsi="Myriad Pro" w:cs="Times New Roman"/>
                <w:sz w:val="18"/>
                <w:szCs w:val="18"/>
              </w:rPr>
              <w:fldChar w:fldCharType="begin" w:fldLock="1"/>
            </w:r>
            <w:r>
              <w:rPr>
                <w:rFonts w:ascii="Myriad Pro" w:hAnsi="Myriad Pro" w:cs="Times New Roman"/>
                <w:sz w:val="18"/>
                <w:szCs w:val="18"/>
              </w:rPr>
              <w:instrText>ADDIN CSL_CITATION {"citationItems":[{"id":"ITEM-1","itemData":{"DOI":"http://dx.doi.org/10.1038/cddis.2014.364","ISBN":"2041-4889","abstract":"Spinal cord injury (SCI) is a devastating condition of CNS that often results in severe functional impairments for which there are no restorative therapies. As in other CNS injuries, in addition to the effects that are related to the primary site of damage, these impairments are caused by degeneration of distal regions that are connected functionally to the primary lesion site. Modulation of the endocannabinoid system (ECS) counteracts this neurodegeneration, and pharmacological modulation of type-2 cannabinoid receptor (CB2R) is a promising therapeutic target for several CNS pathologies, including SCI. This study examined the effects of CB2R modulation on the fate of axotomized rubrospinal neurons (RSNs) and functional recovery in a model of spinal cord dorsal hemisection (SCH) at the cervical level in rats. SCH induced CB2R expression, severe atrophy, and cell death in contralateral RSNs. Furthermore, SCH affected molecular changes in the apoptotic cascade in RSNs - increased cytochrome c release, apoptosome formation, and caspase-3 activity. CB2R stimulation by its selective agonist JWH-015 significantly increased the bcl-2/bax ratio, reduced cytochrome c release, delayed atrophy and degeneration, and improved spontaneous functional recovery through ERK1/2 inactivation. These findings implicate the ECS, particularly CB2R, as part of the endogenous neuroprotective response that is triggered after SCI. Thus, CB2R modulation might represent a promising therapeutic target that lacks psychotropic effects and can be used to exploit ECS-based approaches to counteract neuronal degeneration. Copyright © 2014 Macmillan Publishers Limited. All rights reserved. ","author":[{"dropping-particle":"","family":"Latini","given":"L","non-dropping-particle":"","parse-names":false,"suffix":""},{"dropping-particle":"","family":"Bisicchia","given":"E","non-dropping-particle":"","parse-names":false,"suffix":""},{"dropping-particle":"","family":"Sasso","given":"V","non-dropping-particle":"","parse-names":false,"suffix":""},{"dropping-particle":"","family":"Chiurchiu","given":"V","non-dropping-particle":"","parse-names":false,"suffix":""},{"dropping-particle":"","family":"Cavallucci","given":"V","non-dropping-particle":"","parse-names":false,"suffix":""},{"dropping-particle":"","family":"Molinari","given":"M","non-dropping-particle":"","parse-names":false,"suffix":""},{"dropping-particle":"","family":"Maccarrone","given":"M","non-dropping-particle":"","parse-names":false,"suffix":""},{"dropping-particle":"","family":"Viscomi","given":"M T","non-dropping-particle":"","parse-names":false,"suffix":""}],"container-title":"Cell Death and Disease ","id":"ITEM-1","issue":"9 ","issued":{"date-parts":[["2014"]]},"language":"English ","note":"Embase","publisher-place":"(Latini, Bisicchia, Sasso, Chiurchiu, Cavallucci, Molinari, Maccarrone, Viscomi) Santa Lucia Foundation, IRCCS 65, Via Ardeatina 354, Rome 00179, Italy (Chiurchiu) Faculty of Veterinary Medicine, University of Teramo, Teramo, Italy (Maccarrone) Center of ","title":"Cannabinoid CB2 receptor (CB2R) stimulation delays rubrospinal mitochondrial-dependent degeneration and improves functional recovery after spinal cord hemisection by ERK1/2 inactivation ","type":"article","volume":"5 "},"uris":["http://www.mendeley.com/documents/?uuid=b81a6af9-879e-4a1d-bea2-5ffcec4a3507"]}],"mendeley":{"formattedCitation":"[40]","plainTextFormattedCitation":"[40]","previouslyFormattedCitation":"[40]"},"properties":{"noteIndex":0},"schema":"https://github.com/citation-style-language/schema/raw/master/csl-citation.json"}</w:instrText>
            </w:r>
            <w:r w:rsidRPr="00D85845">
              <w:rPr>
                <w:rFonts w:ascii="Myriad Pro" w:hAnsi="Myriad Pro" w:cs="Times New Roman"/>
                <w:sz w:val="18"/>
                <w:szCs w:val="18"/>
              </w:rPr>
              <w:fldChar w:fldCharType="separate"/>
            </w:r>
            <w:r w:rsidRPr="002624CC">
              <w:rPr>
                <w:rFonts w:ascii="Myriad Pro" w:hAnsi="Myriad Pro" w:cs="Times New Roman"/>
                <w:noProof/>
                <w:sz w:val="18"/>
                <w:szCs w:val="18"/>
              </w:rPr>
              <w:t>[40]</w:t>
            </w:r>
            <w:r w:rsidRPr="00D85845">
              <w:rPr>
                <w:rFonts w:ascii="Myriad Pro" w:hAnsi="Myriad Pro" w:cs="Times New Roman"/>
                <w:sz w:val="18"/>
                <w:szCs w:val="18"/>
              </w:rPr>
              <w:fldChar w:fldCharType="end"/>
            </w:r>
          </w:p>
        </w:tc>
        <w:tc>
          <w:tcPr>
            <w:tcW w:w="2552" w:type="dxa"/>
          </w:tcPr>
          <w:p w14:paraId="0D5B951D"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Most u</w:t>
            </w:r>
            <w:r w:rsidRPr="00716905">
              <w:rPr>
                <w:rFonts w:ascii="Myriad Pro" w:hAnsi="Myriad Pro" w:cs="Times New Roman"/>
                <w:noProof/>
                <w:sz w:val="18"/>
                <w:szCs w:val="18"/>
              </w:rPr>
              <w:t>seful for investigating</w:t>
            </w:r>
            <w:r w:rsidRPr="00716905">
              <w:rPr>
                <w:rFonts w:ascii="Myriad Pro" w:hAnsi="Myriad Pro" w:cs="Times New Roman"/>
                <w:sz w:val="18"/>
                <w:szCs w:val="18"/>
              </w:rPr>
              <w:t xml:space="preserve"> regeneration, degeneration and grafting</w:t>
            </w:r>
            <w:r w:rsidRPr="00EE54CD">
              <w:rPr>
                <w:rFonts w:ascii="Myriad Pro" w:hAnsi="Myriad Pro" w:cs="Times New Roman"/>
                <w:sz w:val="18"/>
                <w:szCs w:val="18"/>
              </w:rPr>
              <w:fldChar w:fldCharType="begin" w:fldLock="1"/>
            </w:r>
            <w:r>
              <w:rPr>
                <w:rFonts w:ascii="Myriad Pro" w:hAnsi="Myriad Pro" w:cs="Times New Roman"/>
                <w:sz w:val="18"/>
                <w:szCs w:val="18"/>
              </w:rPr>
              <w:instrText>ADDIN CSL_CITATION {"citationItems":[{"id":"ITEM-1","itemData":{"DOI":"10.3844/amjnsp.2013.1.12","ISSN":"1948-9900","abstract":"It is estimated that approximately 2.5 million people are affected by Spinal Cord Injury (SCI), with more than 130,000 new cases reported each year (International Campaign for Cures of Spinal Cord Injury Paralysis). Although there is currently no cure for SCI, various strategies including rehabilitative, cellular and molecular therapies have been tested in a variety of animal models. But questions remain as to the validity of animal models and whether they relate to the clinical conditions found in humans. This review aims to look at the different and most current models that are used to study SCI and their potential uses in mimicking the human condition. Several different animals models have been developed to study the problems of SCI, allowing exploration of mechanisms and properties of specific pathways such as; the MAPK pathway and spinal cord diseases such as; Syringomyelia and Central Cord Syndrome to name a few to be elucidated. SCI is complicated by cavitation and a glial scar that lines the cavity, reducing the possibility of axon regeneration. Mammalian models, particularly in mice and rats, have been used for many years to study the impact of SCI and potential therapies, however, questions remain as to the validity of these models and their potential usefulness.","author":[{"dropping-particle":"","family":"Kundi","given":"","non-dropping-particle":"","parse-names":false,"suffix":""}],"container-title":"American Journal of Neuroscience","id":"ITEM-1","issue":"1","issued":{"date-parts":[["2013","1","1"]]},"page":"1-12","publisher":"Science Publications","title":"SPINAL CORD INJURY: CURRENT MAMMALIAN MODELS","type":"article-journal","volume":"4"},"uris":["http://www.mendeley.com/documents/?uuid=3453f8b8-ebfa-3010-9021-d414377de5c7"]}],"mendeley":{"formattedCitation":"[50]","plainTextFormattedCitation":"[50]","previouslyFormattedCitation":"[50]"},"properties":{"noteIndex":0},"schema":"https://github.com/citation-style-language/schema/raw/master/csl-citation.json"}</w:instrText>
            </w:r>
            <w:r w:rsidRPr="00EE54CD">
              <w:rPr>
                <w:rFonts w:ascii="Myriad Pro" w:hAnsi="Myriad Pro" w:cs="Times New Roman"/>
                <w:sz w:val="18"/>
                <w:szCs w:val="18"/>
              </w:rPr>
              <w:fldChar w:fldCharType="separate"/>
            </w:r>
            <w:r w:rsidRPr="005A5AE1">
              <w:rPr>
                <w:rFonts w:ascii="Myriad Pro" w:hAnsi="Myriad Pro" w:cs="Times New Roman"/>
                <w:noProof/>
                <w:sz w:val="18"/>
                <w:szCs w:val="18"/>
              </w:rPr>
              <w:t>[50]</w:t>
            </w:r>
            <w:r w:rsidRPr="00EE54CD">
              <w:rPr>
                <w:rFonts w:ascii="Myriad Pro" w:hAnsi="Myriad Pro" w:cs="Times New Roman"/>
                <w:sz w:val="18"/>
                <w:szCs w:val="18"/>
              </w:rPr>
              <w:fldChar w:fldCharType="end"/>
            </w:r>
            <w:r>
              <w:rPr>
                <w:rFonts w:ascii="Myriad Pro" w:hAnsi="Myriad Pro" w:cs="Times New Roman"/>
                <w:sz w:val="18"/>
                <w:szCs w:val="18"/>
              </w:rPr>
              <w:t>.</w:t>
            </w:r>
          </w:p>
          <w:p w14:paraId="0D742466"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sidRPr="00716905">
              <w:rPr>
                <w:rFonts w:ascii="Myriad Pro" w:hAnsi="Myriad Pro" w:cs="Times New Roman"/>
                <w:noProof/>
                <w:sz w:val="18"/>
                <w:szCs w:val="18"/>
              </w:rPr>
              <w:t xml:space="preserve"> Allow comparison </w:t>
            </w:r>
            <w:r>
              <w:rPr>
                <w:rFonts w:ascii="Myriad Pro" w:hAnsi="Myriad Pro" w:cs="Times New Roman"/>
                <w:noProof/>
                <w:sz w:val="18"/>
                <w:szCs w:val="18"/>
              </w:rPr>
              <w:t xml:space="preserve">of defecit and recovery </w:t>
            </w:r>
            <w:r w:rsidRPr="00716905">
              <w:rPr>
                <w:rFonts w:ascii="Myriad Pro" w:hAnsi="Myriad Pro" w:cs="Times New Roman"/>
                <w:noProof/>
                <w:sz w:val="18"/>
                <w:szCs w:val="18"/>
              </w:rPr>
              <w:t xml:space="preserve">between injured and healthy </w:t>
            </w:r>
            <w:r>
              <w:rPr>
                <w:rFonts w:ascii="Myriad Pro" w:hAnsi="Myriad Pro" w:cs="Times New Roman"/>
                <w:noProof/>
                <w:sz w:val="18"/>
                <w:szCs w:val="18"/>
              </w:rPr>
              <w:t>tracts</w:t>
            </w:r>
            <w:r w:rsidRPr="00716905">
              <w:rPr>
                <w:rFonts w:ascii="Myriad Pro" w:hAnsi="Myriad Pro" w:cs="Times New Roman"/>
                <w:noProof/>
                <w:sz w:val="18"/>
                <w:szCs w:val="18"/>
              </w:rPr>
              <w:t xml:space="preserve"> in the same animal</w:t>
            </w:r>
            <w:r>
              <w:rPr>
                <w:rFonts w:ascii="Myriad Pro" w:hAnsi="Myriad Pro" w:cs="Times New Roman"/>
                <w:noProof/>
                <w:sz w:val="18"/>
                <w:szCs w:val="18"/>
              </w:rPr>
              <w:t xml:space="preserve"> providing intraanimal control</w:t>
            </w:r>
            <w:r w:rsidRPr="00716905">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{"citationItems":[{"id":"ITEM-1","itemData":{"DOI":"10.1038/sc.2014.91","ISSN":"14765624","PMID":"24912546","abstract":"Background:Animal spinal cord injury (SCI) models have proved invaluable in better understanding the mechanisms involved in traumatic SCI and evaluating the effectiveness of experimental therapeutic interventions. Over the past 25 years, substantial gains have been made in developing consistent, reproducible and reliable animal SCI models.Study design:Review.Objective:The objective of this review was to consolidate current knowledge on SCI models and introduce newer paradigms that are currently being developed.Results:SCI models are categorized based on the mechanism of injury into contusion, compression, distraction, dislocation, transection or chemical models. Contusion devices inflict a transient, acute injury to the spinal cord using a weight-drop technique, electromagnetic impactor or air pressure. Compression devices compress the cord at specific force and duration to cause SCI. Distraction SCI devices inflict graded injury by controlled stretching of the cord. Mechanical displacement of the vertebrae is utilized to produce dislocation-type SCI. Surgical transection of the cord, partial or complete, is particularly useful in regenerative medicine. Finally, chemically induced SCI replicates select components of the secondary injury cascade. Although rodents remain the most commonly used species and are best suited for preliminary SCI studies, large animal and nonhuman primate experiments better approximate human SCI.Conclusion:All SCI models aim to replicate SCI in humans as closely as possible. Given the recent improvements in commonly used models and development of newer paradigms, much progress is anticipated in the coming years. © 2014 International Spinal Cord Society All rights reserved.","author":[{"dropping-particle":"","family":"Cheriyan","given":"T.","non-dropping-particle":"","parse-names":false,"suffix":""},{"dropping-particle":"","family":"Ryan","given":"D. J.","non-dropping-particle":"","parse-names":false,"suffix":""},{"dropping-particle":"","family":"Weinreb","given":"J. H.","non-dropping-particle":"","parse-names":false,"suffix":""},{"dropping-particle":"","family":"Cheriyan","given":"J.","non-dropping-particle":"","parse-names":false,"suffix":""},{"dropping-particle":"","family":"Paul","given":"J. C.","non-dropping-particle":"","parse-names":false,"suffix":""},{"dropping-particle":"","family":"Lafage","given":"V.","non-dropping-particle":"","parse-names":false,"suffix":""},{"dropping-particle":"","family":"Kirsch","given":"T.","non-dropping-particle":"","parse-names":false,"suffix":""},{"dropping-particle":"","family":"Errico","given":"T. J.","non-dropping-particle":"","parse-names":false,"suffix":""}],"container-title":"Spinal Cord","id":"ITEM-1","issue":"8","issued":{"date-parts":[["2014","6","10"]]},"page":"588-595","publisher":"Nature Publishing Group","title":"Spinal cord injury models: A review","type":"article","volume":"52"},"uris":["http://www.mendeley.com/documents/?uuid=735b9a89-d568-30ba-ad1e-87b615a389e1"]}],"mendeley":{"formattedCitation":"[61]","plainTextFormattedCitation":"[61]","previouslyFormattedCitation":"[61]"},"properties":{"noteIndex":0},"schema":"https://github.com/citation-style-language/schema/raw/master/csl-citation.json"}</w:instrText>
            </w:r>
            <w:r w:rsidRPr="00716905">
              <w:rPr>
                <w:rFonts w:ascii="Myriad Pro" w:hAnsi="Myriad Pro" w:cs="Times New Roman"/>
                <w:noProof/>
                <w:sz w:val="18"/>
                <w:szCs w:val="18"/>
              </w:rPr>
              <w:fldChar w:fldCharType="separate"/>
            </w:r>
            <w:r w:rsidRPr="002624CC">
              <w:rPr>
                <w:rFonts w:ascii="Myriad Pro" w:hAnsi="Myriad Pro" w:cs="Times New Roman"/>
                <w:noProof/>
                <w:sz w:val="18"/>
                <w:szCs w:val="18"/>
              </w:rPr>
              <w:t>[61]</w:t>
            </w:r>
            <w:r w:rsidRPr="00716905">
              <w:rPr>
                <w:rFonts w:ascii="Myriad Pro" w:hAnsi="Myriad Pro" w:cs="Times New Roman"/>
                <w:noProof/>
                <w:sz w:val="18"/>
                <w:szCs w:val="18"/>
              </w:rPr>
              <w:fldChar w:fldCharType="end"/>
            </w:r>
            <w:r>
              <w:rPr>
                <w:rFonts w:ascii="Myriad Pro" w:hAnsi="Myriad Pro" w:cs="Times New Roman"/>
                <w:noProof/>
                <w:sz w:val="18"/>
                <w:szCs w:val="18"/>
              </w:rPr>
              <w:t>.</w:t>
            </w:r>
          </w:p>
          <w:p w14:paraId="6EC90612" w14:textId="6CB775FE" w:rsidR="004939D2" w:rsidRPr="00EE54CD"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Consisten lesioning which can target specific anatomical tracts or regions.</w:t>
            </w:r>
          </w:p>
        </w:tc>
        <w:tc>
          <w:tcPr>
            <w:tcW w:w="2409" w:type="dxa"/>
          </w:tcPr>
          <w:p w14:paraId="5C85DCF2" w14:textId="77777777" w:rsidR="004939D2"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Pathophysiology may be less</w:t>
            </w:r>
            <w:r w:rsidRPr="00716905">
              <w:rPr>
                <w:rFonts w:ascii="Myriad Pro" w:hAnsi="Myriad Pro" w:cs="Times New Roman"/>
                <w:noProof/>
                <w:sz w:val="18"/>
                <w:szCs w:val="18"/>
              </w:rPr>
              <w:t xml:space="preserve"> representative of human </w:t>
            </w:r>
            <w:r>
              <w:rPr>
                <w:rFonts w:ascii="Myriad Pro" w:hAnsi="Myriad Pro" w:cs="Times New Roman"/>
                <w:noProof/>
                <w:sz w:val="18"/>
                <w:szCs w:val="18"/>
              </w:rPr>
              <w:t xml:space="preserve">injuries which are most commonly contusive </w:t>
            </w:r>
            <w:r w:rsidRPr="00716905">
              <w:rPr>
                <w:rFonts w:ascii="Myriad Pro" w:hAnsi="Myriad Pro" w:cs="Times New Roman"/>
                <w:noProof/>
                <w:sz w:val="18"/>
                <w:szCs w:val="18"/>
              </w:rPr>
              <w:t>SCI</w:t>
            </w:r>
            <w:r>
              <w:rPr>
                <w:rFonts w:ascii="Myriad Pro" w:hAnsi="Myriad Pro" w:cs="Times New Roman"/>
                <w:noProof/>
                <w:sz w:val="18"/>
                <w:szCs w:val="18"/>
              </w:rPr>
              <w:fldChar w:fldCharType="begin" w:fldLock="1"/>
            </w:r>
            <w:r>
              <w:rPr>
                <w:rFonts w:ascii="Myriad Pro" w:hAnsi="Myriad Pro" w:cs="Times New Roman"/>
                <w:noProof/>
                <w:sz w:val="18"/>
                <w:szCs w:val="18"/>
              </w:rPr>
              <w:instrText>ADDIN CSL_CITATION {"citationItems":[{"id":"ITEM-1","itemData":{"DOI":"10.3844/amjnsp.2013.1.12","ISSN":"1948-9900","abstract":"It is estimated that approximately 2.5 million people are affected by Spinal Cord Injury (SCI), with more than 130,000 new cases reported each year (International Campaign for Cures of Spinal Cord Injury Paralysis). Although there is currently no cure for SCI, various strategies including rehabilitative, cellular and molecular therapies have been tested in a variety of animal models. But questions remain as to the validity of animal models and whether they relate to the clinical conditions found in humans. This review aims to look at the different and most current models that are used to study SCI and their potential uses in mimicking the human condition. Several different animals models have been developed to study the problems of SCI, allowing exploration of mechanisms and properties of specific pathways such as; the MAPK pathway and spinal cord diseases such as; Syringomyelia and Central Cord Syndrome to name a few to be elucidated. SCI is complicated by cavitation and a glial scar that lines the cavity, reducing the possibility of axon regeneration. Mammalian models, particularly in mice and rats, have been used for many years to study the impact of SCI and potential therapies, however, questions remain as to the validity of these models and their potential usefulness.","author":[{"dropping-particle":"","family":"Kundi","given":"","non-dropping-particle":"","parse-names":false,"suffix":""}],"container-title":"American Journal of Neuroscience","id":"ITEM-1","issue":"1","issued":{"date-parts":[["2013","1","1"]]},"page":"1-12","publisher":"Science Publications","title":"SPINAL CORD INJURY: CURRENT MAMMALIAN MODELS","type":"article-journal","volume":"4"},"uris":["http://www.mendeley.com/documents/?uuid=3453f8b8-ebfa-3010-9021-d414377de5c7"]}],"mendeley":{"formattedCitation":"[50]","plainTextFormattedCitation":"[50]","previouslyFormattedCitation":"[50]"},"properties":{"noteIndex":0},"schema":"https://github.com/citation-style-language/schema/raw/master/csl-citation.json"}</w:instrText>
            </w:r>
            <w:r>
              <w:rPr>
                <w:rFonts w:ascii="Myriad Pro" w:hAnsi="Myriad Pro" w:cs="Times New Roman"/>
                <w:noProof/>
                <w:sz w:val="18"/>
                <w:szCs w:val="18"/>
              </w:rPr>
              <w:fldChar w:fldCharType="separate"/>
            </w:r>
            <w:r w:rsidRPr="005A5AE1">
              <w:rPr>
                <w:rFonts w:ascii="Myriad Pro" w:hAnsi="Myriad Pro" w:cs="Times New Roman"/>
                <w:noProof/>
                <w:sz w:val="18"/>
                <w:szCs w:val="18"/>
              </w:rPr>
              <w:t>[50]</w:t>
            </w:r>
            <w:r>
              <w:rPr>
                <w:rFonts w:ascii="Myriad Pro" w:hAnsi="Myriad Pro" w:cs="Times New Roman"/>
                <w:noProof/>
                <w:sz w:val="18"/>
                <w:szCs w:val="18"/>
              </w:rPr>
              <w:fldChar w:fldCharType="end"/>
            </w:r>
            <w:r>
              <w:rPr>
                <w:rFonts w:ascii="Myriad Pro" w:hAnsi="Myriad Pro" w:cs="Times New Roman"/>
                <w:noProof/>
                <w:sz w:val="18"/>
                <w:szCs w:val="18"/>
              </w:rPr>
              <w:t>.</w:t>
            </w:r>
          </w:p>
          <w:p w14:paraId="24392303" w14:textId="7A1A43A4" w:rsidR="004939D2" w:rsidRPr="00EE54CD" w:rsidRDefault="004939D2" w:rsidP="004939D2">
            <w:pPr>
              <w:pStyle w:val="ListParagraph"/>
              <w:numPr>
                <w:ilvl w:val="0"/>
                <w:numId w:val="1"/>
              </w:numPr>
              <w:spacing w:line="240" w:lineRule="auto"/>
              <w:ind w:left="209" w:hanging="218"/>
              <w:rPr>
                <w:rFonts w:ascii="Myriad Pro" w:hAnsi="Myriad Pro" w:cs="Times New Roman"/>
                <w:noProof/>
                <w:sz w:val="18"/>
                <w:szCs w:val="18"/>
              </w:rPr>
            </w:pPr>
            <w:r>
              <w:rPr>
                <w:rFonts w:ascii="Myriad Pro" w:hAnsi="Myriad Pro" w:cs="Times New Roman"/>
                <w:noProof/>
                <w:sz w:val="18"/>
                <w:szCs w:val="18"/>
              </w:rPr>
              <w:t xml:space="preserve">May not accurately recapitulate all aspects of the secondary injury cascade. </w:t>
            </w:r>
          </w:p>
        </w:tc>
      </w:tr>
    </w:tbl>
    <w:p w14:paraId="64D5DAD4" w14:textId="77777777" w:rsidR="00786A2B" w:rsidRPr="00786A2B" w:rsidRDefault="00786A2B">
      <w:pPr>
        <w:rPr>
          <w:i/>
          <w:iCs/>
          <w:u w:val="single"/>
        </w:rPr>
      </w:pPr>
    </w:p>
    <w:sectPr w:rsidR="00786A2B" w:rsidRPr="00786A2B" w:rsidSect="0048561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Myriad Pro">
    <w:altName w:val="Calibri"/>
    <w:panose1 w:val="020B0604020202020204"/>
    <w:charset w:val="00"/>
    <w:family w:val="swiss"/>
    <w:pitch w:val="variable"/>
    <w:sig w:usb0="20000287" w:usb1="00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D394183"/>
    <w:multiLevelType w:val="hybridMultilevel"/>
    <w:tmpl w:val="E208E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50648D"/>
    <w:multiLevelType w:val="hybridMultilevel"/>
    <w:tmpl w:val="71D8E2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oNotDisplayPageBoundarie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A2B"/>
    <w:rsid w:val="00002D57"/>
    <w:rsid w:val="00007FFE"/>
    <w:rsid w:val="0001224F"/>
    <w:rsid w:val="00040648"/>
    <w:rsid w:val="00062645"/>
    <w:rsid w:val="00077B0D"/>
    <w:rsid w:val="0008376B"/>
    <w:rsid w:val="000A7E98"/>
    <w:rsid w:val="000D1416"/>
    <w:rsid w:val="000E4828"/>
    <w:rsid w:val="000F5E9B"/>
    <w:rsid w:val="0010114F"/>
    <w:rsid w:val="0012654F"/>
    <w:rsid w:val="00143E1A"/>
    <w:rsid w:val="001640BB"/>
    <w:rsid w:val="001720E8"/>
    <w:rsid w:val="00192087"/>
    <w:rsid w:val="001A2648"/>
    <w:rsid w:val="001A670D"/>
    <w:rsid w:val="001B1AFB"/>
    <w:rsid w:val="001D4D9D"/>
    <w:rsid w:val="001E7965"/>
    <w:rsid w:val="0024061E"/>
    <w:rsid w:val="00240C90"/>
    <w:rsid w:val="002552B9"/>
    <w:rsid w:val="002657C4"/>
    <w:rsid w:val="00266A31"/>
    <w:rsid w:val="002711E1"/>
    <w:rsid w:val="0027760D"/>
    <w:rsid w:val="002A1961"/>
    <w:rsid w:val="002D3AE7"/>
    <w:rsid w:val="002E6A00"/>
    <w:rsid w:val="002F15D9"/>
    <w:rsid w:val="002F2115"/>
    <w:rsid w:val="002F4312"/>
    <w:rsid w:val="00321D6E"/>
    <w:rsid w:val="003242FA"/>
    <w:rsid w:val="00327EBC"/>
    <w:rsid w:val="003370C9"/>
    <w:rsid w:val="00337BAE"/>
    <w:rsid w:val="0034013F"/>
    <w:rsid w:val="00344852"/>
    <w:rsid w:val="00365D0C"/>
    <w:rsid w:val="00375602"/>
    <w:rsid w:val="003D3D1F"/>
    <w:rsid w:val="003E054F"/>
    <w:rsid w:val="00404568"/>
    <w:rsid w:val="0041533C"/>
    <w:rsid w:val="0042062A"/>
    <w:rsid w:val="00440D65"/>
    <w:rsid w:val="00452C62"/>
    <w:rsid w:val="00485619"/>
    <w:rsid w:val="00490A41"/>
    <w:rsid w:val="004939D2"/>
    <w:rsid w:val="004C0828"/>
    <w:rsid w:val="004C2E74"/>
    <w:rsid w:val="004C427A"/>
    <w:rsid w:val="004F657A"/>
    <w:rsid w:val="00511A1C"/>
    <w:rsid w:val="00511E36"/>
    <w:rsid w:val="0054446A"/>
    <w:rsid w:val="00546C9E"/>
    <w:rsid w:val="00555FEA"/>
    <w:rsid w:val="00556B92"/>
    <w:rsid w:val="00566814"/>
    <w:rsid w:val="00572EC3"/>
    <w:rsid w:val="005A1343"/>
    <w:rsid w:val="005C4B61"/>
    <w:rsid w:val="00610182"/>
    <w:rsid w:val="00610E55"/>
    <w:rsid w:val="00622C3C"/>
    <w:rsid w:val="00647526"/>
    <w:rsid w:val="00651C77"/>
    <w:rsid w:val="006572E3"/>
    <w:rsid w:val="006726F5"/>
    <w:rsid w:val="00676475"/>
    <w:rsid w:val="00686249"/>
    <w:rsid w:val="006A11EC"/>
    <w:rsid w:val="006A5F28"/>
    <w:rsid w:val="006C7267"/>
    <w:rsid w:val="006D1B7D"/>
    <w:rsid w:val="006E08AA"/>
    <w:rsid w:val="006E2E8C"/>
    <w:rsid w:val="00717504"/>
    <w:rsid w:val="00731733"/>
    <w:rsid w:val="00731E6F"/>
    <w:rsid w:val="00781344"/>
    <w:rsid w:val="007830AA"/>
    <w:rsid w:val="00786A2B"/>
    <w:rsid w:val="007906BD"/>
    <w:rsid w:val="00790C35"/>
    <w:rsid w:val="007D03CE"/>
    <w:rsid w:val="007D2064"/>
    <w:rsid w:val="007D30C3"/>
    <w:rsid w:val="007D5FE1"/>
    <w:rsid w:val="007E3676"/>
    <w:rsid w:val="008101AA"/>
    <w:rsid w:val="00832558"/>
    <w:rsid w:val="008325A1"/>
    <w:rsid w:val="00835A77"/>
    <w:rsid w:val="00844A6D"/>
    <w:rsid w:val="008505D3"/>
    <w:rsid w:val="00860A02"/>
    <w:rsid w:val="00870C43"/>
    <w:rsid w:val="008710E4"/>
    <w:rsid w:val="00887150"/>
    <w:rsid w:val="008A2459"/>
    <w:rsid w:val="008B7D2D"/>
    <w:rsid w:val="008C3338"/>
    <w:rsid w:val="008D6EF9"/>
    <w:rsid w:val="008F1584"/>
    <w:rsid w:val="00931804"/>
    <w:rsid w:val="00931AC5"/>
    <w:rsid w:val="009878C7"/>
    <w:rsid w:val="00990C47"/>
    <w:rsid w:val="009A1A64"/>
    <w:rsid w:val="009B5129"/>
    <w:rsid w:val="009C0397"/>
    <w:rsid w:val="009C690F"/>
    <w:rsid w:val="009C7436"/>
    <w:rsid w:val="009D271A"/>
    <w:rsid w:val="009F51B9"/>
    <w:rsid w:val="00A152B1"/>
    <w:rsid w:val="00A34D65"/>
    <w:rsid w:val="00A53F34"/>
    <w:rsid w:val="00A71472"/>
    <w:rsid w:val="00AA6597"/>
    <w:rsid w:val="00AA6CF6"/>
    <w:rsid w:val="00AC06B6"/>
    <w:rsid w:val="00AC445A"/>
    <w:rsid w:val="00B273C7"/>
    <w:rsid w:val="00B27584"/>
    <w:rsid w:val="00B4394F"/>
    <w:rsid w:val="00B85857"/>
    <w:rsid w:val="00BA43F2"/>
    <w:rsid w:val="00BA5D02"/>
    <w:rsid w:val="00BB20F2"/>
    <w:rsid w:val="00BD776B"/>
    <w:rsid w:val="00BE3EF8"/>
    <w:rsid w:val="00BE5AFF"/>
    <w:rsid w:val="00C83192"/>
    <w:rsid w:val="00C87BA0"/>
    <w:rsid w:val="00CB33CB"/>
    <w:rsid w:val="00CC0A39"/>
    <w:rsid w:val="00CD7F33"/>
    <w:rsid w:val="00CE2474"/>
    <w:rsid w:val="00CE46DA"/>
    <w:rsid w:val="00CF67E8"/>
    <w:rsid w:val="00D00872"/>
    <w:rsid w:val="00D00A78"/>
    <w:rsid w:val="00D04410"/>
    <w:rsid w:val="00D35E20"/>
    <w:rsid w:val="00D53066"/>
    <w:rsid w:val="00D703B6"/>
    <w:rsid w:val="00D815D4"/>
    <w:rsid w:val="00DC675C"/>
    <w:rsid w:val="00DE2FF1"/>
    <w:rsid w:val="00DE66DE"/>
    <w:rsid w:val="00DF0082"/>
    <w:rsid w:val="00DF0CE3"/>
    <w:rsid w:val="00E02B49"/>
    <w:rsid w:val="00E066A1"/>
    <w:rsid w:val="00E17B4E"/>
    <w:rsid w:val="00E22F76"/>
    <w:rsid w:val="00E32CD8"/>
    <w:rsid w:val="00E5029C"/>
    <w:rsid w:val="00E5412D"/>
    <w:rsid w:val="00E576F6"/>
    <w:rsid w:val="00E73F58"/>
    <w:rsid w:val="00E9105A"/>
    <w:rsid w:val="00E95AC6"/>
    <w:rsid w:val="00EA19DE"/>
    <w:rsid w:val="00EA3E04"/>
    <w:rsid w:val="00EE18BC"/>
    <w:rsid w:val="00F27803"/>
    <w:rsid w:val="00F30021"/>
    <w:rsid w:val="00F34818"/>
    <w:rsid w:val="00F37BC8"/>
    <w:rsid w:val="00F45F9C"/>
    <w:rsid w:val="00F763DD"/>
    <w:rsid w:val="00FC5E1C"/>
    <w:rsid w:val="00FE6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FC3AC4"/>
  <w14:defaultImageDpi w14:val="32767"/>
  <w15:chartTrackingRefBased/>
  <w15:docId w15:val="{A982DF67-3A10-5E40-8E61-A9D1D5F5B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86A2B"/>
    <w:pPr>
      <w:spacing w:line="360" w:lineRule="auto"/>
      <w:ind w:left="720"/>
      <w:contextualSpacing/>
    </w:pPr>
    <w:rPr>
      <w:rFonts w:ascii="Times New Roman" w:hAnsi="Times New Roman"/>
    </w:rPr>
  </w:style>
  <w:style w:type="table" w:styleId="TableGrid">
    <w:name w:val="Table Grid"/>
    <w:basedOn w:val="TableNormal"/>
    <w:uiPriority w:val="39"/>
    <w:rsid w:val="00786A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83192"/>
    <w:rPr>
      <w:sz w:val="16"/>
      <w:szCs w:val="16"/>
    </w:rPr>
  </w:style>
  <w:style w:type="paragraph" w:styleId="CommentText">
    <w:name w:val="annotation text"/>
    <w:basedOn w:val="Normal"/>
    <w:link w:val="CommentTextChar"/>
    <w:uiPriority w:val="99"/>
    <w:semiHidden/>
    <w:unhideWhenUsed/>
    <w:rsid w:val="00C83192"/>
    <w:rPr>
      <w:sz w:val="20"/>
      <w:szCs w:val="20"/>
    </w:rPr>
  </w:style>
  <w:style w:type="character" w:customStyle="1" w:styleId="CommentTextChar">
    <w:name w:val="Comment Text Char"/>
    <w:basedOn w:val="DefaultParagraphFont"/>
    <w:link w:val="CommentText"/>
    <w:uiPriority w:val="99"/>
    <w:semiHidden/>
    <w:rsid w:val="00C83192"/>
    <w:rPr>
      <w:sz w:val="20"/>
      <w:szCs w:val="20"/>
    </w:rPr>
  </w:style>
  <w:style w:type="paragraph" w:styleId="CommentSubject">
    <w:name w:val="annotation subject"/>
    <w:basedOn w:val="CommentText"/>
    <w:next w:val="CommentText"/>
    <w:link w:val="CommentSubjectChar"/>
    <w:uiPriority w:val="99"/>
    <w:semiHidden/>
    <w:unhideWhenUsed/>
    <w:rsid w:val="00C83192"/>
    <w:rPr>
      <w:b/>
      <w:bCs/>
    </w:rPr>
  </w:style>
  <w:style w:type="character" w:customStyle="1" w:styleId="CommentSubjectChar">
    <w:name w:val="Comment Subject Char"/>
    <w:basedOn w:val="CommentTextChar"/>
    <w:link w:val="CommentSubject"/>
    <w:uiPriority w:val="99"/>
    <w:semiHidden/>
    <w:rsid w:val="00C83192"/>
    <w:rPr>
      <w:b/>
      <w:bCs/>
      <w:sz w:val="20"/>
      <w:szCs w:val="20"/>
    </w:rPr>
  </w:style>
  <w:style w:type="paragraph" w:styleId="Revision">
    <w:name w:val="Revision"/>
    <w:hidden/>
    <w:uiPriority w:val="99"/>
    <w:semiHidden/>
    <w:rsid w:val="00EA1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E379BEC-A4C7-6E4D-B722-90302B165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17025</Words>
  <Characters>97044</Characters>
  <Application>Microsoft Office Word</Application>
  <DocSecurity>0</DocSecurity>
  <Lines>808</Lines>
  <Paragraphs>227</Paragraphs>
  <ScaleCrop>false</ScaleCrop>
  <Company/>
  <LinksUpToDate>false</LinksUpToDate>
  <CharactersWithSpaces>113842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Faheem Bhatti</dc:creator>
  <cp:keywords/>
  <dc:description/>
  <cp:lastModifiedBy>Faheem Bhatti</cp:lastModifiedBy>
  <cp:revision>3</cp:revision>
  <dcterms:created xsi:type="dcterms:W3CDTF">2021-07-12T09:56:00Z</dcterms:created>
  <dcterms:modified xsi:type="dcterms:W3CDTF">2021-07-21T12:27:00Z</dcterms:modified>
</cp:coreProperties>
</file>