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91DF62" w14:textId="4F455A2B" w:rsidR="0017634C" w:rsidRDefault="0017634C" w:rsidP="0017634C">
      <w:pPr>
        <w:pStyle w:val="Heading1"/>
      </w:pPr>
      <w:r w:rsidRPr="00A4313A">
        <w:t xml:space="preserve">CURRENT EPIDEMIOLOGY OF </w:t>
      </w:r>
      <w:r w:rsidRPr="00A54BFD">
        <w:t xml:space="preserve">CEREBROSPINAL FLUID </w:t>
      </w:r>
      <w:r w:rsidRPr="00A4313A">
        <w:t>SHUNT SURGERY IN THE UK AND IRELAND (2004-2013)</w:t>
      </w:r>
    </w:p>
    <w:p w14:paraId="07339E6D" w14:textId="77777777" w:rsidR="0017634C" w:rsidRPr="004A43BA" w:rsidRDefault="0017634C" w:rsidP="0017634C">
      <w:pPr>
        <w:spacing w:line="276" w:lineRule="auto"/>
        <w:rPr>
          <w:i/>
          <w:lang w:val="en-US"/>
        </w:rPr>
      </w:pPr>
      <w:r w:rsidRPr="004A43BA">
        <w:rPr>
          <w:i/>
          <w:lang w:val="en-US"/>
        </w:rPr>
        <w:t>Rocío Fernández-Méndez</w:t>
      </w:r>
      <w:r w:rsidRPr="0075708C">
        <w:rPr>
          <w:i/>
          <w:vertAlign w:val="superscript"/>
          <w:lang w:val="en-US"/>
        </w:rPr>
        <w:t>1</w:t>
      </w:r>
      <w:r>
        <w:rPr>
          <w:i/>
          <w:vertAlign w:val="superscript"/>
          <w:lang w:val="en-US"/>
        </w:rPr>
        <w:t>*</w:t>
      </w:r>
      <w:r w:rsidRPr="004A43BA">
        <w:rPr>
          <w:i/>
          <w:lang w:val="en-US"/>
        </w:rPr>
        <w:t>, Hugh K. Richards</w:t>
      </w:r>
      <w:r w:rsidRPr="0075708C">
        <w:rPr>
          <w:i/>
          <w:vertAlign w:val="superscript"/>
          <w:lang w:val="en-US"/>
        </w:rPr>
        <w:t>2</w:t>
      </w:r>
      <w:r w:rsidRPr="004A43BA">
        <w:rPr>
          <w:i/>
          <w:lang w:val="en-US"/>
        </w:rPr>
        <w:t>, H</w:t>
      </w:r>
      <w:r>
        <w:rPr>
          <w:i/>
          <w:lang w:val="en-US"/>
        </w:rPr>
        <w:t>elen M. Seeley</w:t>
      </w:r>
      <w:r>
        <w:rPr>
          <w:i/>
          <w:vertAlign w:val="superscript"/>
          <w:lang w:val="en-US"/>
        </w:rPr>
        <w:t>2</w:t>
      </w:r>
      <w:r>
        <w:rPr>
          <w:i/>
          <w:lang w:val="en-US"/>
        </w:rPr>
        <w:t>, John D. Pickard</w:t>
      </w:r>
      <w:r>
        <w:rPr>
          <w:i/>
          <w:vertAlign w:val="superscript"/>
          <w:lang w:val="en-US"/>
        </w:rPr>
        <w:t>3</w:t>
      </w:r>
      <w:r>
        <w:rPr>
          <w:i/>
          <w:lang w:val="en-US"/>
        </w:rPr>
        <w:t>,</w:t>
      </w:r>
    </w:p>
    <w:p w14:paraId="62517DAF" w14:textId="230526A7" w:rsidR="0017634C" w:rsidRPr="00D26178" w:rsidRDefault="0017634C" w:rsidP="0017634C">
      <w:pPr>
        <w:spacing w:line="276" w:lineRule="auto"/>
        <w:rPr>
          <w:i/>
          <w:lang w:val="en-US"/>
        </w:rPr>
      </w:pPr>
      <w:r>
        <w:rPr>
          <w:i/>
          <w:lang w:val="en-US"/>
        </w:rPr>
        <w:t>Alexis J.</w:t>
      </w:r>
      <w:r w:rsidRPr="004A43BA">
        <w:rPr>
          <w:i/>
          <w:lang w:val="en-US"/>
        </w:rPr>
        <w:t xml:space="preserve"> Joannides</w:t>
      </w:r>
      <w:r w:rsidR="00AD162B">
        <w:rPr>
          <w:i/>
          <w:vertAlign w:val="superscript"/>
          <w:lang w:val="en-US"/>
        </w:rPr>
        <w:t>1,3</w:t>
      </w:r>
      <w:r w:rsidR="00D26178">
        <w:rPr>
          <w:i/>
          <w:lang w:val="en-US"/>
        </w:rPr>
        <w:t>, UKSR collaborators</w:t>
      </w:r>
    </w:p>
    <w:p w14:paraId="6B4F845A" w14:textId="77777777" w:rsidR="0017634C" w:rsidRDefault="0017634C" w:rsidP="0017634C">
      <w:pPr>
        <w:spacing w:line="276" w:lineRule="auto"/>
        <w:rPr>
          <w:vertAlign w:val="superscript"/>
          <w:lang w:val="en-US"/>
        </w:rPr>
      </w:pPr>
    </w:p>
    <w:p w14:paraId="64957278" w14:textId="77777777" w:rsidR="0017634C" w:rsidRDefault="0017634C" w:rsidP="0017634C">
      <w:pPr>
        <w:spacing w:line="276" w:lineRule="auto"/>
        <w:rPr>
          <w:lang w:val="en-US"/>
        </w:rPr>
      </w:pPr>
      <w:r w:rsidRPr="0075708C">
        <w:rPr>
          <w:vertAlign w:val="superscript"/>
          <w:lang w:val="en-US"/>
        </w:rPr>
        <w:t>1</w:t>
      </w:r>
      <w:r>
        <w:rPr>
          <w:lang w:val="en-US"/>
        </w:rPr>
        <w:t xml:space="preserve"> Department of Clinical Neurosciences, University of Cambridge, Cambridge, UK</w:t>
      </w:r>
    </w:p>
    <w:p w14:paraId="54555683" w14:textId="77777777" w:rsidR="0017634C" w:rsidRDefault="0017634C" w:rsidP="0017634C">
      <w:pPr>
        <w:spacing w:line="276" w:lineRule="auto"/>
        <w:rPr>
          <w:lang w:val="en-US"/>
        </w:rPr>
      </w:pPr>
      <w:r w:rsidRPr="0075708C">
        <w:rPr>
          <w:vertAlign w:val="superscript"/>
          <w:lang w:val="en-US"/>
        </w:rPr>
        <w:t>2</w:t>
      </w:r>
      <w:r>
        <w:rPr>
          <w:lang w:val="en-US"/>
        </w:rPr>
        <w:t xml:space="preserve"> United Kingdom Shunt Registry (UKSR), Cambridge, UK</w:t>
      </w:r>
    </w:p>
    <w:p w14:paraId="68E4AF29" w14:textId="77777777" w:rsidR="0017634C" w:rsidRDefault="0017634C" w:rsidP="0017634C">
      <w:pPr>
        <w:spacing w:line="276" w:lineRule="auto"/>
        <w:rPr>
          <w:lang w:val="en-US"/>
        </w:rPr>
      </w:pPr>
      <w:r>
        <w:rPr>
          <w:vertAlign w:val="superscript"/>
          <w:lang w:val="en-US"/>
        </w:rPr>
        <w:t>3</w:t>
      </w:r>
      <w:r>
        <w:rPr>
          <w:lang w:val="en-US"/>
        </w:rPr>
        <w:t xml:space="preserve"> NIHR Brain Injury MedTech Co-operative, NIHR, Cambridge, UK</w:t>
      </w:r>
    </w:p>
    <w:p w14:paraId="2820B45A" w14:textId="77777777" w:rsidR="0017634C" w:rsidRDefault="0017634C" w:rsidP="0017634C">
      <w:pPr>
        <w:spacing w:line="276" w:lineRule="auto"/>
        <w:rPr>
          <w:lang w:val="en-US"/>
        </w:rPr>
      </w:pPr>
    </w:p>
    <w:p w14:paraId="09B3AF39" w14:textId="77777777" w:rsidR="0017634C" w:rsidRPr="00FF5D8B" w:rsidRDefault="0017634C" w:rsidP="0017634C">
      <w:pPr>
        <w:spacing w:line="276" w:lineRule="auto"/>
        <w:rPr>
          <w:lang w:val="es-ES"/>
        </w:rPr>
      </w:pPr>
      <w:r>
        <w:rPr>
          <w:lang w:val="en-US"/>
        </w:rPr>
        <w:t xml:space="preserve">* Corresponding author: </w:t>
      </w:r>
      <w:r w:rsidRPr="00261F56">
        <w:rPr>
          <w:lang w:val="en-US"/>
        </w:rPr>
        <w:t>Roc</w:t>
      </w:r>
      <w:r>
        <w:rPr>
          <w:lang w:val="en-US"/>
        </w:rPr>
        <w:t xml:space="preserve">ío Fernández Méndez, </w:t>
      </w:r>
      <w:r w:rsidRPr="00261F56">
        <w:rPr>
          <w:lang w:val="en-US"/>
        </w:rPr>
        <w:t>Dep of Clinical Neurosciences</w:t>
      </w:r>
      <w:r>
        <w:rPr>
          <w:lang w:val="en-US"/>
        </w:rPr>
        <w:t xml:space="preserve">, </w:t>
      </w:r>
      <w:r w:rsidRPr="00261F56">
        <w:rPr>
          <w:lang w:val="en-US"/>
        </w:rPr>
        <w:t>University of Cambridge</w:t>
      </w:r>
      <w:r>
        <w:rPr>
          <w:lang w:val="en-US"/>
        </w:rPr>
        <w:t xml:space="preserve">, </w:t>
      </w:r>
      <w:r w:rsidRPr="00261F56">
        <w:rPr>
          <w:lang w:val="en-US"/>
        </w:rPr>
        <w:t>Biomedical Campus</w:t>
      </w:r>
      <w:r>
        <w:rPr>
          <w:lang w:val="en-US"/>
        </w:rPr>
        <w:t xml:space="preserve">, </w:t>
      </w:r>
      <w:r w:rsidRPr="00261F56">
        <w:rPr>
          <w:lang w:val="en-US"/>
        </w:rPr>
        <w:t>Block A, level 3</w:t>
      </w:r>
      <w:r>
        <w:rPr>
          <w:lang w:val="en-US"/>
        </w:rPr>
        <w:t xml:space="preserve">, </w:t>
      </w:r>
      <w:r w:rsidRPr="00261F56">
        <w:rPr>
          <w:lang w:val="en-US"/>
        </w:rPr>
        <w:t>CB2 0QQ</w:t>
      </w:r>
      <w:r>
        <w:rPr>
          <w:lang w:val="en-US"/>
        </w:rPr>
        <w:t xml:space="preserve">, </w:t>
      </w:r>
      <w:r w:rsidRPr="00261F56">
        <w:rPr>
          <w:lang w:val="en-US"/>
        </w:rPr>
        <w:t>Cambridge</w:t>
      </w:r>
      <w:r>
        <w:rPr>
          <w:lang w:val="en-US"/>
        </w:rPr>
        <w:t xml:space="preserve">. </w:t>
      </w:r>
      <w:r w:rsidRPr="00FF5D8B">
        <w:rPr>
          <w:lang w:val="es-ES"/>
        </w:rPr>
        <w:t xml:space="preserve">E-mail: </w:t>
      </w:r>
      <w:hyperlink r:id="rId11" w:history="1">
        <w:r w:rsidRPr="00FF5D8B">
          <w:rPr>
            <w:rStyle w:val="Hyperlink"/>
            <w:lang w:val="es-ES"/>
          </w:rPr>
          <w:t>rf421@cam.ac.uk</w:t>
        </w:r>
      </w:hyperlink>
      <w:r w:rsidRPr="00FF5D8B">
        <w:rPr>
          <w:lang w:val="es-ES"/>
        </w:rPr>
        <w:t xml:space="preserve"> / </w:t>
      </w:r>
      <w:hyperlink r:id="rId12" w:history="1">
        <w:r w:rsidRPr="00FF5D8B">
          <w:rPr>
            <w:rStyle w:val="Hyperlink"/>
            <w:lang w:val="es-ES"/>
          </w:rPr>
          <w:t>rociofmendez.inv@gmail.com</w:t>
        </w:r>
      </w:hyperlink>
      <w:r w:rsidRPr="00FF5D8B">
        <w:rPr>
          <w:lang w:val="es-ES"/>
        </w:rPr>
        <w:t xml:space="preserve"> Tel. num.: +44 (0) 1223 746466</w:t>
      </w:r>
    </w:p>
    <w:p w14:paraId="4D55DEF8" w14:textId="77777777" w:rsidR="0017634C" w:rsidRPr="00FF5D8B" w:rsidRDefault="0017634C" w:rsidP="0017634C">
      <w:pPr>
        <w:spacing w:line="276" w:lineRule="auto"/>
        <w:rPr>
          <w:b/>
          <w:lang w:val="es-ES"/>
        </w:rPr>
      </w:pPr>
    </w:p>
    <w:p w14:paraId="7257B1F3" w14:textId="17A89555" w:rsidR="0017634C" w:rsidRDefault="0017634C" w:rsidP="0017634C">
      <w:pPr>
        <w:spacing w:line="276" w:lineRule="auto"/>
        <w:rPr>
          <w:lang w:val="en-US"/>
        </w:rPr>
      </w:pPr>
      <w:r w:rsidRPr="0075708C">
        <w:rPr>
          <w:b/>
          <w:lang w:val="en-US"/>
        </w:rPr>
        <w:t>Word count</w:t>
      </w:r>
      <w:r>
        <w:rPr>
          <w:lang w:val="en-US"/>
        </w:rPr>
        <w:t xml:space="preserve">: </w:t>
      </w:r>
      <w:r w:rsidR="00272E11">
        <w:rPr>
          <w:lang w:val="en-US"/>
        </w:rPr>
        <w:t>3</w:t>
      </w:r>
      <w:r w:rsidR="00A65782">
        <w:rPr>
          <w:lang w:val="en-US"/>
        </w:rPr>
        <w:t>787</w:t>
      </w:r>
    </w:p>
    <w:p w14:paraId="1388ABF1" w14:textId="3975AE5A" w:rsidR="00517136" w:rsidRPr="004A43BA" w:rsidRDefault="00517136" w:rsidP="0017634C">
      <w:pPr>
        <w:spacing w:line="276" w:lineRule="auto"/>
        <w:rPr>
          <w:lang w:val="en-US"/>
        </w:rPr>
      </w:pPr>
      <w:r w:rsidRPr="00517136">
        <w:rPr>
          <w:b/>
          <w:lang w:val="en-US"/>
        </w:rPr>
        <w:t>Number of references</w:t>
      </w:r>
      <w:r>
        <w:rPr>
          <w:lang w:val="en-US"/>
        </w:rPr>
        <w:t>: 3</w:t>
      </w:r>
      <w:r w:rsidR="00272E11">
        <w:rPr>
          <w:lang w:val="en-US"/>
        </w:rPr>
        <w:t>1</w:t>
      </w:r>
    </w:p>
    <w:p w14:paraId="295299A9" w14:textId="77777777" w:rsidR="0017634C" w:rsidRPr="00AF334E" w:rsidRDefault="0017634C" w:rsidP="0017634C">
      <w:pPr>
        <w:rPr>
          <w:b/>
          <w:lang w:val="en-US"/>
        </w:rPr>
      </w:pPr>
    </w:p>
    <w:p w14:paraId="338BAAD6" w14:textId="77777777" w:rsidR="0017634C" w:rsidRDefault="0017634C">
      <w:pPr>
        <w:spacing w:before="0" w:after="0" w:line="240" w:lineRule="auto"/>
        <w:jc w:val="left"/>
        <w:rPr>
          <w:b/>
          <w:sz w:val="28"/>
          <w:szCs w:val="28"/>
        </w:rPr>
      </w:pPr>
      <w:r>
        <w:br w:type="page"/>
      </w:r>
    </w:p>
    <w:p w14:paraId="4E131E74" w14:textId="33D40422" w:rsidR="0017634C" w:rsidRDefault="0017634C" w:rsidP="0017634C">
      <w:pPr>
        <w:pStyle w:val="Heading1"/>
      </w:pPr>
      <w:r>
        <w:lastRenderedPageBreak/>
        <w:t>ABSTRACT</w:t>
      </w:r>
    </w:p>
    <w:p w14:paraId="29CB42FD" w14:textId="77777777" w:rsidR="005E3224" w:rsidRPr="005E3224" w:rsidRDefault="005E3224" w:rsidP="005E3224">
      <w:r w:rsidRPr="005E3224">
        <w:rPr>
          <w:b/>
        </w:rPr>
        <w:t>Objectives</w:t>
      </w:r>
      <w:r w:rsidRPr="005E3224">
        <w:t>: To determine current epidemiology and clinical characteristics of cerebrospinal fluid (CSF) shunt surgery, including revisions.</w:t>
      </w:r>
    </w:p>
    <w:p w14:paraId="75D59A4E" w14:textId="77777777" w:rsidR="005E3224" w:rsidRPr="005E3224" w:rsidRDefault="005E3224" w:rsidP="005E3224">
      <w:r w:rsidRPr="005E3224">
        <w:rPr>
          <w:b/>
        </w:rPr>
        <w:t>Methods</w:t>
      </w:r>
      <w:r w:rsidRPr="005E3224">
        <w:t>: A retrospective, multi-centre, registry-based study was conducted based on 10 years’ data from the UK Shunt Registry (UKSR), including primary and revision shunting procedures reported between 2004 and 2013. Incidence rates of primary shunts, descriptive statistics and shunt revision rates were calculated stratified by age group, geographical region, and year of operation.</w:t>
      </w:r>
    </w:p>
    <w:p w14:paraId="1E8D9D98" w14:textId="2ECE09DA" w:rsidR="005E3224" w:rsidRPr="005E3224" w:rsidRDefault="005E3224" w:rsidP="005E3224">
      <w:r w:rsidRPr="00AF2D74">
        <w:rPr>
          <w:b/>
        </w:rPr>
        <w:t>Results</w:t>
      </w:r>
      <w:r w:rsidRPr="00AF1206">
        <w:t xml:space="preserve">: </w:t>
      </w:r>
      <w:r w:rsidR="00B84027" w:rsidRPr="00F645C3">
        <w:t>4103</w:t>
      </w:r>
      <w:r w:rsidR="00FF5D8B">
        <w:t>6</w:t>
      </w:r>
      <w:r w:rsidR="0061280D">
        <w:t xml:space="preserve"> </w:t>
      </w:r>
      <w:r w:rsidRPr="00AF1206">
        <w:t xml:space="preserve">procedures in </w:t>
      </w:r>
      <w:r w:rsidR="00B84027" w:rsidRPr="00AF2D74">
        <w:t xml:space="preserve">26545 </w:t>
      </w:r>
      <w:r w:rsidRPr="00AF1206">
        <w:t xml:space="preserve">patients were submitted during the study period, including </w:t>
      </w:r>
      <w:r w:rsidR="00B84027" w:rsidRPr="00AF2D74">
        <w:t xml:space="preserve">3002 </w:t>
      </w:r>
      <w:r w:rsidRPr="00AF1206">
        <w:t xml:space="preserve">infants, </w:t>
      </w:r>
      <w:r w:rsidR="00B84027" w:rsidRPr="00AF2D74">
        <w:t>4389</w:t>
      </w:r>
      <w:r w:rsidR="00B84027" w:rsidRPr="00AF2D74" w:rsidDel="00EA01B9">
        <w:t xml:space="preserve"> </w:t>
      </w:r>
      <w:r w:rsidRPr="00AF1206">
        <w:t xml:space="preserve">children, and </w:t>
      </w:r>
      <w:r w:rsidR="00B84027" w:rsidRPr="00AF2D74">
        <w:t>18668</w:t>
      </w:r>
      <w:r w:rsidR="00B84027" w:rsidRPr="00AF2D74" w:rsidDel="00EA01B9">
        <w:t xml:space="preserve"> </w:t>
      </w:r>
      <w:r w:rsidRPr="00AF1206">
        <w:t xml:space="preserve">adults. Procedures included </w:t>
      </w:r>
      <w:r w:rsidR="00B84027" w:rsidRPr="00AF2D74">
        <w:t>209</w:t>
      </w:r>
      <w:r w:rsidR="00FF5D8B">
        <w:t>47</w:t>
      </w:r>
      <w:r w:rsidR="00B84027" w:rsidRPr="00AF2D74">
        <w:t xml:space="preserve"> </w:t>
      </w:r>
      <w:r w:rsidRPr="00AF1206">
        <w:t>(</w:t>
      </w:r>
      <w:r w:rsidR="00B84027" w:rsidRPr="00AF1206">
        <w:t>51</w:t>
      </w:r>
      <w:r w:rsidRPr="00AF1206">
        <w:t>.</w:t>
      </w:r>
      <w:r w:rsidR="00FF5D8B">
        <w:t>0</w:t>
      </w:r>
      <w:r w:rsidRPr="00AF1206">
        <w:t xml:space="preserve">%) primary shunt insertions in </w:t>
      </w:r>
      <w:r w:rsidR="00B84027" w:rsidRPr="00AF2D74">
        <w:t>209</w:t>
      </w:r>
      <w:r w:rsidR="00FF5D8B">
        <w:t>47</w:t>
      </w:r>
      <w:r w:rsidR="00B84027" w:rsidRPr="00AF2D74">
        <w:t xml:space="preserve"> </w:t>
      </w:r>
      <w:r w:rsidRPr="00AF1206">
        <w:t xml:space="preserve">patients, and </w:t>
      </w:r>
      <w:r w:rsidR="00B84027" w:rsidRPr="00AF2D74">
        <w:t>2008</w:t>
      </w:r>
      <w:r w:rsidR="00FF5D8B">
        <w:t>9</w:t>
      </w:r>
      <w:r w:rsidR="00B84027" w:rsidRPr="00AF2D74">
        <w:t xml:space="preserve"> (4</w:t>
      </w:r>
      <w:r w:rsidR="00FF5D8B">
        <w:t>9</w:t>
      </w:r>
      <w:r w:rsidR="00B84027" w:rsidRPr="00AF2D74">
        <w:t>.</w:t>
      </w:r>
      <w:r w:rsidR="00FF5D8B">
        <w:t>0</w:t>
      </w:r>
      <w:r w:rsidR="00B84027" w:rsidRPr="00AF2D74">
        <w:t>%</w:t>
      </w:r>
      <w:r w:rsidRPr="00AF1206">
        <w:t xml:space="preserve">) revision procedures. Incidence rates of primary shunt insertions for infants, children and adults were </w:t>
      </w:r>
      <w:r w:rsidR="00B84027" w:rsidRPr="00AF2D74">
        <w:t>39.</w:t>
      </w:r>
      <w:r w:rsidR="005D1FFA">
        <w:t>5</w:t>
      </w:r>
      <w:r w:rsidR="00B84027" w:rsidRPr="00AF2D74">
        <w:t xml:space="preserve">, 2.4 and 3.5 </w:t>
      </w:r>
      <w:r w:rsidRPr="00AF1206">
        <w:t xml:space="preserve">shunts per 100000 person-years respectively. These varied by geographical sub-region and year of operation. The most common underlying diagnoses were </w:t>
      </w:r>
      <w:r w:rsidR="005D1FFA" w:rsidRPr="0082434F">
        <w:t>perinatal intraventricular haemorrhage (35.</w:t>
      </w:r>
      <w:r w:rsidR="005D1FFA">
        <w:t>3</w:t>
      </w:r>
      <w:r w:rsidR="005D1FFA" w:rsidRPr="0082434F">
        <w:t>%)</w:t>
      </w:r>
      <w:r w:rsidR="005D1FFA">
        <w:t xml:space="preserve"> and </w:t>
      </w:r>
      <w:r w:rsidRPr="00AF1206">
        <w:t>malformations (33.</w:t>
      </w:r>
      <w:r w:rsidR="00B84027">
        <w:t>9</w:t>
      </w:r>
      <w:r w:rsidRPr="00AF1206">
        <w:t>%) in infants, tumours (40.</w:t>
      </w:r>
      <w:r w:rsidR="00B84027">
        <w:t>5</w:t>
      </w:r>
      <w:r w:rsidRPr="00AF1206">
        <w:t>%) and malformations (</w:t>
      </w:r>
      <w:r w:rsidR="00B84027" w:rsidRPr="00AF1206">
        <w:t>1</w:t>
      </w:r>
      <w:r w:rsidR="00B84027">
        <w:t>6</w:t>
      </w:r>
      <w:r w:rsidRPr="00AF1206">
        <w:t>.</w:t>
      </w:r>
      <w:r w:rsidR="00B84027">
        <w:t>3</w:t>
      </w:r>
      <w:r w:rsidRPr="00AF1206">
        <w:t>%) in children, and tumours (</w:t>
      </w:r>
      <w:r w:rsidR="00B84027">
        <w:t>24.6</w:t>
      </w:r>
      <w:r w:rsidRPr="00AF1206">
        <w:t>%), post-haemorrhagic hydrocephalus (</w:t>
      </w:r>
      <w:r w:rsidR="00B84027">
        <w:t>16.2</w:t>
      </w:r>
      <w:r w:rsidRPr="00AF1206">
        <w:t xml:space="preserve">%) and </w:t>
      </w:r>
      <w:r w:rsidR="00B84027">
        <w:t xml:space="preserve">idiopathic </w:t>
      </w:r>
      <w:r w:rsidRPr="00AF1206">
        <w:t>normal pressure hydrocephalus (</w:t>
      </w:r>
      <w:r w:rsidR="00B84027">
        <w:t>14.2</w:t>
      </w:r>
      <w:r w:rsidRPr="00AF1206">
        <w:t xml:space="preserve">%) in adults. Ninety-day revision rates were </w:t>
      </w:r>
      <w:r w:rsidR="00B84027">
        <w:t>21.9</w:t>
      </w:r>
      <w:r w:rsidRPr="00AF1206">
        <w:t xml:space="preserve">%, </w:t>
      </w:r>
      <w:r w:rsidR="00B84027">
        <w:t>18.</w:t>
      </w:r>
      <w:r w:rsidR="005D1FFA">
        <w:t>6</w:t>
      </w:r>
      <w:r w:rsidRPr="00AF1206">
        <w:t xml:space="preserve">% and </w:t>
      </w:r>
      <w:r w:rsidR="00B84027">
        <w:t>12.8</w:t>
      </w:r>
      <w:r w:rsidRPr="00AF1206">
        <w:t xml:space="preserve">% among infants, children and adults respectively, while first-year revision rates were </w:t>
      </w:r>
      <w:r w:rsidR="00B84027">
        <w:t>31.0</w:t>
      </w:r>
      <w:r w:rsidRPr="00AF1206">
        <w:t xml:space="preserve">%, </w:t>
      </w:r>
      <w:r w:rsidR="00B84027">
        <w:t>25.</w:t>
      </w:r>
      <w:r w:rsidR="005D1FFA">
        <w:t>2</w:t>
      </w:r>
      <w:r w:rsidRPr="00AF1206">
        <w:t>% and 17.</w:t>
      </w:r>
      <w:r w:rsidR="00B84027">
        <w:t>4</w:t>
      </w:r>
      <w:r w:rsidRPr="00AF1206">
        <w:t>%. The main reasons for revision were underdrainage and infection but overdrainage and mechanical failure continue to pose problems.</w:t>
      </w:r>
      <w:r w:rsidRPr="005E3224">
        <w:t xml:space="preserve"> </w:t>
      </w:r>
    </w:p>
    <w:p w14:paraId="4B3BA226" w14:textId="6CDAA04F" w:rsidR="0017634C" w:rsidRDefault="005E3224" w:rsidP="005E3224">
      <w:pPr>
        <w:rPr>
          <w:sz w:val="28"/>
          <w:szCs w:val="28"/>
        </w:rPr>
      </w:pPr>
      <w:r w:rsidRPr="005E3224">
        <w:rPr>
          <w:b/>
        </w:rPr>
        <w:t>Conclusions</w:t>
      </w:r>
      <w:r w:rsidRPr="005E3224">
        <w:t xml:space="preserve">: Our report informs patients, carers, clinicians, providers and commissioners of healthcare, researchers and industry of the current epidemiology of shunting for CSF disorders, including the potential risks of complications and frequency of revision. </w:t>
      </w:r>
      <w:r w:rsidR="0017634C">
        <w:br w:type="page"/>
      </w:r>
    </w:p>
    <w:p w14:paraId="0D10946C" w14:textId="67AF4D76" w:rsidR="00A4313A" w:rsidRPr="000D59DD" w:rsidRDefault="000D59DD" w:rsidP="000D59DD">
      <w:pPr>
        <w:pStyle w:val="Heading1"/>
      </w:pPr>
      <w:r w:rsidRPr="000D59DD">
        <w:lastRenderedPageBreak/>
        <w:t>BACKGROUND</w:t>
      </w:r>
    </w:p>
    <w:p w14:paraId="2640D593" w14:textId="29044F03" w:rsidR="00A4313A" w:rsidRPr="00EA4D30" w:rsidRDefault="00C66BBF" w:rsidP="00201FA8">
      <w:pPr>
        <w:rPr>
          <w:color w:val="C00000"/>
        </w:rPr>
      </w:pPr>
      <w:r w:rsidRPr="00EA4D30">
        <w:t xml:space="preserve">Disorders </w:t>
      </w:r>
      <w:r w:rsidR="00AA3E9C" w:rsidRPr="00EA4D30">
        <w:t>of the cerebrospinal fluid (CSF) circulation</w:t>
      </w:r>
      <w:r w:rsidR="00497D48" w:rsidRPr="00EA4D30">
        <w:t>, often abbreviated using the term hydrocephalus,</w:t>
      </w:r>
      <w:r w:rsidR="004E3482" w:rsidRPr="00EA4D30">
        <w:t xml:space="preserve"> </w:t>
      </w:r>
      <w:r w:rsidR="00AA3E9C" w:rsidRPr="00EA4D30">
        <w:t>are</w:t>
      </w:r>
      <w:r w:rsidR="00CD63C7" w:rsidRPr="00EA4D30">
        <w:t xml:space="preserve"> uncommon </w:t>
      </w:r>
      <w:r w:rsidR="005A3BD3" w:rsidRPr="00EA4D30">
        <w:t>but</w:t>
      </w:r>
      <w:r w:rsidR="00497D48" w:rsidRPr="00EA4D30">
        <w:t xml:space="preserve"> potentially</w:t>
      </w:r>
      <w:r w:rsidR="00AA3E9C" w:rsidRPr="00EA4D30">
        <w:t xml:space="preserve"> </w:t>
      </w:r>
      <w:r w:rsidR="005A3BD3" w:rsidRPr="00EA4D30">
        <w:t>life-threatening</w:t>
      </w:r>
      <w:r w:rsidR="00B27738" w:rsidRPr="00EA4D30">
        <w:t xml:space="preserve">, with </w:t>
      </w:r>
      <w:r w:rsidR="001A2D3E" w:rsidRPr="00EA4D30">
        <w:t>annual</w:t>
      </w:r>
      <w:r w:rsidR="00C30724" w:rsidRPr="00EA4D30">
        <w:t xml:space="preserve"> </w:t>
      </w:r>
      <w:r w:rsidR="006942EA" w:rsidRPr="00EA4D30">
        <w:t>incidence rates</w:t>
      </w:r>
      <w:r w:rsidR="00B27738" w:rsidRPr="00EA4D30">
        <w:t xml:space="preserve"> ranging </w:t>
      </w:r>
      <w:r w:rsidR="00C30724" w:rsidRPr="00EA4D30">
        <w:t>from</w:t>
      </w:r>
      <w:r w:rsidR="00B27738" w:rsidRPr="00EA4D30">
        <w:t xml:space="preserve"> </w:t>
      </w:r>
      <w:r w:rsidR="00C30724" w:rsidRPr="00EA4D30">
        <w:t xml:space="preserve">a few </w:t>
      </w:r>
      <w:r w:rsidR="00B27738" w:rsidRPr="00EA4D30">
        <w:t>dozen</w:t>
      </w:r>
      <w:r w:rsidR="00620977" w:rsidRPr="00EA4D30">
        <w:t>s</w:t>
      </w:r>
      <w:r w:rsidR="00B27738" w:rsidRPr="00EA4D30">
        <w:t xml:space="preserve"> </w:t>
      </w:r>
      <w:r w:rsidR="00C30724" w:rsidRPr="00EA4D30">
        <w:t xml:space="preserve">to more than 300 </w:t>
      </w:r>
      <w:r w:rsidR="00B27738" w:rsidRPr="00EA4D30">
        <w:t>per 100000 population</w:t>
      </w:r>
      <w:r w:rsidR="00C30724" w:rsidRPr="00EA4D30">
        <w:t xml:space="preserve"> depending on geographical regio</w:t>
      </w:r>
      <w:r w:rsidR="004E3482" w:rsidRPr="00EA4D30">
        <w:t xml:space="preserve">n, </w:t>
      </w:r>
      <w:r w:rsidR="00C30724" w:rsidRPr="00EA4D30">
        <w:t>age group</w:t>
      </w:r>
      <w:r w:rsidR="004E3482" w:rsidRPr="00EA4D30">
        <w:t xml:space="preserve"> and aetiology</w:t>
      </w:r>
      <w:r w:rsidR="0025769B">
        <w:t>.</w:t>
      </w:r>
      <w:r w:rsidR="00A14376" w:rsidRPr="00EA4D30">
        <w:fldChar w:fldCharType="begin"/>
      </w:r>
      <w:r w:rsidR="0025769B">
        <w:instrText xml:space="preserve"> ADDIN ZOTERO_ITEM CSL_CITATION {"citationID":"DvSMoAXd","properties":{"formattedCitation":"[1]","plainCitation":"[1]","noteIndex":0},"citationItems":[{"id":6158,"uris":["http://zotero.org/users/3274607/items/KQ4HTMPH"],"uri":["http://zotero.org/users/3274607/items/KQ4HTMPH"],"itemData":{"id":6158,"type":"article-journal","title":"Global hydrocephalus epidemiology and incidence: systematic review and meta-analysis","container-title":"Journal of Neurosurgery","page":"1-15","source":"Crossref","DOI":"10.3171/2017.10.JNS17439","ISSN":"0022-3085","shortTitle":"Global hydrocephalus epidemiology and incidence","language":"en","author":[{"family":"Dewan","given":"Michael C."},{"family":"Rattani","given":"Abbas"},{"family":"Mekary","given":"Rania"},{"family":"Glancz","given":"Laurence J."},{"family":"Yunusa","given":"Ismaeel"},{"family":"Baticulon","given":"Ronnie E."},{"family":"Fieggen","given":"Graham"},{"family":"Wellons","given":"John C."},{"family":"Park","given":"Kee B."},{"family":"Warf","given":"Benjamin C."}],"issued":{"date-parts":[["2018",4,27]]}}}],"schema":"https://github.com/citation-style-language/schema/raw/master/csl-citation.json"} </w:instrText>
      </w:r>
      <w:r w:rsidR="00A14376" w:rsidRPr="00EA4D30">
        <w:fldChar w:fldCharType="separate"/>
      </w:r>
      <w:r w:rsidR="0025769B">
        <w:rPr>
          <w:noProof/>
        </w:rPr>
        <w:t>[1]</w:t>
      </w:r>
      <w:r w:rsidR="00A14376" w:rsidRPr="00EA4D30">
        <w:fldChar w:fldCharType="end"/>
      </w:r>
      <w:r w:rsidR="003D187D" w:rsidRPr="00EA4D30">
        <w:t xml:space="preserve"> </w:t>
      </w:r>
      <w:r w:rsidR="00307C76" w:rsidRPr="00EA4D30">
        <w:t xml:space="preserve">CSF </w:t>
      </w:r>
      <w:r w:rsidR="00A4313A" w:rsidRPr="00EA4D30">
        <w:t xml:space="preserve">shunt surgery </w:t>
      </w:r>
      <w:r w:rsidR="00A56B83" w:rsidRPr="00EA4D30">
        <w:t xml:space="preserve">uses a valved tubing system to </w:t>
      </w:r>
      <w:r w:rsidR="00A4313A" w:rsidRPr="00EA4D30">
        <w:t>diver</w:t>
      </w:r>
      <w:r w:rsidR="00A56B83" w:rsidRPr="00EA4D30">
        <w:t>t</w:t>
      </w:r>
      <w:r w:rsidR="00A4313A" w:rsidRPr="00EA4D30">
        <w:t xml:space="preserve"> </w:t>
      </w:r>
      <w:r w:rsidR="00A56B83" w:rsidRPr="00EA4D30">
        <w:t xml:space="preserve">CSF </w:t>
      </w:r>
      <w:r w:rsidR="00A4313A" w:rsidRPr="00EA4D30">
        <w:t>into other body cavities</w:t>
      </w:r>
      <w:r w:rsidR="00D8378F" w:rsidRPr="00EA4D30">
        <w:t>.</w:t>
      </w:r>
      <w:r w:rsidR="00A4313A" w:rsidRPr="00EA4D30">
        <w:t xml:space="preserve"> </w:t>
      </w:r>
      <w:r w:rsidR="00D8378F" w:rsidRPr="00EA4D30">
        <w:t xml:space="preserve">It </w:t>
      </w:r>
      <w:r w:rsidR="00380757" w:rsidRPr="00EA4D30">
        <w:t>was introduced at the end of the 1930’s</w:t>
      </w:r>
      <w:r w:rsidR="009853CA" w:rsidRPr="00EA4D30">
        <w:t xml:space="preserve"> </w:t>
      </w:r>
      <w:r w:rsidR="00995B59" w:rsidRPr="00EA4D30">
        <w:t xml:space="preserve">and </w:t>
      </w:r>
      <w:r w:rsidR="00307C76" w:rsidRPr="00EA4D30">
        <w:t xml:space="preserve">has </w:t>
      </w:r>
      <w:r w:rsidR="001A2D3E" w:rsidRPr="00EA4D30">
        <w:t>reduc</w:t>
      </w:r>
      <w:r w:rsidR="00307C76" w:rsidRPr="00EA4D30">
        <w:t xml:space="preserve">ed dramatically the </w:t>
      </w:r>
      <w:r w:rsidR="00A4313A" w:rsidRPr="00EA4D30">
        <w:t xml:space="preserve">mortality and neuronal damage </w:t>
      </w:r>
      <w:r w:rsidR="00D8378F" w:rsidRPr="00EA4D30">
        <w:t>caus</w:t>
      </w:r>
      <w:r w:rsidR="00307C76" w:rsidRPr="00EA4D30">
        <w:t>ed by th</w:t>
      </w:r>
      <w:r w:rsidR="0082179A" w:rsidRPr="00EA4D30">
        <w:t>is disorder</w:t>
      </w:r>
      <w:r w:rsidR="0025769B">
        <w:t>.</w:t>
      </w:r>
      <w:r w:rsidR="00A4313A" w:rsidRPr="00EA4D30">
        <w:fldChar w:fldCharType="begin" w:fldLock="1"/>
      </w:r>
      <w:r w:rsidR="00CB17E5">
        <w:instrText xml:space="preserve"> ADDIN ZOTERO_ITEM CSL_CITATION {"citationID":"QsXTJlLj","properties":{"formattedCitation":"[2]","plainCitation":"[2]","noteIndex":0},"citationItems":[{"id":5795,"uris":["http://zotero.org/users/3274607/items/M3ASFS2K"],"uri":["http://zotero.org/users/3274607/items/M3ASFS2K"],"itemData":{"id":5795,"type":"article-journal","title":"Congenital hydrocephalus and ventriculoperitoneal shunts: influence of etiology and programmable shunts on revisions","container-title":"Journal of Neurosurgery: Pediatrics","page":"547–552","volume":"4","issue":"6","source":"Google Scholar","DOI":"10.3171/2009.7.PEDS08371","shortTitle":"Congenital hydrocephalus and ventriculoperitoneal shunts","author":[{"family":"Notarianni","given":"Christina"},{"family":"Vannemreddy","given":"Prasad"},{"family":"Caldito","given":"Gloria"},{"family":"Bollam","given":"Papireddy"},{"family":"Wylen","given":"Esther"},{"family":"Willis","given":"Brian"},{"family":"Nanda","given":"Anil"}],"issued":{"date-parts":[["2009"]]}}}],"schema":"https://github.com/citation-style-language/schema/raw/master/csl-citation.json"} </w:instrText>
      </w:r>
      <w:r w:rsidR="00A4313A" w:rsidRPr="00EA4D30">
        <w:fldChar w:fldCharType="separate"/>
      </w:r>
      <w:r w:rsidR="0025769B">
        <w:t>[2]</w:t>
      </w:r>
      <w:r w:rsidR="00A4313A" w:rsidRPr="00EA4D30">
        <w:fldChar w:fldCharType="end"/>
      </w:r>
      <w:r w:rsidR="00A4313A" w:rsidRPr="00EA4D30">
        <w:t xml:space="preserve"> </w:t>
      </w:r>
      <w:r w:rsidR="00D8378F" w:rsidRPr="00EA4D30">
        <w:t>Shunt</w:t>
      </w:r>
      <w:r w:rsidR="00370ABB" w:rsidRPr="00EA4D30">
        <w:t xml:space="preserve"> surgery </w:t>
      </w:r>
      <w:r w:rsidR="0082179A" w:rsidRPr="00EA4D30">
        <w:t>has</w:t>
      </w:r>
      <w:r w:rsidR="00370ABB" w:rsidRPr="00EA4D30">
        <w:t xml:space="preserve"> also become a treatment option for </w:t>
      </w:r>
      <w:r w:rsidR="00EC27FE" w:rsidRPr="00EA4D30">
        <w:t xml:space="preserve">severe cases of </w:t>
      </w:r>
      <w:r w:rsidR="004A417C" w:rsidRPr="00EA4D30">
        <w:rPr>
          <w:color w:val="auto"/>
        </w:rPr>
        <w:t>idiopathic intracranial hypertension (IIH)</w:t>
      </w:r>
      <w:r w:rsidR="0025769B">
        <w:t>.</w:t>
      </w:r>
      <w:r w:rsidR="00EB4D9F" w:rsidRPr="00EA4D30">
        <w:fldChar w:fldCharType="begin"/>
      </w:r>
      <w:r w:rsidR="0025769B">
        <w:instrText xml:space="preserve"> ADDIN ZOTERO_ITEM CSL_CITATION {"citationID":"1ceoaq6q71","properties":{"formattedCitation":"[3]","plainCitation":"[3]","noteIndex":0},"citationItems":[{"id":6407,"uris":["http://zotero.org/users/3274607/items/6VVF96CP"],"uri":["http://zotero.org/users/3274607/items/6VVF96CP"],"itemData":{"id":6407,"type":"article-journal","title":"Evolving evidence in adult idiopathic intracranial hypertension: pathophysiology and management","container-title":"Journal of Neurology, Neurosurgery, and Psychiatry","page":"982-992","volume":"87","issue":"9","source":"PubMed Central","abstract":"Idiopathic intracranial hypertension (IIH) is a rare but important disease associated with significant morbidity. There is an expected rise in prevalence in line with the escalating global burden of obesity. Modern revisions in the terminology and diagnostic criteria for IIH help guide clinicians in investigations and researchers in standardising recruitment criteria for clinical trials. The pathophysiology of IIH is incompletely characterised; suggested underpinning mechanisms include the role of cerebrospinal fluid regulation as well as metabolic and endocrinological perspectives. Recent treatment trials are providing insights into the management but debate still surrounds key areas in treatment. This review will provide an up-to-date discussion on the potential pathogenic mechanisms and management of IIH.","DOI":"10.1136/jnnp-2015-311302","ISSN":"0022-3050","note":"PMID: 26888960\nPMCID: PMC5013119","shortTitle":"Evolving evidence in adult idiopathic intracranial hypertension","journalAbbreviation":"J Neurol Neurosurg Psychiatry","author":[{"family":"Mollan","given":"Susan P"},{"family":"Ali","given":"Fizzah"},{"family":"Hassan-Smith","given":"Ghaniah"},{"family":"Botfield","given":"Hannah"},{"family":"Friedman","given":"Deborah I"},{"family":"Sinclair","given":"Alexandra J"}],"issued":{"date-parts":[["2016",9]]}}}],"schema":"https://github.com/citation-style-language/schema/raw/master/csl-citation.json"} </w:instrText>
      </w:r>
      <w:r w:rsidR="00EB4D9F" w:rsidRPr="00EA4D30">
        <w:fldChar w:fldCharType="separate"/>
      </w:r>
      <w:r w:rsidR="0025769B">
        <w:rPr>
          <w:noProof/>
        </w:rPr>
        <w:t>[3]</w:t>
      </w:r>
      <w:r w:rsidR="00EB4D9F" w:rsidRPr="00EA4D30">
        <w:fldChar w:fldCharType="end"/>
      </w:r>
      <w:r w:rsidR="00370ABB" w:rsidRPr="00EA4D30">
        <w:t xml:space="preserve"> </w:t>
      </w:r>
      <w:r w:rsidR="009D42D8" w:rsidRPr="00EA4D30">
        <w:t>D</w:t>
      </w:r>
      <w:r w:rsidR="00D8378F" w:rsidRPr="00EA4D30">
        <w:t xml:space="preserve">espite improvements in surgical technique and shunt devices, </w:t>
      </w:r>
      <w:r w:rsidR="00D24B71" w:rsidRPr="00EA4D30">
        <w:t xml:space="preserve">significant </w:t>
      </w:r>
      <w:r w:rsidR="00307C76" w:rsidRPr="00EA4D30">
        <w:t>complications</w:t>
      </w:r>
      <w:r w:rsidR="00D8378F" w:rsidRPr="00EA4D30">
        <w:t xml:space="preserve"> still occur</w:t>
      </w:r>
      <w:r w:rsidR="00370ABB" w:rsidRPr="00EA4D30">
        <w:t xml:space="preserve"> including </w:t>
      </w:r>
      <w:r w:rsidR="00307C76" w:rsidRPr="00EA4D30">
        <w:t>over- and under</w:t>
      </w:r>
      <w:r w:rsidR="00EC27FE" w:rsidRPr="00EA4D30">
        <w:t>-</w:t>
      </w:r>
      <w:r w:rsidR="00307C76" w:rsidRPr="00EA4D30">
        <w:t>drainage, shunt infections</w:t>
      </w:r>
      <w:r w:rsidR="00907D2A" w:rsidRPr="00EA4D30">
        <w:t>,</w:t>
      </w:r>
      <w:r w:rsidR="00307C76" w:rsidRPr="00EA4D30">
        <w:t xml:space="preserve"> and shunt mechanical failures such as obstruction</w:t>
      </w:r>
      <w:r w:rsidR="00EC27FE" w:rsidRPr="00EA4D30">
        <w:t>, fracture and disconnection</w:t>
      </w:r>
      <w:r w:rsidR="0025769B">
        <w:t>.</w:t>
      </w:r>
      <w:r w:rsidR="00370ABB" w:rsidRPr="00EA4D30">
        <w:fldChar w:fldCharType="begin" w:fldLock="1"/>
      </w:r>
      <w:r w:rsidR="00CB17E5">
        <w:instrText xml:space="preserve"> ADDIN ZOTERO_ITEM CSL_CITATION {"citationID":"IYcKAxoS","properties":{"formattedCitation":"[4]","plainCitation":"[4]","noteIndex":0},"citationItems":[{"id":5793,"uris":["http://zotero.org/users/3274607/items/3ZXHVU7D"],"uri":["http://zotero.org/users/3274607/items/3ZXHVU7D"],"itemData":{"id":5793,"type":"article-journal","title":"Have we made progress in preventing shunt failure? A critical analysis","container-title":"Journal of Neurosurgery: Pediatrics","page":"40-47","volume":"1","DOI":"10.3171/PED-08/01/040","shortTitle":"Have we made progress in preventing shunt failure?","author":[{"family":"Stein","given":"Sherman C."},{"family":"Guo","given":"Wensheng"}],"issued":{"date-parts":[["2008"]]}}}],"schema":"https://github.com/citation-style-language/schema/raw/master/csl-citation.json"} </w:instrText>
      </w:r>
      <w:r w:rsidR="00370ABB" w:rsidRPr="00EA4D30">
        <w:fldChar w:fldCharType="separate"/>
      </w:r>
      <w:r w:rsidR="0025769B">
        <w:t>[4]</w:t>
      </w:r>
      <w:r w:rsidR="00370ABB" w:rsidRPr="00EA4D30">
        <w:fldChar w:fldCharType="end"/>
      </w:r>
    </w:p>
    <w:p w14:paraId="46FEFA81" w14:textId="0A5706F6" w:rsidR="00D8378F" w:rsidRPr="00EA4D30" w:rsidRDefault="001D1B64" w:rsidP="00201FA8">
      <w:pPr>
        <w:rPr>
          <w:color w:val="auto"/>
        </w:rPr>
      </w:pPr>
      <w:r w:rsidRPr="00EA4D30">
        <w:rPr>
          <w:color w:val="auto"/>
        </w:rPr>
        <w:t>Pre-natal f</w:t>
      </w:r>
      <w:r w:rsidR="003C56D9" w:rsidRPr="00EA4D30">
        <w:rPr>
          <w:color w:val="auto"/>
        </w:rPr>
        <w:t>olate supplementation</w:t>
      </w:r>
      <w:r w:rsidR="00111FB0" w:rsidRPr="00EA4D30">
        <w:rPr>
          <w:color w:val="auto"/>
        </w:rPr>
        <w:t xml:space="preserve"> and</w:t>
      </w:r>
      <w:r w:rsidR="003C56D9" w:rsidRPr="00EA4D30">
        <w:rPr>
          <w:color w:val="auto"/>
        </w:rPr>
        <w:t xml:space="preserve"> </w:t>
      </w:r>
      <w:r w:rsidR="00EC4C81" w:rsidRPr="00EA4D30">
        <w:rPr>
          <w:color w:val="auto"/>
        </w:rPr>
        <w:t xml:space="preserve">improvements </w:t>
      </w:r>
      <w:r w:rsidR="003C56D9" w:rsidRPr="00EA4D30">
        <w:rPr>
          <w:color w:val="auto"/>
        </w:rPr>
        <w:t xml:space="preserve">in </w:t>
      </w:r>
      <w:r w:rsidRPr="00EA4D30">
        <w:rPr>
          <w:color w:val="auto"/>
        </w:rPr>
        <w:t>in-</w:t>
      </w:r>
      <w:r w:rsidR="003C56D9" w:rsidRPr="00EA4D30">
        <w:rPr>
          <w:color w:val="auto"/>
        </w:rPr>
        <w:t xml:space="preserve">utero screening and the </w:t>
      </w:r>
      <w:r w:rsidR="00111FB0" w:rsidRPr="00EA4D30">
        <w:rPr>
          <w:color w:val="auto"/>
        </w:rPr>
        <w:t>treatment of</w:t>
      </w:r>
      <w:r w:rsidR="003C56D9" w:rsidRPr="00EA4D30">
        <w:rPr>
          <w:color w:val="auto"/>
        </w:rPr>
        <w:t xml:space="preserve"> meningitis </w:t>
      </w:r>
      <w:r w:rsidR="00442BB4" w:rsidRPr="00EA4D30">
        <w:rPr>
          <w:color w:val="auto"/>
        </w:rPr>
        <w:t xml:space="preserve">are </w:t>
      </w:r>
      <w:r w:rsidR="00EC4C81" w:rsidRPr="00EA4D30">
        <w:rPr>
          <w:color w:val="auto"/>
        </w:rPr>
        <w:t>amongst the factors that may</w:t>
      </w:r>
      <w:r w:rsidR="003C56D9" w:rsidRPr="00EA4D30">
        <w:rPr>
          <w:color w:val="auto"/>
        </w:rPr>
        <w:t xml:space="preserve"> have </w:t>
      </w:r>
      <w:r w:rsidR="00337224" w:rsidRPr="00EA4D30">
        <w:rPr>
          <w:color w:val="auto"/>
        </w:rPr>
        <w:t>reduced</w:t>
      </w:r>
      <w:r w:rsidR="003C56D9" w:rsidRPr="00EA4D30">
        <w:rPr>
          <w:color w:val="auto"/>
        </w:rPr>
        <w:t xml:space="preserve"> </w:t>
      </w:r>
      <w:r w:rsidR="00337224" w:rsidRPr="00EA4D30">
        <w:rPr>
          <w:color w:val="auto"/>
        </w:rPr>
        <w:t>hydrocephalus</w:t>
      </w:r>
      <w:r w:rsidR="003C56D9" w:rsidRPr="00EA4D30">
        <w:rPr>
          <w:color w:val="auto"/>
        </w:rPr>
        <w:t xml:space="preserve"> incidence in infants and children</w:t>
      </w:r>
      <w:r w:rsidR="0025769B">
        <w:rPr>
          <w:color w:val="auto"/>
        </w:rPr>
        <w:t>.</w:t>
      </w:r>
      <w:r w:rsidR="00D56EDA" w:rsidRPr="00EA4D30">
        <w:rPr>
          <w:color w:val="auto"/>
        </w:rPr>
        <w:fldChar w:fldCharType="begin"/>
      </w:r>
      <w:r w:rsidR="00CB17E5">
        <w:rPr>
          <w:color w:val="auto"/>
        </w:rPr>
        <w:instrText xml:space="preserve"> ADDIN ZOTERO_ITEM CSL_CITATION {"citationID":"5OTdzB5v","properties":{"formattedCitation":"[5,6]","plainCitation":"[5,6]","noteIndex":0},"citationItems":[{"id":5995,"uris":["http://www.mendeley.com/documents/?uuid=37bd45c8-a9fb-4710-af08-699787017ea5","http://zotero.org/users/3274607/items/8KSKQMSJ"],"uri":["http://www.mendeley.com/documents/?uuid=37bd45c8-a9fb-4710-af08-699787017ea5","http://zotero.org/users/3274607/items/8KSKQMSJ"],"itemData":{"id":5995,"type":"article-journal","title":"Hydrocephalus prevalence and outcome in a population-based cohort of children born in 1989-1998","container-title":"Acta Paediatrica","page":"726-732","volume":"94","DOI":"10.1080/08033250510027336","ISSN":"16-51 -2227","author":[{"family":"Persson","given":"Eva-Karin"},{"family":"Hagberg","given":"Gudrun"},{"family":"Uvebrant","given":"Paul"}],"issued":{"date-parts":[["2005"]]}}},{"id":5777,"uris":["http://zotero.org/users/3274607/items/SDENP2QX"],"uri":["http://zotero.org/users/3274607/items/SDENP2QX"],"itemData":{"id":5777,"type":"article-journal","title":"Efficacy of antibiotic-impregnated shunt catheters in reducing shunt infection: data from the United Kingdom Shunt Registry","container-title":"Journal of Neurosurgery: Pediatrics","page":"389–393","volume":"4","issue":"4","source":"Google Scholar","DOI":"10.3171/2009.4.PEDS09210","shortTitle":"Efficacy of antibiotic-impregnated shunt catheters in reducing shunt infection","author":[{"family":"Richards","given":"Hugh K."},{"family":"Seeley","given":"Helen M."},{"family":"Pickard","given":"John D."}],"issued":{"date-parts":[["2009"]]}}}],"schema":"https://github.com/citation-style-language/schema/raw/master/csl-citation.json"} </w:instrText>
      </w:r>
      <w:r w:rsidR="00D56EDA" w:rsidRPr="00EA4D30">
        <w:rPr>
          <w:color w:val="auto"/>
        </w:rPr>
        <w:fldChar w:fldCharType="separate"/>
      </w:r>
      <w:r w:rsidR="0025769B">
        <w:rPr>
          <w:noProof/>
          <w:color w:val="auto"/>
        </w:rPr>
        <w:t>[5,6]</w:t>
      </w:r>
      <w:r w:rsidR="00D56EDA" w:rsidRPr="00EA4D30">
        <w:rPr>
          <w:color w:val="auto"/>
        </w:rPr>
        <w:fldChar w:fldCharType="end"/>
      </w:r>
      <w:r w:rsidR="00D8378F" w:rsidRPr="00EA4D30">
        <w:rPr>
          <w:color w:val="auto"/>
        </w:rPr>
        <w:t xml:space="preserve"> R</w:t>
      </w:r>
      <w:r w:rsidR="003C56D9" w:rsidRPr="00EA4D30">
        <w:rPr>
          <w:color w:val="auto"/>
        </w:rPr>
        <w:t>isi</w:t>
      </w:r>
      <w:r w:rsidR="002D1EC7" w:rsidRPr="00EA4D30">
        <w:rPr>
          <w:color w:val="auto"/>
        </w:rPr>
        <w:t>n</w:t>
      </w:r>
      <w:r w:rsidR="003C56D9" w:rsidRPr="00EA4D30">
        <w:rPr>
          <w:color w:val="auto"/>
        </w:rPr>
        <w:t xml:space="preserve">g levels of obesity and an ageing population are leading to increasing incidence of </w:t>
      </w:r>
      <w:r w:rsidR="004A417C" w:rsidRPr="00EA4D30">
        <w:rPr>
          <w:color w:val="auto"/>
        </w:rPr>
        <w:t>IIH</w:t>
      </w:r>
      <w:r w:rsidR="00317585" w:rsidRPr="00EA4D30">
        <w:rPr>
          <w:color w:val="auto"/>
        </w:rPr>
        <w:fldChar w:fldCharType="begin"/>
      </w:r>
      <w:r w:rsidR="0025769B">
        <w:rPr>
          <w:color w:val="auto"/>
        </w:rPr>
        <w:instrText xml:space="preserve"> ADDIN ZOTERO_ITEM CSL_CITATION {"citationID":"2e6p964mgm","properties":{"formattedCitation":"[7]","plainCitation":"[7]","noteIndex":0},"citationItems":[{"id":6203,"uris":["http://zotero.org/users/3274607/items/U3XNWCQD"],"uri":["http://zotero.org/users/3274607/items/U3XNWCQD"],"itemData":{"id":6203,"type":"article-journal","title":"Understanding idiopathic intracranial hypertension: mechanisms, management, and future directions","container-title":"The Lancet. Neurology","page":"78-91","volume":"15","issue":"1","source":"PubMed","abstract":"Idiopathic intracranial hypertension is a disorder characterised by raised intracranial pressure that predominantly affects young, obese women. Pathogenesis has not been fully elucidated, but several causal factors have been proposed. Symptoms can include headaches, visual loss, pulsatile tinnitus, and back and neck pain, but the clinical presentation is highly variable. Although few studies have been done to support evidence-based management, several recent advances have the potential to enhance understanding of the causes of the disease and to guide treatment decisions. Investigators of the Idiopathic Intracranial Hypertension Treatment Trial (IIHTT) reported beneficial effects of acetazolamide in patients with mild visual loss. Studies have also established weight loss as an effective disease-modifying treatment, and further clinical trials to investigate new treatments are underway. The incidence of idiopathic intracranial hypertension is expected to increase as rates of obesity increase; efforts to reduce diagnostic delays and identify new, effective approaches to treatment will be key to meeting the needs of a growing number of patients.","DOI":"10.1016/S1474-4422(15)00298-7","ISSN":"1474-4465","note":"PMID: 26700907","shortTitle":"Understanding idiopathic intracranial hypertension","journalAbbreviation":"Lancet Neurol","language":"eng","author":[{"family":"Markey","given":"Keira A."},{"family":"Mollan","given":"Susan P."},{"family":"Jensen","given":"Rigmor H."},{"family":"Sinclair","given":"Alexandra J."}],"issued":{"date-parts":[["2016",1]]}}}],"schema":"https://github.com/citation-style-language/schema/raw/master/csl-citation.json"} </w:instrText>
      </w:r>
      <w:r w:rsidR="00317585" w:rsidRPr="00EA4D30">
        <w:rPr>
          <w:color w:val="auto"/>
        </w:rPr>
        <w:fldChar w:fldCharType="separate"/>
      </w:r>
      <w:r w:rsidR="0025769B">
        <w:rPr>
          <w:color w:val="auto"/>
        </w:rPr>
        <w:t>[7]</w:t>
      </w:r>
      <w:r w:rsidR="00317585" w:rsidRPr="00EA4D30">
        <w:rPr>
          <w:color w:val="auto"/>
        </w:rPr>
        <w:fldChar w:fldCharType="end"/>
      </w:r>
      <w:r w:rsidR="004B600B" w:rsidRPr="00EA4D30">
        <w:rPr>
          <w:color w:val="auto"/>
        </w:rPr>
        <w:t xml:space="preserve"> </w:t>
      </w:r>
      <w:r w:rsidR="003C56D9" w:rsidRPr="00EA4D30">
        <w:rPr>
          <w:color w:val="auto"/>
        </w:rPr>
        <w:t>and normal pressure hydrocephalus (NPH)</w:t>
      </w:r>
      <w:r w:rsidR="0025769B">
        <w:rPr>
          <w:color w:val="auto"/>
        </w:rPr>
        <w:t>,</w:t>
      </w:r>
      <w:r w:rsidR="003B2E5B" w:rsidRPr="00EA4D30">
        <w:rPr>
          <w:color w:val="auto"/>
        </w:rPr>
        <w:fldChar w:fldCharType="begin"/>
      </w:r>
      <w:r w:rsidR="0025769B">
        <w:rPr>
          <w:color w:val="auto"/>
        </w:rPr>
        <w:instrText xml:space="preserve"> ADDIN ZOTERO_ITEM CSL_CITATION {"citationID":"2fljk11g2q","properties":{"formattedCitation":"[8]","plainCitation":"[8]","noteIndex":0},"citationItems":[{"id":6015,"uris":["http://zotero.org/users/3274607/items/XZPHUVHN"],"uri":["http://zotero.org/users/3274607/items/XZPHUVHN"],"itemData":{"id":6015,"type":"article-journal","title":"Prevalence of probable idiopathic normal pressure hydrocephalus in a Norwegian population","container-title":"Acta Neurologica Scandinavica","page":"48-53","volume":"118","issue":"1","source":"CrossRef","DOI":"10.1111/j.1600-0404.2007.00982.x","ISSN":"0001-6314, 1600-0404","language":"en","author":[{"family":"Brean","given":"A."},{"family":"Eide","given":"P. K."}],"issued":{"date-parts":[["2008",7]]}}}],"schema":"https://github.com/citation-style-language/schema/raw/master/csl-citation.json"} </w:instrText>
      </w:r>
      <w:r w:rsidR="003B2E5B" w:rsidRPr="00EA4D30">
        <w:rPr>
          <w:color w:val="auto"/>
        </w:rPr>
        <w:fldChar w:fldCharType="separate"/>
      </w:r>
      <w:r w:rsidR="0025769B">
        <w:rPr>
          <w:color w:val="auto"/>
        </w:rPr>
        <w:t>[8]</w:t>
      </w:r>
      <w:r w:rsidR="003B2E5B" w:rsidRPr="00EA4D30">
        <w:rPr>
          <w:color w:val="auto"/>
        </w:rPr>
        <w:fldChar w:fldCharType="end"/>
      </w:r>
      <w:r w:rsidR="0025769B">
        <w:rPr>
          <w:color w:val="auto"/>
        </w:rPr>
        <w:t xml:space="preserve"> </w:t>
      </w:r>
      <w:r w:rsidR="003C56D9" w:rsidRPr="00EA4D30">
        <w:rPr>
          <w:color w:val="auto"/>
        </w:rPr>
        <w:t xml:space="preserve">respectively. </w:t>
      </w:r>
    </w:p>
    <w:p w14:paraId="0D460DDF" w14:textId="591101DD" w:rsidR="00FF769B" w:rsidRPr="00EA4D30" w:rsidRDefault="002D1EC7" w:rsidP="00000EFA">
      <w:r w:rsidRPr="00EA4D30">
        <w:rPr>
          <w:color w:val="auto"/>
        </w:rPr>
        <w:t xml:space="preserve">Our understanding of CSF shunt epidemiology needs to be updated in order to </w:t>
      </w:r>
      <w:r w:rsidR="009C50BD" w:rsidRPr="00EA4D30">
        <w:rPr>
          <w:color w:val="auto"/>
        </w:rPr>
        <w:t xml:space="preserve">inform </w:t>
      </w:r>
      <w:r w:rsidRPr="00EA4D30">
        <w:rPr>
          <w:color w:val="auto"/>
        </w:rPr>
        <w:t xml:space="preserve">the development of care pathways, clinical trials and technological innovation. </w:t>
      </w:r>
      <w:r w:rsidR="00A20A06" w:rsidRPr="00EA4D30">
        <w:t xml:space="preserve">At present, there is no </w:t>
      </w:r>
      <w:r w:rsidR="003C56D9" w:rsidRPr="00EA4D30">
        <w:t>recent</w:t>
      </w:r>
      <w:r w:rsidR="00A20A06" w:rsidRPr="00EA4D30">
        <w:t xml:space="preserve"> report on the epidemiology of </w:t>
      </w:r>
      <w:r w:rsidR="0082179A" w:rsidRPr="00EA4D30">
        <w:t>CSF shunt surgery</w:t>
      </w:r>
      <w:r w:rsidR="00061E95" w:rsidRPr="00EA4D30">
        <w:t xml:space="preserve"> </w:t>
      </w:r>
      <w:r w:rsidR="0082179A" w:rsidRPr="00EA4D30">
        <w:t>based on large populations followed over time</w:t>
      </w:r>
      <w:r w:rsidR="00187766" w:rsidRPr="00EA4D30">
        <w:t>,</w:t>
      </w:r>
      <w:r w:rsidR="0082179A" w:rsidRPr="00EA4D30">
        <w:t xml:space="preserve"> and </w:t>
      </w:r>
      <w:r w:rsidR="00560467" w:rsidRPr="00EA4D30">
        <w:t>inclusive of</w:t>
      </w:r>
      <w:r w:rsidR="0082179A" w:rsidRPr="00EA4D30">
        <w:t xml:space="preserve"> all age groups</w:t>
      </w:r>
      <w:r w:rsidR="00560467" w:rsidRPr="00EA4D30">
        <w:t xml:space="preserve"> and major aetiologies</w:t>
      </w:r>
      <w:r w:rsidRPr="00EA4D30">
        <w:t>, hence this</w:t>
      </w:r>
      <w:r w:rsidR="00BF33E1" w:rsidRPr="00EA4D30">
        <w:t xml:space="preserve"> study </w:t>
      </w:r>
      <w:r w:rsidR="00C24023" w:rsidRPr="00EA4D30">
        <w:t xml:space="preserve">in the UK and Ireland, </w:t>
      </w:r>
      <w:r w:rsidR="00A4313A" w:rsidRPr="00EA4D30">
        <w:t xml:space="preserve">based on data from the UK Shunt Registry (UKSR). </w:t>
      </w:r>
    </w:p>
    <w:p w14:paraId="7208BBF5" w14:textId="2E42E709" w:rsidR="00A4313A" w:rsidRPr="00EA4D30" w:rsidRDefault="000D59DD" w:rsidP="000D59DD">
      <w:pPr>
        <w:pStyle w:val="Heading1"/>
      </w:pPr>
      <w:r w:rsidRPr="00EA4D30">
        <w:t>METHODS</w:t>
      </w:r>
    </w:p>
    <w:p w14:paraId="5C6DD298" w14:textId="287F4909" w:rsidR="00952F10" w:rsidRPr="00EA4D30" w:rsidRDefault="007D58FB" w:rsidP="006C20C0">
      <w:pPr>
        <w:pStyle w:val="Heading2"/>
      </w:pPr>
      <w:r w:rsidRPr="00EA4D30">
        <w:t>Study design and sample selection</w:t>
      </w:r>
    </w:p>
    <w:p w14:paraId="59837BAD" w14:textId="70D2B83B" w:rsidR="00A4313A" w:rsidRPr="00EA4D30" w:rsidRDefault="00637E88" w:rsidP="00201FA8">
      <w:r w:rsidRPr="00EA4D30">
        <w:t xml:space="preserve">This was a retrospective, multicentre, registry-based study, using </w:t>
      </w:r>
      <w:r w:rsidR="001F2CB7" w:rsidRPr="00EA4D30">
        <w:t xml:space="preserve">10 years’ </w:t>
      </w:r>
      <w:r w:rsidRPr="00EA4D30">
        <w:t>data from the UKSR.</w:t>
      </w:r>
      <w:r w:rsidR="00F672D2" w:rsidRPr="00EA4D30">
        <w:t xml:space="preserve"> </w:t>
      </w:r>
      <w:r w:rsidR="00A4313A" w:rsidRPr="00EA4D30">
        <w:t>The UKSR is a large UK-Ireland database, established in 199</w:t>
      </w:r>
      <w:r w:rsidR="00411D9E" w:rsidRPr="00EA4D30">
        <w:t>3</w:t>
      </w:r>
      <w:r w:rsidR="00A4313A" w:rsidRPr="00EA4D30">
        <w:t>, to collect data about CSF shunt and shunt-related procedures carried out in all major neurosurgical centres in these countries</w:t>
      </w:r>
      <w:r w:rsidR="0050577B">
        <w:t>.</w:t>
      </w:r>
      <w:r w:rsidR="00A4313A" w:rsidRPr="00EA4D30">
        <w:fldChar w:fldCharType="begin" w:fldLock="1"/>
      </w:r>
      <w:r w:rsidR="00CB17E5">
        <w:instrText xml:space="preserve"> ADDIN ZOTERO_ITEM CSL_CITATION {"citationID":"1oi00c1k4k","properties":{"formattedCitation":"[6]","plainCitation":"[6]","noteIndex":0},"citationItems":[{"id":5777,"uris":["http://zotero.org/users/3274607/items/SDENP2QX"],"uri":["http://zotero.org/users/3274607/items/SDENP2QX"],"itemData":{"id":5777,"type":"article-journal","title":"Efficacy of antibiotic-impregnated shunt catheters in reducing shunt infection: data from the United Kingdom Shunt Registry","container-title":"Journal of Neurosurgery: Pediatrics","page":"389–393","volume":"4","issue":"4","source":"Google Scholar","DOI":"10.3171/2009.4.PEDS09210","shortTitle":"Efficacy of antibiotic-impregnated shunt catheters in reducing shunt infection","author":[{"family":"Richards","given":"Hugh K."},{"family":"Seeley","given":"Helen M."},{"family":"Pickard","given":"John D."}],"issued":{"date-parts":[["2009"]]}}}],"schema":"https://github.com/citation-style-language/schema/raw/master/csl-citation.json"} </w:instrText>
      </w:r>
      <w:r w:rsidR="00A4313A" w:rsidRPr="00EA4D30">
        <w:fldChar w:fldCharType="separate"/>
      </w:r>
      <w:r w:rsidR="0025769B">
        <w:t>[6]</w:t>
      </w:r>
      <w:r w:rsidR="00A4313A" w:rsidRPr="00EA4D30">
        <w:fldChar w:fldCharType="end"/>
      </w:r>
      <w:r w:rsidR="00AA3C56" w:rsidRPr="00EA4D30">
        <w:t xml:space="preserve"> </w:t>
      </w:r>
      <w:r w:rsidR="008A4284" w:rsidRPr="00EA4D30">
        <w:t>Registration</w:t>
      </w:r>
      <w:r w:rsidR="009376D9" w:rsidRPr="00EA4D30">
        <w:t xml:space="preserve"> criteria </w:t>
      </w:r>
      <w:r w:rsidR="00597B01" w:rsidRPr="00EA4D30">
        <w:t>include</w:t>
      </w:r>
      <w:r w:rsidR="009376D9" w:rsidRPr="00EA4D30">
        <w:t xml:space="preserve"> all shunt procedures performed in each centre, including new insertions and revisions</w:t>
      </w:r>
      <w:r w:rsidR="00067BBE" w:rsidRPr="00EA4D30">
        <w:t xml:space="preserve"> (covering removal, reconnection, ligation, external</w:t>
      </w:r>
      <w:r w:rsidR="00495C7F">
        <w:t>iza</w:t>
      </w:r>
      <w:r w:rsidR="00067BBE" w:rsidRPr="00EA4D30">
        <w:t>tion</w:t>
      </w:r>
      <w:r w:rsidR="000F4DDE" w:rsidRPr="00EA4D30">
        <w:t>,</w:t>
      </w:r>
      <w:r w:rsidR="00067BBE" w:rsidRPr="00EA4D30">
        <w:t xml:space="preserve"> and </w:t>
      </w:r>
      <w:r w:rsidR="008A4284" w:rsidRPr="00EA4D30">
        <w:t>reservoir/adjunct insertion)</w:t>
      </w:r>
      <w:r w:rsidR="009376D9" w:rsidRPr="00EA4D30">
        <w:t xml:space="preserve">. </w:t>
      </w:r>
      <w:r w:rsidR="00A4313A" w:rsidRPr="00EA4D30">
        <w:t>D</w:t>
      </w:r>
      <w:r w:rsidR="00597B01" w:rsidRPr="00EA4D30">
        <w:t>uring the study period, d</w:t>
      </w:r>
      <w:r w:rsidR="00A4313A" w:rsidRPr="00EA4D30">
        <w:t xml:space="preserve">ata input in the registry consisted of a multi-step method, where information was </w:t>
      </w:r>
      <w:r w:rsidR="00EF2A10" w:rsidRPr="00EA4D30">
        <w:t>handwritten</w:t>
      </w:r>
      <w:r w:rsidR="00A4313A" w:rsidRPr="00EA4D30">
        <w:t xml:space="preserve"> by </w:t>
      </w:r>
      <w:r w:rsidR="001E7F3D" w:rsidRPr="00EA4D30">
        <w:t>local teams</w:t>
      </w:r>
      <w:r w:rsidR="00EF2A10" w:rsidRPr="00EA4D30">
        <w:t xml:space="preserve">, </w:t>
      </w:r>
      <w:r w:rsidR="001E7F3D" w:rsidRPr="00EA4D30">
        <w:lastRenderedPageBreak/>
        <w:t xml:space="preserve">posted to the registry </w:t>
      </w:r>
      <w:r w:rsidR="00EF2A10" w:rsidRPr="00EA4D30">
        <w:t>and</w:t>
      </w:r>
      <w:r w:rsidR="00A4313A" w:rsidRPr="00EA4D30">
        <w:t xml:space="preserve">, after relevant data quality checks, </w:t>
      </w:r>
      <w:r w:rsidR="00EF2A10" w:rsidRPr="00EA4D30">
        <w:t>entered</w:t>
      </w:r>
      <w:r w:rsidR="00A4313A" w:rsidRPr="00EA4D30">
        <w:t xml:space="preserve"> in</w:t>
      </w:r>
      <w:r w:rsidR="001E7F3D" w:rsidRPr="00EA4D30">
        <w:t>to</w:t>
      </w:r>
      <w:r w:rsidR="00A4313A" w:rsidRPr="00EA4D30">
        <w:t xml:space="preserve"> an electronic database (Dendrite UK Ltd). Case ascertainment was audited by comparing the number of cases </w:t>
      </w:r>
      <w:r w:rsidR="00FF769B" w:rsidRPr="00EA4D30">
        <w:t>reported to</w:t>
      </w:r>
      <w:r w:rsidR="00A4313A" w:rsidRPr="00EA4D30">
        <w:t xml:space="preserve"> the UKSR against the number of reportable cases as determined from</w:t>
      </w:r>
      <w:r w:rsidR="00FF769B" w:rsidRPr="00EA4D30">
        <w:t xml:space="preserve"> the</w:t>
      </w:r>
      <w:r w:rsidR="00A4313A" w:rsidRPr="00EA4D30">
        <w:t xml:space="preserve"> operating theatre log books.</w:t>
      </w:r>
      <w:r w:rsidR="00AA3C56" w:rsidRPr="00EA4D30">
        <w:t xml:space="preserve"> </w:t>
      </w:r>
    </w:p>
    <w:p w14:paraId="5B210366" w14:textId="315CCA6A" w:rsidR="00A4313A" w:rsidRPr="00EA4D30" w:rsidRDefault="00A4313A" w:rsidP="00454D1D">
      <w:r w:rsidRPr="00EA4D30">
        <w:t xml:space="preserve">A continuous study period </w:t>
      </w:r>
      <w:r w:rsidR="00AA3C56" w:rsidRPr="00EA4D30">
        <w:t>for the study was selected</w:t>
      </w:r>
      <w:r w:rsidRPr="00EA4D30">
        <w:t xml:space="preserve"> where all annual submissions were at least </w:t>
      </w:r>
      <w:r w:rsidR="00FF13D1">
        <w:t>90</w:t>
      </w:r>
      <w:r w:rsidRPr="00EA4D30">
        <w:t xml:space="preserve">% of the year with the highest submission volume. </w:t>
      </w:r>
      <w:r w:rsidR="00874FC0">
        <w:t>P</w:t>
      </w:r>
      <w:r w:rsidR="00E84A10">
        <w:t>rimary external ventricular drainage (EVD)</w:t>
      </w:r>
      <w:r w:rsidR="00E84A10" w:rsidRPr="00B15309">
        <w:t xml:space="preserve"> </w:t>
      </w:r>
      <w:r w:rsidR="00E84A10">
        <w:t>insertion</w:t>
      </w:r>
      <w:r w:rsidR="00874FC0">
        <w:t>s</w:t>
      </w:r>
      <w:r w:rsidR="00E84A10">
        <w:t xml:space="preserve"> were excluded from the analyses.</w:t>
      </w:r>
    </w:p>
    <w:p w14:paraId="1C8C5851" w14:textId="0BC63285" w:rsidR="00A4313A" w:rsidRPr="00EA4D30" w:rsidRDefault="007D58FB" w:rsidP="00201FA8">
      <w:pPr>
        <w:pStyle w:val="Heading2"/>
      </w:pPr>
      <w:r w:rsidRPr="00EA4D30">
        <w:t>Statistical analyses</w:t>
      </w:r>
    </w:p>
    <w:p w14:paraId="3C52232C" w14:textId="5D6668D9" w:rsidR="004E2C53" w:rsidRDefault="00A4313A" w:rsidP="004E2C53">
      <w:pPr>
        <w:rPr>
          <w:lang w:val="en-US"/>
        </w:rPr>
      </w:pPr>
      <w:r w:rsidRPr="00EA4D30">
        <w:t>Annual incidence rates</w:t>
      </w:r>
      <w:r w:rsidR="00F17AB6" w:rsidRPr="00EA4D30">
        <w:t xml:space="preserve"> of </w:t>
      </w:r>
      <w:r w:rsidR="007208C3" w:rsidRPr="00EA4D30">
        <w:t>new</w:t>
      </w:r>
      <w:r w:rsidR="00F17AB6" w:rsidRPr="00EA4D30">
        <w:t xml:space="preserve"> </w:t>
      </w:r>
      <w:r w:rsidR="003B0010" w:rsidRPr="00EA4D30">
        <w:t xml:space="preserve">shunt </w:t>
      </w:r>
      <w:r w:rsidR="007208C3" w:rsidRPr="00EA4D30">
        <w:t>procedures</w:t>
      </w:r>
      <w:r w:rsidRPr="00EA4D30">
        <w:t xml:space="preserve"> were calculated per </w:t>
      </w:r>
      <w:r w:rsidR="00282D6E" w:rsidRPr="00EA4D30">
        <w:t>100000</w:t>
      </w:r>
      <w:r w:rsidRPr="00EA4D30">
        <w:t xml:space="preserve"> population</w:t>
      </w:r>
      <w:r w:rsidRPr="00EA4D30" w:rsidDel="009A45B6">
        <w:t xml:space="preserve"> </w:t>
      </w:r>
      <w:r w:rsidRPr="00EA4D30">
        <w:t xml:space="preserve">for each year of interest using reference populations </w:t>
      </w:r>
      <w:r w:rsidR="00FD3DC0" w:rsidRPr="00EA4D30">
        <w:t>for</w:t>
      </w:r>
      <w:r w:rsidRPr="00EA4D30">
        <w:t xml:space="preserve"> each relevant year as recorded in the UK Office for National Statistics (ONS) and the Central Statistics Office of Ireland (CSO). </w:t>
      </w:r>
      <w:r w:rsidR="00353972">
        <w:t>Average i</w:t>
      </w:r>
      <w:r w:rsidR="00353972" w:rsidRPr="00EA4D30">
        <w:t xml:space="preserve">ncidence </w:t>
      </w:r>
      <w:r w:rsidRPr="00EA4D30">
        <w:t xml:space="preserve">rates were calculated using the amount of person-time </w:t>
      </w:r>
      <w:r w:rsidRPr="00CB1D3D">
        <w:t xml:space="preserve">observed </w:t>
      </w:r>
      <w:r w:rsidR="00EF2A10" w:rsidRPr="00CB1D3D">
        <w:t>(</w:t>
      </w:r>
      <w:r w:rsidRPr="00CB1D3D">
        <w:fldChar w:fldCharType="begin"/>
      </w:r>
      <w:r w:rsidRPr="00CB1D3D">
        <w:instrText xml:space="preserve"> REF _Ref506478644 \h  \* MERGEFORMAT </w:instrText>
      </w:r>
      <w:r w:rsidRPr="00CB1D3D">
        <w:fldChar w:fldCharType="separate"/>
      </w:r>
      <w:r w:rsidR="007F23A7" w:rsidRPr="007F23A7">
        <w:rPr>
          <w:iCs/>
        </w:rPr>
        <w:t xml:space="preserve">Equation </w:t>
      </w:r>
      <w:r w:rsidR="007F23A7" w:rsidRPr="007F23A7">
        <w:rPr>
          <w:iCs/>
          <w:noProof/>
        </w:rPr>
        <w:t>1</w:t>
      </w:r>
      <w:r w:rsidRPr="00CB1D3D">
        <w:fldChar w:fldCharType="end"/>
      </w:r>
      <w:r w:rsidR="00EF2A10" w:rsidRPr="00EA4D30">
        <w:t>)</w:t>
      </w:r>
      <w:r w:rsidRPr="00EA4D30">
        <w:t xml:space="preserve">, where </w:t>
      </w:r>
      <w:r w:rsidRPr="00EA4D30">
        <w:rPr>
          <w:i/>
        </w:rPr>
        <w:t>n</w:t>
      </w:r>
      <w:r w:rsidRPr="00EA4D30">
        <w:t xml:space="preserve"> is the total number of new shunt procedures, </w:t>
      </w:r>
      <w:r w:rsidRPr="00EA4D30">
        <w:rPr>
          <w:i/>
        </w:rPr>
        <w:t>t</w:t>
      </w:r>
      <w:r w:rsidRPr="00EA4D30">
        <w:t xml:space="preserve"> is the time interval under study (10 years), and </w:t>
      </w:r>
      <w:r w:rsidRPr="00EA4D30">
        <w:rPr>
          <w:i/>
        </w:rPr>
        <w:t>N</w:t>
      </w:r>
      <w:r w:rsidRPr="00EA4D30">
        <w:t xml:space="preserve"> is the average annual population during that time interval.</w:t>
      </w:r>
      <w:r w:rsidR="004E2C53" w:rsidRPr="004E2C53">
        <w:t xml:space="preserve"> </w:t>
      </w:r>
      <w:r w:rsidR="004E2C53" w:rsidRPr="00EA4D30">
        <w:t xml:space="preserve">Confidence intervals (CI) </w:t>
      </w:r>
      <w:r w:rsidR="004E2C53">
        <w:t xml:space="preserve">for incidence rates </w:t>
      </w:r>
      <w:r w:rsidR="004E2C53" w:rsidRPr="00EA4D30">
        <w:rPr>
          <w:lang w:val="en-US"/>
        </w:rPr>
        <w:t>were constructed following the approach proposed by Begaud et al.</w:t>
      </w:r>
      <w:r w:rsidR="004E2C53" w:rsidRPr="00EA4D30">
        <w:fldChar w:fldCharType="begin"/>
      </w:r>
      <w:r w:rsidR="004E2C53">
        <w:instrText xml:space="preserve"> ADDIN ZOTERO_ITEM CSL_CITATION {"citationID":"ann37sCt","properties":{"formattedCitation":"[9]","plainCitation":"[9]","noteIndex":0},"citationItems":[{"id":6059,"uris":["http://zotero.org/users/3274607/items/ZQ4DNTDE"],"uri":["http://zotero.org/users/3274607/items/ZQ4DNTDE"],"itemData":{"id":6059,"type":"article-journal","title":"An easy to use method to approximate Poisson confidence limits","container-title":"European Journal of Epidemiology","page":"213-216","volume":"20","issue":"3","source":"CrossRef","DOI":"10.1007/s10654-004-6517-4","ISSN":"0393-2990, 1573-7284","language":"en","author":[{"family":"Begaud","given":"Bernard"},{"family":"Martin","given":"Karin"},{"family":"Abouelfath","given":"Abdelilah"},{"family":"Tubert-Bitter","given":"Pascale"},{"family":"Moore","given":"Nicholas"},{"family":"Moride","given":"Yola"}],"issued":{"date-parts":[["2005",1]]}},"suppress-author":true}],"schema":"https://github.com/citation-style-language/schema/raw/master/csl-citation.json"} </w:instrText>
      </w:r>
      <w:r w:rsidR="004E2C53" w:rsidRPr="00EA4D30">
        <w:fldChar w:fldCharType="separate"/>
      </w:r>
      <w:r w:rsidR="004E2C53">
        <w:rPr>
          <w:noProof/>
        </w:rPr>
        <w:t>[9]</w:t>
      </w:r>
      <w:r w:rsidR="004E2C53" w:rsidRPr="00EA4D30">
        <w:fldChar w:fldCharType="end"/>
      </w:r>
      <w:r w:rsidR="004E2C53" w:rsidRPr="00EA4D30">
        <w:rPr>
          <w:lang w:val="en-U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218"/>
      </w:tblGrid>
      <w:tr w:rsidR="00A4313A" w:rsidRPr="00EA4D30" w14:paraId="04504579" w14:textId="77777777" w:rsidTr="00761687">
        <w:trPr>
          <w:trHeight w:val="284"/>
        </w:trPr>
        <w:tc>
          <w:tcPr>
            <w:tcW w:w="7792" w:type="dxa"/>
            <w:vAlign w:val="center"/>
          </w:tcPr>
          <w:p w14:paraId="55330248" w14:textId="481C7658" w:rsidR="00A4313A" w:rsidRPr="00EA4D30" w:rsidRDefault="002212A3" w:rsidP="008359BD">
            <w:pPr>
              <w:pStyle w:val="Tabletimes10C"/>
              <w:rPr>
                <w:rFonts w:ascii="Arial" w:hAnsi="Arial"/>
                <w:noProof/>
                <w:lang w:val="en-US"/>
              </w:rPr>
            </w:pPr>
            <m:oMathPara>
              <m:oMath>
                <m:f>
                  <m:fPr>
                    <m:ctrlPr>
                      <w:rPr>
                        <w:rFonts w:ascii="Cambria Math" w:hAnsi="Cambria Math"/>
                        <w:i/>
                        <w:noProof/>
                        <w:lang w:val="en-US"/>
                      </w:rPr>
                    </m:ctrlPr>
                  </m:fPr>
                  <m:num>
                    <m:r>
                      <w:rPr>
                        <w:rFonts w:ascii="Cambria Math" w:hAnsi="Cambria Math"/>
                        <w:noProof/>
                        <w:lang w:val="en-US"/>
                      </w:rPr>
                      <m:t>n</m:t>
                    </m:r>
                  </m:num>
                  <m:den>
                    <m:r>
                      <w:rPr>
                        <w:rFonts w:ascii="Cambria Math" w:hAnsi="Cambria Math"/>
                        <w:noProof/>
                        <w:lang w:val="en-US"/>
                      </w:rPr>
                      <m:t xml:space="preserve">t ×N </m:t>
                    </m:r>
                  </m:den>
                </m:f>
                <m:r>
                  <m:rPr>
                    <m:sty m:val="p"/>
                  </m:rPr>
                  <w:rPr>
                    <w:rFonts w:ascii="Cambria Math" w:hAnsi="Cambria Math"/>
                    <w:noProof/>
                    <w:lang w:val="en-US"/>
                  </w:rPr>
                  <m:t>×100000</m:t>
                </m:r>
              </m:oMath>
            </m:oMathPara>
          </w:p>
        </w:tc>
        <w:tc>
          <w:tcPr>
            <w:tcW w:w="1218" w:type="dxa"/>
            <w:vAlign w:val="center"/>
          </w:tcPr>
          <w:p w14:paraId="20EB7766" w14:textId="6DDD55CD" w:rsidR="00A4313A" w:rsidRPr="00EA4D30" w:rsidRDefault="00A4313A" w:rsidP="00FF2706">
            <w:pPr>
              <w:pStyle w:val="Captionfigure"/>
            </w:pPr>
            <w:bookmarkStart w:id="0" w:name="_Ref506478644"/>
            <w:r w:rsidRPr="00EA4D30">
              <w:t xml:space="preserve">Equation </w:t>
            </w:r>
            <w:r w:rsidR="00304A8E" w:rsidRPr="00EA4D30">
              <w:fldChar w:fldCharType="begin"/>
            </w:r>
            <w:r w:rsidR="00304A8E" w:rsidRPr="00EA4D30">
              <w:instrText xml:space="preserve"> SEQ Equation \* ARABIC </w:instrText>
            </w:r>
            <w:r w:rsidR="00304A8E" w:rsidRPr="00EA4D30">
              <w:fldChar w:fldCharType="separate"/>
            </w:r>
            <w:r w:rsidR="007F23A7">
              <w:rPr>
                <w:noProof/>
              </w:rPr>
              <w:t>1</w:t>
            </w:r>
            <w:r w:rsidR="00304A8E" w:rsidRPr="00EA4D30">
              <w:rPr>
                <w:noProof/>
              </w:rPr>
              <w:fldChar w:fldCharType="end"/>
            </w:r>
            <w:bookmarkEnd w:id="0"/>
          </w:p>
        </w:tc>
      </w:tr>
    </w:tbl>
    <w:p w14:paraId="616CCCA6" w14:textId="27FE23BE" w:rsidR="00A4313A" w:rsidRPr="00EA4D30" w:rsidRDefault="00A4313A" w:rsidP="00201FA8">
      <w:r w:rsidRPr="00EA4D30">
        <w:t>First year and 90-day revision rates, defined as the number of patients who had their first revision within one year or within 90 days respectively, were calculated for all patients whose primary shunt and follow-up period were within the study interval.</w:t>
      </w:r>
      <w:r w:rsidR="005446A8">
        <w:t xml:space="preserve"> </w:t>
      </w:r>
      <w:r w:rsidR="001103FC">
        <w:t>S</w:t>
      </w:r>
      <w:r w:rsidR="005446A8">
        <w:t xml:space="preserve">tratification of these rates </w:t>
      </w:r>
      <w:r w:rsidR="001103FC">
        <w:t xml:space="preserve">by age group </w:t>
      </w:r>
      <w:r w:rsidR="005446A8">
        <w:t xml:space="preserve">was based on patient age </w:t>
      </w:r>
      <w:r w:rsidR="006115DE">
        <w:t>at</w:t>
      </w:r>
      <w:r w:rsidR="005446A8">
        <w:t xml:space="preserve"> primary shunt</w:t>
      </w:r>
      <w:r w:rsidR="006115DE">
        <w:t>ing</w:t>
      </w:r>
      <w:r w:rsidR="005446A8">
        <w:t>.</w:t>
      </w:r>
    </w:p>
    <w:p w14:paraId="2A88201E" w14:textId="788ADC51" w:rsidR="006F0D0E" w:rsidRPr="00EA4D30" w:rsidRDefault="00A4313A" w:rsidP="006F0D0E">
      <w:r w:rsidRPr="00EA4D30">
        <w:t xml:space="preserve">Demographic and clinical data were analysed using descriptive statistics. </w:t>
      </w:r>
      <w:r w:rsidR="001103FC" w:rsidRPr="001103FC">
        <w:rPr>
          <w:lang w:val="en-US"/>
        </w:rPr>
        <w:t xml:space="preserve">Diagnoses followed </w:t>
      </w:r>
      <w:r w:rsidR="00D712AE">
        <w:rPr>
          <w:lang w:val="en-US"/>
        </w:rPr>
        <w:t xml:space="preserve">the </w:t>
      </w:r>
      <w:r w:rsidR="001103FC" w:rsidRPr="001103FC">
        <w:rPr>
          <w:lang w:val="en-US"/>
        </w:rPr>
        <w:t xml:space="preserve">UKSR classification system (Supplementary material 1), </w:t>
      </w:r>
      <w:r w:rsidR="00DC7412">
        <w:rPr>
          <w:lang w:val="en-US"/>
        </w:rPr>
        <w:t xml:space="preserve">and </w:t>
      </w:r>
      <w:r w:rsidR="001103FC" w:rsidRPr="00EA4D30">
        <w:t xml:space="preserve"> were grouped into broader diagnostic groups (</w:t>
      </w:r>
      <w:r w:rsidR="001103FC">
        <w:t>Table 1</w:t>
      </w:r>
      <w:r w:rsidR="001103FC" w:rsidRPr="00EA4D30">
        <w:t>), according to the cause of the CSF disturbance</w:t>
      </w:r>
      <w:r w:rsidR="001103FC">
        <w:t>.</w:t>
      </w:r>
      <w:r w:rsidR="001103FC" w:rsidRPr="00EA4D30">
        <w:fldChar w:fldCharType="begin"/>
      </w:r>
      <w:r w:rsidR="001103FC">
        <w:instrText xml:space="preserve"> ADDIN ZOTERO_ITEM CSL_CITATION {"citationID":"A23lt8yk","properties":{"formattedCitation":"[6]","plainCitation":"[6]","noteIndex":0},"citationItems":[{"id":5777,"uris":["http://zotero.org/users/3274607/items/SDENP2QX"],"uri":["http://zotero.org/users/3274607/items/SDENP2QX"],"itemData":{"id":5777,"type":"article-journal","title":"Efficacy of antibiotic-impregnated shunt catheters in reducing shunt infection: data from the United Kingdom Shunt Registry","container-title":"Journal of Neurosurgery: Pediatrics","page":"389–393","volume":"4","issue":"4","source":"Google Scholar","DOI":"10.3171/2009.4.PEDS09210","shortTitle":"Efficacy of antibiotic-impregnated shunt catheters in reducing shunt infection","author":[{"family":"Richards","given":"Hugh K."},{"family":"Seeley","given":"Helen M."},{"family":"Pickard","given":"John D."}],"issued":{"date-parts":[["2009"]]}}}],"schema":"https://github.com/citation-style-language/schema/raw/master/csl-citation.json"} </w:instrText>
      </w:r>
      <w:r w:rsidR="001103FC" w:rsidRPr="00EA4D30">
        <w:fldChar w:fldCharType="separate"/>
      </w:r>
      <w:r w:rsidR="001103FC">
        <w:rPr>
          <w:noProof/>
        </w:rPr>
        <w:t>[6]</w:t>
      </w:r>
      <w:r w:rsidR="001103FC" w:rsidRPr="00EA4D30">
        <w:fldChar w:fldCharType="end"/>
      </w:r>
      <w:r w:rsidR="001B57DF">
        <w:t xml:space="preserve"> </w:t>
      </w:r>
      <w:r w:rsidR="001B57DF">
        <w:rPr>
          <w:lang w:val="en-US"/>
        </w:rPr>
        <w:t>R</w:t>
      </w:r>
      <w:r w:rsidR="001B57DF" w:rsidRPr="001103FC">
        <w:rPr>
          <w:lang w:val="en-US"/>
        </w:rPr>
        <w:t xml:space="preserve">easons for revision </w:t>
      </w:r>
      <w:r w:rsidR="001B57DF">
        <w:rPr>
          <w:lang w:val="en-US"/>
        </w:rPr>
        <w:t xml:space="preserve">included underdrainage (including proximal malfunction or blockage), overdrainage, shunt infection, wound infection, fracture, migration and disconnection. </w:t>
      </w:r>
      <w:r w:rsidRPr="00EA4D30">
        <w:t>Continuous variables were summar</w:t>
      </w:r>
      <w:r w:rsidR="00386BF2">
        <w:t>ize</w:t>
      </w:r>
      <w:r w:rsidRPr="00EA4D30">
        <w:t>d using their mean and standard deviation (SD)</w:t>
      </w:r>
      <w:r w:rsidR="00DB168C" w:rsidRPr="00EA4D30">
        <w:t>,</w:t>
      </w:r>
      <w:r w:rsidRPr="00EA4D30">
        <w:t xml:space="preserve"> or their median and interquartile range (IQR), depending on their frequency distribution. Categorical variables were summar</w:t>
      </w:r>
      <w:r w:rsidR="00386BF2">
        <w:t>ize</w:t>
      </w:r>
      <w:r w:rsidR="002B64C3" w:rsidRPr="00EA4D30">
        <w:t>d using counts and percentages</w:t>
      </w:r>
      <w:r w:rsidR="003B0010" w:rsidRPr="00EA4D30">
        <w:t>,</w:t>
      </w:r>
      <w:r w:rsidR="00D1684D" w:rsidRPr="00EA4D30">
        <w:t xml:space="preserve"> with</w:t>
      </w:r>
      <w:r w:rsidR="0089242C" w:rsidRPr="00EA4D30">
        <w:t xml:space="preserve"> 95% CI</w:t>
      </w:r>
      <w:r w:rsidR="00D1684D" w:rsidRPr="00EA4D30">
        <w:t xml:space="preserve"> where appropriate</w:t>
      </w:r>
      <w:r w:rsidR="0089242C" w:rsidRPr="00EA4D30">
        <w:t xml:space="preserve">. </w:t>
      </w:r>
      <w:r w:rsidRPr="00EA4D30">
        <w:t xml:space="preserve">Histograms were used to represent the distribution of age at primary diagnosis, stratified by diagnostic group. Timelines were used to represent trends in absolute and relative numbers of shunt </w:t>
      </w:r>
      <w:r w:rsidRPr="00EA4D30">
        <w:lastRenderedPageBreak/>
        <w:t xml:space="preserve">procedures per year. </w:t>
      </w:r>
      <w:r w:rsidR="006F0D0E" w:rsidRPr="00EA4D30">
        <w:t xml:space="preserve">Geographical trends were analysed using Public Health England regional classification of patient residence. </w:t>
      </w:r>
    </w:p>
    <w:p w14:paraId="61D6D16D" w14:textId="77777777" w:rsidR="001103FC" w:rsidRDefault="00A4313A" w:rsidP="00201FA8">
      <w:r w:rsidRPr="00EA4D30">
        <w:t xml:space="preserve">Most analyses were carried out separately </w:t>
      </w:r>
      <w:r w:rsidR="00EF2A10" w:rsidRPr="00EA4D30">
        <w:t>for three distinct age groups:</w:t>
      </w:r>
      <w:r w:rsidRPr="00EA4D30">
        <w:t xml:space="preserve"> infants, defined as children younger than one year, children one to less than 17 years old, and adults 17 years or older</w:t>
      </w:r>
      <w:r w:rsidR="006F0D0E">
        <w:t xml:space="preserve">. </w:t>
      </w:r>
    </w:p>
    <w:p w14:paraId="5750713D" w14:textId="0B90ED7E" w:rsidR="002450AF" w:rsidRPr="00EA4D30" w:rsidRDefault="00427162" w:rsidP="00201FA8">
      <w:r>
        <w:t xml:space="preserve">Reporting rates, defined as the percentage of reported over reportable shunts, were calculated </w:t>
      </w:r>
      <w:r w:rsidR="007D23E9" w:rsidRPr="00EA4D30">
        <w:t>for each centre</w:t>
      </w:r>
      <w:r w:rsidR="00F92EC3" w:rsidRPr="00EA4D30">
        <w:t>-</w:t>
      </w:r>
      <w:r w:rsidR="007D23E9" w:rsidRPr="00EA4D30">
        <w:t>year</w:t>
      </w:r>
      <w:r w:rsidR="00F92EC3" w:rsidRPr="00EA4D30">
        <w:t xml:space="preserve"> </w:t>
      </w:r>
      <w:r w:rsidR="007D23E9" w:rsidRPr="00EA4D30">
        <w:t xml:space="preserve">included in the </w:t>
      </w:r>
      <w:r>
        <w:t xml:space="preserve">case ascertainment </w:t>
      </w:r>
      <w:r w:rsidR="007D23E9" w:rsidRPr="00EA4D30">
        <w:t xml:space="preserve">audit. </w:t>
      </w:r>
      <w:r w:rsidR="00C73490" w:rsidRPr="00EA4D30">
        <w:t xml:space="preserve">These </w:t>
      </w:r>
      <w:r>
        <w:t xml:space="preserve">rates </w:t>
      </w:r>
      <w:r w:rsidR="00C73490" w:rsidRPr="00EA4D30">
        <w:t>were</w:t>
      </w:r>
      <w:r w:rsidR="00707A75" w:rsidRPr="00EA4D30">
        <w:t xml:space="preserve"> grouped into high (≥75%) versus low (&lt;75%) case ascertainment for comparison. </w:t>
      </w:r>
      <w:r w:rsidR="007D23E9" w:rsidRPr="00EA4D30">
        <w:t>P</w:t>
      </w:r>
      <w:r w:rsidR="002450AF" w:rsidRPr="00EA4D30">
        <w:t xml:space="preserve">otential </w:t>
      </w:r>
      <w:r w:rsidR="00E547B6" w:rsidRPr="00EA4D30">
        <w:t>impact on the results</w:t>
      </w:r>
      <w:r w:rsidR="006F055D" w:rsidRPr="00EA4D30">
        <w:t xml:space="preserve"> of</w:t>
      </w:r>
      <w:r w:rsidR="002450AF" w:rsidRPr="00EA4D30">
        <w:t xml:space="preserve"> </w:t>
      </w:r>
      <w:r w:rsidR="006F055D" w:rsidRPr="00EA4D30">
        <w:t>case ascertainment</w:t>
      </w:r>
      <w:r w:rsidR="004161F2" w:rsidRPr="00EA4D30">
        <w:t>,</w:t>
      </w:r>
      <w:r w:rsidR="006F055D" w:rsidRPr="00EA4D30">
        <w:t xml:space="preserve"> </w:t>
      </w:r>
      <w:r w:rsidR="004161F2" w:rsidRPr="00EA4D30">
        <w:t>and</w:t>
      </w:r>
      <w:r w:rsidR="002450AF" w:rsidRPr="00EA4D30">
        <w:t xml:space="preserve"> trends </w:t>
      </w:r>
      <w:r w:rsidR="006F055D" w:rsidRPr="00EA4D30">
        <w:t>in the distribution of missing data</w:t>
      </w:r>
      <w:r w:rsidR="00C72D48" w:rsidRPr="00EA4D30">
        <w:t xml:space="preserve"> within reported cases</w:t>
      </w:r>
      <w:r w:rsidR="004161F2" w:rsidRPr="00EA4D30">
        <w:t>,</w:t>
      </w:r>
      <w:r w:rsidR="007D23E9" w:rsidRPr="00EA4D30">
        <w:t xml:space="preserve"> were</w:t>
      </w:r>
      <w:r w:rsidR="00D1684D" w:rsidRPr="00EA4D30">
        <w:t xml:space="preserve"> explored </w:t>
      </w:r>
      <w:r w:rsidR="00F10E87" w:rsidRPr="00EA4D30">
        <w:t>using</w:t>
      </w:r>
      <w:r w:rsidR="00D1684D" w:rsidRPr="00EA4D30">
        <w:t xml:space="preserve"> descriptive statist</w:t>
      </w:r>
      <w:r w:rsidR="003F29F0" w:rsidRPr="00EA4D30">
        <w:t xml:space="preserve">ics. </w:t>
      </w:r>
    </w:p>
    <w:p w14:paraId="7D6C256B" w14:textId="64F166CA" w:rsidR="003E4DE5" w:rsidRPr="00EA4D30" w:rsidRDefault="00D05F67" w:rsidP="007B3D50">
      <w:pPr>
        <w:pStyle w:val="Heading2"/>
      </w:pPr>
      <w:r w:rsidRPr="00EA4D30">
        <w:t>Case ascertainment and missing data</w:t>
      </w:r>
      <w:r w:rsidR="003E4DE5" w:rsidRPr="00EA4D30">
        <w:t xml:space="preserve"> </w:t>
      </w:r>
    </w:p>
    <w:p w14:paraId="2E7D4761" w14:textId="51F3AEFF" w:rsidR="00AD3A23" w:rsidRPr="00EA4D30" w:rsidRDefault="00707A75" w:rsidP="00201FA8">
      <w:pPr>
        <w:rPr>
          <w:color w:val="auto"/>
        </w:rPr>
      </w:pPr>
      <w:r w:rsidRPr="00EA4D30">
        <w:rPr>
          <w:color w:val="auto"/>
        </w:rPr>
        <w:t>Information on case ascertainment</w:t>
      </w:r>
      <w:r w:rsidR="00AD3A23" w:rsidRPr="00EA4D30">
        <w:rPr>
          <w:color w:val="auto"/>
        </w:rPr>
        <w:t xml:space="preserve"> </w:t>
      </w:r>
      <w:r w:rsidR="00602211">
        <w:rPr>
          <w:color w:val="auto"/>
        </w:rPr>
        <w:t xml:space="preserve">was </w:t>
      </w:r>
      <w:r w:rsidR="00AD3A23" w:rsidRPr="00EA4D30">
        <w:rPr>
          <w:color w:val="auto"/>
        </w:rPr>
        <w:t>available f</w:t>
      </w:r>
      <w:r w:rsidR="00EB00F5" w:rsidRPr="00EA4D30">
        <w:rPr>
          <w:color w:val="auto"/>
        </w:rPr>
        <w:t>or</w:t>
      </w:r>
      <w:r w:rsidR="00AD3A23" w:rsidRPr="00EA4D30">
        <w:rPr>
          <w:color w:val="auto"/>
        </w:rPr>
        <w:t xml:space="preserve"> 39 (</w:t>
      </w:r>
      <w:r w:rsidR="00FB31FF">
        <w:rPr>
          <w:color w:val="auto"/>
        </w:rPr>
        <w:t>8</w:t>
      </w:r>
      <w:r w:rsidR="009F252B">
        <w:rPr>
          <w:color w:val="auto"/>
        </w:rPr>
        <w:t>5</w:t>
      </w:r>
      <w:r w:rsidR="00AD3A23" w:rsidRPr="00EA4D30">
        <w:rPr>
          <w:color w:val="auto"/>
        </w:rPr>
        <w:t xml:space="preserve">%) centres, for a median of four (out of ten) years per centre. </w:t>
      </w:r>
      <w:r w:rsidRPr="00EA4D30">
        <w:rPr>
          <w:color w:val="auto"/>
        </w:rPr>
        <w:t>C</w:t>
      </w:r>
      <w:r w:rsidR="00DB25CB" w:rsidRPr="00EA4D30">
        <w:rPr>
          <w:color w:val="auto"/>
        </w:rPr>
        <w:t>ase ascertainment varied by centre</w:t>
      </w:r>
      <w:r w:rsidR="00C73490" w:rsidRPr="00EA4D30">
        <w:rPr>
          <w:color w:val="auto"/>
        </w:rPr>
        <w:t>-year</w:t>
      </w:r>
      <w:r w:rsidR="00DB25CB" w:rsidRPr="00EA4D30">
        <w:rPr>
          <w:color w:val="auto"/>
        </w:rPr>
        <w:t>, with</w:t>
      </w:r>
      <w:r w:rsidR="00AD3A23" w:rsidRPr="00EA4D30">
        <w:rPr>
          <w:color w:val="auto"/>
        </w:rPr>
        <w:t xml:space="preserve"> average </w:t>
      </w:r>
      <w:r w:rsidR="001C7B50" w:rsidRPr="00EA4D30">
        <w:rPr>
          <w:color w:val="auto"/>
        </w:rPr>
        <w:t>case ascertainment</w:t>
      </w:r>
      <w:r w:rsidR="00D418CC" w:rsidRPr="00EA4D30">
        <w:rPr>
          <w:color w:val="auto"/>
        </w:rPr>
        <w:t xml:space="preserve"> </w:t>
      </w:r>
      <w:r w:rsidR="00AD3A23" w:rsidRPr="00EA4D30">
        <w:rPr>
          <w:color w:val="auto"/>
        </w:rPr>
        <w:t xml:space="preserve">of primary shunt surgery </w:t>
      </w:r>
      <w:r w:rsidR="00C405E8" w:rsidRPr="00EA4D30">
        <w:rPr>
          <w:color w:val="auto"/>
        </w:rPr>
        <w:t>of</w:t>
      </w:r>
      <w:r w:rsidR="00AD3A23" w:rsidRPr="00EA4D30">
        <w:rPr>
          <w:color w:val="auto"/>
        </w:rPr>
        <w:t xml:space="preserve"> 7</w:t>
      </w:r>
      <w:r w:rsidR="001F2D2D" w:rsidRPr="00EA4D30">
        <w:rPr>
          <w:color w:val="auto"/>
        </w:rPr>
        <w:t>9</w:t>
      </w:r>
      <w:r w:rsidR="0023433E">
        <w:rPr>
          <w:color w:val="auto"/>
        </w:rPr>
        <w:t>.</w:t>
      </w:r>
      <w:r w:rsidR="002703F3" w:rsidRPr="00EA4D30">
        <w:rPr>
          <w:color w:val="auto"/>
        </w:rPr>
        <w:t>5</w:t>
      </w:r>
      <w:r w:rsidR="00AD3A23" w:rsidRPr="00EA4D30">
        <w:rPr>
          <w:color w:val="auto"/>
        </w:rPr>
        <w:t>%.</w:t>
      </w:r>
      <w:r w:rsidR="00C405E8" w:rsidRPr="00EA4D30">
        <w:rPr>
          <w:color w:val="auto"/>
        </w:rPr>
        <w:t xml:space="preserve"> </w:t>
      </w:r>
      <w:r w:rsidR="00741896" w:rsidRPr="00EA4D30">
        <w:t>T</w:t>
      </w:r>
      <w:r w:rsidR="00663AB2" w:rsidRPr="00EA4D30">
        <w:t>here was some variation in</w:t>
      </w:r>
      <w:r w:rsidR="00F768CE" w:rsidRPr="00EA4D30">
        <w:t xml:space="preserve"> the distribution</w:t>
      </w:r>
      <w:r w:rsidR="00741896" w:rsidRPr="00EA4D30">
        <w:t>s</w:t>
      </w:r>
      <w:r w:rsidR="00F768CE" w:rsidRPr="00EA4D30">
        <w:t xml:space="preserve"> of diagnos</w:t>
      </w:r>
      <w:r w:rsidR="00EF291E" w:rsidRPr="00EA4D30">
        <w:t>tic groups and</w:t>
      </w:r>
      <w:r w:rsidR="005C18AA" w:rsidRPr="00EA4D30">
        <w:t xml:space="preserve"> </w:t>
      </w:r>
      <w:r w:rsidR="00F768CE" w:rsidRPr="00EA4D30">
        <w:t xml:space="preserve">reasons for revision, by group of </w:t>
      </w:r>
      <w:r w:rsidR="000F1A29" w:rsidRPr="00EA4D30">
        <w:t xml:space="preserve">high versus low </w:t>
      </w:r>
      <w:r w:rsidR="00F768CE" w:rsidRPr="00EA4D30">
        <w:t>case ascertainment</w:t>
      </w:r>
      <w:r w:rsidR="00CE136E" w:rsidRPr="00EA4D30">
        <w:t xml:space="preserve">; while </w:t>
      </w:r>
      <w:r w:rsidR="00741896" w:rsidRPr="00EA4D30">
        <w:t xml:space="preserve">those distributions were very similar </w:t>
      </w:r>
      <w:r w:rsidR="00AF2E6F" w:rsidRPr="00EA4D30">
        <w:t>in</w:t>
      </w:r>
      <w:r w:rsidR="007D23E9" w:rsidRPr="00EA4D30">
        <w:t xml:space="preserve"> </w:t>
      </w:r>
      <w:r w:rsidR="00AF2E6F" w:rsidRPr="00EA4D30">
        <w:t>centre-years with</w:t>
      </w:r>
      <w:r w:rsidR="00741896" w:rsidRPr="00EA4D30">
        <w:t xml:space="preserve"> </w:t>
      </w:r>
      <w:r w:rsidR="00C405E8" w:rsidRPr="00EA4D30">
        <w:t xml:space="preserve">unknown </w:t>
      </w:r>
      <w:r w:rsidR="00AF2E6F" w:rsidRPr="00EA4D30">
        <w:t>and</w:t>
      </w:r>
      <w:r w:rsidR="00C405E8" w:rsidRPr="00EA4D30">
        <w:t xml:space="preserve"> high case ascertainment</w:t>
      </w:r>
      <w:r w:rsidR="00507737" w:rsidRPr="00EA4D30">
        <w:t xml:space="preserve"> </w:t>
      </w:r>
      <w:r w:rsidR="00507737" w:rsidRPr="00EA4D30">
        <w:rPr>
          <w:color w:val="auto"/>
        </w:rPr>
        <w:t xml:space="preserve">(Supplementary material </w:t>
      </w:r>
      <w:r w:rsidR="00DD393C">
        <w:rPr>
          <w:color w:val="auto"/>
        </w:rPr>
        <w:t>2</w:t>
      </w:r>
      <w:r w:rsidR="00507737" w:rsidRPr="00EA4D30">
        <w:rPr>
          <w:color w:val="auto"/>
        </w:rPr>
        <w:t>)</w:t>
      </w:r>
      <w:r w:rsidR="00C405E8" w:rsidRPr="00EA4D30">
        <w:t>.</w:t>
      </w:r>
      <w:r w:rsidR="00CD6C24" w:rsidRPr="00EA4D30">
        <w:t xml:space="preserve"> </w:t>
      </w:r>
    </w:p>
    <w:p w14:paraId="1875ED02" w14:textId="0C8D5DA2" w:rsidR="000A650A" w:rsidRPr="00EA4D30" w:rsidRDefault="00C72D48" w:rsidP="00206BD9">
      <w:pPr>
        <w:rPr>
          <w:color w:val="auto"/>
        </w:rPr>
      </w:pPr>
      <w:r w:rsidRPr="00ED2781">
        <w:rPr>
          <w:color w:val="auto"/>
        </w:rPr>
        <w:t>Within reported cases, a</w:t>
      </w:r>
      <w:r w:rsidR="003E4DE5" w:rsidRPr="00ED2781">
        <w:rPr>
          <w:color w:val="auto"/>
        </w:rPr>
        <w:t>ge and sex were missing in 1</w:t>
      </w:r>
      <w:r w:rsidR="0023433E" w:rsidRPr="00ED2781">
        <w:rPr>
          <w:color w:val="auto"/>
        </w:rPr>
        <w:t>.</w:t>
      </w:r>
      <w:r w:rsidR="00ED2781" w:rsidRPr="00AF1206">
        <w:rPr>
          <w:color w:val="auto"/>
        </w:rPr>
        <w:t>8</w:t>
      </w:r>
      <w:r w:rsidR="00545DC4" w:rsidRPr="00ED2781">
        <w:rPr>
          <w:color w:val="auto"/>
        </w:rPr>
        <w:t>%</w:t>
      </w:r>
      <w:r w:rsidR="003E4DE5" w:rsidRPr="00ED2781">
        <w:rPr>
          <w:color w:val="auto"/>
        </w:rPr>
        <w:t xml:space="preserve"> and 0</w:t>
      </w:r>
      <w:r w:rsidR="0023433E" w:rsidRPr="00ED2781">
        <w:rPr>
          <w:color w:val="auto"/>
        </w:rPr>
        <w:t>.</w:t>
      </w:r>
      <w:r w:rsidR="00545DC4" w:rsidRPr="00ED2781">
        <w:rPr>
          <w:color w:val="auto"/>
        </w:rPr>
        <w:t>4%</w:t>
      </w:r>
      <w:r w:rsidR="003E4DE5" w:rsidRPr="00ED2781">
        <w:rPr>
          <w:color w:val="auto"/>
        </w:rPr>
        <w:t xml:space="preserve"> patients respectively. </w:t>
      </w:r>
      <w:r w:rsidR="00EF2A10" w:rsidRPr="00ED2781">
        <w:rPr>
          <w:color w:val="auto"/>
        </w:rPr>
        <w:t>U</w:t>
      </w:r>
      <w:r w:rsidR="003E4DE5" w:rsidRPr="00ED2781">
        <w:rPr>
          <w:color w:val="auto"/>
        </w:rPr>
        <w:t xml:space="preserve">nderlying diagnosis was </w:t>
      </w:r>
      <w:r w:rsidR="00503BD8" w:rsidRPr="00ED2781">
        <w:rPr>
          <w:color w:val="auto"/>
        </w:rPr>
        <w:t>missing</w:t>
      </w:r>
      <w:r w:rsidR="003E4DE5" w:rsidRPr="00ED2781">
        <w:rPr>
          <w:color w:val="auto"/>
        </w:rPr>
        <w:t xml:space="preserve"> </w:t>
      </w:r>
      <w:r w:rsidR="00503BD8" w:rsidRPr="00ED2781">
        <w:rPr>
          <w:color w:val="auto"/>
        </w:rPr>
        <w:t>in</w:t>
      </w:r>
      <w:r w:rsidR="003E4DE5" w:rsidRPr="00ED2781">
        <w:rPr>
          <w:color w:val="auto"/>
        </w:rPr>
        <w:t xml:space="preserve"> </w:t>
      </w:r>
      <w:r w:rsidR="00ED2781">
        <w:rPr>
          <w:color w:val="auto"/>
        </w:rPr>
        <w:t>10.5</w:t>
      </w:r>
      <w:r w:rsidR="008457C9" w:rsidRPr="00ED2781">
        <w:rPr>
          <w:color w:val="auto"/>
        </w:rPr>
        <w:t>% patients. T</w:t>
      </w:r>
      <w:r w:rsidR="0097250E" w:rsidRPr="00ED2781">
        <w:rPr>
          <w:color w:val="auto"/>
        </w:rPr>
        <w:t xml:space="preserve">his percentage was </w:t>
      </w:r>
      <w:r w:rsidR="00286CBF" w:rsidRPr="00ED2781">
        <w:rPr>
          <w:color w:val="auto"/>
        </w:rPr>
        <w:t>lower</w:t>
      </w:r>
      <w:r w:rsidR="0097250E" w:rsidRPr="00ED2781">
        <w:rPr>
          <w:color w:val="auto"/>
        </w:rPr>
        <w:t xml:space="preserve"> in infants</w:t>
      </w:r>
      <w:r w:rsidR="00CE0580" w:rsidRPr="00ED2781">
        <w:rPr>
          <w:color w:val="auto"/>
        </w:rPr>
        <w:t xml:space="preserve"> and </w:t>
      </w:r>
      <w:r w:rsidR="008457C9" w:rsidRPr="00ED2781">
        <w:rPr>
          <w:color w:val="auto"/>
        </w:rPr>
        <w:t>varied</w:t>
      </w:r>
      <w:r w:rsidR="003E4DE5" w:rsidRPr="00ED2781">
        <w:rPr>
          <w:color w:val="auto"/>
        </w:rPr>
        <w:t xml:space="preserve"> depending on the centre</w:t>
      </w:r>
      <w:r w:rsidR="00B80DEA" w:rsidRPr="00ED2781">
        <w:rPr>
          <w:color w:val="auto"/>
        </w:rPr>
        <w:t xml:space="preserve"> of operation</w:t>
      </w:r>
      <w:r w:rsidR="003E4DE5" w:rsidRPr="00ED2781">
        <w:rPr>
          <w:color w:val="auto"/>
        </w:rPr>
        <w:t xml:space="preserve">. </w:t>
      </w:r>
      <w:r w:rsidR="00EF2A10" w:rsidRPr="00ED2781">
        <w:rPr>
          <w:color w:val="auto"/>
        </w:rPr>
        <w:t>R</w:t>
      </w:r>
      <w:r w:rsidR="003E4DE5" w:rsidRPr="00ED2781">
        <w:rPr>
          <w:color w:val="auto"/>
        </w:rPr>
        <w:t>eason</w:t>
      </w:r>
      <w:r w:rsidR="00EB00F5" w:rsidRPr="00ED2781">
        <w:rPr>
          <w:color w:val="auto"/>
        </w:rPr>
        <w:t>s</w:t>
      </w:r>
      <w:r w:rsidR="003E4DE5" w:rsidRPr="00ED2781">
        <w:rPr>
          <w:color w:val="auto"/>
        </w:rPr>
        <w:t xml:space="preserve"> for revision w</w:t>
      </w:r>
      <w:r w:rsidR="000C729A" w:rsidRPr="00ED2781">
        <w:rPr>
          <w:color w:val="auto"/>
        </w:rPr>
        <w:t>ere</w:t>
      </w:r>
      <w:r w:rsidR="003E4DE5" w:rsidRPr="00ED2781">
        <w:rPr>
          <w:color w:val="auto"/>
        </w:rPr>
        <w:t xml:space="preserve"> missing in </w:t>
      </w:r>
      <w:r w:rsidR="00ED2781">
        <w:rPr>
          <w:color w:val="auto"/>
        </w:rPr>
        <w:t>42.4</w:t>
      </w:r>
      <w:r w:rsidR="003E4DE5" w:rsidRPr="00ED2781">
        <w:rPr>
          <w:color w:val="auto"/>
        </w:rPr>
        <w:t xml:space="preserve">% </w:t>
      </w:r>
      <w:r w:rsidR="00BA20B2" w:rsidRPr="00ED2781">
        <w:rPr>
          <w:color w:val="auto"/>
        </w:rPr>
        <w:t>procedures</w:t>
      </w:r>
      <w:r w:rsidR="00206BD9" w:rsidRPr="00ED2781">
        <w:rPr>
          <w:color w:val="auto"/>
        </w:rPr>
        <w:t xml:space="preserve"> overall</w:t>
      </w:r>
      <w:r w:rsidR="005402F7" w:rsidRPr="00ED2781">
        <w:rPr>
          <w:color w:val="auto"/>
        </w:rPr>
        <w:t xml:space="preserve">, </w:t>
      </w:r>
      <w:r w:rsidR="00206BD9" w:rsidRPr="00ED2781">
        <w:rPr>
          <w:color w:val="auto"/>
        </w:rPr>
        <w:t>and in</w:t>
      </w:r>
      <w:r w:rsidR="005402F7" w:rsidRPr="00ED2781">
        <w:rPr>
          <w:color w:val="auto"/>
        </w:rPr>
        <w:t xml:space="preserve"> </w:t>
      </w:r>
      <w:r w:rsidR="00ED2781">
        <w:rPr>
          <w:color w:val="auto"/>
        </w:rPr>
        <w:t>57.9</w:t>
      </w:r>
      <w:r w:rsidR="005402F7" w:rsidRPr="00ED2781">
        <w:rPr>
          <w:color w:val="auto"/>
        </w:rPr>
        <w:t>%</w:t>
      </w:r>
      <w:r w:rsidR="00206BD9" w:rsidRPr="00ED2781">
        <w:rPr>
          <w:color w:val="auto"/>
        </w:rPr>
        <w:t xml:space="preserve"> procedures</w:t>
      </w:r>
      <w:r w:rsidR="005402F7" w:rsidRPr="00ED2781">
        <w:rPr>
          <w:color w:val="auto"/>
        </w:rPr>
        <w:t xml:space="preserve"> among first revisions.</w:t>
      </w:r>
      <w:r w:rsidR="00206BD9" w:rsidRPr="00ED2781">
        <w:rPr>
          <w:color w:val="auto"/>
        </w:rPr>
        <w:t xml:space="preserve"> These percentages were</w:t>
      </w:r>
      <w:r w:rsidR="00C4354B" w:rsidRPr="00ED2781">
        <w:rPr>
          <w:color w:val="auto"/>
        </w:rPr>
        <w:t xml:space="preserve"> lower among infants,</w:t>
      </w:r>
      <w:r w:rsidR="00172BFC">
        <w:rPr>
          <w:color w:val="auto"/>
        </w:rPr>
        <w:t xml:space="preserve"> increased over time</w:t>
      </w:r>
      <w:r w:rsidR="00495DA1">
        <w:rPr>
          <w:color w:val="auto"/>
        </w:rPr>
        <w:t>,</w:t>
      </w:r>
      <w:r w:rsidR="00C4354B" w:rsidRPr="00ED2781">
        <w:rPr>
          <w:color w:val="auto"/>
        </w:rPr>
        <w:t xml:space="preserve"> </w:t>
      </w:r>
      <w:r w:rsidR="00206BD9" w:rsidRPr="00ED2781">
        <w:rPr>
          <w:color w:val="auto"/>
        </w:rPr>
        <w:t xml:space="preserve">and </w:t>
      </w:r>
      <w:r w:rsidR="005402F7" w:rsidRPr="00ED2781">
        <w:rPr>
          <w:color w:val="auto"/>
        </w:rPr>
        <w:t>there was</w:t>
      </w:r>
      <w:r w:rsidR="00C433AD" w:rsidRPr="00ED2781">
        <w:rPr>
          <w:color w:val="auto"/>
        </w:rPr>
        <w:t xml:space="preserve"> variation</w:t>
      </w:r>
      <w:r w:rsidR="003E4DE5" w:rsidRPr="00ED2781">
        <w:rPr>
          <w:color w:val="auto"/>
        </w:rPr>
        <w:t xml:space="preserve"> between</w:t>
      </w:r>
      <w:r w:rsidR="00A07175" w:rsidRPr="00ED2781">
        <w:rPr>
          <w:color w:val="auto"/>
        </w:rPr>
        <w:t xml:space="preserve"> diagnostic groups and</w:t>
      </w:r>
      <w:r w:rsidR="003E4DE5" w:rsidRPr="00ED2781">
        <w:rPr>
          <w:color w:val="auto"/>
        </w:rPr>
        <w:t xml:space="preserve"> centres.</w:t>
      </w:r>
      <w:r w:rsidR="007404DB" w:rsidRPr="00ED2781">
        <w:rPr>
          <w:color w:val="auto"/>
        </w:rPr>
        <w:t xml:space="preserve"> </w:t>
      </w:r>
      <w:r w:rsidR="002E0FC0" w:rsidRPr="00A42D96">
        <w:t xml:space="preserve">Centre-years with high </w:t>
      </w:r>
      <w:r w:rsidR="00172BFC">
        <w:t xml:space="preserve">average </w:t>
      </w:r>
      <w:r w:rsidR="002E0FC0" w:rsidRPr="00A42D96">
        <w:t>case ascertainment had higher percentages of missing reason for revision.</w:t>
      </w:r>
      <w:r w:rsidR="002E0FC0" w:rsidRPr="00ED2781">
        <w:t xml:space="preserve"> </w:t>
      </w:r>
      <w:r w:rsidR="00A27E49" w:rsidRPr="00ED2781">
        <w:rPr>
          <w:color w:val="auto"/>
        </w:rPr>
        <w:t>Patient</w:t>
      </w:r>
      <w:r w:rsidR="00A27E49" w:rsidRPr="00ED2781">
        <w:rPr>
          <w:color w:val="auto"/>
          <w:lang w:val="en-US"/>
        </w:rPr>
        <w:t xml:space="preserve"> residence </w:t>
      </w:r>
      <w:r w:rsidR="001D2BCB" w:rsidRPr="00ED2781">
        <w:rPr>
          <w:color w:val="auto"/>
          <w:lang w:val="en-US"/>
        </w:rPr>
        <w:t xml:space="preserve">on primary shunt </w:t>
      </w:r>
      <w:r w:rsidR="00A27E49" w:rsidRPr="00ED2781">
        <w:rPr>
          <w:color w:val="auto"/>
        </w:rPr>
        <w:t xml:space="preserve">was missing in </w:t>
      </w:r>
      <w:r w:rsidR="000B3F09">
        <w:rPr>
          <w:color w:val="auto"/>
        </w:rPr>
        <w:t>11.8</w:t>
      </w:r>
      <w:r w:rsidR="00A27E49" w:rsidRPr="00ED2781">
        <w:rPr>
          <w:color w:val="auto"/>
        </w:rPr>
        <w:t xml:space="preserve">% </w:t>
      </w:r>
      <w:r w:rsidR="000B3F09">
        <w:rPr>
          <w:color w:val="auto"/>
        </w:rPr>
        <w:t xml:space="preserve">of the </w:t>
      </w:r>
      <w:r w:rsidR="00971F36" w:rsidRPr="00ED2781">
        <w:rPr>
          <w:color w:val="auto"/>
        </w:rPr>
        <w:t>patients</w:t>
      </w:r>
      <w:r w:rsidR="00A27E49" w:rsidRPr="00ED2781">
        <w:rPr>
          <w:color w:val="auto"/>
        </w:rPr>
        <w:t xml:space="preserve">, and this percentage increased over the years and varied between centres. </w:t>
      </w:r>
      <w:r w:rsidR="00444519" w:rsidRPr="00ED2781">
        <w:rPr>
          <w:color w:val="auto"/>
        </w:rPr>
        <w:t xml:space="preserve">The </w:t>
      </w:r>
      <w:r w:rsidR="00E041A6" w:rsidRPr="00ED2781">
        <w:rPr>
          <w:color w:val="auto"/>
        </w:rPr>
        <w:t>centre</w:t>
      </w:r>
      <w:r w:rsidR="00444519" w:rsidRPr="00ED2781">
        <w:rPr>
          <w:color w:val="auto"/>
        </w:rPr>
        <w:t xml:space="preserve"> of operation was missing in 1</w:t>
      </w:r>
      <w:r w:rsidR="0023433E" w:rsidRPr="00ED2781">
        <w:rPr>
          <w:color w:val="auto"/>
        </w:rPr>
        <w:t>.</w:t>
      </w:r>
      <w:r w:rsidR="000B3F09">
        <w:rPr>
          <w:color w:val="auto"/>
        </w:rPr>
        <w:t>3</w:t>
      </w:r>
      <w:r w:rsidR="00444519" w:rsidRPr="00ED2781">
        <w:rPr>
          <w:color w:val="auto"/>
        </w:rPr>
        <w:t>% shunt procedures</w:t>
      </w:r>
      <w:r w:rsidR="000A650A" w:rsidRPr="00ED2781">
        <w:rPr>
          <w:color w:val="auto"/>
        </w:rPr>
        <w:t xml:space="preserve"> (Supplementary material </w:t>
      </w:r>
      <w:r w:rsidR="00DD393C">
        <w:rPr>
          <w:color w:val="auto"/>
        </w:rPr>
        <w:t>3</w:t>
      </w:r>
      <w:r w:rsidR="000A650A" w:rsidRPr="00ED2781">
        <w:rPr>
          <w:color w:val="auto"/>
        </w:rPr>
        <w:t>)</w:t>
      </w:r>
      <w:r w:rsidR="00444519" w:rsidRPr="00ED2781">
        <w:rPr>
          <w:color w:val="auto"/>
        </w:rPr>
        <w:t>.</w:t>
      </w:r>
      <w:r w:rsidR="00D02FED" w:rsidRPr="00ED2781">
        <w:rPr>
          <w:color w:val="auto"/>
        </w:rPr>
        <w:t xml:space="preserve"> </w:t>
      </w:r>
    </w:p>
    <w:p w14:paraId="4A9ECC89" w14:textId="0FCCC4E2" w:rsidR="003F29F0" w:rsidRPr="00EA4D30" w:rsidRDefault="003F29F0" w:rsidP="00206BD9">
      <w:pPr>
        <w:rPr>
          <w:color w:val="auto"/>
        </w:rPr>
      </w:pPr>
      <w:r w:rsidRPr="00EA4D30">
        <w:t xml:space="preserve">Further details on missing data and case ascertainment are included in Supplementary material </w:t>
      </w:r>
      <w:r w:rsidR="00DD393C">
        <w:t>2</w:t>
      </w:r>
      <w:r w:rsidR="00DD393C" w:rsidRPr="00EA4D30">
        <w:t xml:space="preserve"> </w:t>
      </w:r>
      <w:r w:rsidRPr="00EA4D30">
        <w:t xml:space="preserve">and Supplementary material </w:t>
      </w:r>
      <w:r w:rsidR="00DD393C">
        <w:t>3</w:t>
      </w:r>
      <w:r w:rsidRPr="00EA4D30">
        <w:t>.</w:t>
      </w:r>
    </w:p>
    <w:p w14:paraId="387AE83E" w14:textId="77777777" w:rsidR="00A4313A" w:rsidRPr="00EA4D30" w:rsidRDefault="00A4313A" w:rsidP="00201FA8">
      <w:pPr>
        <w:pStyle w:val="Heading2"/>
        <w:rPr>
          <w:color w:val="auto"/>
        </w:rPr>
      </w:pPr>
      <w:r w:rsidRPr="00EA4D30">
        <w:rPr>
          <w:color w:val="auto"/>
        </w:rPr>
        <w:lastRenderedPageBreak/>
        <w:t>Ethical considerations</w:t>
      </w:r>
    </w:p>
    <w:p w14:paraId="3898853F" w14:textId="542F075E" w:rsidR="00D30BAF" w:rsidRPr="00534AF2" w:rsidRDefault="00EB7A3D" w:rsidP="00534AF2">
      <w:pPr>
        <w:rPr>
          <w:lang w:val="en-US"/>
        </w:rPr>
      </w:pPr>
      <w:r w:rsidRPr="00EA4D30">
        <w:rPr>
          <w:lang w:val="en-US"/>
        </w:rPr>
        <w:t>T</w:t>
      </w:r>
      <w:r w:rsidR="00BC1840" w:rsidRPr="00EA4D30">
        <w:rPr>
          <w:lang w:val="en-US"/>
        </w:rPr>
        <w:t xml:space="preserve">he UKSR was established in 1993 as a </w:t>
      </w:r>
      <w:r w:rsidRPr="00EA4D30">
        <w:rPr>
          <w:lang w:val="en-US"/>
        </w:rPr>
        <w:t xml:space="preserve">national </w:t>
      </w:r>
      <w:r w:rsidR="00BC1840" w:rsidRPr="00EA4D30">
        <w:rPr>
          <w:lang w:val="en-US"/>
        </w:rPr>
        <w:t>audit project under the auspices of the Medical Audit Committee of the East Ang</w:t>
      </w:r>
      <w:r w:rsidRPr="00EA4D30">
        <w:rPr>
          <w:lang w:val="en-US"/>
        </w:rPr>
        <w:t xml:space="preserve">lian Regional Health Authority. </w:t>
      </w:r>
      <w:r w:rsidR="00A4313A" w:rsidRPr="00EA4D30">
        <w:rPr>
          <w:lang w:val="en-US"/>
        </w:rPr>
        <w:t xml:space="preserve">Participating institutions submit data to the UKSR in line with local policies and approval procedures. </w:t>
      </w:r>
      <w:r w:rsidR="002B34EA">
        <w:rPr>
          <w:lang w:val="en-US"/>
        </w:rPr>
        <w:t>T</w:t>
      </w:r>
      <w:r w:rsidR="007676A9">
        <w:rPr>
          <w:lang w:val="en-US"/>
        </w:rPr>
        <w:t>his study</w:t>
      </w:r>
      <w:r w:rsidR="00090AE6">
        <w:rPr>
          <w:lang w:val="en-US"/>
        </w:rPr>
        <w:t xml:space="preserve"> </w:t>
      </w:r>
      <w:r w:rsidR="00F66E65">
        <w:rPr>
          <w:lang w:val="en-US"/>
        </w:rPr>
        <w:t xml:space="preserve">did not require the use of </w:t>
      </w:r>
      <w:r w:rsidR="005925B8">
        <w:rPr>
          <w:lang w:val="en-US"/>
        </w:rPr>
        <w:t>identifiable</w:t>
      </w:r>
      <w:r w:rsidR="00F66E65">
        <w:rPr>
          <w:lang w:val="en-US"/>
        </w:rPr>
        <w:t xml:space="preserve"> data</w:t>
      </w:r>
      <w:r w:rsidR="00D30BAF">
        <w:rPr>
          <w:lang w:val="en-US"/>
        </w:rPr>
        <w:t>,</w:t>
      </w:r>
      <w:r w:rsidR="00534AF2">
        <w:rPr>
          <w:lang w:val="en-US"/>
        </w:rPr>
        <w:t xml:space="preserve"> and the manuscript does not </w:t>
      </w:r>
      <w:r w:rsidR="00534AF2" w:rsidRPr="00534AF2">
        <w:rPr>
          <w:lang w:val="en-US"/>
        </w:rPr>
        <w:t>contain personal</w:t>
      </w:r>
      <w:r w:rsidR="00534AF2">
        <w:rPr>
          <w:lang w:val="en-US"/>
        </w:rPr>
        <w:t xml:space="preserve"> </w:t>
      </w:r>
      <w:r w:rsidR="00534AF2" w:rsidRPr="00534AF2">
        <w:rPr>
          <w:lang w:val="en-US"/>
        </w:rPr>
        <w:t>information about an identifiable living individual</w:t>
      </w:r>
      <w:r w:rsidR="00F66E65">
        <w:rPr>
          <w:lang w:val="en-US"/>
        </w:rPr>
        <w:t>.</w:t>
      </w:r>
      <w:r w:rsidR="007676A9">
        <w:rPr>
          <w:lang w:val="en-US"/>
        </w:rPr>
        <w:t xml:space="preserve"> </w:t>
      </w:r>
    </w:p>
    <w:p w14:paraId="24025EBF" w14:textId="176B718D" w:rsidR="00A4313A" w:rsidRPr="000D59DD" w:rsidRDefault="000D59DD" w:rsidP="000D59DD">
      <w:pPr>
        <w:pStyle w:val="Heading1"/>
      </w:pPr>
      <w:r w:rsidRPr="000D59DD">
        <w:t>RESULTS</w:t>
      </w:r>
    </w:p>
    <w:p w14:paraId="09F97A11" w14:textId="77777777" w:rsidR="00A4313A" w:rsidRPr="00EA4D30" w:rsidRDefault="00A4313A" w:rsidP="00201FA8">
      <w:pPr>
        <w:pStyle w:val="Heading2"/>
      </w:pPr>
      <w:r w:rsidRPr="00EA4D30">
        <w:t>Sample and cohort selection</w:t>
      </w:r>
    </w:p>
    <w:p w14:paraId="42CC85E3" w14:textId="775EE310" w:rsidR="00A4313A" w:rsidRPr="00EA4D30" w:rsidRDefault="00565962" w:rsidP="00201FA8">
      <w:r w:rsidRPr="00EA4D30">
        <w:t xml:space="preserve">Between 1994 and 2013, </w:t>
      </w:r>
      <w:r w:rsidR="00683C1A">
        <w:t>6920</w:t>
      </w:r>
      <w:r w:rsidR="0057658C">
        <w:t>7</w:t>
      </w:r>
      <w:r w:rsidR="00683C1A" w:rsidRPr="00EA4D30">
        <w:t xml:space="preserve"> </w:t>
      </w:r>
      <w:r w:rsidRPr="00EA4D30">
        <w:t xml:space="preserve">shunt procedures in </w:t>
      </w:r>
      <w:r w:rsidR="00683C1A">
        <w:t>43288</w:t>
      </w:r>
      <w:r w:rsidR="00683C1A" w:rsidRPr="00EA4D30">
        <w:t xml:space="preserve"> </w:t>
      </w:r>
      <w:r w:rsidR="00A4313A" w:rsidRPr="00EA4D30">
        <w:t>patients were submitted</w:t>
      </w:r>
      <w:r w:rsidR="00441CFA" w:rsidRPr="00EA4D30">
        <w:t>.</w:t>
      </w:r>
      <w:r w:rsidR="00A4313A" w:rsidRPr="00EA4D30">
        <w:t xml:space="preserve"> Yearly submissions increased over time, until they reached a plateau (Figure </w:t>
      </w:r>
      <w:r w:rsidR="00FB13F5" w:rsidRPr="00EA4D30">
        <w:t>1</w:t>
      </w:r>
      <w:r w:rsidR="00A4313A" w:rsidRPr="00EA4D30">
        <w:t>). The year with the highest numb</w:t>
      </w:r>
      <w:r w:rsidRPr="00EA4D30">
        <w:t>er of submissions was 201</w:t>
      </w:r>
      <w:r w:rsidR="00977AD7">
        <w:t>1</w:t>
      </w:r>
      <w:r w:rsidRPr="00EA4D30">
        <w:t xml:space="preserve"> (n=</w:t>
      </w:r>
      <w:r w:rsidR="0083726A" w:rsidRPr="00EA4D30">
        <w:t>4</w:t>
      </w:r>
      <w:r w:rsidR="0083726A">
        <w:t>267</w:t>
      </w:r>
      <w:r w:rsidR="00A4313A" w:rsidRPr="00EA4D30">
        <w:t xml:space="preserve">), and between 2004 and 2013 all years were within </w:t>
      </w:r>
      <w:r w:rsidR="0083726A">
        <w:t>90</w:t>
      </w:r>
      <w:r w:rsidR="00A4313A" w:rsidRPr="00EA4D30">
        <w:t>.</w:t>
      </w:r>
      <w:r w:rsidR="0083726A">
        <w:t>8</w:t>
      </w:r>
      <w:r w:rsidR="00A4313A" w:rsidRPr="00EA4D30">
        <w:t>% and 99.</w:t>
      </w:r>
      <w:r w:rsidR="0083726A">
        <w:t>8</w:t>
      </w:r>
      <w:r w:rsidR="00A4313A" w:rsidRPr="00EA4D30">
        <w:t xml:space="preserve">% of the </w:t>
      </w:r>
      <w:r w:rsidR="0062254C" w:rsidRPr="00EA4D30">
        <w:t>201</w:t>
      </w:r>
      <w:r w:rsidR="0083726A">
        <w:t>1</w:t>
      </w:r>
      <w:r w:rsidR="0062254C" w:rsidRPr="00EA4D30">
        <w:t xml:space="preserve"> </w:t>
      </w:r>
      <w:r w:rsidR="00A4313A" w:rsidRPr="00EA4D30">
        <w:t xml:space="preserve">submissions. Thus, this study focused on 10 years’ data from the UKSR, from 2004 to 2013. </w:t>
      </w:r>
    </w:p>
    <w:p w14:paraId="3B3939A5" w14:textId="3DA9BAA3" w:rsidR="00A4313A" w:rsidRPr="00EA4D30" w:rsidRDefault="00A4313A" w:rsidP="00201FA8">
      <w:r w:rsidRPr="00EA4D30">
        <w:t xml:space="preserve">During the study period, </w:t>
      </w:r>
      <w:r w:rsidR="009F252B" w:rsidRPr="00EA4D30">
        <w:t>4</w:t>
      </w:r>
      <w:r w:rsidR="00FB31FF">
        <w:t>1</w:t>
      </w:r>
      <w:r w:rsidR="009F252B" w:rsidRPr="00EA4D30">
        <w:t xml:space="preserve"> </w:t>
      </w:r>
      <w:r w:rsidR="00FB31FF">
        <w:t>institutions</w:t>
      </w:r>
      <w:r w:rsidR="00FB31FF" w:rsidRPr="00EA4D30">
        <w:t xml:space="preserve"> </w:t>
      </w:r>
      <w:r w:rsidRPr="00EA4D30">
        <w:t>participated in the UKSR</w:t>
      </w:r>
      <w:r w:rsidRPr="00C218F4">
        <w:t>.</w:t>
      </w:r>
      <w:r w:rsidR="00B52BE3" w:rsidRPr="00C218F4">
        <w:t xml:space="preserve"> These represent</w:t>
      </w:r>
      <w:r w:rsidR="005F7EB5">
        <w:t>ed</w:t>
      </w:r>
      <w:r w:rsidR="00B52BE3" w:rsidRPr="00C218F4">
        <w:t xml:space="preserve"> </w:t>
      </w:r>
      <w:r w:rsidR="00114B17">
        <w:t>all</w:t>
      </w:r>
      <w:r w:rsidR="00B52BE3" w:rsidRPr="00C218F4">
        <w:t xml:space="preserve"> </w:t>
      </w:r>
      <w:r w:rsidR="00667019">
        <w:t xml:space="preserve">the NHS </w:t>
      </w:r>
      <w:r w:rsidR="00B52BE3" w:rsidRPr="00C218F4">
        <w:t>neurosurgery centres</w:t>
      </w:r>
      <w:r w:rsidR="00A448DF" w:rsidRPr="00C218F4">
        <w:t xml:space="preserve"> </w:t>
      </w:r>
      <w:r w:rsidR="00667019">
        <w:t xml:space="preserve">and one private hospital </w:t>
      </w:r>
      <w:r w:rsidR="00A448DF" w:rsidRPr="00C218F4">
        <w:t>performing shunt surgery</w:t>
      </w:r>
      <w:r w:rsidR="00B52BE3" w:rsidRPr="00C218F4">
        <w:t xml:space="preserve"> in the UK during the study period, and </w:t>
      </w:r>
      <w:r w:rsidR="00A448DF" w:rsidRPr="00C218F4">
        <w:t>one of the two neurosurgery institutions performing shunt surgery in Ireland.</w:t>
      </w:r>
      <w:r w:rsidRPr="00EA4D30">
        <w:t xml:space="preserve"> Of the participating </w:t>
      </w:r>
      <w:r w:rsidR="00E041A6" w:rsidRPr="00EA4D30">
        <w:t>centre</w:t>
      </w:r>
      <w:r w:rsidRPr="00EA4D30">
        <w:t>s, nine (2</w:t>
      </w:r>
      <w:r w:rsidR="009F252B">
        <w:t>2</w:t>
      </w:r>
      <w:r w:rsidRPr="00EA4D30">
        <w:t>%) carried out more than 50%, and 1</w:t>
      </w:r>
      <w:r w:rsidR="00645953">
        <w:t>6</w:t>
      </w:r>
      <w:r w:rsidRPr="00EA4D30">
        <w:t xml:space="preserve"> (</w:t>
      </w:r>
      <w:r w:rsidR="009F252B">
        <w:t>39</w:t>
      </w:r>
      <w:r w:rsidRPr="00EA4D30">
        <w:t xml:space="preserve">%) performed more than 75%, of all the reported procedures. </w:t>
      </w:r>
      <w:r w:rsidRPr="004B0BE1">
        <w:t>Generally, centres operated on patients residing within their geographical region</w:t>
      </w:r>
      <w:r w:rsidR="00645CC5" w:rsidRPr="00AF1206">
        <w:t xml:space="preserve"> (at least 80% of their patients)</w:t>
      </w:r>
      <w:r w:rsidRPr="004B0BE1">
        <w:t xml:space="preserve">, with the exception of London and </w:t>
      </w:r>
      <w:r w:rsidR="00957E91" w:rsidRPr="004B0BE1">
        <w:t xml:space="preserve">the </w:t>
      </w:r>
      <w:r w:rsidRPr="004B0BE1">
        <w:t xml:space="preserve">South East, where </w:t>
      </w:r>
      <w:r w:rsidR="00986EBE" w:rsidRPr="00AF1206">
        <w:t>a large percentage of their patients</w:t>
      </w:r>
      <w:r w:rsidR="00230875" w:rsidRPr="00AF1206">
        <w:t xml:space="preserve"> (about 50% in London and about 30% in the South East)</w:t>
      </w:r>
      <w:r w:rsidRPr="004B0BE1">
        <w:t xml:space="preserve"> resided in a different UK region (</w:t>
      </w:r>
      <w:r w:rsidR="00FB13F5" w:rsidRPr="004B0BE1">
        <w:t>S</w:t>
      </w:r>
      <w:r w:rsidRPr="004B0BE1">
        <w:t>upplementary material</w:t>
      </w:r>
      <w:r w:rsidR="00FB13F5" w:rsidRPr="004B0BE1">
        <w:t xml:space="preserve"> </w:t>
      </w:r>
      <w:r w:rsidR="00DD393C">
        <w:t>4</w:t>
      </w:r>
      <w:r w:rsidRPr="004B0BE1">
        <w:t xml:space="preserve">). </w:t>
      </w:r>
    </w:p>
    <w:p w14:paraId="1D65432A" w14:textId="77777777" w:rsidR="00A4313A" w:rsidRPr="00EA4D30" w:rsidRDefault="00A4313A" w:rsidP="00201FA8">
      <w:pPr>
        <w:pStyle w:val="Heading2"/>
      </w:pPr>
      <w:r w:rsidRPr="00EA4D30">
        <w:t>Shunt surgery epidemiology</w:t>
      </w:r>
    </w:p>
    <w:p w14:paraId="50CE5C07" w14:textId="3369E352" w:rsidR="00A4313A" w:rsidRPr="00EA4D30" w:rsidRDefault="0062254C" w:rsidP="00201FA8">
      <w:r w:rsidRPr="00EA4D30">
        <w:t>A</w:t>
      </w:r>
      <w:r w:rsidR="00565962" w:rsidRPr="00EA4D30">
        <w:t xml:space="preserve"> total of </w:t>
      </w:r>
      <w:r w:rsidR="00D12931">
        <w:t>4103</w:t>
      </w:r>
      <w:r w:rsidR="0051321C">
        <w:t>6</w:t>
      </w:r>
      <w:r w:rsidR="00D12931" w:rsidRPr="00EA4D30">
        <w:t xml:space="preserve"> </w:t>
      </w:r>
      <w:r w:rsidR="00A4313A" w:rsidRPr="00EA4D30">
        <w:t xml:space="preserve">procedures </w:t>
      </w:r>
      <w:r w:rsidR="00565962" w:rsidRPr="00EA4D30">
        <w:t xml:space="preserve">in </w:t>
      </w:r>
      <w:r w:rsidR="00EA01B9">
        <w:t>26</w:t>
      </w:r>
      <w:r w:rsidR="00EA01B9" w:rsidRPr="00EA01B9">
        <w:t>545</w:t>
      </w:r>
      <w:r w:rsidR="00EA01B9">
        <w:t xml:space="preserve"> </w:t>
      </w:r>
      <w:r w:rsidR="00A4313A" w:rsidRPr="00EA4D30">
        <w:t>patients were sub</w:t>
      </w:r>
      <w:r w:rsidR="00565962" w:rsidRPr="00EA4D30">
        <w:t xml:space="preserve">mitted </w:t>
      </w:r>
      <w:r w:rsidR="00EA01B9">
        <w:t>during</w:t>
      </w:r>
      <w:r w:rsidR="00EA01B9" w:rsidRPr="00EA4D30">
        <w:t xml:space="preserve"> </w:t>
      </w:r>
      <w:r w:rsidRPr="00EA4D30">
        <w:t>the study period</w:t>
      </w:r>
      <w:r w:rsidR="00565962" w:rsidRPr="00EA4D30">
        <w:t>, including 3</w:t>
      </w:r>
      <w:r w:rsidR="00A4313A" w:rsidRPr="00EA4D30">
        <w:t>0</w:t>
      </w:r>
      <w:r w:rsidR="00EA01B9">
        <w:t>02</w:t>
      </w:r>
      <w:r w:rsidR="00A4313A" w:rsidRPr="00EA4D30">
        <w:t xml:space="preserve"> (1</w:t>
      </w:r>
      <w:r w:rsidR="00EA01B9">
        <w:t>1</w:t>
      </w:r>
      <w:r w:rsidR="00A4313A" w:rsidRPr="00EA4D30">
        <w:t>.</w:t>
      </w:r>
      <w:r w:rsidR="00EA01B9">
        <w:t>5</w:t>
      </w:r>
      <w:r w:rsidR="00A4313A" w:rsidRPr="00EA4D30">
        <w:t>%)</w:t>
      </w:r>
      <w:r w:rsidR="005F7EB5">
        <w:t xml:space="preserve"> </w:t>
      </w:r>
      <w:r w:rsidR="005F7EB5" w:rsidRPr="00EA4D30">
        <w:t>infants</w:t>
      </w:r>
      <w:r w:rsidR="00A4313A" w:rsidRPr="00EA4D30">
        <w:t>,</w:t>
      </w:r>
      <w:r w:rsidR="00565962" w:rsidRPr="00EA4D30">
        <w:t xml:space="preserve"> </w:t>
      </w:r>
      <w:r w:rsidR="00EA01B9">
        <w:t>4</w:t>
      </w:r>
      <w:r w:rsidR="00EA01B9" w:rsidRPr="00EA01B9">
        <w:t>389</w:t>
      </w:r>
      <w:r w:rsidR="00EA01B9" w:rsidRPr="00EA01B9" w:rsidDel="00EA01B9">
        <w:t xml:space="preserve"> </w:t>
      </w:r>
      <w:r w:rsidR="00565962" w:rsidRPr="00EA4D30">
        <w:t>(1</w:t>
      </w:r>
      <w:r w:rsidR="00EA01B9">
        <w:t>6</w:t>
      </w:r>
      <w:r w:rsidR="00565962" w:rsidRPr="00EA4D30">
        <w:t>.</w:t>
      </w:r>
      <w:r w:rsidR="00072F8A">
        <w:t>9</w:t>
      </w:r>
      <w:r w:rsidR="00565962" w:rsidRPr="00EA4D30">
        <w:t xml:space="preserve">%) children, and </w:t>
      </w:r>
      <w:r w:rsidR="00EA01B9">
        <w:t>18</w:t>
      </w:r>
      <w:r w:rsidR="00EA01B9" w:rsidRPr="00EA01B9">
        <w:t>668</w:t>
      </w:r>
      <w:r w:rsidR="00EA01B9" w:rsidRPr="00EA01B9" w:rsidDel="00EA01B9">
        <w:t xml:space="preserve"> </w:t>
      </w:r>
      <w:r w:rsidR="00A4313A" w:rsidRPr="00EA4D30">
        <w:t>(7</w:t>
      </w:r>
      <w:r w:rsidR="00EA01B9">
        <w:t>1</w:t>
      </w:r>
      <w:r w:rsidR="00A4313A" w:rsidRPr="00EA4D30">
        <w:t>.</w:t>
      </w:r>
      <w:r w:rsidR="00EA01B9">
        <w:t>6</w:t>
      </w:r>
      <w:r w:rsidR="00A4313A" w:rsidRPr="00EA4D30">
        <w:t>%)</w:t>
      </w:r>
      <w:r w:rsidR="00565962" w:rsidRPr="00EA4D30">
        <w:t xml:space="preserve"> adults. Procedures included </w:t>
      </w:r>
      <w:r w:rsidR="00E467A7">
        <w:t>209</w:t>
      </w:r>
      <w:r w:rsidR="0051321C">
        <w:t>47</w:t>
      </w:r>
      <w:r w:rsidR="00E467A7" w:rsidRPr="00E467A7">
        <w:t xml:space="preserve"> </w:t>
      </w:r>
      <w:r w:rsidR="00A4313A" w:rsidRPr="00EA4D30">
        <w:t>(</w:t>
      </w:r>
      <w:r w:rsidR="00E467A7" w:rsidRPr="00E467A7">
        <w:t>51.</w:t>
      </w:r>
      <w:r w:rsidR="006E4CF1">
        <w:t>0</w:t>
      </w:r>
      <w:r w:rsidR="002F2E9D">
        <w:t>%</w:t>
      </w:r>
      <w:r w:rsidR="00E25906" w:rsidRPr="00EA4D30">
        <w:t xml:space="preserve"> </w:t>
      </w:r>
      <w:r w:rsidR="005F7EB5" w:rsidRPr="00132549">
        <w:t xml:space="preserve">95%CI </w:t>
      </w:r>
      <w:r w:rsidR="00A51DB2" w:rsidRPr="00EA4D30">
        <w:t>[</w:t>
      </w:r>
      <w:r w:rsidR="00CC6ADB" w:rsidRPr="00CC6ADB">
        <w:t>50</w:t>
      </w:r>
      <w:r w:rsidR="00CC6ADB">
        <w:t xml:space="preserve">.6, </w:t>
      </w:r>
      <w:r w:rsidR="00CC6ADB" w:rsidRPr="00CC6ADB">
        <w:t>51</w:t>
      </w:r>
      <w:r w:rsidR="00CC6ADB">
        <w:t>.5</w:t>
      </w:r>
      <w:r w:rsidR="00A51DB2" w:rsidRPr="00EA4D30">
        <w:t>]</w:t>
      </w:r>
      <w:r w:rsidR="00A4313A" w:rsidRPr="00EA4D30">
        <w:t>)</w:t>
      </w:r>
      <w:r w:rsidR="00565962" w:rsidRPr="00EA4D30">
        <w:t xml:space="preserve"> primary shunt insertions in </w:t>
      </w:r>
      <w:r w:rsidR="00CC6ADB">
        <w:t>209</w:t>
      </w:r>
      <w:r w:rsidR="0051321C">
        <w:t>47</w:t>
      </w:r>
      <w:r w:rsidR="00CC6ADB" w:rsidRPr="00E467A7">
        <w:t xml:space="preserve"> </w:t>
      </w:r>
      <w:r w:rsidR="00565962" w:rsidRPr="00EA4D30">
        <w:t>patients, and</w:t>
      </w:r>
      <w:r w:rsidR="00CC6ADB">
        <w:t xml:space="preserve"> 20</w:t>
      </w:r>
      <w:r w:rsidR="00CC6ADB" w:rsidRPr="00CC6ADB">
        <w:t>08</w:t>
      </w:r>
      <w:r w:rsidR="0051321C">
        <w:t>9</w:t>
      </w:r>
      <w:r w:rsidR="00CC6ADB">
        <w:t xml:space="preserve"> (</w:t>
      </w:r>
      <w:r w:rsidR="00CC6ADB" w:rsidRPr="00CC6ADB">
        <w:t>4</w:t>
      </w:r>
      <w:r w:rsidR="006E4CF1">
        <w:t>9</w:t>
      </w:r>
      <w:r w:rsidR="00CC6ADB" w:rsidRPr="00CC6ADB">
        <w:t>.</w:t>
      </w:r>
      <w:r w:rsidR="006E4CF1">
        <w:t>0</w:t>
      </w:r>
      <w:r w:rsidR="00A4313A" w:rsidRPr="00EA4D30">
        <w:t>%</w:t>
      </w:r>
      <w:r w:rsidR="00A51DB2" w:rsidRPr="00EA4D30">
        <w:t xml:space="preserve"> [4</w:t>
      </w:r>
      <w:r w:rsidR="00CC6ADB">
        <w:t>8</w:t>
      </w:r>
      <w:r w:rsidR="00A51DB2" w:rsidRPr="00EA4D30">
        <w:t>.</w:t>
      </w:r>
      <w:r w:rsidR="00CC6ADB">
        <w:t>5</w:t>
      </w:r>
      <w:r w:rsidR="00A51DB2" w:rsidRPr="00EA4D30">
        <w:t>, 4</w:t>
      </w:r>
      <w:r w:rsidR="00426C73">
        <w:t>9</w:t>
      </w:r>
      <w:r w:rsidR="00A51DB2" w:rsidRPr="00EA4D30">
        <w:t>.</w:t>
      </w:r>
      <w:r w:rsidR="00426C73">
        <w:t>4</w:t>
      </w:r>
      <w:r w:rsidR="00A51DB2" w:rsidRPr="00EA4D30">
        <w:t>]</w:t>
      </w:r>
      <w:r w:rsidR="00A4313A" w:rsidRPr="00EA4D30">
        <w:t>) revision procedures of either those primary shunts or of shunts inserted prior to the study period (</w:t>
      </w:r>
      <w:r w:rsidR="005F0361">
        <w:t>Table 1</w:t>
      </w:r>
      <w:r w:rsidR="00A4313A" w:rsidRPr="00EA4D30">
        <w:t xml:space="preserve">).  </w:t>
      </w:r>
    </w:p>
    <w:p w14:paraId="17AD541C" w14:textId="34E6750C" w:rsidR="00A4313A" w:rsidRPr="00132549" w:rsidRDefault="00A4313A" w:rsidP="00201FA8">
      <w:r w:rsidRPr="00132549">
        <w:lastRenderedPageBreak/>
        <w:t xml:space="preserve">Among patients who were followed up for at least one year since their primary shunt, </w:t>
      </w:r>
      <w:r w:rsidR="000C1913" w:rsidRPr="00132549">
        <w:t>378</w:t>
      </w:r>
      <w:r w:rsidR="0051321C" w:rsidRPr="00132549">
        <w:t>3</w:t>
      </w:r>
      <w:r w:rsidR="000C1913" w:rsidRPr="00132549">
        <w:t xml:space="preserve">       </w:t>
      </w:r>
      <w:r w:rsidRPr="00132549">
        <w:t>(</w:t>
      </w:r>
      <w:r w:rsidR="006662AF" w:rsidRPr="00132549">
        <w:t>20.0</w:t>
      </w:r>
      <w:r w:rsidR="0004639B" w:rsidRPr="00132549">
        <w:t>%</w:t>
      </w:r>
      <w:r w:rsidR="005F7EB5">
        <w:t xml:space="preserve"> </w:t>
      </w:r>
      <w:r w:rsidR="008E2D08" w:rsidRPr="00132549">
        <w:t>[</w:t>
      </w:r>
      <w:r w:rsidR="006662AF" w:rsidRPr="00132549">
        <w:t>19</w:t>
      </w:r>
      <w:r w:rsidR="00964916" w:rsidRPr="00132549">
        <w:t>.</w:t>
      </w:r>
      <w:r w:rsidR="006662AF" w:rsidRPr="00132549">
        <w:t>4</w:t>
      </w:r>
      <w:r w:rsidR="008E2D08" w:rsidRPr="00132549">
        <w:t>,</w:t>
      </w:r>
      <w:r w:rsidR="00964916" w:rsidRPr="00132549">
        <w:t xml:space="preserve"> </w:t>
      </w:r>
      <w:r w:rsidR="006662AF" w:rsidRPr="00132549">
        <w:t>20.5</w:t>
      </w:r>
      <w:r w:rsidR="0004639B" w:rsidRPr="00132549">
        <w:t>]</w:t>
      </w:r>
      <w:r w:rsidRPr="00132549">
        <w:t>) needed a revision within one year. This proportion was about 1.</w:t>
      </w:r>
      <w:r w:rsidR="00EE6397" w:rsidRPr="00132549">
        <w:t xml:space="preserve">8 </w:t>
      </w:r>
      <w:r w:rsidRPr="00132549">
        <w:t>times higher in infants than in adults, and about 1.</w:t>
      </w:r>
      <w:r w:rsidR="006E4CF1" w:rsidRPr="00132549">
        <w:t>4</w:t>
      </w:r>
      <w:r w:rsidR="00EE6397" w:rsidRPr="00132549">
        <w:t xml:space="preserve"> </w:t>
      </w:r>
      <w:r w:rsidRPr="00132549">
        <w:t>times higher in children than in adults (</w:t>
      </w:r>
      <w:r w:rsidR="005F0361" w:rsidRPr="00132549">
        <w:t>Table 1</w:t>
      </w:r>
      <w:r w:rsidRPr="00132549">
        <w:t xml:space="preserve">). The overall 90-day revision rate for primary shunt insertions was </w:t>
      </w:r>
      <w:r w:rsidR="009D5E94" w:rsidRPr="00132549">
        <w:t>14.6</w:t>
      </w:r>
      <w:r w:rsidRPr="00132549">
        <w:t>%</w:t>
      </w:r>
      <w:r w:rsidR="006E59B5" w:rsidRPr="00132549">
        <w:t xml:space="preserve"> (</w:t>
      </w:r>
      <w:r w:rsidR="0056424A" w:rsidRPr="00132549">
        <w:t>14</w:t>
      </w:r>
      <w:r w:rsidR="00BC578C" w:rsidRPr="00132549">
        <w:t>.</w:t>
      </w:r>
      <w:r w:rsidR="0056424A" w:rsidRPr="00132549">
        <w:t>1</w:t>
      </w:r>
      <w:r w:rsidR="00BC578C" w:rsidRPr="00132549">
        <w:t xml:space="preserve">, </w:t>
      </w:r>
      <w:r w:rsidR="0056424A" w:rsidRPr="00132549">
        <w:t>15</w:t>
      </w:r>
      <w:r w:rsidR="00BC578C" w:rsidRPr="00132549">
        <w:t>.</w:t>
      </w:r>
      <w:r w:rsidR="0056424A" w:rsidRPr="00132549">
        <w:t>1</w:t>
      </w:r>
      <w:r w:rsidR="006E59B5" w:rsidRPr="00132549">
        <w:t>)</w:t>
      </w:r>
      <w:r w:rsidRPr="00132549">
        <w:t xml:space="preserve"> (</w:t>
      </w:r>
      <w:r w:rsidR="002B66A9" w:rsidRPr="00132549">
        <w:t>299</w:t>
      </w:r>
      <w:r w:rsidR="00220AFA" w:rsidRPr="00132549">
        <w:t>3</w:t>
      </w:r>
      <w:r w:rsidR="002B66A9" w:rsidRPr="00132549">
        <w:t xml:space="preserve"> </w:t>
      </w:r>
      <w:r w:rsidRPr="00132549">
        <w:t xml:space="preserve">procedures, </w:t>
      </w:r>
      <w:r w:rsidR="00AB571C" w:rsidRPr="00132549">
        <w:t xml:space="preserve">after </w:t>
      </w:r>
      <w:r w:rsidRPr="00132549">
        <w:t xml:space="preserve">excluding </w:t>
      </w:r>
      <w:r w:rsidR="00CB077F" w:rsidRPr="00132549">
        <w:t xml:space="preserve">53 </w:t>
      </w:r>
      <w:r w:rsidRPr="00132549">
        <w:t>patients first shunted during the last 90 days of the study period). By age group, this was about 1.</w:t>
      </w:r>
      <w:r w:rsidR="009D6FB4" w:rsidRPr="00132549">
        <w:t xml:space="preserve">7 </w:t>
      </w:r>
      <w:r w:rsidRPr="00132549">
        <w:t>times higher in infants than in adults, and about 1.</w:t>
      </w:r>
      <w:r w:rsidR="009D6FB4" w:rsidRPr="00132549">
        <w:t xml:space="preserve">5 </w:t>
      </w:r>
      <w:r w:rsidRPr="00132549">
        <w:t>times higher in children than in adults (</w:t>
      </w:r>
      <w:r w:rsidR="005F0361" w:rsidRPr="00132549">
        <w:t>Table 1</w:t>
      </w:r>
      <w:r w:rsidRPr="00132549">
        <w:rPr>
          <w:color w:val="auto"/>
        </w:rPr>
        <w:t xml:space="preserve">). Furthermore, </w:t>
      </w:r>
      <w:r w:rsidR="00EC26D1" w:rsidRPr="00132549">
        <w:rPr>
          <w:color w:val="auto"/>
        </w:rPr>
        <w:t>most</w:t>
      </w:r>
      <w:r w:rsidR="0018475E" w:rsidRPr="00132549">
        <w:rPr>
          <w:color w:val="auto"/>
        </w:rPr>
        <w:t xml:space="preserve"> </w:t>
      </w:r>
      <w:r w:rsidR="003F5311" w:rsidRPr="00132549">
        <w:rPr>
          <w:color w:val="auto"/>
        </w:rPr>
        <w:t>(</w:t>
      </w:r>
      <w:r w:rsidR="00F76478" w:rsidRPr="00132549">
        <w:rPr>
          <w:color w:val="auto"/>
        </w:rPr>
        <w:t>60</w:t>
      </w:r>
      <w:r w:rsidR="003F5311" w:rsidRPr="00132549">
        <w:rPr>
          <w:color w:val="auto"/>
        </w:rPr>
        <w:t>.</w:t>
      </w:r>
      <w:r w:rsidR="005A6E0D" w:rsidRPr="00132549">
        <w:rPr>
          <w:color w:val="auto"/>
        </w:rPr>
        <w:t>0</w:t>
      </w:r>
      <w:r w:rsidR="003F5311" w:rsidRPr="00132549">
        <w:rPr>
          <w:color w:val="auto"/>
        </w:rPr>
        <w:t>%</w:t>
      </w:r>
      <w:r w:rsidR="00F322B1" w:rsidRPr="00132549">
        <w:t xml:space="preserve"> [</w:t>
      </w:r>
      <w:r w:rsidR="00413AC4" w:rsidRPr="00132549">
        <w:t>58.6</w:t>
      </w:r>
      <w:r w:rsidR="00F322B1" w:rsidRPr="00132549">
        <w:t>,</w:t>
      </w:r>
      <w:r w:rsidR="003E38A7" w:rsidRPr="00132549">
        <w:t xml:space="preserve"> </w:t>
      </w:r>
      <w:r w:rsidR="00413AC4" w:rsidRPr="00132549">
        <w:t>61.3</w:t>
      </w:r>
      <w:r w:rsidR="00F322B1" w:rsidRPr="00132549">
        <w:t xml:space="preserve">]) </w:t>
      </w:r>
      <w:r w:rsidR="00C158ED" w:rsidRPr="00132549">
        <w:rPr>
          <w:color w:val="auto"/>
        </w:rPr>
        <w:t xml:space="preserve">first </w:t>
      </w:r>
      <w:r w:rsidRPr="00132549">
        <w:rPr>
          <w:color w:val="auto"/>
        </w:rPr>
        <w:t>revision</w:t>
      </w:r>
      <w:r w:rsidR="0018475E" w:rsidRPr="00132549">
        <w:rPr>
          <w:color w:val="auto"/>
        </w:rPr>
        <w:t>s</w:t>
      </w:r>
      <w:r w:rsidRPr="00132549">
        <w:rPr>
          <w:color w:val="auto"/>
        </w:rPr>
        <w:t xml:space="preserve"> </w:t>
      </w:r>
      <w:r w:rsidR="00C433AD" w:rsidRPr="00132549">
        <w:rPr>
          <w:color w:val="auto"/>
        </w:rPr>
        <w:t>of primary shunt</w:t>
      </w:r>
      <w:r w:rsidR="0018475E" w:rsidRPr="00132549">
        <w:rPr>
          <w:color w:val="auto"/>
        </w:rPr>
        <w:t xml:space="preserve"> </w:t>
      </w:r>
      <w:r w:rsidRPr="00132549">
        <w:rPr>
          <w:color w:val="auto"/>
        </w:rPr>
        <w:t xml:space="preserve">procedures </w:t>
      </w:r>
      <w:r w:rsidR="00147091" w:rsidRPr="00132549">
        <w:rPr>
          <w:color w:val="auto"/>
        </w:rPr>
        <w:t>occu</w:t>
      </w:r>
      <w:r w:rsidR="005D19C0" w:rsidRPr="00132549">
        <w:rPr>
          <w:color w:val="auto"/>
        </w:rPr>
        <w:t>rred</w:t>
      </w:r>
      <w:r w:rsidRPr="00132549">
        <w:rPr>
          <w:color w:val="auto"/>
        </w:rPr>
        <w:t xml:space="preserve"> within 90 days.</w:t>
      </w:r>
    </w:p>
    <w:p w14:paraId="7233418F" w14:textId="76B3E1D4" w:rsidR="00132549" w:rsidRPr="00114B17" w:rsidRDefault="00AA3C56" w:rsidP="00114B17">
      <w:pPr>
        <w:pStyle w:val="Heading3"/>
      </w:pPr>
      <w:r w:rsidRPr="00132549">
        <w:t>O</w:t>
      </w:r>
      <w:r w:rsidR="00A4313A" w:rsidRPr="00132549">
        <w:t>verall incidence rate</w:t>
      </w:r>
      <w:r w:rsidR="002A3519" w:rsidRPr="00132549">
        <w:t xml:space="preserve"> </w:t>
      </w:r>
      <w:r w:rsidR="00A4313A" w:rsidRPr="00132549">
        <w:t xml:space="preserve">of </w:t>
      </w:r>
      <w:r w:rsidRPr="00132549">
        <w:t xml:space="preserve">primary shunt insertions was </w:t>
      </w:r>
      <w:r w:rsidR="00A4313A" w:rsidRPr="00132549">
        <w:t>3.</w:t>
      </w:r>
      <w:r w:rsidR="003C31C4" w:rsidRPr="00132549">
        <w:t xml:space="preserve">1 </w:t>
      </w:r>
      <w:r w:rsidR="000C08EC" w:rsidRPr="00132549">
        <w:t>(</w:t>
      </w:r>
      <w:r w:rsidR="008B3A50" w:rsidRPr="00132549">
        <w:t>3.</w:t>
      </w:r>
      <w:r w:rsidR="003C31C4" w:rsidRPr="00132549">
        <w:t>1</w:t>
      </w:r>
      <w:r w:rsidR="00421132" w:rsidRPr="00132549">
        <w:t>, 3.</w:t>
      </w:r>
      <w:r w:rsidR="003C31C4" w:rsidRPr="00132549">
        <w:t>2</w:t>
      </w:r>
      <w:r w:rsidR="00421132" w:rsidRPr="00132549">
        <w:t>)</w:t>
      </w:r>
      <w:r w:rsidR="00A4313A" w:rsidRPr="00132549">
        <w:t xml:space="preserve"> per </w:t>
      </w:r>
      <w:r w:rsidR="00282D6E" w:rsidRPr="00132549">
        <w:t>100000</w:t>
      </w:r>
      <w:r w:rsidR="00A4313A" w:rsidRPr="00132549">
        <w:t xml:space="preserve"> person-years. </w:t>
      </w:r>
      <w:r w:rsidR="00147091" w:rsidRPr="00132549">
        <w:t xml:space="preserve">Stratified </w:t>
      </w:r>
      <w:r w:rsidR="00A4313A" w:rsidRPr="00132549">
        <w:t xml:space="preserve">by age, this rate was </w:t>
      </w:r>
      <w:r w:rsidR="003C31C4" w:rsidRPr="00132549">
        <w:t>32</w:t>
      </w:r>
      <w:r w:rsidR="00A4313A" w:rsidRPr="00132549">
        <w:t>.</w:t>
      </w:r>
      <w:r w:rsidR="003C31C4" w:rsidRPr="00132549">
        <w:t xml:space="preserve">8 </w:t>
      </w:r>
      <w:r w:rsidR="00EE70CB" w:rsidRPr="00132549">
        <w:t>(</w:t>
      </w:r>
      <w:r w:rsidR="003C31C4" w:rsidRPr="00132549">
        <w:t>31</w:t>
      </w:r>
      <w:r w:rsidR="00EE70CB" w:rsidRPr="00132549">
        <w:t>.</w:t>
      </w:r>
      <w:r w:rsidR="003C31C4" w:rsidRPr="00132549">
        <w:t>6</w:t>
      </w:r>
      <w:r w:rsidR="00421132" w:rsidRPr="00132549">
        <w:t xml:space="preserve">, </w:t>
      </w:r>
      <w:r w:rsidR="00EE70CB" w:rsidRPr="00132549">
        <w:t>34.</w:t>
      </w:r>
      <w:r w:rsidR="003C31C4" w:rsidRPr="00132549">
        <w:t>1</w:t>
      </w:r>
      <w:r w:rsidR="00421132" w:rsidRPr="00132549">
        <w:t>)</w:t>
      </w:r>
      <w:r w:rsidR="00A4313A" w:rsidRPr="00132549">
        <w:t xml:space="preserve"> in infants, 2.</w:t>
      </w:r>
      <w:r w:rsidR="003C31C4" w:rsidRPr="00132549">
        <w:t xml:space="preserve">0 </w:t>
      </w:r>
      <w:r w:rsidR="00421132" w:rsidRPr="00132549">
        <w:t>(</w:t>
      </w:r>
      <w:r w:rsidR="003C31C4" w:rsidRPr="00132549">
        <w:t>1.9</w:t>
      </w:r>
      <w:r w:rsidR="00421132" w:rsidRPr="00132549">
        <w:t>, 2.</w:t>
      </w:r>
      <w:r w:rsidR="003C31C4" w:rsidRPr="00132549">
        <w:t>1</w:t>
      </w:r>
      <w:r w:rsidR="00421132" w:rsidRPr="00132549">
        <w:t>)</w:t>
      </w:r>
      <w:r w:rsidR="00A4313A" w:rsidRPr="00132549">
        <w:t xml:space="preserve"> in children</w:t>
      </w:r>
      <w:r w:rsidR="0045718B" w:rsidRPr="00132549">
        <w:t>,</w:t>
      </w:r>
      <w:r w:rsidR="00A4313A" w:rsidRPr="00132549">
        <w:t xml:space="preserve"> and </w:t>
      </w:r>
      <w:r w:rsidR="003C31C4" w:rsidRPr="00132549">
        <w:t>2</w:t>
      </w:r>
      <w:r w:rsidR="00A4313A" w:rsidRPr="00132549">
        <w:t>.</w:t>
      </w:r>
      <w:r w:rsidR="003C31C4" w:rsidRPr="00132549">
        <w:t xml:space="preserve">9 </w:t>
      </w:r>
      <w:r w:rsidR="00421132" w:rsidRPr="00132549">
        <w:t>(</w:t>
      </w:r>
      <w:r w:rsidR="003C31C4" w:rsidRPr="00132549">
        <w:t>2</w:t>
      </w:r>
      <w:r w:rsidR="00421132" w:rsidRPr="00132549">
        <w:t>.</w:t>
      </w:r>
      <w:r w:rsidR="003C31C4" w:rsidRPr="00132549">
        <w:t>8</w:t>
      </w:r>
      <w:r w:rsidR="00421132" w:rsidRPr="00132549">
        <w:t xml:space="preserve">, </w:t>
      </w:r>
      <w:r w:rsidR="003C31C4" w:rsidRPr="00132549">
        <w:t>2</w:t>
      </w:r>
      <w:r w:rsidR="00421132" w:rsidRPr="00132549">
        <w:t>.</w:t>
      </w:r>
      <w:r w:rsidR="003C31C4" w:rsidRPr="00132549">
        <w:t>9</w:t>
      </w:r>
      <w:r w:rsidR="00421132" w:rsidRPr="00132549">
        <w:t>)</w:t>
      </w:r>
      <w:r w:rsidR="00A4313A" w:rsidRPr="00132549">
        <w:t xml:space="preserve"> in adults. </w:t>
      </w:r>
      <w:r w:rsidR="00020EE4" w:rsidRPr="00132549">
        <w:t>Accounting for</w:t>
      </w:r>
      <w:r w:rsidR="003B13ED" w:rsidRPr="00132549">
        <w:t xml:space="preserve"> </w:t>
      </w:r>
      <w:r w:rsidR="00147091" w:rsidRPr="00132549">
        <w:t>average case</w:t>
      </w:r>
      <w:r w:rsidR="00C433AD" w:rsidRPr="00132549">
        <w:t xml:space="preserve"> </w:t>
      </w:r>
      <w:r w:rsidR="00020EE4" w:rsidRPr="00132549">
        <w:t xml:space="preserve">ascertainment, estimated actual incidence of primary shunt surgery was </w:t>
      </w:r>
      <w:r w:rsidR="003C31C4" w:rsidRPr="00132549">
        <w:t>3</w:t>
      </w:r>
      <w:r w:rsidR="00020EE4" w:rsidRPr="00132549">
        <w:t>.</w:t>
      </w:r>
      <w:r w:rsidR="003C31C4" w:rsidRPr="00132549">
        <w:t xml:space="preserve">8 </w:t>
      </w:r>
      <w:r w:rsidR="00020EE4" w:rsidRPr="00132549">
        <w:t xml:space="preserve">per 100000 person-years, overall; and </w:t>
      </w:r>
      <w:r w:rsidR="00677CE2" w:rsidRPr="00132549">
        <w:t>39</w:t>
      </w:r>
      <w:r w:rsidR="00020EE4" w:rsidRPr="00132549">
        <w:t>.</w:t>
      </w:r>
      <w:r w:rsidR="0088021A" w:rsidRPr="00132549">
        <w:t>5</w:t>
      </w:r>
      <w:r w:rsidR="00020EE4" w:rsidRPr="00132549">
        <w:t>, 2.</w:t>
      </w:r>
      <w:r w:rsidR="00677CE2" w:rsidRPr="00132549">
        <w:t xml:space="preserve">4 </w:t>
      </w:r>
      <w:r w:rsidR="00020EE4" w:rsidRPr="00132549">
        <w:t xml:space="preserve">and </w:t>
      </w:r>
      <w:r w:rsidR="00677CE2" w:rsidRPr="00132549">
        <w:t>3</w:t>
      </w:r>
      <w:r w:rsidR="00020EE4" w:rsidRPr="00132549">
        <w:t>.</w:t>
      </w:r>
      <w:r w:rsidR="00677CE2" w:rsidRPr="00132549">
        <w:t xml:space="preserve">5 </w:t>
      </w:r>
      <w:r w:rsidR="003B13ED" w:rsidRPr="00132549">
        <w:t>for</w:t>
      </w:r>
      <w:r w:rsidR="00020EE4" w:rsidRPr="00132549">
        <w:t xml:space="preserve"> infants, children and adults respectively.</w:t>
      </w:r>
      <w:r w:rsidR="006A5B10" w:rsidRPr="00132549">
        <w:t xml:space="preserve"> Although there were no clear time trends, there was some variation in these incidence rates by year of surgery (Figure 1).</w:t>
      </w:r>
      <w:r w:rsidR="00C218F4">
        <w:t xml:space="preserve"> </w:t>
      </w:r>
    </w:p>
    <w:p w14:paraId="0F9911F5" w14:textId="41D4D7FE" w:rsidR="00FB5A3D" w:rsidRPr="00132549" w:rsidRDefault="00FB5A3D" w:rsidP="00026521">
      <w:pPr>
        <w:pStyle w:val="Heading3"/>
      </w:pPr>
      <w:r w:rsidRPr="00132549">
        <w:t>Regional variation</w:t>
      </w:r>
    </w:p>
    <w:p w14:paraId="4DF3AAB2" w14:textId="5C9AA3DA" w:rsidR="00132549" w:rsidRPr="00EA4D30" w:rsidRDefault="00A4313A" w:rsidP="00201FA8">
      <w:r w:rsidRPr="00132549">
        <w:t xml:space="preserve">Among infants, some regions had more than 40 cases per </w:t>
      </w:r>
      <w:r w:rsidR="00282D6E" w:rsidRPr="00132549">
        <w:t>100000</w:t>
      </w:r>
      <w:r w:rsidRPr="00132549">
        <w:t xml:space="preserve"> person-years, several other regions had less than 20 cases per </w:t>
      </w:r>
      <w:r w:rsidR="00282D6E" w:rsidRPr="00132549">
        <w:t>100000</w:t>
      </w:r>
      <w:r w:rsidRPr="00132549">
        <w:t xml:space="preserve"> person-years, and the remaining regions had incidence rates that were in between those figures (Figure </w:t>
      </w:r>
      <w:r w:rsidR="00AC4D63" w:rsidRPr="00132549">
        <w:t>2</w:t>
      </w:r>
      <w:r w:rsidRPr="00132549">
        <w:t xml:space="preserve">). Among adults and children, incidence rates also demonstrated regional variation, ranging from 0.9 to </w:t>
      </w:r>
      <w:r w:rsidR="008D7633" w:rsidRPr="00132549">
        <w:t>4</w:t>
      </w:r>
      <w:r w:rsidRPr="00132549">
        <w:t xml:space="preserve">.6 cases per </w:t>
      </w:r>
      <w:r w:rsidR="00282D6E" w:rsidRPr="00132549">
        <w:t>100000</w:t>
      </w:r>
      <w:r w:rsidRPr="00132549">
        <w:t xml:space="preserve"> person-years.</w:t>
      </w:r>
      <w:r w:rsidRPr="00EA4D30">
        <w:t xml:space="preserve"> </w:t>
      </w:r>
    </w:p>
    <w:p w14:paraId="691C36D3" w14:textId="2358164E" w:rsidR="00FF2706" w:rsidRPr="00EA4D30" w:rsidRDefault="0075156A" w:rsidP="00E90668">
      <w:pPr>
        <w:pStyle w:val="Heading2"/>
      </w:pPr>
      <w:r w:rsidRPr="00EA4D30">
        <w:t>Demographics, u</w:t>
      </w:r>
      <w:r w:rsidR="00FF2706" w:rsidRPr="00EA4D30">
        <w:t>nderlying diagnosis for shunting</w:t>
      </w:r>
      <w:r w:rsidR="00FF29A9" w:rsidRPr="00EA4D30">
        <w:t xml:space="preserve"> and reasons for revision</w:t>
      </w:r>
    </w:p>
    <w:p w14:paraId="0951BF46" w14:textId="77777777" w:rsidR="00FF2706" w:rsidRPr="00EA4D30" w:rsidRDefault="00FF2706" w:rsidP="00FF2706">
      <w:pPr>
        <w:pStyle w:val="Heading3"/>
      </w:pPr>
      <w:r w:rsidRPr="00EA4D30">
        <w:t>Infants</w:t>
      </w:r>
    </w:p>
    <w:p w14:paraId="50ECD883" w14:textId="4BBCBBDB" w:rsidR="00CA4D85" w:rsidRPr="00EA4D30" w:rsidRDefault="0011719A" w:rsidP="00CA4D85">
      <w:pPr>
        <w:rPr>
          <w:color w:val="auto"/>
        </w:rPr>
      </w:pPr>
      <w:r w:rsidRPr="00EA4D30">
        <w:rPr>
          <w:color w:val="auto"/>
        </w:rPr>
        <w:t>Primary shunt insertions represented 61.</w:t>
      </w:r>
      <w:r w:rsidR="004557CA">
        <w:rPr>
          <w:color w:val="auto"/>
        </w:rPr>
        <w:t>8</w:t>
      </w:r>
      <w:r w:rsidRPr="00EA4D30">
        <w:rPr>
          <w:color w:val="auto"/>
        </w:rPr>
        <w:t>%</w:t>
      </w:r>
      <w:r w:rsidR="008213AD" w:rsidRPr="00EA4D30">
        <w:rPr>
          <w:color w:val="auto"/>
        </w:rPr>
        <w:t xml:space="preserve"> (60.</w:t>
      </w:r>
      <w:r w:rsidR="00073BBA">
        <w:rPr>
          <w:color w:val="auto"/>
        </w:rPr>
        <w:t>4</w:t>
      </w:r>
      <w:r w:rsidR="008213AD" w:rsidRPr="00EA4D30">
        <w:rPr>
          <w:color w:val="auto"/>
        </w:rPr>
        <w:t>, 63.</w:t>
      </w:r>
      <w:r w:rsidR="003A1D51">
        <w:rPr>
          <w:color w:val="auto"/>
        </w:rPr>
        <w:t>3</w:t>
      </w:r>
      <w:r w:rsidR="008213AD" w:rsidRPr="00EA4D30">
        <w:rPr>
          <w:color w:val="auto"/>
        </w:rPr>
        <w:t>)</w:t>
      </w:r>
      <w:r w:rsidRPr="00EA4D30">
        <w:rPr>
          <w:color w:val="auto"/>
        </w:rPr>
        <w:t xml:space="preserve"> of all procedures in infants with a median age of 2.4 months at first insertion, and with more males than females in most diagnostic groups </w:t>
      </w:r>
      <w:r w:rsidR="00A24F29" w:rsidRPr="00EA4D30">
        <w:rPr>
          <w:color w:val="auto"/>
        </w:rPr>
        <w:t>(</w:t>
      </w:r>
      <w:r w:rsidR="005F0361">
        <w:t>Table 1</w:t>
      </w:r>
      <w:r w:rsidR="00A24F29" w:rsidRPr="00EA4D30">
        <w:rPr>
          <w:color w:val="auto"/>
        </w:rPr>
        <w:t>).</w:t>
      </w:r>
      <w:r w:rsidR="001562CC" w:rsidRPr="00EA4D30">
        <w:rPr>
          <w:color w:val="auto"/>
        </w:rPr>
        <w:t xml:space="preserve"> </w:t>
      </w:r>
      <w:r w:rsidR="0017617E" w:rsidRPr="00F4147D">
        <w:rPr>
          <w:color w:val="auto"/>
        </w:rPr>
        <w:t>The</w:t>
      </w:r>
      <w:r w:rsidR="0017617E" w:rsidRPr="00EA4D30">
        <w:rPr>
          <w:color w:val="auto"/>
        </w:rPr>
        <w:t xml:space="preserve"> </w:t>
      </w:r>
      <w:r w:rsidR="003B13ED" w:rsidRPr="00EA4D30">
        <w:rPr>
          <w:color w:val="auto"/>
        </w:rPr>
        <w:t>commonest underlying diagnoses included</w:t>
      </w:r>
      <w:r w:rsidR="0017617E" w:rsidRPr="00EA4D30">
        <w:rPr>
          <w:color w:val="auto"/>
        </w:rPr>
        <w:t xml:space="preserve"> </w:t>
      </w:r>
      <w:r w:rsidR="00EF2D04" w:rsidRPr="00EA4D30">
        <w:rPr>
          <w:color w:val="auto"/>
        </w:rPr>
        <w:t>perinatal intraventricular haemorrhage (IVH) (</w:t>
      </w:r>
      <w:r w:rsidR="0070574F" w:rsidRPr="00EA4D30">
        <w:rPr>
          <w:color w:val="auto"/>
        </w:rPr>
        <w:t>35</w:t>
      </w:r>
      <w:r w:rsidR="00ED3A22" w:rsidRPr="00EA4D30">
        <w:rPr>
          <w:color w:val="auto"/>
        </w:rPr>
        <w:t>.</w:t>
      </w:r>
      <w:r w:rsidR="00F4147D">
        <w:rPr>
          <w:color w:val="auto"/>
        </w:rPr>
        <w:t>3</w:t>
      </w:r>
      <w:r w:rsidR="003E38A7" w:rsidRPr="00EA4D30">
        <w:rPr>
          <w:color w:val="auto"/>
        </w:rPr>
        <w:t>%, [</w:t>
      </w:r>
      <w:r w:rsidR="0070574F" w:rsidRPr="00EA4D30">
        <w:rPr>
          <w:color w:val="auto"/>
        </w:rPr>
        <w:t>33.</w:t>
      </w:r>
      <w:r w:rsidR="0030669A">
        <w:rPr>
          <w:color w:val="auto"/>
        </w:rPr>
        <w:t>5</w:t>
      </w:r>
      <w:r w:rsidR="0070574F" w:rsidRPr="00EA4D30">
        <w:rPr>
          <w:color w:val="auto"/>
        </w:rPr>
        <w:t xml:space="preserve">, </w:t>
      </w:r>
      <w:r w:rsidR="0030669A" w:rsidRPr="00EA4D30">
        <w:rPr>
          <w:color w:val="auto"/>
        </w:rPr>
        <w:t>3</w:t>
      </w:r>
      <w:r w:rsidR="0030669A">
        <w:rPr>
          <w:color w:val="auto"/>
        </w:rPr>
        <w:t>7</w:t>
      </w:r>
      <w:r w:rsidR="0070574F" w:rsidRPr="00EA4D30">
        <w:rPr>
          <w:color w:val="auto"/>
        </w:rPr>
        <w:t>.</w:t>
      </w:r>
      <w:r w:rsidR="0030669A">
        <w:rPr>
          <w:color w:val="auto"/>
        </w:rPr>
        <w:t>1</w:t>
      </w:r>
      <w:r w:rsidR="003E38A7" w:rsidRPr="00EA4D30">
        <w:rPr>
          <w:color w:val="auto"/>
        </w:rPr>
        <w:t>]</w:t>
      </w:r>
      <w:r w:rsidR="00EF2D04" w:rsidRPr="00EA4D30">
        <w:rPr>
          <w:color w:val="auto"/>
        </w:rPr>
        <w:t xml:space="preserve">) and </w:t>
      </w:r>
      <w:r w:rsidR="0017617E" w:rsidRPr="00EA4D30">
        <w:rPr>
          <w:color w:val="auto"/>
        </w:rPr>
        <w:t>malformations</w:t>
      </w:r>
      <w:r w:rsidR="00EF2D04" w:rsidRPr="00EA4D30">
        <w:rPr>
          <w:color w:val="auto"/>
        </w:rPr>
        <w:t xml:space="preserve"> (</w:t>
      </w:r>
      <w:r w:rsidR="003E38A7" w:rsidRPr="00EA4D30">
        <w:rPr>
          <w:color w:val="auto"/>
        </w:rPr>
        <w:t>33.</w:t>
      </w:r>
      <w:r w:rsidR="003D0091">
        <w:rPr>
          <w:color w:val="auto"/>
        </w:rPr>
        <w:t>9</w:t>
      </w:r>
      <w:r w:rsidR="003E38A7" w:rsidRPr="00EA4D30">
        <w:rPr>
          <w:color w:val="auto"/>
        </w:rPr>
        <w:t>% [</w:t>
      </w:r>
      <w:r w:rsidR="0030669A" w:rsidRPr="00EA4D30">
        <w:rPr>
          <w:color w:val="auto"/>
        </w:rPr>
        <w:t>3</w:t>
      </w:r>
      <w:r w:rsidR="0030669A">
        <w:rPr>
          <w:color w:val="auto"/>
        </w:rPr>
        <w:t>2</w:t>
      </w:r>
      <w:r w:rsidR="003E38A7" w:rsidRPr="00EA4D30">
        <w:rPr>
          <w:color w:val="auto"/>
        </w:rPr>
        <w:t>.</w:t>
      </w:r>
      <w:r w:rsidR="0030669A">
        <w:rPr>
          <w:color w:val="auto"/>
        </w:rPr>
        <w:t>1</w:t>
      </w:r>
      <w:r w:rsidR="003E38A7" w:rsidRPr="00EA4D30">
        <w:rPr>
          <w:color w:val="auto"/>
        </w:rPr>
        <w:t>, 35.</w:t>
      </w:r>
      <w:r w:rsidR="001C71AB">
        <w:rPr>
          <w:color w:val="auto"/>
        </w:rPr>
        <w:t>7</w:t>
      </w:r>
      <w:r w:rsidR="003E38A7" w:rsidRPr="00EA4D30">
        <w:rPr>
          <w:color w:val="auto"/>
        </w:rPr>
        <w:t xml:space="preserve">] </w:t>
      </w:r>
      <w:r w:rsidR="0017617E" w:rsidRPr="00EA4D30">
        <w:rPr>
          <w:color w:val="auto"/>
        </w:rPr>
        <w:t>(</w:t>
      </w:r>
      <w:r w:rsidR="005F0361" w:rsidRPr="0029751A">
        <w:t>Table 1</w:t>
      </w:r>
      <w:r w:rsidR="0017617E" w:rsidRPr="0029751A">
        <w:rPr>
          <w:color w:val="auto"/>
        </w:rPr>
        <w:t>)</w:t>
      </w:r>
      <w:r w:rsidR="00EF2D04" w:rsidRPr="0029751A">
        <w:rPr>
          <w:color w:val="auto"/>
        </w:rPr>
        <w:t xml:space="preserve">, and these percentages increased over </w:t>
      </w:r>
      <w:r w:rsidR="003B13ED" w:rsidRPr="0029751A">
        <w:rPr>
          <w:color w:val="auto"/>
        </w:rPr>
        <w:t>time</w:t>
      </w:r>
      <w:r w:rsidR="0017617E" w:rsidRPr="0029751A">
        <w:rPr>
          <w:color w:val="auto"/>
          <w:lang w:val="en-US"/>
        </w:rPr>
        <w:t>.</w:t>
      </w:r>
      <w:r w:rsidR="003B13ED" w:rsidRPr="00EA4D30">
        <w:rPr>
          <w:color w:val="auto"/>
          <w:lang w:val="en-US"/>
        </w:rPr>
        <w:t xml:space="preserve"> Commonest</w:t>
      </w:r>
      <w:r w:rsidR="00CA4D85" w:rsidRPr="00EA4D30">
        <w:rPr>
          <w:color w:val="auto"/>
        </w:rPr>
        <w:t xml:space="preserve"> reasons for revision were underdrainage (</w:t>
      </w:r>
      <w:r w:rsidR="003E38A7" w:rsidRPr="00EA4D30">
        <w:rPr>
          <w:color w:val="auto"/>
        </w:rPr>
        <w:t>6</w:t>
      </w:r>
      <w:r w:rsidR="005532AD">
        <w:rPr>
          <w:color w:val="auto"/>
        </w:rPr>
        <w:t>4</w:t>
      </w:r>
      <w:r w:rsidR="003E38A7" w:rsidRPr="00EA4D30">
        <w:rPr>
          <w:color w:val="auto"/>
        </w:rPr>
        <w:t>.</w:t>
      </w:r>
      <w:r w:rsidR="005532AD">
        <w:rPr>
          <w:color w:val="auto"/>
        </w:rPr>
        <w:t>9</w:t>
      </w:r>
      <w:r w:rsidR="003E38A7" w:rsidRPr="00EA4D30">
        <w:rPr>
          <w:color w:val="auto"/>
        </w:rPr>
        <w:t>% [60.</w:t>
      </w:r>
      <w:r w:rsidR="004557CA">
        <w:rPr>
          <w:color w:val="auto"/>
        </w:rPr>
        <w:t>5</w:t>
      </w:r>
      <w:r w:rsidR="003E38A7" w:rsidRPr="00EA4D30">
        <w:rPr>
          <w:color w:val="auto"/>
        </w:rPr>
        <w:t>, 69.</w:t>
      </w:r>
      <w:r w:rsidR="004557CA">
        <w:rPr>
          <w:color w:val="auto"/>
        </w:rPr>
        <w:t>2</w:t>
      </w:r>
      <w:r w:rsidR="003E38A7" w:rsidRPr="00EA4D30">
        <w:rPr>
          <w:color w:val="auto"/>
        </w:rPr>
        <w:t>]</w:t>
      </w:r>
      <w:r w:rsidR="00CA4D85" w:rsidRPr="00EA4D30">
        <w:rPr>
          <w:color w:val="auto"/>
        </w:rPr>
        <w:t>) and shunt infection (</w:t>
      </w:r>
      <w:r w:rsidR="003E38A7" w:rsidRPr="00EA4D30">
        <w:rPr>
          <w:color w:val="auto"/>
        </w:rPr>
        <w:t>16.</w:t>
      </w:r>
      <w:r w:rsidR="005532AD">
        <w:rPr>
          <w:color w:val="auto"/>
        </w:rPr>
        <w:t>5</w:t>
      </w:r>
      <w:r w:rsidR="003E38A7" w:rsidRPr="00EA4D30">
        <w:rPr>
          <w:color w:val="auto"/>
        </w:rPr>
        <w:t>% [13.</w:t>
      </w:r>
      <w:r w:rsidR="004557CA">
        <w:rPr>
          <w:color w:val="auto"/>
        </w:rPr>
        <w:t>4</w:t>
      </w:r>
      <w:r w:rsidR="003E38A7" w:rsidRPr="00EA4D30">
        <w:rPr>
          <w:color w:val="auto"/>
        </w:rPr>
        <w:t xml:space="preserve">, </w:t>
      </w:r>
      <w:r w:rsidR="0093480B">
        <w:rPr>
          <w:color w:val="auto"/>
        </w:rPr>
        <w:t>20</w:t>
      </w:r>
      <w:r w:rsidR="003E38A7" w:rsidRPr="00EA4D30">
        <w:rPr>
          <w:color w:val="auto"/>
        </w:rPr>
        <w:t>.</w:t>
      </w:r>
      <w:r w:rsidR="004557CA">
        <w:rPr>
          <w:color w:val="auto"/>
        </w:rPr>
        <w:t>2</w:t>
      </w:r>
      <w:r w:rsidR="003E38A7" w:rsidRPr="00EA4D30">
        <w:rPr>
          <w:color w:val="auto"/>
        </w:rPr>
        <w:t>]</w:t>
      </w:r>
      <w:r w:rsidR="00F77968" w:rsidRPr="00EA4D30">
        <w:rPr>
          <w:color w:val="auto"/>
        </w:rPr>
        <w:t xml:space="preserve">) </w:t>
      </w:r>
      <w:r w:rsidR="00CA4D85" w:rsidRPr="00EA4D30">
        <w:rPr>
          <w:color w:val="auto"/>
        </w:rPr>
        <w:t>(</w:t>
      </w:r>
      <w:r w:rsidR="00833B4D">
        <w:t>Table 1</w:t>
      </w:r>
      <w:r w:rsidR="00CA4D85" w:rsidRPr="00EA4D30">
        <w:rPr>
          <w:color w:val="auto"/>
        </w:rPr>
        <w:t xml:space="preserve">). </w:t>
      </w:r>
    </w:p>
    <w:p w14:paraId="11BFD056" w14:textId="1DB71997" w:rsidR="00E90668" w:rsidRPr="00EA4D30" w:rsidRDefault="00863F34" w:rsidP="00E90668">
      <w:pPr>
        <w:rPr>
          <w:color w:val="auto"/>
        </w:rPr>
      </w:pPr>
      <w:r w:rsidRPr="00EA4D30">
        <w:rPr>
          <w:color w:val="auto"/>
        </w:rPr>
        <w:lastRenderedPageBreak/>
        <w:t>A</w:t>
      </w:r>
      <w:r w:rsidR="00A24F29" w:rsidRPr="00EA4D30">
        <w:rPr>
          <w:color w:val="auto"/>
        </w:rPr>
        <w:t xml:space="preserve">ge </w:t>
      </w:r>
      <w:r w:rsidRPr="00EA4D30">
        <w:rPr>
          <w:color w:val="auto"/>
        </w:rPr>
        <w:t xml:space="preserve">and </w:t>
      </w:r>
      <w:r w:rsidR="00F77968" w:rsidRPr="00EA4D30">
        <w:rPr>
          <w:color w:val="auto"/>
        </w:rPr>
        <w:t xml:space="preserve">sex </w:t>
      </w:r>
      <w:r w:rsidR="00A24F29" w:rsidRPr="00EA4D30">
        <w:rPr>
          <w:color w:val="auto"/>
          <w:lang w:val="en-US"/>
        </w:rPr>
        <w:t>distributions</w:t>
      </w:r>
      <w:r w:rsidR="004F1967" w:rsidRPr="00EA4D30">
        <w:rPr>
          <w:color w:val="auto"/>
          <w:lang w:val="en-US"/>
        </w:rPr>
        <w:t xml:space="preserve"> at primary shunt</w:t>
      </w:r>
      <w:r w:rsidR="003B13ED" w:rsidRPr="00EA4D30">
        <w:rPr>
          <w:color w:val="auto"/>
          <w:lang w:val="en-US"/>
        </w:rPr>
        <w:t xml:space="preserve"> insertion</w:t>
      </w:r>
      <w:r w:rsidR="00A24F29" w:rsidRPr="00EA4D30">
        <w:rPr>
          <w:color w:val="auto"/>
          <w:lang w:val="en-US"/>
        </w:rPr>
        <w:t xml:space="preserve"> differed by diagnos</w:t>
      </w:r>
      <w:r w:rsidR="0011719A" w:rsidRPr="00EA4D30">
        <w:rPr>
          <w:color w:val="auto"/>
          <w:lang w:val="en-US"/>
        </w:rPr>
        <w:t>tic</w:t>
      </w:r>
      <w:r w:rsidR="00A24F29" w:rsidRPr="00EA4D30">
        <w:rPr>
          <w:color w:val="auto"/>
          <w:lang w:val="en-US"/>
        </w:rPr>
        <w:t xml:space="preserve"> group </w:t>
      </w:r>
      <w:r w:rsidR="00A24F29" w:rsidRPr="00EA4D30">
        <w:rPr>
          <w:color w:val="auto"/>
        </w:rPr>
        <w:t xml:space="preserve">(Figure 3). </w:t>
      </w:r>
      <w:r w:rsidR="00CA4D85" w:rsidRPr="00EA4D30">
        <w:rPr>
          <w:color w:val="auto"/>
        </w:rPr>
        <w:t xml:space="preserve">Most infants with malformations and IVH were operated </w:t>
      </w:r>
      <w:r w:rsidR="005D2EBE" w:rsidRPr="00EA4D30">
        <w:rPr>
          <w:color w:val="auto"/>
        </w:rPr>
        <w:t xml:space="preserve">on </w:t>
      </w:r>
      <w:r w:rsidR="00CA4D85" w:rsidRPr="00EA4D30">
        <w:rPr>
          <w:color w:val="auto"/>
        </w:rPr>
        <w:t>early, with about 90% (87.</w:t>
      </w:r>
      <w:r w:rsidR="004918FC">
        <w:rPr>
          <w:color w:val="auto"/>
        </w:rPr>
        <w:t>5</w:t>
      </w:r>
      <w:r w:rsidR="00CA4D85" w:rsidRPr="00EA4D30">
        <w:rPr>
          <w:color w:val="auto"/>
        </w:rPr>
        <w:t>% and 90.</w:t>
      </w:r>
      <w:r w:rsidR="000C5C89">
        <w:rPr>
          <w:color w:val="auto"/>
        </w:rPr>
        <w:t>4</w:t>
      </w:r>
      <w:r w:rsidR="00CA4D85" w:rsidRPr="00EA4D30">
        <w:rPr>
          <w:color w:val="auto"/>
        </w:rPr>
        <w:t xml:space="preserve">%, respectively) being operated </w:t>
      </w:r>
      <w:r w:rsidR="005D2EBE" w:rsidRPr="00EA4D30">
        <w:rPr>
          <w:color w:val="auto"/>
        </w:rPr>
        <w:t xml:space="preserve">on </w:t>
      </w:r>
      <w:r w:rsidR="00CA4D85" w:rsidRPr="00EA4D30">
        <w:rPr>
          <w:color w:val="auto"/>
        </w:rPr>
        <w:t xml:space="preserve">at 6 months of </w:t>
      </w:r>
      <w:r w:rsidR="003B13ED" w:rsidRPr="00EA4D30">
        <w:rPr>
          <w:color w:val="auto"/>
        </w:rPr>
        <w:t xml:space="preserve">age </w:t>
      </w:r>
      <w:r w:rsidR="00CA4D85" w:rsidRPr="00EA4D30">
        <w:rPr>
          <w:color w:val="auto"/>
        </w:rPr>
        <w:t>or younger</w:t>
      </w:r>
      <w:r w:rsidR="003B13ED" w:rsidRPr="00BA1326">
        <w:rPr>
          <w:color w:val="auto"/>
        </w:rPr>
        <w:t>. I</w:t>
      </w:r>
      <w:r w:rsidR="00CA4D85" w:rsidRPr="00BA1326">
        <w:rPr>
          <w:color w:val="auto"/>
        </w:rPr>
        <w:t>n the remaining diagnos</w:t>
      </w:r>
      <w:r w:rsidR="003B13ED" w:rsidRPr="00BA1326">
        <w:rPr>
          <w:color w:val="auto"/>
        </w:rPr>
        <w:t>tic</w:t>
      </w:r>
      <w:r w:rsidR="00CA4D85" w:rsidRPr="00BA1326">
        <w:rPr>
          <w:color w:val="auto"/>
        </w:rPr>
        <w:t xml:space="preserve"> groups, </w:t>
      </w:r>
      <w:r w:rsidR="003B13ED" w:rsidRPr="00BA1326">
        <w:rPr>
          <w:color w:val="auto"/>
        </w:rPr>
        <w:t>cases</w:t>
      </w:r>
      <w:r w:rsidR="00CA4D85" w:rsidRPr="00BA1326">
        <w:rPr>
          <w:color w:val="auto"/>
        </w:rPr>
        <w:t xml:space="preserve"> were </w:t>
      </w:r>
      <w:r w:rsidR="003B13ED" w:rsidRPr="00BA1326">
        <w:rPr>
          <w:color w:val="auto"/>
        </w:rPr>
        <w:t>evenly spread</w:t>
      </w:r>
      <w:r w:rsidR="00CA4D85" w:rsidRPr="00BA1326">
        <w:rPr>
          <w:color w:val="auto"/>
        </w:rPr>
        <w:t xml:space="preserve"> across the entire age band.</w:t>
      </w:r>
      <w:r w:rsidRPr="00EA4D30">
        <w:rPr>
          <w:color w:val="auto"/>
        </w:rPr>
        <w:t xml:space="preserve"> Female:male ratios ranged from 8:9 (infection) to 1:</w:t>
      </w:r>
      <w:r w:rsidR="001A2645">
        <w:rPr>
          <w:color w:val="auto"/>
        </w:rPr>
        <w:t>4</w:t>
      </w:r>
      <w:r w:rsidR="001A2645" w:rsidRPr="00EA4D30">
        <w:rPr>
          <w:color w:val="auto"/>
        </w:rPr>
        <w:t xml:space="preserve"> </w:t>
      </w:r>
      <w:r w:rsidRPr="00EA4D30">
        <w:rPr>
          <w:color w:val="auto"/>
        </w:rPr>
        <w:t>(trauma) (Figure 3).</w:t>
      </w:r>
    </w:p>
    <w:p w14:paraId="2E4CE702" w14:textId="57B333B4" w:rsidR="00031670" w:rsidRPr="00EA4D30" w:rsidRDefault="00031670" w:rsidP="00031670">
      <w:pPr>
        <w:pStyle w:val="Heading3"/>
        <w:rPr>
          <w:color w:val="auto"/>
        </w:rPr>
      </w:pPr>
      <w:r w:rsidRPr="00EA4D30">
        <w:rPr>
          <w:color w:val="auto"/>
        </w:rPr>
        <w:t>Children</w:t>
      </w:r>
    </w:p>
    <w:p w14:paraId="6CC00DEA" w14:textId="004659ED" w:rsidR="004565FA" w:rsidRPr="00EA4D30" w:rsidRDefault="00FA3D7E" w:rsidP="00CB5F6C">
      <w:pPr>
        <w:rPr>
          <w:color w:val="auto"/>
        </w:rPr>
      </w:pPr>
      <w:r w:rsidRPr="00EA4D30">
        <w:rPr>
          <w:color w:val="auto"/>
        </w:rPr>
        <w:t>P</w:t>
      </w:r>
      <w:r w:rsidR="00434506" w:rsidRPr="00EA4D30">
        <w:rPr>
          <w:color w:val="auto"/>
        </w:rPr>
        <w:t>rimary shunt insertions repr</w:t>
      </w:r>
      <w:r w:rsidR="00C966CB" w:rsidRPr="00EA4D30">
        <w:rPr>
          <w:color w:val="auto"/>
        </w:rPr>
        <w:t xml:space="preserve">esented </w:t>
      </w:r>
      <w:r w:rsidR="00F67984">
        <w:rPr>
          <w:color w:val="auto"/>
        </w:rPr>
        <w:t>2</w:t>
      </w:r>
      <w:r w:rsidR="00AA1520">
        <w:rPr>
          <w:color w:val="auto"/>
        </w:rPr>
        <w:t>8</w:t>
      </w:r>
      <w:r w:rsidR="00C966CB" w:rsidRPr="00EA4D30">
        <w:rPr>
          <w:color w:val="auto"/>
        </w:rPr>
        <w:t>.</w:t>
      </w:r>
      <w:r w:rsidR="00013498">
        <w:rPr>
          <w:color w:val="auto"/>
        </w:rPr>
        <w:t>9</w:t>
      </w:r>
      <w:r w:rsidR="00C966CB" w:rsidRPr="00EA4D30">
        <w:rPr>
          <w:color w:val="auto"/>
        </w:rPr>
        <w:t>%</w:t>
      </w:r>
      <w:r w:rsidR="00996688" w:rsidRPr="00EA4D30">
        <w:rPr>
          <w:color w:val="auto"/>
        </w:rPr>
        <w:t xml:space="preserve"> (</w:t>
      </w:r>
      <w:r w:rsidR="00F67984" w:rsidRPr="00EA4D30">
        <w:rPr>
          <w:color w:val="auto"/>
        </w:rPr>
        <w:t>2</w:t>
      </w:r>
      <w:r w:rsidR="00F67984">
        <w:rPr>
          <w:color w:val="auto"/>
        </w:rPr>
        <w:t>7</w:t>
      </w:r>
      <w:r w:rsidR="00996688" w:rsidRPr="00EA4D30">
        <w:rPr>
          <w:color w:val="auto"/>
        </w:rPr>
        <w:t>.</w:t>
      </w:r>
      <w:r w:rsidR="00F67984">
        <w:rPr>
          <w:color w:val="auto"/>
        </w:rPr>
        <w:t>9</w:t>
      </w:r>
      <w:r w:rsidR="00996688" w:rsidRPr="00EA4D30">
        <w:rPr>
          <w:color w:val="auto"/>
        </w:rPr>
        <w:t xml:space="preserve">, </w:t>
      </w:r>
      <w:r w:rsidR="00F67984">
        <w:rPr>
          <w:color w:val="auto"/>
        </w:rPr>
        <w:t>29</w:t>
      </w:r>
      <w:r w:rsidR="00996688" w:rsidRPr="00EA4D30">
        <w:rPr>
          <w:color w:val="auto"/>
        </w:rPr>
        <w:t>.</w:t>
      </w:r>
      <w:r w:rsidR="00F67984">
        <w:rPr>
          <w:color w:val="auto"/>
        </w:rPr>
        <w:t>8</w:t>
      </w:r>
      <w:r w:rsidR="00996688" w:rsidRPr="00EA4D30">
        <w:rPr>
          <w:color w:val="auto"/>
        </w:rPr>
        <w:t>)</w:t>
      </w:r>
      <w:r w:rsidR="00C966CB" w:rsidRPr="00EA4D30">
        <w:rPr>
          <w:color w:val="auto"/>
        </w:rPr>
        <w:t xml:space="preserve"> of all procedures</w:t>
      </w:r>
      <w:r w:rsidRPr="00EA4D30">
        <w:rPr>
          <w:color w:val="auto"/>
        </w:rPr>
        <w:t xml:space="preserve"> in children with a</w:t>
      </w:r>
      <w:r w:rsidR="00001693" w:rsidRPr="00EA4D30">
        <w:rPr>
          <w:color w:val="auto"/>
        </w:rPr>
        <w:t xml:space="preserve"> median age</w:t>
      </w:r>
      <w:r w:rsidRPr="00EA4D30">
        <w:rPr>
          <w:color w:val="auto"/>
        </w:rPr>
        <w:t xml:space="preserve"> of 7.</w:t>
      </w:r>
      <w:r w:rsidR="001A65C3">
        <w:rPr>
          <w:color w:val="auto"/>
        </w:rPr>
        <w:t>6</w:t>
      </w:r>
      <w:r w:rsidR="001A65C3" w:rsidRPr="00EA4D30">
        <w:rPr>
          <w:color w:val="auto"/>
        </w:rPr>
        <w:t xml:space="preserve"> </w:t>
      </w:r>
      <w:r w:rsidRPr="00EA4D30">
        <w:rPr>
          <w:color w:val="auto"/>
        </w:rPr>
        <w:t xml:space="preserve">years at first insertion. As in infants, </w:t>
      </w:r>
      <w:r w:rsidR="007E6A6E" w:rsidRPr="00EA4D30">
        <w:rPr>
          <w:color w:val="auto"/>
        </w:rPr>
        <w:t>there were less</w:t>
      </w:r>
      <w:r w:rsidR="00C966CB" w:rsidRPr="00EA4D30">
        <w:rPr>
          <w:color w:val="auto"/>
        </w:rPr>
        <w:t xml:space="preserve"> females than males overall (</w:t>
      </w:r>
      <w:r w:rsidR="00833B4D">
        <w:t>Table 1</w:t>
      </w:r>
      <w:r w:rsidR="00C966CB" w:rsidRPr="00EA4D30">
        <w:rPr>
          <w:color w:val="auto"/>
        </w:rPr>
        <w:t>).</w:t>
      </w:r>
      <w:r w:rsidR="0063041E" w:rsidRPr="00EA4D30">
        <w:rPr>
          <w:color w:val="auto"/>
        </w:rPr>
        <w:t xml:space="preserve"> </w:t>
      </w:r>
    </w:p>
    <w:p w14:paraId="2A332977" w14:textId="19B79CCB" w:rsidR="004A4654" w:rsidRPr="00EA4D30" w:rsidRDefault="00C966CB" w:rsidP="00CB5F6C">
      <w:pPr>
        <w:rPr>
          <w:color w:val="auto"/>
        </w:rPr>
      </w:pPr>
      <w:r w:rsidRPr="00EA4D30">
        <w:rPr>
          <w:color w:val="auto"/>
        </w:rPr>
        <w:t>The most common diagnoses were tumours</w:t>
      </w:r>
      <w:r w:rsidR="004A4654" w:rsidRPr="00EA4D30">
        <w:rPr>
          <w:color w:val="auto"/>
        </w:rPr>
        <w:t xml:space="preserve"> (</w:t>
      </w:r>
      <w:r w:rsidR="00A86B3F" w:rsidRPr="00EA4D30">
        <w:rPr>
          <w:color w:val="auto"/>
        </w:rPr>
        <w:t>40.</w:t>
      </w:r>
      <w:r w:rsidR="007137B1">
        <w:rPr>
          <w:color w:val="auto"/>
        </w:rPr>
        <w:t>5</w:t>
      </w:r>
      <w:r w:rsidR="00A86B3F" w:rsidRPr="00EA4D30">
        <w:rPr>
          <w:color w:val="auto"/>
        </w:rPr>
        <w:t>% [38.6, 42.</w:t>
      </w:r>
      <w:r w:rsidR="00E907B8">
        <w:rPr>
          <w:color w:val="auto"/>
        </w:rPr>
        <w:t>5</w:t>
      </w:r>
      <w:r w:rsidR="00A86B3F" w:rsidRPr="00EA4D30">
        <w:rPr>
          <w:color w:val="auto"/>
        </w:rPr>
        <w:t>]</w:t>
      </w:r>
      <w:r w:rsidR="004A4654" w:rsidRPr="00EA4D30">
        <w:rPr>
          <w:color w:val="auto"/>
        </w:rPr>
        <w:t>)</w:t>
      </w:r>
      <w:r w:rsidR="00BF7AEE" w:rsidRPr="00EA4D30">
        <w:rPr>
          <w:color w:val="auto"/>
        </w:rPr>
        <w:t xml:space="preserve"> and</w:t>
      </w:r>
      <w:r w:rsidRPr="00EA4D30">
        <w:rPr>
          <w:color w:val="auto"/>
        </w:rPr>
        <w:t xml:space="preserve"> malformations</w:t>
      </w:r>
      <w:r w:rsidR="004A4654" w:rsidRPr="00EA4D30">
        <w:rPr>
          <w:color w:val="auto"/>
        </w:rPr>
        <w:t xml:space="preserve"> (</w:t>
      </w:r>
      <w:r w:rsidR="00E907B8" w:rsidRPr="00EA4D30">
        <w:rPr>
          <w:color w:val="auto"/>
        </w:rPr>
        <w:t>1</w:t>
      </w:r>
      <w:r w:rsidR="00E907B8">
        <w:rPr>
          <w:color w:val="auto"/>
        </w:rPr>
        <w:t>6</w:t>
      </w:r>
      <w:r w:rsidR="00A86B3F" w:rsidRPr="00EA4D30">
        <w:rPr>
          <w:color w:val="auto"/>
        </w:rPr>
        <w:t>.</w:t>
      </w:r>
      <w:r w:rsidR="00E907B8">
        <w:rPr>
          <w:color w:val="auto"/>
        </w:rPr>
        <w:t>3</w:t>
      </w:r>
      <w:r w:rsidR="00A86B3F" w:rsidRPr="00EA4D30">
        <w:rPr>
          <w:color w:val="auto"/>
        </w:rPr>
        <w:t>% [14.</w:t>
      </w:r>
      <w:r w:rsidR="00E907B8">
        <w:rPr>
          <w:color w:val="auto"/>
        </w:rPr>
        <w:t>8</w:t>
      </w:r>
      <w:r w:rsidR="00A86B3F" w:rsidRPr="00EA4D30">
        <w:rPr>
          <w:color w:val="auto"/>
        </w:rPr>
        <w:t xml:space="preserve">, </w:t>
      </w:r>
      <w:r w:rsidR="00E907B8" w:rsidRPr="00EA4D30">
        <w:rPr>
          <w:color w:val="auto"/>
        </w:rPr>
        <w:t>1</w:t>
      </w:r>
      <w:r w:rsidR="00E907B8">
        <w:rPr>
          <w:color w:val="auto"/>
        </w:rPr>
        <w:t>7</w:t>
      </w:r>
      <w:r w:rsidR="00A86B3F" w:rsidRPr="00EA4D30">
        <w:rPr>
          <w:color w:val="auto"/>
        </w:rPr>
        <w:t>.7]</w:t>
      </w:r>
      <w:r w:rsidR="004A4654" w:rsidRPr="00EA4D30">
        <w:rPr>
          <w:color w:val="auto"/>
        </w:rPr>
        <w:t>)</w:t>
      </w:r>
      <w:r w:rsidRPr="00EA4D30">
        <w:rPr>
          <w:color w:val="auto"/>
        </w:rPr>
        <w:t xml:space="preserve"> (</w:t>
      </w:r>
      <w:r w:rsidR="00833B4D">
        <w:t>Table 1</w:t>
      </w:r>
      <w:r w:rsidRPr="00EA4D30">
        <w:rPr>
          <w:color w:val="auto"/>
        </w:rPr>
        <w:t xml:space="preserve">). </w:t>
      </w:r>
      <w:r w:rsidR="00CB5F6C" w:rsidRPr="00EA4D30">
        <w:rPr>
          <w:color w:val="auto"/>
        </w:rPr>
        <w:t>Underdrainage was the most common reason for revision (</w:t>
      </w:r>
      <w:r w:rsidR="00996688" w:rsidRPr="00EA4D30">
        <w:rPr>
          <w:color w:val="auto"/>
        </w:rPr>
        <w:t>66.</w:t>
      </w:r>
      <w:r w:rsidR="00E317E8">
        <w:rPr>
          <w:color w:val="auto"/>
        </w:rPr>
        <w:t>3</w:t>
      </w:r>
      <w:r w:rsidR="00996688" w:rsidRPr="00EA4D30">
        <w:rPr>
          <w:color w:val="auto"/>
        </w:rPr>
        <w:t>% [60.</w:t>
      </w:r>
      <w:r w:rsidR="00013E7F">
        <w:rPr>
          <w:color w:val="auto"/>
        </w:rPr>
        <w:t>7</w:t>
      </w:r>
      <w:r w:rsidR="00996688" w:rsidRPr="00EA4D30">
        <w:rPr>
          <w:color w:val="auto"/>
        </w:rPr>
        <w:t>, 71.</w:t>
      </w:r>
      <w:r w:rsidR="00013E7F">
        <w:rPr>
          <w:color w:val="auto"/>
        </w:rPr>
        <w:t>7</w:t>
      </w:r>
      <w:r w:rsidR="00996688" w:rsidRPr="00EA4D30">
        <w:rPr>
          <w:color w:val="auto"/>
        </w:rPr>
        <w:t>]</w:t>
      </w:r>
      <w:r w:rsidR="00CB5F6C" w:rsidRPr="00EA4D30">
        <w:rPr>
          <w:color w:val="auto"/>
        </w:rPr>
        <w:t>), followed by shunt infection (</w:t>
      </w:r>
      <w:r w:rsidR="00757721" w:rsidRPr="00EA4D30">
        <w:rPr>
          <w:color w:val="auto"/>
        </w:rPr>
        <w:t>1</w:t>
      </w:r>
      <w:r w:rsidR="00757721">
        <w:rPr>
          <w:color w:val="auto"/>
        </w:rPr>
        <w:t>1</w:t>
      </w:r>
      <w:r w:rsidR="00996688" w:rsidRPr="00EA4D30">
        <w:rPr>
          <w:color w:val="auto"/>
        </w:rPr>
        <w:t>.</w:t>
      </w:r>
      <w:r w:rsidR="000E6825">
        <w:rPr>
          <w:color w:val="auto"/>
        </w:rPr>
        <w:t>7</w:t>
      </w:r>
      <w:r w:rsidR="00996688" w:rsidRPr="00EA4D30">
        <w:rPr>
          <w:color w:val="auto"/>
        </w:rPr>
        <w:t>% [</w:t>
      </w:r>
      <w:r w:rsidR="00757721">
        <w:rPr>
          <w:color w:val="auto"/>
        </w:rPr>
        <w:t>8</w:t>
      </w:r>
      <w:r w:rsidR="00996688" w:rsidRPr="00EA4D30">
        <w:rPr>
          <w:color w:val="auto"/>
        </w:rPr>
        <w:t>.</w:t>
      </w:r>
      <w:r w:rsidR="00013E7F">
        <w:rPr>
          <w:color w:val="auto"/>
        </w:rPr>
        <w:t>2</w:t>
      </w:r>
      <w:r w:rsidR="00996688" w:rsidRPr="00EA4D30">
        <w:rPr>
          <w:color w:val="auto"/>
        </w:rPr>
        <w:t xml:space="preserve">, </w:t>
      </w:r>
      <w:r w:rsidR="00757721" w:rsidRPr="00EA4D30">
        <w:rPr>
          <w:color w:val="auto"/>
        </w:rPr>
        <w:t>1</w:t>
      </w:r>
      <w:r w:rsidR="00757721">
        <w:rPr>
          <w:color w:val="auto"/>
        </w:rPr>
        <w:t>5</w:t>
      </w:r>
      <w:r w:rsidR="00996688" w:rsidRPr="00EA4D30">
        <w:rPr>
          <w:color w:val="auto"/>
        </w:rPr>
        <w:t>.</w:t>
      </w:r>
      <w:r w:rsidR="000E6825">
        <w:rPr>
          <w:color w:val="auto"/>
        </w:rPr>
        <w:t>9</w:t>
      </w:r>
      <w:r w:rsidR="00996688" w:rsidRPr="00EA4D30">
        <w:rPr>
          <w:color w:val="auto"/>
        </w:rPr>
        <w:t xml:space="preserve">]) </w:t>
      </w:r>
      <w:r w:rsidR="00CB5F6C" w:rsidRPr="00EA4D30">
        <w:rPr>
          <w:color w:val="auto"/>
        </w:rPr>
        <w:t>(</w:t>
      </w:r>
      <w:r w:rsidR="00833B4D">
        <w:t>Table 1</w:t>
      </w:r>
      <w:r w:rsidR="00CB5F6C" w:rsidRPr="00EA4D30">
        <w:rPr>
          <w:color w:val="auto"/>
        </w:rPr>
        <w:t>).</w:t>
      </w:r>
      <w:r w:rsidR="004A4654" w:rsidRPr="00EA4D30">
        <w:rPr>
          <w:color w:val="auto"/>
        </w:rPr>
        <w:t xml:space="preserve"> </w:t>
      </w:r>
    </w:p>
    <w:p w14:paraId="1C1D8484" w14:textId="794C82A9" w:rsidR="00CB5F6C" w:rsidRPr="00EA4D30" w:rsidRDefault="004A4654" w:rsidP="00CB5F6C">
      <w:pPr>
        <w:rPr>
          <w:color w:val="auto"/>
        </w:rPr>
      </w:pPr>
      <w:r w:rsidRPr="00172FB8">
        <w:rPr>
          <w:color w:val="auto"/>
        </w:rPr>
        <w:t>As with infants, age and sex distributions</w:t>
      </w:r>
      <w:r w:rsidR="004F1967" w:rsidRPr="00172FB8">
        <w:rPr>
          <w:color w:val="auto"/>
        </w:rPr>
        <w:t xml:space="preserve"> at primary </w:t>
      </w:r>
      <w:r w:rsidR="00BF7AEE" w:rsidRPr="00172FB8">
        <w:rPr>
          <w:color w:val="auto"/>
        </w:rPr>
        <w:t>insertion</w:t>
      </w:r>
      <w:r w:rsidRPr="00172FB8">
        <w:rPr>
          <w:color w:val="auto"/>
        </w:rPr>
        <w:t xml:space="preserve"> varied depending on underlying diagnosis. The number </w:t>
      </w:r>
      <w:r w:rsidR="00DE27F1" w:rsidRPr="00172FB8">
        <w:rPr>
          <w:color w:val="auto"/>
        </w:rPr>
        <w:t xml:space="preserve">of </w:t>
      </w:r>
      <w:r w:rsidRPr="00172FB8">
        <w:rPr>
          <w:color w:val="auto"/>
        </w:rPr>
        <w:t xml:space="preserve">tumour-related shunts decreased with age (Figure 4), while the remaining diagnostic groups had relatively </w:t>
      </w:r>
      <w:r w:rsidR="00064E32" w:rsidRPr="00172FB8">
        <w:rPr>
          <w:color w:val="auto"/>
        </w:rPr>
        <w:t>even distributions</w:t>
      </w:r>
      <w:r w:rsidR="00E71F18" w:rsidRPr="00AF1206">
        <w:rPr>
          <w:color w:val="auto"/>
        </w:rPr>
        <w:t>. Exceptions were</w:t>
      </w:r>
      <w:r w:rsidRPr="00172FB8">
        <w:rPr>
          <w:color w:val="auto"/>
        </w:rPr>
        <w:t xml:space="preserve"> </w:t>
      </w:r>
      <w:r w:rsidR="00020802" w:rsidRPr="00172FB8">
        <w:rPr>
          <w:color w:val="auto"/>
        </w:rPr>
        <w:t>children</w:t>
      </w:r>
      <w:r w:rsidRPr="00172FB8">
        <w:rPr>
          <w:color w:val="auto"/>
        </w:rPr>
        <w:t xml:space="preserve"> with malformations,</w:t>
      </w:r>
      <w:r w:rsidR="00064E32" w:rsidRPr="00172FB8">
        <w:rPr>
          <w:color w:val="auto"/>
        </w:rPr>
        <w:t xml:space="preserve"> cysts or IVH,</w:t>
      </w:r>
      <w:r w:rsidRPr="00172FB8">
        <w:rPr>
          <w:color w:val="auto"/>
        </w:rPr>
        <w:t xml:space="preserve"> who were diagnosed and/or operated at earlier ages</w:t>
      </w:r>
      <w:r w:rsidR="00E71F18" w:rsidRPr="00AF1206">
        <w:rPr>
          <w:color w:val="auto"/>
        </w:rPr>
        <w:t>, and female children with IIH who were operated at later ages</w:t>
      </w:r>
      <w:r w:rsidRPr="00172FB8">
        <w:rPr>
          <w:color w:val="auto"/>
        </w:rPr>
        <w:t xml:space="preserve"> (Figure 4).</w:t>
      </w:r>
      <w:r w:rsidR="00020802" w:rsidRPr="00EA4D30">
        <w:rPr>
          <w:color w:val="auto"/>
        </w:rPr>
        <w:t xml:space="preserve"> F</w:t>
      </w:r>
      <w:r w:rsidRPr="00EA4D30">
        <w:rPr>
          <w:color w:val="auto"/>
        </w:rPr>
        <w:t>emale:male ratio</w:t>
      </w:r>
      <w:r w:rsidR="00020802" w:rsidRPr="00EA4D30">
        <w:rPr>
          <w:color w:val="auto"/>
        </w:rPr>
        <w:t>s</w:t>
      </w:r>
      <w:r w:rsidRPr="00EA4D30">
        <w:rPr>
          <w:color w:val="auto"/>
        </w:rPr>
        <w:t xml:space="preserve"> rang</w:t>
      </w:r>
      <w:r w:rsidR="00020802" w:rsidRPr="00EA4D30">
        <w:rPr>
          <w:color w:val="auto"/>
        </w:rPr>
        <w:t>ed</w:t>
      </w:r>
      <w:r w:rsidRPr="00EA4D30">
        <w:rPr>
          <w:color w:val="auto"/>
        </w:rPr>
        <w:t xml:space="preserve"> from </w:t>
      </w:r>
      <w:r w:rsidR="00F8453A">
        <w:rPr>
          <w:color w:val="auto"/>
        </w:rPr>
        <w:t>1</w:t>
      </w:r>
      <w:r w:rsidRPr="00EA4D30">
        <w:rPr>
          <w:color w:val="auto"/>
        </w:rPr>
        <w:t>:</w:t>
      </w:r>
      <w:r w:rsidR="00F8453A">
        <w:rPr>
          <w:color w:val="auto"/>
        </w:rPr>
        <w:t>1</w:t>
      </w:r>
      <w:r w:rsidR="00F8453A" w:rsidRPr="00EA4D30">
        <w:rPr>
          <w:color w:val="auto"/>
        </w:rPr>
        <w:t xml:space="preserve"> </w:t>
      </w:r>
      <w:r w:rsidRPr="00EA4D30">
        <w:rPr>
          <w:color w:val="auto"/>
        </w:rPr>
        <w:t xml:space="preserve">(infections and other </w:t>
      </w:r>
      <w:r w:rsidR="00F8453A">
        <w:rPr>
          <w:color w:val="auto"/>
        </w:rPr>
        <w:t xml:space="preserve">unspecified </w:t>
      </w:r>
      <w:r w:rsidRPr="00EA4D30">
        <w:rPr>
          <w:color w:val="auto"/>
        </w:rPr>
        <w:t>acquired</w:t>
      </w:r>
      <w:r w:rsidR="00020802" w:rsidRPr="00EA4D30">
        <w:rPr>
          <w:color w:val="auto"/>
        </w:rPr>
        <w:t xml:space="preserve"> conditions</w:t>
      </w:r>
      <w:r w:rsidRPr="00EA4D30">
        <w:rPr>
          <w:color w:val="auto"/>
        </w:rPr>
        <w:t xml:space="preserve">) to </w:t>
      </w:r>
      <w:r w:rsidR="007C0EB9">
        <w:rPr>
          <w:color w:val="auto"/>
        </w:rPr>
        <w:t>2</w:t>
      </w:r>
      <w:r w:rsidRPr="00EA4D30">
        <w:rPr>
          <w:color w:val="auto"/>
        </w:rPr>
        <w:t>:</w:t>
      </w:r>
      <w:r w:rsidR="007C0EB9">
        <w:rPr>
          <w:color w:val="auto"/>
        </w:rPr>
        <w:t>5</w:t>
      </w:r>
      <w:r w:rsidR="007C0EB9" w:rsidRPr="00EA4D30">
        <w:rPr>
          <w:color w:val="auto"/>
        </w:rPr>
        <w:t xml:space="preserve"> </w:t>
      </w:r>
      <w:r w:rsidRPr="00EA4D30">
        <w:rPr>
          <w:color w:val="auto"/>
        </w:rPr>
        <w:t>(</w:t>
      </w:r>
      <w:r w:rsidR="007C0EB9">
        <w:rPr>
          <w:color w:val="auto"/>
        </w:rPr>
        <w:t>Cysts</w:t>
      </w:r>
      <w:r w:rsidRPr="00EA4D30">
        <w:rPr>
          <w:color w:val="auto"/>
        </w:rPr>
        <w:t>). The exception was children with IIH amongst whom there was a higher female:male ratio (5:4) (Figure 4).</w:t>
      </w:r>
    </w:p>
    <w:p w14:paraId="0B597F69" w14:textId="1983B713" w:rsidR="00FF2706" w:rsidRPr="00EA4D30" w:rsidRDefault="00020802" w:rsidP="00FF2706">
      <w:pPr>
        <w:pStyle w:val="Heading3"/>
        <w:rPr>
          <w:color w:val="auto"/>
        </w:rPr>
      </w:pPr>
      <w:r w:rsidRPr="00EA4D30">
        <w:rPr>
          <w:color w:val="auto"/>
        </w:rPr>
        <w:t>A</w:t>
      </w:r>
      <w:r w:rsidR="00FF2706" w:rsidRPr="00EA4D30">
        <w:rPr>
          <w:color w:val="auto"/>
        </w:rPr>
        <w:t>dults</w:t>
      </w:r>
    </w:p>
    <w:p w14:paraId="3D440FAA" w14:textId="67C76962" w:rsidR="00C33EAA" w:rsidRPr="00EA4D30" w:rsidRDefault="00FA3D7E" w:rsidP="00C33EAA">
      <w:pPr>
        <w:rPr>
          <w:color w:val="auto"/>
        </w:rPr>
      </w:pPr>
      <w:r w:rsidRPr="00EA4D30">
        <w:rPr>
          <w:color w:val="auto"/>
        </w:rPr>
        <w:t xml:space="preserve">Primary shunt insertions represented </w:t>
      </w:r>
      <w:r w:rsidR="00F121C8" w:rsidRPr="00EA4D30">
        <w:rPr>
          <w:color w:val="auto"/>
        </w:rPr>
        <w:t>5</w:t>
      </w:r>
      <w:r w:rsidR="00F121C8">
        <w:rPr>
          <w:color w:val="auto"/>
        </w:rPr>
        <w:t>5</w:t>
      </w:r>
      <w:r w:rsidRPr="00EA4D30">
        <w:rPr>
          <w:color w:val="auto"/>
        </w:rPr>
        <w:t>.</w:t>
      </w:r>
      <w:r w:rsidR="00F121C8">
        <w:rPr>
          <w:color w:val="auto"/>
        </w:rPr>
        <w:t>9</w:t>
      </w:r>
      <w:r w:rsidRPr="00EA4D30">
        <w:rPr>
          <w:color w:val="auto"/>
        </w:rPr>
        <w:t>%</w:t>
      </w:r>
      <w:r w:rsidR="00B07D81" w:rsidRPr="00EA4D30">
        <w:rPr>
          <w:color w:val="auto"/>
        </w:rPr>
        <w:t xml:space="preserve"> (</w:t>
      </w:r>
      <w:r w:rsidR="00F121C8" w:rsidRPr="00EA4D30">
        <w:rPr>
          <w:color w:val="auto"/>
        </w:rPr>
        <w:t>5</w:t>
      </w:r>
      <w:r w:rsidR="00F121C8">
        <w:rPr>
          <w:color w:val="auto"/>
        </w:rPr>
        <w:t>5</w:t>
      </w:r>
      <w:r w:rsidR="00B07D81" w:rsidRPr="00EA4D30">
        <w:rPr>
          <w:color w:val="auto"/>
        </w:rPr>
        <w:t>.</w:t>
      </w:r>
      <w:r w:rsidR="00F121C8">
        <w:rPr>
          <w:color w:val="auto"/>
        </w:rPr>
        <w:t>3</w:t>
      </w:r>
      <w:r w:rsidR="00B07D81" w:rsidRPr="00EA4D30">
        <w:rPr>
          <w:color w:val="auto"/>
        </w:rPr>
        <w:t xml:space="preserve">, </w:t>
      </w:r>
      <w:r w:rsidR="00083231" w:rsidRPr="00EA4D30">
        <w:rPr>
          <w:color w:val="auto"/>
        </w:rPr>
        <w:t>5</w:t>
      </w:r>
      <w:r w:rsidR="00083231">
        <w:rPr>
          <w:color w:val="auto"/>
        </w:rPr>
        <w:t>6</w:t>
      </w:r>
      <w:r w:rsidR="00B07D81" w:rsidRPr="00EA4D30">
        <w:rPr>
          <w:color w:val="auto"/>
        </w:rPr>
        <w:t>.</w:t>
      </w:r>
      <w:r w:rsidR="00083231">
        <w:rPr>
          <w:color w:val="auto"/>
        </w:rPr>
        <w:t>5</w:t>
      </w:r>
      <w:r w:rsidR="00B07D81" w:rsidRPr="00EA4D30">
        <w:rPr>
          <w:color w:val="auto"/>
        </w:rPr>
        <w:t>)</w:t>
      </w:r>
      <w:r w:rsidRPr="00EA4D30">
        <w:rPr>
          <w:color w:val="auto"/>
        </w:rPr>
        <w:t xml:space="preserve"> of all procedures in adults with a median age of 55.</w:t>
      </w:r>
      <w:r w:rsidR="00083231">
        <w:rPr>
          <w:color w:val="auto"/>
        </w:rPr>
        <w:t>3</w:t>
      </w:r>
      <w:r w:rsidR="00083231" w:rsidRPr="00EA4D30">
        <w:rPr>
          <w:color w:val="auto"/>
        </w:rPr>
        <w:t xml:space="preserve"> </w:t>
      </w:r>
      <w:r w:rsidRPr="00EA4D30">
        <w:rPr>
          <w:color w:val="auto"/>
        </w:rPr>
        <w:t xml:space="preserve">years at first insertion. </w:t>
      </w:r>
      <w:r w:rsidR="00225CB6" w:rsidRPr="00EA4D30">
        <w:rPr>
          <w:color w:val="auto"/>
        </w:rPr>
        <w:t>In contrast to the younger age groups</w:t>
      </w:r>
      <w:r w:rsidRPr="00EA4D30">
        <w:rPr>
          <w:color w:val="auto"/>
        </w:rPr>
        <w:t xml:space="preserve">, there were </w:t>
      </w:r>
      <w:r w:rsidR="00225CB6" w:rsidRPr="00EA4D30">
        <w:rPr>
          <w:color w:val="auto"/>
        </w:rPr>
        <w:t>more</w:t>
      </w:r>
      <w:r w:rsidRPr="00EA4D30">
        <w:rPr>
          <w:color w:val="auto"/>
        </w:rPr>
        <w:t xml:space="preserve"> females than males overall (</w:t>
      </w:r>
      <w:r w:rsidR="00833B4D">
        <w:t>Table 1</w:t>
      </w:r>
      <w:r w:rsidRPr="00EA4D30">
        <w:rPr>
          <w:color w:val="auto"/>
        </w:rPr>
        <w:t>).</w:t>
      </w:r>
    </w:p>
    <w:p w14:paraId="12B7EEB3" w14:textId="7B52FFDD" w:rsidR="00FF2706" w:rsidRDefault="00D52854" w:rsidP="00FF2706">
      <w:pPr>
        <w:rPr>
          <w:color w:val="auto"/>
        </w:rPr>
      </w:pPr>
      <w:r w:rsidRPr="00EA4D30">
        <w:rPr>
          <w:color w:val="auto"/>
        </w:rPr>
        <w:t xml:space="preserve">The </w:t>
      </w:r>
      <w:r w:rsidR="00064E32" w:rsidRPr="00EA4D30">
        <w:rPr>
          <w:color w:val="auto"/>
        </w:rPr>
        <w:t>commonest</w:t>
      </w:r>
      <w:r w:rsidRPr="00EA4D30">
        <w:rPr>
          <w:color w:val="auto"/>
        </w:rPr>
        <w:t xml:space="preserve"> diagnoses</w:t>
      </w:r>
      <w:r w:rsidR="00DE27F1" w:rsidRPr="00EA4D30">
        <w:rPr>
          <w:color w:val="auto"/>
        </w:rPr>
        <w:t xml:space="preserve"> in adults</w:t>
      </w:r>
      <w:r w:rsidRPr="00EA4D30">
        <w:rPr>
          <w:color w:val="auto"/>
        </w:rPr>
        <w:t xml:space="preserve"> were tumours (</w:t>
      </w:r>
      <w:r w:rsidR="00D14B79" w:rsidRPr="00EA4D30">
        <w:rPr>
          <w:color w:val="auto"/>
        </w:rPr>
        <w:t>2</w:t>
      </w:r>
      <w:r w:rsidR="00D14B79">
        <w:rPr>
          <w:color w:val="auto"/>
        </w:rPr>
        <w:t>4</w:t>
      </w:r>
      <w:r w:rsidR="00B07D81" w:rsidRPr="00EA4D30">
        <w:rPr>
          <w:color w:val="auto"/>
        </w:rPr>
        <w:t>.</w:t>
      </w:r>
      <w:r w:rsidR="00D14B79">
        <w:rPr>
          <w:color w:val="auto"/>
        </w:rPr>
        <w:t>6</w:t>
      </w:r>
      <w:r w:rsidR="00B07D81" w:rsidRPr="00EA4D30">
        <w:rPr>
          <w:color w:val="auto"/>
        </w:rPr>
        <w:t>%</w:t>
      </w:r>
      <w:r w:rsidR="00BD452B">
        <w:rPr>
          <w:color w:val="auto"/>
        </w:rPr>
        <w:t xml:space="preserve"> </w:t>
      </w:r>
      <w:r w:rsidR="00B07D81" w:rsidRPr="00EA4D30">
        <w:rPr>
          <w:color w:val="auto"/>
        </w:rPr>
        <w:t>[</w:t>
      </w:r>
      <w:r w:rsidR="00D14B79" w:rsidRPr="00EA4D30">
        <w:rPr>
          <w:color w:val="auto"/>
        </w:rPr>
        <w:t>2</w:t>
      </w:r>
      <w:r w:rsidR="00D14B79">
        <w:rPr>
          <w:color w:val="auto"/>
        </w:rPr>
        <w:t>3</w:t>
      </w:r>
      <w:r w:rsidR="00B07D81" w:rsidRPr="00EA4D30">
        <w:rPr>
          <w:color w:val="auto"/>
        </w:rPr>
        <w:t>.</w:t>
      </w:r>
      <w:r w:rsidR="00D14B79">
        <w:rPr>
          <w:color w:val="auto"/>
        </w:rPr>
        <w:t>9</w:t>
      </w:r>
      <w:r w:rsidR="00B07D81" w:rsidRPr="00EA4D30">
        <w:rPr>
          <w:color w:val="auto"/>
        </w:rPr>
        <w:t>, 2</w:t>
      </w:r>
      <w:r w:rsidR="00D14B79">
        <w:rPr>
          <w:color w:val="auto"/>
        </w:rPr>
        <w:t>5.</w:t>
      </w:r>
      <w:r w:rsidR="00B07D81" w:rsidRPr="00EA4D30">
        <w:rPr>
          <w:color w:val="auto"/>
        </w:rPr>
        <w:t>3]</w:t>
      </w:r>
      <w:r w:rsidRPr="00EA4D30">
        <w:rPr>
          <w:color w:val="auto"/>
        </w:rPr>
        <w:t>) and post-haemorrhagic hydrocephalus (</w:t>
      </w:r>
      <w:r w:rsidR="00D14B79">
        <w:rPr>
          <w:color w:val="auto"/>
        </w:rPr>
        <w:t>16</w:t>
      </w:r>
      <w:r w:rsidR="00B07D81" w:rsidRPr="00EA4D30">
        <w:rPr>
          <w:color w:val="auto"/>
        </w:rPr>
        <w:t>.</w:t>
      </w:r>
      <w:r w:rsidR="00D14B79">
        <w:rPr>
          <w:color w:val="auto"/>
        </w:rPr>
        <w:t>2</w:t>
      </w:r>
      <w:r w:rsidR="00B07D81" w:rsidRPr="00EA4D30">
        <w:rPr>
          <w:color w:val="auto"/>
        </w:rPr>
        <w:t>% [</w:t>
      </w:r>
      <w:r w:rsidR="005457CC">
        <w:rPr>
          <w:color w:val="auto"/>
        </w:rPr>
        <w:t>15</w:t>
      </w:r>
      <w:r w:rsidR="00B07D81" w:rsidRPr="00EA4D30">
        <w:rPr>
          <w:color w:val="auto"/>
        </w:rPr>
        <w:t>.</w:t>
      </w:r>
      <w:r w:rsidR="005457CC">
        <w:rPr>
          <w:color w:val="auto"/>
        </w:rPr>
        <w:t>6</w:t>
      </w:r>
      <w:r w:rsidR="00B07D81" w:rsidRPr="00EA4D30">
        <w:rPr>
          <w:color w:val="auto"/>
        </w:rPr>
        <w:t xml:space="preserve">, </w:t>
      </w:r>
      <w:r w:rsidR="005457CC">
        <w:rPr>
          <w:color w:val="auto"/>
        </w:rPr>
        <w:t>16</w:t>
      </w:r>
      <w:r w:rsidR="00B07D81" w:rsidRPr="00EA4D30">
        <w:rPr>
          <w:color w:val="auto"/>
        </w:rPr>
        <w:t>.</w:t>
      </w:r>
      <w:r w:rsidR="005457CC">
        <w:rPr>
          <w:color w:val="auto"/>
        </w:rPr>
        <w:t>8</w:t>
      </w:r>
      <w:r w:rsidR="00B07D81" w:rsidRPr="00EA4D30">
        <w:rPr>
          <w:color w:val="auto"/>
        </w:rPr>
        <w:t>]</w:t>
      </w:r>
      <w:r w:rsidRPr="00EA4D30">
        <w:rPr>
          <w:color w:val="auto"/>
        </w:rPr>
        <w:t>) (</w:t>
      </w:r>
      <w:r w:rsidR="00833B4D">
        <w:t>Table 1</w:t>
      </w:r>
      <w:r w:rsidRPr="00EA4D30">
        <w:rPr>
          <w:color w:val="auto"/>
        </w:rPr>
        <w:t xml:space="preserve">), </w:t>
      </w:r>
      <w:r w:rsidR="004565FA" w:rsidRPr="00EA4D30">
        <w:rPr>
          <w:color w:val="auto"/>
        </w:rPr>
        <w:t>with</w:t>
      </w:r>
      <w:r w:rsidRPr="00EA4D30">
        <w:rPr>
          <w:color w:val="auto"/>
        </w:rPr>
        <w:t xml:space="preserve"> post-haemorrhagic events being</w:t>
      </w:r>
      <w:r w:rsidR="004565FA" w:rsidRPr="00EA4D30">
        <w:rPr>
          <w:color w:val="auto"/>
        </w:rPr>
        <w:t xml:space="preserve"> mainly</w:t>
      </w:r>
      <w:r w:rsidRPr="00EA4D30">
        <w:rPr>
          <w:color w:val="auto"/>
        </w:rPr>
        <w:t xml:space="preserve"> subarachnoid haemorrhage (</w:t>
      </w:r>
      <w:r w:rsidR="009937F2" w:rsidRPr="00EA4D30">
        <w:rPr>
          <w:color w:val="auto"/>
        </w:rPr>
        <w:t>9</w:t>
      </w:r>
      <w:r w:rsidR="009937F2">
        <w:rPr>
          <w:color w:val="auto"/>
        </w:rPr>
        <w:t>3</w:t>
      </w:r>
      <w:r w:rsidRPr="00EA4D30">
        <w:rPr>
          <w:color w:val="auto"/>
        </w:rPr>
        <w:t>.</w:t>
      </w:r>
      <w:r w:rsidR="009937F2">
        <w:rPr>
          <w:color w:val="auto"/>
        </w:rPr>
        <w:t>3</w:t>
      </w:r>
      <w:r w:rsidRPr="00EA4D30">
        <w:rPr>
          <w:color w:val="auto"/>
        </w:rPr>
        <w:t>%) followed by arteriovenous malformation (</w:t>
      </w:r>
      <w:r w:rsidR="009937F2">
        <w:rPr>
          <w:color w:val="auto"/>
        </w:rPr>
        <w:t>6</w:t>
      </w:r>
      <w:r w:rsidRPr="00EA4D30">
        <w:rPr>
          <w:color w:val="auto"/>
        </w:rPr>
        <w:t>.0</w:t>
      </w:r>
      <w:r w:rsidRPr="0029751A">
        <w:rPr>
          <w:color w:val="auto"/>
        </w:rPr>
        <w:t xml:space="preserve">%). Over </w:t>
      </w:r>
      <w:r w:rsidR="00064E32" w:rsidRPr="0029751A">
        <w:rPr>
          <w:color w:val="auto"/>
        </w:rPr>
        <w:t>time</w:t>
      </w:r>
      <w:r w:rsidRPr="0029751A">
        <w:rPr>
          <w:color w:val="auto"/>
        </w:rPr>
        <w:t xml:space="preserve">, there was a decrease in the number of adults shunted due to haemorrhage and tumours, while there was an increase of </w:t>
      </w:r>
      <w:r w:rsidRPr="0029751A">
        <w:rPr>
          <w:color w:val="auto"/>
          <w:lang w:val="en-US"/>
        </w:rPr>
        <w:t xml:space="preserve">adults shunted for idiopathic normal pressure hydrocephalus (iNPH), and </w:t>
      </w:r>
      <w:r w:rsidRPr="0029751A">
        <w:rPr>
          <w:color w:val="auto"/>
        </w:rPr>
        <w:t>female</w:t>
      </w:r>
      <w:r w:rsidRPr="0029751A">
        <w:rPr>
          <w:color w:val="auto"/>
          <w:lang w:val="en-US"/>
        </w:rPr>
        <w:t xml:space="preserve"> adults </w:t>
      </w:r>
      <w:r w:rsidRPr="0029751A">
        <w:rPr>
          <w:color w:val="auto"/>
        </w:rPr>
        <w:t xml:space="preserve">shunted </w:t>
      </w:r>
      <w:r w:rsidRPr="0029751A">
        <w:rPr>
          <w:color w:val="auto"/>
          <w:lang w:val="en-US"/>
        </w:rPr>
        <w:t>for IIH.</w:t>
      </w:r>
      <w:r w:rsidR="004565FA" w:rsidRPr="0029751A">
        <w:rPr>
          <w:color w:val="auto"/>
          <w:lang w:val="en-US"/>
        </w:rPr>
        <w:t xml:space="preserve"> </w:t>
      </w:r>
      <w:r w:rsidRPr="0029751A">
        <w:rPr>
          <w:color w:val="auto"/>
        </w:rPr>
        <w:t>As in the younger age groups, underdrainage was</w:t>
      </w:r>
      <w:r w:rsidRPr="00EA4D30">
        <w:rPr>
          <w:color w:val="auto"/>
        </w:rPr>
        <w:t xml:space="preserve"> </w:t>
      </w:r>
      <w:r w:rsidRPr="00EA4D30">
        <w:rPr>
          <w:color w:val="auto"/>
        </w:rPr>
        <w:lastRenderedPageBreak/>
        <w:t xml:space="preserve">the </w:t>
      </w:r>
      <w:r w:rsidR="00064E32" w:rsidRPr="00EA4D30">
        <w:rPr>
          <w:color w:val="auto"/>
        </w:rPr>
        <w:t>commonest</w:t>
      </w:r>
      <w:r w:rsidRPr="00EA4D30">
        <w:rPr>
          <w:color w:val="auto"/>
        </w:rPr>
        <w:t xml:space="preserve"> reason for revision (</w:t>
      </w:r>
      <w:r w:rsidR="00E04742" w:rsidRPr="00EA4D30">
        <w:rPr>
          <w:color w:val="auto"/>
        </w:rPr>
        <w:t>57.</w:t>
      </w:r>
      <w:r w:rsidR="00432572">
        <w:rPr>
          <w:color w:val="auto"/>
        </w:rPr>
        <w:t>3</w:t>
      </w:r>
      <w:r w:rsidR="00E04742" w:rsidRPr="00EA4D30">
        <w:rPr>
          <w:color w:val="auto"/>
        </w:rPr>
        <w:t>% [</w:t>
      </w:r>
      <w:r w:rsidR="00425AF0" w:rsidRPr="00EA4D30">
        <w:rPr>
          <w:color w:val="auto"/>
        </w:rPr>
        <w:t>5</w:t>
      </w:r>
      <w:r w:rsidR="00432572">
        <w:rPr>
          <w:color w:val="auto"/>
        </w:rPr>
        <w:t>4</w:t>
      </w:r>
      <w:r w:rsidR="00E04742" w:rsidRPr="00EA4D30">
        <w:rPr>
          <w:color w:val="auto"/>
        </w:rPr>
        <w:t>.</w:t>
      </w:r>
      <w:r w:rsidR="00432572">
        <w:rPr>
          <w:color w:val="auto"/>
        </w:rPr>
        <w:t>6</w:t>
      </w:r>
      <w:r w:rsidR="00E04742" w:rsidRPr="00EA4D30">
        <w:rPr>
          <w:color w:val="auto"/>
        </w:rPr>
        <w:t xml:space="preserve">, </w:t>
      </w:r>
      <w:r w:rsidR="00425AF0">
        <w:rPr>
          <w:color w:val="auto"/>
        </w:rPr>
        <w:t>60</w:t>
      </w:r>
      <w:r w:rsidR="00E04742" w:rsidRPr="00EA4D30">
        <w:rPr>
          <w:color w:val="auto"/>
        </w:rPr>
        <w:t>.</w:t>
      </w:r>
      <w:r w:rsidR="00432572">
        <w:rPr>
          <w:color w:val="auto"/>
        </w:rPr>
        <w:t>0</w:t>
      </w:r>
      <w:r w:rsidR="00E04742" w:rsidRPr="00EA4D30">
        <w:rPr>
          <w:color w:val="auto"/>
        </w:rPr>
        <w:t>]</w:t>
      </w:r>
      <w:r w:rsidRPr="00EA4D30">
        <w:rPr>
          <w:color w:val="auto"/>
        </w:rPr>
        <w:t>), followed by shunt infection (</w:t>
      </w:r>
      <w:r w:rsidR="00E04742" w:rsidRPr="00EA4D30">
        <w:rPr>
          <w:color w:val="auto"/>
        </w:rPr>
        <w:t>11.</w:t>
      </w:r>
      <w:r w:rsidR="00432572">
        <w:rPr>
          <w:color w:val="auto"/>
        </w:rPr>
        <w:t>9</w:t>
      </w:r>
      <w:r w:rsidR="00E04742" w:rsidRPr="00EA4D30">
        <w:rPr>
          <w:color w:val="auto"/>
        </w:rPr>
        <w:t>% [</w:t>
      </w:r>
      <w:r w:rsidR="00432572">
        <w:rPr>
          <w:color w:val="auto"/>
        </w:rPr>
        <w:t>10.2</w:t>
      </w:r>
      <w:r w:rsidR="00E04742" w:rsidRPr="00EA4D30">
        <w:rPr>
          <w:color w:val="auto"/>
        </w:rPr>
        <w:t>, 13.</w:t>
      </w:r>
      <w:r w:rsidR="00432572">
        <w:rPr>
          <w:color w:val="auto"/>
        </w:rPr>
        <w:t>8</w:t>
      </w:r>
      <w:r w:rsidR="00E04742" w:rsidRPr="00EA4D30">
        <w:rPr>
          <w:color w:val="auto"/>
        </w:rPr>
        <w:t>]</w:t>
      </w:r>
      <w:r w:rsidR="004565FA" w:rsidRPr="00EA4D30">
        <w:rPr>
          <w:color w:val="auto"/>
        </w:rPr>
        <w:t xml:space="preserve">) </w:t>
      </w:r>
      <w:r w:rsidRPr="00EA4D30">
        <w:rPr>
          <w:color w:val="auto"/>
        </w:rPr>
        <w:t>(</w:t>
      </w:r>
      <w:r w:rsidR="00833B4D">
        <w:t>Table 1</w:t>
      </w:r>
      <w:r w:rsidRPr="00EA4D30">
        <w:rPr>
          <w:color w:val="auto"/>
        </w:rPr>
        <w:t>).</w:t>
      </w:r>
    </w:p>
    <w:p w14:paraId="0AB93935" w14:textId="1BAE0ABE" w:rsidR="00810AC9" w:rsidRDefault="00B9474D" w:rsidP="00FF2706">
      <w:pPr>
        <w:rPr>
          <w:color w:val="auto"/>
          <w:lang w:val="en-US"/>
        </w:rPr>
      </w:pPr>
      <w:r>
        <w:rPr>
          <w:color w:val="auto"/>
        </w:rPr>
        <w:t xml:space="preserve">Age and sex distributions at primary shunt insertion </w:t>
      </w:r>
      <w:r w:rsidR="00C57393">
        <w:rPr>
          <w:color w:val="auto"/>
        </w:rPr>
        <w:t xml:space="preserve">also </w:t>
      </w:r>
      <w:r w:rsidR="00F25593" w:rsidRPr="00F25593">
        <w:rPr>
          <w:color w:val="auto"/>
          <w:lang w:val="en-US"/>
        </w:rPr>
        <w:t xml:space="preserve">varied depending on </w:t>
      </w:r>
      <w:r w:rsidR="00F25593">
        <w:rPr>
          <w:color w:val="auto"/>
          <w:lang w:val="en-US"/>
        </w:rPr>
        <w:t>underlying</w:t>
      </w:r>
      <w:r w:rsidR="00F25593" w:rsidRPr="00F25593">
        <w:rPr>
          <w:color w:val="auto"/>
          <w:lang w:val="en-US"/>
        </w:rPr>
        <w:t xml:space="preserve"> diagnosis</w:t>
      </w:r>
      <w:r w:rsidR="00C57393">
        <w:rPr>
          <w:color w:val="auto"/>
          <w:lang w:val="en-US"/>
        </w:rPr>
        <w:t xml:space="preserve"> among adults</w:t>
      </w:r>
      <w:r w:rsidR="00F25593">
        <w:rPr>
          <w:color w:val="auto"/>
        </w:rPr>
        <w:t xml:space="preserve"> </w:t>
      </w:r>
      <w:r w:rsidR="00391ED6">
        <w:rPr>
          <w:color w:val="auto"/>
        </w:rPr>
        <w:t>(Figure 5).</w:t>
      </w:r>
      <w:r w:rsidR="007463E3" w:rsidRPr="007463E3">
        <w:rPr>
          <w:color w:val="auto"/>
        </w:rPr>
        <w:t xml:space="preserve"> </w:t>
      </w:r>
      <w:r w:rsidR="007463E3" w:rsidRPr="00D11885">
        <w:rPr>
          <w:color w:val="auto"/>
        </w:rPr>
        <w:t xml:space="preserve">Most primary shunts were inserted during the first six decades of life, </w:t>
      </w:r>
      <w:r w:rsidR="00810AC9" w:rsidRPr="00D11885">
        <w:rPr>
          <w:color w:val="auto"/>
        </w:rPr>
        <w:t>except for</w:t>
      </w:r>
      <w:r w:rsidR="007463E3" w:rsidRPr="00D11885">
        <w:rPr>
          <w:color w:val="auto"/>
        </w:rPr>
        <w:t xml:space="preserve"> iNPH (most done after the age of 65).</w:t>
      </w:r>
      <w:r w:rsidR="007463E3">
        <w:rPr>
          <w:color w:val="auto"/>
        </w:rPr>
        <w:t xml:space="preserve"> </w:t>
      </w:r>
      <w:r w:rsidR="00F25593" w:rsidRPr="00F25593">
        <w:rPr>
          <w:color w:val="auto"/>
          <w:lang w:val="en-US"/>
        </w:rPr>
        <w:t>The higher number of females was particularly marked for IIH (</w:t>
      </w:r>
      <w:r w:rsidR="00D47EC2">
        <w:rPr>
          <w:color w:val="auto"/>
          <w:lang w:val="en-US"/>
        </w:rPr>
        <w:t>8</w:t>
      </w:r>
      <w:r w:rsidR="007463E3">
        <w:rPr>
          <w:color w:val="auto"/>
          <w:lang w:val="en-US"/>
        </w:rPr>
        <w:t xml:space="preserve">:1 </w:t>
      </w:r>
      <w:r w:rsidR="00F25593" w:rsidRPr="00F25593">
        <w:rPr>
          <w:color w:val="auto"/>
          <w:lang w:val="en-US"/>
        </w:rPr>
        <w:t>female:male</w:t>
      </w:r>
      <w:r w:rsidR="007463E3">
        <w:rPr>
          <w:color w:val="auto"/>
          <w:lang w:val="en-US"/>
        </w:rPr>
        <w:t xml:space="preserve"> </w:t>
      </w:r>
      <w:r w:rsidR="00F25593" w:rsidRPr="00F25593">
        <w:rPr>
          <w:color w:val="auto"/>
          <w:lang w:val="en-US"/>
        </w:rPr>
        <w:t>ratio) and post-haemorrhagic hydrocephalus (</w:t>
      </w:r>
      <w:r w:rsidR="00AB1257">
        <w:rPr>
          <w:color w:val="auto"/>
          <w:lang w:val="en-US"/>
        </w:rPr>
        <w:t>9</w:t>
      </w:r>
      <w:r w:rsidR="007463E3" w:rsidRPr="00F25593">
        <w:rPr>
          <w:color w:val="auto"/>
          <w:lang w:val="en-US"/>
        </w:rPr>
        <w:t>:</w:t>
      </w:r>
      <w:r w:rsidR="00AB1257">
        <w:rPr>
          <w:color w:val="auto"/>
          <w:lang w:val="en-US"/>
        </w:rPr>
        <w:t xml:space="preserve">5 </w:t>
      </w:r>
      <w:r w:rsidR="007463E3">
        <w:rPr>
          <w:color w:val="auto"/>
          <w:lang w:val="en-US"/>
        </w:rPr>
        <w:t>female:male ratio</w:t>
      </w:r>
      <w:r w:rsidR="00F25593" w:rsidRPr="00F25593">
        <w:rPr>
          <w:color w:val="auto"/>
          <w:lang w:val="en-US"/>
        </w:rPr>
        <w:t>). The exception was traumatic hydrocephalus, where there were more males (</w:t>
      </w:r>
      <w:r w:rsidR="00AB1257">
        <w:rPr>
          <w:color w:val="auto"/>
          <w:lang w:val="en-US"/>
        </w:rPr>
        <w:t>2</w:t>
      </w:r>
      <w:r w:rsidR="00744EC8" w:rsidRPr="00F25593">
        <w:rPr>
          <w:color w:val="auto"/>
          <w:lang w:val="en-US"/>
        </w:rPr>
        <w:t>:</w:t>
      </w:r>
      <w:r w:rsidR="00AB1257">
        <w:rPr>
          <w:color w:val="auto"/>
          <w:lang w:val="en-US"/>
        </w:rPr>
        <w:t xml:space="preserve">5 </w:t>
      </w:r>
      <w:r w:rsidR="00744EC8">
        <w:rPr>
          <w:color w:val="auto"/>
          <w:lang w:val="en-US"/>
        </w:rPr>
        <w:t>female:male ratio</w:t>
      </w:r>
      <w:r w:rsidR="00F25593" w:rsidRPr="00F25593">
        <w:rPr>
          <w:color w:val="auto"/>
          <w:lang w:val="en-US"/>
        </w:rPr>
        <w:t>) (Figure 5).</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
        <w:gridCol w:w="4361"/>
        <w:gridCol w:w="1276"/>
        <w:gridCol w:w="1450"/>
        <w:gridCol w:w="1668"/>
      </w:tblGrid>
      <w:tr w:rsidR="00AF1206" w:rsidRPr="0051321C" w14:paraId="48AC92B8" w14:textId="77777777" w:rsidTr="00D26178">
        <w:trPr>
          <w:trHeight w:val="210"/>
        </w:trPr>
        <w:tc>
          <w:tcPr>
            <w:tcW w:w="9072" w:type="dxa"/>
            <w:gridSpan w:val="5"/>
            <w:tcBorders>
              <w:bottom w:val="single" w:sz="4" w:space="0" w:color="auto"/>
            </w:tcBorders>
          </w:tcPr>
          <w:p w14:paraId="1D650CE6" w14:textId="74C9E6BA" w:rsidR="00AF1206" w:rsidRPr="00AF1206" w:rsidRDefault="00AF1206" w:rsidP="00D26178">
            <w:pPr>
              <w:pStyle w:val="Captiontable"/>
              <w:spacing w:line="240" w:lineRule="auto"/>
            </w:pPr>
            <w:r w:rsidRPr="00AF1206">
              <w:lastRenderedPageBreak/>
              <w:t xml:space="preserve">Table </w:t>
            </w:r>
            <w:r w:rsidRPr="00AF1206">
              <w:fldChar w:fldCharType="begin"/>
            </w:r>
            <w:r w:rsidRPr="00AF1206">
              <w:instrText xml:space="preserve"> SEQ Table \* ARABIC </w:instrText>
            </w:r>
            <w:r w:rsidRPr="00AF1206">
              <w:fldChar w:fldCharType="separate"/>
            </w:r>
            <w:r w:rsidR="007F23A7">
              <w:rPr>
                <w:noProof/>
              </w:rPr>
              <w:t>1</w:t>
            </w:r>
            <w:r w:rsidRPr="00AF1206">
              <w:rPr>
                <w:noProof/>
              </w:rPr>
              <w:fldChar w:fldCharType="end"/>
            </w:r>
            <w:r w:rsidRPr="00AF1206">
              <w:t xml:space="preserve"> – Shunt procedures and patient demographics, by age group, among patients with known age</w:t>
            </w:r>
          </w:p>
        </w:tc>
      </w:tr>
      <w:tr w:rsidR="00AF1206" w:rsidRPr="0051321C" w14:paraId="3922FE64" w14:textId="77777777" w:rsidTr="00D26178">
        <w:trPr>
          <w:trHeight w:val="284"/>
        </w:trPr>
        <w:tc>
          <w:tcPr>
            <w:tcW w:w="4678" w:type="dxa"/>
            <w:gridSpan w:val="2"/>
            <w:tcBorders>
              <w:top w:val="single" w:sz="4" w:space="0" w:color="auto"/>
            </w:tcBorders>
            <w:vAlign w:val="center"/>
          </w:tcPr>
          <w:p w14:paraId="1F857B68" w14:textId="77777777" w:rsidR="00AF1206" w:rsidRPr="00AF1206" w:rsidRDefault="00AF1206" w:rsidP="00D26178">
            <w:pPr>
              <w:pStyle w:val="Tabletimes10C"/>
              <w:rPr>
                <w:b/>
              </w:rPr>
            </w:pPr>
          </w:p>
        </w:tc>
        <w:tc>
          <w:tcPr>
            <w:tcW w:w="4394" w:type="dxa"/>
            <w:gridSpan w:val="3"/>
            <w:tcBorders>
              <w:top w:val="single" w:sz="4" w:space="0" w:color="auto"/>
            </w:tcBorders>
            <w:vAlign w:val="center"/>
          </w:tcPr>
          <w:p w14:paraId="5EDC0119" w14:textId="77777777" w:rsidR="00AF1206" w:rsidRPr="00AF1206" w:rsidRDefault="00AF1206" w:rsidP="00D26178">
            <w:pPr>
              <w:pStyle w:val="Tabletimes10C"/>
              <w:rPr>
                <w:b/>
              </w:rPr>
            </w:pPr>
            <w:r w:rsidRPr="00AF1206">
              <w:rPr>
                <w:b/>
              </w:rPr>
              <w:t>Age of patient at time of procedure</w:t>
            </w:r>
          </w:p>
        </w:tc>
      </w:tr>
      <w:tr w:rsidR="00AF1206" w:rsidRPr="0051321C" w14:paraId="76DE78EA" w14:textId="77777777" w:rsidTr="00D26178">
        <w:trPr>
          <w:trHeight w:val="284"/>
        </w:trPr>
        <w:tc>
          <w:tcPr>
            <w:tcW w:w="4678" w:type="dxa"/>
            <w:gridSpan w:val="2"/>
            <w:tcBorders>
              <w:bottom w:val="single" w:sz="4" w:space="0" w:color="auto"/>
            </w:tcBorders>
            <w:vAlign w:val="center"/>
          </w:tcPr>
          <w:p w14:paraId="0E8601CC" w14:textId="77777777" w:rsidR="00AF1206" w:rsidRPr="00AF1206" w:rsidRDefault="00AF1206" w:rsidP="00D26178">
            <w:pPr>
              <w:pStyle w:val="Tabletimes10C"/>
              <w:rPr>
                <w:b/>
              </w:rPr>
            </w:pPr>
          </w:p>
        </w:tc>
        <w:tc>
          <w:tcPr>
            <w:tcW w:w="1276" w:type="dxa"/>
            <w:tcBorders>
              <w:bottom w:val="single" w:sz="4" w:space="0" w:color="auto"/>
            </w:tcBorders>
            <w:vAlign w:val="center"/>
          </w:tcPr>
          <w:p w14:paraId="45FF9CD1" w14:textId="77777777" w:rsidR="00AF1206" w:rsidRPr="00AF1206" w:rsidRDefault="00AF1206" w:rsidP="00D26178">
            <w:pPr>
              <w:pStyle w:val="Tabletimes10C"/>
              <w:rPr>
                <w:b/>
              </w:rPr>
            </w:pPr>
            <w:r w:rsidRPr="00AF1206">
              <w:rPr>
                <w:b/>
              </w:rPr>
              <w:t>Infant (&lt;1year)</w:t>
            </w:r>
          </w:p>
        </w:tc>
        <w:tc>
          <w:tcPr>
            <w:tcW w:w="1450" w:type="dxa"/>
            <w:tcBorders>
              <w:bottom w:val="single" w:sz="4" w:space="0" w:color="auto"/>
            </w:tcBorders>
            <w:vAlign w:val="center"/>
          </w:tcPr>
          <w:p w14:paraId="7A2FD01E" w14:textId="77777777" w:rsidR="00AF1206" w:rsidRPr="00AF1206" w:rsidRDefault="00AF1206" w:rsidP="00D26178">
            <w:pPr>
              <w:pStyle w:val="Tabletimes10C"/>
              <w:rPr>
                <w:b/>
              </w:rPr>
            </w:pPr>
            <w:r w:rsidRPr="00AF1206">
              <w:rPr>
                <w:b/>
              </w:rPr>
              <w:t>Children (1 to&lt;17years)</w:t>
            </w:r>
          </w:p>
        </w:tc>
        <w:tc>
          <w:tcPr>
            <w:tcW w:w="1668" w:type="dxa"/>
            <w:tcBorders>
              <w:bottom w:val="single" w:sz="4" w:space="0" w:color="auto"/>
            </w:tcBorders>
            <w:vAlign w:val="center"/>
          </w:tcPr>
          <w:p w14:paraId="17501912" w14:textId="77777777" w:rsidR="00AF1206" w:rsidRPr="00AF1206" w:rsidRDefault="00AF1206" w:rsidP="00D26178">
            <w:pPr>
              <w:pStyle w:val="Tabletimes10C"/>
              <w:rPr>
                <w:b/>
              </w:rPr>
            </w:pPr>
            <w:r w:rsidRPr="00AF1206">
              <w:rPr>
                <w:b/>
              </w:rPr>
              <w:t>Adults (≥17years)</w:t>
            </w:r>
          </w:p>
        </w:tc>
      </w:tr>
      <w:tr w:rsidR="00AF1206" w:rsidRPr="0051321C" w14:paraId="07CC16BD" w14:textId="77777777" w:rsidTr="00D26178">
        <w:trPr>
          <w:trHeight w:val="182"/>
        </w:trPr>
        <w:tc>
          <w:tcPr>
            <w:tcW w:w="4678" w:type="dxa"/>
            <w:gridSpan w:val="2"/>
            <w:tcBorders>
              <w:top w:val="single" w:sz="4" w:space="0" w:color="auto"/>
            </w:tcBorders>
            <w:vAlign w:val="center"/>
          </w:tcPr>
          <w:p w14:paraId="4FD19DBF" w14:textId="77777777" w:rsidR="00AF1206" w:rsidRPr="00AF1206" w:rsidRDefault="00AF1206" w:rsidP="00D26178">
            <w:pPr>
              <w:pStyle w:val="Tabletimes10Lbold"/>
            </w:pPr>
            <w:r w:rsidRPr="00AF1206">
              <w:t xml:space="preserve">Total number of procedures, n </w:t>
            </w:r>
            <w:r w:rsidRPr="00AF1206">
              <w:rPr>
                <w:vertAlign w:val="superscript"/>
              </w:rPr>
              <w:t>[a]</w:t>
            </w:r>
          </w:p>
        </w:tc>
        <w:tc>
          <w:tcPr>
            <w:tcW w:w="1276" w:type="dxa"/>
            <w:tcBorders>
              <w:top w:val="single" w:sz="4" w:space="0" w:color="auto"/>
            </w:tcBorders>
            <w:vAlign w:val="bottom"/>
          </w:tcPr>
          <w:p w14:paraId="379D823A" w14:textId="77777777" w:rsidR="00AF1206" w:rsidRPr="008C052A" w:rsidRDefault="00AF1206" w:rsidP="00D26178">
            <w:pPr>
              <w:pStyle w:val="Tabletimes10C"/>
              <w:rPr>
                <w:b/>
              </w:rPr>
            </w:pPr>
            <w:r w:rsidRPr="008C052A">
              <w:t>4458</w:t>
            </w:r>
          </w:p>
        </w:tc>
        <w:tc>
          <w:tcPr>
            <w:tcW w:w="1450" w:type="dxa"/>
            <w:tcBorders>
              <w:top w:val="single" w:sz="4" w:space="0" w:color="auto"/>
            </w:tcBorders>
            <w:vAlign w:val="bottom"/>
          </w:tcPr>
          <w:p w14:paraId="3099BCBE" w14:textId="77777777" w:rsidR="00AF1206" w:rsidRPr="008C052A" w:rsidRDefault="00AF1206" w:rsidP="00D26178">
            <w:pPr>
              <w:pStyle w:val="Tabletimes10C"/>
              <w:rPr>
                <w:b/>
              </w:rPr>
            </w:pPr>
            <w:r w:rsidRPr="008C052A">
              <w:t>8742</w:t>
            </w:r>
          </w:p>
        </w:tc>
        <w:tc>
          <w:tcPr>
            <w:tcW w:w="1668" w:type="dxa"/>
            <w:tcBorders>
              <w:top w:val="single" w:sz="4" w:space="0" w:color="auto"/>
            </w:tcBorders>
            <w:vAlign w:val="bottom"/>
          </w:tcPr>
          <w:p w14:paraId="14EA9E6A" w14:textId="77777777" w:rsidR="00AF1206" w:rsidRPr="008C052A" w:rsidRDefault="00AF1206" w:rsidP="00D26178">
            <w:pPr>
              <w:pStyle w:val="Tabletimes10C"/>
              <w:rPr>
                <w:b/>
              </w:rPr>
            </w:pPr>
            <w:r w:rsidRPr="008C052A">
              <w:t>27310</w:t>
            </w:r>
          </w:p>
        </w:tc>
      </w:tr>
      <w:tr w:rsidR="00AF1206" w:rsidRPr="0051321C" w14:paraId="1A249AE7" w14:textId="77777777" w:rsidTr="00D26178">
        <w:trPr>
          <w:trHeight w:val="119"/>
        </w:trPr>
        <w:tc>
          <w:tcPr>
            <w:tcW w:w="4678" w:type="dxa"/>
            <w:gridSpan w:val="2"/>
          </w:tcPr>
          <w:p w14:paraId="3B90F60D" w14:textId="77777777" w:rsidR="00AF1206" w:rsidRPr="00AF1206" w:rsidRDefault="00AF1206" w:rsidP="00D26178">
            <w:pPr>
              <w:pStyle w:val="Tabletimes10Lbold"/>
            </w:pPr>
            <w:r w:rsidRPr="00AF1206">
              <w:t>Age (years) at primary shunt, median(IQR)</w:t>
            </w:r>
          </w:p>
        </w:tc>
        <w:tc>
          <w:tcPr>
            <w:tcW w:w="1276" w:type="dxa"/>
            <w:vAlign w:val="center"/>
          </w:tcPr>
          <w:p w14:paraId="433C1CB3" w14:textId="77777777" w:rsidR="00AF1206" w:rsidRPr="008C052A" w:rsidRDefault="00AF1206" w:rsidP="00D26178">
            <w:pPr>
              <w:pStyle w:val="Tabletimes10C"/>
              <w:spacing w:before="20" w:after="20"/>
              <w:rPr>
                <w:b/>
              </w:rPr>
            </w:pPr>
            <w:r w:rsidRPr="008C052A">
              <w:t>0.2 (0.1, 0.4)</w:t>
            </w:r>
          </w:p>
        </w:tc>
        <w:tc>
          <w:tcPr>
            <w:tcW w:w="1450" w:type="dxa"/>
            <w:vAlign w:val="center"/>
          </w:tcPr>
          <w:p w14:paraId="7425DFE8" w14:textId="77777777" w:rsidR="00AF1206" w:rsidRPr="008C052A" w:rsidRDefault="00AF1206" w:rsidP="00D26178">
            <w:pPr>
              <w:pStyle w:val="Tabletimes10C"/>
              <w:spacing w:before="20" w:after="20"/>
              <w:rPr>
                <w:b/>
              </w:rPr>
            </w:pPr>
            <w:r w:rsidRPr="008C052A">
              <w:t>7.6 (3.2, 12.4)</w:t>
            </w:r>
          </w:p>
        </w:tc>
        <w:tc>
          <w:tcPr>
            <w:tcW w:w="1668" w:type="dxa"/>
            <w:vAlign w:val="center"/>
          </w:tcPr>
          <w:p w14:paraId="6C0BC229" w14:textId="77777777" w:rsidR="00AF1206" w:rsidRPr="008C052A" w:rsidRDefault="00AF1206" w:rsidP="00D26178">
            <w:pPr>
              <w:pStyle w:val="Tabletimes10C"/>
              <w:spacing w:before="20" w:after="20"/>
              <w:rPr>
                <w:b/>
              </w:rPr>
            </w:pPr>
            <w:r w:rsidRPr="008C052A">
              <w:t>55.3 (39.3, 68.5)</w:t>
            </w:r>
          </w:p>
        </w:tc>
      </w:tr>
      <w:tr w:rsidR="00AF1206" w:rsidRPr="0051321C" w14:paraId="225CAFB5" w14:textId="77777777" w:rsidTr="00D26178">
        <w:trPr>
          <w:trHeight w:val="284"/>
        </w:trPr>
        <w:tc>
          <w:tcPr>
            <w:tcW w:w="4678" w:type="dxa"/>
            <w:gridSpan w:val="2"/>
          </w:tcPr>
          <w:p w14:paraId="09575B13" w14:textId="77777777" w:rsidR="00AF1206" w:rsidRPr="00AF1206" w:rsidRDefault="00AF1206" w:rsidP="00D26178">
            <w:pPr>
              <w:pStyle w:val="Tabletimes10Lbold"/>
            </w:pPr>
            <w:r w:rsidRPr="00AF1206">
              <w:t>Female to male ratio at primary shunt</w:t>
            </w:r>
          </w:p>
        </w:tc>
        <w:tc>
          <w:tcPr>
            <w:tcW w:w="1276" w:type="dxa"/>
            <w:vAlign w:val="center"/>
          </w:tcPr>
          <w:p w14:paraId="774DA27E" w14:textId="77777777" w:rsidR="00AF1206" w:rsidRPr="008C052A" w:rsidRDefault="00AF1206" w:rsidP="00D26178">
            <w:pPr>
              <w:pStyle w:val="Tabletimes10C"/>
              <w:spacing w:before="20" w:after="20"/>
              <w:rPr>
                <w:b/>
              </w:rPr>
            </w:pPr>
            <w:r w:rsidRPr="008C052A">
              <w:t>5:7</w:t>
            </w:r>
          </w:p>
        </w:tc>
        <w:tc>
          <w:tcPr>
            <w:tcW w:w="1450" w:type="dxa"/>
            <w:vAlign w:val="center"/>
          </w:tcPr>
          <w:p w14:paraId="785FBD9F" w14:textId="77777777" w:rsidR="00AF1206" w:rsidRPr="008C052A" w:rsidRDefault="00AF1206" w:rsidP="00D26178">
            <w:pPr>
              <w:pStyle w:val="Tabletimes10C"/>
              <w:spacing w:before="20" w:after="20"/>
              <w:rPr>
                <w:b/>
              </w:rPr>
            </w:pPr>
            <w:r w:rsidRPr="008C052A">
              <w:t>6:7</w:t>
            </w:r>
          </w:p>
        </w:tc>
        <w:tc>
          <w:tcPr>
            <w:tcW w:w="1668" w:type="dxa"/>
            <w:vAlign w:val="center"/>
          </w:tcPr>
          <w:p w14:paraId="0BFA74BA" w14:textId="77777777" w:rsidR="00AF1206" w:rsidRPr="008C052A" w:rsidRDefault="00AF1206" w:rsidP="00D26178">
            <w:pPr>
              <w:pStyle w:val="Tabletimes10C"/>
              <w:spacing w:before="20" w:after="20"/>
              <w:rPr>
                <w:b/>
              </w:rPr>
            </w:pPr>
            <w:r w:rsidRPr="008C052A">
              <w:t>6:5</w:t>
            </w:r>
          </w:p>
        </w:tc>
      </w:tr>
      <w:tr w:rsidR="00AF1206" w:rsidRPr="0051321C" w14:paraId="02A09E49" w14:textId="77777777" w:rsidTr="00D26178">
        <w:trPr>
          <w:trHeight w:val="119"/>
        </w:trPr>
        <w:tc>
          <w:tcPr>
            <w:tcW w:w="4678" w:type="dxa"/>
            <w:gridSpan w:val="2"/>
          </w:tcPr>
          <w:p w14:paraId="58CD65B4" w14:textId="77777777" w:rsidR="00AF1206" w:rsidRPr="00AF1206" w:rsidRDefault="00AF1206" w:rsidP="00D26178">
            <w:pPr>
              <w:pStyle w:val="Tabletimes10Lbold"/>
            </w:pPr>
            <w:r w:rsidRPr="00AF1206">
              <w:t>Primary shunt insertions, n (%)</w:t>
            </w:r>
          </w:p>
        </w:tc>
        <w:tc>
          <w:tcPr>
            <w:tcW w:w="1276" w:type="dxa"/>
            <w:vAlign w:val="bottom"/>
          </w:tcPr>
          <w:p w14:paraId="5AC39802" w14:textId="77777777" w:rsidR="00AF1206" w:rsidRPr="008C052A" w:rsidRDefault="00AF1206" w:rsidP="00D26178">
            <w:pPr>
              <w:pStyle w:val="Tabletimes10C"/>
              <w:rPr>
                <w:b/>
              </w:rPr>
            </w:pPr>
            <w:r w:rsidRPr="008C052A">
              <w:t>2756 (61.8)</w:t>
            </w:r>
          </w:p>
        </w:tc>
        <w:tc>
          <w:tcPr>
            <w:tcW w:w="1450" w:type="dxa"/>
            <w:vAlign w:val="bottom"/>
          </w:tcPr>
          <w:p w14:paraId="1CAB7AF7" w14:textId="77777777" w:rsidR="00AF1206" w:rsidRPr="008C052A" w:rsidRDefault="00AF1206" w:rsidP="00D26178">
            <w:pPr>
              <w:pStyle w:val="Tabletimes10C"/>
              <w:rPr>
                <w:b/>
              </w:rPr>
            </w:pPr>
            <w:r w:rsidRPr="008C052A">
              <w:t>2525 (28.</w:t>
            </w:r>
            <w:r>
              <w:t>9</w:t>
            </w:r>
            <w:r w:rsidRPr="008C052A">
              <w:t>)</w:t>
            </w:r>
          </w:p>
        </w:tc>
        <w:tc>
          <w:tcPr>
            <w:tcW w:w="1668" w:type="dxa"/>
            <w:vAlign w:val="bottom"/>
          </w:tcPr>
          <w:p w14:paraId="79992154" w14:textId="77777777" w:rsidR="00AF1206" w:rsidRPr="008C052A" w:rsidRDefault="00AF1206" w:rsidP="00D26178">
            <w:pPr>
              <w:pStyle w:val="Tabletimes10C"/>
              <w:rPr>
                <w:b/>
              </w:rPr>
            </w:pPr>
            <w:r w:rsidRPr="008C052A">
              <w:t>15263 (55.</w:t>
            </w:r>
            <w:r>
              <w:t>9</w:t>
            </w:r>
            <w:r w:rsidRPr="008C052A">
              <w:t>)</w:t>
            </w:r>
          </w:p>
        </w:tc>
      </w:tr>
      <w:tr w:rsidR="00AF1206" w:rsidRPr="0051321C" w14:paraId="7653AC96" w14:textId="77777777" w:rsidTr="00D26178">
        <w:trPr>
          <w:trHeight w:val="119"/>
        </w:trPr>
        <w:tc>
          <w:tcPr>
            <w:tcW w:w="4678" w:type="dxa"/>
            <w:gridSpan w:val="2"/>
          </w:tcPr>
          <w:p w14:paraId="66E51947" w14:textId="77777777" w:rsidR="00AF1206" w:rsidRPr="00AF1206" w:rsidRDefault="00AF1206" w:rsidP="00D26178">
            <w:pPr>
              <w:pStyle w:val="Tabletimes10Lbold"/>
            </w:pPr>
            <w:r w:rsidRPr="00AF1206">
              <w:t xml:space="preserve">Underlying diagnosis for primary shunt </w:t>
            </w:r>
            <w:r w:rsidRPr="00AF1206">
              <w:rPr>
                <w:vertAlign w:val="superscript"/>
              </w:rPr>
              <w:t>[b]</w:t>
            </w:r>
            <w:r w:rsidRPr="00AF1206">
              <w:t>, n (%):</w:t>
            </w:r>
          </w:p>
        </w:tc>
        <w:tc>
          <w:tcPr>
            <w:tcW w:w="1276" w:type="dxa"/>
            <w:vAlign w:val="center"/>
          </w:tcPr>
          <w:p w14:paraId="7E07B2ED" w14:textId="77777777" w:rsidR="00AF1206" w:rsidRPr="00AF1206" w:rsidRDefault="00AF1206" w:rsidP="00D26178">
            <w:pPr>
              <w:pStyle w:val="Tabletimes10C"/>
              <w:spacing w:before="20" w:after="20"/>
              <w:rPr>
                <w:b/>
              </w:rPr>
            </w:pPr>
          </w:p>
        </w:tc>
        <w:tc>
          <w:tcPr>
            <w:tcW w:w="1450" w:type="dxa"/>
            <w:vAlign w:val="center"/>
          </w:tcPr>
          <w:p w14:paraId="086821CA" w14:textId="77777777" w:rsidR="00AF1206" w:rsidRPr="00AF1206" w:rsidRDefault="00AF1206" w:rsidP="00D26178">
            <w:pPr>
              <w:pStyle w:val="Tabletimes10C"/>
              <w:spacing w:before="20" w:after="20"/>
              <w:rPr>
                <w:b/>
              </w:rPr>
            </w:pPr>
          </w:p>
        </w:tc>
        <w:tc>
          <w:tcPr>
            <w:tcW w:w="1668" w:type="dxa"/>
            <w:vAlign w:val="center"/>
          </w:tcPr>
          <w:p w14:paraId="1DE5073F" w14:textId="77777777" w:rsidR="00AF1206" w:rsidRPr="00AF1206" w:rsidRDefault="00AF1206" w:rsidP="00D26178">
            <w:pPr>
              <w:pStyle w:val="Tabletimes10C"/>
              <w:spacing w:before="20" w:after="20"/>
              <w:rPr>
                <w:b/>
              </w:rPr>
            </w:pPr>
          </w:p>
        </w:tc>
      </w:tr>
      <w:tr w:rsidR="00AF1206" w:rsidRPr="0051321C" w14:paraId="6AE38628" w14:textId="77777777" w:rsidTr="00D26178">
        <w:trPr>
          <w:trHeight w:val="119"/>
        </w:trPr>
        <w:tc>
          <w:tcPr>
            <w:tcW w:w="317" w:type="dxa"/>
          </w:tcPr>
          <w:p w14:paraId="0310F93F" w14:textId="77777777" w:rsidR="00AF1206" w:rsidRPr="00AF1206" w:rsidRDefault="00AF1206" w:rsidP="00D26178">
            <w:pPr>
              <w:pStyle w:val="Tabletimes10Lbold"/>
            </w:pPr>
          </w:p>
        </w:tc>
        <w:tc>
          <w:tcPr>
            <w:tcW w:w="4361" w:type="dxa"/>
            <w:vAlign w:val="center"/>
          </w:tcPr>
          <w:p w14:paraId="3D369804" w14:textId="77777777" w:rsidR="00AF1206" w:rsidRPr="00AF1206" w:rsidRDefault="00AF1206" w:rsidP="00D26178">
            <w:pPr>
              <w:pStyle w:val="Tabletimes10L"/>
              <w:jc w:val="left"/>
            </w:pPr>
            <w:r w:rsidRPr="00AF1206">
              <w:t xml:space="preserve">Malformations </w:t>
            </w:r>
            <w:r w:rsidRPr="00AF1206">
              <w:rPr>
                <w:vertAlign w:val="superscript"/>
              </w:rPr>
              <w:t>[c]</w:t>
            </w:r>
          </w:p>
        </w:tc>
        <w:tc>
          <w:tcPr>
            <w:tcW w:w="1276" w:type="dxa"/>
            <w:vAlign w:val="bottom"/>
          </w:tcPr>
          <w:p w14:paraId="727298C9" w14:textId="77777777" w:rsidR="00AF1206" w:rsidRPr="008C052A" w:rsidRDefault="00AF1206" w:rsidP="00D26178">
            <w:pPr>
              <w:pStyle w:val="Tabletimes10C"/>
            </w:pPr>
            <w:r w:rsidRPr="008C052A">
              <w:t>934 (33.9)</w:t>
            </w:r>
          </w:p>
        </w:tc>
        <w:tc>
          <w:tcPr>
            <w:tcW w:w="1450" w:type="dxa"/>
            <w:vAlign w:val="bottom"/>
          </w:tcPr>
          <w:p w14:paraId="315C44DE" w14:textId="77777777" w:rsidR="00AF1206" w:rsidRPr="008C052A" w:rsidRDefault="00AF1206" w:rsidP="00D26178">
            <w:pPr>
              <w:pStyle w:val="Tabletimes10C"/>
            </w:pPr>
            <w:r w:rsidRPr="008C052A">
              <w:t>411 (16.3)</w:t>
            </w:r>
          </w:p>
        </w:tc>
        <w:tc>
          <w:tcPr>
            <w:tcW w:w="1668" w:type="dxa"/>
            <w:vAlign w:val="bottom"/>
          </w:tcPr>
          <w:p w14:paraId="3BCAB737" w14:textId="77777777" w:rsidR="00AF1206" w:rsidRPr="008C052A" w:rsidRDefault="00AF1206" w:rsidP="00D26178">
            <w:pPr>
              <w:pStyle w:val="Tabletimes10C"/>
            </w:pPr>
            <w:r w:rsidRPr="008C052A">
              <w:t>1125 (7.4)</w:t>
            </w:r>
          </w:p>
        </w:tc>
      </w:tr>
      <w:tr w:rsidR="00AF1206" w:rsidRPr="0051321C" w14:paraId="685EFC2B" w14:textId="77777777" w:rsidTr="00D26178">
        <w:trPr>
          <w:trHeight w:val="119"/>
        </w:trPr>
        <w:tc>
          <w:tcPr>
            <w:tcW w:w="317" w:type="dxa"/>
          </w:tcPr>
          <w:p w14:paraId="359E89D1" w14:textId="77777777" w:rsidR="00AF1206" w:rsidRPr="00AF1206" w:rsidRDefault="00AF1206" w:rsidP="00D26178">
            <w:pPr>
              <w:pStyle w:val="Tabletimes10Lbold"/>
            </w:pPr>
          </w:p>
        </w:tc>
        <w:tc>
          <w:tcPr>
            <w:tcW w:w="4361" w:type="dxa"/>
            <w:vAlign w:val="bottom"/>
          </w:tcPr>
          <w:p w14:paraId="1E19F650" w14:textId="77777777" w:rsidR="00AF1206" w:rsidRPr="00AF1206" w:rsidRDefault="00AF1206" w:rsidP="00D26178">
            <w:pPr>
              <w:pStyle w:val="Tabletimes10L"/>
            </w:pPr>
            <w:r w:rsidRPr="00AF1206">
              <w:t>Perinatal intraventricular haemorrhage</w:t>
            </w:r>
          </w:p>
        </w:tc>
        <w:tc>
          <w:tcPr>
            <w:tcW w:w="1276" w:type="dxa"/>
            <w:vAlign w:val="bottom"/>
          </w:tcPr>
          <w:p w14:paraId="650B174E" w14:textId="77777777" w:rsidR="00AF1206" w:rsidRPr="008C052A" w:rsidRDefault="00AF1206" w:rsidP="00D26178">
            <w:pPr>
              <w:pStyle w:val="Tabletimes10C"/>
            </w:pPr>
            <w:r w:rsidRPr="008C052A">
              <w:t>973 (35.3)</w:t>
            </w:r>
          </w:p>
        </w:tc>
        <w:tc>
          <w:tcPr>
            <w:tcW w:w="1450" w:type="dxa"/>
            <w:vAlign w:val="bottom"/>
          </w:tcPr>
          <w:p w14:paraId="7589E6AC" w14:textId="77777777" w:rsidR="00AF1206" w:rsidRPr="008C052A" w:rsidRDefault="00AF1206" w:rsidP="00D26178">
            <w:pPr>
              <w:pStyle w:val="Tabletimes10C"/>
            </w:pPr>
            <w:r w:rsidRPr="008C052A">
              <w:t>160 (6.3)</w:t>
            </w:r>
          </w:p>
        </w:tc>
        <w:tc>
          <w:tcPr>
            <w:tcW w:w="1668" w:type="dxa"/>
            <w:vAlign w:val="bottom"/>
          </w:tcPr>
          <w:p w14:paraId="46633E6F" w14:textId="77777777" w:rsidR="00AF1206" w:rsidRPr="008C052A" w:rsidRDefault="00AF1206" w:rsidP="00D26178">
            <w:pPr>
              <w:pStyle w:val="Tabletimes10C"/>
            </w:pPr>
            <w:r w:rsidRPr="008C052A">
              <w:t>94 (0.6)</w:t>
            </w:r>
          </w:p>
        </w:tc>
      </w:tr>
      <w:tr w:rsidR="00AF1206" w:rsidRPr="0051321C" w14:paraId="303251FE" w14:textId="77777777" w:rsidTr="00D26178">
        <w:trPr>
          <w:trHeight w:val="119"/>
        </w:trPr>
        <w:tc>
          <w:tcPr>
            <w:tcW w:w="317" w:type="dxa"/>
          </w:tcPr>
          <w:p w14:paraId="1EFCE147" w14:textId="77777777" w:rsidR="00AF1206" w:rsidRPr="00AF1206" w:rsidRDefault="00AF1206" w:rsidP="00D26178">
            <w:pPr>
              <w:pStyle w:val="Tabletimes10Lbold"/>
            </w:pPr>
          </w:p>
        </w:tc>
        <w:tc>
          <w:tcPr>
            <w:tcW w:w="4361" w:type="dxa"/>
            <w:vAlign w:val="bottom"/>
          </w:tcPr>
          <w:p w14:paraId="665B2A98" w14:textId="77777777" w:rsidR="00AF1206" w:rsidRPr="00AF1206" w:rsidRDefault="00AF1206" w:rsidP="00D26178">
            <w:pPr>
              <w:pStyle w:val="Tabletimes10L"/>
            </w:pPr>
            <w:r w:rsidRPr="00AF1206">
              <w:t>Tumour (benign, malignant, unspecified)</w:t>
            </w:r>
          </w:p>
        </w:tc>
        <w:tc>
          <w:tcPr>
            <w:tcW w:w="1276" w:type="dxa"/>
            <w:vAlign w:val="bottom"/>
          </w:tcPr>
          <w:p w14:paraId="527E0633" w14:textId="77777777" w:rsidR="00AF1206" w:rsidRPr="008C052A" w:rsidRDefault="00AF1206" w:rsidP="00D26178">
            <w:pPr>
              <w:pStyle w:val="Tabletimes10C"/>
            </w:pPr>
            <w:r w:rsidRPr="008C052A">
              <w:t>152 (5.5)</w:t>
            </w:r>
          </w:p>
        </w:tc>
        <w:tc>
          <w:tcPr>
            <w:tcW w:w="1450" w:type="dxa"/>
            <w:vAlign w:val="bottom"/>
          </w:tcPr>
          <w:p w14:paraId="47C0AB78" w14:textId="77777777" w:rsidR="00AF1206" w:rsidRPr="008C052A" w:rsidRDefault="00AF1206" w:rsidP="00D26178">
            <w:pPr>
              <w:pStyle w:val="Tabletimes10C"/>
            </w:pPr>
            <w:r w:rsidRPr="008C052A">
              <w:t>1022 (40.5)</w:t>
            </w:r>
          </w:p>
        </w:tc>
        <w:tc>
          <w:tcPr>
            <w:tcW w:w="1668" w:type="dxa"/>
            <w:vAlign w:val="bottom"/>
          </w:tcPr>
          <w:p w14:paraId="457EE55F" w14:textId="77777777" w:rsidR="00AF1206" w:rsidRPr="008C052A" w:rsidRDefault="00AF1206" w:rsidP="00D26178">
            <w:pPr>
              <w:pStyle w:val="Tabletimes10C"/>
            </w:pPr>
            <w:r w:rsidRPr="008C052A">
              <w:t>3750 (24.6)</w:t>
            </w:r>
          </w:p>
        </w:tc>
      </w:tr>
      <w:tr w:rsidR="007E4153" w:rsidRPr="0051321C" w14:paraId="62CD9FAE" w14:textId="77777777" w:rsidTr="00D26178">
        <w:trPr>
          <w:trHeight w:val="119"/>
        </w:trPr>
        <w:tc>
          <w:tcPr>
            <w:tcW w:w="317" w:type="dxa"/>
          </w:tcPr>
          <w:p w14:paraId="3C776698" w14:textId="77777777" w:rsidR="007E4153" w:rsidRPr="00AF1206" w:rsidRDefault="007E4153" w:rsidP="007E4153">
            <w:pPr>
              <w:pStyle w:val="Tabletimes10Lbold"/>
            </w:pPr>
          </w:p>
        </w:tc>
        <w:tc>
          <w:tcPr>
            <w:tcW w:w="4361" w:type="dxa"/>
            <w:vAlign w:val="bottom"/>
          </w:tcPr>
          <w:p w14:paraId="4BA7A132" w14:textId="7A3FA1C9" w:rsidR="007E4153" w:rsidRPr="00AF1206" w:rsidRDefault="007E4153" w:rsidP="007E4153">
            <w:pPr>
              <w:pStyle w:val="Tabletimes10L"/>
            </w:pPr>
            <w:r w:rsidRPr="00AF1206">
              <w:t>Post-haemorrhagic (AVM, SAH, unspecified)</w:t>
            </w:r>
          </w:p>
        </w:tc>
        <w:tc>
          <w:tcPr>
            <w:tcW w:w="1276" w:type="dxa"/>
            <w:vAlign w:val="bottom"/>
          </w:tcPr>
          <w:p w14:paraId="78DFDC0B" w14:textId="762E88AA" w:rsidR="007E4153" w:rsidRPr="008C052A" w:rsidRDefault="007E4153" w:rsidP="007E4153">
            <w:pPr>
              <w:pStyle w:val="Tabletimes10C"/>
            </w:pPr>
            <w:r w:rsidRPr="008C052A">
              <w:t>28 (1</w:t>
            </w:r>
            <w:r>
              <w:t>.0</w:t>
            </w:r>
            <w:r w:rsidRPr="008C052A">
              <w:t>)</w:t>
            </w:r>
          </w:p>
        </w:tc>
        <w:tc>
          <w:tcPr>
            <w:tcW w:w="1450" w:type="dxa"/>
            <w:vAlign w:val="bottom"/>
          </w:tcPr>
          <w:p w14:paraId="3F098CE1" w14:textId="723DCA48" w:rsidR="007E4153" w:rsidRPr="008C052A" w:rsidRDefault="007E4153" w:rsidP="007E4153">
            <w:pPr>
              <w:pStyle w:val="Tabletimes10C"/>
            </w:pPr>
            <w:r w:rsidRPr="008C052A">
              <w:t>48 (1.9)</w:t>
            </w:r>
          </w:p>
        </w:tc>
        <w:tc>
          <w:tcPr>
            <w:tcW w:w="1668" w:type="dxa"/>
            <w:vAlign w:val="bottom"/>
          </w:tcPr>
          <w:p w14:paraId="6C6E6961" w14:textId="478614FB" w:rsidR="007E4153" w:rsidRPr="008C052A" w:rsidRDefault="007E4153" w:rsidP="007E4153">
            <w:pPr>
              <w:pStyle w:val="Tabletimes10C"/>
            </w:pPr>
            <w:r w:rsidRPr="008C052A">
              <w:t>2473 (16.2)</w:t>
            </w:r>
          </w:p>
        </w:tc>
      </w:tr>
      <w:tr w:rsidR="007E4153" w:rsidRPr="008C052A" w14:paraId="395A50BB" w14:textId="77777777" w:rsidTr="004031FD">
        <w:trPr>
          <w:trHeight w:val="119"/>
        </w:trPr>
        <w:tc>
          <w:tcPr>
            <w:tcW w:w="317" w:type="dxa"/>
          </w:tcPr>
          <w:p w14:paraId="550FD610" w14:textId="77777777" w:rsidR="007E4153" w:rsidRPr="00AF1206" w:rsidRDefault="007E4153" w:rsidP="004031FD">
            <w:pPr>
              <w:pStyle w:val="Tabletimes10Lbold"/>
            </w:pPr>
          </w:p>
        </w:tc>
        <w:tc>
          <w:tcPr>
            <w:tcW w:w="4361" w:type="dxa"/>
            <w:vAlign w:val="bottom"/>
          </w:tcPr>
          <w:p w14:paraId="5B940C69" w14:textId="77777777" w:rsidR="007E4153" w:rsidRPr="00AF1206" w:rsidRDefault="007E4153" w:rsidP="004031FD">
            <w:pPr>
              <w:pStyle w:val="Tabletimes10L"/>
            </w:pPr>
            <w:r w:rsidRPr="00AF1206">
              <w:t>Idiopathic Normal Pressure Hydrocephalus</w:t>
            </w:r>
          </w:p>
        </w:tc>
        <w:tc>
          <w:tcPr>
            <w:tcW w:w="1276" w:type="dxa"/>
            <w:vAlign w:val="bottom"/>
          </w:tcPr>
          <w:p w14:paraId="59AD07DD" w14:textId="77777777" w:rsidR="007E4153" w:rsidRPr="008C052A" w:rsidRDefault="007E4153" w:rsidP="004031FD">
            <w:pPr>
              <w:pStyle w:val="Tabletimes10C"/>
            </w:pPr>
            <w:r w:rsidRPr="008C052A">
              <w:t>0 (0)</w:t>
            </w:r>
          </w:p>
        </w:tc>
        <w:tc>
          <w:tcPr>
            <w:tcW w:w="1450" w:type="dxa"/>
            <w:vAlign w:val="bottom"/>
          </w:tcPr>
          <w:p w14:paraId="5E137C74" w14:textId="77777777" w:rsidR="007E4153" w:rsidRPr="008C052A" w:rsidRDefault="007E4153" w:rsidP="004031FD">
            <w:pPr>
              <w:pStyle w:val="Tabletimes10C"/>
            </w:pPr>
            <w:r w:rsidRPr="008C052A">
              <w:t>0 (0)</w:t>
            </w:r>
          </w:p>
        </w:tc>
        <w:tc>
          <w:tcPr>
            <w:tcW w:w="1668" w:type="dxa"/>
            <w:vAlign w:val="bottom"/>
          </w:tcPr>
          <w:p w14:paraId="2C9A5FCF" w14:textId="77777777" w:rsidR="007E4153" w:rsidRPr="008C052A" w:rsidRDefault="007E4153" w:rsidP="004031FD">
            <w:pPr>
              <w:pStyle w:val="Tabletimes10C"/>
            </w:pPr>
            <w:r w:rsidRPr="008C052A">
              <w:t>2173 (14.2)</w:t>
            </w:r>
          </w:p>
        </w:tc>
      </w:tr>
      <w:tr w:rsidR="007E4153" w:rsidRPr="0051321C" w14:paraId="315BFD7A" w14:textId="77777777" w:rsidTr="00D26178">
        <w:trPr>
          <w:trHeight w:val="119"/>
        </w:trPr>
        <w:tc>
          <w:tcPr>
            <w:tcW w:w="317" w:type="dxa"/>
          </w:tcPr>
          <w:p w14:paraId="0A6B1EAE" w14:textId="77777777" w:rsidR="007E4153" w:rsidRPr="00AF1206" w:rsidRDefault="007E4153" w:rsidP="007E4153">
            <w:pPr>
              <w:pStyle w:val="Tabletimes10Lbold"/>
            </w:pPr>
          </w:p>
        </w:tc>
        <w:tc>
          <w:tcPr>
            <w:tcW w:w="4361" w:type="dxa"/>
            <w:vAlign w:val="bottom"/>
          </w:tcPr>
          <w:p w14:paraId="4A84A3C5" w14:textId="77777777" w:rsidR="007E4153" w:rsidRPr="00AF1206" w:rsidRDefault="007E4153" w:rsidP="007E4153">
            <w:pPr>
              <w:pStyle w:val="Tabletimes10L"/>
            </w:pPr>
            <w:r w:rsidRPr="00AF1206">
              <w:t>Idiopathic intracranial hypertension</w:t>
            </w:r>
          </w:p>
        </w:tc>
        <w:tc>
          <w:tcPr>
            <w:tcW w:w="1276" w:type="dxa"/>
            <w:vAlign w:val="bottom"/>
          </w:tcPr>
          <w:p w14:paraId="5D8B9CFF" w14:textId="77777777" w:rsidR="007E4153" w:rsidRPr="008C052A" w:rsidRDefault="007E4153" w:rsidP="007E4153">
            <w:pPr>
              <w:pStyle w:val="Tabletimes10C"/>
            </w:pPr>
            <w:r w:rsidRPr="008C052A">
              <w:t>10 (0.4)</w:t>
            </w:r>
          </w:p>
        </w:tc>
        <w:tc>
          <w:tcPr>
            <w:tcW w:w="1450" w:type="dxa"/>
            <w:vAlign w:val="bottom"/>
          </w:tcPr>
          <w:p w14:paraId="5012DA12" w14:textId="77777777" w:rsidR="007E4153" w:rsidRPr="008C052A" w:rsidRDefault="007E4153" w:rsidP="007E4153">
            <w:pPr>
              <w:pStyle w:val="Tabletimes10C"/>
            </w:pPr>
            <w:r w:rsidRPr="008C052A">
              <w:t>122 (4.8)</w:t>
            </w:r>
          </w:p>
        </w:tc>
        <w:tc>
          <w:tcPr>
            <w:tcW w:w="1668" w:type="dxa"/>
            <w:vAlign w:val="bottom"/>
          </w:tcPr>
          <w:p w14:paraId="7E44D2E8" w14:textId="77777777" w:rsidR="007E4153" w:rsidRPr="008C052A" w:rsidRDefault="007E4153" w:rsidP="007E4153">
            <w:pPr>
              <w:pStyle w:val="Tabletimes10C"/>
            </w:pPr>
            <w:r w:rsidRPr="008C052A">
              <w:t>1160 (7.6)</w:t>
            </w:r>
          </w:p>
        </w:tc>
      </w:tr>
      <w:tr w:rsidR="007E4153" w:rsidRPr="008C052A" w14:paraId="6854F313" w14:textId="77777777" w:rsidTr="004031FD">
        <w:trPr>
          <w:trHeight w:val="119"/>
        </w:trPr>
        <w:tc>
          <w:tcPr>
            <w:tcW w:w="317" w:type="dxa"/>
          </w:tcPr>
          <w:p w14:paraId="33A06D96" w14:textId="77777777" w:rsidR="007E4153" w:rsidRPr="00AF1206" w:rsidRDefault="007E4153" w:rsidP="004031FD">
            <w:pPr>
              <w:pStyle w:val="Tabletimes10Lbold"/>
            </w:pPr>
          </w:p>
        </w:tc>
        <w:tc>
          <w:tcPr>
            <w:tcW w:w="4361" w:type="dxa"/>
            <w:vAlign w:val="bottom"/>
          </w:tcPr>
          <w:p w14:paraId="2C98F1F8" w14:textId="77777777" w:rsidR="007E4153" w:rsidRPr="00AF1206" w:rsidRDefault="007E4153" w:rsidP="004031FD">
            <w:pPr>
              <w:pStyle w:val="Tabletimes10L"/>
            </w:pPr>
            <w:r w:rsidRPr="00AF1206">
              <w:t>Infection (Meningitis, cerebral abscess, unspecified)</w:t>
            </w:r>
          </w:p>
        </w:tc>
        <w:tc>
          <w:tcPr>
            <w:tcW w:w="1276" w:type="dxa"/>
            <w:vAlign w:val="bottom"/>
          </w:tcPr>
          <w:p w14:paraId="02878390" w14:textId="77777777" w:rsidR="007E4153" w:rsidRPr="008C052A" w:rsidRDefault="007E4153" w:rsidP="004031FD">
            <w:pPr>
              <w:pStyle w:val="Tabletimes10C"/>
            </w:pPr>
            <w:r w:rsidRPr="008C052A">
              <w:t>184 (6.7)</w:t>
            </w:r>
          </w:p>
        </w:tc>
        <w:tc>
          <w:tcPr>
            <w:tcW w:w="1450" w:type="dxa"/>
            <w:vAlign w:val="bottom"/>
          </w:tcPr>
          <w:p w14:paraId="23CED995" w14:textId="77777777" w:rsidR="007E4153" w:rsidRPr="008C052A" w:rsidRDefault="007E4153" w:rsidP="004031FD">
            <w:pPr>
              <w:pStyle w:val="Tabletimes10C"/>
            </w:pPr>
            <w:r w:rsidRPr="008C052A">
              <w:t>108 (4.3)</w:t>
            </w:r>
          </w:p>
        </w:tc>
        <w:tc>
          <w:tcPr>
            <w:tcW w:w="1668" w:type="dxa"/>
            <w:vAlign w:val="bottom"/>
          </w:tcPr>
          <w:p w14:paraId="517DF60B" w14:textId="77777777" w:rsidR="007E4153" w:rsidRPr="008C052A" w:rsidRDefault="007E4153" w:rsidP="004031FD">
            <w:pPr>
              <w:pStyle w:val="Tabletimes10C"/>
            </w:pPr>
            <w:r w:rsidRPr="008C052A">
              <w:t>472 (3.1)</w:t>
            </w:r>
          </w:p>
        </w:tc>
      </w:tr>
      <w:tr w:rsidR="007E4153" w:rsidRPr="008C052A" w14:paraId="5A244F1D" w14:textId="77777777" w:rsidTr="004031FD">
        <w:trPr>
          <w:trHeight w:val="119"/>
        </w:trPr>
        <w:tc>
          <w:tcPr>
            <w:tcW w:w="317" w:type="dxa"/>
          </w:tcPr>
          <w:p w14:paraId="177B4E9D" w14:textId="77777777" w:rsidR="007E4153" w:rsidRPr="00AF1206" w:rsidRDefault="007E4153" w:rsidP="004031FD">
            <w:pPr>
              <w:pStyle w:val="Tabletimes10Lbold"/>
            </w:pPr>
          </w:p>
        </w:tc>
        <w:tc>
          <w:tcPr>
            <w:tcW w:w="4361" w:type="dxa"/>
            <w:vAlign w:val="bottom"/>
          </w:tcPr>
          <w:p w14:paraId="70838A70" w14:textId="77777777" w:rsidR="007E4153" w:rsidRPr="00AF1206" w:rsidRDefault="007E4153" w:rsidP="004031FD">
            <w:pPr>
              <w:pStyle w:val="Tabletimes10L"/>
            </w:pPr>
            <w:r w:rsidRPr="00AF1206">
              <w:t>Cyst (colloid, arachnoid, unspecified)</w:t>
            </w:r>
          </w:p>
        </w:tc>
        <w:tc>
          <w:tcPr>
            <w:tcW w:w="1276" w:type="dxa"/>
            <w:vAlign w:val="bottom"/>
          </w:tcPr>
          <w:p w14:paraId="0162EDBE" w14:textId="77777777" w:rsidR="007E4153" w:rsidRPr="008C052A" w:rsidRDefault="007E4153" w:rsidP="004031FD">
            <w:pPr>
              <w:pStyle w:val="Tabletimes10C"/>
            </w:pPr>
            <w:r w:rsidRPr="008C052A">
              <w:t>84 (3</w:t>
            </w:r>
            <w:r>
              <w:t>.0</w:t>
            </w:r>
            <w:r w:rsidRPr="008C052A">
              <w:t>)</w:t>
            </w:r>
          </w:p>
        </w:tc>
        <w:tc>
          <w:tcPr>
            <w:tcW w:w="1450" w:type="dxa"/>
            <w:vAlign w:val="bottom"/>
          </w:tcPr>
          <w:p w14:paraId="4B4739A9" w14:textId="77777777" w:rsidR="007E4153" w:rsidRPr="008C052A" w:rsidRDefault="007E4153" w:rsidP="004031FD">
            <w:pPr>
              <w:pStyle w:val="Tabletimes10C"/>
            </w:pPr>
            <w:r w:rsidRPr="008C052A">
              <w:t>124 (4.9)</w:t>
            </w:r>
          </w:p>
        </w:tc>
        <w:tc>
          <w:tcPr>
            <w:tcW w:w="1668" w:type="dxa"/>
            <w:vAlign w:val="bottom"/>
          </w:tcPr>
          <w:p w14:paraId="067BE59C" w14:textId="77777777" w:rsidR="007E4153" w:rsidRPr="008C052A" w:rsidRDefault="007E4153" w:rsidP="004031FD">
            <w:pPr>
              <w:pStyle w:val="Tabletimes10C"/>
            </w:pPr>
            <w:r w:rsidRPr="008C052A">
              <w:t>522 (3.4)</w:t>
            </w:r>
          </w:p>
        </w:tc>
      </w:tr>
      <w:tr w:rsidR="007E4153" w:rsidRPr="0051321C" w14:paraId="68E11379" w14:textId="77777777" w:rsidTr="00D26178">
        <w:trPr>
          <w:trHeight w:val="119"/>
        </w:trPr>
        <w:tc>
          <w:tcPr>
            <w:tcW w:w="317" w:type="dxa"/>
          </w:tcPr>
          <w:p w14:paraId="5D5B9C3C" w14:textId="77777777" w:rsidR="007E4153" w:rsidRPr="00AF1206" w:rsidRDefault="007E4153" w:rsidP="007E4153">
            <w:pPr>
              <w:pStyle w:val="Tabletimes10Lbold"/>
            </w:pPr>
          </w:p>
        </w:tc>
        <w:tc>
          <w:tcPr>
            <w:tcW w:w="4361" w:type="dxa"/>
            <w:vAlign w:val="bottom"/>
          </w:tcPr>
          <w:p w14:paraId="1E8593D3" w14:textId="77777777" w:rsidR="007E4153" w:rsidRPr="00AF1206" w:rsidRDefault="007E4153" w:rsidP="007E4153">
            <w:pPr>
              <w:pStyle w:val="Tabletimes10L"/>
            </w:pPr>
            <w:r w:rsidRPr="00AF1206">
              <w:t>Trauma</w:t>
            </w:r>
          </w:p>
        </w:tc>
        <w:tc>
          <w:tcPr>
            <w:tcW w:w="1276" w:type="dxa"/>
            <w:vAlign w:val="bottom"/>
          </w:tcPr>
          <w:p w14:paraId="0584B9F5" w14:textId="77777777" w:rsidR="007E4153" w:rsidRPr="008C052A" w:rsidRDefault="007E4153" w:rsidP="007E4153">
            <w:pPr>
              <w:pStyle w:val="Tabletimes10C"/>
            </w:pPr>
            <w:r w:rsidRPr="008C052A">
              <w:t>30 (1.1)</w:t>
            </w:r>
          </w:p>
        </w:tc>
        <w:tc>
          <w:tcPr>
            <w:tcW w:w="1450" w:type="dxa"/>
            <w:vAlign w:val="bottom"/>
          </w:tcPr>
          <w:p w14:paraId="4FDE973D" w14:textId="77777777" w:rsidR="007E4153" w:rsidRPr="008C052A" w:rsidRDefault="007E4153" w:rsidP="007E4153">
            <w:pPr>
              <w:pStyle w:val="Tabletimes10C"/>
            </w:pPr>
            <w:r w:rsidRPr="008C052A">
              <w:t>55 (2.2)</w:t>
            </w:r>
          </w:p>
        </w:tc>
        <w:tc>
          <w:tcPr>
            <w:tcW w:w="1668" w:type="dxa"/>
            <w:vAlign w:val="bottom"/>
          </w:tcPr>
          <w:p w14:paraId="295CD195" w14:textId="77777777" w:rsidR="007E4153" w:rsidRPr="008C052A" w:rsidRDefault="007E4153" w:rsidP="007E4153">
            <w:pPr>
              <w:pStyle w:val="Tabletimes10C"/>
            </w:pPr>
            <w:r w:rsidRPr="008C052A">
              <w:t>525 (3.4)</w:t>
            </w:r>
          </w:p>
        </w:tc>
      </w:tr>
      <w:tr w:rsidR="007E4153" w:rsidRPr="008C052A" w14:paraId="07CFD888" w14:textId="77777777" w:rsidTr="004031FD">
        <w:trPr>
          <w:trHeight w:val="119"/>
        </w:trPr>
        <w:tc>
          <w:tcPr>
            <w:tcW w:w="317" w:type="dxa"/>
          </w:tcPr>
          <w:p w14:paraId="3A39ABB3" w14:textId="77777777" w:rsidR="007E4153" w:rsidRPr="00AF1206" w:rsidRDefault="007E4153" w:rsidP="004031FD">
            <w:pPr>
              <w:pStyle w:val="Tabletimes10Lbold"/>
            </w:pPr>
          </w:p>
        </w:tc>
        <w:tc>
          <w:tcPr>
            <w:tcW w:w="4361" w:type="dxa"/>
            <w:vAlign w:val="bottom"/>
          </w:tcPr>
          <w:p w14:paraId="517CC4E6" w14:textId="77777777" w:rsidR="007E4153" w:rsidRPr="00AF1206" w:rsidRDefault="007E4153" w:rsidP="004031FD">
            <w:pPr>
              <w:pStyle w:val="Tabletimes10L"/>
            </w:pPr>
            <w:r w:rsidRPr="00AF1206">
              <w:t>Acquired Other</w:t>
            </w:r>
          </w:p>
        </w:tc>
        <w:tc>
          <w:tcPr>
            <w:tcW w:w="1276" w:type="dxa"/>
            <w:vAlign w:val="bottom"/>
          </w:tcPr>
          <w:p w14:paraId="3A9A8EFC" w14:textId="77777777" w:rsidR="007E4153" w:rsidRPr="008C052A" w:rsidRDefault="007E4153" w:rsidP="004031FD">
            <w:pPr>
              <w:pStyle w:val="Tabletimes10C"/>
            </w:pPr>
            <w:r w:rsidRPr="008C052A">
              <w:t>127 (4.6)</w:t>
            </w:r>
          </w:p>
        </w:tc>
        <w:tc>
          <w:tcPr>
            <w:tcW w:w="1450" w:type="dxa"/>
            <w:vAlign w:val="bottom"/>
          </w:tcPr>
          <w:p w14:paraId="566C34CF" w14:textId="77777777" w:rsidR="007E4153" w:rsidRPr="008C052A" w:rsidRDefault="007E4153" w:rsidP="004031FD">
            <w:pPr>
              <w:pStyle w:val="Tabletimes10C"/>
            </w:pPr>
            <w:r w:rsidRPr="008C052A">
              <w:t>168 (6.7)</w:t>
            </w:r>
          </w:p>
        </w:tc>
        <w:tc>
          <w:tcPr>
            <w:tcW w:w="1668" w:type="dxa"/>
            <w:vAlign w:val="bottom"/>
          </w:tcPr>
          <w:p w14:paraId="1032CC2F" w14:textId="77777777" w:rsidR="007E4153" w:rsidRPr="008C052A" w:rsidRDefault="007E4153" w:rsidP="004031FD">
            <w:pPr>
              <w:pStyle w:val="Tabletimes10C"/>
            </w:pPr>
            <w:r w:rsidRPr="008C052A">
              <w:t>1242 (8.1)</w:t>
            </w:r>
          </w:p>
        </w:tc>
      </w:tr>
      <w:tr w:rsidR="007E4153" w:rsidRPr="0051321C" w14:paraId="5E751B04" w14:textId="77777777" w:rsidTr="00D26178">
        <w:trPr>
          <w:trHeight w:val="119"/>
        </w:trPr>
        <w:tc>
          <w:tcPr>
            <w:tcW w:w="317" w:type="dxa"/>
          </w:tcPr>
          <w:p w14:paraId="1DB4FAB3" w14:textId="77777777" w:rsidR="007E4153" w:rsidRPr="00AF1206" w:rsidRDefault="007E4153" w:rsidP="007E4153">
            <w:pPr>
              <w:pStyle w:val="Tabletimes10Lbold"/>
            </w:pPr>
          </w:p>
        </w:tc>
        <w:tc>
          <w:tcPr>
            <w:tcW w:w="4361" w:type="dxa"/>
            <w:vAlign w:val="bottom"/>
          </w:tcPr>
          <w:p w14:paraId="43027487" w14:textId="77777777" w:rsidR="007E4153" w:rsidRPr="00AF1206" w:rsidRDefault="007E4153" w:rsidP="007E4153">
            <w:pPr>
              <w:pStyle w:val="Tabletimes10L"/>
            </w:pPr>
            <w:r w:rsidRPr="00AF1206">
              <w:t>Idiopathic other</w:t>
            </w:r>
          </w:p>
        </w:tc>
        <w:tc>
          <w:tcPr>
            <w:tcW w:w="1276" w:type="dxa"/>
            <w:vAlign w:val="bottom"/>
          </w:tcPr>
          <w:p w14:paraId="503D2E2B" w14:textId="77777777" w:rsidR="007E4153" w:rsidRPr="008C052A" w:rsidRDefault="007E4153" w:rsidP="007E4153">
            <w:pPr>
              <w:pStyle w:val="Tabletimes10C"/>
            </w:pPr>
            <w:r w:rsidRPr="008C052A">
              <w:t>22 (0.8)</w:t>
            </w:r>
          </w:p>
        </w:tc>
        <w:tc>
          <w:tcPr>
            <w:tcW w:w="1450" w:type="dxa"/>
            <w:vAlign w:val="bottom"/>
          </w:tcPr>
          <w:p w14:paraId="5620FA44" w14:textId="77777777" w:rsidR="007E4153" w:rsidRPr="008C052A" w:rsidRDefault="007E4153" w:rsidP="007E4153">
            <w:pPr>
              <w:pStyle w:val="Tabletimes10C"/>
            </w:pPr>
            <w:r w:rsidRPr="008C052A">
              <w:t>26 (1</w:t>
            </w:r>
            <w:r>
              <w:t>.0</w:t>
            </w:r>
            <w:r w:rsidRPr="008C052A">
              <w:t>)</w:t>
            </w:r>
          </w:p>
        </w:tc>
        <w:tc>
          <w:tcPr>
            <w:tcW w:w="1668" w:type="dxa"/>
            <w:vAlign w:val="bottom"/>
          </w:tcPr>
          <w:p w14:paraId="4A2DE9F4" w14:textId="77777777" w:rsidR="007E4153" w:rsidRPr="008C052A" w:rsidRDefault="007E4153" w:rsidP="007E4153">
            <w:pPr>
              <w:pStyle w:val="Tabletimes10C"/>
            </w:pPr>
            <w:r w:rsidRPr="008C052A">
              <w:t>162 (1.1)</w:t>
            </w:r>
          </w:p>
        </w:tc>
      </w:tr>
      <w:tr w:rsidR="007E4153" w:rsidRPr="0051321C" w14:paraId="1C6119C3" w14:textId="77777777" w:rsidTr="00D26178">
        <w:trPr>
          <w:trHeight w:val="119"/>
        </w:trPr>
        <w:tc>
          <w:tcPr>
            <w:tcW w:w="317" w:type="dxa"/>
          </w:tcPr>
          <w:p w14:paraId="513F6DA7" w14:textId="77777777" w:rsidR="007E4153" w:rsidRPr="00AF1206" w:rsidRDefault="007E4153" w:rsidP="007E4153">
            <w:pPr>
              <w:pStyle w:val="Tabletimes10Lbold"/>
            </w:pPr>
          </w:p>
        </w:tc>
        <w:tc>
          <w:tcPr>
            <w:tcW w:w="4361" w:type="dxa"/>
            <w:vAlign w:val="bottom"/>
          </w:tcPr>
          <w:p w14:paraId="095E85A6" w14:textId="77777777" w:rsidR="007E4153" w:rsidRPr="00AF1206" w:rsidRDefault="007E4153" w:rsidP="007E4153">
            <w:pPr>
              <w:pStyle w:val="Tabletimes10L"/>
            </w:pPr>
            <w:r w:rsidRPr="00AF1206">
              <w:t>Unknown (diagnosis not specified)</w:t>
            </w:r>
          </w:p>
        </w:tc>
        <w:tc>
          <w:tcPr>
            <w:tcW w:w="1276" w:type="dxa"/>
            <w:vAlign w:val="bottom"/>
          </w:tcPr>
          <w:p w14:paraId="0A39ECF4" w14:textId="77777777" w:rsidR="007E4153" w:rsidRPr="008C052A" w:rsidRDefault="007E4153" w:rsidP="007E4153">
            <w:pPr>
              <w:pStyle w:val="Tabletimes10C"/>
            </w:pPr>
            <w:r w:rsidRPr="008C052A">
              <w:t>212 (7.7)</w:t>
            </w:r>
          </w:p>
        </w:tc>
        <w:tc>
          <w:tcPr>
            <w:tcW w:w="1450" w:type="dxa"/>
            <w:vAlign w:val="bottom"/>
          </w:tcPr>
          <w:p w14:paraId="6B43F03B" w14:textId="77777777" w:rsidR="007E4153" w:rsidRPr="008C052A" w:rsidRDefault="007E4153" w:rsidP="007E4153">
            <w:pPr>
              <w:pStyle w:val="Tabletimes10C"/>
            </w:pPr>
            <w:r w:rsidRPr="008C052A">
              <w:t>279 (11.1)</w:t>
            </w:r>
          </w:p>
        </w:tc>
        <w:tc>
          <w:tcPr>
            <w:tcW w:w="1668" w:type="dxa"/>
            <w:vAlign w:val="bottom"/>
          </w:tcPr>
          <w:p w14:paraId="2863EBFD" w14:textId="77777777" w:rsidR="007E4153" w:rsidRPr="008C052A" w:rsidRDefault="007E4153" w:rsidP="007E4153">
            <w:pPr>
              <w:pStyle w:val="Tabletimes10C"/>
            </w:pPr>
            <w:r w:rsidRPr="008C052A">
              <w:t>1565 (10.3)</w:t>
            </w:r>
          </w:p>
        </w:tc>
      </w:tr>
      <w:tr w:rsidR="007E4153" w:rsidRPr="00132549" w14:paraId="675EC3FB" w14:textId="77777777" w:rsidTr="00D26178">
        <w:trPr>
          <w:trHeight w:val="119"/>
        </w:trPr>
        <w:tc>
          <w:tcPr>
            <w:tcW w:w="4678" w:type="dxa"/>
            <w:gridSpan w:val="2"/>
          </w:tcPr>
          <w:p w14:paraId="542600F1" w14:textId="77777777" w:rsidR="007E4153" w:rsidRPr="00132549" w:rsidRDefault="007E4153" w:rsidP="007E4153">
            <w:pPr>
              <w:pStyle w:val="Tabletimes10Lbold"/>
            </w:pPr>
            <w:r w:rsidRPr="00132549">
              <w:t>First year revision rates, n (%)</w:t>
            </w:r>
            <w:r w:rsidRPr="00132549">
              <w:rPr>
                <w:vertAlign w:val="superscript"/>
              </w:rPr>
              <w:t>[d]</w:t>
            </w:r>
          </w:p>
        </w:tc>
        <w:tc>
          <w:tcPr>
            <w:tcW w:w="1276" w:type="dxa"/>
            <w:vAlign w:val="bottom"/>
          </w:tcPr>
          <w:p w14:paraId="50FEF2BE" w14:textId="77777777" w:rsidR="007E4153" w:rsidRPr="00132549" w:rsidRDefault="007E4153" w:rsidP="007E4153">
            <w:pPr>
              <w:pStyle w:val="Tabletimes10C"/>
            </w:pPr>
            <w:r w:rsidRPr="00132549">
              <w:t>772 (31.0)</w:t>
            </w:r>
          </w:p>
        </w:tc>
        <w:tc>
          <w:tcPr>
            <w:tcW w:w="1450" w:type="dxa"/>
            <w:vAlign w:val="bottom"/>
          </w:tcPr>
          <w:p w14:paraId="5FB35104" w14:textId="77777777" w:rsidR="007E4153" w:rsidRPr="00132549" w:rsidRDefault="007E4153" w:rsidP="007E4153">
            <w:pPr>
              <w:pStyle w:val="Tabletimes10C"/>
            </w:pPr>
            <w:r w:rsidRPr="00132549">
              <w:t>584 (25.2)</w:t>
            </w:r>
          </w:p>
        </w:tc>
        <w:tc>
          <w:tcPr>
            <w:tcW w:w="1668" w:type="dxa"/>
            <w:vAlign w:val="bottom"/>
          </w:tcPr>
          <w:p w14:paraId="7D37F92A" w14:textId="77777777" w:rsidR="007E4153" w:rsidRPr="00132549" w:rsidRDefault="007E4153" w:rsidP="007E4153">
            <w:pPr>
              <w:pStyle w:val="Tabletimes10C"/>
            </w:pPr>
            <w:r w:rsidRPr="00132549">
              <w:t>2406 (17.4)</w:t>
            </w:r>
          </w:p>
        </w:tc>
      </w:tr>
      <w:tr w:rsidR="007E4153" w:rsidRPr="00132549" w14:paraId="43A6C197" w14:textId="77777777" w:rsidTr="00D26178">
        <w:trPr>
          <w:trHeight w:val="321"/>
        </w:trPr>
        <w:tc>
          <w:tcPr>
            <w:tcW w:w="4678" w:type="dxa"/>
            <w:gridSpan w:val="2"/>
          </w:tcPr>
          <w:p w14:paraId="39915A9C" w14:textId="77777777" w:rsidR="007E4153" w:rsidRPr="00132549" w:rsidRDefault="007E4153" w:rsidP="007E4153">
            <w:pPr>
              <w:pStyle w:val="Tabletimes10Lbold"/>
            </w:pPr>
            <w:r w:rsidRPr="00132549">
              <w:t xml:space="preserve">90-day revision rates, n (%) </w:t>
            </w:r>
            <w:r w:rsidRPr="00132549">
              <w:rPr>
                <w:vertAlign w:val="superscript"/>
              </w:rPr>
              <w:t>[d]</w:t>
            </w:r>
          </w:p>
        </w:tc>
        <w:tc>
          <w:tcPr>
            <w:tcW w:w="1276" w:type="dxa"/>
            <w:vAlign w:val="bottom"/>
          </w:tcPr>
          <w:p w14:paraId="184DF821" w14:textId="6DEB836A" w:rsidR="007E4153" w:rsidRPr="00132549" w:rsidRDefault="007E4153" w:rsidP="007E4153">
            <w:pPr>
              <w:pStyle w:val="Tabletimes10C"/>
            </w:pPr>
            <w:r w:rsidRPr="00132549">
              <w:t>591 (21.9)</w:t>
            </w:r>
          </w:p>
        </w:tc>
        <w:tc>
          <w:tcPr>
            <w:tcW w:w="1450" w:type="dxa"/>
            <w:vAlign w:val="bottom"/>
          </w:tcPr>
          <w:p w14:paraId="0234BB38" w14:textId="10B8D3C7" w:rsidR="007E4153" w:rsidRPr="00132549" w:rsidRDefault="007E4153" w:rsidP="007E4153">
            <w:pPr>
              <w:pStyle w:val="Tabletimes10C"/>
            </w:pPr>
            <w:r w:rsidRPr="00132549">
              <w:t>462 (18.6)</w:t>
            </w:r>
          </w:p>
        </w:tc>
        <w:tc>
          <w:tcPr>
            <w:tcW w:w="1668" w:type="dxa"/>
            <w:vAlign w:val="bottom"/>
          </w:tcPr>
          <w:p w14:paraId="3BFF13C8" w14:textId="0C57ACAB" w:rsidR="007E4153" w:rsidRPr="00132549" w:rsidRDefault="007E4153" w:rsidP="007E4153">
            <w:pPr>
              <w:pStyle w:val="Tabletimes10C"/>
            </w:pPr>
            <w:r w:rsidRPr="00132549">
              <w:t>1919 (12.8)</w:t>
            </w:r>
          </w:p>
        </w:tc>
      </w:tr>
      <w:tr w:rsidR="007E4153" w:rsidRPr="0051321C" w14:paraId="404A53A1" w14:textId="77777777" w:rsidTr="00D26178">
        <w:trPr>
          <w:trHeight w:val="119"/>
        </w:trPr>
        <w:tc>
          <w:tcPr>
            <w:tcW w:w="4678" w:type="dxa"/>
            <w:gridSpan w:val="2"/>
          </w:tcPr>
          <w:p w14:paraId="6F5D97D7" w14:textId="77777777" w:rsidR="007E4153" w:rsidRPr="00AF1206" w:rsidRDefault="007E4153" w:rsidP="007E4153">
            <w:pPr>
              <w:pStyle w:val="Tabletimes10Lbold"/>
            </w:pPr>
            <w:r w:rsidRPr="00AF1206">
              <w:t xml:space="preserve">Reasons for primary shunt revision </w:t>
            </w:r>
            <w:r w:rsidRPr="00AF1206">
              <w:rPr>
                <w:vertAlign w:val="superscript"/>
              </w:rPr>
              <w:t>[e]</w:t>
            </w:r>
            <w:r w:rsidRPr="00AF1206">
              <w:t>, n (%):</w:t>
            </w:r>
          </w:p>
        </w:tc>
        <w:tc>
          <w:tcPr>
            <w:tcW w:w="1276" w:type="dxa"/>
            <w:vAlign w:val="center"/>
          </w:tcPr>
          <w:p w14:paraId="74971913" w14:textId="77777777" w:rsidR="007E4153" w:rsidRPr="00AF1206" w:rsidRDefault="007E4153" w:rsidP="007E4153">
            <w:pPr>
              <w:pStyle w:val="Tabletimes10C"/>
              <w:spacing w:before="20" w:after="20"/>
            </w:pPr>
          </w:p>
        </w:tc>
        <w:tc>
          <w:tcPr>
            <w:tcW w:w="1450" w:type="dxa"/>
            <w:vAlign w:val="center"/>
          </w:tcPr>
          <w:p w14:paraId="63A9E569" w14:textId="77777777" w:rsidR="007E4153" w:rsidRPr="00AF1206" w:rsidRDefault="007E4153" w:rsidP="007E4153">
            <w:pPr>
              <w:pStyle w:val="Tabletimes10C"/>
              <w:spacing w:before="20" w:after="20"/>
            </w:pPr>
          </w:p>
        </w:tc>
        <w:tc>
          <w:tcPr>
            <w:tcW w:w="1668" w:type="dxa"/>
            <w:vAlign w:val="center"/>
          </w:tcPr>
          <w:p w14:paraId="07D2E290" w14:textId="77777777" w:rsidR="007E4153" w:rsidRPr="00AF1206" w:rsidRDefault="007E4153" w:rsidP="007E4153">
            <w:pPr>
              <w:pStyle w:val="Tabletimes10C"/>
              <w:spacing w:before="20" w:after="20"/>
            </w:pPr>
          </w:p>
        </w:tc>
      </w:tr>
      <w:tr w:rsidR="007E4153" w:rsidRPr="0051321C" w14:paraId="4A2AD7C8" w14:textId="77777777" w:rsidTr="00D26178">
        <w:trPr>
          <w:trHeight w:val="119"/>
        </w:trPr>
        <w:tc>
          <w:tcPr>
            <w:tcW w:w="317" w:type="dxa"/>
          </w:tcPr>
          <w:p w14:paraId="7E770C7E" w14:textId="77777777" w:rsidR="007E4153" w:rsidRPr="00AF1206" w:rsidRDefault="007E4153" w:rsidP="007E4153">
            <w:pPr>
              <w:pStyle w:val="Tabletimes10Lbold"/>
            </w:pPr>
          </w:p>
        </w:tc>
        <w:tc>
          <w:tcPr>
            <w:tcW w:w="4361" w:type="dxa"/>
            <w:vAlign w:val="bottom"/>
          </w:tcPr>
          <w:p w14:paraId="38274924" w14:textId="77777777" w:rsidR="007E4153" w:rsidRPr="00AF1206" w:rsidRDefault="007E4153" w:rsidP="007E4153">
            <w:pPr>
              <w:pStyle w:val="Tabletimes10L"/>
            </w:pPr>
            <w:r w:rsidRPr="00AF1206">
              <w:t>Underdrainage</w:t>
            </w:r>
          </w:p>
        </w:tc>
        <w:tc>
          <w:tcPr>
            <w:tcW w:w="1276" w:type="dxa"/>
            <w:vAlign w:val="bottom"/>
          </w:tcPr>
          <w:p w14:paraId="562DBE39" w14:textId="77777777" w:rsidR="007E4153" w:rsidRPr="008C052A" w:rsidRDefault="007E4153" w:rsidP="007E4153">
            <w:pPr>
              <w:pStyle w:val="Tabletimes10C"/>
            </w:pPr>
            <w:r w:rsidRPr="008C052A">
              <w:t>317 (64.9)</w:t>
            </w:r>
          </w:p>
        </w:tc>
        <w:tc>
          <w:tcPr>
            <w:tcW w:w="1450" w:type="dxa"/>
            <w:vAlign w:val="bottom"/>
          </w:tcPr>
          <w:p w14:paraId="33E769DF" w14:textId="77777777" w:rsidR="007E4153" w:rsidRPr="008C052A" w:rsidRDefault="007E4153" w:rsidP="007E4153">
            <w:pPr>
              <w:pStyle w:val="Tabletimes10C"/>
            </w:pPr>
            <w:r w:rsidRPr="008C052A">
              <w:t>199 (66.3)</w:t>
            </w:r>
          </w:p>
        </w:tc>
        <w:tc>
          <w:tcPr>
            <w:tcW w:w="1668" w:type="dxa"/>
            <w:vAlign w:val="bottom"/>
          </w:tcPr>
          <w:p w14:paraId="4FD56FB2" w14:textId="77777777" w:rsidR="007E4153" w:rsidRPr="008C052A" w:rsidRDefault="007E4153" w:rsidP="007E4153">
            <w:pPr>
              <w:pStyle w:val="Tabletimes10C"/>
            </w:pPr>
            <w:r w:rsidRPr="008C052A">
              <w:t>759 (57.2)</w:t>
            </w:r>
          </w:p>
        </w:tc>
      </w:tr>
      <w:tr w:rsidR="007E4153" w:rsidRPr="0051321C" w14:paraId="77E2D24A" w14:textId="77777777" w:rsidTr="00D26178">
        <w:trPr>
          <w:trHeight w:val="119"/>
        </w:trPr>
        <w:tc>
          <w:tcPr>
            <w:tcW w:w="317" w:type="dxa"/>
          </w:tcPr>
          <w:p w14:paraId="68A4DE82" w14:textId="77777777" w:rsidR="007E4153" w:rsidRPr="00AF1206" w:rsidRDefault="007E4153" w:rsidP="007E4153">
            <w:pPr>
              <w:pStyle w:val="Tabletimes10Lbold"/>
            </w:pPr>
          </w:p>
        </w:tc>
        <w:tc>
          <w:tcPr>
            <w:tcW w:w="4361" w:type="dxa"/>
            <w:vAlign w:val="bottom"/>
          </w:tcPr>
          <w:p w14:paraId="17F90CAD" w14:textId="77777777" w:rsidR="007E4153" w:rsidRPr="00AF1206" w:rsidRDefault="007E4153" w:rsidP="007E4153">
            <w:pPr>
              <w:pStyle w:val="Tabletimes10L"/>
            </w:pPr>
            <w:r w:rsidRPr="00AF1206">
              <w:t>Shunt infection</w:t>
            </w:r>
          </w:p>
        </w:tc>
        <w:tc>
          <w:tcPr>
            <w:tcW w:w="1276" w:type="dxa"/>
            <w:vAlign w:val="bottom"/>
          </w:tcPr>
          <w:p w14:paraId="48680E75" w14:textId="77777777" w:rsidR="007E4153" w:rsidRPr="008C052A" w:rsidRDefault="007E4153" w:rsidP="007E4153">
            <w:pPr>
              <w:pStyle w:val="Tabletimes10C"/>
            </w:pPr>
            <w:r w:rsidRPr="008C052A">
              <w:t>81 (16.5)</w:t>
            </w:r>
          </w:p>
        </w:tc>
        <w:tc>
          <w:tcPr>
            <w:tcW w:w="1450" w:type="dxa"/>
            <w:vAlign w:val="bottom"/>
          </w:tcPr>
          <w:p w14:paraId="5AFF6E87" w14:textId="77777777" w:rsidR="007E4153" w:rsidRPr="008C052A" w:rsidRDefault="007E4153" w:rsidP="007E4153">
            <w:pPr>
              <w:pStyle w:val="Tabletimes10C"/>
            </w:pPr>
            <w:r w:rsidRPr="008C052A">
              <w:t>35 (11.</w:t>
            </w:r>
            <w:r>
              <w:t>7</w:t>
            </w:r>
            <w:r w:rsidRPr="008C052A">
              <w:t>)</w:t>
            </w:r>
          </w:p>
        </w:tc>
        <w:tc>
          <w:tcPr>
            <w:tcW w:w="1668" w:type="dxa"/>
            <w:vAlign w:val="bottom"/>
          </w:tcPr>
          <w:p w14:paraId="14400A96" w14:textId="77777777" w:rsidR="007E4153" w:rsidRPr="008C052A" w:rsidRDefault="007E4153" w:rsidP="007E4153">
            <w:pPr>
              <w:pStyle w:val="Tabletimes10C"/>
            </w:pPr>
            <w:r w:rsidRPr="008C052A">
              <w:t>158 (11.9)</w:t>
            </w:r>
          </w:p>
        </w:tc>
      </w:tr>
      <w:tr w:rsidR="007E4153" w:rsidRPr="0051321C" w14:paraId="43EEF39F" w14:textId="77777777" w:rsidTr="00D26178">
        <w:trPr>
          <w:trHeight w:val="119"/>
        </w:trPr>
        <w:tc>
          <w:tcPr>
            <w:tcW w:w="317" w:type="dxa"/>
          </w:tcPr>
          <w:p w14:paraId="53AA4AC1" w14:textId="77777777" w:rsidR="007E4153" w:rsidRPr="00AF1206" w:rsidRDefault="007E4153" w:rsidP="007E4153">
            <w:pPr>
              <w:pStyle w:val="Tabletimes10Lbold"/>
            </w:pPr>
          </w:p>
        </w:tc>
        <w:tc>
          <w:tcPr>
            <w:tcW w:w="4361" w:type="dxa"/>
            <w:vAlign w:val="bottom"/>
          </w:tcPr>
          <w:p w14:paraId="4702C147" w14:textId="77777777" w:rsidR="007E4153" w:rsidRPr="00AF1206" w:rsidRDefault="007E4153" w:rsidP="007E4153">
            <w:pPr>
              <w:pStyle w:val="Tabletimes10L"/>
            </w:pPr>
            <w:r w:rsidRPr="00AF1206">
              <w:t>Disconnection</w:t>
            </w:r>
          </w:p>
        </w:tc>
        <w:tc>
          <w:tcPr>
            <w:tcW w:w="1276" w:type="dxa"/>
            <w:vAlign w:val="bottom"/>
          </w:tcPr>
          <w:p w14:paraId="4FBDA19A" w14:textId="77777777" w:rsidR="007E4153" w:rsidRPr="008C052A" w:rsidRDefault="007E4153" w:rsidP="007E4153">
            <w:pPr>
              <w:pStyle w:val="Tabletimes10C"/>
            </w:pPr>
            <w:r w:rsidRPr="008C052A">
              <w:t>25 (5.1)</w:t>
            </w:r>
          </w:p>
        </w:tc>
        <w:tc>
          <w:tcPr>
            <w:tcW w:w="1450" w:type="dxa"/>
            <w:vAlign w:val="bottom"/>
          </w:tcPr>
          <w:p w14:paraId="38ED5E7F" w14:textId="77777777" w:rsidR="007E4153" w:rsidRPr="008C052A" w:rsidRDefault="007E4153" w:rsidP="007E4153">
            <w:pPr>
              <w:pStyle w:val="Tabletimes10C"/>
            </w:pPr>
            <w:r w:rsidRPr="008C052A">
              <w:t>12 (4</w:t>
            </w:r>
            <w:r>
              <w:t>.0</w:t>
            </w:r>
            <w:r w:rsidRPr="008C052A">
              <w:t>)</w:t>
            </w:r>
          </w:p>
        </w:tc>
        <w:tc>
          <w:tcPr>
            <w:tcW w:w="1668" w:type="dxa"/>
            <w:vAlign w:val="bottom"/>
          </w:tcPr>
          <w:p w14:paraId="054F07E8" w14:textId="77777777" w:rsidR="007E4153" w:rsidRPr="008C052A" w:rsidRDefault="007E4153" w:rsidP="007E4153">
            <w:pPr>
              <w:pStyle w:val="Tabletimes10C"/>
            </w:pPr>
            <w:r w:rsidRPr="008C052A">
              <w:t>93 (7</w:t>
            </w:r>
            <w:r>
              <w:t>.0</w:t>
            </w:r>
            <w:r w:rsidRPr="008C052A">
              <w:t>)</w:t>
            </w:r>
          </w:p>
        </w:tc>
      </w:tr>
      <w:tr w:rsidR="007E4153" w:rsidRPr="0051321C" w14:paraId="455F21EC" w14:textId="77777777" w:rsidTr="00D26178">
        <w:trPr>
          <w:trHeight w:val="119"/>
        </w:trPr>
        <w:tc>
          <w:tcPr>
            <w:tcW w:w="317" w:type="dxa"/>
          </w:tcPr>
          <w:p w14:paraId="4104F846" w14:textId="77777777" w:rsidR="007E4153" w:rsidRPr="00AF1206" w:rsidRDefault="007E4153" w:rsidP="007E4153">
            <w:pPr>
              <w:pStyle w:val="Tabletimes10Lbold"/>
            </w:pPr>
          </w:p>
        </w:tc>
        <w:tc>
          <w:tcPr>
            <w:tcW w:w="4361" w:type="dxa"/>
            <w:vAlign w:val="bottom"/>
          </w:tcPr>
          <w:p w14:paraId="76B56347" w14:textId="77777777" w:rsidR="007E4153" w:rsidRPr="00AF1206" w:rsidRDefault="007E4153" w:rsidP="007E4153">
            <w:pPr>
              <w:pStyle w:val="Tabletimes10L"/>
            </w:pPr>
            <w:r w:rsidRPr="00AF1206">
              <w:t>Migration</w:t>
            </w:r>
          </w:p>
        </w:tc>
        <w:tc>
          <w:tcPr>
            <w:tcW w:w="1276" w:type="dxa"/>
            <w:vAlign w:val="bottom"/>
          </w:tcPr>
          <w:p w14:paraId="27AE906F" w14:textId="77777777" w:rsidR="007E4153" w:rsidRPr="008C052A" w:rsidRDefault="007E4153" w:rsidP="007E4153">
            <w:pPr>
              <w:pStyle w:val="Tabletimes10C"/>
            </w:pPr>
            <w:r w:rsidRPr="008C052A">
              <w:t>17 (3.4)</w:t>
            </w:r>
          </w:p>
        </w:tc>
        <w:tc>
          <w:tcPr>
            <w:tcW w:w="1450" w:type="dxa"/>
            <w:vAlign w:val="bottom"/>
          </w:tcPr>
          <w:p w14:paraId="6EE7ACB1" w14:textId="77777777" w:rsidR="007E4153" w:rsidRPr="008C052A" w:rsidRDefault="007E4153" w:rsidP="007E4153">
            <w:pPr>
              <w:pStyle w:val="Tabletimes10C"/>
            </w:pPr>
            <w:r w:rsidRPr="008C052A">
              <w:t>6 (2</w:t>
            </w:r>
            <w:r>
              <w:t>.0</w:t>
            </w:r>
            <w:r w:rsidRPr="008C052A">
              <w:t>)</w:t>
            </w:r>
          </w:p>
        </w:tc>
        <w:tc>
          <w:tcPr>
            <w:tcW w:w="1668" w:type="dxa"/>
            <w:vAlign w:val="bottom"/>
          </w:tcPr>
          <w:p w14:paraId="48D8EF3F" w14:textId="77777777" w:rsidR="007E4153" w:rsidRPr="008C052A" w:rsidRDefault="007E4153" w:rsidP="007E4153">
            <w:pPr>
              <w:pStyle w:val="Tabletimes10C"/>
            </w:pPr>
            <w:r w:rsidRPr="008C052A">
              <w:t>101 (7.6)</w:t>
            </w:r>
          </w:p>
        </w:tc>
      </w:tr>
      <w:tr w:rsidR="007E4153" w:rsidRPr="0051321C" w14:paraId="4205B219" w14:textId="77777777" w:rsidTr="00D26178">
        <w:trPr>
          <w:trHeight w:val="119"/>
        </w:trPr>
        <w:tc>
          <w:tcPr>
            <w:tcW w:w="317" w:type="dxa"/>
          </w:tcPr>
          <w:p w14:paraId="6DA532FF" w14:textId="77777777" w:rsidR="007E4153" w:rsidRPr="00AF1206" w:rsidRDefault="007E4153" w:rsidP="007E4153">
            <w:pPr>
              <w:pStyle w:val="Tabletimes10Lbold"/>
            </w:pPr>
          </w:p>
        </w:tc>
        <w:tc>
          <w:tcPr>
            <w:tcW w:w="4361" w:type="dxa"/>
            <w:vAlign w:val="bottom"/>
          </w:tcPr>
          <w:p w14:paraId="75A25FC9" w14:textId="77777777" w:rsidR="007E4153" w:rsidRPr="00AF1206" w:rsidRDefault="007E4153" w:rsidP="007E4153">
            <w:pPr>
              <w:pStyle w:val="Tabletimes10L"/>
            </w:pPr>
            <w:r w:rsidRPr="00AF1206">
              <w:t>Overdrainage</w:t>
            </w:r>
          </w:p>
        </w:tc>
        <w:tc>
          <w:tcPr>
            <w:tcW w:w="1276" w:type="dxa"/>
            <w:vAlign w:val="bottom"/>
          </w:tcPr>
          <w:p w14:paraId="7141ABA9" w14:textId="77777777" w:rsidR="007E4153" w:rsidRPr="008C052A" w:rsidRDefault="007E4153" w:rsidP="007E4153">
            <w:pPr>
              <w:pStyle w:val="Tabletimes10C"/>
            </w:pPr>
            <w:r w:rsidRPr="008C052A">
              <w:t>7 (1.4)</w:t>
            </w:r>
          </w:p>
        </w:tc>
        <w:tc>
          <w:tcPr>
            <w:tcW w:w="1450" w:type="dxa"/>
            <w:vAlign w:val="bottom"/>
          </w:tcPr>
          <w:p w14:paraId="7F636628" w14:textId="77777777" w:rsidR="007E4153" w:rsidRPr="008C052A" w:rsidRDefault="007E4153" w:rsidP="007E4153">
            <w:pPr>
              <w:pStyle w:val="Tabletimes10C"/>
            </w:pPr>
            <w:r w:rsidRPr="008C052A">
              <w:t>24 (8</w:t>
            </w:r>
            <w:r>
              <w:t>.0</w:t>
            </w:r>
            <w:r w:rsidRPr="008C052A">
              <w:t>)</w:t>
            </w:r>
          </w:p>
        </w:tc>
        <w:tc>
          <w:tcPr>
            <w:tcW w:w="1668" w:type="dxa"/>
            <w:vAlign w:val="bottom"/>
          </w:tcPr>
          <w:p w14:paraId="2352FECD" w14:textId="77777777" w:rsidR="007E4153" w:rsidRPr="008C052A" w:rsidRDefault="007E4153" w:rsidP="007E4153">
            <w:pPr>
              <w:pStyle w:val="Tabletimes10C"/>
            </w:pPr>
            <w:r w:rsidRPr="008C052A">
              <w:t>101 (7.6)</w:t>
            </w:r>
          </w:p>
        </w:tc>
      </w:tr>
      <w:tr w:rsidR="007E4153" w:rsidRPr="0051321C" w14:paraId="4FABA97D" w14:textId="77777777" w:rsidTr="00D26178">
        <w:trPr>
          <w:trHeight w:val="119"/>
        </w:trPr>
        <w:tc>
          <w:tcPr>
            <w:tcW w:w="317" w:type="dxa"/>
          </w:tcPr>
          <w:p w14:paraId="6F8E48B0" w14:textId="77777777" w:rsidR="007E4153" w:rsidRPr="00AF1206" w:rsidRDefault="007E4153" w:rsidP="007E4153">
            <w:pPr>
              <w:pStyle w:val="Tabletimes10Lbold"/>
            </w:pPr>
          </w:p>
        </w:tc>
        <w:tc>
          <w:tcPr>
            <w:tcW w:w="4361" w:type="dxa"/>
            <w:vAlign w:val="bottom"/>
          </w:tcPr>
          <w:p w14:paraId="40877F73" w14:textId="77777777" w:rsidR="007E4153" w:rsidRPr="00AF1206" w:rsidRDefault="007E4153" w:rsidP="007E4153">
            <w:pPr>
              <w:pStyle w:val="Tabletimes10L"/>
            </w:pPr>
            <w:r w:rsidRPr="00AF1206">
              <w:t>Fracture</w:t>
            </w:r>
          </w:p>
        </w:tc>
        <w:tc>
          <w:tcPr>
            <w:tcW w:w="1276" w:type="dxa"/>
            <w:vAlign w:val="bottom"/>
          </w:tcPr>
          <w:p w14:paraId="29312DD4" w14:textId="77777777" w:rsidR="007E4153" w:rsidRPr="008C052A" w:rsidRDefault="007E4153" w:rsidP="007E4153">
            <w:pPr>
              <w:pStyle w:val="Tabletimes10C"/>
            </w:pPr>
            <w:r w:rsidRPr="008C052A">
              <w:t>8 (1.6)</w:t>
            </w:r>
          </w:p>
        </w:tc>
        <w:tc>
          <w:tcPr>
            <w:tcW w:w="1450" w:type="dxa"/>
            <w:vAlign w:val="bottom"/>
          </w:tcPr>
          <w:p w14:paraId="5EB7E9B1" w14:textId="77777777" w:rsidR="007E4153" w:rsidRPr="008C052A" w:rsidRDefault="007E4153" w:rsidP="007E4153">
            <w:pPr>
              <w:pStyle w:val="Tabletimes10C"/>
            </w:pPr>
            <w:r w:rsidRPr="008C052A">
              <w:t>5 (1.6)</w:t>
            </w:r>
          </w:p>
        </w:tc>
        <w:tc>
          <w:tcPr>
            <w:tcW w:w="1668" w:type="dxa"/>
            <w:vAlign w:val="bottom"/>
          </w:tcPr>
          <w:p w14:paraId="508D16AC" w14:textId="77777777" w:rsidR="007E4153" w:rsidRPr="008C052A" w:rsidRDefault="007E4153" w:rsidP="007E4153">
            <w:pPr>
              <w:pStyle w:val="Tabletimes10C"/>
            </w:pPr>
            <w:r w:rsidRPr="008C052A">
              <w:t>30 (2.2)</w:t>
            </w:r>
          </w:p>
        </w:tc>
      </w:tr>
      <w:tr w:rsidR="007E4153" w:rsidRPr="0051321C" w14:paraId="6C6BC55D" w14:textId="77777777" w:rsidTr="00D26178">
        <w:trPr>
          <w:trHeight w:val="119"/>
        </w:trPr>
        <w:tc>
          <w:tcPr>
            <w:tcW w:w="317" w:type="dxa"/>
          </w:tcPr>
          <w:p w14:paraId="0791F48F" w14:textId="77777777" w:rsidR="007E4153" w:rsidRPr="00AF1206" w:rsidRDefault="007E4153" w:rsidP="007E4153">
            <w:pPr>
              <w:pStyle w:val="Tabletimes10Lbold"/>
            </w:pPr>
          </w:p>
        </w:tc>
        <w:tc>
          <w:tcPr>
            <w:tcW w:w="4361" w:type="dxa"/>
            <w:vAlign w:val="bottom"/>
          </w:tcPr>
          <w:p w14:paraId="055FC4C1" w14:textId="77777777" w:rsidR="007E4153" w:rsidRPr="00AF1206" w:rsidRDefault="007E4153" w:rsidP="007E4153">
            <w:pPr>
              <w:pStyle w:val="Tabletimes10L"/>
            </w:pPr>
            <w:r w:rsidRPr="00AF1206">
              <w:t>Wound infection</w:t>
            </w:r>
          </w:p>
        </w:tc>
        <w:tc>
          <w:tcPr>
            <w:tcW w:w="1276" w:type="dxa"/>
            <w:vAlign w:val="bottom"/>
          </w:tcPr>
          <w:p w14:paraId="460BD96F" w14:textId="77777777" w:rsidR="007E4153" w:rsidRPr="008C052A" w:rsidRDefault="007E4153" w:rsidP="007E4153">
            <w:pPr>
              <w:pStyle w:val="Tabletimes10C"/>
            </w:pPr>
            <w:r w:rsidRPr="008C052A">
              <w:t>3 (0.6)</w:t>
            </w:r>
          </w:p>
        </w:tc>
        <w:tc>
          <w:tcPr>
            <w:tcW w:w="1450" w:type="dxa"/>
            <w:vAlign w:val="bottom"/>
          </w:tcPr>
          <w:p w14:paraId="4FA14F70" w14:textId="77777777" w:rsidR="007E4153" w:rsidRPr="008C052A" w:rsidRDefault="007E4153" w:rsidP="007E4153">
            <w:pPr>
              <w:pStyle w:val="Tabletimes10C"/>
            </w:pPr>
            <w:r w:rsidRPr="008C052A">
              <w:t>1 (0.3)</w:t>
            </w:r>
          </w:p>
        </w:tc>
        <w:tc>
          <w:tcPr>
            <w:tcW w:w="1668" w:type="dxa"/>
            <w:vAlign w:val="bottom"/>
          </w:tcPr>
          <w:p w14:paraId="7A716CE7" w14:textId="77777777" w:rsidR="007E4153" w:rsidRPr="008C052A" w:rsidRDefault="007E4153" w:rsidP="007E4153">
            <w:pPr>
              <w:pStyle w:val="Tabletimes10C"/>
            </w:pPr>
            <w:r w:rsidRPr="008C052A">
              <w:t>8 (0.6)</w:t>
            </w:r>
          </w:p>
        </w:tc>
      </w:tr>
      <w:tr w:rsidR="007E4153" w:rsidRPr="0051321C" w14:paraId="56F547DF" w14:textId="77777777" w:rsidTr="00D26178">
        <w:trPr>
          <w:trHeight w:val="348"/>
        </w:trPr>
        <w:tc>
          <w:tcPr>
            <w:tcW w:w="317" w:type="dxa"/>
          </w:tcPr>
          <w:p w14:paraId="7D7F6CE7" w14:textId="77777777" w:rsidR="007E4153" w:rsidRPr="00AF1206" w:rsidRDefault="007E4153" w:rsidP="007E4153">
            <w:pPr>
              <w:pStyle w:val="Tabletimes10Lbold"/>
            </w:pPr>
          </w:p>
        </w:tc>
        <w:tc>
          <w:tcPr>
            <w:tcW w:w="4361" w:type="dxa"/>
            <w:vAlign w:val="bottom"/>
          </w:tcPr>
          <w:p w14:paraId="1C81DE52" w14:textId="77777777" w:rsidR="007E4153" w:rsidRPr="00AF1206" w:rsidRDefault="007E4153" w:rsidP="007E4153">
            <w:pPr>
              <w:pStyle w:val="Tabletimes10L"/>
            </w:pPr>
            <w:r w:rsidRPr="00AF1206">
              <w:t>More than one reason</w:t>
            </w:r>
          </w:p>
        </w:tc>
        <w:tc>
          <w:tcPr>
            <w:tcW w:w="1276" w:type="dxa"/>
            <w:vAlign w:val="bottom"/>
          </w:tcPr>
          <w:p w14:paraId="3D3AA1C4" w14:textId="77777777" w:rsidR="007E4153" w:rsidRPr="008C052A" w:rsidRDefault="007E4153" w:rsidP="007E4153">
            <w:pPr>
              <w:pStyle w:val="Tabletimes10C"/>
            </w:pPr>
            <w:r w:rsidRPr="008C052A">
              <w:t>30 (6.1)</w:t>
            </w:r>
          </w:p>
        </w:tc>
        <w:tc>
          <w:tcPr>
            <w:tcW w:w="1450" w:type="dxa"/>
            <w:vAlign w:val="bottom"/>
          </w:tcPr>
          <w:p w14:paraId="0D5CBBF7" w14:textId="77777777" w:rsidR="007E4153" w:rsidRPr="008C052A" w:rsidRDefault="007E4153" w:rsidP="007E4153">
            <w:pPr>
              <w:pStyle w:val="Tabletimes10C"/>
            </w:pPr>
            <w:r w:rsidRPr="008C052A">
              <w:t>18 (6</w:t>
            </w:r>
            <w:r>
              <w:t>.0</w:t>
            </w:r>
            <w:r w:rsidRPr="008C052A">
              <w:t>)</w:t>
            </w:r>
          </w:p>
        </w:tc>
        <w:tc>
          <w:tcPr>
            <w:tcW w:w="1668" w:type="dxa"/>
            <w:vAlign w:val="bottom"/>
          </w:tcPr>
          <w:p w14:paraId="39A3AB74" w14:textId="77777777" w:rsidR="007E4153" w:rsidRPr="008C052A" w:rsidRDefault="007E4153" w:rsidP="007E4153">
            <w:pPr>
              <w:pStyle w:val="Tabletimes10C"/>
            </w:pPr>
            <w:r w:rsidRPr="008C052A">
              <w:t>75 (5.6)</w:t>
            </w:r>
          </w:p>
        </w:tc>
      </w:tr>
      <w:tr w:rsidR="007E4153" w:rsidRPr="0051321C" w14:paraId="010EDE3D" w14:textId="77777777" w:rsidTr="00D26178">
        <w:trPr>
          <w:trHeight w:val="348"/>
        </w:trPr>
        <w:tc>
          <w:tcPr>
            <w:tcW w:w="4678" w:type="dxa"/>
            <w:gridSpan w:val="2"/>
            <w:tcBorders>
              <w:bottom w:val="single" w:sz="4" w:space="0" w:color="auto"/>
            </w:tcBorders>
            <w:vAlign w:val="bottom"/>
          </w:tcPr>
          <w:p w14:paraId="1AD321D6" w14:textId="77777777" w:rsidR="007E4153" w:rsidRPr="00AF1206" w:rsidRDefault="007E4153" w:rsidP="007E4153">
            <w:pPr>
              <w:pStyle w:val="Tabletimes10Lbold"/>
            </w:pPr>
            <w:r w:rsidRPr="00AF1206">
              <w:t>Primary shunt revisions that included shunt replacement with external ventricular drain (EVD)</w:t>
            </w:r>
          </w:p>
        </w:tc>
        <w:tc>
          <w:tcPr>
            <w:tcW w:w="1276" w:type="dxa"/>
            <w:tcBorders>
              <w:bottom w:val="single" w:sz="4" w:space="0" w:color="auto"/>
            </w:tcBorders>
            <w:vAlign w:val="center"/>
          </w:tcPr>
          <w:p w14:paraId="30C5D0D5" w14:textId="77777777" w:rsidR="007E4153" w:rsidRPr="008C052A" w:rsidRDefault="007E4153" w:rsidP="007E4153">
            <w:pPr>
              <w:pStyle w:val="Tabletimes10C"/>
            </w:pPr>
            <w:r w:rsidRPr="008C052A">
              <w:t>55 (5.5)</w:t>
            </w:r>
          </w:p>
        </w:tc>
        <w:tc>
          <w:tcPr>
            <w:tcW w:w="1450" w:type="dxa"/>
            <w:tcBorders>
              <w:bottom w:val="single" w:sz="4" w:space="0" w:color="auto"/>
            </w:tcBorders>
            <w:vAlign w:val="center"/>
          </w:tcPr>
          <w:p w14:paraId="2FE936CC" w14:textId="77777777" w:rsidR="007E4153" w:rsidRPr="008C052A" w:rsidRDefault="007E4153" w:rsidP="007E4153">
            <w:pPr>
              <w:pStyle w:val="Tabletimes10C"/>
            </w:pPr>
            <w:r w:rsidRPr="008C052A">
              <w:t>21 (2.6)</w:t>
            </w:r>
          </w:p>
        </w:tc>
        <w:tc>
          <w:tcPr>
            <w:tcW w:w="1668" w:type="dxa"/>
            <w:tcBorders>
              <w:bottom w:val="single" w:sz="4" w:space="0" w:color="auto"/>
            </w:tcBorders>
            <w:vAlign w:val="center"/>
          </w:tcPr>
          <w:p w14:paraId="20E80B86" w14:textId="77777777" w:rsidR="007E4153" w:rsidRPr="008C052A" w:rsidRDefault="007E4153" w:rsidP="007E4153">
            <w:pPr>
              <w:pStyle w:val="Tabletimes10C"/>
            </w:pPr>
            <w:r w:rsidRPr="008C052A">
              <w:t>106 (3.3)</w:t>
            </w:r>
          </w:p>
        </w:tc>
      </w:tr>
      <w:tr w:rsidR="007E4153" w:rsidRPr="0051321C" w14:paraId="7B0C4029" w14:textId="77777777" w:rsidTr="00D26178">
        <w:trPr>
          <w:trHeight w:val="348"/>
        </w:trPr>
        <w:tc>
          <w:tcPr>
            <w:tcW w:w="9072" w:type="dxa"/>
            <w:gridSpan w:val="5"/>
            <w:tcBorders>
              <w:top w:val="single" w:sz="4" w:space="0" w:color="auto"/>
              <w:bottom w:val="single" w:sz="4" w:space="0" w:color="auto"/>
            </w:tcBorders>
            <w:vAlign w:val="bottom"/>
          </w:tcPr>
          <w:p w14:paraId="3270735F" w14:textId="77777777" w:rsidR="007E4153" w:rsidRPr="008C052A" w:rsidRDefault="007E4153" w:rsidP="007E4153">
            <w:pPr>
              <w:pStyle w:val="Tabletimes10L"/>
              <w:spacing w:before="60"/>
              <w:rPr>
                <w:lang w:val="en-US"/>
              </w:rPr>
            </w:pPr>
            <w:r w:rsidRPr="008C052A">
              <w:t>IQR: Interquartile range; AVM: cerebral arteriovenous malformation; SAH: subarachnoid haemorrhage.</w:t>
            </w:r>
          </w:p>
          <w:p w14:paraId="1F06D99C" w14:textId="77777777" w:rsidR="007E4153" w:rsidRPr="008C052A" w:rsidRDefault="007E4153" w:rsidP="007E4153">
            <w:pPr>
              <w:pStyle w:val="Tabletimes10L"/>
            </w:pPr>
            <w:r w:rsidRPr="008C052A">
              <w:rPr>
                <w:vertAlign w:val="superscript"/>
              </w:rPr>
              <w:t>[a]</w:t>
            </w:r>
            <w:r w:rsidRPr="008C052A">
              <w:t xml:space="preserve"> For 526 (1.3%) procedures, in 486 (1.8%) patients, the age of the patient was unknown</w:t>
            </w:r>
          </w:p>
          <w:p w14:paraId="64D6E955" w14:textId="77777777" w:rsidR="007E4153" w:rsidRPr="008C052A" w:rsidRDefault="007E4153" w:rsidP="007E4153">
            <w:pPr>
              <w:pStyle w:val="Tabletimes10L"/>
            </w:pPr>
            <w:r w:rsidRPr="008C052A">
              <w:rPr>
                <w:vertAlign w:val="superscript"/>
              </w:rPr>
              <w:t>[b]</w:t>
            </w:r>
            <w:r w:rsidRPr="008C052A">
              <w:t xml:space="preserve"> Including only procedures of primary shunt insertion</w:t>
            </w:r>
          </w:p>
          <w:p w14:paraId="23C25828" w14:textId="77777777" w:rsidR="007E4153" w:rsidRPr="008C052A" w:rsidRDefault="007E4153" w:rsidP="007E4153">
            <w:pPr>
              <w:pStyle w:val="Tabletimes10L"/>
            </w:pPr>
            <w:r w:rsidRPr="008C052A">
              <w:rPr>
                <w:vertAlign w:val="superscript"/>
              </w:rPr>
              <w:t>[c]</w:t>
            </w:r>
            <w:r w:rsidRPr="008C052A">
              <w:t xml:space="preserve"> Malformations included: aqueduct stenosis, Dandy-Walker, Chiari, malformations with spina bifida, unspecified congenital, and other malformations.</w:t>
            </w:r>
          </w:p>
          <w:p w14:paraId="71BCB279" w14:textId="5C31B21D" w:rsidR="007E4153" w:rsidRPr="008C052A" w:rsidRDefault="007E4153" w:rsidP="007E4153">
            <w:pPr>
              <w:pStyle w:val="Tabletimes10L"/>
            </w:pPr>
            <w:r w:rsidRPr="008C052A">
              <w:rPr>
                <w:vertAlign w:val="superscript"/>
              </w:rPr>
              <w:t>[d]</w:t>
            </w:r>
            <w:r w:rsidRPr="008C052A">
              <w:t xml:space="preserve"> First year and 90-day revision rates were calculated for all patients whose primary shunt was inserted in the study period, and who were followed up for at least one year, and 90 days, respectively.</w:t>
            </w:r>
          </w:p>
          <w:p w14:paraId="6F17B1C8" w14:textId="77777777" w:rsidR="007E4153" w:rsidRPr="00AF1206" w:rsidRDefault="007E4153" w:rsidP="007E4153">
            <w:pPr>
              <w:pStyle w:val="Tabletimes10L"/>
            </w:pPr>
            <w:r w:rsidRPr="008C052A">
              <w:rPr>
                <w:vertAlign w:val="superscript"/>
              </w:rPr>
              <w:t>[e]</w:t>
            </w:r>
            <w:r w:rsidRPr="008C052A">
              <w:t xml:space="preserve"> Excluding revision procedures with unknown / no reason specified. Among the 119 patients with multiple reasons for revision of primary shunt, each reason was present in different percentages, and included underdrainage (74%), disconnection (46%), migration (33%), shunt infection (18%), fracture (15%), overdrainage (11%) and wound infection (2%).</w:t>
            </w:r>
          </w:p>
        </w:tc>
      </w:tr>
    </w:tbl>
    <w:p w14:paraId="141C5D50" w14:textId="77777777" w:rsidR="00AF1206" w:rsidRPr="00907905" w:rsidRDefault="00AF1206" w:rsidP="00FF2706">
      <w:pPr>
        <w:rPr>
          <w:color w:val="auto"/>
          <w:lang w:val="en-US"/>
        </w:rPr>
      </w:pPr>
    </w:p>
    <w:p w14:paraId="55EDDF09" w14:textId="304FB2BD" w:rsidR="00FF2706" w:rsidRPr="00EA4D30" w:rsidRDefault="007C1ED5" w:rsidP="000D59DD">
      <w:pPr>
        <w:pStyle w:val="Heading1"/>
      </w:pPr>
      <w:r w:rsidRPr="00753EBE">
        <w:t>DISCUSSION</w:t>
      </w:r>
    </w:p>
    <w:p w14:paraId="5DB2AB01" w14:textId="61F8879A" w:rsidR="00463AAA" w:rsidRPr="00EA4D30" w:rsidRDefault="00064E32" w:rsidP="00FF2706">
      <w:pPr>
        <w:rPr>
          <w:lang w:val="en-US"/>
        </w:rPr>
      </w:pPr>
      <w:r w:rsidRPr="00EA4D30">
        <w:rPr>
          <w:lang w:val="en-US"/>
        </w:rPr>
        <w:t>T</w:t>
      </w:r>
      <w:r w:rsidR="00FF2706" w:rsidRPr="00EA4D30">
        <w:rPr>
          <w:lang w:val="en-US"/>
        </w:rPr>
        <w:t xml:space="preserve">his study </w:t>
      </w:r>
      <w:r w:rsidR="006B45B7" w:rsidRPr="00EA4D30">
        <w:rPr>
          <w:lang w:val="en-US"/>
        </w:rPr>
        <w:t>represents</w:t>
      </w:r>
      <w:r w:rsidRPr="00EA4D30">
        <w:rPr>
          <w:lang w:val="en-US"/>
        </w:rPr>
        <w:t>, to our knowledge,</w:t>
      </w:r>
      <w:r w:rsidR="00E3478B" w:rsidRPr="00EA4D30">
        <w:rPr>
          <w:lang w:val="en-US"/>
        </w:rPr>
        <w:t xml:space="preserve"> </w:t>
      </w:r>
      <w:r w:rsidR="00FF2706" w:rsidRPr="00EA4D30">
        <w:rPr>
          <w:lang w:val="en-US"/>
        </w:rPr>
        <w:t xml:space="preserve">the </w:t>
      </w:r>
      <w:r w:rsidR="0056557B" w:rsidRPr="00EA4D30">
        <w:rPr>
          <w:lang w:val="en-US"/>
        </w:rPr>
        <w:t>most comprehensive</w:t>
      </w:r>
      <w:r w:rsidR="00FF2706" w:rsidRPr="00EA4D30">
        <w:rPr>
          <w:lang w:val="en-US"/>
        </w:rPr>
        <w:t xml:space="preserve"> population</w:t>
      </w:r>
      <w:r w:rsidR="00E3478B" w:rsidRPr="00EA4D30">
        <w:rPr>
          <w:lang w:val="en-US"/>
        </w:rPr>
        <w:t>-</w:t>
      </w:r>
      <w:r w:rsidR="00FF2706" w:rsidRPr="00EA4D30">
        <w:rPr>
          <w:lang w:val="en-US"/>
        </w:rPr>
        <w:t>based epidemiological report on CSF shunt surgery</w:t>
      </w:r>
      <w:r w:rsidR="00F14127" w:rsidRPr="00EA4D30">
        <w:rPr>
          <w:lang w:val="en-US"/>
        </w:rPr>
        <w:t xml:space="preserve"> to date</w:t>
      </w:r>
      <w:r w:rsidR="00B54D7A" w:rsidRPr="00EA4D30">
        <w:rPr>
          <w:lang w:val="en-US"/>
        </w:rPr>
        <w:t>.</w:t>
      </w:r>
      <w:r w:rsidR="009A17BE" w:rsidRPr="00EA4D30">
        <w:rPr>
          <w:lang w:val="en-US"/>
        </w:rPr>
        <w:t xml:space="preserve"> </w:t>
      </w:r>
      <w:r w:rsidR="005459CA" w:rsidRPr="00EA4D30">
        <w:t>Our data is stratified by three age groups and 11 diagnostic groups, a comprehensive framework which has not been previously reported. This provides a picture of the current</w:t>
      </w:r>
      <w:r w:rsidR="00BD452B">
        <w:t xml:space="preserve"> </w:t>
      </w:r>
      <w:r w:rsidR="005459CA" w:rsidRPr="00EA4D30">
        <w:t xml:space="preserve">status of CSF shunt surgery at a national level, and establishes a benchmark both for comparisons with future studies, and for quality of care audits. </w:t>
      </w:r>
      <w:r w:rsidR="00B54D7A" w:rsidRPr="00EA4D30">
        <w:rPr>
          <w:lang w:val="en-US"/>
        </w:rPr>
        <w:t>P</w:t>
      </w:r>
      <w:r w:rsidR="00FF2706" w:rsidRPr="00EA4D30">
        <w:rPr>
          <w:lang w:val="en-US"/>
        </w:rPr>
        <w:t xml:space="preserve">revious reports of shunt surgery epidemiology are limited by </w:t>
      </w:r>
      <w:r w:rsidR="00B41EA8" w:rsidRPr="00EA4D30">
        <w:rPr>
          <w:lang w:val="en-US"/>
        </w:rPr>
        <w:t xml:space="preserve">methodology </w:t>
      </w:r>
      <w:r w:rsidR="00D9705B" w:rsidRPr="00EA4D30">
        <w:rPr>
          <w:lang w:val="en-US"/>
        </w:rPr>
        <w:t>(</w:t>
      </w:r>
      <w:r w:rsidR="00FF2706" w:rsidRPr="00EA4D30">
        <w:rPr>
          <w:lang w:val="en-US"/>
        </w:rPr>
        <w:t>sub-sample based estimations</w:t>
      </w:r>
      <w:r w:rsidR="00D9705B" w:rsidRPr="00EA4D30">
        <w:rPr>
          <w:lang w:val="en-US"/>
        </w:rPr>
        <w:t>)</w:t>
      </w:r>
      <w:r w:rsidR="00D9521E">
        <w:rPr>
          <w:lang w:val="en-US"/>
        </w:rPr>
        <w:t>,</w:t>
      </w:r>
      <w:r w:rsidR="00FF2706" w:rsidRPr="00EA4D30">
        <w:rPr>
          <w:lang w:val="en-US"/>
        </w:rPr>
        <w:fldChar w:fldCharType="begin"/>
      </w:r>
      <w:r w:rsidR="0025769B">
        <w:rPr>
          <w:lang w:val="en-US"/>
        </w:rPr>
        <w:instrText xml:space="preserve"> ADDIN ZOTERO_ITEM CSL_CITATION {"citationID":"ewVaqDIh","properties":{"formattedCitation":"[10\\uc0\\u8211{}12]","plainCitation":"[10–12]","noteIndex":0},"citationItems":[{"id":6100,"uris":["http://zotero.org/users/3274607/items/7KSAFA2M"],"uri":["http://zotero.org/users/3274607/items/7KSAFA2M"],"itemData":{"id":6100,"type":"article-journal","title":"Nationwide Incidence of Normal Pressure Hydrocephalus (NPH) Assessed by Insurance Claim Data in Germany","container-title":"The Open Neurology Journal","page":"15-24","volume":"10","issue":"1","source":"CrossRef","DOI":"10.2174/1874205X01610010015","ISSN":"1874-205X","language":"en","author":[{"family":"Lemcke","given":"Johannes"},{"family":"Stengel","given":"Dirk"},{"family":"Stockhammer","given":"Florian"},{"family":"Güthoff","given":"Claas"},{"family":"Rohde","given":"Veit"},{"family":"Meier","given":"Ullrich"}],"issued":{"date-parts":[["2016",5,26]]}}},{"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id":6108,"uris":["http://zotero.org/users/3274607/items/FNZNXP7T"],"uri":["http://zotero.org/users/3274607/items/FNZNXP7T"],"itemData":{"id":6108,"type":"article-journal","title":"Incidence and effectiveness of cerebrospinal fluid shunts in Olmsted County, Minnesota, 1956–1981","container-title":"Neuroepidemiology","page":"95–104","volume":"5","issue":"2","source":"Google Scholar","author":[{"family":"Hardie","given":"Nancy A."},{"family":"Molgaard","given":"Craig A."},{"family":"Laws","given":"Edward R."},{"family":"O'Fallon","given":"W. Michael"},{"family":"Kurland","given":"Leonard T."}],"issued":{"date-parts":[["1986"]]}}}],"schema":"https://github.com/citation-style-language/schema/raw/master/csl-citation.json"} </w:instrText>
      </w:r>
      <w:r w:rsidR="00FF2706" w:rsidRPr="00EA4D30">
        <w:rPr>
          <w:lang w:val="en-US"/>
        </w:rPr>
        <w:fldChar w:fldCharType="separate"/>
      </w:r>
      <w:r w:rsidR="0025769B" w:rsidRPr="0025769B">
        <w:rPr>
          <w:rFonts w:eastAsia="Times New Roman"/>
          <w:color w:val="000000"/>
        </w:rPr>
        <w:t>[10–12]</w:t>
      </w:r>
      <w:r w:rsidR="00FF2706" w:rsidRPr="00EA4D30">
        <w:rPr>
          <w:lang w:val="en-US"/>
        </w:rPr>
        <w:fldChar w:fldCharType="end"/>
      </w:r>
      <w:r w:rsidR="00FF2706" w:rsidRPr="00EA4D30">
        <w:rPr>
          <w:lang w:val="en-US"/>
        </w:rPr>
        <w:t xml:space="preserve"> </w:t>
      </w:r>
      <w:r w:rsidR="00B41EA8" w:rsidRPr="00EA4D30">
        <w:rPr>
          <w:lang w:val="en-US"/>
        </w:rPr>
        <w:t xml:space="preserve">by time period </w:t>
      </w:r>
      <w:r w:rsidR="00D9705B" w:rsidRPr="00EA4D30">
        <w:rPr>
          <w:lang w:val="en-US"/>
        </w:rPr>
        <w:t>(</w:t>
      </w:r>
      <w:r w:rsidR="00FF2706" w:rsidRPr="00EA4D30">
        <w:rPr>
          <w:lang w:val="en-US"/>
        </w:rPr>
        <w:t>two to four decades’ old</w:t>
      </w:r>
      <w:r w:rsidR="00D9705B" w:rsidRPr="00EA4D30">
        <w:rPr>
          <w:lang w:val="en-US"/>
        </w:rPr>
        <w:t>)</w:t>
      </w:r>
      <w:r w:rsidR="00D9521E">
        <w:rPr>
          <w:lang w:val="en-US"/>
        </w:rPr>
        <w:t>,</w:t>
      </w:r>
      <w:r w:rsidR="00FF2706" w:rsidRPr="00EA4D30">
        <w:rPr>
          <w:lang w:val="en-US"/>
        </w:rPr>
        <w:fldChar w:fldCharType="begin"/>
      </w:r>
      <w:r w:rsidR="0025769B">
        <w:rPr>
          <w:lang w:val="en-US"/>
        </w:rPr>
        <w:instrText xml:space="preserve"> ADDIN ZOTERO_ITEM CSL_CITATION {"citationID":"uo55kzMY","properties":{"formattedCitation":"[11\\uc0\\u8211{}13]","plainCitation":"[11–13]","noteIndex":0},"citationItems":[{"id":6019,"uris":["http://www.mendeley.com/documents/?uuid=59944f57-0ac6-47cb-b4a9-cb82803a90a1","http://zotero.org/users/3274607/items/8DVZPHMI"],"uri":["http://www.mendeley.com/documents/?uuid=59944f57-0ac6-47cb-b4a9-cb82803a90a1","http://zotero.org/users/3274607/items/8DVZPHMI"],"itemData":{"id":6019,"type":"article-journal","title":"Epidemiology of cerebrospinal fluid shunting","container-title":"Pediatric neurosurgery","page":"254-259","issue":"23","journalAbbreviation":"Pediatr Neurosurg","author":[{"family":"Bondurant","given":"Charles P."},{"family":"Jimenez","given":"David F."}],"issued":{"date-parts":[["1995"]]}}},{"id":6067,"uris":["http://zotero.org/users/3274607/items/6W3KFUI7"],"uri":["http://zotero.org/users/3274607/items/6W3KFUI7"],"itemData":{"id":6067,"type":"article-journal","title":"Ventriculoperitoneal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id":6108,"uris":["http://zotero.org/users/3274607/items/FNZNXP7T"],"uri":["http://zotero.org/users/3274607/items/FNZNXP7T"],"itemData":{"id":6108,"type":"article-journal","title":"Incidence and effectiveness of cerebrospinal fluid shunts in Olmsted County, Minnesota, 1956–1981","container-title":"Neuroepidemiology","page":"95–104","volume":"5","issue":"2","source":"Google Scholar","author":[{"family":"Hardie","given":"Nancy A."},{"family":"Molgaard","given":"Craig A."},{"family":"Laws","given":"Edward R."},{"family":"O'Fallon","given":"W. Michael"},{"family":"Kurland","given":"Leonard T."}],"issued":{"date-parts":[["1986"]]}}}],"schema":"https://github.com/citation-style-language/schema/raw/master/csl-citation.json"} </w:instrText>
      </w:r>
      <w:r w:rsidR="00FF2706" w:rsidRPr="00EA4D30">
        <w:rPr>
          <w:lang w:val="en-US"/>
        </w:rPr>
        <w:fldChar w:fldCharType="separate"/>
      </w:r>
      <w:r w:rsidR="0025769B" w:rsidRPr="0025769B">
        <w:rPr>
          <w:rFonts w:eastAsia="Times New Roman"/>
          <w:color w:val="000000"/>
        </w:rPr>
        <w:t>[11–13]</w:t>
      </w:r>
      <w:r w:rsidR="00FF2706" w:rsidRPr="00EA4D30">
        <w:rPr>
          <w:lang w:val="en-US"/>
        </w:rPr>
        <w:fldChar w:fldCharType="end"/>
      </w:r>
      <w:r w:rsidR="00FF2706" w:rsidRPr="00EA4D30">
        <w:rPr>
          <w:lang w:val="en-US"/>
        </w:rPr>
        <w:t xml:space="preserve"> </w:t>
      </w:r>
      <w:r w:rsidR="00FF2706" w:rsidRPr="00EA4D30">
        <w:t>or by being focused on specific age groups</w:t>
      </w:r>
      <w:r w:rsidR="00FF2706" w:rsidRPr="00EA4D30">
        <w:fldChar w:fldCharType="begin"/>
      </w:r>
      <w:r w:rsidR="00CB17E5">
        <w:instrText xml:space="preserve"> ADDIN ZOTERO_ITEM CSL_CITATION {"citationID":"BL7ojDXR","properties":{"formattedCitation":"[14\\uc0\\u8211{}16]","plainCitation":"[14–16]","noteIndex":0},"citationItems":[{"id":6071,"uris":["http://zotero.org/users/3274607/items/FTEQ73NF"],"uri":["http://zotero.org/users/3274607/items/FTEQ73NF"],"itemData":{"id":6071,"type":"article-journal","title":"Congenital hydrocephalus - prevalence and prognosis. Mortality and morbidity in a population-based study","container-title":"Ugeskr Laeger.","page":"466-469","volume":"165","issue":"5","abstract":"The aim was to describe the prevalence and to estimate the prognosis of\ncongenital hydrocephalus (HC) in fetuses and children.\nData for the study were taken from the Eurocat Register of\nCongenital Malformations for the County of Funen and from medical records. The study includes\nliveborn, intrauterine deaths, and induced abortions. All cases with HC born in the County of\nFunen in the years 19861998\nwere included. The followup period is three years after birth.\nThe prevalence of HC was 0.4/1,000 births. There were 29 cases of HC, out of which\n21 were liveborn. 41% had associated malformations, syndromes and/or chromosome\nabnormalities, and mortality of these compared to cases with isolated HC were significantly\nincreased (p &lt; 0.05). 18 children had shunt surgery and 12 children had one or more reoperations.\nAt the age of three, four children had died, 12 had neurological problems related to their HC, and\nfive children were described as normal.\nWe found high mortality and morbidity in fetuses and children with HC. Mortality\nwas significantly increased if associated malformations, syndromes and/or chromosome\nabnormalities were present. After prenatal diagnosis of HC it is important to look carefully for other\nmalformations and to perform a karyotype before information about the prognosis of the fetus is\ngiven to the parents.","author":[{"family":"Christensen","given":"JH"},{"family":"Hansen","given":"LK"},{"family":"Garne","given":"E"}],"issued":{"date-parts":[["2003"]]}}},{"id":6065,"uris":["http://zotero.org/users/3274607/items/CXIPGEHU"],"uri":["http://zotero.org/users/3274607/items/CXIPGEHU"],"itemData":{"id":6065,"type":"article-journal","title":"Incidence and outcome of surgery for adult hydrocephalus patients in Sweden","container-title":"British Journal of Neurosurgery","page":"21-27","volume":"31","issue":"1","source":"CrossRef","DOI":"10.1080/02688697.2016.1229749","ISSN":"0268-8697, 1360-046X","language":"en","author":[{"family":"Sundström","given":"Nina"},{"family":"Malm","given":"Jan"},{"family":"Laurell","given":"Katarina"},{"family":"Lundin","given":"Fredrik"},{"family":"Kahlon","given":"Babar"},{"family":"Cesarini","given":"Kristina G"},{"family":"Leijon","given":"Göran"},{"family":"Wikkelsö","given":"Carsten"}],"issued":{"date-parts":[["2017",1,2]]}}},{"id":6103,"uris":["http://zotero.org/users/3274607/items/G43NGGQH"],"uri":["http://zotero.org/users/3274607/items/G43NGGQH"],"itemData":{"id":6103,"type":"article-journal","title":"National and regional incidence of surgery for adult hydrocephalus in Sweden","container-title":"Acta Neurologica Scandinavica","page":"72-75","volume":"112","issue":"2","source":"CrossRef","DOI":"10.1111/j.1600-0404.2005.00451.x","ISSN":"0001-6314, 1600-0404","language":"en","author":[{"family":"Tisell","given":"M."},{"family":"Hoglund","given":"M."},{"family":"Wikkelso","given":"C."}],"issued":{"date-parts":[["2005",8]]}}}],"schema":"https://github.com/citation-style-language/schema/raw/master/csl-citation.json"} </w:instrText>
      </w:r>
      <w:r w:rsidR="00FF2706" w:rsidRPr="00EA4D30">
        <w:fldChar w:fldCharType="separate"/>
      </w:r>
      <w:r w:rsidR="0025769B" w:rsidRPr="0025769B">
        <w:rPr>
          <w:rFonts w:eastAsia="Times New Roman"/>
          <w:color w:val="000000"/>
        </w:rPr>
        <w:t>[14–16]</w:t>
      </w:r>
      <w:r w:rsidR="00FF2706" w:rsidRPr="00EA4D30">
        <w:fldChar w:fldCharType="end"/>
      </w:r>
      <w:r w:rsidR="00FF2706" w:rsidRPr="00EA4D30">
        <w:t xml:space="preserve"> or specific diagnoses</w:t>
      </w:r>
      <w:r w:rsidR="001C31A3">
        <w:t>.</w:t>
      </w:r>
      <w:r w:rsidR="00FF2706" w:rsidRPr="00EA4D30">
        <w:fldChar w:fldCharType="begin"/>
      </w:r>
      <w:r w:rsidR="0025769B">
        <w:instrText xml:space="preserve"> ADDIN ZOTERO_ITEM CSL_CITATION {"citationID":"F6NhRLxd","properties":{"formattedCitation":"[15,17,18]","plainCitation":"[15,17,18]","noteIndex":0},"citationItems":[{"id":6076,"uris":["http://zotero.org/users/3274607/items/T8VWCGGF"],"uri":["http://zotero.org/users/3274607/items/T8VWCGGF"],"itemData":{"id":6076,"type":"article-journal","title":"Five-year incidence of surgery for idiopathic normal pressure hydrocephalus in Norway","container-title":"Acta Neurologica Scandinavica","page":"314-316","volume":"120","issue":"5","source":"CrossRef","DOI":"10.1111/j.1600-0404.2009.01250.x","ISSN":"00016314, 16000404","language":"en","author":[{"family":"Brean","given":"A."},{"family":"Fredø","given":"H. L."},{"family":"Sollid","given":"S."},{"family":"Müller","given":"T."},{"family":"Sundstrøm","given":"T."},{"family":"Eide","given":"P. K."}],"issued":{"date-parts":[["2009",11]]}}},{"id":6074,"uris":["http://zotero.org/users/3274607/items/UEJM92ZK"],"uri":["http://zotero.org/users/3274607/items/UEJM92ZK"],"itemData":{"id":6074,"type":"article-journal","title":"Incidence of Idiopathic Normal-Pressure Hydrocephalus in Northern Spain","container-title":"World Neurosurgery","page":"298-310","volume":"87","source":"CrossRef","DOI":"10.1016/j.wneu.2015.10.069","ISSN":"18788750","language":"en","author":[{"family":"Martín-Láez","given":"Rubén"},{"family":"Caballero-Arzapalo","given":"Hugo"},{"family":"Valle-San Román","given":"Natalia"},{"family":"López-Menéndez","given":"Luis Ángel"},{"family":"Arango-Lasprilla","given":"Juan Carlos"},{"family":"Vázquez-Barquero","given":"Alfonso"}],"issued":{"date-parts":[["2016"]]}}},{"id":6065,"uris":["http://zotero.org/users/3274607/items/CXIPGEHU"],"uri":["http://zotero.org/users/3274607/items/CXIPGEHU"],"itemData":{"id":6065,"type":"article-journal","title":"Incidence and outcome of surgery for adult hydrocephalus patients in Sweden","container-title":"British Journal of Neurosurgery","page":"21-27","volume":"31","issue":"1","source":"CrossRef","DOI":"10.1080/02688697.2016.1229749","ISSN":"0268-8697, 1360-046X","language":"en","author":[{"family":"Sundström","given":"Nina"},{"family":"Malm","given":"Jan"},{"family":"Laurell","given":"Katarina"},{"family":"Lundin","given":"Fredrik"},{"family":"Kahlon","given":"Babar"},{"family":"Cesarini","given":"Kristina G"},{"family":"Leijon","given":"Göran"},{"family":"Wikkelsö","given":"Carsten"}],"issued":{"date-parts":[["2017",1,2]]}}}],"schema":"https://github.com/citation-style-language/schema/raw/master/csl-citation.json"} </w:instrText>
      </w:r>
      <w:r w:rsidR="00FF2706" w:rsidRPr="00EA4D30">
        <w:fldChar w:fldCharType="separate"/>
      </w:r>
      <w:r w:rsidR="0025769B">
        <w:rPr>
          <w:rFonts w:eastAsia="Times New Roman"/>
          <w:color w:val="000000"/>
        </w:rPr>
        <w:t>[15,17,18]</w:t>
      </w:r>
      <w:r w:rsidR="00FF2706" w:rsidRPr="00EA4D30">
        <w:fldChar w:fldCharType="end"/>
      </w:r>
    </w:p>
    <w:p w14:paraId="7E5A5530" w14:textId="4AA8E0CB" w:rsidR="00B41EA8" w:rsidRPr="00B44BC6" w:rsidRDefault="00B13C41" w:rsidP="00B41EA8">
      <w:pPr>
        <w:rPr>
          <w:color w:val="auto"/>
        </w:rPr>
      </w:pPr>
      <w:r w:rsidRPr="00EA4D30">
        <w:t xml:space="preserve">Our results are based on nationally collected data from a purposively developed registry, including all </w:t>
      </w:r>
      <w:r w:rsidR="00667019">
        <w:t xml:space="preserve">the NHS </w:t>
      </w:r>
      <w:r w:rsidRPr="00EA4D30">
        <w:t xml:space="preserve">neurosurgery </w:t>
      </w:r>
      <w:r w:rsidR="00B7227A">
        <w:t>units</w:t>
      </w:r>
      <w:r w:rsidR="00B7227A" w:rsidRPr="00EA4D30">
        <w:t xml:space="preserve"> </w:t>
      </w:r>
      <w:r w:rsidR="00667019">
        <w:t>and one private hospital in</w:t>
      </w:r>
      <w:r w:rsidRPr="00EA4D30">
        <w:t xml:space="preserve"> the UK and</w:t>
      </w:r>
      <w:r w:rsidR="00311515">
        <w:t xml:space="preserve"> one of the two neurosurgery centres of</w:t>
      </w:r>
      <w:r w:rsidRPr="00EA4D30">
        <w:t xml:space="preserve"> Ireland</w:t>
      </w:r>
      <w:r w:rsidR="00B930C9" w:rsidRPr="00EA4D30">
        <w:t>, and are</w:t>
      </w:r>
      <w:r w:rsidRPr="00EA4D30">
        <w:t xml:space="preserve"> based on</w:t>
      </w:r>
      <w:r w:rsidR="00065D91" w:rsidRPr="00EA4D30">
        <w:t xml:space="preserve"> </w:t>
      </w:r>
      <w:r w:rsidR="006B45B7" w:rsidRPr="00EA4D30">
        <w:t>a 10</w:t>
      </w:r>
      <w:r w:rsidR="00BD452B">
        <w:t>-</w:t>
      </w:r>
      <w:r w:rsidR="006B45B7" w:rsidRPr="00EA4D30">
        <w:t xml:space="preserve">year period with </w:t>
      </w:r>
      <w:r w:rsidRPr="00EA4D30">
        <w:t xml:space="preserve">the highest volume of </w:t>
      </w:r>
      <w:r w:rsidRPr="00EA4D30">
        <w:rPr>
          <w:color w:val="auto"/>
        </w:rPr>
        <w:t>submissions</w:t>
      </w:r>
      <w:r w:rsidR="00C42156">
        <w:rPr>
          <w:color w:val="auto"/>
        </w:rPr>
        <w:t xml:space="preserve">. </w:t>
      </w:r>
      <w:r w:rsidR="00A547E5" w:rsidRPr="00EA4D30">
        <w:rPr>
          <w:color w:val="auto"/>
        </w:rPr>
        <w:t>D</w:t>
      </w:r>
      <w:r w:rsidRPr="00EA4D30">
        <w:rPr>
          <w:color w:val="auto"/>
        </w:rPr>
        <w:t xml:space="preserve">ata on case ascertainment </w:t>
      </w:r>
      <w:r w:rsidR="0086765F" w:rsidRPr="00EA4D30">
        <w:rPr>
          <w:color w:val="auto"/>
        </w:rPr>
        <w:t>were used</w:t>
      </w:r>
      <w:r w:rsidRPr="00EA4D30">
        <w:rPr>
          <w:color w:val="auto"/>
        </w:rPr>
        <w:t xml:space="preserve"> </w:t>
      </w:r>
      <w:r w:rsidR="006B45B7" w:rsidRPr="00EA4D30">
        <w:rPr>
          <w:color w:val="auto"/>
        </w:rPr>
        <w:t>to</w:t>
      </w:r>
      <w:r w:rsidRPr="00EA4D30">
        <w:rPr>
          <w:color w:val="auto"/>
        </w:rPr>
        <w:t xml:space="preserve"> improve and contextual</w:t>
      </w:r>
      <w:r w:rsidR="00386BF2">
        <w:rPr>
          <w:color w:val="auto"/>
        </w:rPr>
        <w:t>ize</w:t>
      </w:r>
      <w:r w:rsidRPr="00EA4D30">
        <w:rPr>
          <w:color w:val="auto"/>
        </w:rPr>
        <w:t xml:space="preserve"> our calculations. </w:t>
      </w:r>
      <w:r w:rsidRPr="00EA4D30">
        <w:rPr>
          <w:color w:val="auto"/>
          <w:lang w:val="en-US"/>
        </w:rPr>
        <w:t xml:space="preserve">These features of our study helped us overcome the limitations of other retrospective studies based on </w:t>
      </w:r>
      <w:r w:rsidR="00B41EA8" w:rsidRPr="00EA4D30">
        <w:rPr>
          <w:color w:val="auto"/>
          <w:lang w:val="en-US"/>
        </w:rPr>
        <w:t>cli</w:t>
      </w:r>
      <w:r w:rsidR="002F5FA0" w:rsidRPr="00EA4D30">
        <w:rPr>
          <w:color w:val="auto"/>
          <w:lang w:val="en-US"/>
        </w:rPr>
        <w:t>nical coding in patient records or discharge registries</w:t>
      </w:r>
      <w:r w:rsidR="001C31A3">
        <w:rPr>
          <w:color w:val="auto"/>
          <w:lang w:val="en-US"/>
        </w:rPr>
        <w:t>,</w:t>
      </w:r>
      <w:r w:rsidR="00B41EA8" w:rsidRPr="00EA4D30">
        <w:rPr>
          <w:color w:val="auto"/>
          <w:lang w:val="en-US"/>
        </w:rPr>
        <w:fldChar w:fldCharType="begin"/>
      </w:r>
      <w:r w:rsidR="0025769B">
        <w:rPr>
          <w:color w:val="auto"/>
          <w:lang w:val="en-US"/>
        </w:rPr>
        <w:instrText xml:space="preserve"> ADDIN ZOTERO_ITEM CSL_CITATION {"citationID":"1fqdD94C","properties":{"formattedCitation":"[10,11,13]","plainCitation":"[10,11,13]","noteIndex":0},"citationItems":[{"id":6019,"uris":["http://www.mendeley.com/documents/?uuid=59944f57-0ac6-47cb-b4a9-cb82803a90a1","http://zotero.org/users/3274607/items/8DVZPHMI"],"uri":["http://www.mendeley.com/documents/?uuid=59944f57-0ac6-47cb-b4a9-cb82803a90a1","http://zotero.org/users/3274607/items/8DVZPHMI"],"itemData":{"id":6019,"type":"article-journal","title":"Epidemiology of cerebrospinal fluid shunting","container-title":"Pediatric neurosurgery","page":"254-259","issue":"23","journalAbbreviation":"Pediatr Neurosurg","author":[{"family":"Bondurant","given":"Charles P."},{"family":"Jimenez","given":"David F."}],"issued":{"date-parts":[["1995"]]}}},{"id":6100,"uris":["http://zotero.org/users/3274607/items/7KSAFA2M"],"uri":["http://zotero.org/users/3274607/items/7KSAFA2M"],"itemData":{"id":6100,"type":"article-journal","title":"Nationwide Incidence of Normal Pressure Hydrocephalus (NPH) Assessed by Insurance Claim Data in Germany","container-title":"The Open Neurology Journal","page":"15-24","volume":"10","issue":"1","source":"CrossRef","DOI":"10.2174/1874205X01610010015","ISSN":"1874-205X","language":"en","author":[{"family":"Lemcke","given":"Johannes"},{"family":"Stengel","given":"Dirk"},{"family":"Stockhammer","given":"Florian"},{"family":"Güthoff","given":"Claas"},{"family":"Rohde","given":"Veit"},{"family":"Meier","given":"Ullrich"}],"issued":{"date-parts":[["2016",5,26]]}}},{"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R."},{"family":"Zhao","given":"Shoujun"},{"family":"Gupta","given":"Nalin"}],"issued":{"date-parts":[["2007"]]}}}],"schema":"https://github.com/citation-style-language/schema/raw/master/csl-citation.json"} </w:instrText>
      </w:r>
      <w:r w:rsidR="00B41EA8" w:rsidRPr="00EA4D30">
        <w:rPr>
          <w:color w:val="auto"/>
          <w:lang w:val="en-US"/>
        </w:rPr>
        <w:fldChar w:fldCharType="separate"/>
      </w:r>
      <w:r w:rsidR="0025769B">
        <w:rPr>
          <w:noProof/>
          <w:color w:val="auto"/>
          <w:lang w:val="en-US"/>
        </w:rPr>
        <w:t>[10,11,13]</w:t>
      </w:r>
      <w:r w:rsidR="00B41EA8" w:rsidRPr="00EA4D30">
        <w:rPr>
          <w:color w:val="auto"/>
          <w:lang w:val="en-US"/>
        </w:rPr>
        <w:fldChar w:fldCharType="end"/>
      </w:r>
      <w:r w:rsidR="00B41EA8" w:rsidRPr="00EA4D30">
        <w:rPr>
          <w:color w:val="auto"/>
          <w:lang w:val="en-US"/>
        </w:rPr>
        <w:t xml:space="preserve"> and possible sampling bias in single-centre studies</w:t>
      </w:r>
      <w:r w:rsidR="001C31A3">
        <w:rPr>
          <w:color w:val="auto"/>
          <w:lang w:val="en-US"/>
        </w:rPr>
        <w:t>.</w:t>
      </w:r>
      <w:r w:rsidR="00B41EA8" w:rsidRPr="00EA4D30">
        <w:rPr>
          <w:color w:val="auto"/>
          <w:lang w:val="en-US"/>
        </w:rPr>
        <w:fldChar w:fldCharType="begin"/>
      </w:r>
      <w:r w:rsidR="0025769B">
        <w:rPr>
          <w:color w:val="auto"/>
          <w:lang w:val="en-US"/>
        </w:rPr>
        <w:instrText xml:space="preserve"> ADDIN ZOTERO_ITEM CSL_CITATION {"citationID":"dVRBFNTP","properties":{"formattedCitation":"[12,16,18]","plainCitation":"[12,16,18]","noteIndex":0},"citationItems":[{"id":6074,"uris":["http://zotero.org/users/3274607/items/UEJM92ZK"],"uri":["http://zotero.org/users/3274607/items/UEJM92ZK"],"itemData":{"id":6074,"type":"article-journal","title":"Incidence of Idiopathic Normal-Pressure Hydrocephalus in Northern Spain","container-title":"World Neurosurgery","page":"298-310","volume":"87","source":"CrossRef","DOI":"10.1016/j.wneu.2015.10.069","ISSN":"18788750","language":"en","author":[{"family":"Martín-Láez","given":"Rubén"},{"family":"Caballero-Arzapalo","given":"Hugo"},{"family":"Valle-San Román","given":"Natalia"},{"family":"López-Menéndez","given":"Luis Ángel"},{"family":"Arango-Lasprilla","given":"Juan Carlos"},{"family":"Vázquez-Barquero","given":"Alfonso"}],"issued":{"date-parts":[["2016"]]}}},{"id":6108,"uris":["http://zotero.org/users/3274607/items/FNZNXP7T"],"uri":["http://zotero.org/users/3274607/items/FNZNXP7T"],"itemData":{"id":6108,"type":"article-journal","title":"Incidence and effectiveness of cerebrospinal fluid shunts in Olmsted County, Minnesota, 1956–1981","container-title":"Neuroepidemiology","page":"95–104","volume":"5","issue":"2","source":"Google Scholar","author":[{"family":"Hardie","given":"Nancy A."},{"family":"Molgaard","given":"Craig A."},{"family":"Laws","given":"Edward R."},{"family":"O'Fallon","given":"W. Michael"},{"family":"Kurland","given":"Leonard T."}],"issued":{"date-parts":[["1986"]]}}},{"id":6103,"uris":["http://zotero.org/users/3274607/items/G43NGGQH"],"uri":["http://zotero.org/users/3274607/items/G43NGGQH"],"itemData":{"id":6103,"type":"article-journal","title":"National and regional incidence of surgery for adult hydrocephalus in Sweden","container-title":"Acta Neurologica Scandinavica","page":"72-75","volume":"112","issue":"2","source":"CrossRef","DOI":"10.1111/j.1600-0404.2005.00451.x","ISSN":"0001-6314, 1600-0404","language":"en","author":[{"family":"Tisell","given":"M."},{"family":"Hoglund","given":"M."},{"family":"Wikkelso","given":"C."}],"issued":{"date-parts":[["2005",8]]}}}],"schema":"https://github.com/citation-style-language/schema/raw/master/csl-citation.json"} </w:instrText>
      </w:r>
      <w:r w:rsidR="00B41EA8" w:rsidRPr="00EA4D30">
        <w:rPr>
          <w:color w:val="auto"/>
          <w:lang w:val="en-US"/>
        </w:rPr>
        <w:fldChar w:fldCharType="separate"/>
      </w:r>
      <w:r w:rsidR="0025769B">
        <w:rPr>
          <w:noProof/>
          <w:color w:val="auto"/>
          <w:lang w:val="en-US"/>
        </w:rPr>
        <w:t>[12,16,18]</w:t>
      </w:r>
      <w:r w:rsidR="00B41EA8" w:rsidRPr="00EA4D30">
        <w:rPr>
          <w:color w:val="auto"/>
          <w:lang w:val="en-US"/>
        </w:rPr>
        <w:fldChar w:fldCharType="end"/>
      </w:r>
    </w:p>
    <w:p w14:paraId="235EF3B1" w14:textId="14E8D8C3" w:rsidR="004537E4" w:rsidRPr="00EA4D30" w:rsidRDefault="00CE7BA2" w:rsidP="00FF2706">
      <w:r w:rsidRPr="00EA4D30">
        <w:t>Low</w:t>
      </w:r>
      <w:r w:rsidR="004537E4" w:rsidRPr="00EA4D30">
        <w:t xml:space="preserve"> reporting rates </w:t>
      </w:r>
      <w:r w:rsidRPr="00EA4D30">
        <w:t>in some</w:t>
      </w:r>
      <w:r w:rsidR="004537E4" w:rsidRPr="00EA4D30">
        <w:t xml:space="preserve"> centre</w:t>
      </w:r>
      <w:r w:rsidRPr="00EA4D30">
        <w:t>s</w:t>
      </w:r>
      <w:r w:rsidR="00941E04" w:rsidRPr="00EA4D30">
        <w:t>-</w:t>
      </w:r>
      <w:r w:rsidR="004537E4" w:rsidRPr="00EA4D30">
        <w:t>year</w:t>
      </w:r>
      <w:r w:rsidRPr="00EA4D30">
        <w:t>s</w:t>
      </w:r>
      <w:r w:rsidR="004537E4" w:rsidRPr="00EA4D30">
        <w:t xml:space="preserve"> </w:t>
      </w:r>
      <w:r w:rsidRPr="00EA4D30">
        <w:t>could have</w:t>
      </w:r>
      <w:r w:rsidR="00100F58" w:rsidRPr="00EA4D30">
        <w:t xml:space="preserve"> biased or limited</w:t>
      </w:r>
      <w:r w:rsidR="00EA022E" w:rsidRPr="00EA4D30">
        <w:t xml:space="preserve"> the accuracy of some of our estimates</w:t>
      </w:r>
      <w:r w:rsidR="004537E4" w:rsidRPr="00EA4D30">
        <w:t>. However,</w:t>
      </w:r>
      <w:r w:rsidR="00531CCE" w:rsidRPr="00EA4D30">
        <w:t xml:space="preserve"> group comparisons by case ascertainment</w:t>
      </w:r>
      <w:r w:rsidR="00264FCD" w:rsidRPr="00EA4D30">
        <w:t xml:space="preserve"> showing that centre-years with </w:t>
      </w:r>
      <w:r w:rsidR="00FD165C">
        <w:t>high</w:t>
      </w:r>
      <w:r w:rsidR="00FD165C" w:rsidRPr="00EA4D30">
        <w:t xml:space="preserve"> </w:t>
      </w:r>
      <w:r w:rsidR="00264FCD" w:rsidRPr="00EA4D30">
        <w:t>and unknown case ascertainment had similar distributions of diagnosis and revision reasons (with a few exceptions),</w:t>
      </w:r>
      <w:r w:rsidR="00531CCE" w:rsidRPr="00EA4D30">
        <w:t xml:space="preserve"> indicated that our results may be a valid representation of the target population.</w:t>
      </w:r>
      <w:r w:rsidR="004537E4" w:rsidRPr="00EA4D30">
        <w:t xml:space="preserve"> </w:t>
      </w:r>
    </w:p>
    <w:p w14:paraId="22561FAD" w14:textId="1A0FE0A5" w:rsidR="00B13C41" w:rsidRPr="00EA4D30" w:rsidRDefault="00951E39" w:rsidP="00FF2706">
      <w:r w:rsidRPr="00EA4D30">
        <w:t>Missing data within reported cases was another limitation, which is a common feature of retrospective analyses</w:t>
      </w:r>
      <w:r w:rsidR="00B13C41" w:rsidRPr="00EA4D30">
        <w:t>.</w:t>
      </w:r>
      <w:r w:rsidR="00592973" w:rsidRPr="00EA4D30">
        <w:t xml:space="preserve"> </w:t>
      </w:r>
      <w:r w:rsidR="00921849" w:rsidRPr="00EA4D30">
        <w:t>W</w:t>
      </w:r>
      <w:r w:rsidR="00374555" w:rsidRPr="00EA4D30">
        <w:t>e found variation</w:t>
      </w:r>
      <w:r w:rsidR="00BD1D3D" w:rsidRPr="00EA4D30">
        <w:t xml:space="preserve"> </w:t>
      </w:r>
      <w:r w:rsidR="005D2EBE" w:rsidRPr="00EA4D30">
        <w:t xml:space="preserve">by </w:t>
      </w:r>
      <w:r w:rsidR="00127C23" w:rsidRPr="00EA4D30">
        <w:t>age group</w:t>
      </w:r>
      <w:r w:rsidR="00AB484D" w:rsidRPr="00EA4D30">
        <w:t xml:space="preserve"> (it was</w:t>
      </w:r>
      <w:r w:rsidR="00241612" w:rsidRPr="00EA4D30">
        <w:t xml:space="preserve"> often</w:t>
      </w:r>
      <w:r w:rsidR="0067479C" w:rsidRPr="00EA4D30">
        <w:t xml:space="preserve"> less common in infants)</w:t>
      </w:r>
      <w:r w:rsidR="00127C23" w:rsidRPr="00EA4D30">
        <w:t xml:space="preserve"> and</w:t>
      </w:r>
      <w:r w:rsidR="00BD1D3D" w:rsidRPr="00EA4D30">
        <w:t xml:space="preserve"> centre</w:t>
      </w:r>
      <w:r w:rsidR="00921849" w:rsidRPr="00EA4D30">
        <w:t xml:space="preserve"> of operation</w:t>
      </w:r>
      <w:r w:rsidR="00127C23" w:rsidRPr="00EA4D30">
        <w:t>,</w:t>
      </w:r>
      <w:r w:rsidR="00921849" w:rsidRPr="00EA4D30">
        <w:t xml:space="preserve"> </w:t>
      </w:r>
      <w:r w:rsidR="000B3A95">
        <w:t>as well as</w:t>
      </w:r>
      <w:r w:rsidR="000B3A95" w:rsidRPr="00EA4D30">
        <w:t xml:space="preserve"> </w:t>
      </w:r>
      <w:r w:rsidR="005C1343" w:rsidRPr="00EA4D30">
        <w:t>a slight increase in</w:t>
      </w:r>
      <w:r w:rsidR="00374555" w:rsidRPr="00EA4D30">
        <w:t xml:space="preserve"> missing data over </w:t>
      </w:r>
      <w:r w:rsidR="0067479C" w:rsidRPr="00EA4D30">
        <w:t>time</w:t>
      </w:r>
      <w:r w:rsidR="00370694" w:rsidRPr="00EA4D30">
        <w:t>, and therefore the risk of some bias</w:t>
      </w:r>
      <w:r w:rsidR="00370694">
        <w:t xml:space="preserve"> in our estimates</w:t>
      </w:r>
      <w:r w:rsidR="00370694" w:rsidRPr="00EA4D30">
        <w:t xml:space="preserve"> cannot be completely discarded</w:t>
      </w:r>
      <w:r w:rsidR="00B13C41" w:rsidRPr="00EA4D30">
        <w:t xml:space="preserve">. </w:t>
      </w:r>
      <w:r w:rsidR="00235A7C" w:rsidRPr="00EA4D30">
        <w:t>The percentage of missing reason for revision was considerably higher than</w:t>
      </w:r>
      <w:r w:rsidR="00963F2C" w:rsidRPr="00EA4D30">
        <w:t xml:space="preserve"> in</w:t>
      </w:r>
      <w:r w:rsidR="00235A7C" w:rsidRPr="00EA4D30">
        <w:t xml:space="preserve"> </w:t>
      </w:r>
      <w:r w:rsidR="00963F2C" w:rsidRPr="00EA4D30">
        <w:t>other data</w:t>
      </w:r>
      <w:r w:rsidR="00235A7C" w:rsidRPr="00EA4D30">
        <w:t xml:space="preserve"> fields</w:t>
      </w:r>
      <w:r w:rsidR="00D4720A" w:rsidRPr="00EA4D30">
        <w:t>,</w:t>
      </w:r>
      <w:r w:rsidR="00235A7C" w:rsidRPr="00EA4D30">
        <w:t xml:space="preserve"> possibly because it is not always apparent what the cause for revision is at the time of surgery. </w:t>
      </w:r>
      <w:r w:rsidR="00552AAB" w:rsidRPr="00EA4D30">
        <w:t>With the information at hand, it was not possible to determine whether data was missing at random, i.e. not related to the value of the missing information, after controlling for available data</w:t>
      </w:r>
      <w:r w:rsidR="00F26659" w:rsidRPr="00EA4D30">
        <w:t xml:space="preserve">. </w:t>
      </w:r>
    </w:p>
    <w:p w14:paraId="7FCE31E0" w14:textId="77777777" w:rsidR="00FF2706" w:rsidRPr="00EA4D30" w:rsidRDefault="00FF2706" w:rsidP="00FF2706">
      <w:pPr>
        <w:pStyle w:val="Heading2"/>
        <w:rPr>
          <w:lang w:val="en-US"/>
        </w:rPr>
      </w:pPr>
      <w:r w:rsidRPr="00EA4D30">
        <w:lastRenderedPageBreak/>
        <w:t xml:space="preserve">Overall epidemiology of shunt surgery </w:t>
      </w:r>
    </w:p>
    <w:p w14:paraId="25AE8CC9" w14:textId="1EB38FA8" w:rsidR="00B41EA8" w:rsidRPr="00EA4D30" w:rsidRDefault="00FF2706" w:rsidP="00FF2706">
      <w:pPr>
        <w:rPr>
          <w:color w:val="auto"/>
        </w:rPr>
      </w:pPr>
      <w:r w:rsidRPr="00EA4D30">
        <w:rPr>
          <w:color w:val="auto"/>
          <w:lang w:val="en-US"/>
        </w:rPr>
        <w:t>We found an overall incidence rate of 3.</w:t>
      </w:r>
      <w:r w:rsidR="00166416">
        <w:rPr>
          <w:color w:val="auto"/>
          <w:lang w:val="en-US"/>
        </w:rPr>
        <w:t>1</w:t>
      </w:r>
      <w:r w:rsidR="00166416" w:rsidRPr="00EA4D30">
        <w:rPr>
          <w:color w:val="auto"/>
        </w:rPr>
        <w:t xml:space="preserve"> </w:t>
      </w:r>
      <w:r w:rsidRPr="00EA4D30">
        <w:rPr>
          <w:color w:val="auto"/>
          <w:lang w:val="en-US"/>
        </w:rPr>
        <w:t xml:space="preserve">primary insertions </w:t>
      </w:r>
      <w:r w:rsidRPr="00EA4D30">
        <w:rPr>
          <w:color w:val="auto"/>
        </w:rPr>
        <w:t>per 100000 person-years,</w:t>
      </w:r>
      <w:r w:rsidRPr="00EA4D30">
        <w:rPr>
          <w:color w:val="auto"/>
          <w:lang w:val="en-US"/>
        </w:rPr>
        <w:t xml:space="preserve"> adjusted </w:t>
      </w:r>
      <w:r w:rsidRPr="00AF2D74">
        <w:rPr>
          <w:color w:val="auto"/>
          <w:lang w:val="en-US"/>
        </w:rPr>
        <w:t xml:space="preserve">to </w:t>
      </w:r>
      <w:r w:rsidR="00166416" w:rsidRPr="00AF2D74">
        <w:rPr>
          <w:color w:val="auto"/>
          <w:lang w:val="en-US"/>
        </w:rPr>
        <w:t>3.8</w:t>
      </w:r>
      <w:r w:rsidRPr="00EA4D30">
        <w:rPr>
          <w:color w:val="auto"/>
          <w:lang w:val="en-US"/>
        </w:rPr>
        <w:t xml:space="preserve"> after accounting for </w:t>
      </w:r>
      <w:r w:rsidR="004C7595" w:rsidRPr="00EA4D30">
        <w:rPr>
          <w:color w:val="auto"/>
          <w:lang w:val="en-US"/>
        </w:rPr>
        <w:t xml:space="preserve">average </w:t>
      </w:r>
      <w:r w:rsidRPr="00EA4D30">
        <w:rPr>
          <w:color w:val="auto"/>
          <w:lang w:val="en-US"/>
        </w:rPr>
        <w:t xml:space="preserve">case ascertainment. This rate is lower than previously reported figures using sub-sample based estimations, </w:t>
      </w:r>
      <w:r w:rsidR="003E4A46" w:rsidRPr="00EA4D30">
        <w:rPr>
          <w:color w:val="auto"/>
          <w:lang w:val="en-US"/>
        </w:rPr>
        <w:t xml:space="preserve">ranging from </w:t>
      </w:r>
      <w:r w:rsidRPr="00EA4D30">
        <w:rPr>
          <w:color w:val="auto"/>
        </w:rPr>
        <w:t xml:space="preserve">5.5 </w:t>
      </w:r>
      <w:r w:rsidR="003B5DCF" w:rsidRPr="00EA4D30">
        <w:rPr>
          <w:color w:val="auto"/>
        </w:rPr>
        <w:t>(</w:t>
      </w:r>
      <w:r w:rsidRPr="00EA4D30">
        <w:rPr>
          <w:color w:val="auto"/>
        </w:rPr>
        <w:t>California</w:t>
      </w:r>
      <w:r w:rsidR="003B5DCF" w:rsidRPr="00EA4D30">
        <w:rPr>
          <w:color w:val="auto"/>
        </w:rPr>
        <w:t xml:space="preserve">, </w:t>
      </w:r>
      <w:r w:rsidRPr="00EA4D30">
        <w:rPr>
          <w:color w:val="auto"/>
        </w:rPr>
        <w:t>1990-2000</w:t>
      </w:r>
      <w:r w:rsidR="003B5DCF" w:rsidRPr="00EA4D30">
        <w:rPr>
          <w:color w:val="auto"/>
        </w:rPr>
        <w:t>)</w:t>
      </w:r>
      <w:r w:rsidRPr="00EA4D30">
        <w:rPr>
          <w:color w:val="auto"/>
        </w:rPr>
        <w:fldChar w:fldCharType="begin"/>
      </w:r>
      <w:r w:rsidR="0025769B">
        <w:rPr>
          <w:color w:val="auto"/>
        </w:rPr>
        <w:instrText xml:space="preserve"> ADDIN ZOTERO_ITEM CSL_CITATION {"citationID":"9bwc2ODO","properties":{"formattedCitation":"[11]","plainCitation":"[11]","noteIndex":0},"citationItems":[{"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R."},{"family":"Zhao","given":"Shoujun"},{"family":"Gupta","given":"Nalin"}],"issued":{"date-parts":[["2007"]]}}}],"schema":"https://github.com/citation-style-language/schema/raw/master/csl-citation.json"} </w:instrText>
      </w:r>
      <w:r w:rsidRPr="00EA4D30">
        <w:rPr>
          <w:color w:val="auto"/>
        </w:rPr>
        <w:fldChar w:fldCharType="separate"/>
      </w:r>
      <w:r w:rsidR="0025769B">
        <w:rPr>
          <w:color w:val="auto"/>
        </w:rPr>
        <w:t>[11]</w:t>
      </w:r>
      <w:r w:rsidRPr="00EA4D30">
        <w:rPr>
          <w:color w:val="auto"/>
        </w:rPr>
        <w:fldChar w:fldCharType="end"/>
      </w:r>
      <w:r w:rsidRPr="00EA4D30">
        <w:rPr>
          <w:color w:val="auto"/>
        </w:rPr>
        <w:t xml:space="preserve"> </w:t>
      </w:r>
      <w:r w:rsidR="003B5DCF" w:rsidRPr="00EA4D30">
        <w:rPr>
          <w:color w:val="auto"/>
        </w:rPr>
        <w:t xml:space="preserve">to </w:t>
      </w:r>
      <w:r w:rsidRPr="00EA4D30">
        <w:rPr>
          <w:color w:val="auto"/>
          <w:lang w:val="en-US"/>
        </w:rPr>
        <w:t>6.9</w:t>
      </w:r>
      <w:r w:rsidR="003B5DCF" w:rsidRPr="00EA4D30">
        <w:rPr>
          <w:color w:val="auto"/>
          <w:lang w:val="en-US"/>
        </w:rPr>
        <w:t xml:space="preserve"> (German </w:t>
      </w:r>
      <w:r w:rsidR="00A36351" w:rsidRPr="00EA4D30">
        <w:rPr>
          <w:color w:val="auto"/>
          <w:lang w:val="en-US"/>
        </w:rPr>
        <w:t>sub</w:t>
      </w:r>
      <w:r w:rsidR="003B5DCF" w:rsidRPr="00EA4D30">
        <w:rPr>
          <w:color w:val="auto"/>
          <w:lang w:val="en-US"/>
        </w:rPr>
        <w:t>population,</w:t>
      </w:r>
      <w:r w:rsidR="00A36351" w:rsidRPr="00EA4D30">
        <w:rPr>
          <w:color w:val="auto"/>
          <w:lang w:val="en-US"/>
        </w:rPr>
        <w:t xml:space="preserve"> </w:t>
      </w:r>
      <w:r w:rsidR="003B5DCF" w:rsidRPr="00EA4D30">
        <w:rPr>
          <w:color w:val="auto"/>
        </w:rPr>
        <w:t>2003-2012)</w:t>
      </w:r>
      <w:r w:rsidR="001C31A3">
        <w:rPr>
          <w:color w:val="auto"/>
        </w:rPr>
        <w:t>.</w:t>
      </w:r>
      <w:r w:rsidRPr="00EA4D30">
        <w:rPr>
          <w:color w:val="auto"/>
          <w:lang w:val="en-US"/>
        </w:rPr>
        <w:fldChar w:fldCharType="begin"/>
      </w:r>
      <w:r w:rsidR="0025769B">
        <w:rPr>
          <w:color w:val="auto"/>
          <w:lang w:val="en-US"/>
        </w:rPr>
        <w:instrText xml:space="preserve"> ADDIN ZOTERO_ITEM CSL_CITATION {"citationID":"2ihvn39p5r","properties":{"formattedCitation":"[10]","plainCitation":"[10]","noteIndex":0},"citationItems":[{"id":6100,"uris":["http://zotero.org/users/3274607/items/7KSAFA2M"],"uri":["http://zotero.org/users/3274607/items/7KSAFA2M"],"itemData":{"id":6100,"type":"article-journal","title":"Nationwide Incidence of Normal Pressure Hydrocephalus (NPH) Assessed by Insurance Claim Data in Germany","container-title":"The Open Neurology Journal","page":"15-24","volume":"10","issue":"1","source":"CrossRef","DOI":"10.2174/1874205X01610010015","ISSN":"1874-205X","language":"en","author":[{"family":"Lemcke","given":"Johannes"},{"family":"Stengel","given":"Dirk"},{"family":"Stockhammer","given":"Florian"},{"family":"Güthoff","given":"Claas"},{"family":"Rohde","given":"Veit"},{"family":"Meier","given":"Ullrich"}],"issued":{"date-parts":[["2016",5,26]]}}}],"schema":"https://github.com/citation-style-language/schema/raw/master/csl-citation.json"} </w:instrText>
      </w:r>
      <w:r w:rsidRPr="00EA4D30">
        <w:rPr>
          <w:color w:val="auto"/>
          <w:lang w:val="en-US"/>
        </w:rPr>
        <w:fldChar w:fldCharType="separate"/>
      </w:r>
      <w:r w:rsidR="0025769B">
        <w:rPr>
          <w:color w:val="auto"/>
          <w:lang w:val="en-US"/>
        </w:rPr>
        <w:t>[10]</w:t>
      </w:r>
      <w:r w:rsidRPr="00EA4D30">
        <w:rPr>
          <w:color w:val="auto"/>
          <w:lang w:val="en-US"/>
        </w:rPr>
        <w:fldChar w:fldCharType="end"/>
      </w:r>
      <w:r w:rsidRPr="00EA4D30">
        <w:rPr>
          <w:color w:val="auto"/>
          <w:lang w:val="en-US"/>
        </w:rPr>
        <w:t xml:space="preserve"> </w:t>
      </w:r>
      <w:r w:rsidR="00B41EA8" w:rsidRPr="00EA4D30">
        <w:rPr>
          <w:color w:val="auto"/>
        </w:rPr>
        <w:t>I</w:t>
      </w:r>
      <w:r w:rsidRPr="00EA4D30">
        <w:rPr>
          <w:color w:val="auto"/>
        </w:rPr>
        <w:t xml:space="preserve">ncidence rates of shunt insertions </w:t>
      </w:r>
      <w:r w:rsidR="00A5136D" w:rsidRPr="00EA4D30">
        <w:rPr>
          <w:color w:val="auto"/>
        </w:rPr>
        <w:t xml:space="preserve">in our study </w:t>
      </w:r>
      <w:r w:rsidRPr="00EA4D30">
        <w:rPr>
          <w:color w:val="auto"/>
        </w:rPr>
        <w:t>varied across different geographical regions, particularly in infant</w:t>
      </w:r>
      <w:r w:rsidR="00DC19B2" w:rsidRPr="00EA4D30">
        <w:rPr>
          <w:color w:val="auto"/>
        </w:rPr>
        <w:t>s</w:t>
      </w:r>
      <w:r w:rsidR="00B41EA8" w:rsidRPr="00EA4D30">
        <w:rPr>
          <w:color w:val="auto"/>
        </w:rPr>
        <w:t>. We noted a small yearly variation in shunt surgery incidence rates</w:t>
      </w:r>
      <w:r w:rsidR="00B44BC6">
        <w:rPr>
          <w:color w:val="auto"/>
        </w:rPr>
        <w:t>,</w:t>
      </w:r>
      <w:r w:rsidR="00B41EA8" w:rsidRPr="00EA4D30">
        <w:rPr>
          <w:color w:val="auto"/>
        </w:rPr>
        <w:t xml:space="preserve"> similar to other studies</w:t>
      </w:r>
      <w:r w:rsidR="001C31A3">
        <w:rPr>
          <w:color w:val="auto"/>
        </w:rPr>
        <w:t>.</w:t>
      </w:r>
      <w:r w:rsidR="00B41EA8" w:rsidRPr="00EA4D30">
        <w:rPr>
          <w:color w:val="auto"/>
        </w:rPr>
        <w:fldChar w:fldCharType="begin"/>
      </w:r>
      <w:r w:rsidR="0025769B">
        <w:rPr>
          <w:color w:val="auto"/>
        </w:rPr>
        <w:instrText xml:space="preserve"> ADDIN ZOTERO_ITEM CSL_CITATION {"citationID":"SwXZoKHg","properties":{"formattedCitation":"[10,15,17]","plainCitation":"[10,15,17]","noteIndex":0},"citationItems":[{"id":6076,"uris":["http://zotero.org/users/3274607/items/T8VWCGGF"],"uri":["http://zotero.org/users/3274607/items/T8VWCGGF"],"itemData":{"id":6076,"type":"article-journal","title":"Five-year incidence of surgery for idiopathic normal pressure hydrocephalus in Norway","container-title":"Acta Neurologica Scandinavica","page":"314-316","volume":"120","issue":"5","source":"CrossRef","DOI":"10.1111/j.1600-0404.2009.01250.x","ISSN":"00016314, 16000404","language":"en","author":[{"family":"Brean","given":"A."},{"family":"Fredø","given":"H. L."},{"family":"Sollid","given":"S."},{"family":"Müller","given":"T."},{"family":"Sundstrøm","given":"T."},{"family":"Eide","given":"P. K."}],"issued":{"date-parts":[["2009",11]]}}},{"id":6100,"uris":["http://zotero.org/users/3274607/items/7KSAFA2M"],"uri":["http://zotero.org/users/3274607/items/7KSAFA2M"],"itemData":{"id":6100,"type":"article-journal","title":"Nationwide Incidence of Normal Pressure Hydrocephalus (NPH) Assessed by Insurance Claim Data in Germany","container-title":"The Open Neurology Journal","page":"15-24","volume":"10","issue":"1","source":"CrossRef","DOI":"10.2174/1874205X01610010015","ISSN":"1874-205X","language":"en","author":[{"family":"Lemcke","given":"Johannes"},{"family":"Stengel","given":"Dirk"},{"family":"Stockhammer","given":"Florian"},{"family":"Güthoff","given":"Claas"},{"family":"Rohde","given":"Veit"},{"family":"Meier","given":"Ullrich"}],"issued":{"date-parts":[["2016",5,26]]}}},{"id":6065,"uris":["http://zotero.org/users/3274607/items/CXIPGEHU"],"uri":["http://zotero.org/users/3274607/items/CXIPGEHU"],"itemData":{"id":6065,"type":"article-journal","title":"Incidence and outcome of surgery for adult hydrocephalus patients in Sweden","container-title":"British Journal of Neurosurgery","page":"21-27","volume":"31","issue":"1","source":"CrossRef","DOI":"10.1080/02688697.2016.1229749","ISSN":"0268-8697, 1360-046X","language":"en","author":[{"family":"Sundström","given":"Nina"},{"family":"Malm","given":"Jan"},{"family":"Laurell","given":"Katarina"},{"family":"Lundin","given":"Fredrik"},{"family":"Kahlon","given":"Babar"},{"family":"Cesarini","given":"Kristina G"},{"family":"Leijon","given":"Göran"},{"family":"Wikkelsö","given":"Carsten"}],"issued":{"date-parts":[["2017",1,2]]}}}],"schema":"https://github.com/citation-style-language/schema/raw/master/csl-citation.json"} </w:instrText>
      </w:r>
      <w:r w:rsidR="00B41EA8" w:rsidRPr="00EA4D30">
        <w:rPr>
          <w:color w:val="auto"/>
        </w:rPr>
        <w:fldChar w:fldCharType="separate"/>
      </w:r>
      <w:r w:rsidR="0025769B">
        <w:rPr>
          <w:color w:val="auto"/>
        </w:rPr>
        <w:t>[10,15,17]</w:t>
      </w:r>
      <w:r w:rsidR="00B41EA8" w:rsidRPr="00EA4D30">
        <w:rPr>
          <w:color w:val="auto"/>
        </w:rPr>
        <w:fldChar w:fldCharType="end"/>
      </w:r>
    </w:p>
    <w:p w14:paraId="4ADFEECC" w14:textId="4434C52E" w:rsidR="00B233EA" w:rsidRDefault="00C260EA" w:rsidP="00C42156">
      <w:pPr>
        <w:rPr>
          <w:color w:val="auto"/>
        </w:rPr>
      </w:pPr>
      <w:r>
        <w:rPr>
          <w:color w:val="auto"/>
        </w:rPr>
        <w:t>D</w:t>
      </w:r>
      <w:r w:rsidRPr="00EA4D30">
        <w:rPr>
          <w:color w:val="auto"/>
        </w:rPr>
        <w:t>iffering demographic characteristics of our study population as compared to others</w:t>
      </w:r>
      <w:r w:rsidRPr="00EA4D30">
        <w:rPr>
          <w:color w:val="auto"/>
        </w:rPr>
        <w:fldChar w:fldCharType="begin"/>
      </w:r>
      <w:r>
        <w:rPr>
          <w:color w:val="auto"/>
        </w:rPr>
        <w:instrText xml:space="preserve"> ADDIN ZOTERO_ITEM CSL_CITATION {"citationID":"1ihbttdrhk","properties":{"formattedCitation":"[10,11]","plainCitation":"[10,11]","noteIndex":0},"citationItems":[{"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id":6100,"uris":["http://zotero.org/users/3274607/items/7KSAFA2M"],"uri":["http://zotero.org/users/3274607/items/7KSAFA2M"],"itemData":{"id":6100,"type":"article-journal","title":"Nationwide Incidence of Normal Pressure Hydrocephalus (NPH) Assessed by Insurance Claim Data in Germany","container-title":"The Open Neurology Journal","page":"15-24","volume":"10","issue":"1","source":"CrossRef","DOI":"10.2174/1874205X01610010015","ISSN":"1874-205X","language":"en","author":[{"family":"Lemcke","given":"Johannes"},{"family":"Stengel","given":"Dirk"},{"family":"Stockhammer","given":"Florian"},{"family":"Güthoff","given":"Claas"},{"family":"Rohde","given":"Veit"},{"family":"Meier","given":"Ullrich"}],"issued":{"date-parts":[["2016",5,26]]}}}],"schema":"https://github.com/citation-style-language/schema/raw/master/csl-citation.json"} </w:instrText>
      </w:r>
      <w:r w:rsidRPr="00EA4D30">
        <w:rPr>
          <w:color w:val="auto"/>
        </w:rPr>
        <w:fldChar w:fldCharType="separate"/>
      </w:r>
      <w:r>
        <w:rPr>
          <w:color w:val="auto"/>
        </w:rPr>
        <w:t>[10,11]</w:t>
      </w:r>
      <w:r w:rsidRPr="00EA4D30">
        <w:rPr>
          <w:color w:val="auto"/>
        </w:rPr>
        <w:fldChar w:fldCharType="end"/>
      </w:r>
      <w:r>
        <w:rPr>
          <w:color w:val="auto"/>
        </w:rPr>
        <w:t xml:space="preserve"> could partly explain the observed differences in shunting rates. </w:t>
      </w:r>
      <w:r w:rsidR="00143B1A" w:rsidRPr="00EA4D30">
        <w:rPr>
          <w:color w:val="auto"/>
        </w:rPr>
        <w:t>M</w:t>
      </w:r>
      <w:r w:rsidR="00FF2706" w:rsidRPr="00EA4D30">
        <w:rPr>
          <w:color w:val="auto"/>
        </w:rPr>
        <w:t xml:space="preserve">ethodological considerations could have </w:t>
      </w:r>
      <w:r>
        <w:rPr>
          <w:color w:val="auto"/>
        </w:rPr>
        <w:t xml:space="preserve">also </w:t>
      </w:r>
      <w:r w:rsidR="00FF2706" w:rsidRPr="00EA4D30">
        <w:rPr>
          <w:color w:val="auto"/>
        </w:rPr>
        <w:t>affected our findings</w:t>
      </w:r>
      <w:r w:rsidR="00313042" w:rsidRPr="00EA4D30">
        <w:rPr>
          <w:color w:val="auto"/>
        </w:rPr>
        <w:t xml:space="preserve">. </w:t>
      </w:r>
      <w:r w:rsidR="00E30461">
        <w:rPr>
          <w:color w:val="auto"/>
        </w:rPr>
        <w:t>L</w:t>
      </w:r>
      <w:r w:rsidR="00C62B28" w:rsidRPr="00EA4D30">
        <w:rPr>
          <w:color w:val="auto"/>
        </w:rPr>
        <w:t>ower case ascertainment in</w:t>
      </w:r>
      <w:r w:rsidR="00C620FE" w:rsidRPr="00EA4D30">
        <w:rPr>
          <w:color w:val="auto"/>
        </w:rPr>
        <w:t xml:space="preserve"> </w:t>
      </w:r>
      <w:r w:rsidR="00C62B28" w:rsidRPr="00EA4D30">
        <w:rPr>
          <w:color w:val="auto"/>
        </w:rPr>
        <w:t xml:space="preserve">certain regions or </w:t>
      </w:r>
      <w:r w:rsidR="00C620FE" w:rsidRPr="00EA4D30">
        <w:rPr>
          <w:color w:val="auto"/>
        </w:rPr>
        <w:t>years</w:t>
      </w:r>
      <w:r w:rsidR="00B41EA8" w:rsidRPr="00EA4D30">
        <w:rPr>
          <w:color w:val="auto"/>
        </w:rPr>
        <w:t>,</w:t>
      </w:r>
      <w:r w:rsidR="00E30461">
        <w:rPr>
          <w:color w:val="auto"/>
        </w:rPr>
        <w:t xml:space="preserve"> and</w:t>
      </w:r>
      <w:r w:rsidR="00C620FE" w:rsidRPr="00EA4D30">
        <w:rPr>
          <w:color w:val="auto"/>
        </w:rPr>
        <w:t xml:space="preserve"> </w:t>
      </w:r>
      <w:r w:rsidR="00C62B28" w:rsidRPr="00EA4D30">
        <w:rPr>
          <w:color w:val="auto"/>
        </w:rPr>
        <w:t xml:space="preserve">higher percentage of patients with a missing address in some </w:t>
      </w:r>
      <w:r w:rsidR="00E041A6" w:rsidRPr="00EA4D30">
        <w:rPr>
          <w:color w:val="auto"/>
        </w:rPr>
        <w:t>centre</w:t>
      </w:r>
      <w:r w:rsidR="00C62B28" w:rsidRPr="00EA4D30">
        <w:rPr>
          <w:color w:val="auto"/>
        </w:rPr>
        <w:t>s</w:t>
      </w:r>
      <w:r w:rsidR="00E30461">
        <w:rPr>
          <w:color w:val="auto"/>
        </w:rPr>
        <w:t xml:space="preserve">, could be behind some of the regional differences in shunting incidence. </w:t>
      </w:r>
      <w:r>
        <w:rPr>
          <w:color w:val="auto"/>
        </w:rPr>
        <w:t xml:space="preserve">However, lower </w:t>
      </w:r>
      <w:r w:rsidR="00E77F3F">
        <w:rPr>
          <w:color w:val="auto"/>
        </w:rPr>
        <w:t xml:space="preserve">regional </w:t>
      </w:r>
      <w:r>
        <w:rPr>
          <w:color w:val="auto"/>
        </w:rPr>
        <w:t xml:space="preserve">incidence rates did not necessarily correlate with low case ascertainment </w:t>
      </w:r>
      <w:r w:rsidRPr="00EA4D30">
        <w:rPr>
          <w:color w:val="auto"/>
        </w:rPr>
        <w:t xml:space="preserve">(Supplementary material </w:t>
      </w:r>
      <w:r>
        <w:rPr>
          <w:color w:val="auto"/>
        </w:rPr>
        <w:t>2</w:t>
      </w:r>
      <w:r w:rsidRPr="00EA4D30">
        <w:rPr>
          <w:color w:val="auto"/>
        </w:rPr>
        <w:t>)</w:t>
      </w:r>
      <w:r>
        <w:rPr>
          <w:color w:val="auto"/>
        </w:rPr>
        <w:t xml:space="preserve">. </w:t>
      </w:r>
    </w:p>
    <w:p w14:paraId="1AF31A87" w14:textId="198AABA4" w:rsidR="00B233EA" w:rsidRPr="00984A4B" w:rsidRDefault="00E30461" w:rsidP="00C42156">
      <w:r>
        <w:rPr>
          <w:color w:val="auto"/>
        </w:rPr>
        <w:t>R</w:t>
      </w:r>
      <w:r w:rsidRPr="000B3DC1">
        <w:rPr>
          <w:color w:val="auto"/>
        </w:rPr>
        <w:t xml:space="preserve">egional variations could </w:t>
      </w:r>
      <w:r>
        <w:rPr>
          <w:color w:val="auto"/>
        </w:rPr>
        <w:t xml:space="preserve">also </w:t>
      </w:r>
      <w:r w:rsidRPr="000B3DC1">
        <w:rPr>
          <w:color w:val="auto"/>
        </w:rPr>
        <w:t xml:space="preserve">be </w:t>
      </w:r>
      <w:r w:rsidR="008E5373">
        <w:rPr>
          <w:color w:val="auto"/>
        </w:rPr>
        <w:t>influenced</w:t>
      </w:r>
      <w:r w:rsidRPr="000B3DC1">
        <w:rPr>
          <w:color w:val="auto"/>
        </w:rPr>
        <w:t xml:space="preserve"> by some </w:t>
      </w:r>
      <w:r w:rsidRPr="000B3DC1">
        <w:t>centres operating on a large volume of patients coming from different geographical regions</w:t>
      </w:r>
      <w:r w:rsidR="00C260EA">
        <w:t>, although this only significantly affected two UK regions</w:t>
      </w:r>
      <w:r w:rsidRPr="000B3DC1">
        <w:t xml:space="preserve"> (Supplementary material </w:t>
      </w:r>
      <w:r w:rsidR="00DD393C">
        <w:t>4</w:t>
      </w:r>
      <w:r w:rsidRPr="000B3DC1">
        <w:t>).</w:t>
      </w:r>
      <w:r w:rsidR="006E63E7">
        <w:t xml:space="preserve"> </w:t>
      </w:r>
      <w:r w:rsidR="001A2549">
        <w:rPr>
          <w:color w:val="auto"/>
        </w:rPr>
        <w:t>While UK regional incidence rates were not affected by non-participation</w:t>
      </w:r>
      <w:r w:rsidR="001A2549">
        <w:t>, i</w:t>
      </w:r>
      <w:r w:rsidR="006E63E7">
        <w:t>n Ireland</w:t>
      </w:r>
      <w:r w:rsidR="001A2549">
        <w:t xml:space="preserve"> i</w:t>
      </w:r>
      <w:r w:rsidR="006E63E7">
        <w:t xml:space="preserve">ncidence rates </w:t>
      </w:r>
      <w:r w:rsidR="001A2549">
        <w:t>we</w:t>
      </w:r>
      <w:r w:rsidR="006E63E7">
        <w:t>re underestimated in our study, as i</w:t>
      </w:r>
      <w:r w:rsidR="006E63E7">
        <w:rPr>
          <w:color w:val="auto"/>
        </w:rPr>
        <w:t xml:space="preserve">t was not possible to correct for the population size covered by the non-participating hospital in this region. </w:t>
      </w:r>
    </w:p>
    <w:p w14:paraId="18C2F53E" w14:textId="29B30846" w:rsidR="00B233EA" w:rsidRPr="00EA4D30" w:rsidRDefault="00667019" w:rsidP="00C42156">
      <w:pPr>
        <w:rPr>
          <w:color w:val="auto"/>
          <w:lang w:val="en-US"/>
        </w:rPr>
      </w:pPr>
      <w:r>
        <w:t xml:space="preserve">In epidemiological terms, </w:t>
      </w:r>
      <w:r w:rsidR="0002232A">
        <w:rPr>
          <w:color w:val="auto"/>
        </w:rPr>
        <w:t>CSF shunts are</w:t>
      </w:r>
      <w:r>
        <w:rPr>
          <w:color w:val="auto"/>
        </w:rPr>
        <w:t xml:space="preserve"> uncommon</w:t>
      </w:r>
      <w:r w:rsidR="0002232A">
        <w:rPr>
          <w:color w:val="auto"/>
        </w:rPr>
        <w:t xml:space="preserve"> procedure</w:t>
      </w:r>
      <w:r>
        <w:rPr>
          <w:color w:val="auto"/>
        </w:rPr>
        <w:t>s</w:t>
      </w:r>
      <w:r w:rsidR="0002232A">
        <w:rPr>
          <w:color w:val="auto"/>
        </w:rPr>
        <w:t>, and</w:t>
      </w:r>
      <w:r w:rsidR="00C62B28" w:rsidRPr="00EA4D30">
        <w:rPr>
          <w:color w:val="auto"/>
        </w:rPr>
        <w:t xml:space="preserve"> incidence rates of </w:t>
      </w:r>
      <w:r>
        <w:rPr>
          <w:color w:val="auto"/>
        </w:rPr>
        <w:t>uncommon</w:t>
      </w:r>
      <w:r w:rsidR="00C62B28" w:rsidRPr="00EA4D30">
        <w:rPr>
          <w:color w:val="auto"/>
        </w:rPr>
        <w:t xml:space="preserve"> events </w:t>
      </w:r>
      <w:r w:rsidR="0002232A">
        <w:rPr>
          <w:color w:val="auto"/>
        </w:rPr>
        <w:t>are</w:t>
      </w:r>
      <w:r w:rsidR="0002232A" w:rsidRPr="00EA4D30">
        <w:rPr>
          <w:color w:val="auto"/>
        </w:rPr>
        <w:t xml:space="preserve"> high</w:t>
      </w:r>
      <w:r w:rsidR="0002232A">
        <w:rPr>
          <w:color w:val="auto"/>
        </w:rPr>
        <w:t>ly</w:t>
      </w:r>
      <w:r w:rsidR="0002232A" w:rsidRPr="00EA4D30">
        <w:rPr>
          <w:color w:val="auto"/>
        </w:rPr>
        <w:t xml:space="preserve"> vulnerab</w:t>
      </w:r>
      <w:r w:rsidR="0002232A">
        <w:rPr>
          <w:color w:val="auto"/>
        </w:rPr>
        <w:t>le</w:t>
      </w:r>
      <w:r w:rsidR="0002232A" w:rsidRPr="00EA4D30">
        <w:rPr>
          <w:color w:val="auto"/>
        </w:rPr>
        <w:t xml:space="preserve"> </w:t>
      </w:r>
      <w:r w:rsidR="00C62B28" w:rsidRPr="00EA4D30">
        <w:rPr>
          <w:color w:val="auto"/>
        </w:rPr>
        <w:t>to small changes in absolute</w:t>
      </w:r>
      <w:r w:rsidR="00C620FE" w:rsidRPr="00EA4D30">
        <w:rPr>
          <w:color w:val="auto"/>
        </w:rPr>
        <w:t xml:space="preserve"> </w:t>
      </w:r>
      <w:r w:rsidR="00EC1C46" w:rsidRPr="00EA4D30">
        <w:rPr>
          <w:color w:val="auto"/>
        </w:rPr>
        <w:t>numbers</w:t>
      </w:r>
      <w:r w:rsidR="00143B1A" w:rsidRPr="00EA4D30">
        <w:rPr>
          <w:color w:val="auto"/>
          <w:lang w:val="en-US"/>
        </w:rPr>
        <w:t xml:space="preserve">. </w:t>
      </w:r>
      <w:r w:rsidR="00405D36">
        <w:rPr>
          <w:color w:val="auto"/>
          <w:lang w:val="en-US"/>
        </w:rPr>
        <w:t>Nonetheless, t</w:t>
      </w:r>
      <w:r w:rsidR="00405D36" w:rsidRPr="00EA4D30">
        <w:rPr>
          <w:color w:val="auto"/>
          <w:lang w:val="en-US"/>
        </w:rPr>
        <w:t xml:space="preserve">he </w:t>
      </w:r>
      <w:r w:rsidR="00143B1A" w:rsidRPr="00EA4D30">
        <w:rPr>
          <w:color w:val="auto"/>
          <w:lang w:val="en-US"/>
        </w:rPr>
        <w:t>latter can be mitigated by the inclusion of a large population over a long period, as performed in this study</w:t>
      </w:r>
      <w:r w:rsidR="003A29FF" w:rsidRPr="00EA4D30">
        <w:rPr>
          <w:color w:val="auto"/>
          <w:lang w:val="en-US"/>
        </w:rPr>
        <w:t xml:space="preserve"> and demonstrated with our narrow confidence intervals</w:t>
      </w:r>
      <w:r w:rsidR="00143B1A" w:rsidRPr="00EA4D30">
        <w:rPr>
          <w:color w:val="auto"/>
          <w:lang w:val="en-US"/>
        </w:rPr>
        <w:t>.</w:t>
      </w:r>
      <w:r w:rsidR="00C42156">
        <w:rPr>
          <w:color w:val="auto"/>
          <w:lang w:val="en-US"/>
        </w:rPr>
        <w:t xml:space="preserve"> </w:t>
      </w:r>
    </w:p>
    <w:p w14:paraId="7105F7FF" w14:textId="3509DE22" w:rsidR="008E5373" w:rsidRDefault="00B233EA" w:rsidP="008E5373">
      <w:pPr>
        <w:rPr>
          <w:color w:val="auto"/>
          <w:lang w:val="en-US"/>
        </w:rPr>
      </w:pPr>
      <w:r>
        <w:rPr>
          <w:color w:val="auto"/>
          <w:lang w:val="en-US"/>
        </w:rPr>
        <w:t xml:space="preserve">Therefore, considering all of the above factors, </w:t>
      </w:r>
      <w:r w:rsidR="00C42156">
        <w:rPr>
          <w:color w:val="auto"/>
          <w:lang w:val="en-US"/>
        </w:rPr>
        <w:t>the observed</w:t>
      </w:r>
      <w:r w:rsidR="008E5373" w:rsidRPr="00EA4D30">
        <w:rPr>
          <w:color w:val="auto"/>
          <w:lang w:val="en-US"/>
        </w:rPr>
        <w:t xml:space="preserve"> variations</w:t>
      </w:r>
      <w:r w:rsidR="00C42156">
        <w:rPr>
          <w:color w:val="auto"/>
          <w:lang w:val="en-US"/>
        </w:rPr>
        <w:t xml:space="preserve"> likely</w:t>
      </w:r>
      <w:r w:rsidR="008E5373" w:rsidRPr="00EA4D30">
        <w:rPr>
          <w:color w:val="auto"/>
          <w:lang w:val="en-US"/>
        </w:rPr>
        <w:t xml:space="preserve"> </w:t>
      </w:r>
      <w:r w:rsidR="00C42156">
        <w:rPr>
          <w:color w:val="auto"/>
          <w:lang w:val="en-US"/>
        </w:rPr>
        <w:t xml:space="preserve">represent some actual </w:t>
      </w:r>
      <w:r w:rsidR="008E5373" w:rsidRPr="00EA4D30">
        <w:rPr>
          <w:color w:val="auto"/>
          <w:lang w:val="en-US"/>
        </w:rPr>
        <w:t>epidemiological differences for each  underlying diagnos</w:t>
      </w:r>
      <w:r w:rsidR="00C42156">
        <w:rPr>
          <w:color w:val="auto"/>
          <w:lang w:val="en-US"/>
        </w:rPr>
        <w:t>i</w:t>
      </w:r>
      <w:r w:rsidR="008E5373" w:rsidRPr="00EA4D30">
        <w:rPr>
          <w:color w:val="auto"/>
          <w:lang w:val="en-US"/>
        </w:rPr>
        <w:t>s</w:t>
      </w:r>
      <w:r w:rsidR="00C42156">
        <w:rPr>
          <w:color w:val="auto"/>
          <w:lang w:val="en-US"/>
        </w:rPr>
        <w:t>,</w:t>
      </w:r>
      <w:r w:rsidR="008E5373" w:rsidRPr="00EA4D30">
        <w:rPr>
          <w:color w:val="auto"/>
        </w:rPr>
        <w:fldChar w:fldCharType="begin"/>
      </w:r>
      <w:r w:rsidR="008E5373">
        <w:rPr>
          <w:color w:val="auto"/>
        </w:rPr>
        <w:instrText xml:space="preserve"> ADDIN ZOTERO_ITEM CSL_CITATION {"citationID":"9k4JYgLW","properties":{"formattedCitation":"[19]","plainCitation":"[19]","noteIndex":0},"citationItems":[{"id":6001,"uris":["http://zotero.org/users/3274607/items/HMCS5N2M"],"uri":["http://zotero.org/users/3274607/items/HMCS5N2M"],"itemData":{"id":6001,"type":"article-journal","title":"Congenital hydrocephalus – prevalence, prenatal diagnosis and outcome of pregnancy in four European regions","container-title":"European Journal of Paediatric Neurology","page":"150-155","volume":"14","issue":"2","source":"CrossRef","DOI":"10.1016/j.ejpn.2009.03.005","ISSN":"10903798","language":"en","author":[{"family":"Garne","given":"Ester"},{"family":"Loane","given":"Maria"},{"family":"Addor","given":"Marie-Claude"},{"family":"Boyd","given":"Patricia A."},{"family":"Barisic","given":"Ingeborg"},{"family":"Dolk","given":"Helen"}],"issued":{"date-parts":[["2010",3]]}}}],"schema":"https://github.com/citation-style-language/schema/raw/master/csl-citation.json"} </w:instrText>
      </w:r>
      <w:r w:rsidR="008E5373" w:rsidRPr="00EA4D30">
        <w:rPr>
          <w:color w:val="auto"/>
        </w:rPr>
        <w:fldChar w:fldCharType="separate"/>
      </w:r>
      <w:r w:rsidR="008E5373">
        <w:rPr>
          <w:color w:val="auto"/>
        </w:rPr>
        <w:t>[19]</w:t>
      </w:r>
      <w:r w:rsidR="008E5373" w:rsidRPr="00EA4D30">
        <w:rPr>
          <w:color w:val="auto"/>
        </w:rPr>
        <w:fldChar w:fldCharType="end"/>
      </w:r>
      <w:r w:rsidR="008E5373" w:rsidRPr="00EA4D30">
        <w:rPr>
          <w:color w:val="auto"/>
        </w:rPr>
        <w:t xml:space="preserve"> differing clinical practice in decision to shunt</w:t>
      </w:r>
      <w:r w:rsidR="008E5373" w:rsidRPr="00EA4D30">
        <w:rPr>
          <w:color w:val="auto"/>
          <w:lang w:val="en-US"/>
        </w:rPr>
        <w:t xml:space="preserve">, and alternative </w:t>
      </w:r>
      <w:r w:rsidR="008E5373" w:rsidRPr="00EA4D30">
        <w:rPr>
          <w:color w:val="auto"/>
        </w:rPr>
        <w:t>treatment options</w:t>
      </w:r>
      <w:r w:rsidR="00C42156">
        <w:rPr>
          <w:color w:val="auto"/>
        </w:rPr>
        <w:t xml:space="preserve">, </w:t>
      </w:r>
      <w:r w:rsidR="008E5373" w:rsidRPr="00EA4D30">
        <w:rPr>
          <w:color w:val="auto"/>
        </w:rPr>
        <w:fldChar w:fldCharType="begin"/>
      </w:r>
      <w:r w:rsidR="008E5373">
        <w:rPr>
          <w:color w:val="auto"/>
        </w:rPr>
        <w:instrText xml:space="preserve"> ADDIN ZOTERO_ITEM CSL_CITATION {"citationID":"ibAofd8i","properties":{"formattedCitation":"[3,20]","plainCitation":"[3,20]","noteIndex":0},"citationItems":[{"id":6091,"uris":["http://zotero.org/users/3274607/items/B6SDSI64"],"uri":["http://zotero.org/users/3274607/items/B6SDSI64"],"itemData":{"id":6091,"type":"article-journal","title":"Cerebrospinal fluid (CSF) shunting and ventriculocisternostomy (ETV) in 400 pediatric patients. Shifts in understanding, diagnostics, case-mix, and surgical management during half a century","container-title":"Child's Nervous System","page":"259-268","volume":"33","issue":"2","source":"CrossRef","DOI":"10.1007/s00381-016-3281-1","ISSN":"0256-7040, 1433-0350","language":"en","author":[{"family":"Paulsen","given":"A. Henriette"},{"family":"Due-Tønnessen","given":"Bernt J."},{"family":"Lundar","given":"Tryggve"},{"family":"Lindegaard","given":"Karl-Fredrik"}],"issued":{"date-parts":[["2017",2]]}}},{"id":6407,"uris":["http://zotero.org/users/3274607/items/6VVF96CP"],"uri":["http://zotero.org/users/3274607/items/6VVF96CP"],"itemData":{"id":6407,"type":"article-journal","title":"Evolving evidence in adult idiopathic intracranial hypertension: pathophysiology and management","container-title":"Journal of Neurology, Neurosurgery, and Psychiatry","page":"982-992","volume":"87","issue":"9","source":"PubMed Central","abstract":"Idiopathic intracranial hypertension (IIH) is a rare but important disease associated with significant morbidity. There is an expected rise in prevalence in line with the escalating global burden of obesity. Modern revisions in the terminology and diagnostic criteria for IIH help guide clinicians in investigations and researchers in standardising recruitment criteria for clinical trials. The pathophysiology of IIH is incompletely characterised; suggested underpinning mechanisms include the role of cerebrospinal fluid regulation as well as metabolic and endocrinological perspectives. Recent treatment trials are providing insights into the management but debate still surrounds key areas in treatment. This review will provide an up-to-date discussion on the potential pathogenic mechanisms and management of IIH.","DOI":"10.1136/jnnp-2015-311302","ISSN":"0022-3050","note":"PMID: 26888960\nPMCID: PMC5013119","shortTitle":"Evolving evidence in adult idiopathic intracranial hypertension","journalAbbreviation":"J Neurol Neurosurg Psychiatry","author":[{"family":"Mollan","given":"Susan P"},{"family":"Ali","given":"Fizzah"},{"family":"Hassan-Smith","given":"Ghaniah"},{"family":"Botfield","given":"Hannah"},{"family":"Friedman","given":"Deborah I"},{"family":"Sinclair","given":"Alexandra J"}],"issued":{"date-parts":[["2016",9]]}}}],"schema":"https://github.com/citation-style-language/schema/raw/master/csl-citation.json"} </w:instrText>
      </w:r>
      <w:r w:rsidR="008E5373" w:rsidRPr="00EA4D30">
        <w:rPr>
          <w:color w:val="auto"/>
        </w:rPr>
        <w:fldChar w:fldCharType="separate"/>
      </w:r>
      <w:r w:rsidR="008E5373">
        <w:rPr>
          <w:color w:val="auto"/>
        </w:rPr>
        <w:t>[3,20]</w:t>
      </w:r>
      <w:r w:rsidR="008E5373" w:rsidRPr="00EA4D30">
        <w:rPr>
          <w:color w:val="auto"/>
        </w:rPr>
        <w:fldChar w:fldCharType="end"/>
      </w:r>
      <w:r w:rsidR="00C42156">
        <w:rPr>
          <w:color w:val="auto"/>
        </w:rPr>
        <w:t xml:space="preserve"> in line with previous reports.</w:t>
      </w:r>
      <w:r w:rsidR="008E5373" w:rsidRPr="00EA4D30">
        <w:rPr>
          <w:color w:val="auto"/>
          <w:lang w:val="en-US"/>
        </w:rPr>
        <w:fldChar w:fldCharType="begin"/>
      </w:r>
      <w:r w:rsidR="008E5373">
        <w:rPr>
          <w:color w:val="auto"/>
          <w:lang w:val="en-US"/>
        </w:rPr>
        <w:instrText xml:space="preserve"> ADDIN ZOTERO_ITEM CSL_CITATION {"citationID":"15eopddlbc","properties":{"formattedCitation":"[21]","plainCitation":"[21]","noteIndex":0},"citationItems":[{"id":6106,"uris":["http://zotero.org/users/3274607/items/EI2WV6AN"],"uri":["http://zotero.org/users/3274607/items/EI2WV6AN"],"itemData":{"id":6106,"type":"article-journal","title":"Shunt-dependent hydrocephalus: management style among members of the American Society of Pediatric Neurosurgeons","container-title":"Journal of Neurosurgery: Pediatrics","page":"216-224","volume":"20","issue":"3","source":"CrossRef","DOI":"10.3171/2017.2.PEDS16265","ISSN":"1933-0707, 1933-0715","shortTitle":"Shunt-dependent hydrocephalus","language":"en","author":[{"family":"Kraemer","given":"Mark R."},{"family":"Sandoval-Garcia","given":"Carolina"},{"family":"Bragg","given":"Taryn"},{"family":"Iskandar","given":"Bermans J."}],"issued":{"date-parts":[["2017",9]]}}}],"schema":"https://github.com/citation-style-language/schema/raw/master/csl-citation.json"} </w:instrText>
      </w:r>
      <w:r w:rsidR="008E5373" w:rsidRPr="00EA4D30">
        <w:rPr>
          <w:color w:val="auto"/>
          <w:lang w:val="en-US"/>
        </w:rPr>
        <w:fldChar w:fldCharType="separate"/>
      </w:r>
      <w:r w:rsidR="008E5373">
        <w:rPr>
          <w:color w:val="auto"/>
          <w:lang w:val="en-US"/>
        </w:rPr>
        <w:t>[21]</w:t>
      </w:r>
      <w:r w:rsidR="008E5373" w:rsidRPr="00EA4D30">
        <w:rPr>
          <w:color w:val="auto"/>
          <w:lang w:val="en-US"/>
        </w:rPr>
        <w:fldChar w:fldCharType="end"/>
      </w:r>
    </w:p>
    <w:p w14:paraId="10DC4E09" w14:textId="77777777" w:rsidR="00FF2706" w:rsidRPr="00EA4D30" w:rsidRDefault="00FF2706" w:rsidP="00FF2706">
      <w:pPr>
        <w:pStyle w:val="Heading2"/>
        <w:rPr>
          <w:color w:val="auto"/>
          <w:lang w:val="en-US"/>
        </w:rPr>
      </w:pPr>
      <w:r w:rsidRPr="00EA4D30">
        <w:rPr>
          <w:color w:val="auto"/>
        </w:rPr>
        <w:t>Shunt surgery in infants</w:t>
      </w:r>
    </w:p>
    <w:p w14:paraId="156D9570" w14:textId="58D28039" w:rsidR="002F3AA5" w:rsidRPr="00EA4D30" w:rsidRDefault="00A05F9D" w:rsidP="00FF2706">
      <w:pPr>
        <w:rPr>
          <w:color w:val="auto"/>
        </w:rPr>
      </w:pPr>
      <w:r w:rsidRPr="00EA4D30">
        <w:rPr>
          <w:color w:val="auto"/>
        </w:rPr>
        <w:t xml:space="preserve">During infancy, the incidence rate of primary insertions was </w:t>
      </w:r>
      <w:r w:rsidR="00220AA3" w:rsidRPr="00EA4D30">
        <w:rPr>
          <w:color w:val="auto"/>
        </w:rPr>
        <w:t>3</w:t>
      </w:r>
      <w:r w:rsidR="00220AA3">
        <w:rPr>
          <w:color w:val="auto"/>
        </w:rPr>
        <w:t>2</w:t>
      </w:r>
      <w:r w:rsidR="0077049F" w:rsidRPr="00EA4D30">
        <w:rPr>
          <w:color w:val="auto"/>
        </w:rPr>
        <w:t>.</w:t>
      </w:r>
      <w:r w:rsidR="00220AA3">
        <w:rPr>
          <w:color w:val="auto"/>
        </w:rPr>
        <w:t>8</w:t>
      </w:r>
      <w:r w:rsidR="00220AA3" w:rsidRPr="00EA4D30">
        <w:rPr>
          <w:color w:val="auto"/>
        </w:rPr>
        <w:t xml:space="preserve"> </w:t>
      </w:r>
      <w:r w:rsidRPr="00EA4D30">
        <w:rPr>
          <w:color w:val="auto"/>
        </w:rPr>
        <w:t>per 100000 person-years</w:t>
      </w:r>
      <w:r w:rsidR="0077049F" w:rsidRPr="00EA4D30">
        <w:rPr>
          <w:color w:val="auto"/>
        </w:rPr>
        <w:t xml:space="preserve"> and </w:t>
      </w:r>
      <w:r w:rsidR="00220AA3">
        <w:rPr>
          <w:color w:val="auto"/>
        </w:rPr>
        <w:t>39</w:t>
      </w:r>
      <w:r w:rsidR="0077049F" w:rsidRPr="00EA4D30">
        <w:rPr>
          <w:color w:val="auto"/>
        </w:rPr>
        <w:t>.</w:t>
      </w:r>
      <w:r w:rsidR="006E7CF7">
        <w:rPr>
          <w:color w:val="auto"/>
        </w:rPr>
        <w:t>5</w:t>
      </w:r>
      <w:r w:rsidR="00220AA3" w:rsidRPr="00EA4D30">
        <w:rPr>
          <w:color w:val="auto"/>
        </w:rPr>
        <w:t xml:space="preserve"> </w:t>
      </w:r>
      <w:r w:rsidRPr="00EA4D30">
        <w:rPr>
          <w:color w:val="auto"/>
        </w:rPr>
        <w:t>after accounting for case ascertainment</w:t>
      </w:r>
      <w:r w:rsidR="00FF2706" w:rsidRPr="00EA4D30">
        <w:rPr>
          <w:color w:val="auto"/>
        </w:rPr>
        <w:t xml:space="preserve">. </w:t>
      </w:r>
      <w:r w:rsidR="00906A00" w:rsidRPr="00EA4D30">
        <w:rPr>
          <w:color w:val="auto"/>
        </w:rPr>
        <w:t>These rates are</w:t>
      </w:r>
      <w:r w:rsidR="009B49B4">
        <w:rPr>
          <w:color w:val="auto"/>
        </w:rPr>
        <w:t xml:space="preserve"> within the range of published </w:t>
      </w:r>
      <w:r w:rsidR="009B49B4">
        <w:rPr>
          <w:color w:val="auto"/>
        </w:rPr>
        <w:lastRenderedPageBreak/>
        <w:t>figures for the diagnosis of congenital hydrocephalus</w:t>
      </w:r>
      <w:r w:rsidR="00230151">
        <w:rPr>
          <w:color w:val="auto"/>
        </w:rPr>
        <w:t xml:space="preserve"> (</w:t>
      </w:r>
      <w:r w:rsidR="00230151" w:rsidRPr="0042227A">
        <w:t>14.0</w:t>
      </w:r>
      <w:r w:rsidR="00230151">
        <w:t>-</w:t>
      </w:r>
      <w:r w:rsidR="00230151" w:rsidRPr="0042227A">
        <w:t>74.7 per 100000 in England and/or Wales</w:t>
      </w:r>
      <w:r w:rsidR="00230151">
        <w:t>, 2003-2014),</w:t>
      </w:r>
      <w:r w:rsidR="00342497">
        <w:fldChar w:fldCharType="begin"/>
      </w:r>
      <w:r w:rsidR="00342497">
        <w:instrText xml:space="preserve"> ADDIN ZOTERO_ITEM CSL_CITATION {"citationID":"pkTf8Fx0","properties":{"formattedCitation":"[22]","plainCitation":"[22]","noteIndex":0},"citationItems":[{"id":6741,"uris":["http://zotero.org/users/3274607/items/45WNXHQU"],"uri":["http://zotero.org/users/3274607/items/45WNXHQU"],"itemData":{"id":6741,"type":"article-journal","title":"Age-specific global epidemiology of hydrocephalus: Systematic review, metanalysis and global birth surveillance","page":"24","source":"Zotero","abstract":"Background Hydrocephalus is a debilitating disorder, affecting all age groups. Evaluation of its global epidemiology is required for healthcare planning and resource allocation.","language":"en","author":[{"family":"Isaacs","given":"Albert M"},{"family":"Riva-Cambrin","given":"Jay"},{"family":"Yavin","given":"Daniel"},{"family":"Hockley","given":"Aaron"},{"family":"Pringsheim","given":"Tamara M"},{"family":"Jette","given":"Nathalie"},{"family":"Lethebe","given":"Brendan Cord"},{"family":"Lowerison","given":"Mark"},{"family":"Dronyk","given":"Jarred"},{"family":"Hamilton","given":"Mark G"}]}}],"schema":"https://github.com/citation-style-language/schema/raw/master/csl-citation.json"} </w:instrText>
      </w:r>
      <w:r w:rsidR="00342497">
        <w:fldChar w:fldCharType="separate"/>
      </w:r>
      <w:r w:rsidR="00342497">
        <w:rPr>
          <w:noProof/>
        </w:rPr>
        <w:t>[22]</w:t>
      </w:r>
      <w:r w:rsidR="00342497">
        <w:fldChar w:fldCharType="end"/>
      </w:r>
      <w:r w:rsidR="00230151">
        <w:t xml:space="preserve"> although the latter included live births, </w:t>
      </w:r>
      <w:r w:rsidR="00230151" w:rsidRPr="0042227A">
        <w:t>stillbirths and termination of pregnanc</w:t>
      </w:r>
      <w:r w:rsidR="00230151">
        <w:t>ies</w:t>
      </w:r>
      <w:r w:rsidR="009B49B4">
        <w:rPr>
          <w:color w:val="auto"/>
        </w:rPr>
        <w:t>, and</w:t>
      </w:r>
      <w:r w:rsidR="00230151">
        <w:rPr>
          <w:color w:val="auto"/>
        </w:rPr>
        <w:t xml:space="preserve"> </w:t>
      </w:r>
      <w:r w:rsidR="00230151" w:rsidRPr="0042227A">
        <w:t>not all cases would</w:t>
      </w:r>
      <w:r w:rsidR="00D40CD5">
        <w:t xml:space="preserve"> have</w:t>
      </w:r>
      <w:r w:rsidR="00230151" w:rsidRPr="0042227A">
        <w:t xml:space="preserve"> require</w:t>
      </w:r>
      <w:r w:rsidR="00D40CD5">
        <w:t>d</w:t>
      </w:r>
      <w:r w:rsidR="00230151" w:rsidRPr="0042227A">
        <w:t xml:space="preserve"> shunting</w:t>
      </w:r>
      <w:r w:rsidR="00230151">
        <w:t xml:space="preserve">. Incidence rates in our study </w:t>
      </w:r>
      <w:r w:rsidR="00D40CD5">
        <w:t>we</w:t>
      </w:r>
      <w:r w:rsidR="00230151">
        <w:t>re</w:t>
      </w:r>
      <w:r w:rsidR="00906A00" w:rsidRPr="00EA4D30">
        <w:rPr>
          <w:color w:val="auto"/>
        </w:rPr>
        <w:t xml:space="preserve"> higher than previously reported figures for </w:t>
      </w:r>
      <w:r w:rsidR="002E51E0" w:rsidRPr="00EA4D30">
        <w:rPr>
          <w:color w:val="auto"/>
        </w:rPr>
        <w:t xml:space="preserve">shunt surgery for </w:t>
      </w:r>
      <w:r w:rsidR="00906A00" w:rsidRPr="00EA4D30">
        <w:rPr>
          <w:color w:val="auto"/>
        </w:rPr>
        <w:t>congenital hydrocephalus</w:t>
      </w:r>
      <w:r w:rsidR="002E51E0" w:rsidRPr="00EA4D30">
        <w:rPr>
          <w:color w:val="auto"/>
        </w:rPr>
        <w:t xml:space="preserve"> </w:t>
      </w:r>
      <w:r w:rsidR="005E08CC" w:rsidRPr="00EA4D30">
        <w:rPr>
          <w:color w:val="auto"/>
        </w:rPr>
        <w:t xml:space="preserve">alone </w:t>
      </w:r>
      <w:r w:rsidR="007565B4" w:rsidRPr="00EA4D30">
        <w:rPr>
          <w:color w:val="auto"/>
        </w:rPr>
        <w:t>(24.8</w:t>
      </w:r>
      <w:r w:rsidR="002E51E0" w:rsidRPr="00EA4D30">
        <w:rPr>
          <w:color w:val="auto"/>
        </w:rPr>
        <w:t xml:space="preserve"> per 100000 </w:t>
      </w:r>
      <w:r w:rsidR="003250CD" w:rsidRPr="00EA4D30">
        <w:rPr>
          <w:color w:val="auto"/>
        </w:rPr>
        <w:t>in Denmark</w:t>
      </w:r>
      <w:r w:rsidR="002E51E0" w:rsidRPr="00EA4D30">
        <w:rPr>
          <w:color w:val="auto"/>
        </w:rPr>
        <w:t xml:space="preserve"> 1986-1998)</w:t>
      </w:r>
      <w:r w:rsidR="002E51E0" w:rsidRPr="00EA4D30">
        <w:rPr>
          <w:color w:val="auto"/>
          <w:lang w:val="en-US"/>
        </w:rPr>
        <w:fldChar w:fldCharType="begin"/>
      </w:r>
      <w:r w:rsidR="00CB17E5">
        <w:rPr>
          <w:color w:val="auto"/>
          <w:lang w:val="en-US"/>
        </w:rPr>
        <w:instrText xml:space="preserve"> ADDIN ZOTERO_ITEM CSL_CITATION {"citationID":"19h5ci0s24","properties":{"formattedCitation":"[14]","plainCitation":"[14]","noteIndex":0},"citationItems":[{"id":6071,"uris":["http://zotero.org/users/3274607/items/FTEQ73NF"],"uri":["http://zotero.org/users/3274607/items/FTEQ73NF"],"itemData":{"id":6071,"type":"article-journal","title":"Congenital hydrocephalus - prevalence and prognosis. Mortality and morbidity in a population-based study","container-title":"Ugeskr Laeger.","page":"466-469","volume":"165","issue":"5","abstract":"The aim was to describe the prevalence and to estimate the prognosis of\ncongenital hydrocephalus (HC) in fetuses and children.\nData for the study were taken from the Eurocat Register of\nCongenital Malformations for the County of Funen and from medical records. The study includes\nliveborn, intrauterine deaths, and induced abortions. All cases with HC born in the County of\nFunen in the years 19861998\nwere included. The followup period is three years after birth.\nThe prevalence of HC was 0.4/1,000 births. There were 29 cases of HC, out of which\n21 were liveborn. 41% had associated malformations, syndromes and/or chromosome\nabnormalities, and mortality of these compared to cases with isolated HC were significantly\nincreased (p &lt; 0.05). 18 children had shunt surgery and 12 children had one or more reoperations.\nAt the age of three, four children had died, 12 had neurological problems related to their HC, and\nfive children were described as normal.\nWe found high mortality and morbidity in fetuses and children with HC. Mortality\nwas significantly increased if associated malformations, syndromes and/or chromosome\nabnormalities were present. After prenatal diagnosis of HC it is important to look carefully for other\nmalformations and to perform a karyotype before information about the prognosis of the fetus is\ngiven to the parents.","author":[{"family":"Christensen","given":"JH"},{"family":"Hansen","given":"LK"},{"family":"Garne","given":"E"}],"issued":{"date-parts":[["2003"]]}}}],"schema":"https://github.com/citation-style-language/schema/raw/master/csl-citation.json"} </w:instrText>
      </w:r>
      <w:r w:rsidR="002E51E0" w:rsidRPr="00EA4D30">
        <w:rPr>
          <w:color w:val="auto"/>
          <w:lang w:val="en-US"/>
        </w:rPr>
        <w:fldChar w:fldCharType="separate"/>
      </w:r>
      <w:r w:rsidR="0025769B">
        <w:rPr>
          <w:color w:val="auto"/>
          <w:lang w:val="en-US"/>
        </w:rPr>
        <w:t>[14]</w:t>
      </w:r>
      <w:r w:rsidR="002E51E0" w:rsidRPr="00EA4D30">
        <w:rPr>
          <w:color w:val="auto"/>
          <w:lang w:val="en-US"/>
        </w:rPr>
        <w:fldChar w:fldCharType="end"/>
      </w:r>
      <w:r w:rsidR="00220AA3">
        <w:rPr>
          <w:color w:val="auto"/>
          <w:lang w:val="en-US"/>
        </w:rPr>
        <w:t>, although</w:t>
      </w:r>
      <w:r w:rsidR="005E08CC" w:rsidRPr="00EA4D30">
        <w:rPr>
          <w:color w:val="auto"/>
          <w:lang w:val="en-US"/>
        </w:rPr>
        <w:t xml:space="preserve"> </w:t>
      </w:r>
      <w:r w:rsidR="002E51E0" w:rsidRPr="00EA4D30">
        <w:rPr>
          <w:color w:val="auto"/>
          <w:lang w:val="en-US"/>
        </w:rPr>
        <w:t>acquired disorder</w:t>
      </w:r>
      <w:r w:rsidR="00CC6CCE" w:rsidRPr="00EA4D30">
        <w:rPr>
          <w:color w:val="auto"/>
          <w:lang w:val="en-US"/>
        </w:rPr>
        <w:t>s</w:t>
      </w:r>
      <w:r w:rsidR="005E08CC" w:rsidRPr="00EA4D30">
        <w:rPr>
          <w:color w:val="auto"/>
          <w:lang w:val="en-US"/>
        </w:rPr>
        <w:t xml:space="preserve"> </w:t>
      </w:r>
      <w:r w:rsidR="002E51E0" w:rsidRPr="00EA4D30">
        <w:rPr>
          <w:color w:val="auto"/>
          <w:lang w:val="en-US"/>
        </w:rPr>
        <w:t xml:space="preserve">represented </w:t>
      </w:r>
      <w:r w:rsidR="00337576">
        <w:rPr>
          <w:color w:val="auto"/>
          <w:lang w:val="en-US"/>
        </w:rPr>
        <w:t xml:space="preserve">about </w:t>
      </w:r>
      <w:r w:rsidR="00337576" w:rsidRPr="00EA4D30">
        <w:rPr>
          <w:color w:val="auto"/>
          <w:lang w:val="en-US"/>
        </w:rPr>
        <w:t>2</w:t>
      </w:r>
      <w:r w:rsidR="00337576">
        <w:rPr>
          <w:color w:val="auto"/>
          <w:lang w:val="en-US"/>
        </w:rPr>
        <w:t>0</w:t>
      </w:r>
      <w:r w:rsidR="002E51E0" w:rsidRPr="00EA4D30">
        <w:rPr>
          <w:color w:val="auto"/>
          <w:lang w:val="en-US"/>
        </w:rPr>
        <w:t xml:space="preserve">% of diagnoses </w:t>
      </w:r>
      <w:r w:rsidR="00CC6CCE" w:rsidRPr="00EA4D30">
        <w:rPr>
          <w:color w:val="auto"/>
          <w:lang w:val="en-US"/>
        </w:rPr>
        <w:t>in our population</w:t>
      </w:r>
      <w:r w:rsidR="002E51E0" w:rsidRPr="00EA4D30">
        <w:rPr>
          <w:color w:val="auto"/>
          <w:lang w:val="en-US"/>
        </w:rPr>
        <w:t>.</w:t>
      </w:r>
    </w:p>
    <w:p w14:paraId="17C96003" w14:textId="00D81810" w:rsidR="00FF2706" w:rsidRPr="00EA4D30" w:rsidRDefault="00FF2706" w:rsidP="00FF2706">
      <w:pPr>
        <w:rPr>
          <w:color w:val="auto"/>
          <w:lang w:val="en-US"/>
        </w:rPr>
      </w:pPr>
      <w:r w:rsidRPr="00EA4D30">
        <w:rPr>
          <w:color w:val="auto"/>
          <w:lang w:val="en-US"/>
        </w:rPr>
        <w:t>Most primary shunt interventions amongst infants were for malformations and perinatal IVH, a trend that increased over time</w:t>
      </w:r>
      <w:r w:rsidR="00755AEE" w:rsidRPr="00EA4D30">
        <w:rPr>
          <w:color w:val="auto"/>
          <w:lang w:val="en-US"/>
        </w:rPr>
        <w:t xml:space="preserve">, </w:t>
      </w:r>
      <w:r w:rsidRPr="00EA4D30">
        <w:rPr>
          <w:color w:val="auto"/>
          <w:lang w:val="en-US"/>
        </w:rPr>
        <w:t xml:space="preserve">followed by tumours and </w:t>
      </w:r>
      <w:r w:rsidRPr="00EA4D30">
        <w:rPr>
          <w:lang w:val="en-US"/>
        </w:rPr>
        <w:t>infections</w:t>
      </w:r>
      <w:r w:rsidR="007202D0" w:rsidRPr="00EA4D30">
        <w:rPr>
          <w:lang w:val="en-US"/>
        </w:rPr>
        <w:t>,</w:t>
      </w:r>
      <w:r w:rsidRPr="00EA4D30">
        <w:rPr>
          <w:lang w:val="en-US"/>
        </w:rPr>
        <w:t xml:space="preserve"> in line with </w:t>
      </w:r>
      <w:r w:rsidR="007202D0" w:rsidRPr="00EA4D30">
        <w:rPr>
          <w:lang w:val="en-US"/>
        </w:rPr>
        <w:t>findings</w:t>
      </w:r>
      <w:r w:rsidRPr="00EA4D30">
        <w:rPr>
          <w:lang w:val="en-US"/>
        </w:rPr>
        <w:t xml:space="preserve"> of a recent review on infantile hydrocephalus</w:t>
      </w:r>
      <w:r w:rsidR="00A25054">
        <w:rPr>
          <w:color w:val="auto"/>
          <w:lang w:val="en-US"/>
        </w:rPr>
        <w:t>.</w:t>
      </w:r>
      <w:r w:rsidR="00840CB5" w:rsidRPr="00EA4D30">
        <w:rPr>
          <w:color w:val="auto"/>
          <w:lang w:val="en-US"/>
        </w:rPr>
        <w:fldChar w:fldCharType="begin"/>
      </w:r>
      <w:r w:rsidR="00342497">
        <w:rPr>
          <w:color w:val="auto"/>
          <w:lang w:val="en-US"/>
        </w:rPr>
        <w:instrText xml:space="preserve"> ADDIN ZOTERO_ITEM CSL_CITATION {"citationID":"2ijbnp8c45","properties":{"formattedCitation":"[23]","plainCitation":"[23]","noteIndex":0},"citationItems":[{"id":5988,"uris":["http://www.mendeley.com/documents/?uuid=e3bcae85-4a82-416a-a8d3-dc6e8f012054","http://zotero.org/users/3274607/items/PJUMDQIJ"],"uri":["http://www.mendeley.com/documents/?uuid=e3bcae85-4a82-416a-a8d3-dc6e8f012054","http://zotero.org/users/3274607/items/PJUMDQIJ"],"itemData":{"id":5988,"type":"article-journal","title":"Infantile hydrocephalus: A review of epidemiology, classification and causes","container-title":"European Journal of Medical Genetics","page":"359-368","volume":"57","issue":"8","source":"CrossRef","DOI":"10.1016/j.ejmg.2014.06.002","ISSN":"17697212","shortTitle":"Infantile hydrocephalus","language":"en","author":[{"family":"Tully","given":"Hannah M."},{"family":"Dobyns","given":"William B."}],"issued":{"date-parts":[["2014",8]]}}}],"schema":"https://github.com/citation-style-language/schema/raw/master/csl-citation.json"} </w:instrText>
      </w:r>
      <w:r w:rsidR="00840CB5" w:rsidRPr="00EA4D30">
        <w:rPr>
          <w:color w:val="auto"/>
          <w:lang w:val="en-US"/>
        </w:rPr>
        <w:fldChar w:fldCharType="separate"/>
      </w:r>
      <w:r w:rsidR="00342497">
        <w:rPr>
          <w:color w:val="auto"/>
          <w:lang w:val="en-US"/>
        </w:rPr>
        <w:t>[23]</w:t>
      </w:r>
      <w:r w:rsidR="00840CB5" w:rsidRPr="00EA4D30">
        <w:rPr>
          <w:color w:val="auto"/>
          <w:lang w:val="en-US"/>
        </w:rPr>
        <w:fldChar w:fldCharType="end"/>
      </w:r>
      <w:r w:rsidRPr="00EA4D30">
        <w:rPr>
          <w:color w:val="auto"/>
          <w:lang w:val="en-US"/>
        </w:rPr>
        <w:t xml:space="preserve">  </w:t>
      </w:r>
      <w:r w:rsidR="00840CB5" w:rsidRPr="00EA4D30">
        <w:rPr>
          <w:color w:val="auto"/>
          <w:lang w:val="en-US"/>
        </w:rPr>
        <w:t>O</w:t>
      </w:r>
      <w:r w:rsidRPr="00EA4D30">
        <w:rPr>
          <w:color w:val="auto"/>
          <w:lang w:val="en-US"/>
        </w:rPr>
        <w:t>ur findings</w:t>
      </w:r>
      <w:r w:rsidR="00840CB5" w:rsidRPr="00EA4D30">
        <w:rPr>
          <w:color w:val="auto"/>
          <w:lang w:val="en-US"/>
        </w:rPr>
        <w:t xml:space="preserve"> are</w:t>
      </w:r>
      <w:r w:rsidR="0027544B">
        <w:rPr>
          <w:color w:val="auto"/>
          <w:lang w:val="en-US"/>
        </w:rPr>
        <w:t xml:space="preserve"> also</w:t>
      </w:r>
      <w:r w:rsidR="00840CB5" w:rsidRPr="00EA4D30">
        <w:rPr>
          <w:color w:val="auto"/>
          <w:lang w:val="en-US"/>
        </w:rPr>
        <w:t xml:space="preserve"> consistent with </w:t>
      </w:r>
      <w:r w:rsidRPr="00EA4D30">
        <w:rPr>
          <w:color w:val="auto"/>
          <w:lang w:val="en-US"/>
        </w:rPr>
        <w:t xml:space="preserve">previous studies </w:t>
      </w:r>
      <w:r w:rsidR="00840CB5" w:rsidRPr="00EA4D30">
        <w:rPr>
          <w:color w:val="auto"/>
          <w:lang w:val="en-US"/>
        </w:rPr>
        <w:t>which</w:t>
      </w:r>
      <w:r w:rsidRPr="00EA4D30">
        <w:rPr>
          <w:color w:val="auto"/>
          <w:lang w:val="en-US"/>
        </w:rPr>
        <w:t xml:space="preserve"> found higher frequency of hydrocephalus in infant males than females</w:t>
      </w:r>
      <w:r w:rsidR="00A25054">
        <w:rPr>
          <w:color w:val="auto"/>
          <w:lang w:val="en-US"/>
        </w:rPr>
        <w:t>.</w:t>
      </w:r>
      <w:r w:rsidRPr="00EA4D30">
        <w:rPr>
          <w:color w:val="auto"/>
          <w:lang w:val="en-US"/>
        </w:rPr>
        <w:fldChar w:fldCharType="begin" w:fldLock="1"/>
      </w:r>
      <w:r w:rsidR="0025769B">
        <w:rPr>
          <w:color w:val="auto"/>
          <w:lang w:val="en-US"/>
        </w:rPr>
        <w:instrText xml:space="preserve"> ADDIN ZOTERO_ITEM CSL_CITATION {"citationID":"Dmy8VRM4","properties":{"formattedCitation":"[1,5]","plainCitation":"[1,5]","noteIndex":0},"citationItems":[{"id":5995,"uris":["http://www.mendeley.com/documents/?uuid=37bd45c8-a9fb-4710-af08-699787017ea5","http://zotero.org/users/3274607/items/8KSKQMSJ"],"uri":["http://www.mendeley.com/documents/?uuid=37bd45c8-a9fb-4710-af08-699787017ea5","http://zotero.org/users/3274607/items/8KSKQMSJ"],"itemData":{"id":5995,"type":"article-journal","title":"Hydrocephalus prevalence and outcome in a population-based cohort of children born in 1989-1998","container-title":"Acta Paediatrica","page":"726-732","volume":"94","DOI":"10.1080/08033250510027336","ISSN":"16-51 -2227","author":[{"family":"Persson","given":"Eva-Karin"},{"family":"Hagberg","given":"Gudrun"},{"family":"Uvebrant","given":"Paul"}],"issued":{"date-parts":[["2005"]]}}},{"id":6158,"uris":["http://zotero.org/users/3274607/items/KQ4HTMPH"],"uri":["http://zotero.org/users/3274607/items/KQ4HTMPH"],"itemData":{"id":6158,"type":"article-journal","title":"Global hydrocephalus epidemiology and incidence: systematic review and meta-analysis","container-title":"Journal of Neurosurgery","page":"1-15","source":"Crossref","DOI":"10.3171/2017.10.JNS17439","ISSN":"0022-3085","shortTitle":"Global hydrocephalus epidemiology and incidence","language":"en","author":[{"family":"Dewan","given":"Michael C."},{"family":"Rattani","given":"Abbas"},{"family":"Mekary","given":"Rania"},{"family":"Glancz","given":"Laurence J."},{"family":"Yunusa","given":"Ismaeel"},{"family":"Baticulon","given":"Ronnie E."},{"family":"Fieggen","given":"Graham"},{"family":"Wellons","given":"John C."},{"family":"Park","given":"Kee B."},{"family":"Warf","given":"Benjamin C."}],"issued":{"date-parts":[["2018",4,27]]}}}],"schema":"https://github.com/citation-style-language/schema/raw/master/csl-citation.json"} </w:instrText>
      </w:r>
      <w:r w:rsidRPr="00EA4D30">
        <w:rPr>
          <w:color w:val="auto"/>
          <w:lang w:val="en-US"/>
        </w:rPr>
        <w:fldChar w:fldCharType="separate"/>
      </w:r>
      <w:r w:rsidR="0025769B">
        <w:rPr>
          <w:color w:val="auto"/>
          <w:lang w:val="en-US"/>
        </w:rPr>
        <w:t>[1,5]</w:t>
      </w:r>
      <w:r w:rsidRPr="00EA4D30">
        <w:rPr>
          <w:color w:val="auto"/>
          <w:lang w:val="en-US"/>
        </w:rPr>
        <w:fldChar w:fldCharType="end"/>
      </w:r>
    </w:p>
    <w:p w14:paraId="2375158E" w14:textId="77777777" w:rsidR="00FF2706" w:rsidRPr="00EA4D30" w:rsidRDefault="00FF2706" w:rsidP="00FF2706">
      <w:pPr>
        <w:pStyle w:val="Heading2"/>
        <w:rPr>
          <w:color w:val="auto"/>
          <w:lang w:val="en-US"/>
        </w:rPr>
      </w:pPr>
      <w:r w:rsidRPr="00EA4D30">
        <w:rPr>
          <w:color w:val="auto"/>
        </w:rPr>
        <w:t>Shunt surgery in children</w:t>
      </w:r>
    </w:p>
    <w:p w14:paraId="5DC8A07B" w14:textId="29A1D04D" w:rsidR="00FF2706" w:rsidRPr="00EA4D30" w:rsidRDefault="00FF2706" w:rsidP="00FF2706">
      <w:pPr>
        <w:rPr>
          <w:color w:val="auto"/>
          <w:lang w:val="en-US"/>
        </w:rPr>
      </w:pPr>
      <w:r w:rsidRPr="00EA4D30">
        <w:rPr>
          <w:color w:val="auto"/>
          <w:lang w:val="en-US"/>
        </w:rPr>
        <w:t xml:space="preserve">Children had the lowest incidence of primary shunt insertions as compared to the other two age groups, </w:t>
      </w:r>
      <w:r w:rsidR="004C7EE7" w:rsidRPr="00EA4D30">
        <w:rPr>
          <w:color w:val="auto"/>
          <w:lang w:val="en-US"/>
        </w:rPr>
        <w:t>with</w:t>
      </w:r>
      <w:r w:rsidRPr="00EA4D30">
        <w:rPr>
          <w:color w:val="auto"/>
          <w:lang w:val="en-US"/>
        </w:rPr>
        <w:t xml:space="preserve"> 2.</w:t>
      </w:r>
      <w:r w:rsidR="009056DD">
        <w:rPr>
          <w:color w:val="auto"/>
          <w:lang w:val="en-US"/>
        </w:rPr>
        <w:t>0</w:t>
      </w:r>
      <w:r w:rsidR="009056DD" w:rsidRPr="00EA4D30">
        <w:rPr>
          <w:color w:val="auto"/>
          <w:lang w:val="en-US"/>
        </w:rPr>
        <w:t xml:space="preserve"> </w:t>
      </w:r>
      <w:r w:rsidRPr="00EA4D30">
        <w:rPr>
          <w:color w:val="auto"/>
          <w:lang w:val="en-US"/>
        </w:rPr>
        <w:t>primary shunt insertions per 100000 person-years</w:t>
      </w:r>
      <w:r w:rsidR="004C7EE7" w:rsidRPr="00EA4D30">
        <w:rPr>
          <w:color w:val="auto"/>
          <w:lang w:val="en-US"/>
        </w:rPr>
        <w:t xml:space="preserve"> and</w:t>
      </w:r>
      <w:r w:rsidRPr="00EA4D30">
        <w:rPr>
          <w:color w:val="auto"/>
          <w:lang w:val="en-US"/>
        </w:rPr>
        <w:t xml:space="preserve"> 2.</w:t>
      </w:r>
      <w:r w:rsidR="009056DD">
        <w:rPr>
          <w:color w:val="auto"/>
          <w:lang w:val="en-US"/>
        </w:rPr>
        <w:t>4</w:t>
      </w:r>
      <w:r w:rsidR="009056DD" w:rsidRPr="00EA4D30">
        <w:rPr>
          <w:color w:val="auto"/>
          <w:lang w:val="en-US"/>
        </w:rPr>
        <w:t xml:space="preserve"> </w:t>
      </w:r>
      <w:r w:rsidRPr="00EA4D30">
        <w:rPr>
          <w:color w:val="auto"/>
          <w:lang w:val="en-US"/>
        </w:rPr>
        <w:t xml:space="preserve">after accounting for case ascertainment. We are not aware of previous </w:t>
      </w:r>
      <w:r w:rsidR="0077049F" w:rsidRPr="00EA4D30">
        <w:rPr>
          <w:color w:val="auto"/>
          <w:lang w:val="en-US"/>
        </w:rPr>
        <w:t>reports</w:t>
      </w:r>
      <w:r w:rsidRPr="00EA4D30">
        <w:rPr>
          <w:color w:val="auto"/>
          <w:lang w:val="en-US"/>
        </w:rPr>
        <w:t xml:space="preserve"> on the incidence of shunt surgery </w:t>
      </w:r>
      <w:r w:rsidR="00840CB5" w:rsidRPr="00EA4D30">
        <w:rPr>
          <w:color w:val="auto"/>
          <w:lang w:val="en-US"/>
        </w:rPr>
        <w:t xml:space="preserve">that have distinguished children from infants. </w:t>
      </w:r>
      <w:r w:rsidRPr="00EA4D30">
        <w:rPr>
          <w:color w:val="auto"/>
          <w:lang w:val="en-US"/>
        </w:rPr>
        <w:t>A</w:t>
      </w:r>
      <w:r w:rsidR="00A812DC" w:rsidRPr="00EA4D30">
        <w:rPr>
          <w:color w:val="auto"/>
          <w:lang w:val="en-US"/>
        </w:rPr>
        <w:t xml:space="preserve"> </w:t>
      </w:r>
      <w:r w:rsidRPr="00EA4D30">
        <w:rPr>
          <w:color w:val="auto"/>
          <w:lang w:val="en-US"/>
        </w:rPr>
        <w:t>study in California</w:t>
      </w:r>
      <w:r w:rsidR="00840CB5" w:rsidRPr="00EA4D30">
        <w:rPr>
          <w:color w:val="auto"/>
          <w:lang w:val="en-US"/>
        </w:rPr>
        <w:t xml:space="preserve"> (1990-2000)</w:t>
      </w:r>
      <w:r w:rsidRPr="00EA4D30">
        <w:rPr>
          <w:color w:val="auto"/>
          <w:lang w:val="en-US"/>
        </w:rPr>
        <w:t xml:space="preserve"> reported </w:t>
      </w:r>
      <w:r w:rsidR="00840CB5" w:rsidRPr="00EA4D30">
        <w:rPr>
          <w:color w:val="auto"/>
          <w:lang w:val="en-US"/>
        </w:rPr>
        <w:t xml:space="preserve">a </w:t>
      </w:r>
      <w:r w:rsidRPr="00EA4D30">
        <w:rPr>
          <w:color w:val="auto"/>
          <w:lang w:val="en-US"/>
        </w:rPr>
        <w:t>slightly lower proportion of both infants and children who had a shunt insertion than in our study</w:t>
      </w:r>
      <w:r w:rsidR="00A25054">
        <w:rPr>
          <w:color w:val="auto"/>
          <w:lang w:val="en-US"/>
        </w:rPr>
        <w:t>.</w:t>
      </w:r>
      <w:r w:rsidRPr="00EA4D30">
        <w:rPr>
          <w:color w:val="auto"/>
        </w:rPr>
        <w:fldChar w:fldCharType="begin"/>
      </w:r>
      <w:r w:rsidR="0025769B">
        <w:rPr>
          <w:color w:val="auto"/>
        </w:rPr>
        <w:instrText xml:space="preserve"> ADDIN ZOTERO_ITEM CSL_CITATION {"citationID":"1ki1kmgeue","properties":{"formattedCitation":"[11]","plainCitation":"[11]","noteIndex":0},"citationItems":[{"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R."},{"family":"Zhao","given":"Shoujun"},{"family":"Gupta","given":"Nalin"}],"issued":{"date-parts":[["2007"]]}}}],"schema":"https://github.com/citation-style-language/schema/raw/master/csl-citation.json"} </w:instrText>
      </w:r>
      <w:r w:rsidRPr="00EA4D30">
        <w:rPr>
          <w:color w:val="auto"/>
        </w:rPr>
        <w:fldChar w:fldCharType="separate"/>
      </w:r>
      <w:r w:rsidR="0025769B">
        <w:rPr>
          <w:color w:val="auto"/>
        </w:rPr>
        <w:t>[11]</w:t>
      </w:r>
      <w:r w:rsidRPr="00EA4D30">
        <w:rPr>
          <w:color w:val="auto"/>
        </w:rPr>
        <w:fldChar w:fldCharType="end"/>
      </w:r>
      <w:r w:rsidRPr="00EA4D30">
        <w:rPr>
          <w:color w:val="auto"/>
          <w:lang w:val="en-US"/>
        </w:rPr>
        <w:t xml:space="preserve"> </w:t>
      </w:r>
    </w:p>
    <w:p w14:paraId="3DB94CFC" w14:textId="1F8AA4C5" w:rsidR="00FF2706" w:rsidRPr="00EA4D30" w:rsidRDefault="00FF2706" w:rsidP="005403ED">
      <w:pPr>
        <w:rPr>
          <w:color w:val="C00000"/>
          <w:lang w:val="en-US"/>
        </w:rPr>
      </w:pPr>
      <w:r w:rsidRPr="00EA4D30">
        <w:rPr>
          <w:color w:val="auto"/>
          <w:lang w:val="en-US"/>
        </w:rPr>
        <w:t xml:space="preserve">The </w:t>
      </w:r>
      <w:r w:rsidR="000C56E7" w:rsidRPr="00EA4D30">
        <w:rPr>
          <w:color w:val="auto"/>
          <w:lang w:val="en-US"/>
        </w:rPr>
        <w:t>commonest</w:t>
      </w:r>
      <w:r w:rsidRPr="00EA4D30">
        <w:rPr>
          <w:color w:val="auto"/>
          <w:lang w:val="en-US"/>
        </w:rPr>
        <w:t xml:space="preserve"> diagnoses underlying the first shunt were</w:t>
      </w:r>
      <w:r w:rsidR="00840CB5" w:rsidRPr="00EA4D30">
        <w:rPr>
          <w:color w:val="auto"/>
          <w:lang w:val="en-US"/>
        </w:rPr>
        <w:t xml:space="preserve"> </w:t>
      </w:r>
      <w:r w:rsidRPr="00EA4D30">
        <w:rPr>
          <w:color w:val="auto"/>
          <w:lang w:val="en-US"/>
        </w:rPr>
        <w:t xml:space="preserve">tumours </w:t>
      </w:r>
      <w:r w:rsidR="00840CB5" w:rsidRPr="00EA4D30">
        <w:rPr>
          <w:color w:val="auto"/>
          <w:lang w:val="en-US"/>
        </w:rPr>
        <w:t>(</w:t>
      </w:r>
      <w:r w:rsidRPr="00EA4D30">
        <w:rPr>
          <w:color w:val="auto"/>
          <w:lang w:val="en-US"/>
        </w:rPr>
        <w:t>two in five children</w:t>
      </w:r>
      <w:r w:rsidR="00840CB5" w:rsidRPr="00EA4D30">
        <w:rPr>
          <w:color w:val="auto"/>
          <w:lang w:val="en-US"/>
        </w:rPr>
        <w:t>)</w:t>
      </w:r>
      <w:r w:rsidRPr="00EA4D30">
        <w:rPr>
          <w:color w:val="auto"/>
          <w:lang w:val="en-US"/>
        </w:rPr>
        <w:t xml:space="preserve"> followed by malformations and </w:t>
      </w:r>
      <w:r w:rsidR="00840CB5" w:rsidRPr="00EA4D30">
        <w:rPr>
          <w:color w:val="auto"/>
          <w:lang w:val="en-US"/>
        </w:rPr>
        <w:t xml:space="preserve">a history of perinatal </w:t>
      </w:r>
      <w:r w:rsidRPr="00EA4D30">
        <w:rPr>
          <w:color w:val="auto"/>
          <w:lang w:val="en-US"/>
        </w:rPr>
        <w:t>IVH</w:t>
      </w:r>
      <w:r w:rsidR="00840CB5" w:rsidRPr="00EA4D30">
        <w:rPr>
          <w:color w:val="auto"/>
          <w:lang w:val="en-US"/>
        </w:rPr>
        <w:t xml:space="preserve"> in the youngest children</w:t>
      </w:r>
      <w:r w:rsidRPr="00EA4D30">
        <w:rPr>
          <w:color w:val="auto"/>
          <w:lang w:val="en-US"/>
        </w:rPr>
        <w:t xml:space="preserve">. </w:t>
      </w:r>
      <w:r w:rsidRPr="00EA4D30">
        <w:rPr>
          <w:color w:val="auto"/>
        </w:rPr>
        <w:t xml:space="preserve">The incidence of tumours of the </w:t>
      </w:r>
      <w:r w:rsidR="003E2F3F" w:rsidRPr="00EA4D30">
        <w:rPr>
          <w:color w:val="auto"/>
        </w:rPr>
        <w:t>CNS</w:t>
      </w:r>
      <w:r w:rsidRPr="00EA4D30">
        <w:rPr>
          <w:color w:val="auto"/>
        </w:rPr>
        <w:t xml:space="preserve"> is higher in younger children than in adolescents, although it increases with age during the adulthood</w:t>
      </w:r>
      <w:r w:rsidR="00A25054">
        <w:rPr>
          <w:color w:val="auto"/>
        </w:rPr>
        <w:t>.</w:t>
      </w:r>
      <w:r w:rsidRPr="00EA4D30">
        <w:rPr>
          <w:color w:val="auto"/>
        </w:rPr>
        <w:fldChar w:fldCharType="begin"/>
      </w:r>
      <w:r w:rsidR="00342497">
        <w:rPr>
          <w:color w:val="auto"/>
        </w:rPr>
        <w:instrText xml:space="preserve"> ADDIN ZOTERO_ITEM CSL_CITATION {"citationID":"15rejo28fm","properties":{"formattedCitation":"[24]","plainCitation":"[24]","noteIndex":0},"citationItems":[{"id":6137,"uris":["http://zotero.org/users/3274607/items/JNT7ND7E"],"uri":["http://zotero.org/users/3274607/items/JNT7ND7E"],"itemData":{"id":6137,"type":"article-journal","title":"Brain Tumors: From Childhood Through Adolescence Into Adulthood","container-title":"Journal of Clinical Oncology","page":"4783-4789","volume":"28","issue":"32","source":"CrossRef","DOI":"10.1200/JCO.2010.28.3481","ISSN":"0732-183X, 1527-7755","shortTitle":"Brain Tumors","language":"en","author":[{"family":"Kieran","given":"Mark W."},{"family":"Walker","given":"David"},{"family":"Frappaz","given":"Didier"},{"family":"Prados","given":"Michael"}],"issued":{"date-parts":[["2010",11,10]]}}}],"schema":"https://github.com/citation-style-language/schema/raw/master/csl-citation.json"} </w:instrText>
      </w:r>
      <w:r w:rsidRPr="00EA4D30">
        <w:rPr>
          <w:color w:val="auto"/>
        </w:rPr>
        <w:fldChar w:fldCharType="separate"/>
      </w:r>
      <w:r w:rsidR="00342497">
        <w:rPr>
          <w:color w:val="auto"/>
        </w:rPr>
        <w:t>[24]</w:t>
      </w:r>
      <w:r w:rsidRPr="00EA4D30">
        <w:rPr>
          <w:color w:val="auto"/>
        </w:rPr>
        <w:fldChar w:fldCharType="end"/>
      </w:r>
      <w:r w:rsidRPr="00EA4D30">
        <w:rPr>
          <w:color w:val="auto"/>
        </w:rPr>
        <w:t xml:space="preserve"> </w:t>
      </w:r>
      <w:r w:rsidR="00840CB5" w:rsidRPr="00EA4D30">
        <w:rPr>
          <w:color w:val="auto"/>
        </w:rPr>
        <w:t>Although</w:t>
      </w:r>
      <w:r w:rsidRPr="00EA4D30">
        <w:rPr>
          <w:color w:val="auto"/>
        </w:rPr>
        <w:t xml:space="preserve"> malformations and </w:t>
      </w:r>
      <w:r w:rsidR="00840CB5" w:rsidRPr="00EA4D30">
        <w:rPr>
          <w:color w:val="auto"/>
        </w:rPr>
        <w:t xml:space="preserve">perinatal </w:t>
      </w:r>
      <w:r w:rsidRPr="00EA4D30">
        <w:rPr>
          <w:color w:val="auto"/>
        </w:rPr>
        <w:t xml:space="preserve">IVH are </w:t>
      </w:r>
      <w:r w:rsidR="00840CB5" w:rsidRPr="00EA4D30">
        <w:rPr>
          <w:color w:val="auto"/>
        </w:rPr>
        <w:t>present at or soon after</w:t>
      </w:r>
      <w:r w:rsidRPr="00EA4D30">
        <w:rPr>
          <w:color w:val="auto"/>
        </w:rPr>
        <w:t xml:space="preserve"> at birth, hydrocephalus </w:t>
      </w:r>
      <w:r w:rsidR="00840CB5" w:rsidRPr="00EA4D30">
        <w:rPr>
          <w:color w:val="auto"/>
        </w:rPr>
        <w:t xml:space="preserve">may not become symptomatic </w:t>
      </w:r>
      <w:r w:rsidR="00621C5A" w:rsidRPr="00EA4D30">
        <w:rPr>
          <w:color w:val="auto"/>
        </w:rPr>
        <w:t xml:space="preserve">and require a shunt </w:t>
      </w:r>
      <w:r w:rsidR="00840CB5" w:rsidRPr="00EA4D30">
        <w:rPr>
          <w:color w:val="auto"/>
        </w:rPr>
        <w:t>immediately</w:t>
      </w:r>
      <w:r w:rsidR="00621C5A" w:rsidRPr="00EA4D30">
        <w:rPr>
          <w:color w:val="auto"/>
        </w:rPr>
        <w:t xml:space="preserve"> or at all</w:t>
      </w:r>
      <w:r w:rsidR="00A25054">
        <w:rPr>
          <w:color w:val="auto"/>
        </w:rPr>
        <w:t>.</w:t>
      </w:r>
      <w:r w:rsidRPr="00EA4D30">
        <w:rPr>
          <w:color w:val="auto"/>
        </w:rPr>
        <w:fldChar w:fldCharType="begin"/>
      </w:r>
      <w:r w:rsidR="00342497">
        <w:rPr>
          <w:color w:val="auto"/>
        </w:rPr>
        <w:instrText xml:space="preserve"> ADDIN ZOTERO_ITEM CSL_CITATION {"citationID":"2fqar26m90","properties":{"formattedCitation":"[25]","plainCitation":"[25]","noteIndex":0},"citationItems":[{"id":6140,"uris":["http://zotero.org/users/3274607/items/V7WWKKTQ"],"uri":["http://zotero.org/users/3274607/items/V7WWKKTQ"],"itemData":{"id":6140,"type":"article-journal","title":"Treatment of Hydrocephalus in Adults","container-title":"Seminars in Pediatric Neurology","page":"34-41","volume":"16","issue":"1","source":"CrossRef","DOI":"10.1016/j.spen.2009.02.001","ISSN":"10719091","language":"en","author":[{"family":"Hamilton","given":"Mark G."}],"issued":{"date-parts":[["2009",3]]}}}],"schema":"https://github.com/citation-style-language/schema/raw/master/csl-citation.json"} </w:instrText>
      </w:r>
      <w:r w:rsidRPr="00EA4D30">
        <w:rPr>
          <w:color w:val="auto"/>
        </w:rPr>
        <w:fldChar w:fldCharType="separate"/>
      </w:r>
      <w:r w:rsidR="00342497">
        <w:rPr>
          <w:color w:val="auto"/>
        </w:rPr>
        <w:t>[25]</w:t>
      </w:r>
      <w:r w:rsidRPr="00EA4D30">
        <w:rPr>
          <w:color w:val="auto"/>
        </w:rPr>
        <w:fldChar w:fldCharType="end"/>
      </w:r>
    </w:p>
    <w:p w14:paraId="08CB43E1" w14:textId="77777777" w:rsidR="00FF2706" w:rsidRPr="00EA4D30" w:rsidRDefault="00FF2706" w:rsidP="00FF2706">
      <w:pPr>
        <w:pStyle w:val="Heading2"/>
        <w:rPr>
          <w:color w:val="auto"/>
          <w:lang w:val="en-US"/>
        </w:rPr>
      </w:pPr>
      <w:r w:rsidRPr="00EA4D30">
        <w:rPr>
          <w:color w:val="auto"/>
        </w:rPr>
        <w:t>Shunt surgery in adults</w:t>
      </w:r>
    </w:p>
    <w:p w14:paraId="7BC39A3E" w14:textId="37AC3641" w:rsidR="00FA4CF2" w:rsidRPr="00EA4D30" w:rsidRDefault="00703860" w:rsidP="00FF2706">
      <w:pPr>
        <w:rPr>
          <w:color w:val="C00000"/>
          <w:lang w:val="en-US"/>
        </w:rPr>
      </w:pPr>
      <w:r w:rsidRPr="00EA4D30">
        <w:rPr>
          <w:color w:val="auto"/>
        </w:rPr>
        <w:t>We</w:t>
      </w:r>
      <w:r w:rsidR="00FF2706" w:rsidRPr="00EA4D30">
        <w:rPr>
          <w:color w:val="auto"/>
        </w:rPr>
        <w:t xml:space="preserve"> found an incidence rate of </w:t>
      </w:r>
      <w:r w:rsidR="005763BF">
        <w:rPr>
          <w:color w:val="auto"/>
        </w:rPr>
        <w:t>2.9</w:t>
      </w:r>
      <w:r w:rsidR="00FF2706" w:rsidRPr="00EA4D30">
        <w:rPr>
          <w:color w:val="auto"/>
        </w:rPr>
        <w:t xml:space="preserve"> primary insertions per 100000 person-years</w:t>
      </w:r>
      <w:r w:rsidR="00771691">
        <w:rPr>
          <w:color w:val="auto"/>
        </w:rPr>
        <w:t xml:space="preserve"> among adults</w:t>
      </w:r>
      <w:r w:rsidR="00FF2706" w:rsidRPr="00EA4D30">
        <w:rPr>
          <w:color w:val="auto"/>
        </w:rPr>
        <w:t xml:space="preserve">, </w:t>
      </w:r>
      <w:r w:rsidR="00DD50A6">
        <w:rPr>
          <w:color w:val="auto"/>
        </w:rPr>
        <w:t>3.5</w:t>
      </w:r>
      <w:r w:rsidR="00FF2706" w:rsidRPr="00EA4D30">
        <w:rPr>
          <w:color w:val="auto"/>
        </w:rPr>
        <w:t xml:space="preserve"> after accounting for case ascertainment</w:t>
      </w:r>
      <w:r w:rsidR="00A404DF" w:rsidRPr="00EA4D30">
        <w:rPr>
          <w:color w:val="auto"/>
        </w:rPr>
        <w:t>.</w:t>
      </w:r>
      <w:r w:rsidR="00FC704E" w:rsidRPr="00EA4D30">
        <w:rPr>
          <w:color w:val="auto"/>
        </w:rPr>
        <w:t xml:space="preserve"> </w:t>
      </w:r>
      <w:r w:rsidR="00A404DF" w:rsidRPr="00EA4D30">
        <w:rPr>
          <w:color w:val="auto"/>
          <w:lang w:val="en-US"/>
        </w:rPr>
        <w:t>Tumours, post-haemorrhagic hydrocephalus, iNPH and IIH were the commonest specific diagnostic groups.</w:t>
      </w:r>
      <w:r w:rsidR="00A404DF" w:rsidRPr="00EA4D30">
        <w:rPr>
          <w:color w:val="C00000"/>
          <w:lang w:val="en-US"/>
        </w:rPr>
        <w:t xml:space="preserve"> </w:t>
      </w:r>
      <w:r w:rsidR="00A404DF" w:rsidRPr="00EA4D30">
        <w:rPr>
          <w:lang w:val="en-US"/>
        </w:rPr>
        <w:t>Incidence rate in our cohort</w:t>
      </w:r>
      <w:r w:rsidR="00FC704E" w:rsidRPr="00EA4D30">
        <w:t xml:space="preserve"> </w:t>
      </w:r>
      <w:r w:rsidR="00771691">
        <w:t>was</w:t>
      </w:r>
      <w:r w:rsidR="00771691" w:rsidRPr="00EA4D30">
        <w:t xml:space="preserve"> </w:t>
      </w:r>
      <w:r w:rsidR="00FF2706" w:rsidRPr="00EA4D30">
        <w:rPr>
          <w:color w:val="auto"/>
        </w:rPr>
        <w:t>lower than</w:t>
      </w:r>
      <w:r w:rsidR="00FF2706" w:rsidRPr="00EA4D30">
        <w:rPr>
          <w:color w:val="auto"/>
          <w:lang w:val="en-US"/>
        </w:rPr>
        <w:t xml:space="preserve"> that reported in a recent smaller study on adult shunt surgery epidemiology in Sweden of 4.7</w:t>
      </w:r>
      <w:r w:rsidR="00A25054">
        <w:rPr>
          <w:color w:val="auto"/>
          <w:lang w:val="en-US"/>
        </w:rPr>
        <w:t>.</w:t>
      </w:r>
      <w:r w:rsidR="00FF2706" w:rsidRPr="00EA4D30">
        <w:rPr>
          <w:color w:val="auto"/>
        </w:rPr>
        <w:fldChar w:fldCharType="begin"/>
      </w:r>
      <w:r w:rsidR="0025769B">
        <w:rPr>
          <w:color w:val="auto"/>
        </w:rPr>
        <w:instrText xml:space="preserve"> ADDIN ZOTERO_ITEM CSL_CITATION {"citationID":"GSfKUZPh","properties":{"formattedCitation":"[15]","plainCitation":"[15]","noteIndex":0},"citationItems":[{"id":6065,"uris":["http://zotero.org/users/3274607/items/CXIPGEHU"],"uri":["http://zotero.org/users/3274607/items/CXIPGEHU"],"itemData":{"id":6065,"type":"article-journal","title":"Incidence and outcome of surgery for adult hydrocephalus patients in Sweden","container-title":"British Journal of Neurosurgery","page":"21-27","volume":"31","issue":"1","source":"CrossRef","DOI":"10.1080/02688697.2016.1229749","ISSN":"0268-8697, 1360-046X","language":"en","author":[{"family":"Sundström","given":"Nina"},{"family":"Malm","given":"Jan"},{"family":"Laurell","given":"Katarina"},{"family":"Lundin","given":"Fredrik"},{"family":"Kahlon","given":"Babar"},{"family":"Cesarini","given":"Kristina G"},{"family":"Leijon","given":"Göran"},{"family":"Wikkelsö","given":"Carsten"}],"issued":{"date-parts":[["2017",1,2]]}}}],"schema":"https://github.com/citation-style-language/schema/raw/master/csl-citation.json"} </w:instrText>
      </w:r>
      <w:r w:rsidR="00FF2706" w:rsidRPr="00EA4D30">
        <w:rPr>
          <w:color w:val="auto"/>
        </w:rPr>
        <w:fldChar w:fldCharType="separate"/>
      </w:r>
      <w:r w:rsidR="0025769B">
        <w:rPr>
          <w:color w:val="auto"/>
        </w:rPr>
        <w:t>[15]</w:t>
      </w:r>
      <w:r w:rsidR="00FF2706" w:rsidRPr="00EA4D30">
        <w:rPr>
          <w:color w:val="auto"/>
        </w:rPr>
        <w:fldChar w:fldCharType="end"/>
      </w:r>
      <w:r w:rsidR="00FF2706" w:rsidRPr="00EA4D30">
        <w:rPr>
          <w:color w:val="auto"/>
        </w:rPr>
        <w:t xml:space="preserve"> </w:t>
      </w:r>
      <w:r w:rsidR="00D56F41" w:rsidRPr="00EA4D30">
        <w:rPr>
          <w:color w:val="auto"/>
        </w:rPr>
        <w:t>A key difference between the two studies is the</w:t>
      </w:r>
      <w:r w:rsidR="00D56F41" w:rsidRPr="00EA4D30">
        <w:rPr>
          <w:color w:val="C00000"/>
        </w:rPr>
        <w:t xml:space="preserve"> </w:t>
      </w:r>
      <w:r w:rsidR="00D56F41" w:rsidRPr="00EA4D30">
        <w:t xml:space="preserve">incidence </w:t>
      </w:r>
      <w:r w:rsidR="00D56F41" w:rsidRPr="00EA4D30">
        <w:rPr>
          <w:color w:val="auto"/>
        </w:rPr>
        <w:t>of patients with iNPH, which was 2.2 per 100000 person-years in the Swedish cohort versus 0.5 (</w:t>
      </w:r>
      <w:r w:rsidR="00DA379F" w:rsidRPr="00EA4D30">
        <w:rPr>
          <w:color w:val="auto"/>
        </w:rPr>
        <w:t>1</w:t>
      </w:r>
      <w:r w:rsidR="00DA379F">
        <w:rPr>
          <w:color w:val="auto"/>
        </w:rPr>
        <w:t>4</w:t>
      </w:r>
      <w:r w:rsidR="00D56F41" w:rsidRPr="00EA4D30">
        <w:rPr>
          <w:color w:val="auto"/>
        </w:rPr>
        <w:t xml:space="preserve">% of </w:t>
      </w:r>
      <w:r w:rsidR="00DA379F">
        <w:rPr>
          <w:color w:val="auto"/>
        </w:rPr>
        <w:t>3.5</w:t>
      </w:r>
      <w:r w:rsidR="00D56F41" w:rsidRPr="00EA4D30">
        <w:rPr>
          <w:color w:val="auto"/>
        </w:rPr>
        <w:t xml:space="preserve">) per 100000 person-years in our cohort, </w:t>
      </w:r>
      <w:r w:rsidR="00D56F41" w:rsidRPr="00EA4D30">
        <w:rPr>
          <w:color w:val="auto"/>
          <w:lang w:val="en-US"/>
        </w:rPr>
        <w:t>despite similar population pyramids in both countries</w:t>
      </w:r>
      <w:r w:rsidR="00A25054">
        <w:rPr>
          <w:color w:val="auto"/>
          <w:lang w:val="en-US"/>
        </w:rPr>
        <w:t>.</w:t>
      </w:r>
      <w:r w:rsidR="00D56F41" w:rsidRPr="00EA4D30">
        <w:rPr>
          <w:color w:val="auto"/>
          <w:lang w:val="en-US"/>
        </w:rPr>
        <w:fldChar w:fldCharType="begin"/>
      </w:r>
      <w:r w:rsidR="00342497">
        <w:rPr>
          <w:color w:val="auto"/>
          <w:lang w:val="en-US"/>
        </w:rPr>
        <w:instrText xml:space="preserve"> ADDIN ZOTERO_ITEM CSL_CITATION {"citationID":"ggm4dt0gi","properties":{"formattedCitation":"[26]","plainCitation":"[26]","noteIndex":0},"citationItems":[{"id":6110,"uris":["http://zotero.org/users/3274607/items/REXHUEWT"],"uri":["http://zotero.org/users/3274607/items/REXHUEWT"],"itemData":{"id":6110,"type":"webpage","title":"2011 Census","URL":"https://ec.europa.eu/CensusHub2/query.do?step=selectHyperCube&amp;qhc=false","author":[{"family":"European Statistical System","given":""}],"accessed":{"date-parts":[["2018",3,20]]}}}],"schema":"https://github.com/citation-style-language/schema/raw/master/csl-citation.json"} </w:instrText>
      </w:r>
      <w:r w:rsidR="00D56F41" w:rsidRPr="00EA4D30">
        <w:rPr>
          <w:color w:val="auto"/>
          <w:lang w:val="en-US"/>
        </w:rPr>
        <w:fldChar w:fldCharType="separate"/>
      </w:r>
      <w:r w:rsidR="00342497">
        <w:rPr>
          <w:color w:val="auto"/>
          <w:lang w:val="en-US"/>
        </w:rPr>
        <w:t>[26]</w:t>
      </w:r>
      <w:r w:rsidR="00D56F41" w:rsidRPr="00EA4D30">
        <w:rPr>
          <w:color w:val="auto"/>
          <w:lang w:val="en-US"/>
        </w:rPr>
        <w:fldChar w:fldCharType="end"/>
      </w:r>
      <w:r w:rsidR="00D56F41" w:rsidRPr="00EA4D30">
        <w:rPr>
          <w:color w:val="C00000"/>
          <w:lang w:val="en-US"/>
        </w:rPr>
        <w:t xml:space="preserve"> </w:t>
      </w:r>
      <w:r w:rsidR="00D56F41" w:rsidRPr="00EA4D30">
        <w:rPr>
          <w:color w:val="auto"/>
          <w:lang w:val="en-US"/>
        </w:rPr>
        <w:t xml:space="preserve">There </w:t>
      </w:r>
      <w:r w:rsidR="00D56F41" w:rsidRPr="00EA4D30">
        <w:rPr>
          <w:color w:val="auto"/>
          <w:lang w:val="en-US"/>
        </w:rPr>
        <w:lastRenderedPageBreak/>
        <w:t>was a</w:t>
      </w:r>
      <w:r w:rsidR="00857D69">
        <w:rPr>
          <w:color w:val="auto"/>
          <w:lang w:val="en-US"/>
        </w:rPr>
        <w:t>n</w:t>
      </w:r>
      <w:r w:rsidR="00D56F41" w:rsidRPr="00EA4D30">
        <w:rPr>
          <w:color w:val="auto"/>
          <w:lang w:val="en-US"/>
        </w:rPr>
        <w:t xml:space="preserve"> increase in iNPH patients in our cohort over time. </w:t>
      </w:r>
      <w:r w:rsidR="000A4DEE" w:rsidRPr="00EA4D30">
        <w:rPr>
          <w:color w:val="auto"/>
          <w:lang w:val="en-US"/>
        </w:rPr>
        <w:t>Prevalence rates</w:t>
      </w:r>
      <w:r w:rsidR="00A404DF" w:rsidRPr="00EA4D30">
        <w:rPr>
          <w:color w:val="auto"/>
          <w:lang w:val="en-US"/>
        </w:rPr>
        <w:t xml:space="preserve"> of iNPH</w:t>
      </w:r>
      <w:r w:rsidR="000A4DEE" w:rsidRPr="00EA4D30">
        <w:rPr>
          <w:color w:val="auto"/>
          <w:lang w:val="en-US"/>
        </w:rPr>
        <w:t xml:space="preserve"> </w:t>
      </w:r>
      <w:r w:rsidR="00557CB1" w:rsidRPr="00EA4D30">
        <w:rPr>
          <w:color w:val="auto"/>
          <w:lang w:val="en-US"/>
        </w:rPr>
        <w:t>have also been found to</w:t>
      </w:r>
      <w:r w:rsidR="000A4DEE" w:rsidRPr="00EA4D30">
        <w:rPr>
          <w:color w:val="auto"/>
          <w:lang w:val="en-US"/>
        </w:rPr>
        <w:t xml:space="preserve"> vary between countries</w:t>
      </w:r>
      <w:r w:rsidR="00A25054">
        <w:rPr>
          <w:color w:val="auto"/>
          <w:lang w:val="en-US"/>
        </w:rPr>
        <w:t>.</w:t>
      </w:r>
      <w:r w:rsidR="000A4DEE" w:rsidRPr="00EA4D30">
        <w:rPr>
          <w:color w:val="auto"/>
          <w:lang w:val="en-US"/>
        </w:rPr>
        <w:fldChar w:fldCharType="begin"/>
      </w:r>
      <w:r w:rsidR="00342497">
        <w:rPr>
          <w:color w:val="auto"/>
          <w:lang w:val="en-US"/>
        </w:rPr>
        <w:instrText xml:space="preserve"> ADDIN ZOTERO_ITEM CSL_CITATION {"citationID":"1mm35rdjbo","properties":{"formattedCitation":"[27]","plainCitation":"[27]","noteIndex":0},"citationItems":[{"id":5810,"uris":["http://zotero.org/users/3274607/items/I6S2TR2M"],"uri":["http://zotero.org/users/3274607/items/I6S2TR2M"],"itemData":{"id":5810,"type":"article-journal","title":"Epidemiology of Idiopathic Normal Pressure Hydrocephalus: A Systematic Review of the Literature","container-title":"World Neurosurgery","page":"2002-2009","volume":"84","issue":"6","source":"CrossRef","DOI":"10.1016/j.wneu.2015.07.005","ISSN":"18788750","shortTitle":"Epidemiology of Idiopathic Normal Pressure Hydrocephalus","language":"en","author":[{"family":"Martín-Láez","given":"Rubén"},{"family":"Caballero-Arzapalo","given":"Hugo"},{"family":"López-Menéndez","given":"Luis Ángel"},{"family":"Arango-Lasprilla","given":"Juan Carlos"},{"family":"Vázquez-Barquero","given":"Alfonso"}],"issued":{"date-parts":[["2015",12]]}}}],"schema":"https://github.com/citation-style-language/schema/raw/master/csl-citation.json"} </w:instrText>
      </w:r>
      <w:r w:rsidR="000A4DEE" w:rsidRPr="00EA4D30">
        <w:rPr>
          <w:color w:val="auto"/>
          <w:lang w:val="en-US"/>
        </w:rPr>
        <w:fldChar w:fldCharType="separate"/>
      </w:r>
      <w:r w:rsidR="00342497">
        <w:rPr>
          <w:color w:val="auto"/>
          <w:lang w:val="en-US"/>
        </w:rPr>
        <w:t>[27]</w:t>
      </w:r>
      <w:r w:rsidR="000A4DEE" w:rsidRPr="00EA4D30">
        <w:rPr>
          <w:color w:val="auto"/>
          <w:lang w:val="en-US"/>
        </w:rPr>
        <w:fldChar w:fldCharType="end"/>
      </w:r>
      <w:r w:rsidR="000A4DEE" w:rsidRPr="00EA4D30">
        <w:rPr>
          <w:color w:val="auto"/>
          <w:lang w:val="en-US"/>
        </w:rPr>
        <w:t xml:space="preserve"> </w:t>
      </w:r>
      <w:r w:rsidR="00E04129" w:rsidRPr="00EA4D30">
        <w:rPr>
          <w:color w:val="auto"/>
          <w:lang w:val="en-US"/>
        </w:rPr>
        <w:t>Th</w:t>
      </w:r>
      <w:r w:rsidR="00E04129">
        <w:rPr>
          <w:color w:val="auto"/>
          <w:lang w:val="en-US"/>
        </w:rPr>
        <w:t>ese</w:t>
      </w:r>
      <w:r w:rsidR="00E04129" w:rsidRPr="00EA4D30">
        <w:rPr>
          <w:color w:val="auto"/>
          <w:lang w:val="en-US"/>
        </w:rPr>
        <w:t xml:space="preserve"> </w:t>
      </w:r>
      <w:r w:rsidR="000A4DEE" w:rsidRPr="00EA4D30">
        <w:rPr>
          <w:color w:val="auto"/>
          <w:lang w:val="en-US"/>
        </w:rPr>
        <w:t>variation</w:t>
      </w:r>
      <w:r w:rsidR="00E04129">
        <w:rPr>
          <w:color w:val="auto"/>
          <w:lang w:val="en-US"/>
        </w:rPr>
        <w:t>s</w:t>
      </w:r>
      <w:r w:rsidR="000A4DEE" w:rsidRPr="00EA4D30">
        <w:rPr>
          <w:color w:val="auto"/>
          <w:lang w:val="en-US"/>
        </w:rPr>
        <w:t xml:space="preserve"> probably reflect the well-known controversies over th</w:t>
      </w:r>
      <w:r w:rsidR="00561C83" w:rsidRPr="00EA4D30">
        <w:rPr>
          <w:color w:val="auto"/>
          <w:lang w:val="en-US"/>
        </w:rPr>
        <w:t>e diagnosis and management of</w:t>
      </w:r>
      <w:r w:rsidR="000A4DEE" w:rsidRPr="00EA4D30">
        <w:rPr>
          <w:color w:val="auto"/>
          <w:lang w:val="en-US"/>
        </w:rPr>
        <w:t xml:space="preserve"> iNPH. </w:t>
      </w:r>
    </w:p>
    <w:p w14:paraId="0A143ACB" w14:textId="57E13B93" w:rsidR="000A4DEE" w:rsidRPr="00EA4D30" w:rsidRDefault="000A4DEE" w:rsidP="00FF2706">
      <w:pPr>
        <w:rPr>
          <w:lang w:val="en-US"/>
        </w:rPr>
      </w:pPr>
      <w:r w:rsidRPr="00EA4D30">
        <w:rPr>
          <w:color w:val="auto"/>
          <w:lang w:val="en-US"/>
        </w:rPr>
        <w:t xml:space="preserve">The age at which shunts were inserted and effect of gender </w:t>
      </w:r>
      <w:r w:rsidR="00FF2706" w:rsidRPr="00EA4D30">
        <w:rPr>
          <w:color w:val="auto"/>
          <w:lang w:val="en-US"/>
        </w:rPr>
        <w:t xml:space="preserve">reflect the </w:t>
      </w:r>
      <w:r w:rsidRPr="00EA4D30">
        <w:rPr>
          <w:color w:val="auto"/>
          <w:lang w:val="en-US"/>
        </w:rPr>
        <w:t>epidemiology</w:t>
      </w:r>
      <w:r w:rsidR="00FF2706" w:rsidRPr="00EA4D30">
        <w:rPr>
          <w:color w:val="auto"/>
          <w:lang w:val="en-US"/>
        </w:rPr>
        <w:t xml:space="preserve"> of the underlying conditions and the population </w:t>
      </w:r>
      <w:r w:rsidR="00FF2706" w:rsidRPr="00EA4D30">
        <w:rPr>
          <w:lang w:val="en-US"/>
        </w:rPr>
        <w:t>age distribution</w:t>
      </w:r>
      <w:r w:rsidR="00B83C49" w:rsidRPr="00EA4D30">
        <w:rPr>
          <w:lang w:val="en-US"/>
        </w:rPr>
        <w:t>, and are</w:t>
      </w:r>
      <w:r w:rsidR="00FF2706" w:rsidRPr="00EA4D30">
        <w:rPr>
          <w:lang w:val="en-US"/>
        </w:rPr>
        <w:t xml:space="preserve"> in line with previous smaller studies</w:t>
      </w:r>
      <w:r w:rsidR="00DD7669">
        <w:rPr>
          <w:color w:val="auto"/>
          <w:lang w:val="en-US"/>
        </w:rPr>
        <w:t>.</w:t>
      </w:r>
      <w:r w:rsidR="00FF2706" w:rsidRPr="00EA4D30">
        <w:rPr>
          <w:color w:val="auto"/>
          <w:lang w:val="en-US"/>
        </w:rPr>
        <w:fldChar w:fldCharType="begin"/>
      </w:r>
      <w:r w:rsidR="00342497">
        <w:rPr>
          <w:color w:val="auto"/>
          <w:lang w:val="en-US"/>
        </w:rPr>
        <w:instrText xml:space="preserve"> ADDIN ZOTERO_ITEM CSL_CITATION {"citationID":"Fm9jzSOw","properties":{"formattedCitation":"[17,27,28]","plainCitation":"[17,27,28]","noteIndex":0},"citationItems":[{"id":6076,"uris":["http://zotero.org/users/3274607/items/T8VWCGGF"],"uri":["http://zotero.org/users/3274607/items/T8VWCGGF"],"itemData":{"id":6076,"type":"article-journal","title":"Five-year incidence of surgery for idiopathic normal pressure hydrocephalus in Norway","container-title":"Acta Neurologica Scandinavica","page":"314-316","volume":"120","issue":"5","source":"CrossRef","DOI":"10.1111/j.1600-0404.2009.01250.x","ISSN":"00016314, 16000404","language":"en","author":[{"family":"Brean","given":"A."},{"family":"Fredø","given":"H. L."},{"family":"Sollid","given":"S."},{"family":"Müller","given":"T."},{"family":"Sundstrøm","given":"T."},{"family":"Eide","given":"P. K."}],"issued":{"date-parts":[["2009",11]]}}},{"id":5810,"uris":["http://zotero.org/users/3274607/items/I6S2TR2M"],"uri":["http://zotero.org/users/3274607/items/I6S2TR2M"],"itemData":{"id":5810,"type":"article-journal","title":"Epidemiology of Idiopathic Normal Pressure Hydrocephalus: A Systematic Review of the Literature","container-title":"World Neurosurgery","page":"2002-2009","volume":"84","issue":"6","source":"CrossRef","DOI":"10.1016/j.wneu.2015.07.005","ISSN":"18788750","shortTitle":"Epidemiology of Idiopathic Normal Pressure Hydrocephalus","language":"en","author":[{"family":"Martín-Láez","given":"Rubén"},{"family":"Caballero-Arzapalo","given":"Hugo"},{"family":"López-Menéndez","given":"Luis Ángel"},{"family":"Arango-Lasprilla","given":"Juan Carlos"},{"family":"Vázquez-Barquero","given":"Alfonso"}],"issued":{"date-parts":[["2015",12]]}}},{"id":6116,"uris":["http://zotero.org/users/3274607/items/7GF673GD"],"uri":["http://zotero.org/users/3274607/items/7GF673GD"],"itemData":{"id":6116,"type":"article-journal","title":"Hydrocephalus onset after microsurgical or endovascular treatment for acute subarachnoid hemorrhage. Retrospective Italian Multicenter Study","container-title":"Translational Medicine@ UniSa","page":"50","volume":"9","author":[{"family":"Gangemi","given":"Michelangelo"},{"family":"Cavallo","given":"Luigi Maria"},{"family":"Di Somma","given":"Alberto"},{"family":"Mazzucco","given":"Grazia Marina"},{"family":"Bono","given":"Paolo Sebastiano"},{"family":"Ghetti","given":"Giovanni"},{"family":"Zambon","given":"Giampaolo"}],"issued":{"date-parts":[["2014"]]}}}],"schema":"https://github.com/citation-style-language/schema/raw/master/csl-citation.json"} </w:instrText>
      </w:r>
      <w:r w:rsidR="00FF2706" w:rsidRPr="00EA4D30">
        <w:rPr>
          <w:color w:val="auto"/>
          <w:lang w:val="en-US"/>
        </w:rPr>
        <w:fldChar w:fldCharType="separate"/>
      </w:r>
      <w:r w:rsidR="00342497">
        <w:rPr>
          <w:rFonts w:eastAsia="Times New Roman"/>
          <w:color w:val="auto"/>
        </w:rPr>
        <w:t>[17,27,28]</w:t>
      </w:r>
      <w:r w:rsidR="00FF2706" w:rsidRPr="00EA4D30">
        <w:rPr>
          <w:color w:val="auto"/>
          <w:lang w:val="en-US"/>
        </w:rPr>
        <w:fldChar w:fldCharType="end"/>
      </w:r>
      <w:r w:rsidR="00FF2706" w:rsidRPr="00EA4D30">
        <w:rPr>
          <w:color w:val="auto"/>
        </w:rPr>
        <w:t xml:space="preserve"> </w:t>
      </w:r>
      <w:r w:rsidRPr="00EA4D30">
        <w:rPr>
          <w:color w:val="auto"/>
        </w:rPr>
        <w:t xml:space="preserve">INPH is a disease of the elderly. </w:t>
      </w:r>
      <w:r w:rsidR="00E04129">
        <w:rPr>
          <w:color w:val="auto"/>
        </w:rPr>
        <w:t>Eight</w:t>
      </w:r>
      <w:r w:rsidR="00E04129" w:rsidRPr="00EA4D30">
        <w:rPr>
          <w:color w:val="auto"/>
          <w:lang w:val="en-US"/>
        </w:rPr>
        <w:t xml:space="preserve"> </w:t>
      </w:r>
      <w:r w:rsidRPr="00EA4D30">
        <w:rPr>
          <w:color w:val="auto"/>
          <w:lang w:val="en-US"/>
        </w:rPr>
        <w:t>females for every male</w:t>
      </w:r>
      <w:r w:rsidRPr="00EA4D30">
        <w:rPr>
          <w:color w:val="auto"/>
        </w:rPr>
        <w:t xml:space="preserve"> were shunted for IIH and </w:t>
      </w:r>
      <w:r w:rsidR="00E04129">
        <w:rPr>
          <w:color w:val="auto"/>
          <w:lang w:val="en-US"/>
        </w:rPr>
        <w:t>nine</w:t>
      </w:r>
      <w:r w:rsidR="00E04129" w:rsidRPr="00EA4D30">
        <w:rPr>
          <w:color w:val="auto"/>
          <w:lang w:val="en-US"/>
        </w:rPr>
        <w:t xml:space="preserve"> </w:t>
      </w:r>
      <w:r w:rsidRPr="00EA4D30">
        <w:rPr>
          <w:color w:val="auto"/>
          <w:lang w:val="en-US"/>
        </w:rPr>
        <w:t xml:space="preserve">females </w:t>
      </w:r>
      <w:r w:rsidRPr="00EA4D30">
        <w:rPr>
          <w:lang w:val="en-US"/>
        </w:rPr>
        <w:t xml:space="preserve">for every </w:t>
      </w:r>
      <w:r w:rsidR="00E04129">
        <w:rPr>
          <w:lang w:val="en-US"/>
        </w:rPr>
        <w:t>five</w:t>
      </w:r>
      <w:r w:rsidR="00E04129" w:rsidRPr="00EA4D30">
        <w:rPr>
          <w:lang w:val="en-US"/>
        </w:rPr>
        <w:t xml:space="preserve"> </w:t>
      </w:r>
      <w:r w:rsidRPr="00EA4D30">
        <w:rPr>
          <w:lang w:val="en-US"/>
        </w:rPr>
        <w:t>males</w:t>
      </w:r>
      <w:r w:rsidRPr="00EA4D30" w:rsidDel="000A4DEE">
        <w:t xml:space="preserve"> </w:t>
      </w:r>
      <w:r w:rsidR="00FF2706" w:rsidRPr="00EA4D30">
        <w:rPr>
          <w:lang w:val="en-US"/>
        </w:rPr>
        <w:t>for post-haemorrhagic hydrocephalus</w:t>
      </w:r>
      <w:r w:rsidR="00DA016F" w:rsidRPr="00EA4D30">
        <w:rPr>
          <w:lang w:val="en-US"/>
        </w:rPr>
        <w:t>, while</w:t>
      </w:r>
      <w:r w:rsidR="00FF2706" w:rsidRPr="00EA4D30">
        <w:rPr>
          <w:lang w:val="en-US"/>
        </w:rPr>
        <w:t xml:space="preserve"> shunts for post-traumatic hydrocephalus were </w:t>
      </w:r>
      <w:r w:rsidRPr="00EA4D30">
        <w:rPr>
          <w:lang w:val="en-US"/>
        </w:rPr>
        <w:t>inserted</w:t>
      </w:r>
      <w:r w:rsidR="00FF2706" w:rsidRPr="00EA4D30">
        <w:rPr>
          <w:lang w:val="en-US"/>
        </w:rPr>
        <w:t xml:space="preserve"> more often in male</w:t>
      </w:r>
      <w:r w:rsidR="00703860" w:rsidRPr="00EA4D30">
        <w:rPr>
          <w:lang w:val="en-US"/>
        </w:rPr>
        <w:t>s</w:t>
      </w:r>
      <w:r w:rsidR="00FF2706" w:rsidRPr="00EA4D30">
        <w:rPr>
          <w:lang w:val="en-US"/>
        </w:rPr>
        <w:t xml:space="preserve"> up to their fifties.</w:t>
      </w:r>
      <w:r w:rsidR="00DA016F" w:rsidRPr="00EA4D30">
        <w:rPr>
          <w:lang w:val="en-US"/>
        </w:rPr>
        <w:t xml:space="preserve"> </w:t>
      </w:r>
      <w:r w:rsidR="009A31B2" w:rsidRPr="00EA4D30">
        <w:rPr>
          <w:lang w:val="en-US"/>
        </w:rPr>
        <w:t>G</w:t>
      </w:r>
      <w:r w:rsidR="00DA016F" w:rsidRPr="00EA4D30">
        <w:rPr>
          <w:lang w:val="en-US"/>
        </w:rPr>
        <w:t xml:space="preserve">ender differences </w:t>
      </w:r>
      <w:r w:rsidR="009A31B2" w:rsidRPr="00EA4D30">
        <w:rPr>
          <w:lang w:val="en-US"/>
        </w:rPr>
        <w:t xml:space="preserve">are poorly understood but </w:t>
      </w:r>
      <w:r w:rsidR="00DA016F" w:rsidRPr="00EA4D30">
        <w:rPr>
          <w:lang w:val="en-US"/>
        </w:rPr>
        <w:t>have been explained by hormonal effects</w:t>
      </w:r>
      <w:r w:rsidR="00DA016F" w:rsidRPr="00EA4D30">
        <w:fldChar w:fldCharType="begin"/>
      </w:r>
      <w:r w:rsidR="00342497">
        <w:instrText xml:space="preserve"> ADDIN ZOTERO_ITEM CSL_CITATION {"citationID":"SET2i2T3","properties":{"formattedCitation":"[3,28]","plainCitation":"[3,28]","noteIndex":0},"citationItems":[{"id":6116,"uris":["http://zotero.org/users/3274607/items/7GF673GD"],"uri":["http://zotero.org/users/3274607/items/7GF673GD"],"itemData":{"id":6116,"type":"article-journal","title":"Hydrocephalus onset after microsurgical or endovascular treatment for acute subarachnoid hemorrhage. Retrospective Italian Multicenter Study","container-title":"Translational Medicine@ UniSa","page":"50","volume":"9","author":[{"family":"Gangemi","given":"Michelangelo"},{"family":"Cavallo","given":"Luigi Maria"},{"family":"Di Somma","given":"Alberto"},{"family":"Mazzucco","given":"Grazia Marina"},{"family":"Bono","given":"Paolo Sebastiano"},{"family":"Ghetti","given":"Giovanni"},{"family":"Zambon","given":"Giampaolo"}],"issued":{"date-parts":[["2014"]]}}},{"id":6407,"uris":["http://zotero.org/users/3274607/items/6VVF96CP"],"uri":["http://zotero.org/users/3274607/items/6VVF96CP"],"itemData":{"id":6407,"type":"article-journal","title":"Evolving evidence in adult idiopathic intracranial hypertension: pathophysiology and management","container-title":"Journal of Neurology, Neurosurgery, and Psychiatry","page":"982-992","volume":"87","issue":"9","source":"PubMed Central","abstract":"Idiopathic intracranial hypertension (IIH) is a rare but important disease associated with significant morbidity. There is an expected rise in prevalence in line with the escalating global burden of obesity. Modern revisions in the terminology and diagnostic criteria for IIH help guide clinicians in investigations and researchers in standardising recruitment criteria for clinical trials. The pathophysiology of IIH is incompletely characterised; suggested underpinning mechanisms include the role of cerebrospinal fluid regulation as well as metabolic and endocrinological perspectives. Recent treatment trials are providing insights into the management but debate still surrounds key areas in treatment. This review will provide an up-to-date discussion on the potential pathogenic mechanisms and management of IIH.","DOI":"10.1136/jnnp-2015-311302","ISSN":"0022-3050","note":"PMID: 26888960\nPMCID: PMC5013119","shortTitle":"Evolving evidence in adult idiopathic intracranial hypertension","journalAbbreviation":"J Neurol Neurosurg Psychiatry","author":[{"family":"Mollan","given":"Susan P"},{"family":"Ali","given":"Fizzah"},{"family":"Hassan-Smith","given":"Ghaniah"},{"family":"Botfield","given":"Hannah"},{"family":"Friedman","given":"Deborah I"},{"family":"Sinclair","given":"Alexandra J"}],"issued":{"date-parts":[["2016",9]]}}}],"schema":"https://github.com/citation-style-language/schema/raw/master/csl-citation.json"} </w:instrText>
      </w:r>
      <w:r w:rsidR="00DA016F" w:rsidRPr="00EA4D30">
        <w:fldChar w:fldCharType="separate"/>
      </w:r>
      <w:r w:rsidR="00342497">
        <w:rPr>
          <w:noProof/>
        </w:rPr>
        <w:t>[3,28]</w:t>
      </w:r>
      <w:r w:rsidR="00DA016F" w:rsidRPr="00EA4D30">
        <w:fldChar w:fldCharType="end"/>
      </w:r>
      <w:r w:rsidR="00C770DC" w:rsidRPr="00EA4D30">
        <w:rPr>
          <w:lang w:val="en-US"/>
        </w:rPr>
        <w:t xml:space="preserve"> </w:t>
      </w:r>
      <w:r w:rsidR="00DA016F" w:rsidRPr="00EA4D30">
        <w:rPr>
          <w:lang w:val="en-US"/>
        </w:rPr>
        <w:t>and participation in different occupational and leisure activities</w:t>
      </w:r>
      <w:r w:rsidR="00A25054">
        <w:rPr>
          <w:lang w:val="en-US"/>
        </w:rPr>
        <w:t>.</w:t>
      </w:r>
      <w:r w:rsidR="00DA016F" w:rsidRPr="00EA4D30">
        <w:rPr>
          <w:lang w:val="en-US"/>
        </w:rPr>
        <w:fldChar w:fldCharType="begin"/>
      </w:r>
      <w:r w:rsidR="00342497">
        <w:rPr>
          <w:lang w:val="en-US"/>
        </w:rPr>
        <w:instrText xml:space="preserve"> ADDIN ZOTERO_ITEM CSL_CITATION {"citationID":"SdfAK7l5","properties":{"formattedCitation":"[29]","plainCitation":"[29]","noteIndex":0},"citationItems":[{"id":6126,"uris":["http://zotero.org/users/3274607/items/59I65A6S"],"uri":["http://zotero.org/users/3274607/items/59I65A6S"],"itemData":{"id":6126,"type":"article-journal","title":"The International Incidence of Traumatic Brain Injury: A Systematic Review and Meta-Analysis","container-title":"Canadian Journal of Neurological Sciences / Journal Canadien des Sciences Neurologiques","page":"774-785","volume":"43","issue":"06","source":"CrossRef","DOI":"10.1017/cjn.2016.290","ISSN":"0317-1671, 2057-0155","shortTitle":"The International Incidence of Traumatic Brain Injury","language":"en","author":[{"family":"Nguyen","given":"Rita"},{"family":"Fiest","given":"Kirsten M."},{"family":"McChesney","given":"Jane"},{"family":"Kwon","given":"Churl-Su"},{"family":"Jette","given":"Nathalie"},{"family":"Frolkis","given":"Alexandra D."},{"family":"Atta","given":"Callie"},{"family":"Mah","given":"Sarah"},{"family":"Dhaliwal","given":"Harinder"},{"family":"Reid","given":"Aylin"},{"family":"Pringsheim","given":"Tamara"},{"family":"Dykeman","given":"Jonathan"},{"family":"Gallagher","given":"Clare"}],"issued":{"date-parts":[["2016",11]]}}}],"schema":"https://github.com/citation-style-language/schema/raw/master/csl-citation.json"} </w:instrText>
      </w:r>
      <w:r w:rsidR="00DA016F" w:rsidRPr="00EA4D30">
        <w:rPr>
          <w:lang w:val="en-US"/>
        </w:rPr>
        <w:fldChar w:fldCharType="separate"/>
      </w:r>
      <w:r w:rsidR="00342497">
        <w:rPr>
          <w:lang w:val="en-US"/>
        </w:rPr>
        <w:t>[29]</w:t>
      </w:r>
      <w:r w:rsidR="00DA016F" w:rsidRPr="00EA4D30">
        <w:rPr>
          <w:lang w:val="en-US"/>
        </w:rPr>
        <w:fldChar w:fldCharType="end"/>
      </w:r>
    </w:p>
    <w:p w14:paraId="6A21CA72" w14:textId="77777777" w:rsidR="00FF2706" w:rsidRPr="00EA4D30" w:rsidRDefault="00FF2706" w:rsidP="00FF2706">
      <w:pPr>
        <w:pStyle w:val="Heading2"/>
      </w:pPr>
      <w:r w:rsidRPr="00EA4D30">
        <w:t xml:space="preserve">Shunt revision surgery </w:t>
      </w:r>
    </w:p>
    <w:p w14:paraId="0039A2FD" w14:textId="6CB73E78" w:rsidR="003927EB" w:rsidRPr="00EA4D30" w:rsidRDefault="000A4DEE" w:rsidP="003927EB">
      <w:r w:rsidRPr="00EA4D30">
        <w:t>About half (</w:t>
      </w:r>
      <w:r w:rsidR="00B02B4F" w:rsidRPr="00CC6ADB">
        <w:t>4</w:t>
      </w:r>
      <w:r w:rsidR="001706B3">
        <w:t>9</w:t>
      </w:r>
      <w:r w:rsidR="00B02B4F" w:rsidRPr="00CC6ADB">
        <w:t>.</w:t>
      </w:r>
      <w:r w:rsidR="001706B3">
        <w:t>0</w:t>
      </w:r>
      <w:r w:rsidR="00B02B4F" w:rsidRPr="00EA4D30">
        <w:t>%</w:t>
      </w:r>
      <w:r w:rsidRPr="00EA4D30">
        <w:t>) of the workload of surgery for CSF diversion was dedicated to the revision of primary procedures</w:t>
      </w:r>
      <w:r w:rsidR="00EB6F95" w:rsidRPr="00EA4D30">
        <w:t>,</w:t>
      </w:r>
      <w:r w:rsidR="00BE1CB3" w:rsidRPr="00EA4D30">
        <w:t xml:space="preserve"> which is similar to the USA</w:t>
      </w:r>
      <w:r w:rsidRPr="00EA4D30">
        <w:t xml:space="preserve"> (</w:t>
      </w:r>
      <w:r w:rsidR="00FF2706" w:rsidRPr="00EA4D30">
        <w:t>48% revision</w:t>
      </w:r>
      <w:r w:rsidRPr="00EA4D30">
        <w:t xml:space="preserve">s </w:t>
      </w:r>
      <w:r w:rsidR="00FF2706" w:rsidRPr="00EA4D30">
        <w:t>between 1988 and 1991</w:t>
      </w:r>
      <w:r w:rsidR="00527433">
        <w:t>)</w:t>
      </w:r>
      <w:r w:rsidR="003E5F42" w:rsidRPr="00EA4D30">
        <w:t>.</w:t>
      </w:r>
      <w:r w:rsidR="0012395F">
        <w:fldChar w:fldCharType="begin"/>
      </w:r>
      <w:r w:rsidR="0012395F">
        <w:instrText xml:space="preserve"> ADDIN ZOTERO_ITEM CSL_CITATION {"citationID":"bW9jWVkF","properties":{"formattedCitation":"[13]","plainCitation":"[13]","noteIndex":0},"citationItems":[{"id":6019,"uris":["http://www.mendeley.com/documents/?uuid=59944f57-0ac6-47cb-b4a9-cb82803a90a1","http://zotero.org/users/3274607/items/8DVZPHMI"],"uri":["http://www.mendeley.com/documents/?uuid=59944f57-0ac6-47cb-b4a9-cb82803a90a1","http://zotero.org/users/3274607/items/8DVZPHMI"],"itemData":{"id":6019,"type":"article-journal","title":"Epidemiology of cerebrospinal fluid shunting","container-title":"Pediatric neurosurgery","page":"254-259","issue":"23","journalAbbreviation":"Pediatr Neurosurg","author":[{"family":"Bondurant","given":"Charles P."},{"family":"Jimenez","given":"David F."}],"issued":{"date-parts":[["1995"]]}}}],"schema":"https://github.com/citation-style-language/schema/raw/master/csl-citation.json"} </w:instrText>
      </w:r>
      <w:r w:rsidR="0012395F">
        <w:fldChar w:fldCharType="separate"/>
      </w:r>
      <w:r w:rsidR="0012395F">
        <w:rPr>
          <w:noProof/>
        </w:rPr>
        <w:t>[13]</w:t>
      </w:r>
      <w:r w:rsidR="0012395F">
        <w:fldChar w:fldCharType="end"/>
      </w:r>
      <w:r w:rsidR="00FF2706" w:rsidRPr="00EA4D30">
        <w:t xml:space="preserve"> </w:t>
      </w:r>
      <w:r w:rsidRPr="00EA4D30">
        <w:t xml:space="preserve">By age group, infants </w:t>
      </w:r>
      <w:r w:rsidR="004473C7" w:rsidRPr="00EA4D30">
        <w:t>followed by</w:t>
      </w:r>
      <w:r w:rsidRPr="00EA4D30">
        <w:t xml:space="preserve"> children had the highest revision rates compared with adults</w:t>
      </w:r>
      <w:r w:rsidR="00025097" w:rsidRPr="00EA4D30">
        <w:t>, which is in line with previous reports</w:t>
      </w:r>
      <w:r w:rsidR="00DD7669">
        <w:t>.</w:t>
      </w:r>
      <w:r w:rsidRPr="00EA4D30">
        <w:fldChar w:fldCharType="begin"/>
      </w:r>
      <w:r w:rsidR="00CB17E5">
        <w:instrText xml:space="preserve"> ADDIN ZOTERO_ITEM CSL_CITATION {"citationID":"VyuEgF0F","properties":{"formattedCitation":"[4,11]","plainCitation":"[4,11]","noteIndex":0},"citationItems":[{"id":5793,"uris":["http://zotero.org/users/3274607/items/3ZXHVU7D"],"uri":["http://zotero.org/users/3274607/items/3ZXHVU7D"],"itemData":{"id":5793,"type":"article-journal","title":"Have we made progress in preventing shunt failure? A critical analysis","container-title":"Journal of Neurosurgery: Pediatrics","page":"40-47","volume":"1","DOI":"10.3171/PED-08/01/040","shortTitle":"Have we made progress in preventing shunt failure?","author":[{"family":"Stein","given":"Sherman C."},{"family":"Guo","given":"Wensheng"}],"issued":{"date-parts":[["2008"]]}}},{"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R."},{"family":"Zhao","given":"Shoujun"},{"family":"Gupta","given":"Nalin"}],"issued":{"date-parts":[["2007"]]}}}],"schema":"https://github.com/citation-style-language/schema/raw/master/csl-citation.json"} </w:instrText>
      </w:r>
      <w:r w:rsidRPr="00EA4D30">
        <w:fldChar w:fldCharType="separate"/>
      </w:r>
      <w:r w:rsidR="0025769B">
        <w:rPr>
          <w:noProof/>
        </w:rPr>
        <w:t>[4,11]</w:t>
      </w:r>
      <w:r w:rsidRPr="00EA4D30">
        <w:fldChar w:fldCharType="end"/>
      </w:r>
      <w:r w:rsidR="00CF7F3B" w:rsidRPr="00EA4D30">
        <w:t xml:space="preserve"> </w:t>
      </w:r>
      <w:r w:rsidR="00F223F4" w:rsidRPr="00EA4D30">
        <w:t xml:space="preserve">In our study, there were about </w:t>
      </w:r>
      <w:r w:rsidR="00CA4D0B">
        <w:t>40%</w:t>
      </w:r>
      <w:r w:rsidR="00F223F4" w:rsidRPr="00EA4D30">
        <w:t xml:space="preserve"> more primary shunts revised for infection in infants than in adults</w:t>
      </w:r>
      <w:r w:rsidR="00421772" w:rsidRPr="00EA4D30">
        <w:t>, probably related to their higher risk for shunt infections</w:t>
      </w:r>
      <w:r w:rsidR="00DD7669">
        <w:t>.</w:t>
      </w:r>
      <w:r w:rsidR="00421772" w:rsidRPr="00EA4D30">
        <w:fldChar w:fldCharType="begin"/>
      </w:r>
      <w:r w:rsidR="0025769B">
        <w:instrText xml:space="preserve"> ADDIN ZOTERO_ITEM CSL_CITATION {"citationID":"2gve5jpo2h","properties":{"formattedCitation":"[11]","plainCitation":"[11]","noteIndex":0},"citationItems":[{"id":6067,"uris":["http://zotero.org/users/3274607/items/6W3KFUI7"],"uri":["http://zotero.org/users/3274607/items/6W3KFUI7"],"itemData":{"id":6067,"type":"article-journal","title":"Ventriculoperitoneal shunt complications in California: 1990 to 2000","container-title":"Neurosurgery","page":"557–563","volume":"61","issue":"3","source":"Google Scholar","shortTitle":"Ventriculoperitoneal shunt complications in California","author":[{"family":"Wu","given":"Yvonne"},{"family":"Green","given":"Nella L."},{"family":"Wrensch","given":"Margaret R."},{"family":"Zhao","given":"Shoujun"},{"family":"Gupta","given":"Nalin"}],"issued":{"date-parts":[["2007"]]}}}],"schema":"https://github.com/citation-style-language/schema/raw/master/csl-citation.json"} </w:instrText>
      </w:r>
      <w:r w:rsidR="00421772" w:rsidRPr="00EA4D30">
        <w:fldChar w:fldCharType="separate"/>
      </w:r>
      <w:r w:rsidR="0025769B">
        <w:rPr>
          <w:noProof/>
        </w:rPr>
        <w:t>[11]</w:t>
      </w:r>
      <w:r w:rsidR="00421772" w:rsidRPr="00EA4D30">
        <w:fldChar w:fldCharType="end"/>
      </w:r>
      <w:r w:rsidR="00421772" w:rsidRPr="00EA4D30">
        <w:t xml:space="preserve"> </w:t>
      </w:r>
      <w:r w:rsidRPr="00EA4D30">
        <w:t>O</w:t>
      </w:r>
      <w:r w:rsidR="00FF2706" w:rsidRPr="00EA4D30">
        <w:t xml:space="preserve">verall 1-year and 90-day (first) revision rates </w:t>
      </w:r>
      <w:r w:rsidRPr="00EA4D30">
        <w:t>were</w:t>
      </w:r>
      <w:r w:rsidR="00FF2706" w:rsidRPr="00EA4D30">
        <w:t xml:space="preserve"> </w:t>
      </w:r>
      <w:r w:rsidR="00481587" w:rsidRPr="00EA4D30">
        <w:t>2</w:t>
      </w:r>
      <w:r w:rsidR="00481587">
        <w:t>0</w:t>
      </w:r>
      <w:r w:rsidR="00704126" w:rsidRPr="00EA4D30">
        <w:t>.</w:t>
      </w:r>
      <w:r w:rsidR="00481587">
        <w:t>0</w:t>
      </w:r>
      <w:r w:rsidR="00FF2706" w:rsidRPr="00EA4D30">
        <w:t xml:space="preserve">% and </w:t>
      </w:r>
      <w:r w:rsidR="00481587" w:rsidRPr="00EA4D30">
        <w:t>1</w:t>
      </w:r>
      <w:r w:rsidR="00481587">
        <w:t>4</w:t>
      </w:r>
      <w:r w:rsidR="00FF2706" w:rsidRPr="00EA4D30">
        <w:t>.</w:t>
      </w:r>
      <w:r w:rsidR="00481587">
        <w:t>6</w:t>
      </w:r>
      <w:r w:rsidR="00FF2706" w:rsidRPr="00EA4D30">
        <w:t xml:space="preserve">% respectively, which were generally lower than those found in </w:t>
      </w:r>
      <w:r w:rsidR="00F223F4" w:rsidRPr="00EA4D30">
        <w:t>more historical</w:t>
      </w:r>
      <w:r w:rsidR="00FF2706" w:rsidRPr="00EA4D30">
        <w:t xml:space="preserve"> studies</w:t>
      </w:r>
      <w:r w:rsidR="00DD7669">
        <w:t>.</w:t>
      </w:r>
      <w:r w:rsidR="00FF2706" w:rsidRPr="00EA4D30">
        <w:fldChar w:fldCharType="begin"/>
      </w:r>
      <w:r w:rsidR="00CB17E5">
        <w:instrText xml:space="preserve"> ADDIN ZOTERO_ITEM CSL_CITATION {"citationID":"NUNqeTdo","properties":{"formattedCitation":"[4]","plainCitation":"[4]","noteIndex":0},"citationItems":[{"id":5793,"uris":["http://zotero.org/users/3274607/items/3ZXHVU7D"],"uri":["http://zotero.org/users/3274607/items/3ZXHVU7D"],"itemData":{"id":5793,"type":"article-journal","title":"Have we made progress in preventing shunt failure? A critical analysis","container-title":"Journal of Neurosurgery: Pediatrics","page":"40-47","volume":"1","DOI":"10.3171/PED-08/01/040","shortTitle":"Have we made progress in preventing shunt failure?","author":[{"family":"Stein","given":"Sherman C."},{"family":"Guo","given":"Wensheng"}],"issued":{"date-parts":[["2008"]]}}}],"schema":"https://github.com/citation-style-language/schema/raw/master/csl-citation.json"} </w:instrText>
      </w:r>
      <w:r w:rsidR="00FF2706" w:rsidRPr="00EA4D30">
        <w:fldChar w:fldCharType="separate"/>
      </w:r>
      <w:r w:rsidR="0025769B">
        <w:rPr>
          <w:noProof/>
        </w:rPr>
        <w:t>[4]</w:t>
      </w:r>
      <w:r w:rsidR="00FF2706" w:rsidRPr="00EA4D30">
        <w:fldChar w:fldCharType="end"/>
      </w:r>
      <w:r w:rsidR="003927EB" w:rsidRPr="00EA4D30">
        <w:t xml:space="preserve"> No reason was provided for revision in </w:t>
      </w:r>
      <w:r w:rsidR="00FC2B95" w:rsidRPr="00EA4D30">
        <w:t>4</w:t>
      </w:r>
      <w:r w:rsidR="00FC2B95">
        <w:t>2</w:t>
      </w:r>
      <w:r w:rsidR="003927EB" w:rsidRPr="00EA4D30">
        <w:t>.</w:t>
      </w:r>
      <w:r w:rsidR="00491600">
        <w:t>4</w:t>
      </w:r>
      <w:r w:rsidR="003927EB" w:rsidRPr="00EA4D30">
        <w:t>% of cases</w:t>
      </w:r>
      <w:r w:rsidR="00DE373D" w:rsidRPr="00EA4D30">
        <w:t>,</w:t>
      </w:r>
      <w:r w:rsidR="003927EB" w:rsidRPr="00EA4D30">
        <w:t xml:space="preserve"> so caution is required in the interpretation of this data. </w:t>
      </w:r>
    </w:p>
    <w:p w14:paraId="6904D821" w14:textId="76B76212" w:rsidR="00FF2706" w:rsidRPr="00EA4D30" w:rsidRDefault="00FF2706" w:rsidP="00FF2706">
      <w:r w:rsidRPr="00EA4D30">
        <w:t>Besides methodological, demographic</w:t>
      </w:r>
      <w:r w:rsidR="00485EB5" w:rsidRPr="00EA4D30">
        <w:t>,</w:t>
      </w:r>
      <w:r w:rsidRPr="00EA4D30">
        <w:t xml:space="preserve"> and institutional/geographical differences, the lower </w:t>
      </w:r>
      <w:r w:rsidR="00C73DFA" w:rsidRPr="00EA4D30">
        <w:t xml:space="preserve">revision </w:t>
      </w:r>
      <w:r w:rsidRPr="00EA4D30">
        <w:t>rates found in our population, could be related</w:t>
      </w:r>
      <w:r w:rsidR="000A4DEE" w:rsidRPr="00EA4D30">
        <w:t xml:space="preserve"> in part</w:t>
      </w:r>
      <w:r w:rsidRPr="00EA4D30">
        <w:t xml:space="preserve"> to a reduction in shunt infections over time. This </w:t>
      </w:r>
      <w:r w:rsidR="00C73DFA" w:rsidRPr="00EA4D30">
        <w:t>reduction probably reflect</w:t>
      </w:r>
      <w:r w:rsidRPr="00EA4D30">
        <w:t>s the</w:t>
      </w:r>
      <w:r w:rsidR="00C73DFA" w:rsidRPr="00EA4D30">
        <w:t xml:space="preserve"> introduction of </w:t>
      </w:r>
      <w:r w:rsidR="003927EB" w:rsidRPr="00EA4D30">
        <w:t xml:space="preserve">strict operating </w:t>
      </w:r>
      <w:r w:rsidR="00C73DFA" w:rsidRPr="00EA4D30">
        <w:t xml:space="preserve">theatre protocols, prophylactic antibiotics and </w:t>
      </w:r>
      <w:r w:rsidRPr="00EA4D30">
        <w:t>anti</w:t>
      </w:r>
      <w:r w:rsidR="00C73DFA" w:rsidRPr="00EA4D30">
        <w:t>mic</w:t>
      </w:r>
      <w:r w:rsidR="00421772" w:rsidRPr="00EA4D30">
        <w:t>r</w:t>
      </w:r>
      <w:r w:rsidR="00C73DFA" w:rsidRPr="00EA4D30">
        <w:t>obial</w:t>
      </w:r>
      <w:r w:rsidRPr="00EA4D30">
        <w:t>-impregnated catheters</w:t>
      </w:r>
      <w:r w:rsidR="00DD7669">
        <w:t>.</w:t>
      </w:r>
      <w:r w:rsidRPr="00EA4D30">
        <w:fldChar w:fldCharType="begin"/>
      </w:r>
      <w:r w:rsidR="00342497">
        <w:instrText xml:space="preserve"> ADDIN ZOTERO_ITEM CSL_CITATION {"citationID":"uPkUw5QE","properties":{"formattedCitation":"[6,30]","plainCitation":"[6,30]","noteIndex":0},"citationItems":[{"id":77,"uris":["http://zotero.org/users/3274607/items/JPCHF4QZ"],"uri":["http://zotero.org/users/3274607/items/JPCHF4QZ"],"itemData":{"id":77,"type":"article-journal","title":"Antimicrobial-impregnated and -coated shunt catheters for prevention of infections in patients with hydrocephalus: a systematic review and meta-analysis","container-title":"Journal of Neurosurgery","page":"1096-1112","volume":"122","issue":"5","source":"CrossRef","DOI":"10.3171/2014.12.JNS14908","ISSN":"0022-3085","shortTitle":"Antimicrobial-impregnated and -coated shunt catheters for prevention of infections in patients with hydrocephalus","language":"en","author":[{"family":"Konstantelias","given":"Athanasios A."},{"family":"Vardakas","given":"Konstantinos Z."},{"family":"Polyzos","given":"Konstantinos A."},{"family":"Tansarli","given":"Giannoula S."},{"family":"Falagas","given":"Matthew E."}],"issued":{"date-parts":[["2015",5]]}}},{"id":5777,"uris":["http://zotero.org/users/3274607/items/SDENP2QX"],"uri":["http://zotero.org/users/3274607/items/SDENP2QX"],"itemData":{"id":5777,"type":"article-journal","title":"Efficacy of antibiotic-impregnated shunt catheters in reducing shunt infection: data from the United Kingdom Shunt Registry","container-title":"Journal of Neurosurgery: Pediatrics","page":"389–393","volume":"4","issue":"4","source":"Google Scholar","DOI":"10.3171/2009.4.PEDS09210","shortTitle":"Efficacy of antibiotic-impregnated shunt catheters in reducing shunt infection","author":[{"family":"Richards","given":"Hugh K."},{"family":"Seeley","given":"Helen M."},{"family":"Pickard","given":"John D."}],"issued":{"date-parts":[["2009"]]}}}],"schema":"https://github.com/citation-style-language/schema/raw/master/csl-citation.json"} </w:instrText>
      </w:r>
      <w:r w:rsidRPr="00EA4D30">
        <w:fldChar w:fldCharType="separate"/>
      </w:r>
      <w:r w:rsidR="00342497">
        <w:rPr>
          <w:noProof/>
        </w:rPr>
        <w:t>[6,30]</w:t>
      </w:r>
      <w:r w:rsidRPr="00EA4D30">
        <w:fldChar w:fldCharType="end"/>
      </w:r>
    </w:p>
    <w:p w14:paraId="4833D7E9" w14:textId="718C9E34" w:rsidR="00522CB7" w:rsidRPr="00EA4D30" w:rsidRDefault="008D529B" w:rsidP="00FF2706">
      <w:r w:rsidRPr="00EA4D30">
        <w:rPr>
          <w:lang w:val="en-US"/>
        </w:rPr>
        <w:t>Despite</w:t>
      </w:r>
      <w:r w:rsidRPr="00EA4D30">
        <w:t xml:space="preserve"> technological advances in shunting systems during the past decades</w:t>
      </w:r>
      <w:r w:rsidR="003927EB" w:rsidRPr="00EA4D30">
        <w:t>, mechanical problems with shunt devices, compounded by ill-de</w:t>
      </w:r>
      <w:r w:rsidR="00D6360A" w:rsidRPr="00EA4D30">
        <w:t xml:space="preserve">fined patient-related factors, </w:t>
      </w:r>
      <w:r w:rsidR="003927EB" w:rsidRPr="00EA4D30">
        <w:t>are still a major reason for shunt revision</w:t>
      </w:r>
      <w:r w:rsidRPr="00EA4D30">
        <w:t xml:space="preserve">. </w:t>
      </w:r>
      <w:r w:rsidR="00FF2706" w:rsidRPr="00EA4D30">
        <w:rPr>
          <w:lang w:val="en-US"/>
        </w:rPr>
        <w:t>The majority of the revisions were a</w:t>
      </w:r>
      <w:r w:rsidR="009755DD">
        <w:rPr>
          <w:lang w:val="en-US"/>
        </w:rPr>
        <w:t>ttributed to underdrainage (</w:t>
      </w:r>
      <w:r w:rsidR="000600C5">
        <w:rPr>
          <w:lang w:val="en-US"/>
        </w:rPr>
        <w:t>5</w:t>
      </w:r>
      <w:r w:rsidR="00491600">
        <w:rPr>
          <w:lang w:val="en-US"/>
        </w:rPr>
        <w:t>7</w:t>
      </w:r>
      <w:r w:rsidR="009755DD">
        <w:rPr>
          <w:lang w:val="en-US"/>
        </w:rPr>
        <w:t>-</w:t>
      </w:r>
      <w:r w:rsidR="00FF2706" w:rsidRPr="00EA4D30">
        <w:rPr>
          <w:lang w:val="en-US"/>
        </w:rPr>
        <w:t>6</w:t>
      </w:r>
      <w:r w:rsidR="00491600">
        <w:rPr>
          <w:lang w:val="en-US"/>
        </w:rPr>
        <w:t>6</w:t>
      </w:r>
      <w:r w:rsidR="00FF2706" w:rsidRPr="00EA4D30">
        <w:rPr>
          <w:lang w:val="en-US"/>
        </w:rPr>
        <w:t>%, depending on the age group)</w:t>
      </w:r>
      <w:r w:rsidR="003927EB" w:rsidRPr="00EA4D30">
        <w:rPr>
          <w:lang w:val="en-US"/>
        </w:rPr>
        <w:t xml:space="preserve"> and </w:t>
      </w:r>
      <w:r w:rsidR="00FF2706" w:rsidRPr="00EA4D30">
        <w:rPr>
          <w:lang w:val="en-US"/>
        </w:rPr>
        <w:t>shunt infection (1</w:t>
      </w:r>
      <w:r w:rsidR="00491600">
        <w:rPr>
          <w:lang w:val="en-US"/>
        </w:rPr>
        <w:t>2</w:t>
      </w:r>
      <w:r w:rsidR="00FF2706" w:rsidRPr="00EA4D30">
        <w:rPr>
          <w:lang w:val="en-US"/>
        </w:rPr>
        <w:t>-1</w:t>
      </w:r>
      <w:r w:rsidR="00491600">
        <w:rPr>
          <w:lang w:val="en-US"/>
        </w:rPr>
        <w:t>7</w:t>
      </w:r>
      <w:r w:rsidR="00FF2706" w:rsidRPr="00EA4D30">
        <w:rPr>
          <w:lang w:val="en-US"/>
        </w:rPr>
        <w:t xml:space="preserve">%). </w:t>
      </w:r>
      <w:r w:rsidR="006C328C">
        <w:rPr>
          <w:lang w:val="en-US"/>
        </w:rPr>
        <w:t>Overdrainage (especially in adults and children),</w:t>
      </w:r>
      <w:r w:rsidR="006C328C">
        <w:t xml:space="preserve"> </w:t>
      </w:r>
      <w:r w:rsidR="00457734">
        <w:t>m</w:t>
      </w:r>
      <w:r w:rsidR="00457734" w:rsidRPr="00EA4D30">
        <w:t xml:space="preserve">igration (especially in adults), </w:t>
      </w:r>
      <w:r w:rsidR="00457734">
        <w:t xml:space="preserve">and </w:t>
      </w:r>
      <w:r w:rsidR="00B83B4F">
        <w:t>disconnection</w:t>
      </w:r>
      <w:r w:rsidR="006C328C">
        <w:t xml:space="preserve"> </w:t>
      </w:r>
      <w:r w:rsidR="00FF2706" w:rsidRPr="00EA4D30">
        <w:t>(</w:t>
      </w:r>
      <w:r w:rsidR="00457734">
        <w:t>in all age groups</w:t>
      </w:r>
      <w:r w:rsidR="00F60F08">
        <w:t>)</w:t>
      </w:r>
      <w:r w:rsidR="00FF2706" w:rsidRPr="00EA4D30">
        <w:t xml:space="preserve">, represented up to about one fifth of all reasons for revision, depending on the age group. This </w:t>
      </w:r>
      <w:r w:rsidR="00FF2706" w:rsidRPr="00EA4D30">
        <w:lastRenderedPageBreak/>
        <w:t xml:space="preserve">highlights the need for further improvements in </w:t>
      </w:r>
      <w:r w:rsidR="003927EB" w:rsidRPr="00EA4D30">
        <w:t xml:space="preserve">both surgical technique and shunt device </w:t>
      </w:r>
      <w:r w:rsidR="00FF2706" w:rsidRPr="00EA4D30">
        <w:t xml:space="preserve">technology. </w:t>
      </w:r>
    </w:p>
    <w:p w14:paraId="5C4E0FB0" w14:textId="743A4D6A" w:rsidR="000A4DEE" w:rsidRPr="00EA4D30" w:rsidRDefault="00522CB7" w:rsidP="00DE373D">
      <w:r w:rsidRPr="00EA4D30">
        <w:t>Lastly, patients and their families need to be counselled about the current rates of complications of shunt surgery that our study has documented. Shunt revisions pose a considerable financial burden on health services. For example, the a</w:t>
      </w:r>
      <w:r w:rsidR="000A4DEE" w:rsidRPr="00EA4D30">
        <w:t>verage costs of shunt revisions, as estimated for infections, are $45,714 and $56,104 per patient in adults and children respectively</w:t>
      </w:r>
      <w:r w:rsidR="00DD7669">
        <w:t>.</w:t>
      </w:r>
      <w:r w:rsidR="000A4DEE" w:rsidRPr="00EA4D30">
        <w:fldChar w:fldCharType="begin"/>
      </w:r>
      <w:r w:rsidR="00342497">
        <w:instrText xml:space="preserve"> ADDIN ZOTERO_ITEM CSL_CITATION {"citationID":"mg7l7lt75","properties":{"formattedCitation":"[31]","plainCitation":"[31]","noteIndex":0},"citationItems":[{"id":6094,"uris":["http://zotero.org/users/3274607/items/8DFW8PEG"],"uri":["http://zotero.org/users/3274607/items/8DFW8PEG"],"itemData":{"id":6094,"type":"article-journal","title":"Cost Savings Associated with Antibiotic-Impregnated Shunt Catheters in the Treatment of Adult and Pediatric Hydrocephalus","container-title":"World Neurosurgery","page":"382-386","volume":"83","issue":"3","source":"CrossRef","DOI":"10.1016/j.wneu.2014.06.010","ISSN":"18788750","language":"en","author":[{"family":"Parker","given":"Scott L."},{"family":"McGirt","given":"Matthew J."},{"family":"Murphy","given":"Jeffrey A."},{"family":"Megerian","given":"J. Thomas"},{"family":"Stout","given":"Michael"},{"family":"Engelhart","given":"Luella"}],"issued":{"date-parts":[["2015",3]]}}}],"schema":"https://github.com/citation-style-language/schema/raw/master/csl-citation.json"} </w:instrText>
      </w:r>
      <w:r w:rsidR="000A4DEE" w:rsidRPr="00EA4D30">
        <w:fldChar w:fldCharType="separate"/>
      </w:r>
      <w:r w:rsidR="00342497">
        <w:rPr>
          <w:noProof/>
        </w:rPr>
        <w:t>[31]</w:t>
      </w:r>
      <w:r w:rsidR="000A4DEE" w:rsidRPr="00EA4D30">
        <w:fldChar w:fldCharType="end"/>
      </w:r>
    </w:p>
    <w:p w14:paraId="48A3E402" w14:textId="2BC97411" w:rsidR="00522CB7" w:rsidRPr="00EA4D30" w:rsidRDefault="00FF2706" w:rsidP="00DE373D">
      <w:pPr>
        <w:pStyle w:val="Heading2"/>
      </w:pPr>
      <w:r w:rsidRPr="00EA4D30">
        <w:t>Conclusions</w:t>
      </w:r>
    </w:p>
    <w:p w14:paraId="4615A2DF" w14:textId="4D784F7B" w:rsidR="00522CB7" w:rsidRPr="00EA4D30" w:rsidRDefault="00FF2706" w:rsidP="00522CB7">
      <w:pPr>
        <w:rPr>
          <w:color w:val="FF0000"/>
        </w:rPr>
      </w:pPr>
      <w:r w:rsidRPr="00EA4D30">
        <w:rPr>
          <w:lang w:val="en-US"/>
        </w:rPr>
        <w:t xml:space="preserve">We present epidemiological </w:t>
      </w:r>
      <w:r w:rsidR="005F0361">
        <w:rPr>
          <w:lang w:val="en-US"/>
        </w:rPr>
        <w:t>findings</w:t>
      </w:r>
      <w:r w:rsidRPr="00EA4D30">
        <w:rPr>
          <w:lang w:val="en-US"/>
        </w:rPr>
        <w:t xml:space="preserve"> about CSF shunt surgery based on a </w:t>
      </w:r>
      <w:r w:rsidR="00C254E2" w:rsidRPr="00EA4D30">
        <w:rPr>
          <w:lang w:val="en-US"/>
        </w:rPr>
        <w:t>national registry</w:t>
      </w:r>
      <w:r w:rsidRPr="00EA4D30">
        <w:rPr>
          <w:lang w:val="en-US"/>
        </w:rPr>
        <w:t xml:space="preserve"> monitored for case ascertainment and data quality. It includes 10 years’ data, all possible underlying diagnoses, and separate results for three age groups</w:t>
      </w:r>
      <w:r w:rsidRPr="00EA4D30">
        <w:rPr>
          <w:color w:val="auto"/>
          <w:lang w:val="en-US"/>
        </w:rPr>
        <w:t>.</w:t>
      </w:r>
      <w:r w:rsidR="005F0361">
        <w:rPr>
          <w:color w:val="auto"/>
          <w:lang w:val="en-US"/>
        </w:rPr>
        <w:t xml:space="preserve"> </w:t>
      </w:r>
      <w:bookmarkStart w:id="1" w:name="_GoBack"/>
      <w:bookmarkEnd w:id="1"/>
      <w:r w:rsidR="00522CB7" w:rsidRPr="00EA4D30">
        <w:rPr>
          <w:color w:val="auto"/>
          <w:lang w:val="en-US"/>
        </w:rPr>
        <w:t xml:space="preserve">We would encourage future epidemiology studies to report their results stratified by age groups, and by </w:t>
      </w:r>
      <w:r w:rsidR="00522CB7" w:rsidRPr="00EA4D30">
        <w:rPr>
          <w:color w:val="auto"/>
        </w:rPr>
        <w:t>aetiology</w:t>
      </w:r>
      <w:r w:rsidR="00D519DF" w:rsidRPr="00EA4D30">
        <w:rPr>
          <w:color w:val="auto"/>
        </w:rPr>
        <w:t>, and to make use of electronic reporting to decrease the risk of missing data</w:t>
      </w:r>
      <w:r w:rsidR="00522CB7" w:rsidRPr="00EA4D30">
        <w:rPr>
          <w:color w:val="auto"/>
          <w:lang w:val="en-US"/>
        </w:rPr>
        <w:t>.</w:t>
      </w:r>
      <w:r w:rsidR="00522CB7" w:rsidRPr="00EA4D30">
        <w:rPr>
          <w:color w:val="FF0000"/>
        </w:rPr>
        <w:t xml:space="preserve"> </w:t>
      </w:r>
    </w:p>
    <w:p w14:paraId="4248A325" w14:textId="5EF5CF52" w:rsidR="00B227CD" w:rsidRDefault="00470911" w:rsidP="00263F28">
      <w:pPr>
        <w:rPr>
          <w:lang w:val="en-US"/>
        </w:rPr>
      </w:pPr>
      <w:r w:rsidRPr="00EA4D30">
        <w:rPr>
          <w:lang w:val="en-US"/>
        </w:rPr>
        <w:t xml:space="preserve">Our </w:t>
      </w:r>
      <w:r w:rsidR="004671B6" w:rsidRPr="00EA4D30">
        <w:rPr>
          <w:lang w:val="en-US"/>
        </w:rPr>
        <w:t>report</w:t>
      </w:r>
      <w:r w:rsidRPr="00EA4D30">
        <w:rPr>
          <w:lang w:val="en-US"/>
        </w:rPr>
        <w:t xml:space="preserve"> should help to inform patients, carers, clinicians, provid</w:t>
      </w:r>
      <w:r w:rsidR="00D36C3C" w:rsidRPr="00EA4D30">
        <w:rPr>
          <w:lang w:val="en-US"/>
        </w:rPr>
        <w:t>ers and commissioners of health</w:t>
      </w:r>
      <w:r w:rsidRPr="00EA4D30">
        <w:rPr>
          <w:lang w:val="en-US"/>
        </w:rPr>
        <w:t>care, regulators</w:t>
      </w:r>
      <w:r w:rsidR="00D36C3C" w:rsidRPr="00EA4D30">
        <w:rPr>
          <w:lang w:val="en-US"/>
        </w:rPr>
        <w:t>, designers of clinical trials and implant suppliers of the current epidemiology of shunting for CSF disorders.</w:t>
      </w:r>
      <w:r w:rsidRPr="00EA4D30">
        <w:rPr>
          <w:lang w:val="en-US"/>
        </w:rPr>
        <w:t xml:space="preserve"> </w:t>
      </w:r>
    </w:p>
    <w:p w14:paraId="1C17E49C" w14:textId="77777777" w:rsidR="00A531BA" w:rsidRDefault="00A531BA" w:rsidP="00A531BA">
      <w:pPr>
        <w:pStyle w:val="Heading2"/>
        <w:rPr>
          <w:lang w:val="en-US"/>
        </w:rPr>
      </w:pPr>
      <w:r w:rsidRPr="00B35F44">
        <w:rPr>
          <w:lang w:val="en-US"/>
        </w:rPr>
        <w:t>Contributorship</w:t>
      </w:r>
    </w:p>
    <w:p w14:paraId="5BA9F209" w14:textId="77777777" w:rsidR="00A531BA" w:rsidRPr="00B35F44" w:rsidRDefault="00A531BA" w:rsidP="00A531BA">
      <w:pPr>
        <w:rPr>
          <w:lang w:val="en-US"/>
        </w:rPr>
      </w:pPr>
      <w:r>
        <w:rPr>
          <w:lang w:val="en-US"/>
        </w:rPr>
        <w:t>JDP established the UK Shunt Registry in 1993 and has had overall responsibility up to the present time. HR and HS contributed to data acquisition, data management and storage and quality assurance of the UKSR.  RFM, AJJ and JDP conceived the analysis plan, RFM carried out data quality checks, cleansing and analyses, and all authors contributed to data interpretation. RFM d</w:t>
      </w:r>
      <w:r w:rsidRPr="00680E53">
        <w:rPr>
          <w:lang w:val="en-US"/>
        </w:rPr>
        <w:t xml:space="preserve">rafted the manuscript and all remaining authors critically revised </w:t>
      </w:r>
      <w:r>
        <w:rPr>
          <w:lang w:val="en-US"/>
        </w:rPr>
        <w:t>it</w:t>
      </w:r>
      <w:r w:rsidRPr="00680E53">
        <w:rPr>
          <w:lang w:val="en-US"/>
        </w:rPr>
        <w:t xml:space="preserve">. </w:t>
      </w:r>
      <w:r w:rsidRPr="001C12CC">
        <w:rPr>
          <w:lang w:val="en-US"/>
        </w:rPr>
        <w:t>All au</w:t>
      </w:r>
      <w:r>
        <w:rPr>
          <w:lang w:val="en-US"/>
        </w:rPr>
        <w:t>thors approved the ﬁnal version of the manuscript for publication.</w:t>
      </w:r>
    </w:p>
    <w:p w14:paraId="1DE71390" w14:textId="319284E8" w:rsidR="004C6D4D" w:rsidRPr="00D31F78" w:rsidRDefault="004C6D4D" w:rsidP="004C6D4D">
      <w:pPr>
        <w:pStyle w:val="Heading2"/>
        <w:rPr>
          <w:lang w:val="en-US"/>
        </w:rPr>
      </w:pPr>
      <w:r w:rsidRPr="00D31F78">
        <w:rPr>
          <w:lang w:val="en-US"/>
        </w:rPr>
        <w:t>Acknowledgements</w:t>
      </w:r>
    </w:p>
    <w:p w14:paraId="44E64D0F" w14:textId="58D5236E" w:rsidR="004C6D4D" w:rsidRPr="00D31F78" w:rsidRDefault="004C6D4D" w:rsidP="004C6D4D">
      <w:pPr>
        <w:rPr>
          <w:lang w:val="en-US"/>
        </w:rPr>
      </w:pPr>
      <w:r w:rsidRPr="00D31F78">
        <w:rPr>
          <w:lang w:val="en-US"/>
        </w:rPr>
        <w:t>The authors are grateful for the participation of cen</w:t>
      </w:r>
      <w:r>
        <w:rPr>
          <w:lang w:val="en-US"/>
        </w:rPr>
        <w:t>tre</w:t>
      </w:r>
      <w:r w:rsidRPr="00D31F78">
        <w:rPr>
          <w:lang w:val="en-US"/>
        </w:rPr>
        <w:t>s</w:t>
      </w:r>
      <w:r>
        <w:rPr>
          <w:lang w:val="en-US"/>
        </w:rPr>
        <w:t xml:space="preserve"> across the UK and Ireland which</w:t>
      </w:r>
      <w:r w:rsidRPr="00D31F78">
        <w:rPr>
          <w:lang w:val="en-US"/>
        </w:rPr>
        <w:t xml:space="preserve"> perform shunt surgery. These centers not only supply our data, but also </w:t>
      </w:r>
      <w:r>
        <w:rPr>
          <w:lang w:val="en-US"/>
        </w:rPr>
        <w:t xml:space="preserve">help to </w:t>
      </w:r>
      <w:r w:rsidRPr="00D31F78">
        <w:rPr>
          <w:lang w:val="en-US"/>
        </w:rPr>
        <w:t>fund the registry.</w:t>
      </w:r>
      <w:r w:rsidR="00AA2E48">
        <w:rPr>
          <w:lang w:val="en-US"/>
        </w:rPr>
        <w:t xml:space="preserve"> </w:t>
      </w:r>
      <w:r w:rsidR="00751DF6">
        <w:rPr>
          <w:lang w:val="en-US"/>
        </w:rPr>
        <w:t>We are very grateful to the Medical Devices Agency (now MHRA)</w:t>
      </w:r>
      <w:r w:rsidR="004D33C4">
        <w:rPr>
          <w:lang w:val="en-US"/>
        </w:rPr>
        <w:t>, the Association for Spina Bifida and Hydrocephalus (ASBAH</w:t>
      </w:r>
      <w:r w:rsidR="003601F9">
        <w:rPr>
          <w:lang w:val="en-US"/>
        </w:rPr>
        <w:t>,</w:t>
      </w:r>
      <w:r w:rsidR="004D33C4">
        <w:rPr>
          <w:lang w:val="en-US"/>
        </w:rPr>
        <w:t xml:space="preserve"> now SHINE) and Spina Bifida </w:t>
      </w:r>
      <w:r w:rsidR="00963A10">
        <w:rPr>
          <w:lang w:val="en-US"/>
        </w:rPr>
        <w:t>Hydrocephalus Scotland</w:t>
      </w:r>
      <w:r w:rsidR="004D33C4">
        <w:rPr>
          <w:lang w:val="en-US"/>
        </w:rPr>
        <w:t xml:space="preserve"> for their support. </w:t>
      </w:r>
      <w:r w:rsidR="00AA2E48">
        <w:rPr>
          <w:lang w:val="en-US"/>
        </w:rPr>
        <w:t>T</w:t>
      </w:r>
      <w:r w:rsidR="00AA2E48" w:rsidRPr="009A58B1">
        <w:rPr>
          <w:iCs/>
          <w:lang w:val="en-US"/>
        </w:rPr>
        <w:t xml:space="preserve">he research was supported by </w:t>
      </w:r>
      <w:r w:rsidR="004D33C4" w:rsidRPr="00EA4D30">
        <w:rPr>
          <w:lang w:val="en-US"/>
        </w:rPr>
        <w:t>Medical Audit Committee of the East Anglian Regional Health Authority</w:t>
      </w:r>
      <w:r w:rsidR="004D33C4" w:rsidRPr="009A58B1">
        <w:rPr>
          <w:iCs/>
          <w:lang w:val="en-US"/>
        </w:rPr>
        <w:t xml:space="preserve"> </w:t>
      </w:r>
      <w:r w:rsidR="004D33C4">
        <w:rPr>
          <w:iCs/>
          <w:lang w:val="en-US"/>
        </w:rPr>
        <w:t xml:space="preserve">and </w:t>
      </w:r>
      <w:r w:rsidR="00AA2E48" w:rsidRPr="009A58B1">
        <w:rPr>
          <w:iCs/>
          <w:lang w:val="en-US"/>
        </w:rPr>
        <w:t xml:space="preserve">the National Institute for Health Research (NIHR) Brain Injury </w:t>
      </w:r>
      <w:r w:rsidR="00AA2E48">
        <w:rPr>
          <w:iCs/>
          <w:lang w:val="en-US"/>
        </w:rPr>
        <w:lastRenderedPageBreak/>
        <w:t>Healthcare Technology</w:t>
      </w:r>
      <w:r w:rsidR="00AA2E48" w:rsidRPr="009A58B1">
        <w:rPr>
          <w:iCs/>
          <w:lang w:val="en-US"/>
        </w:rPr>
        <w:t xml:space="preserve"> Co-operative based at Cambridge University Hospitals NHS Foundation Tru</w:t>
      </w:r>
      <w:r w:rsidR="00AA2E48">
        <w:rPr>
          <w:iCs/>
          <w:lang w:val="en-US"/>
        </w:rPr>
        <w:t>st and University of Cambridge.</w:t>
      </w:r>
      <w:r>
        <w:rPr>
          <w:lang w:val="en-US"/>
        </w:rPr>
        <w:t xml:space="preserve"> We thank Elizabeth Tabone for her </w:t>
      </w:r>
      <w:r w:rsidR="004D33C4">
        <w:rPr>
          <w:lang w:val="en-US"/>
        </w:rPr>
        <w:t xml:space="preserve">meticulous </w:t>
      </w:r>
      <w:r>
        <w:rPr>
          <w:lang w:val="en-US"/>
        </w:rPr>
        <w:t>contributions to data entry and data quality checks. Finally, we are very grateful to Professor Gordon Murray for his invaluable critique.</w:t>
      </w:r>
    </w:p>
    <w:p w14:paraId="1CA2D348" w14:textId="77777777" w:rsidR="00A531BA" w:rsidRDefault="00A531BA" w:rsidP="00A531BA">
      <w:pPr>
        <w:pStyle w:val="Heading2"/>
        <w:rPr>
          <w:lang w:val="en-US"/>
        </w:rPr>
      </w:pPr>
      <w:r w:rsidRPr="00FF670C">
        <w:rPr>
          <w:lang w:val="en-US"/>
        </w:rPr>
        <w:t>Funding</w:t>
      </w:r>
    </w:p>
    <w:p w14:paraId="2D9039D7" w14:textId="77777777" w:rsidR="00A531BA" w:rsidRDefault="00A531BA" w:rsidP="00A531BA">
      <w:pPr>
        <w:rPr>
          <w:lang w:val="en-US"/>
        </w:rPr>
      </w:pPr>
      <w:r>
        <w:rPr>
          <w:lang w:val="en-US"/>
        </w:rPr>
        <w:t>UKSR participating NHS Trusts and National Institute for Health Research.</w:t>
      </w:r>
    </w:p>
    <w:p w14:paraId="522718CE" w14:textId="77777777" w:rsidR="004C6D4D" w:rsidRPr="00680E53" w:rsidRDefault="004C6D4D" w:rsidP="004C6D4D">
      <w:pPr>
        <w:pStyle w:val="Heading2"/>
        <w:rPr>
          <w:lang w:val="en-US"/>
        </w:rPr>
      </w:pPr>
      <w:r>
        <w:rPr>
          <w:lang w:val="en-US"/>
        </w:rPr>
        <w:t>Competing</w:t>
      </w:r>
      <w:r w:rsidRPr="00680E53">
        <w:rPr>
          <w:lang w:val="en-US"/>
        </w:rPr>
        <w:t xml:space="preserve"> interests</w:t>
      </w:r>
    </w:p>
    <w:p w14:paraId="40EF874E" w14:textId="118E03AC" w:rsidR="004C6D4D" w:rsidRPr="00D31F78" w:rsidRDefault="004C6D4D" w:rsidP="004C6D4D">
      <w:pPr>
        <w:rPr>
          <w:lang w:val="en-US"/>
        </w:rPr>
      </w:pPr>
      <w:r>
        <w:rPr>
          <w:lang w:val="en-US"/>
        </w:rPr>
        <w:t xml:space="preserve">The UKSR is supported by annual subscription fees from each participating institution. </w:t>
      </w:r>
      <w:r w:rsidRPr="007022DE">
        <w:rPr>
          <w:lang w:val="en-US"/>
        </w:rPr>
        <w:t>Support for a research fellowship program has been established</w:t>
      </w:r>
      <w:r>
        <w:rPr>
          <w:lang w:val="en-US"/>
        </w:rPr>
        <w:t xml:space="preserve"> </w:t>
      </w:r>
      <w:r w:rsidRPr="007022DE">
        <w:rPr>
          <w:lang w:val="en-US"/>
        </w:rPr>
        <w:t>by industry, who receive data on the performance and usage of their own</w:t>
      </w:r>
      <w:r>
        <w:rPr>
          <w:lang w:val="en-US"/>
        </w:rPr>
        <w:t xml:space="preserve"> </w:t>
      </w:r>
      <w:r w:rsidRPr="007022DE">
        <w:rPr>
          <w:lang w:val="en-US"/>
        </w:rPr>
        <w:t>products</w:t>
      </w:r>
      <w:r>
        <w:rPr>
          <w:lang w:val="en-US"/>
        </w:rPr>
        <w:t xml:space="preserve"> to facilitate their post-marketing surveillance</w:t>
      </w:r>
      <w:r w:rsidRPr="007022DE">
        <w:rPr>
          <w:lang w:val="en-US"/>
        </w:rPr>
        <w:t>. The UK Shunt Registry has complete independence over</w:t>
      </w:r>
      <w:r>
        <w:rPr>
          <w:lang w:val="en-US"/>
        </w:rPr>
        <w:t xml:space="preserve"> </w:t>
      </w:r>
      <w:r w:rsidRPr="007022DE">
        <w:rPr>
          <w:lang w:val="en-US"/>
        </w:rPr>
        <w:t>data collection, analysis, and publication</w:t>
      </w:r>
      <w:r>
        <w:rPr>
          <w:lang w:val="en-US"/>
        </w:rPr>
        <w:t xml:space="preserve">. </w:t>
      </w:r>
      <w:r w:rsidRPr="00AF334E">
        <w:rPr>
          <w:lang w:val="en-US"/>
        </w:rPr>
        <w:t>AJJ is supported by an NIHR academic clinical lectureship award.</w:t>
      </w:r>
      <w:r>
        <w:rPr>
          <w:lang w:val="en-US"/>
        </w:rPr>
        <w:t xml:space="preserve"> JDP was an NIHR Senior Investigator (2009-2014) and is Honorary Clinical </w:t>
      </w:r>
      <w:r w:rsidR="00AA2E48">
        <w:rPr>
          <w:lang w:val="en-US"/>
        </w:rPr>
        <w:t xml:space="preserve">Director </w:t>
      </w:r>
      <w:r>
        <w:rPr>
          <w:lang w:val="en-US"/>
        </w:rPr>
        <w:t xml:space="preserve">of the NIHR Brain Injury HTC (2012-2017), now MIC (2018-2023). </w:t>
      </w:r>
      <w:r w:rsidRPr="00D31F78">
        <w:rPr>
          <w:lang w:val="en-US"/>
        </w:rPr>
        <w:t>The registry has responsibilities to the Society of British Neurological Surgeons and the Medicines and Healthcare products Regulatory Agency.</w:t>
      </w:r>
    </w:p>
    <w:p w14:paraId="135E75B1" w14:textId="77777777" w:rsidR="003F356D" w:rsidRDefault="003F356D">
      <w:pPr>
        <w:spacing w:before="0" w:after="0" w:line="240" w:lineRule="auto"/>
        <w:jc w:val="left"/>
        <w:rPr>
          <w:b/>
          <w:sz w:val="28"/>
          <w:szCs w:val="28"/>
        </w:rPr>
      </w:pPr>
      <w:r>
        <w:br w:type="page"/>
      </w:r>
    </w:p>
    <w:p w14:paraId="0448EEAE" w14:textId="4C487933" w:rsidR="00231AFC" w:rsidRPr="00EA4D30" w:rsidRDefault="00231AFC" w:rsidP="00231AFC">
      <w:pPr>
        <w:pStyle w:val="Heading1"/>
        <w:rPr>
          <w:color w:val="FF0000"/>
        </w:rPr>
      </w:pPr>
      <w:r w:rsidRPr="00EA4D30">
        <w:lastRenderedPageBreak/>
        <w:t>REFERENCES</w:t>
      </w:r>
    </w:p>
    <w:p w14:paraId="5A2CB4EE" w14:textId="77777777" w:rsidR="00342497" w:rsidRPr="007F23A7" w:rsidRDefault="00231AFC" w:rsidP="007F23A7">
      <w:pPr>
        <w:pStyle w:val="Bibliography"/>
        <w:rPr>
          <w:color w:val="auto"/>
          <w:lang w:val="en-US"/>
        </w:rPr>
      </w:pPr>
      <w:r w:rsidRPr="00EA4D30">
        <w:fldChar w:fldCharType="begin"/>
      </w:r>
      <w:r w:rsidR="00CB17E5">
        <w:instrText xml:space="preserve"> ADDIN ZOTERO_BIBL {"uncited":[],"omitted":[],"custom":[]} CSL_BIBLIOGRAPHY </w:instrText>
      </w:r>
      <w:r w:rsidRPr="00EA4D30">
        <w:fldChar w:fldCharType="separate"/>
      </w:r>
      <w:r w:rsidR="00342497" w:rsidRPr="007F23A7">
        <w:rPr>
          <w:color w:val="auto"/>
          <w:lang w:val="en-US"/>
        </w:rPr>
        <w:t xml:space="preserve">1 </w:t>
      </w:r>
      <w:r w:rsidR="00342497" w:rsidRPr="007F23A7">
        <w:rPr>
          <w:color w:val="auto"/>
          <w:lang w:val="en-US"/>
        </w:rPr>
        <w:tab/>
        <w:t xml:space="preserve">Dewan MC, Rattani A, Mekary R, </w:t>
      </w:r>
      <w:r w:rsidR="00342497" w:rsidRPr="007F23A7">
        <w:rPr>
          <w:i/>
          <w:iCs/>
          <w:color w:val="auto"/>
          <w:lang w:val="en-US"/>
        </w:rPr>
        <w:t>et al.</w:t>
      </w:r>
      <w:r w:rsidR="00342497" w:rsidRPr="007F23A7">
        <w:rPr>
          <w:color w:val="auto"/>
          <w:lang w:val="en-US"/>
        </w:rPr>
        <w:t xml:space="preserve"> Global hydrocephalus epidemiology and incidence: systematic review and meta-analysis. </w:t>
      </w:r>
      <w:r w:rsidR="00342497" w:rsidRPr="007F23A7">
        <w:rPr>
          <w:i/>
          <w:iCs/>
          <w:color w:val="auto"/>
          <w:lang w:val="en-US"/>
        </w:rPr>
        <w:t>J Neurosurg</w:t>
      </w:r>
      <w:r w:rsidR="00342497" w:rsidRPr="007F23A7">
        <w:rPr>
          <w:color w:val="auto"/>
          <w:lang w:val="en-US"/>
        </w:rPr>
        <w:t xml:space="preserve"> 2018;:1–15. doi:10.3171/2017.10.JNS17439</w:t>
      </w:r>
    </w:p>
    <w:p w14:paraId="002601A1" w14:textId="77777777" w:rsidR="00342497" w:rsidRPr="007F23A7" w:rsidRDefault="00342497" w:rsidP="007F23A7">
      <w:pPr>
        <w:pStyle w:val="Bibliography"/>
        <w:rPr>
          <w:color w:val="auto"/>
          <w:lang w:val="en-US"/>
        </w:rPr>
      </w:pPr>
      <w:r w:rsidRPr="007F23A7">
        <w:rPr>
          <w:color w:val="auto"/>
          <w:lang w:val="en-US"/>
        </w:rPr>
        <w:t xml:space="preserve">2 </w:t>
      </w:r>
      <w:r w:rsidRPr="007F23A7">
        <w:rPr>
          <w:color w:val="auto"/>
          <w:lang w:val="en-US"/>
        </w:rPr>
        <w:tab/>
        <w:t xml:space="preserve">Notarianni C, Vannemreddy P, Caldito G, </w:t>
      </w:r>
      <w:r w:rsidRPr="007F23A7">
        <w:rPr>
          <w:i/>
          <w:iCs/>
          <w:color w:val="auto"/>
          <w:lang w:val="en-US"/>
        </w:rPr>
        <w:t>et al.</w:t>
      </w:r>
      <w:r w:rsidRPr="007F23A7">
        <w:rPr>
          <w:color w:val="auto"/>
          <w:lang w:val="en-US"/>
        </w:rPr>
        <w:t xml:space="preserve"> Congenital hydrocephalus and ventriculoperitoneal shunts: influence of etiology and programmable shunts on revisions. </w:t>
      </w:r>
      <w:r w:rsidRPr="007F23A7">
        <w:rPr>
          <w:i/>
          <w:iCs/>
          <w:color w:val="auto"/>
          <w:lang w:val="en-US"/>
        </w:rPr>
        <w:t>J Neurosurg Pediatr</w:t>
      </w:r>
      <w:r w:rsidRPr="007F23A7">
        <w:rPr>
          <w:color w:val="auto"/>
          <w:lang w:val="en-US"/>
        </w:rPr>
        <w:t xml:space="preserve"> 2009;</w:t>
      </w:r>
      <w:r w:rsidRPr="007F23A7">
        <w:rPr>
          <w:b/>
          <w:bCs/>
          <w:color w:val="auto"/>
          <w:lang w:val="en-US"/>
        </w:rPr>
        <w:t>4</w:t>
      </w:r>
      <w:r w:rsidRPr="007F23A7">
        <w:rPr>
          <w:color w:val="auto"/>
          <w:lang w:val="en-US"/>
        </w:rPr>
        <w:t>:547–552. doi:10.3171/2009.7.PEDS08371</w:t>
      </w:r>
    </w:p>
    <w:p w14:paraId="4D1937EF" w14:textId="77777777" w:rsidR="00342497" w:rsidRPr="007F23A7" w:rsidRDefault="00342497" w:rsidP="007F23A7">
      <w:pPr>
        <w:pStyle w:val="Bibliography"/>
        <w:rPr>
          <w:color w:val="auto"/>
          <w:lang w:val="en-US"/>
        </w:rPr>
      </w:pPr>
      <w:r w:rsidRPr="007F23A7">
        <w:rPr>
          <w:color w:val="auto"/>
          <w:lang w:val="en-US"/>
        </w:rPr>
        <w:t xml:space="preserve">3 </w:t>
      </w:r>
      <w:r w:rsidRPr="007F23A7">
        <w:rPr>
          <w:color w:val="auto"/>
          <w:lang w:val="en-US"/>
        </w:rPr>
        <w:tab/>
        <w:t xml:space="preserve">Mollan SP, Ali F, Hassan-Smith G, </w:t>
      </w:r>
      <w:r w:rsidRPr="007F23A7">
        <w:rPr>
          <w:i/>
          <w:iCs/>
          <w:color w:val="auto"/>
          <w:lang w:val="en-US"/>
        </w:rPr>
        <w:t>et al.</w:t>
      </w:r>
      <w:r w:rsidRPr="007F23A7">
        <w:rPr>
          <w:color w:val="auto"/>
          <w:lang w:val="en-US"/>
        </w:rPr>
        <w:t xml:space="preserve"> Evolving evidence in adult idiopathic intracranial hypertension: pathophysiology and management. </w:t>
      </w:r>
      <w:r w:rsidRPr="007F23A7">
        <w:rPr>
          <w:i/>
          <w:iCs/>
          <w:color w:val="auto"/>
          <w:lang w:val="en-US"/>
        </w:rPr>
        <w:t>J Neurol Neurosurg Psychiatry</w:t>
      </w:r>
      <w:r w:rsidRPr="007F23A7">
        <w:rPr>
          <w:color w:val="auto"/>
          <w:lang w:val="en-US"/>
        </w:rPr>
        <w:t xml:space="preserve"> 2016;</w:t>
      </w:r>
      <w:r w:rsidRPr="007F23A7">
        <w:rPr>
          <w:b/>
          <w:bCs/>
          <w:color w:val="auto"/>
          <w:lang w:val="en-US"/>
        </w:rPr>
        <w:t>87</w:t>
      </w:r>
      <w:r w:rsidRPr="007F23A7">
        <w:rPr>
          <w:color w:val="auto"/>
          <w:lang w:val="en-US"/>
        </w:rPr>
        <w:t>:982–92. doi:10.1136/jnnp-2015-311302</w:t>
      </w:r>
    </w:p>
    <w:p w14:paraId="5B839960" w14:textId="77777777" w:rsidR="00342497" w:rsidRPr="007F23A7" w:rsidRDefault="00342497" w:rsidP="007F23A7">
      <w:pPr>
        <w:pStyle w:val="Bibliography"/>
        <w:rPr>
          <w:color w:val="auto"/>
          <w:lang w:val="en-US"/>
        </w:rPr>
      </w:pPr>
      <w:r w:rsidRPr="007F23A7">
        <w:rPr>
          <w:color w:val="auto"/>
          <w:lang w:val="en-US"/>
        </w:rPr>
        <w:t xml:space="preserve">4 </w:t>
      </w:r>
      <w:r w:rsidRPr="007F23A7">
        <w:rPr>
          <w:color w:val="auto"/>
          <w:lang w:val="en-US"/>
        </w:rPr>
        <w:tab/>
        <w:t xml:space="preserve">Stein SC, Guo W. Have we made progress in preventing shunt failure? A critical analysis. </w:t>
      </w:r>
      <w:r w:rsidRPr="007F23A7">
        <w:rPr>
          <w:i/>
          <w:iCs/>
          <w:color w:val="auto"/>
          <w:lang w:val="en-US"/>
        </w:rPr>
        <w:t>J Neurosurg Pediatr</w:t>
      </w:r>
      <w:r w:rsidRPr="007F23A7">
        <w:rPr>
          <w:color w:val="auto"/>
          <w:lang w:val="en-US"/>
        </w:rPr>
        <w:t xml:space="preserve"> 2008;</w:t>
      </w:r>
      <w:r w:rsidRPr="007F23A7">
        <w:rPr>
          <w:b/>
          <w:bCs/>
          <w:color w:val="auto"/>
          <w:lang w:val="en-US"/>
        </w:rPr>
        <w:t>1</w:t>
      </w:r>
      <w:r w:rsidRPr="007F23A7">
        <w:rPr>
          <w:color w:val="auto"/>
          <w:lang w:val="en-US"/>
        </w:rPr>
        <w:t>:40–7. doi:10.3171/PED-08/01/040</w:t>
      </w:r>
    </w:p>
    <w:p w14:paraId="629FE006" w14:textId="77777777" w:rsidR="00342497" w:rsidRPr="007F23A7" w:rsidRDefault="00342497" w:rsidP="007F23A7">
      <w:pPr>
        <w:pStyle w:val="Bibliography"/>
        <w:rPr>
          <w:color w:val="auto"/>
          <w:lang w:val="en-US"/>
        </w:rPr>
      </w:pPr>
      <w:r w:rsidRPr="007F23A7">
        <w:rPr>
          <w:color w:val="auto"/>
          <w:lang w:val="en-US"/>
        </w:rPr>
        <w:t xml:space="preserve">5 </w:t>
      </w:r>
      <w:r w:rsidRPr="007F23A7">
        <w:rPr>
          <w:color w:val="auto"/>
          <w:lang w:val="en-US"/>
        </w:rPr>
        <w:tab/>
        <w:t xml:space="preserve">Persson E-K, Hagberg G, Uvebrant P. Hydrocephalus prevalence and outcome in a population-based cohort of children born in 1989-1998. </w:t>
      </w:r>
      <w:r w:rsidRPr="007F23A7">
        <w:rPr>
          <w:i/>
          <w:iCs/>
          <w:color w:val="auto"/>
          <w:lang w:val="en-US"/>
        </w:rPr>
        <w:t>Acta Paediatr</w:t>
      </w:r>
      <w:r w:rsidRPr="007F23A7">
        <w:rPr>
          <w:color w:val="auto"/>
          <w:lang w:val="en-US"/>
        </w:rPr>
        <w:t xml:space="preserve"> 2005;</w:t>
      </w:r>
      <w:r w:rsidRPr="007F23A7">
        <w:rPr>
          <w:b/>
          <w:bCs/>
          <w:color w:val="auto"/>
          <w:lang w:val="en-US"/>
        </w:rPr>
        <w:t>94</w:t>
      </w:r>
      <w:r w:rsidRPr="007F23A7">
        <w:rPr>
          <w:color w:val="auto"/>
          <w:lang w:val="en-US"/>
        </w:rPr>
        <w:t>:726–32. doi:10.1080/08033250510027336</w:t>
      </w:r>
    </w:p>
    <w:p w14:paraId="2A623274" w14:textId="77777777" w:rsidR="00342497" w:rsidRPr="007F23A7" w:rsidRDefault="00342497" w:rsidP="007F23A7">
      <w:pPr>
        <w:pStyle w:val="Bibliography"/>
        <w:rPr>
          <w:color w:val="auto"/>
          <w:lang w:val="en-US"/>
        </w:rPr>
      </w:pPr>
      <w:r w:rsidRPr="007F23A7">
        <w:rPr>
          <w:color w:val="auto"/>
          <w:lang w:val="en-US"/>
        </w:rPr>
        <w:t xml:space="preserve">6 </w:t>
      </w:r>
      <w:r w:rsidRPr="007F23A7">
        <w:rPr>
          <w:color w:val="auto"/>
          <w:lang w:val="en-US"/>
        </w:rPr>
        <w:tab/>
        <w:t xml:space="preserve">Richards HK, Seeley HM, Pickard JD. Efficacy of antibiotic-impregnated shunt catheters in reducing shunt infection: data from the United Kingdom Shunt Registry. </w:t>
      </w:r>
      <w:r w:rsidRPr="007F23A7">
        <w:rPr>
          <w:i/>
          <w:iCs/>
          <w:color w:val="auto"/>
          <w:lang w:val="en-US"/>
        </w:rPr>
        <w:t>J Neurosurg Pediatr</w:t>
      </w:r>
      <w:r w:rsidRPr="007F23A7">
        <w:rPr>
          <w:color w:val="auto"/>
          <w:lang w:val="en-US"/>
        </w:rPr>
        <w:t xml:space="preserve"> 2009;</w:t>
      </w:r>
      <w:r w:rsidRPr="007F23A7">
        <w:rPr>
          <w:b/>
          <w:bCs/>
          <w:color w:val="auto"/>
          <w:lang w:val="en-US"/>
        </w:rPr>
        <w:t>4</w:t>
      </w:r>
      <w:r w:rsidRPr="007F23A7">
        <w:rPr>
          <w:color w:val="auto"/>
          <w:lang w:val="en-US"/>
        </w:rPr>
        <w:t>:389–393. doi:10.3171/2009.4.PEDS09210</w:t>
      </w:r>
    </w:p>
    <w:p w14:paraId="143651AD" w14:textId="77777777" w:rsidR="00342497" w:rsidRPr="007F23A7" w:rsidRDefault="00342497" w:rsidP="007F23A7">
      <w:pPr>
        <w:pStyle w:val="Bibliography"/>
        <w:rPr>
          <w:color w:val="auto"/>
          <w:lang w:val="en-US"/>
        </w:rPr>
      </w:pPr>
      <w:r w:rsidRPr="007F23A7">
        <w:rPr>
          <w:color w:val="auto"/>
          <w:lang w:val="en-US"/>
        </w:rPr>
        <w:t xml:space="preserve">7 </w:t>
      </w:r>
      <w:r w:rsidRPr="007F23A7">
        <w:rPr>
          <w:color w:val="auto"/>
          <w:lang w:val="en-US"/>
        </w:rPr>
        <w:tab/>
        <w:t xml:space="preserve">Markey KA, Mollan SP, Jensen RH, </w:t>
      </w:r>
      <w:r w:rsidRPr="007F23A7">
        <w:rPr>
          <w:i/>
          <w:iCs/>
          <w:color w:val="auto"/>
          <w:lang w:val="en-US"/>
        </w:rPr>
        <w:t>et al.</w:t>
      </w:r>
      <w:r w:rsidRPr="007F23A7">
        <w:rPr>
          <w:color w:val="auto"/>
          <w:lang w:val="en-US"/>
        </w:rPr>
        <w:t xml:space="preserve"> Understanding idiopathic intracranial hypertension: mechanisms, management, and future directions. </w:t>
      </w:r>
      <w:r w:rsidRPr="007F23A7">
        <w:rPr>
          <w:i/>
          <w:iCs/>
          <w:color w:val="auto"/>
          <w:lang w:val="en-US"/>
        </w:rPr>
        <w:t>Lancet Neurol</w:t>
      </w:r>
      <w:r w:rsidRPr="007F23A7">
        <w:rPr>
          <w:color w:val="auto"/>
          <w:lang w:val="en-US"/>
        </w:rPr>
        <w:t xml:space="preserve"> 2016;</w:t>
      </w:r>
      <w:r w:rsidRPr="007F23A7">
        <w:rPr>
          <w:b/>
          <w:bCs/>
          <w:color w:val="auto"/>
          <w:lang w:val="en-US"/>
        </w:rPr>
        <w:t>15</w:t>
      </w:r>
      <w:r w:rsidRPr="007F23A7">
        <w:rPr>
          <w:color w:val="auto"/>
          <w:lang w:val="en-US"/>
        </w:rPr>
        <w:t>:78–91. doi:10.1016/S1474-4422(15)00298-7</w:t>
      </w:r>
    </w:p>
    <w:p w14:paraId="02E822E8" w14:textId="77777777" w:rsidR="00342497" w:rsidRPr="007F23A7" w:rsidRDefault="00342497" w:rsidP="007F23A7">
      <w:pPr>
        <w:pStyle w:val="Bibliography"/>
        <w:rPr>
          <w:color w:val="auto"/>
          <w:lang w:val="en-US"/>
        </w:rPr>
      </w:pPr>
      <w:r w:rsidRPr="007F23A7">
        <w:rPr>
          <w:color w:val="auto"/>
          <w:lang w:val="en-US"/>
        </w:rPr>
        <w:t xml:space="preserve">8 </w:t>
      </w:r>
      <w:r w:rsidRPr="007F23A7">
        <w:rPr>
          <w:color w:val="auto"/>
          <w:lang w:val="en-US"/>
        </w:rPr>
        <w:tab/>
        <w:t xml:space="preserve">Brean A, Eide PK. Prevalence of probable idiopathic normal pressure hydrocephalus in a Norwegian population. </w:t>
      </w:r>
      <w:r w:rsidRPr="007F23A7">
        <w:rPr>
          <w:i/>
          <w:iCs/>
          <w:color w:val="auto"/>
          <w:lang w:val="en-US"/>
        </w:rPr>
        <w:t>Acta Neurol Scand</w:t>
      </w:r>
      <w:r w:rsidRPr="007F23A7">
        <w:rPr>
          <w:color w:val="auto"/>
          <w:lang w:val="en-US"/>
        </w:rPr>
        <w:t xml:space="preserve"> 2008;</w:t>
      </w:r>
      <w:r w:rsidRPr="007F23A7">
        <w:rPr>
          <w:b/>
          <w:bCs/>
          <w:color w:val="auto"/>
          <w:lang w:val="en-US"/>
        </w:rPr>
        <w:t>118</w:t>
      </w:r>
      <w:r w:rsidRPr="007F23A7">
        <w:rPr>
          <w:color w:val="auto"/>
          <w:lang w:val="en-US"/>
        </w:rPr>
        <w:t>:48–53. doi:10.1111/j.1600-0404.2007.00982.x</w:t>
      </w:r>
    </w:p>
    <w:p w14:paraId="1E8FD595" w14:textId="77777777" w:rsidR="00342497" w:rsidRPr="007F23A7" w:rsidRDefault="00342497" w:rsidP="007F23A7">
      <w:pPr>
        <w:pStyle w:val="Bibliography"/>
        <w:rPr>
          <w:color w:val="auto"/>
          <w:lang w:val="en-US"/>
        </w:rPr>
      </w:pPr>
      <w:r w:rsidRPr="007F23A7">
        <w:rPr>
          <w:color w:val="auto"/>
          <w:lang w:val="en-US"/>
        </w:rPr>
        <w:t xml:space="preserve">9 </w:t>
      </w:r>
      <w:r w:rsidRPr="007F23A7">
        <w:rPr>
          <w:color w:val="auto"/>
          <w:lang w:val="en-US"/>
        </w:rPr>
        <w:tab/>
        <w:t xml:space="preserve">Begaud B, Martin K, Abouelfath A, </w:t>
      </w:r>
      <w:r w:rsidRPr="007F23A7">
        <w:rPr>
          <w:i/>
          <w:iCs/>
          <w:color w:val="auto"/>
          <w:lang w:val="en-US"/>
        </w:rPr>
        <w:t>et al.</w:t>
      </w:r>
      <w:r w:rsidRPr="007F23A7">
        <w:rPr>
          <w:color w:val="auto"/>
          <w:lang w:val="en-US"/>
        </w:rPr>
        <w:t xml:space="preserve"> An easy to use method to approximate Poisson confidence limits. </w:t>
      </w:r>
      <w:r w:rsidRPr="007F23A7">
        <w:rPr>
          <w:i/>
          <w:iCs/>
          <w:color w:val="auto"/>
          <w:lang w:val="en-US"/>
        </w:rPr>
        <w:t>Eur J Epidemiol</w:t>
      </w:r>
      <w:r w:rsidRPr="007F23A7">
        <w:rPr>
          <w:color w:val="auto"/>
          <w:lang w:val="en-US"/>
        </w:rPr>
        <w:t xml:space="preserve"> 2005;</w:t>
      </w:r>
      <w:r w:rsidRPr="007F23A7">
        <w:rPr>
          <w:b/>
          <w:bCs/>
          <w:color w:val="auto"/>
          <w:lang w:val="en-US"/>
        </w:rPr>
        <w:t>20</w:t>
      </w:r>
      <w:r w:rsidRPr="007F23A7">
        <w:rPr>
          <w:color w:val="auto"/>
          <w:lang w:val="en-US"/>
        </w:rPr>
        <w:t>:213–6. doi:10.1007/s10654-004-6517-4</w:t>
      </w:r>
    </w:p>
    <w:p w14:paraId="0F016A8F" w14:textId="77777777" w:rsidR="00342497" w:rsidRPr="007F23A7" w:rsidRDefault="00342497" w:rsidP="007F23A7">
      <w:pPr>
        <w:pStyle w:val="Bibliography"/>
        <w:rPr>
          <w:color w:val="auto"/>
          <w:lang w:val="en-US"/>
        </w:rPr>
      </w:pPr>
      <w:r w:rsidRPr="007F23A7">
        <w:rPr>
          <w:color w:val="auto"/>
          <w:lang w:val="en-US"/>
        </w:rPr>
        <w:t xml:space="preserve">10 </w:t>
      </w:r>
      <w:r w:rsidRPr="007F23A7">
        <w:rPr>
          <w:color w:val="auto"/>
          <w:lang w:val="en-US"/>
        </w:rPr>
        <w:tab/>
        <w:t xml:space="preserve">Lemcke J, Stengel D, Stockhammer F, </w:t>
      </w:r>
      <w:r w:rsidRPr="007F23A7">
        <w:rPr>
          <w:i/>
          <w:iCs/>
          <w:color w:val="auto"/>
          <w:lang w:val="en-US"/>
        </w:rPr>
        <w:t>et al.</w:t>
      </w:r>
      <w:r w:rsidRPr="007F23A7">
        <w:rPr>
          <w:color w:val="auto"/>
          <w:lang w:val="en-US"/>
        </w:rPr>
        <w:t xml:space="preserve"> Nationwide Incidence of Normal Pressure Hydrocephalus (NPH) Assessed by Insurance Claim Data in Germany. </w:t>
      </w:r>
      <w:r w:rsidRPr="007F23A7">
        <w:rPr>
          <w:i/>
          <w:iCs/>
          <w:color w:val="auto"/>
          <w:lang w:val="en-US"/>
        </w:rPr>
        <w:t>Open Neurol J</w:t>
      </w:r>
      <w:r w:rsidRPr="007F23A7">
        <w:rPr>
          <w:color w:val="auto"/>
          <w:lang w:val="en-US"/>
        </w:rPr>
        <w:t xml:space="preserve"> 2016;</w:t>
      </w:r>
      <w:r w:rsidRPr="007F23A7">
        <w:rPr>
          <w:b/>
          <w:bCs/>
          <w:color w:val="auto"/>
          <w:lang w:val="en-US"/>
        </w:rPr>
        <w:t>10</w:t>
      </w:r>
      <w:r w:rsidRPr="007F23A7">
        <w:rPr>
          <w:color w:val="auto"/>
          <w:lang w:val="en-US"/>
        </w:rPr>
        <w:t>:15–24. doi:10.2174/1874205X01610010015</w:t>
      </w:r>
    </w:p>
    <w:p w14:paraId="4461A79F" w14:textId="77777777" w:rsidR="00342497" w:rsidRPr="007F23A7" w:rsidRDefault="00342497" w:rsidP="007F23A7">
      <w:pPr>
        <w:pStyle w:val="Bibliography"/>
        <w:rPr>
          <w:color w:val="auto"/>
          <w:lang w:val="en-US"/>
        </w:rPr>
      </w:pPr>
      <w:r w:rsidRPr="007F23A7">
        <w:rPr>
          <w:color w:val="auto"/>
          <w:lang w:val="en-US"/>
        </w:rPr>
        <w:t xml:space="preserve">11 </w:t>
      </w:r>
      <w:r w:rsidRPr="007F23A7">
        <w:rPr>
          <w:color w:val="auto"/>
          <w:lang w:val="en-US"/>
        </w:rPr>
        <w:tab/>
        <w:t xml:space="preserve">Wu Y, Green NL, Wrensch MR, </w:t>
      </w:r>
      <w:r w:rsidRPr="007F23A7">
        <w:rPr>
          <w:i/>
          <w:iCs/>
          <w:color w:val="auto"/>
          <w:lang w:val="en-US"/>
        </w:rPr>
        <w:t>et al.</w:t>
      </w:r>
      <w:r w:rsidRPr="007F23A7">
        <w:rPr>
          <w:color w:val="auto"/>
          <w:lang w:val="en-US"/>
        </w:rPr>
        <w:t xml:space="preserve"> Ventriculoperitoneal shunt complications in California: 1990 to 2000. </w:t>
      </w:r>
      <w:r w:rsidRPr="007F23A7">
        <w:rPr>
          <w:i/>
          <w:iCs/>
          <w:color w:val="auto"/>
          <w:lang w:val="en-US"/>
        </w:rPr>
        <w:t>Neurosurgery</w:t>
      </w:r>
      <w:r w:rsidRPr="007F23A7">
        <w:rPr>
          <w:color w:val="auto"/>
          <w:lang w:val="en-US"/>
        </w:rPr>
        <w:t xml:space="preserve"> 2007;</w:t>
      </w:r>
      <w:r w:rsidRPr="007F23A7">
        <w:rPr>
          <w:b/>
          <w:bCs/>
          <w:color w:val="auto"/>
          <w:lang w:val="en-US"/>
        </w:rPr>
        <w:t>61</w:t>
      </w:r>
      <w:r w:rsidRPr="007F23A7">
        <w:rPr>
          <w:color w:val="auto"/>
          <w:lang w:val="en-US"/>
        </w:rPr>
        <w:t>:557–563.</w:t>
      </w:r>
    </w:p>
    <w:p w14:paraId="71685706" w14:textId="77777777" w:rsidR="00342497" w:rsidRPr="007F23A7" w:rsidRDefault="00342497" w:rsidP="007F23A7">
      <w:pPr>
        <w:pStyle w:val="Bibliography"/>
        <w:rPr>
          <w:color w:val="auto"/>
          <w:lang w:val="en-US"/>
        </w:rPr>
      </w:pPr>
      <w:r w:rsidRPr="007F23A7">
        <w:rPr>
          <w:color w:val="auto"/>
          <w:lang w:val="en-US"/>
        </w:rPr>
        <w:t xml:space="preserve">12 </w:t>
      </w:r>
      <w:r w:rsidRPr="007F23A7">
        <w:rPr>
          <w:color w:val="auto"/>
          <w:lang w:val="en-US"/>
        </w:rPr>
        <w:tab/>
        <w:t xml:space="preserve">Hardie NA, Molgaard CA, Laws ER, </w:t>
      </w:r>
      <w:r w:rsidRPr="007F23A7">
        <w:rPr>
          <w:i/>
          <w:iCs/>
          <w:color w:val="auto"/>
          <w:lang w:val="en-US"/>
        </w:rPr>
        <w:t>et al.</w:t>
      </w:r>
      <w:r w:rsidRPr="007F23A7">
        <w:rPr>
          <w:color w:val="auto"/>
          <w:lang w:val="en-US"/>
        </w:rPr>
        <w:t xml:space="preserve"> Incidence and effectiveness of cerebrospinal fluid shunts in Olmsted County, Minnesota, 1956–1981. </w:t>
      </w:r>
      <w:r w:rsidRPr="007F23A7">
        <w:rPr>
          <w:i/>
          <w:iCs/>
          <w:color w:val="auto"/>
          <w:lang w:val="en-US"/>
        </w:rPr>
        <w:t>Neuroepidemiology</w:t>
      </w:r>
      <w:r w:rsidRPr="007F23A7">
        <w:rPr>
          <w:color w:val="auto"/>
          <w:lang w:val="en-US"/>
        </w:rPr>
        <w:t xml:space="preserve"> 1986;</w:t>
      </w:r>
      <w:r w:rsidRPr="007F23A7">
        <w:rPr>
          <w:b/>
          <w:bCs/>
          <w:color w:val="auto"/>
          <w:lang w:val="en-US"/>
        </w:rPr>
        <w:t>5</w:t>
      </w:r>
      <w:r w:rsidRPr="007F23A7">
        <w:rPr>
          <w:color w:val="auto"/>
          <w:lang w:val="en-US"/>
        </w:rPr>
        <w:t>:95–104.</w:t>
      </w:r>
    </w:p>
    <w:p w14:paraId="4ADF8055" w14:textId="77777777" w:rsidR="00342497" w:rsidRPr="007F23A7" w:rsidRDefault="00342497" w:rsidP="007F23A7">
      <w:pPr>
        <w:pStyle w:val="Bibliography"/>
        <w:rPr>
          <w:color w:val="auto"/>
          <w:lang w:val="en-US"/>
        </w:rPr>
      </w:pPr>
      <w:r w:rsidRPr="007F23A7">
        <w:rPr>
          <w:color w:val="auto"/>
          <w:lang w:val="en-US"/>
        </w:rPr>
        <w:t xml:space="preserve">13 </w:t>
      </w:r>
      <w:r w:rsidRPr="007F23A7">
        <w:rPr>
          <w:color w:val="auto"/>
          <w:lang w:val="en-US"/>
        </w:rPr>
        <w:tab/>
        <w:t xml:space="preserve">Bondurant CP, Jimenez DF. Epidemiology of cerebrospinal fluid shunting. </w:t>
      </w:r>
      <w:r w:rsidRPr="007F23A7">
        <w:rPr>
          <w:i/>
          <w:iCs/>
          <w:color w:val="auto"/>
          <w:lang w:val="en-US"/>
        </w:rPr>
        <w:t>Pediatr Neurosurg</w:t>
      </w:r>
      <w:r w:rsidRPr="007F23A7">
        <w:rPr>
          <w:color w:val="auto"/>
          <w:lang w:val="en-US"/>
        </w:rPr>
        <w:t xml:space="preserve"> 1995;:254–9.</w:t>
      </w:r>
    </w:p>
    <w:p w14:paraId="7B4B2028" w14:textId="77777777" w:rsidR="00342497" w:rsidRPr="007F23A7" w:rsidRDefault="00342497" w:rsidP="007F23A7">
      <w:pPr>
        <w:pStyle w:val="Bibliography"/>
        <w:rPr>
          <w:color w:val="auto"/>
          <w:lang w:val="en-US"/>
        </w:rPr>
      </w:pPr>
      <w:r w:rsidRPr="007F23A7">
        <w:rPr>
          <w:color w:val="auto"/>
          <w:lang w:val="en-US"/>
        </w:rPr>
        <w:lastRenderedPageBreak/>
        <w:t xml:space="preserve">14 </w:t>
      </w:r>
      <w:r w:rsidRPr="007F23A7">
        <w:rPr>
          <w:color w:val="auto"/>
          <w:lang w:val="en-US"/>
        </w:rPr>
        <w:tab/>
        <w:t xml:space="preserve">Christensen J, Hansen L, Garne E. Congenital hydrocephalus - prevalence and prognosis. Mortality and morbidity in a population-based study. </w:t>
      </w:r>
      <w:r w:rsidRPr="007F23A7">
        <w:rPr>
          <w:i/>
          <w:iCs/>
          <w:color w:val="auto"/>
          <w:lang w:val="en-US"/>
        </w:rPr>
        <w:t>Ugeskr Laeger</w:t>
      </w:r>
      <w:r w:rsidRPr="007F23A7">
        <w:rPr>
          <w:color w:val="auto"/>
          <w:lang w:val="en-US"/>
        </w:rPr>
        <w:t xml:space="preserve"> 2003;</w:t>
      </w:r>
      <w:r w:rsidRPr="007F23A7">
        <w:rPr>
          <w:b/>
          <w:bCs/>
          <w:color w:val="auto"/>
          <w:lang w:val="en-US"/>
        </w:rPr>
        <w:t>165</w:t>
      </w:r>
      <w:r w:rsidRPr="007F23A7">
        <w:rPr>
          <w:color w:val="auto"/>
          <w:lang w:val="en-US"/>
        </w:rPr>
        <w:t>:466–9.</w:t>
      </w:r>
    </w:p>
    <w:p w14:paraId="0C1D9239" w14:textId="77777777" w:rsidR="00342497" w:rsidRPr="007F23A7" w:rsidRDefault="00342497" w:rsidP="007F23A7">
      <w:pPr>
        <w:pStyle w:val="Bibliography"/>
        <w:rPr>
          <w:color w:val="auto"/>
          <w:lang w:val="en-US"/>
        </w:rPr>
      </w:pPr>
      <w:r w:rsidRPr="007F23A7">
        <w:rPr>
          <w:color w:val="auto"/>
          <w:lang w:val="en-US"/>
        </w:rPr>
        <w:t xml:space="preserve">15 </w:t>
      </w:r>
      <w:r w:rsidRPr="007F23A7">
        <w:rPr>
          <w:color w:val="auto"/>
          <w:lang w:val="en-US"/>
        </w:rPr>
        <w:tab/>
        <w:t xml:space="preserve">Sundström N, Malm J, Laurell K, </w:t>
      </w:r>
      <w:r w:rsidRPr="007F23A7">
        <w:rPr>
          <w:i/>
          <w:iCs/>
          <w:color w:val="auto"/>
          <w:lang w:val="en-US"/>
        </w:rPr>
        <w:t>et al.</w:t>
      </w:r>
      <w:r w:rsidRPr="007F23A7">
        <w:rPr>
          <w:color w:val="auto"/>
          <w:lang w:val="en-US"/>
        </w:rPr>
        <w:t xml:space="preserve"> Incidence and outcome of surgery for adult hydrocephalus patients in Sweden. </w:t>
      </w:r>
      <w:r w:rsidRPr="007F23A7">
        <w:rPr>
          <w:i/>
          <w:iCs/>
          <w:color w:val="auto"/>
          <w:lang w:val="en-US"/>
        </w:rPr>
        <w:t>Br J Neurosurg</w:t>
      </w:r>
      <w:r w:rsidRPr="007F23A7">
        <w:rPr>
          <w:color w:val="auto"/>
          <w:lang w:val="en-US"/>
        </w:rPr>
        <w:t xml:space="preserve"> 2017;</w:t>
      </w:r>
      <w:r w:rsidRPr="007F23A7">
        <w:rPr>
          <w:b/>
          <w:bCs/>
          <w:color w:val="auto"/>
          <w:lang w:val="en-US"/>
        </w:rPr>
        <w:t>31</w:t>
      </w:r>
      <w:r w:rsidRPr="007F23A7">
        <w:rPr>
          <w:color w:val="auto"/>
          <w:lang w:val="en-US"/>
        </w:rPr>
        <w:t>:21–7. doi:10.1080/02688697.2016.1229749</w:t>
      </w:r>
    </w:p>
    <w:p w14:paraId="657F5990" w14:textId="77777777" w:rsidR="00342497" w:rsidRPr="007F23A7" w:rsidRDefault="00342497" w:rsidP="007F23A7">
      <w:pPr>
        <w:pStyle w:val="Bibliography"/>
        <w:rPr>
          <w:color w:val="auto"/>
          <w:lang w:val="en-US"/>
        </w:rPr>
      </w:pPr>
      <w:r w:rsidRPr="007F23A7">
        <w:rPr>
          <w:color w:val="auto"/>
          <w:lang w:val="en-US"/>
        </w:rPr>
        <w:t xml:space="preserve">16 </w:t>
      </w:r>
      <w:r w:rsidRPr="007F23A7">
        <w:rPr>
          <w:color w:val="auto"/>
          <w:lang w:val="en-US"/>
        </w:rPr>
        <w:tab/>
        <w:t xml:space="preserve">Tisell M, Hoglund M, Wikkelso C. National and regional incidence of surgery for adult hydrocephalus in Sweden. </w:t>
      </w:r>
      <w:r w:rsidRPr="007F23A7">
        <w:rPr>
          <w:i/>
          <w:iCs/>
          <w:color w:val="auto"/>
          <w:lang w:val="en-US"/>
        </w:rPr>
        <w:t>Acta Neurol Scand</w:t>
      </w:r>
      <w:r w:rsidRPr="007F23A7">
        <w:rPr>
          <w:color w:val="auto"/>
          <w:lang w:val="en-US"/>
        </w:rPr>
        <w:t xml:space="preserve"> 2005;</w:t>
      </w:r>
      <w:r w:rsidRPr="007F23A7">
        <w:rPr>
          <w:b/>
          <w:bCs/>
          <w:color w:val="auto"/>
          <w:lang w:val="en-US"/>
        </w:rPr>
        <w:t>112</w:t>
      </w:r>
      <w:r w:rsidRPr="007F23A7">
        <w:rPr>
          <w:color w:val="auto"/>
          <w:lang w:val="en-US"/>
        </w:rPr>
        <w:t>:72–5. doi:10.1111/j.1600-0404.2005.00451.x</w:t>
      </w:r>
    </w:p>
    <w:p w14:paraId="619BE6BE" w14:textId="77777777" w:rsidR="00342497" w:rsidRPr="007F23A7" w:rsidRDefault="00342497" w:rsidP="007F23A7">
      <w:pPr>
        <w:pStyle w:val="Bibliography"/>
        <w:rPr>
          <w:color w:val="auto"/>
          <w:lang w:val="en-US"/>
        </w:rPr>
      </w:pPr>
      <w:r w:rsidRPr="007F23A7">
        <w:rPr>
          <w:color w:val="auto"/>
          <w:lang w:val="en-US"/>
        </w:rPr>
        <w:t xml:space="preserve">17 </w:t>
      </w:r>
      <w:r w:rsidRPr="007F23A7">
        <w:rPr>
          <w:color w:val="auto"/>
          <w:lang w:val="en-US"/>
        </w:rPr>
        <w:tab/>
        <w:t xml:space="preserve">Brean A, Fredø HL, Sollid S, </w:t>
      </w:r>
      <w:r w:rsidRPr="007F23A7">
        <w:rPr>
          <w:i/>
          <w:iCs/>
          <w:color w:val="auto"/>
          <w:lang w:val="en-US"/>
        </w:rPr>
        <w:t>et al.</w:t>
      </w:r>
      <w:r w:rsidRPr="007F23A7">
        <w:rPr>
          <w:color w:val="auto"/>
          <w:lang w:val="en-US"/>
        </w:rPr>
        <w:t xml:space="preserve"> Five-year incidence of surgery for idiopathic normal pressure hydrocephalus in Norway. </w:t>
      </w:r>
      <w:r w:rsidRPr="007F23A7">
        <w:rPr>
          <w:i/>
          <w:iCs/>
          <w:color w:val="auto"/>
          <w:lang w:val="en-US"/>
        </w:rPr>
        <w:t>Acta Neurol Scand</w:t>
      </w:r>
      <w:r w:rsidRPr="007F23A7">
        <w:rPr>
          <w:color w:val="auto"/>
          <w:lang w:val="en-US"/>
        </w:rPr>
        <w:t xml:space="preserve"> 2009;</w:t>
      </w:r>
      <w:r w:rsidRPr="007F23A7">
        <w:rPr>
          <w:b/>
          <w:bCs/>
          <w:color w:val="auto"/>
          <w:lang w:val="en-US"/>
        </w:rPr>
        <w:t>120</w:t>
      </w:r>
      <w:r w:rsidRPr="007F23A7">
        <w:rPr>
          <w:color w:val="auto"/>
          <w:lang w:val="en-US"/>
        </w:rPr>
        <w:t>:314–6. doi:10.1111/j.1600-0404.2009.01250.x</w:t>
      </w:r>
    </w:p>
    <w:p w14:paraId="34EFE369" w14:textId="77777777" w:rsidR="00342497" w:rsidRPr="007F23A7" w:rsidRDefault="00342497" w:rsidP="007F23A7">
      <w:pPr>
        <w:pStyle w:val="Bibliography"/>
        <w:rPr>
          <w:color w:val="auto"/>
          <w:lang w:val="en-US"/>
        </w:rPr>
      </w:pPr>
      <w:r w:rsidRPr="007F23A7">
        <w:rPr>
          <w:color w:val="auto"/>
          <w:lang w:val="en-US"/>
        </w:rPr>
        <w:t xml:space="preserve">18 </w:t>
      </w:r>
      <w:r w:rsidRPr="007F23A7">
        <w:rPr>
          <w:color w:val="auto"/>
          <w:lang w:val="en-US"/>
        </w:rPr>
        <w:tab/>
        <w:t xml:space="preserve">Martín-Láez R, Caballero-Arzapalo H, Valle-San Román N, </w:t>
      </w:r>
      <w:r w:rsidRPr="007F23A7">
        <w:rPr>
          <w:i/>
          <w:iCs/>
          <w:color w:val="auto"/>
          <w:lang w:val="en-US"/>
        </w:rPr>
        <w:t>et al.</w:t>
      </w:r>
      <w:r w:rsidRPr="007F23A7">
        <w:rPr>
          <w:color w:val="auto"/>
          <w:lang w:val="en-US"/>
        </w:rPr>
        <w:t xml:space="preserve"> Incidence of Idiopathic Normal-Pressure Hydrocephalus in Northern Spain. </w:t>
      </w:r>
      <w:r w:rsidRPr="007F23A7">
        <w:rPr>
          <w:i/>
          <w:iCs/>
          <w:color w:val="auto"/>
          <w:lang w:val="en-US"/>
        </w:rPr>
        <w:t>World Neurosurg</w:t>
      </w:r>
      <w:r w:rsidRPr="007F23A7">
        <w:rPr>
          <w:color w:val="auto"/>
          <w:lang w:val="en-US"/>
        </w:rPr>
        <w:t xml:space="preserve"> 2016;</w:t>
      </w:r>
      <w:r w:rsidRPr="007F23A7">
        <w:rPr>
          <w:b/>
          <w:bCs/>
          <w:color w:val="auto"/>
          <w:lang w:val="en-US"/>
        </w:rPr>
        <w:t>87</w:t>
      </w:r>
      <w:r w:rsidRPr="007F23A7">
        <w:rPr>
          <w:color w:val="auto"/>
          <w:lang w:val="en-US"/>
        </w:rPr>
        <w:t>:298–310. doi:10.1016/j.wneu.2015.10.069</w:t>
      </w:r>
    </w:p>
    <w:p w14:paraId="71F40B8F" w14:textId="77777777" w:rsidR="00342497" w:rsidRPr="007F23A7" w:rsidRDefault="00342497" w:rsidP="007F23A7">
      <w:pPr>
        <w:pStyle w:val="Bibliography"/>
        <w:rPr>
          <w:color w:val="auto"/>
          <w:lang w:val="en-US"/>
        </w:rPr>
      </w:pPr>
      <w:r w:rsidRPr="007F23A7">
        <w:rPr>
          <w:color w:val="auto"/>
          <w:lang w:val="en-US"/>
        </w:rPr>
        <w:t xml:space="preserve">19 </w:t>
      </w:r>
      <w:r w:rsidRPr="007F23A7">
        <w:rPr>
          <w:color w:val="auto"/>
          <w:lang w:val="en-US"/>
        </w:rPr>
        <w:tab/>
        <w:t xml:space="preserve">Garne E, Loane M, Addor M-C, </w:t>
      </w:r>
      <w:r w:rsidRPr="007F23A7">
        <w:rPr>
          <w:i/>
          <w:iCs/>
          <w:color w:val="auto"/>
          <w:lang w:val="en-US"/>
        </w:rPr>
        <w:t>et al.</w:t>
      </w:r>
      <w:r w:rsidRPr="007F23A7">
        <w:rPr>
          <w:color w:val="auto"/>
          <w:lang w:val="en-US"/>
        </w:rPr>
        <w:t xml:space="preserve"> Congenital hydrocephalus – prevalence, prenatal diagnosis and outcome of pregnancy in four European regions. </w:t>
      </w:r>
      <w:r w:rsidRPr="007F23A7">
        <w:rPr>
          <w:i/>
          <w:iCs/>
          <w:color w:val="auto"/>
          <w:lang w:val="en-US"/>
        </w:rPr>
        <w:t>Eur J Paediatr Neurol</w:t>
      </w:r>
      <w:r w:rsidRPr="007F23A7">
        <w:rPr>
          <w:color w:val="auto"/>
          <w:lang w:val="en-US"/>
        </w:rPr>
        <w:t xml:space="preserve"> 2010;</w:t>
      </w:r>
      <w:r w:rsidRPr="007F23A7">
        <w:rPr>
          <w:b/>
          <w:bCs/>
          <w:color w:val="auto"/>
          <w:lang w:val="en-US"/>
        </w:rPr>
        <w:t>14</w:t>
      </w:r>
      <w:r w:rsidRPr="007F23A7">
        <w:rPr>
          <w:color w:val="auto"/>
          <w:lang w:val="en-US"/>
        </w:rPr>
        <w:t>:150–5. doi:10.1016/j.ejpn.2009.03.005</w:t>
      </w:r>
    </w:p>
    <w:p w14:paraId="3A6C53AD" w14:textId="77777777" w:rsidR="00342497" w:rsidRPr="007F23A7" w:rsidRDefault="00342497" w:rsidP="007F23A7">
      <w:pPr>
        <w:pStyle w:val="Bibliography"/>
        <w:rPr>
          <w:color w:val="auto"/>
          <w:lang w:val="en-US"/>
        </w:rPr>
      </w:pPr>
      <w:r w:rsidRPr="007F23A7">
        <w:rPr>
          <w:color w:val="auto"/>
          <w:lang w:val="en-US"/>
        </w:rPr>
        <w:t xml:space="preserve">20 </w:t>
      </w:r>
      <w:r w:rsidRPr="007F23A7">
        <w:rPr>
          <w:color w:val="auto"/>
          <w:lang w:val="en-US"/>
        </w:rPr>
        <w:tab/>
        <w:t xml:space="preserve">Paulsen AH, Due-Tønnessen BJ, Lundar T, </w:t>
      </w:r>
      <w:r w:rsidRPr="007F23A7">
        <w:rPr>
          <w:i/>
          <w:iCs/>
          <w:color w:val="auto"/>
          <w:lang w:val="en-US"/>
        </w:rPr>
        <w:t>et al.</w:t>
      </w:r>
      <w:r w:rsidRPr="007F23A7">
        <w:rPr>
          <w:color w:val="auto"/>
          <w:lang w:val="en-US"/>
        </w:rPr>
        <w:t xml:space="preserve"> Cerebrospinal fluid (CSF) shunting and ventriculocisternostomy (ETV) in 400 pediatric patients. Shifts in understanding, diagnostics, case-mix, and surgical management during half a century. </w:t>
      </w:r>
      <w:r w:rsidRPr="007F23A7">
        <w:rPr>
          <w:i/>
          <w:iCs/>
          <w:color w:val="auto"/>
          <w:lang w:val="en-US"/>
        </w:rPr>
        <w:t>Childs Nerv Syst</w:t>
      </w:r>
      <w:r w:rsidRPr="007F23A7">
        <w:rPr>
          <w:color w:val="auto"/>
          <w:lang w:val="en-US"/>
        </w:rPr>
        <w:t xml:space="preserve"> 2017;</w:t>
      </w:r>
      <w:r w:rsidRPr="007F23A7">
        <w:rPr>
          <w:b/>
          <w:bCs/>
          <w:color w:val="auto"/>
          <w:lang w:val="en-US"/>
        </w:rPr>
        <w:t>33</w:t>
      </w:r>
      <w:r w:rsidRPr="007F23A7">
        <w:rPr>
          <w:color w:val="auto"/>
          <w:lang w:val="en-US"/>
        </w:rPr>
        <w:t>:259–68. doi:10.1007/s00381-016-3281-1</w:t>
      </w:r>
    </w:p>
    <w:p w14:paraId="68D2EEE2" w14:textId="77777777" w:rsidR="00342497" w:rsidRPr="007F23A7" w:rsidRDefault="00342497" w:rsidP="007F23A7">
      <w:pPr>
        <w:pStyle w:val="Bibliography"/>
        <w:rPr>
          <w:color w:val="auto"/>
          <w:lang w:val="en-US"/>
        </w:rPr>
      </w:pPr>
      <w:r w:rsidRPr="007F23A7">
        <w:rPr>
          <w:color w:val="auto"/>
          <w:lang w:val="en-US"/>
        </w:rPr>
        <w:t xml:space="preserve">21 </w:t>
      </w:r>
      <w:r w:rsidRPr="007F23A7">
        <w:rPr>
          <w:color w:val="auto"/>
          <w:lang w:val="en-US"/>
        </w:rPr>
        <w:tab/>
        <w:t xml:space="preserve">Kraemer MR, Sandoval-Garcia C, Bragg T, </w:t>
      </w:r>
      <w:r w:rsidRPr="007F23A7">
        <w:rPr>
          <w:i/>
          <w:iCs/>
          <w:color w:val="auto"/>
          <w:lang w:val="en-US"/>
        </w:rPr>
        <w:t>et al.</w:t>
      </w:r>
      <w:r w:rsidRPr="007F23A7">
        <w:rPr>
          <w:color w:val="auto"/>
          <w:lang w:val="en-US"/>
        </w:rPr>
        <w:t xml:space="preserve"> Shunt-dependent hydrocephalus: management style among members of the American Society of Pediatric Neurosurgeons. </w:t>
      </w:r>
      <w:r w:rsidRPr="007F23A7">
        <w:rPr>
          <w:i/>
          <w:iCs/>
          <w:color w:val="auto"/>
          <w:lang w:val="en-US"/>
        </w:rPr>
        <w:t>J Neurosurg Pediatr</w:t>
      </w:r>
      <w:r w:rsidRPr="007F23A7">
        <w:rPr>
          <w:color w:val="auto"/>
          <w:lang w:val="en-US"/>
        </w:rPr>
        <w:t xml:space="preserve"> 2017;</w:t>
      </w:r>
      <w:r w:rsidRPr="007F23A7">
        <w:rPr>
          <w:b/>
          <w:bCs/>
          <w:color w:val="auto"/>
          <w:lang w:val="en-US"/>
        </w:rPr>
        <w:t>20</w:t>
      </w:r>
      <w:r w:rsidRPr="007F23A7">
        <w:rPr>
          <w:color w:val="auto"/>
          <w:lang w:val="en-US"/>
        </w:rPr>
        <w:t>:216–24. doi:10.3171/2017.2.PEDS16265</w:t>
      </w:r>
    </w:p>
    <w:p w14:paraId="7F234889" w14:textId="77777777" w:rsidR="00342497" w:rsidRPr="007F23A7" w:rsidRDefault="00342497" w:rsidP="007F23A7">
      <w:pPr>
        <w:pStyle w:val="Bibliography"/>
        <w:rPr>
          <w:color w:val="auto"/>
          <w:lang w:val="en-US"/>
        </w:rPr>
      </w:pPr>
      <w:r w:rsidRPr="007F23A7">
        <w:rPr>
          <w:color w:val="auto"/>
          <w:lang w:val="en-US"/>
        </w:rPr>
        <w:t xml:space="preserve">22 </w:t>
      </w:r>
      <w:r w:rsidRPr="007F23A7">
        <w:rPr>
          <w:color w:val="auto"/>
          <w:lang w:val="en-US"/>
        </w:rPr>
        <w:tab/>
        <w:t xml:space="preserve">Isaacs AM, Riva-Cambrin J, Yavin D, </w:t>
      </w:r>
      <w:r w:rsidRPr="007F23A7">
        <w:rPr>
          <w:i/>
          <w:iCs/>
          <w:color w:val="auto"/>
          <w:lang w:val="en-US"/>
        </w:rPr>
        <w:t>et al.</w:t>
      </w:r>
      <w:r w:rsidRPr="007F23A7">
        <w:rPr>
          <w:color w:val="auto"/>
          <w:lang w:val="en-US"/>
        </w:rPr>
        <w:t xml:space="preserve"> Age-specific global epidemiology of hydrocephalus: Systematic review, metanalysis and global birth surveillance. ;:24.</w:t>
      </w:r>
    </w:p>
    <w:p w14:paraId="07A2BA51" w14:textId="77777777" w:rsidR="00342497" w:rsidRPr="007F23A7" w:rsidRDefault="00342497" w:rsidP="007F23A7">
      <w:pPr>
        <w:pStyle w:val="Bibliography"/>
        <w:rPr>
          <w:color w:val="auto"/>
          <w:lang w:val="en-US"/>
        </w:rPr>
      </w:pPr>
      <w:r w:rsidRPr="007F23A7">
        <w:rPr>
          <w:color w:val="auto"/>
          <w:lang w:val="en-US"/>
        </w:rPr>
        <w:t xml:space="preserve">23 </w:t>
      </w:r>
      <w:r w:rsidRPr="007F23A7">
        <w:rPr>
          <w:color w:val="auto"/>
          <w:lang w:val="en-US"/>
        </w:rPr>
        <w:tab/>
        <w:t xml:space="preserve">Tully HM, Dobyns WB. Infantile hydrocephalus: A review of epidemiology, classification and causes. </w:t>
      </w:r>
      <w:r w:rsidRPr="007F23A7">
        <w:rPr>
          <w:i/>
          <w:iCs/>
          <w:color w:val="auto"/>
          <w:lang w:val="en-US"/>
        </w:rPr>
        <w:t>Eur J Med Genet</w:t>
      </w:r>
      <w:r w:rsidRPr="007F23A7">
        <w:rPr>
          <w:color w:val="auto"/>
          <w:lang w:val="en-US"/>
        </w:rPr>
        <w:t xml:space="preserve"> 2014;</w:t>
      </w:r>
      <w:r w:rsidRPr="007F23A7">
        <w:rPr>
          <w:b/>
          <w:bCs/>
          <w:color w:val="auto"/>
          <w:lang w:val="en-US"/>
        </w:rPr>
        <w:t>57</w:t>
      </w:r>
      <w:r w:rsidRPr="007F23A7">
        <w:rPr>
          <w:color w:val="auto"/>
          <w:lang w:val="en-US"/>
        </w:rPr>
        <w:t>:359–68. doi:10.1016/j.ejmg.2014.06.002</w:t>
      </w:r>
    </w:p>
    <w:p w14:paraId="08D2635C" w14:textId="77777777" w:rsidR="00342497" w:rsidRPr="007F23A7" w:rsidRDefault="00342497" w:rsidP="007F23A7">
      <w:pPr>
        <w:pStyle w:val="Bibliography"/>
        <w:rPr>
          <w:color w:val="auto"/>
          <w:lang w:val="en-US"/>
        </w:rPr>
      </w:pPr>
      <w:r w:rsidRPr="007F23A7">
        <w:rPr>
          <w:color w:val="auto"/>
          <w:lang w:val="en-US"/>
        </w:rPr>
        <w:t xml:space="preserve">24 </w:t>
      </w:r>
      <w:r w:rsidRPr="007F23A7">
        <w:rPr>
          <w:color w:val="auto"/>
          <w:lang w:val="en-US"/>
        </w:rPr>
        <w:tab/>
        <w:t xml:space="preserve">Kieran MW, Walker D, Frappaz D, </w:t>
      </w:r>
      <w:r w:rsidRPr="007F23A7">
        <w:rPr>
          <w:i/>
          <w:iCs/>
          <w:color w:val="auto"/>
          <w:lang w:val="en-US"/>
        </w:rPr>
        <w:t>et al.</w:t>
      </w:r>
      <w:r w:rsidRPr="007F23A7">
        <w:rPr>
          <w:color w:val="auto"/>
          <w:lang w:val="en-US"/>
        </w:rPr>
        <w:t xml:space="preserve"> Brain Tumors: From Childhood Through Adolescence Into Adulthood. </w:t>
      </w:r>
      <w:r w:rsidRPr="007F23A7">
        <w:rPr>
          <w:i/>
          <w:iCs/>
          <w:color w:val="auto"/>
          <w:lang w:val="en-US"/>
        </w:rPr>
        <w:t>J Clin Oncol</w:t>
      </w:r>
      <w:r w:rsidRPr="007F23A7">
        <w:rPr>
          <w:color w:val="auto"/>
          <w:lang w:val="en-US"/>
        </w:rPr>
        <w:t xml:space="preserve"> 2010;</w:t>
      </w:r>
      <w:r w:rsidRPr="007F23A7">
        <w:rPr>
          <w:b/>
          <w:bCs/>
          <w:color w:val="auto"/>
          <w:lang w:val="en-US"/>
        </w:rPr>
        <w:t>28</w:t>
      </w:r>
      <w:r w:rsidRPr="007F23A7">
        <w:rPr>
          <w:color w:val="auto"/>
          <w:lang w:val="en-US"/>
        </w:rPr>
        <w:t>:4783–9. doi:10.1200/JCO.2010.28.3481</w:t>
      </w:r>
    </w:p>
    <w:p w14:paraId="0A3A812A" w14:textId="77777777" w:rsidR="00342497" w:rsidRPr="007F23A7" w:rsidRDefault="00342497" w:rsidP="007F23A7">
      <w:pPr>
        <w:pStyle w:val="Bibliography"/>
        <w:rPr>
          <w:color w:val="auto"/>
          <w:lang w:val="en-US"/>
        </w:rPr>
      </w:pPr>
      <w:r w:rsidRPr="007F23A7">
        <w:rPr>
          <w:color w:val="auto"/>
          <w:lang w:val="en-US"/>
        </w:rPr>
        <w:t xml:space="preserve">25 </w:t>
      </w:r>
      <w:r w:rsidRPr="007F23A7">
        <w:rPr>
          <w:color w:val="auto"/>
          <w:lang w:val="en-US"/>
        </w:rPr>
        <w:tab/>
        <w:t xml:space="preserve">Hamilton MG. Treatment of Hydrocephalus in Adults. </w:t>
      </w:r>
      <w:r w:rsidRPr="007F23A7">
        <w:rPr>
          <w:i/>
          <w:iCs/>
          <w:color w:val="auto"/>
          <w:lang w:val="en-US"/>
        </w:rPr>
        <w:t>Semin Pediatr Neurol</w:t>
      </w:r>
      <w:r w:rsidRPr="007F23A7">
        <w:rPr>
          <w:color w:val="auto"/>
          <w:lang w:val="en-US"/>
        </w:rPr>
        <w:t xml:space="preserve"> 2009;</w:t>
      </w:r>
      <w:r w:rsidRPr="007F23A7">
        <w:rPr>
          <w:b/>
          <w:bCs/>
          <w:color w:val="auto"/>
          <w:lang w:val="en-US"/>
        </w:rPr>
        <w:t>16</w:t>
      </w:r>
      <w:r w:rsidRPr="007F23A7">
        <w:rPr>
          <w:color w:val="auto"/>
          <w:lang w:val="en-US"/>
        </w:rPr>
        <w:t>:34–41. doi:10.1016/j.spen.2009.02.001</w:t>
      </w:r>
    </w:p>
    <w:p w14:paraId="0179D957" w14:textId="77777777" w:rsidR="00342497" w:rsidRPr="007F23A7" w:rsidRDefault="00342497" w:rsidP="007F23A7">
      <w:pPr>
        <w:pStyle w:val="Bibliography"/>
        <w:rPr>
          <w:color w:val="auto"/>
          <w:lang w:val="en-US"/>
        </w:rPr>
      </w:pPr>
      <w:r w:rsidRPr="007F23A7">
        <w:rPr>
          <w:color w:val="auto"/>
          <w:lang w:val="en-US"/>
        </w:rPr>
        <w:t xml:space="preserve">26 </w:t>
      </w:r>
      <w:r w:rsidRPr="007F23A7">
        <w:rPr>
          <w:color w:val="auto"/>
          <w:lang w:val="en-US"/>
        </w:rPr>
        <w:tab/>
        <w:t>European Statistical System. 2011 Census. https://ec.europa.eu/CensusHub2/query.do?step=selectHyperCube&amp;qhc=false (accessed 20 Mar 2018).</w:t>
      </w:r>
    </w:p>
    <w:p w14:paraId="3A93911C" w14:textId="77777777" w:rsidR="00342497" w:rsidRPr="007F23A7" w:rsidRDefault="00342497" w:rsidP="007F23A7">
      <w:pPr>
        <w:pStyle w:val="Bibliography"/>
        <w:rPr>
          <w:color w:val="auto"/>
          <w:lang w:val="en-US"/>
        </w:rPr>
      </w:pPr>
      <w:r w:rsidRPr="007F23A7">
        <w:rPr>
          <w:color w:val="auto"/>
          <w:lang w:val="en-US"/>
        </w:rPr>
        <w:lastRenderedPageBreak/>
        <w:t xml:space="preserve">27 </w:t>
      </w:r>
      <w:r w:rsidRPr="007F23A7">
        <w:rPr>
          <w:color w:val="auto"/>
          <w:lang w:val="en-US"/>
        </w:rPr>
        <w:tab/>
        <w:t xml:space="preserve">Martín-Láez R, Caballero-Arzapalo H, López-Menéndez LÁ, </w:t>
      </w:r>
      <w:r w:rsidRPr="007F23A7">
        <w:rPr>
          <w:i/>
          <w:iCs/>
          <w:color w:val="auto"/>
          <w:lang w:val="en-US"/>
        </w:rPr>
        <w:t>et al.</w:t>
      </w:r>
      <w:r w:rsidRPr="007F23A7">
        <w:rPr>
          <w:color w:val="auto"/>
          <w:lang w:val="en-US"/>
        </w:rPr>
        <w:t xml:space="preserve"> Epidemiology of Idiopathic Normal Pressure Hydrocephalus: A Systematic Review of the Literature. </w:t>
      </w:r>
      <w:r w:rsidRPr="007F23A7">
        <w:rPr>
          <w:i/>
          <w:iCs/>
          <w:color w:val="auto"/>
          <w:lang w:val="en-US"/>
        </w:rPr>
        <w:t>World Neurosurg</w:t>
      </w:r>
      <w:r w:rsidRPr="007F23A7">
        <w:rPr>
          <w:color w:val="auto"/>
          <w:lang w:val="en-US"/>
        </w:rPr>
        <w:t xml:space="preserve"> 2015;</w:t>
      </w:r>
      <w:r w:rsidRPr="007F23A7">
        <w:rPr>
          <w:b/>
          <w:bCs/>
          <w:color w:val="auto"/>
          <w:lang w:val="en-US"/>
        </w:rPr>
        <w:t>84</w:t>
      </w:r>
      <w:r w:rsidRPr="007F23A7">
        <w:rPr>
          <w:color w:val="auto"/>
          <w:lang w:val="en-US"/>
        </w:rPr>
        <w:t>:2002–9. doi:10.1016/j.wneu.2015.07.005</w:t>
      </w:r>
    </w:p>
    <w:p w14:paraId="4A32A2FC" w14:textId="77777777" w:rsidR="00342497" w:rsidRPr="007F23A7" w:rsidRDefault="00342497" w:rsidP="007F23A7">
      <w:pPr>
        <w:pStyle w:val="Bibliography"/>
        <w:rPr>
          <w:color w:val="auto"/>
          <w:lang w:val="en-US"/>
        </w:rPr>
      </w:pPr>
      <w:r w:rsidRPr="007F23A7">
        <w:rPr>
          <w:color w:val="auto"/>
          <w:lang w:val="en-US"/>
        </w:rPr>
        <w:t xml:space="preserve">28 </w:t>
      </w:r>
      <w:r w:rsidRPr="007F23A7">
        <w:rPr>
          <w:color w:val="auto"/>
          <w:lang w:val="en-US"/>
        </w:rPr>
        <w:tab/>
        <w:t xml:space="preserve">Gangemi M, Cavallo LM, Di Somma A, </w:t>
      </w:r>
      <w:r w:rsidRPr="007F23A7">
        <w:rPr>
          <w:i/>
          <w:iCs/>
          <w:color w:val="auto"/>
          <w:lang w:val="en-US"/>
        </w:rPr>
        <w:t>et al.</w:t>
      </w:r>
      <w:r w:rsidRPr="007F23A7">
        <w:rPr>
          <w:color w:val="auto"/>
          <w:lang w:val="en-US"/>
        </w:rPr>
        <w:t xml:space="preserve"> Hydrocephalus onset after microsurgical or endovascular treatment for acute subarachnoid hemorrhage. Retrospective Italian Multicenter Study. </w:t>
      </w:r>
      <w:r w:rsidRPr="007F23A7">
        <w:rPr>
          <w:i/>
          <w:iCs/>
          <w:color w:val="auto"/>
          <w:lang w:val="en-US"/>
        </w:rPr>
        <w:t>Transl Med UniSa</w:t>
      </w:r>
      <w:r w:rsidRPr="007F23A7">
        <w:rPr>
          <w:color w:val="auto"/>
          <w:lang w:val="en-US"/>
        </w:rPr>
        <w:t xml:space="preserve"> 2014;</w:t>
      </w:r>
      <w:r w:rsidRPr="007F23A7">
        <w:rPr>
          <w:b/>
          <w:bCs/>
          <w:color w:val="auto"/>
          <w:lang w:val="en-US"/>
        </w:rPr>
        <w:t>9</w:t>
      </w:r>
      <w:r w:rsidRPr="007F23A7">
        <w:rPr>
          <w:color w:val="auto"/>
          <w:lang w:val="en-US"/>
        </w:rPr>
        <w:t>:50.</w:t>
      </w:r>
    </w:p>
    <w:p w14:paraId="13A36B40" w14:textId="77777777" w:rsidR="00342497" w:rsidRPr="007F23A7" w:rsidRDefault="00342497" w:rsidP="007F23A7">
      <w:pPr>
        <w:pStyle w:val="Bibliography"/>
        <w:rPr>
          <w:color w:val="auto"/>
          <w:lang w:val="en-US"/>
        </w:rPr>
      </w:pPr>
      <w:r w:rsidRPr="007F23A7">
        <w:rPr>
          <w:color w:val="auto"/>
          <w:lang w:val="en-US"/>
        </w:rPr>
        <w:t xml:space="preserve">29 </w:t>
      </w:r>
      <w:r w:rsidRPr="007F23A7">
        <w:rPr>
          <w:color w:val="auto"/>
          <w:lang w:val="en-US"/>
        </w:rPr>
        <w:tab/>
        <w:t xml:space="preserve">Nguyen R, Fiest KM, McChesney J, </w:t>
      </w:r>
      <w:r w:rsidRPr="007F23A7">
        <w:rPr>
          <w:i/>
          <w:iCs/>
          <w:color w:val="auto"/>
          <w:lang w:val="en-US"/>
        </w:rPr>
        <w:t>et al.</w:t>
      </w:r>
      <w:r w:rsidRPr="007F23A7">
        <w:rPr>
          <w:color w:val="auto"/>
          <w:lang w:val="en-US"/>
        </w:rPr>
        <w:t xml:space="preserve"> The International Incidence of Traumatic Brain Injury: A Systematic Review and Meta-Analysis. </w:t>
      </w:r>
      <w:r w:rsidRPr="007F23A7">
        <w:rPr>
          <w:i/>
          <w:iCs/>
          <w:color w:val="auto"/>
          <w:lang w:val="en-US"/>
        </w:rPr>
        <w:t>Can J Neurol Sci J Can Sci Neurol</w:t>
      </w:r>
      <w:r w:rsidRPr="007F23A7">
        <w:rPr>
          <w:color w:val="auto"/>
          <w:lang w:val="en-US"/>
        </w:rPr>
        <w:t xml:space="preserve"> 2016;</w:t>
      </w:r>
      <w:r w:rsidRPr="007F23A7">
        <w:rPr>
          <w:b/>
          <w:bCs/>
          <w:color w:val="auto"/>
          <w:lang w:val="en-US"/>
        </w:rPr>
        <w:t>43</w:t>
      </w:r>
      <w:r w:rsidRPr="007F23A7">
        <w:rPr>
          <w:color w:val="auto"/>
          <w:lang w:val="en-US"/>
        </w:rPr>
        <w:t>:774–85. doi:10.1017/cjn.2016.290</w:t>
      </w:r>
    </w:p>
    <w:p w14:paraId="7F563795" w14:textId="77777777" w:rsidR="00342497" w:rsidRPr="007F23A7" w:rsidRDefault="00342497" w:rsidP="007F23A7">
      <w:pPr>
        <w:pStyle w:val="Bibliography"/>
        <w:rPr>
          <w:color w:val="auto"/>
          <w:lang w:val="en-US"/>
        </w:rPr>
      </w:pPr>
      <w:r w:rsidRPr="007F23A7">
        <w:rPr>
          <w:color w:val="auto"/>
          <w:lang w:val="en-US"/>
        </w:rPr>
        <w:t xml:space="preserve">30 </w:t>
      </w:r>
      <w:r w:rsidRPr="007F23A7">
        <w:rPr>
          <w:color w:val="auto"/>
          <w:lang w:val="en-US"/>
        </w:rPr>
        <w:tab/>
        <w:t xml:space="preserve">Konstantelias AA, Vardakas KZ, Polyzos KA, </w:t>
      </w:r>
      <w:r w:rsidRPr="007F23A7">
        <w:rPr>
          <w:i/>
          <w:iCs/>
          <w:color w:val="auto"/>
          <w:lang w:val="en-US"/>
        </w:rPr>
        <w:t>et al.</w:t>
      </w:r>
      <w:r w:rsidRPr="007F23A7">
        <w:rPr>
          <w:color w:val="auto"/>
          <w:lang w:val="en-US"/>
        </w:rPr>
        <w:t xml:space="preserve"> Antimicrobial-impregnated and -coated shunt catheters for prevention of infections in patients with hydrocephalus: a systematic review and meta-analysis. </w:t>
      </w:r>
      <w:r w:rsidRPr="007F23A7">
        <w:rPr>
          <w:i/>
          <w:iCs/>
          <w:color w:val="auto"/>
          <w:lang w:val="en-US"/>
        </w:rPr>
        <w:t>J Neurosurg</w:t>
      </w:r>
      <w:r w:rsidRPr="007F23A7">
        <w:rPr>
          <w:color w:val="auto"/>
          <w:lang w:val="en-US"/>
        </w:rPr>
        <w:t xml:space="preserve"> 2015;</w:t>
      </w:r>
      <w:r w:rsidRPr="007F23A7">
        <w:rPr>
          <w:b/>
          <w:bCs/>
          <w:color w:val="auto"/>
          <w:lang w:val="en-US"/>
        </w:rPr>
        <w:t>122</w:t>
      </w:r>
      <w:r w:rsidRPr="007F23A7">
        <w:rPr>
          <w:color w:val="auto"/>
          <w:lang w:val="en-US"/>
        </w:rPr>
        <w:t>:1096–112. doi:10.3171/2014.12.JNS14908</w:t>
      </w:r>
    </w:p>
    <w:p w14:paraId="299F5E52" w14:textId="77777777" w:rsidR="00342497" w:rsidRPr="007F23A7" w:rsidRDefault="00342497" w:rsidP="007F23A7">
      <w:pPr>
        <w:pStyle w:val="Bibliography"/>
        <w:rPr>
          <w:color w:val="auto"/>
          <w:lang w:val="en-US"/>
        </w:rPr>
      </w:pPr>
      <w:r w:rsidRPr="007F23A7">
        <w:rPr>
          <w:color w:val="auto"/>
          <w:lang w:val="en-US"/>
        </w:rPr>
        <w:t xml:space="preserve">31 </w:t>
      </w:r>
      <w:r w:rsidRPr="007F23A7">
        <w:rPr>
          <w:color w:val="auto"/>
          <w:lang w:val="en-US"/>
        </w:rPr>
        <w:tab/>
        <w:t xml:space="preserve">Parker SL, McGirt MJ, Murphy JA, </w:t>
      </w:r>
      <w:r w:rsidRPr="007F23A7">
        <w:rPr>
          <w:i/>
          <w:iCs/>
          <w:color w:val="auto"/>
          <w:lang w:val="en-US"/>
        </w:rPr>
        <w:t>et al.</w:t>
      </w:r>
      <w:r w:rsidRPr="007F23A7">
        <w:rPr>
          <w:color w:val="auto"/>
          <w:lang w:val="en-US"/>
        </w:rPr>
        <w:t xml:space="preserve"> Cost Savings Associated with Antibiotic-Impregnated Shunt Catheters in the Treatment of Adult and Pediatric Hydrocephalus. </w:t>
      </w:r>
      <w:r w:rsidRPr="007F23A7">
        <w:rPr>
          <w:i/>
          <w:iCs/>
          <w:color w:val="auto"/>
          <w:lang w:val="en-US"/>
        </w:rPr>
        <w:t>World Neurosurg</w:t>
      </w:r>
      <w:r w:rsidRPr="007F23A7">
        <w:rPr>
          <w:color w:val="auto"/>
          <w:lang w:val="en-US"/>
        </w:rPr>
        <w:t xml:space="preserve"> 2015;</w:t>
      </w:r>
      <w:r w:rsidRPr="007F23A7">
        <w:rPr>
          <w:b/>
          <w:bCs/>
          <w:color w:val="auto"/>
          <w:lang w:val="en-US"/>
        </w:rPr>
        <w:t>83</w:t>
      </w:r>
      <w:r w:rsidRPr="007F23A7">
        <w:rPr>
          <w:color w:val="auto"/>
          <w:lang w:val="en-US"/>
        </w:rPr>
        <w:t>:382–6. doi:10.1016/j.wneu.2014.06.010</w:t>
      </w:r>
    </w:p>
    <w:p w14:paraId="5A017095" w14:textId="33224A82" w:rsidR="00231AFC" w:rsidRDefault="00231AFC" w:rsidP="007F23A7">
      <w:pPr>
        <w:pStyle w:val="Bibliography"/>
        <w:rPr>
          <w:lang w:val="en-US"/>
        </w:rPr>
      </w:pPr>
      <w:r w:rsidRPr="00EA4D30">
        <w:fldChar w:fldCharType="end"/>
      </w:r>
    </w:p>
    <w:p w14:paraId="06031968" w14:textId="77777777" w:rsidR="00231AFC" w:rsidRDefault="00231AFC">
      <w:pPr>
        <w:spacing w:before="0" w:after="0" w:line="240" w:lineRule="auto"/>
        <w:jc w:val="left"/>
        <w:rPr>
          <w:b/>
          <w:iCs/>
          <w:sz w:val="20"/>
          <w:szCs w:val="20"/>
        </w:rPr>
      </w:pPr>
      <w:r>
        <w:br w:type="page"/>
      </w:r>
    </w:p>
    <w:p w14:paraId="2ADA36A6" w14:textId="08537D85" w:rsidR="00231AFC" w:rsidRDefault="00231AFC" w:rsidP="00231AFC">
      <w:pPr>
        <w:pStyle w:val="Captionfigure"/>
      </w:pPr>
      <w:r w:rsidRPr="0046087E">
        <w:lastRenderedPageBreak/>
        <w:t xml:space="preserve">Figure </w:t>
      </w:r>
      <w:r>
        <w:t xml:space="preserve">1 </w:t>
      </w:r>
      <w:r w:rsidRPr="00A4313A">
        <w:t>– Absolute number (top left), distribution by type (primary or revision) (top right) and incidence (bottom) of yearly shunt procedures submitted to the UK Shunt Registry, by age group (infants, children and adults)</w:t>
      </w:r>
    </w:p>
    <w:p w14:paraId="106F52FA" w14:textId="77777777" w:rsidR="00231AFC" w:rsidRDefault="00231AFC" w:rsidP="00231AFC">
      <w:pPr>
        <w:pStyle w:val="Captionfigure"/>
      </w:pPr>
    </w:p>
    <w:p w14:paraId="19CEFE0A" w14:textId="26428A24" w:rsidR="00231AFC" w:rsidRDefault="00231AFC" w:rsidP="00231AFC">
      <w:pPr>
        <w:pStyle w:val="Captionfigure"/>
      </w:pPr>
      <w:r w:rsidRPr="00FF2706">
        <w:t xml:space="preserve">Figure 2 – Mean incidence of </w:t>
      </w:r>
      <w:r>
        <w:t xml:space="preserve">reported </w:t>
      </w:r>
      <w:r w:rsidRPr="00FF2706">
        <w:t>primary shunt insertions betwe</w:t>
      </w:r>
      <w:r w:rsidR="007715BD">
        <w:t>en 2004-2013 (per 100000 person</w:t>
      </w:r>
      <w:r w:rsidR="0073405B">
        <w:t>-year</w:t>
      </w:r>
      <w:r w:rsidR="00B70C8F">
        <w:t>s</w:t>
      </w:r>
      <w:r w:rsidRPr="00FF2706">
        <w:t>), by region of patients’ residence</w:t>
      </w:r>
      <w:r w:rsidR="00CC08B1">
        <w:t xml:space="preserve"> and </w:t>
      </w:r>
      <w:r w:rsidR="00CC08B1" w:rsidRPr="00A4313A">
        <w:t>age group (infants, children and adults)</w:t>
      </w:r>
    </w:p>
    <w:p w14:paraId="34F48878" w14:textId="77777777" w:rsidR="00231AFC" w:rsidRDefault="00231AFC" w:rsidP="00231AFC">
      <w:pPr>
        <w:pStyle w:val="Captionfigure"/>
      </w:pPr>
    </w:p>
    <w:p w14:paraId="24243E55" w14:textId="6EA37F4B" w:rsidR="00231AFC" w:rsidRDefault="00231AFC" w:rsidP="00231AFC">
      <w:pPr>
        <w:pStyle w:val="Captionfigure"/>
        <w:rPr>
          <w:color w:val="auto"/>
        </w:rPr>
      </w:pPr>
      <w:r w:rsidRPr="00330849">
        <w:rPr>
          <w:color w:val="auto"/>
        </w:rPr>
        <w:t>Figure 3 – Age frequency distribution at primary shunt insertion in infants (</w:t>
      </w:r>
      <w:r w:rsidRPr="00330849">
        <w:rPr>
          <w:rFonts w:ascii="math" w:hAnsi="math"/>
          <w:color w:val="auto"/>
        </w:rPr>
        <w:t>&lt;</w:t>
      </w:r>
      <w:r w:rsidRPr="00330849">
        <w:rPr>
          <w:color w:val="auto"/>
        </w:rPr>
        <w:t>1</w:t>
      </w:r>
      <w:r>
        <w:rPr>
          <w:color w:val="auto"/>
        </w:rPr>
        <w:t>-</w:t>
      </w:r>
      <w:r w:rsidRPr="00330849">
        <w:rPr>
          <w:color w:val="auto"/>
        </w:rPr>
        <w:t>year</w:t>
      </w:r>
      <w:r>
        <w:rPr>
          <w:color w:val="auto"/>
        </w:rPr>
        <w:t>-old</w:t>
      </w:r>
      <w:r w:rsidRPr="00330849">
        <w:rPr>
          <w:color w:val="auto"/>
        </w:rPr>
        <w:t xml:space="preserve">), by sex and </w:t>
      </w:r>
      <w:r>
        <w:rPr>
          <w:color w:val="auto"/>
        </w:rPr>
        <w:t>underlying diagnostic group</w:t>
      </w:r>
      <w:r w:rsidR="009D7CB6">
        <w:rPr>
          <w:color w:val="auto"/>
        </w:rPr>
        <w:t xml:space="preserve">. IVH: </w:t>
      </w:r>
      <w:r w:rsidR="00C0714B" w:rsidRPr="00EA4D30">
        <w:rPr>
          <w:color w:val="auto"/>
        </w:rPr>
        <w:t>intraventricular haemorrhage</w:t>
      </w:r>
      <w:r w:rsidR="00C0714B">
        <w:rPr>
          <w:color w:val="auto"/>
        </w:rPr>
        <w:t xml:space="preserve">; IIH: </w:t>
      </w:r>
      <w:r w:rsidR="00C0714B" w:rsidRPr="00EA4D30">
        <w:rPr>
          <w:color w:val="auto"/>
        </w:rPr>
        <w:t>idiopathic intracranial hypertension</w:t>
      </w:r>
      <w:r w:rsidR="00C0714B">
        <w:rPr>
          <w:color w:val="auto"/>
        </w:rPr>
        <w:t>; iNPH: idiopathic normal pressure hydrocephalus</w:t>
      </w:r>
    </w:p>
    <w:p w14:paraId="1D781B72" w14:textId="77777777" w:rsidR="00231AFC" w:rsidRDefault="00231AFC" w:rsidP="00231AFC">
      <w:pPr>
        <w:pStyle w:val="Captionfigure"/>
        <w:rPr>
          <w:color w:val="auto"/>
        </w:rPr>
      </w:pPr>
    </w:p>
    <w:p w14:paraId="23C1B2B7" w14:textId="05B2AF6C" w:rsidR="00231AFC" w:rsidRDefault="00231AFC" w:rsidP="00231AFC">
      <w:pPr>
        <w:pStyle w:val="Captionfigure"/>
        <w:rPr>
          <w:color w:val="auto"/>
        </w:rPr>
      </w:pPr>
      <w:r w:rsidRPr="00330849">
        <w:rPr>
          <w:color w:val="auto"/>
        </w:rPr>
        <w:t>Figure 4 – Age frequency distribution at primary shunt insertion in children (1 to &lt;17</w:t>
      </w:r>
      <w:r>
        <w:rPr>
          <w:color w:val="auto"/>
        </w:rPr>
        <w:t xml:space="preserve"> </w:t>
      </w:r>
      <w:r w:rsidRPr="00330849">
        <w:rPr>
          <w:color w:val="auto"/>
        </w:rPr>
        <w:t>years</w:t>
      </w:r>
      <w:r>
        <w:rPr>
          <w:color w:val="auto"/>
        </w:rPr>
        <w:t xml:space="preserve"> old</w:t>
      </w:r>
      <w:r w:rsidRPr="00330849">
        <w:rPr>
          <w:color w:val="auto"/>
        </w:rPr>
        <w:t xml:space="preserve">), by sex and </w:t>
      </w:r>
      <w:r>
        <w:rPr>
          <w:color w:val="auto"/>
        </w:rPr>
        <w:t>underlying diagnostic group</w:t>
      </w:r>
      <w:r w:rsidR="00C0714B">
        <w:rPr>
          <w:color w:val="auto"/>
        </w:rPr>
        <w:t xml:space="preserve">. IVH: </w:t>
      </w:r>
      <w:r w:rsidR="00C0714B" w:rsidRPr="00EA4D30">
        <w:rPr>
          <w:color w:val="auto"/>
        </w:rPr>
        <w:t>intraventricular haemorrhage</w:t>
      </w:r>
      <w:r w:rsidR="00C0714B">
        <w:rPr>
          <w:color w:val="auto"/>
        </w:rPr>
        <w:t xml:space="preserve">; IIH: </w:t>
      </w:r>
      <w:r w:rsidR="00C0714B" w:rsidRPr="00EA4D30">
        <w:rPr>
          <w:color w:val="auto"/>
        </w:rPr>
        <w:t>idiopathic intracranial hypertension</w:t>
      </w:r>
      <w:r w:rsidR="00C0714B">
        <w:rPr>
          <w:color w:val="auto"/>
        </w:rPr>
        <w:t>; iNPH: idiopathic normal pressure hydrocephalus</w:t>
      </w:r>
    </w:p>
    <w:p w14:paraId="58F1E933" w14:textId="77777777" w:rsidR="00231AFC" w:rsidRDefault="00231AFC" w:rsidP="00231AFC">
      <w:pPr>
        <w:pStyle w:val="Captionfigure"/>
        <w:rPr>
          <w:color w:val="auto"/>
        </w:rPr>
      </w:pPr>
    </w:p>
    <w:p w14:paraId="538C37BF" w14:textId="33007D0E" w:rsidR="00231AFC" w:rsidRPr="00FF2706" w:rsidRDefault="00231AFC" w:rsidP="00231AFC">
      <w:pPr>
        <w:pStyle w:val="Captionfigure"/>
      </w:pPr>
      <w:r w:rsidRPr="00A4313A">
        <w:t xml:space="preserve">Figure </w:t>
      </w:r>
      <w:r>
        <w:t>5</w:t>
      </w:r>
      <w:r w:rsidRPr="00A4313A">
        <w:t xml:space="preserve"> – Age </w:t>
      </w:r>
      <w:r>
        <w:t xml:space="preserve">frequency </w:t>
      </w:r>
      <w:r w:rsidRPr="00A4313A">
        <w:t>distribution at primary shunt insertion in adults (</w:t>
      </w:r>
      <w:r w:rsidRPr="00A4313A">
        <w:sym w:font="Symbol" w:char="F0B3"/>
      </w:r>
      <w:r w:rsidRPr="00A4313A">
        <w:t>17</w:t>
      </w:r>
      <w:r>
        <w:t xml:space="preserve"> </w:t>
      </w:r>
      <w:r w:rsidRPr="00A4313A">
        <w:t>years</w:t>
      </w:r>
      <w:r>
        <w:t xml:space="preserve"> old</w:t>
      </w:r>
      <w:r w:rsidRPr="00A4313A">
        <w:t xml:space="preserve">), by sex and </w:t>
      </w:r>
      <w:r>
        <w:rPr>
          <w:color w:val="auto"/>
        </w:rPr>
        <w:t>underlying diagnostic group</w:t>
      </w:r>
      <w:r w:rsidR="00C0714B">
        <w:rPr>
          <w:color w:val="auto"/>
        </w:rPr>
        <w:t xml:space="preserve">. IVH: </w:t>
      </w:r>
      <w:r w:rsidR="00C0714B" w:rsidRPr="00EA4D30">
        <w:rPr>
          <w:color w:val="auto"/>
        </w:rPr>
        <w:t>intraventricular haemorrhage</w:t>
      </w:r>
      <w:r w:rsidR="00C0714B">
        <w:rPr>
          <w:color w:val="auto"/>
        </w:rPr>
        <w:t xml:space="preserve">; IIH: </w:t>
      </w:r>
      <w:r w:rsidR="00C0714B" w:rsidRPr="00EA4D30">
        <w:rPr>
          <w:color w:val="auto"/>
        </w:rPr>
        <w:t>idiopathic intracranial hypertension</w:t>
      </w:r>
      <w:r w:rsidR="00C0714B">
        <w:rPr>
          <w:color w:val="auto"/>
        </w:rPr>
        <w:t>; iNPH: idiopathic normal pressure hydrocephalus</w:t>
      </w:r>
    </w:p>
    <w:p w14:paraId="16252A73" w14:textId="77777777" w:rsidR="00231AFC" w:rsidRPr="004C6D4D" w:rsidRDefault="00231AFC" w:rsidP="00263F28">
      <w:pPr>
        <w:rPr>
          <w:lang w:val="en-US"/>
        </w:rPr>
      </w:pPr>
    </w:p>
    <w:p w14:paraId="1C715F5D" w14:textId="1798BFC4" w:rsidR="00761687" w:rsidRDefault="00761687" w:rsidP="00FF2706"/>
    <w:sectPr w:rsidR="00761687" w:rsidSect="002F4B20">
      <w:headerReference w:type="default" r:id="rId13"/>
      <w:footerReference w:type="even" r:id="rId14"/>
      <w:footerReference w:type="default" r:id="rId15"/>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3E41DF" w14:textId="77777777" w:rsidR="002212A3" w:rsidRDefault="002212A3" w:rsidP="00201FA8">
      <w:r>
        <w:separator/>
      </w:r>
    </w:p>
    <w:p w14:paraId="5671B92A" w14:textId="77777777" w:rsidR="002212A3" w:rsidRDefault="002212A3" w:rsidP="00201FA8"/>
    <w:p w14:paraId="63D96017" w14:textId="77777777" w:rsidR="002212A3" w:rsidRDefault="002212A3" w:rsidP="00201FA8"/>
  </w:endnote>
  <w:endnote w:type="continuationSeparator" w:id="0">
    <w:p w14:paraId="5EA8D6C1" w14:textId="77777777" w:rsidR="002212A3" w:rsidRDefault="002212A3" w:rsidP="00201FA8">
      <w:r>
        <w:continuationSeparator/>
      </w:r>
    </w:p>
    <w:p w14:paraId="0E439650" w14:textId="77777777" w:rsidR="002212A3" w:rsidRDefault="002212A3" w:rsidP="00201FA8"/>
    <w:p w14:paraId="51EA39A0" w14:textId="77777777" w:rsidR="002212A3" w:rsidRDefault="002212A3" w:rsidP="00201FA8"/>
  </w:endnote>
  <w:endnote w:type="continuationNotice" w:id="1">
    <w:p w14:paraId="36BA310B" w14:textId="77777777" w:rsidR="002212A3" w:rsidRDefault="002212A3">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7" w:csb1="00000000"/>
  </w:font>
  <w:font w:name="Cambria Math">
    <w:panose1 w:val="02040503050406030204"/>
    <w:charset w:val="00"/>
    <w:family w:val="roman"/>
    <w:pitch w:val="variable"/>
    <w:sig w:usb0="E00002FF" w:usb1="420024FF" w:usb2="00000000" w:usb3="00000000" w:csb0="0000019F" w:csb1="00000000"/>
  </w:font>
  <w:font w:name="math">
    <w:altName w:val="Times New Roman"/>
    <w:panose1 w:val="020B0604020202020204"/>
    <w:charset w:val="00"/>
    <w:family w:val="auto"/>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9CE43D" w14:textId="77777777" w:rsidR="00BF503C" w:rsidRDefault="00BF503C" w:rsidP="00FE60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B08DD68" w14:textId="38731943" w:rsidR="00BF503C" w:rsidRDefault="00BF503C" w:rsidP="00201FA8">
    <w:pPr>
      <w:pStyle w:val="Footer"/>
      <w:rPr>
        <w:rStyle w:val="PageNumber"/>
      </w:rPr>
    </w:pPr>
  </w:p>
  <w:p w14:paraId="1E22CAE8" w14:textId="77777777" w:rsidR="00BF503C" w:rsidRDefault="00BF503C" w:rsidP="00201F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7B1B9D" w14:textId="77777777" w:rsidR="00BF503C" w:rsidRDefault="00BF503C" w:rsidP="00FE60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1625B1E9" w14:textId="47ECBF7E" w:rsidR="00BF503C" w:rsidRDefault="00BF503C" w:rsidP="00201FA8">
    <w:pPr>
      <w:pStyle w:val="Footer"/>
      <w:rPr>
        <w:rStyle w:val="PageNumber"/>
      </w:rPr>
    </w:pPr>
  </w:p>
  <w:p w14:paraId="3F26EA12" w14:textId="77777777" w:rsidR="00BF503C" w:rsidRDefault="00BF503C" w:rsidP="00201F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03A4F8" w14:textId="77777777" w:rsidR="002212A3" w:rsidRDefault="002212A3" w:rsidP="00201FA8">
      <w:r>
        <w:separator/>
      </w:r>
    </w:p>
  </w:footnote>
  <w:footnote w:type="continuationSeparator" w:id="0">
    <w:p w14:paraId="7F345D40" w14:textId="77777777" w:rsidR="002212A3" w:rsidRDefault="002212A3" w:rsidP="00201FA8">
      <w:r>
        <w:continuationSeparator/>
      </w:r>
    </w:p>
    <w:p w14:paraId="16EA5E6F" w14:textId="77777777" w:rsidR="002212A3" w:rsidRDefault="002212A3" w:rsidP="00201FA8"/>
    <w:p w14:paraId="3835774E" w14:textId="77777777" w:rsidR="002212A3" w:rsidRDefault="002212A3" w:rsidP="00201FA8"/>
  </w:footnote>
  <w:footnote w:type="continuationNotice" w:id="1">
    <w:p w14:paraId="7AAB4863" w14:textId="77777777" w:rsidR="002212A3" w:rsidRDefault="002212A3">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BB727C" w14:textId="77777777" w:rsidR="00BF503C" w:rsidRDefault="00BF50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F3BA9"/>
    <w:multiLevelType w:val="hybridMultilevel"/>
    <w:tmpl w:val="DEC4AE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56513A8"/>
    <w:multiLevelType w:val="hybridMultilevel"/>
    <w:tmpl w:val="AC7E01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A95347E"/>
    <w:multiLevelType w:val="hybridMultilevel"/>
    <w:tmpl w:val="01603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D83FA5"/>
    <w:multiLevelType w:val="hybridMultilevel"/>
    <w:tmpl w:val="CC8EEB1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081499B"/>
    <w:multiLevelType w:val="hybridMultilevel"/>
    <w:tmpl w:val="6CCEBD88"/>
    <w:lvl w:ilvl="0" w:tplc="9D78828E">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52C793A"/>
    <w:multiLevelType w:val="hybridMultilevel"/>
    <w:tmpl w:val="1018C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526579"/>
    <w:multiLevelType w:val="hybridMultilevel"/>
    <w:tmpl w:val="61C2CA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F201F03"/>
    <w:multiLevelType w:val="hybridMultilevel"/>
    <w:tmpl w:val="D33E70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5A07D29"/>
    <w:multiLevelType w:val="hybridMultilevel"/>
    <w:tmpl w:val="D55478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7D52883"/>
    <w:multiLevelType w:val="hybridMultilevel"/>
    <w:tmpl w:val="E85C9F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DF5408D"/>
    <w:multiLevelType w:val="hybridMultilevel"/>
    <w:tmpl w:val="28383C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65A11922"/>
    <w:multiLevelType w:val="hybridMultilevel"/>
    <w:tmpl w:val="CB007548"/>
    <w:lvl w:ilvl="0" w:tplc="50CC23C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E323A33"/>
    <w:multiLevelType w:val="hybridMultilevel"/>
    <w:tmpl w:val="BEE62018"/>
    <w:lvl w:ilvl="0" w:tplc="42DA13CE">
      <w:start w:val="1"/>
      <w:numFmt w:val="bullet"/>
      <w:pStyle w:val="ListParagraph"/>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36E17FB"/>
    <w:multiLevelType w:val="hybridMultilevel"/>
    <w:tmpl w:val="22602526"/>
    <w:lvl w:ilvl="0" w:tplc="95960138">
      <w:start w:val="1"/>
      <w:numFmt w:val="bullet"/>
      <w:pStyle w:val="Bulletpoints10L"/>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46A5D14"/>
    <w:multiLevelType w:val="hybridMultilevel"/>
    <w:tmpl w:val="1DA21C4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12"/>
  </w:num>
  <w:num w:numId="4">
    <w:abstractNumId w:val="8"/>
  </w:num>
  <w:num w:numId="5">
    <w:abstractNumId w:val="9"/>
  </w:num>
  <w:num w:numId="6">
    <w:abstractNumId w:val="10"/>
  </w:num>
  <w:num w:numId="7">
    <w:abstractNumId w:val="3"/>
  </w:num>
  <w:num w:numId="8">
    <w:abstractNumId w:val="14"/>
  </w:num>
  <w:num w:numId="9">
    <w:abstractNumId w:val="11"/>
  </w:num>
  <w:num w:numId="10">
    <w:abstractNumId w:val="2"/>
  </w:num>
  <w:num w:numId="11">
    <w:abstractNumId w:val="5"/>
  </w:num>
  <w:num w:numId="12">
    <w:abstractNumId w:val="1"/>
  </w:num>
  <w:num w:numId="13">
    <w:abstractNumId w:val="6"/>
  </w:num>
  <w:num w:numId="14">
    <w:abstractNumId w:val="7"/>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9"/>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313A"/>
    <w:rsid w:val="00000B12"/>
    <w:rsid w:val="00000D4A"/>
    <w:rsid w:val="00000EFA"/>
    <w:rsid w:val="00000F75"/>
    <w:rsid w:val="00001693"/>
    <w:rsid w:val="000039D9"/>
    <w:rsid w:val="00004E9A"/>
    <w:rsid w:val="0000765C"/>
    <w:rsid w:val="00010BC0"/>
    <w:rsid w:val="00012BE5"/>
    <w:rsid w:val="00013498"/>
    <w:rsid w:val="00013E7F"/>
    <w:rsid w:val="000150C8"/>
    <w:rsid w:val="00017D70"/>
    <w:rsid w:val="00020802"/>
    <w:rsid w:val="00020EE4"/>
    <w:rsid w:val="000219D3"/>
    <w:rsid w:val="0002232A"/>
    <w:rsid w:val="000226F6"/>
    <w:rsid w:val="00025097"/>
    <w:rsid w:val="0002535F"/>
    <w:rsid w:val="00026521"/>
    <w:rsid w:val="00031670"/>
    <w:rsid w:val="00033D0F"/>
    <w:rsid w:val="00036D3D"/>
    <w:rsid w:val="0004639B"/>
    <w:rsid w:val="000467C0"/>
    <w:rsid w:val="00050A4B"/>
    <w:rsid w:val="0005136C"/>
    <w:rsid w:val="0005235D"/>
    <w:rsid w:val="000541CA"/>
    <w:rsid w:val="00056311"/>
    <w:rsid w:val="00057028"/>
    <w:rsid w:val="000600C5"/>
    <w:rsid w:val="00061E95"/>
    <w:rsid w:val="00064695"/>
    <w:rsid w:val="00064E32"/>
    <w:rsid w:val="000657FD"/>
    <w:rsid w:val="00065D91"/>
    <w:rsid w:val="000677B1"/>
    <w:rsid w:val="00067BBE"/>
    <w:rsid w:val="00072F8A"/>
    <w:rsid w:val="00073BBA"/>
    <w:rsid w:val="00081792"/>
    <w:rsid w:val="00083231"/>
    <w:rsid w:val="00084A1E"/>
    <w:rsid w:val="0008752E"/>
    <w:rsid w:val="000902D1"/>
    <w:rsid w:val="00090AE6"/>
    <w:rsid w:val="00092E1B"/>
    <w:rsid w:val="000A1F93"/>
    <w:rsid w:val="000A3646"/>
    <w:rsid w:val="000A4DEE"/>
    <w:rsid w:val="000A650A"/>
    <w:rsid w:val="000B0BBD"/>
    <w:rsid w:val="000B340B"/>
    <w:rsid w:val="000B3A95"/>
    <w:rsid w:val="000B3DC1"/>
    <w:rsid w:val="000B3F09"/>
    <w:rsid w:val="000B65C5"/>
    <w:rsid w:val="000C08EC"/>
    <w:rsid w:val="000C1913"/>
    <w:rsid w:val="000C4DC6"/>
    <w:rsid w:val="000C5015"/>
    <w:rsid w:val="000C56E7"/>
    <w:rsid w:val="000C5C89"/>
    <w:rsid w:val="000C70DB"/>
    <w:rsid w:val="000C729A"/>
    <w:rsid w:val="000D0F34"/>
    <w:rsid w:val="000D145F"/>
    <w:rsid w:val="000D59DD"/>
    <w:rsid w:val="000E18DF"/>
    <w:rsid w:val="000E26A2"/>
    <w:rsid w:val="000E32E5"/>
    <w:rsid w:val="000E39B2"/>
    <w:rsid w:val="000E3B80"/>
    <w:rsid w:val="000E5AE6"/>
    <w:rsid w:val="000E5BE4"/>
    <w:rsid w:val="000E6825"/>
    <w:rsid w:val="000F1A29"/>
    <w:rsid w:val="000F1EED"/>
    <w:rsid w:val="000F2D7B"/>
    <w:rsid w:val="000F2E32"/>
    <w:rsid w:val="000F4DDE"/>
    <w:rsid w:val="000F513C"/>
    <w:rsid w:val="00100F58"/>
    <w:rsid w:val="00105C87"/>
    <w:rsid w:val="00106834"/>
    <w:rsid w:val="001103FC"/>
    <w:rsid w:val="00111FB0"/>
    <w:rsid w:val="00114B17"/>
    <w:rsid w:val="0011719A"/>
    <w:rsid w:val="00117A46"/>
    <w:rsid w:val="00120866"/>
    <w:rsid w:val="0012227D"/>
    <w:rsid w:val="00123423"/>
    <w:rsid w:val="00123438"/>
    <w:rsid w:val="0012395F"/>
    <w:rsid w:val="00127C23"/>
    <w:rsid w:val="00130210"/>
    <w:rsid w:val="00131040"/>
    <w:rsid w:val="00132549"/>
    <w:rsid w:val="00135401"/>
    <w:rsid w:val="001354FB"/>
    <w:rsid w:val="00136467"/>
    <w:rsid w:val="00142C66"/>
    <w:rsid w:val="00143B1A"/>
    <w:rsid w:val="00147091"/>
    <w:rsid w:val="00151ABE"/>
    <w:rsid w:val="001532D6"/>
    <w:rsid w:val="001562CC"/>
    <w:rsid w:val="001622A0"/>
    <w:rsid w:val="00166416"/>
    <w:rsid w:val="001706B3"/>
    <w:rsid w:val="001725B6"/>
    <w:rsid w:val="00172BFC"/>
    <w:rsid w:val="00172FB8"/>
    <w:rsid w:val="0017617E"/>
    <w:rsid w:val="0017634C"/>
    <w:rsid w:val="00181BF6"/>
    <w:rsid w:val="001826F1"/>
    <w:rsid w:val="0018475E"/>
    <w:rsid w:val="00187766"/>
    <w:rsid w:val="00190D03"/>
    <w:rsid w:val="00196AC3"/>
    <w:rsid w:val="00197B65"/>
    <w:rsid w:val="001A0E4F"/>
    <w:rsid w:val="001A2322"/>
    <w:rsid w:val="001A2549"/>
    <w:rsid w:val="001A2645"/>
    <w:rsid w:val="001A2D3E"/>
    <w:rsid w:val="001A65C3"/>
    <w:rsid w:val="001B4CA6"/>
    <w:rsid w:val="001B5094"/>
    <w:rsid w:val="001B57DF"/>
    <w:rsid w:val="001B6EE4"/>
    <w:rsid w:val="001C0F01"/>
    <w:rsid w:val="001C1368"/>
    <w:rsid w:val="001C31A3"/>
    <w:rsid w:val="001C6A0B"/>
    <w:rsid w:val="001C71AB"/>
    <w:rsid w:val="001C7B50"/>
    <w:rsid w:val="001D1B64"/>
    <w:rsid w:val="001D2BCB"/>
    <w:rsid w:val="001E0AE8"/>
    <w:rsid w:val="001E1EC8"/>
    <w:rsid w:val="001E2B91"/>
    <w:rsid w:val="001E5739"/>
    <w:rsid w:val="001E7F3D"/>
    <w:rsid w:val="001F2CB7"/>
    <w:rsid w:val="001F2D2D"/>
    <w:rsid w:val="001F34FC"/>
    <w:rsid w:val="00201FA8"/>
    <w:rsid w:val="00203457"/>
    <w:rsid w:val="00206BD9"/>
    <w:rsid w:val="00211D1B"/>
    <w:rsid w:val="0021257A"/>
    <w:rsid w:val="00214462"/>
    <w:rsid w:val="002173F2"/>
    <w:rsid w:val="00220AA3"/>
    <w:rsid w:val="00220AFA"/>
    <w:rsid w:val="002212A3"/>
    <w:rsid w:val="00221873"/>
    <w:rsid w:val="0022189A"/>
    <w:rsid w:val="0022247A"/>
    <w:rsid w:val="002238D3"/>
    <w:rsid w:val="00225CB6"/>
    <w:rsid w:val="00225DD6"/>
    <w:rsid w:val="00227194"/>
    <w:rsid w:val="00227EC7"/>
    <w:rsid w:val="00230151"/>
    <w:rsid w:val="00230875"/>
    <w:rsid w:val="00231AFC"/>
    <w:rsid w:val="0023433E"/>
    <w:rsid w:val="00235A7C"/>
    <w:rsid w:val="00236075"/>
    <w:rsid w:val="002408C3"/>
    <w:rsid w:val="00241612"/>
    <w:rsid w:val="0024205C"/>
    <w:rsid w:val="00244DBF"/>
    <w:rsid w:val="002450AF"/>
    <w:rsid w:val="00247D11"/>
    <w:rsid w:val="0025769B"/>
    <w:rsid w:val="00261031"/>
    <w:rsid w:val="002619F3"/>
    <w:rsid w:val="00263F28"/>
    <w:rsid w:val="00264FCD"/>
    <w:rsid w:val="00265D90"/>
    <w:rsid w:val="00266DC3"/>
    <w:rsid w:val="002703F3"/>
    <w:rsid w:val="0027080F"/>
    <w:rsid w:val="00272617"/>
    <w:rsid w:val="00272E11"/>
    <w:rsid w:val="0027544B"/>
    <w:rsid w:val="0027746A"/>
    <w:rsid w:val="00280410"/>
    <w:rsid w:val="00280EBD"/>
    <w:rsid w:val="00281572"/>
    <w:rsid w:val="00281CDE"/>
    <w:rsid w:val="00281F66"/>
    <w:rsid w:val="00282D6E"/>
    <w:rsid w:val="00286CBF"/>
    <w:rsid w:val="00290CE6"/>
    <w:rsid w:val="002948CC"/>
    <w:rsid w:val="0029509F"/>
    <w:rsid w:val="0029751A"/>
    <w:rsid w:val="002A22FB"/>
    <w:rsid w:val="002A2889"/>
    <w:rsid w:val="002A3519"/>
    <w:rsid w:val="002A53F0"/>
    <w:rsid w:val="002B09D2"/>
    <w:rsid w:val="002B2E29"/>
    <w:rsid w:val="002B34EA"/>
    <w:rsid w:val="002B39AB"/>
    <w:rsid w:val="002B64C3"/>
    <w:rsid w:val="002B6647"/>
    <w:rsid w:val="002B66A9"/>
    <w:rsid w:val="002C5521"/>
    <w:rsid w:val="002C7761"/>
    <w:rsid w:val="002C77B9"/>
    <w:rsid w:val="002D0D4A"/>
    <w:rsid w:val="002D1EC7"/>
    <w:rsid w:val="002D3043"/>
    <w:rsid w:val="002D6A47"/>
    <w:rsid w:val="002E0FC0"/>
    <w:rsid w:val="002E10CD"/>
    <w:rsid w:val="002E29E5"/>
    <w:rsid w:val="002E43B1"/>
    <w:rsid w:val="002E51E0"/>
    <w:rsid w:val="002E6372"/>
    <w:rsid w:val="002F2E9D"/>
    <w:rsid w:val="002F30B2"/>
    <w:rsid w:val="002F3AA5"/>
    <w:rsid w:val="002F4B20"/>
    <w:rsid w:val="002F4F26"/>
    <w:rsid w:val="002F5FA0"/>
    <w:rsid w:val="00304A8E"/>
    <w:rsid w:val="003056A1"/>
    <w:rsid w:val="0030669A"/>
    <w:rsid w:val="00307985"/>
    <w:rsid w:val="00307C76"/>
    <w:rsid w:val="0031013C"/>
    <w:rsid w:val="00311515"/>
    <w:rsid w:val="00313042"/>
    <w:rsid w:val="0031443A"/>
    <w:rsid w:val="00317585"/>
    <w:rsid w:val="003209DB"/>
    <w:rsid w:val="00320EDC"/>
    <w:rsid w:val="003228DD"/>
    <w:rsid w:val="00324427"/>
    <w:rsid w:val="003250CD"/>
    <w:rsid w:val="00326CA1"/>
    <w:rsid w:val="00327A7D"/>
    <w:rsid w:val="003305F3"/>
    <w:rsid w:val="00330849"/>
    <w:rsid w:val="00332E71"/>
    <w:rsid w:val="00333EE5"/>
    <w:rsid w:val="00337224"/>
    <w:rsid w:val="00337576"/>
    <w:rsid w:val="003376F7"/>
    <w:rsid w:val="00340F58"/>
    <w:rsid w:val="0034104F"/>
    <w:rsid w:val="00341C41"/>
    <w:rsid w:val="0034240F"/>
    <w:rsid w:val="00342497"/>
    <w:rsid w:val="0034266F"/>
    <w:rsid w:val="003512C4"/>
    <w:rsid w:val="00352532"/>
    <w:rsid w:val="00352732"/>
    <w:rsid w:val="00353972"/>
    <w:rsid w:val="0035558B"/>
    <w:rsid w:val="00357664"/>
    <w:rsid w:val="00357B21"/>
    <w:rsid w:val="003601F9"/>
    <w:rsid w:val="00367B1E"/>
    <w:rsid w:val="00367CE7"/>
    <w:rsid w:val="00370694"/>
    <w:rsid w:val="00370ABB"/>
    <w:rsid w:val="00370B17"/>
    <w:rsid w:val="00371B9D"/>
    <w:rsid w:val="00374555"/>
    <w:rsid w:val="00380757"/>
    <w:rsid w:val="003845D5"/>
    <w:rsid w:val="00386BF2"/>
    <w:rsid w:val="00391ED6"/>
    <w:rsid w:val="003927EB"/>
    <w:rsid w:val="00393CE3"/>
    <w:rsid w:val="003A154A"/>
    <w:rsid w:val="003A1B90"/>
    <w:rsid w:val="003A1D51"/>
    <w:rsid w:val="003A292C"/>
    <w:rsid w:val="003A29FF"/>
    <w:rsid w:val="003A58D1"/>
    <w:rsid w:val="003A698D"/>
    <w:rsid w:val="003B0010"/>
    <w:rsid w:val="003B13ED"/>
    <w:rsid w:val="003B2E5B"/>
    <w:rsid w:val="003B4EB0"/>
    <w:rsid w:val="003B5DCF"/>
    <w:rsid w:val="003B6817"/>
    <w:rsid w:val="003B6A55"/>
    <w:rsid w:val="003C1686"/>
    <w:rsid w:val="003C31C4"/>
    <w:rsid w:val="003C3204"/>
    <w:rsid w:val="003C46CC"/>
    <w:rsid w:val="003C48FE"/>
    <w:rsid w:val="003C56D9"/>
    <w:rsid w:val="003C5736"/>
    <w:rsid w:val="003C7894"/>
    <w:rsid w:val="003D0091"/>
    <w:rsid w:val="003D10AF"/>
    <w:rsid w:val="003D187D"/>
    <w:rsid w:val="003D1FD9"/>
    <w:rsid w:val="003D3CCE"/>
    <w:rsid w:val="003D3E0D"/>
    <w:rsid w:val="003E1069"/>
    <w:rsid w:val="003E2F3F"/>
    <w:rsid w:val="003E38A7"/>
    <w:rsid w:val="003E4A46"/>
    <w:rsid w:val="003E4DE5"/>
    <w:rsid w:val="003E51C2"/>
    <w:rsid w:val="003E5F42"/>
    <w:rsid w:val="003E7CEE"/>
    <w:rsid w:val="003F29F0"/>
    <w:rsid w:val="003F356D"/>
    <w:rsid w:val="003F46B2"/>
    <w:rsid w:val="003F5311"/>
    <w:rsid w:val="004001E3"/>
    <w:rsid w:val="00401A7A"/>
    <w:rsid w:val="004031FD"/>
    <w:rsid w:val="00405D36"/>
    <w:rsid w:val="00411D9E"/>
    <w:rsid w:val="00413AC4"/>
    <w:rsid w:val="0041453A"/>
    <w:rsid w:val="004161F2"/>
    <w:rsid w:val="004176AA"/>
    <w:rsid w:val="00421132"/>
    <w:rsid w:val="00421772"/>
    <w:rsid w:val="00421D20"/>
    <w:rsid w:val="00425AF0"/>
    <w:rsid w:val="00426B77"/>
    <w:rsid w:val="00426C73"/>
    <w:rsid w:val="00427162"/>
    <w:rsid w:val="00427BA0"/>
    <w:rsid w:val="00427CB1"/>
    <w:rsid w:val="00430EE2"/>
    <w:rsid w:val="00430F44"/>
    <w:rsid w:val="00432239"/>
    <w:rsid w:val="00432572"/>
    <w:rsid w:val="00433095"/>
    <w:rsid w:val="00434506"/>
    <w:rsid w:val="0043478C"/>
    <w:rsid w:val="00441CFA"/>
    <w:rsid w:val="00442BB4"/>
    <w:rsid w:val="00444519"/>
    <w:rsid w:val="004473C7"/>
    <w:rsid w:val="004510AF"/>
    <w:rsid w:val="004537E4"/>
    <w:rsid w:val="00454D1D"/>
    <w:rsid w:val="004550B2"/>
    <w:rsid w:val="004557CA"/>
    <w:rsid w:val="004565FA"/>
    <w:rsid w:val="0045718B"/>
    <w:rsid w:val="00457734"/>
    <w:rsid w:val="0046087E"/>
    <w:rsid w:val="00460FA4"/>
    <w:rsid w:val="00463AAA"/>
    <w:rsid w:val="0046530D"/>
    <w:rsid w:val="004655B3"/>
    <w:rsid w:val="00465CC2"/>
    <w:rsid w:val="00466E2F"/>
    <w:rsid w:val="004671B6"/>
    <w:rsid w:val="004672C7"/>
    <w:rsid w:val="00470911"/>
    <w:rsid w:val="00472593"/>
    <w:rsid w:val="00473DEC"/>
    <w:rsid w:val="004740A5"/>
    <w:rsid w:val="00474B2A"/>
    <w:rsid w:val="0047524D"/>
    <w:rsid w:val="00475817"/>
    <w:rsid w:val="004758E9"/>
    <w:rsid w:val="00477089"/>
    <w:rsid w:val="00477974"/>
    <w:rsid w:val="00477E4E"/>
    <w:rsid w:val="0048025F"/>
    <w:rsid w:val="00481587"/>
    <w:rsid w:val="00482E71"/>
    <w:rsid w:val="00485EB5"/>
    <w:rsid w:val="004901BB"/>
    <w:rsid w:val="004909B7"/>
    <w:rsid w:val="00491600"/>
    <w:rsid w:val="004918FC"/>
    <w:rsid w:val="004931AC"/>
    <w:rsid w:val="004933B9"/>
    <w:rsid w:val="0049449E"/>
    <w:rsid w:val="00495B89"/>
    <w:rsid w:val="00495C7F"/>
    <w:rsid w:val="00495DA1"/>
    <w:rsid w:val="004963EF"/>
    <w:rsid w:val="00497D48"/>
    <w:rsid w:val="004A0074"/>
    <w:rsid w:val="004A0174"/>
    <w:rsid w:val="004A0E93"/>
    <w:rsid w:val="004A1C50"/>
    <w:rsid w:val="004A417C"/>
    <w:rsid w:val="004A4654"/>
    <w:rsid w:val="004B0BE1"/>
    <w:rsid w:val="004B1EBA"/>
    <w:rsid w:val="004B4843"/>
    <w:rsid w:val="004B4E38"/>
    <w:rsid w:val="004B600B"/>
    <w:rsid w:val="004C0F5B"/>
    <w:rsid w:val="004C529B"/>
    <w:rsid w:val="004C6D4D"/>
    <w:rsid w:val="004C6E3B"/>
    <w:rsid w:val="004C7595"/>
    <w:rsid w:val="004C7EE7"/>
    <w:rsid w:val="004D33C2"/>
    <w:rsid w:val="004D33C4"/>
    <w:rsid w:val="004D4C9C"/>
    <w:rsid w:val="004E0E99"/>
    <w:rsid w:val="004E1456"/>
    <w:rsid w:val="004E2C53"/>
    <w:rsid w:val="004E3482"/>
    <w:rsid w:val="004E6668"/>
    <w:rsid w:val="004F1967"/>
    <w:rsid w:val="004F1A80"/>
    <w:rsid w:val="004F4CF4"/>
    <w:rsid w:val="004F708F"/>
    <w:rsid w:val="00501224"/>
    <w:rsid w:val="00501AB0"/>
    <w:rsid w:val="00502175"/>
    <w:rsid w:val="00503BD8"/>
    <w:rsid w:val="0050577B"/>
    <w:rsid w:val="00505844"/>
    <w:rsid w:val="00507737"/>
    <w:rsid w:val="00507D30"/>
    <w:rsid w:val="0051321C"/>
    <w:rsid w:val="005165DB"/>
    <w:rsid w:val="00517136"/>
    <w:rsid w:val="005203C3"/>
    <w:rsid w:val="005210A1"/>
    <w:rsid w:val="00522CB7"/>
    <w:rsid w:val="00523CD5"/>
    <w:rsid w:val="00527433"/>
    <w:rsid w:val="00531CCE"/>
    <w:rsid w:val="00534AF2"/>
    <w:rsid w:val="0053572A"/>
    <w:rsid w:val="00535AE2"/>
    <w:rsid w:val="005365E6"/>
    <w:rsid w:val="00537633"/>
    <w:rsid w:val="005402F7"/>
    <w:rsid w:val="005403ED"/>
    <w:rsid w:val="00540DEA"/>
    <w:rsid w:val="00543D25"/>
    <w:rsid w:val="005446A8"/>
    <w:rsid w:val="005456C6"/>
    <w:rsid w:val="005457CC"/>
    <w:rsid w:val="005459CA"/>
    <w:rsid w:val="00545DC4"/>
    <w:rsid w:val="00551644"/>
    <w:rsid w:val="00552AAB"/>
    <w:rsid w:val="00553144"/>
    <w:rsid w:val="005532AD"/>
    <w:rsid w:val="0055643E"/>
    <w:rsid w:val="00557353"/>
    <w:rsid w:val="00557CB1"/>
    <w:rsid w:val="00560467"/>
    <w:rsid w:val="00561940"/>
    <w:rsid w:val="00561C83"/>
    <w:rsid w:val="00562A3E"/>
    <w:rsid w:val="00563D8E"/>
    <w:rsid w:val="0056424A"/>
    <w:rsid w:val="0056557B"/>
    <w:rsid w:val="00565962"/>
    <w:rsid w:val="00567C9C"/>
    <w:rsid w:val="00570D24"/>
    <w:rsid w:val="00571016"/>
    <w:rsid w:val="00572763"/>
    <w:rsid w:val="0057364F"/>
    <w:rsid w:val="00573F88"/>
    <w:rsid w:val="00574ED7"/>
    <w:rsid w:val="005763BF"/>
    <w:rsid w:val="0057658C"/>
    <w:rsid w:val="005818E2"/>
    <w:rsid w:val="00581C48"/>
    <w:rsid w:val="00583F8C"/>
    <w:rsid w:val="00584ADA"/>
    <w:rsid w:val="00585D80"/>
    <w:rsid w:val="005864D4"/>
    <w:rsid w:val="00586696"/>
    <w:rsid w:val="005925B8"/>
    <w:rsid w:val="00592973"/>
    <w:rsid w:val="0059336F"/>
    <w:rsid w:val="005960A2"/>
    <w:rsid w:val="0059669D"/>
    <w:rsid w:val="00596979"/>
    <w:rsid w:val="00597B01"/>
    <w:rsid w:val="005A3BD3"/>
    <w:rsid w:val="005A6E0D"/>
    <w:rsid w:val="005A71BE"/>
    <w:rsid w:val="005B482B"/>
    <w:rsid w:val="005B50FD"/>
    <w:rsid w:val="005C1343"/>
    <w:rsid w:val="005C18AA"/>
    <w:rsid w:val="005C3273"/>
    <w:rsid w:val="005D09DB"/>
    <w:rsid w:val="005D0F3C"/>
    <w:rsid w:val="005D111F"/>
    <w:rsid w:val="005D19C0"/>
    <w:rsid w:val="005D1FFA"/>
    <w:rsid w:val="005D2EBE"/>
    <w:rsid w:val="005D325E"/>
    <w:rsid w:val="005D38EB"/>
    <w:rsid w:val="005D4C55"/>
    <w:rsid w:val="005D512B"/>
    <w:rsid w:val="005D6AF2"/>
    <w:rsid w:val="005E06A9"/>
    <w:rsid w:val="005E08CC"/>
    <w:rsid w:val="005E1D26"/>
    <w:rsid w:val="005E3224"/>
    <w:rsid w:val="005E446C"/>
    <w:rsid w:val="005F0361"/>
    <w:rsid w:val="005F0548"/>
    <w:rsid w:val="005F54EF"/>
    <w:rsid w:val="005F6435"/>
    <w:rsid w:val="005F708D"/>
    <w:rsid w:val="005F75AB"/>
    <w:rsid w:val="005F7EB5"/>
    <w:rsid w:val="00602211"/>
    <w:rsid w:val="0060309D"/>
    <w:rsid w:val="00604576"/>
    <w:rsid w:val="00606499"/>
    <w:rsid w:val="00607933"/>
    <w:rsid w:val="00607D3A"/>
    <w:rsid w:val="00607F74"/>
    <w:rsid w:val="006115DE"/>
    <w:rsid w:val="0061280D"/>
    <w:rsid w:val="00613E5F"/>
    <w:rsid w:val="00614F36"/>
    <w:rsid w:val="00620977"/>
    <w:rsid w:val="00621C5A"/>
    <w:rsid w:val="0062254C"/>
    <w:rsid w:val="00622B97"/>
    <w:rsid w:val="00624F67"/>
    <w:rsid w:val="0063041E"/>
    <w:rsid w:val="006306A6"/>
    <w:rsid w:val="00630F41"/>
    <w:rsid w:val="00634292"/>
    <w:rsid w:val="00637E88"/>
    <w:rsid w:val="006427BB"/>
    <w:rsid w:val="00645953"/>
    <w:rsid w:val="00645CC5"/>
    <w:rsid w:val="00653C86"/>
    <w:rsid w:val="00655B9A"/>
    <w:rsid w:val="0065699D"/>
    <w:rsid w:val="00661C42"/>
    <w:rsid w:val="00663AB2"/>
    <w:rsid w:val="006662AF"/>
    <w:rsid w:val="00666AD0"/>
    <w:rsid w:val="00667019"/>
    <w:rsid w:val="0067479C"/>
    <w:rsid w:val="00675C6A"/>
    <w:rsid w:val="00675EF9"/>
    <w:rsid w:val="00677CE2"/>
    <w:rsid w:val="0068007F"/>
    <w:rsid w:val="00681BDC"/>
    <w:rsid w:val="00683C1A"/>
    <w:rsid w:val="006870CF"/>
    <w:rsid w:val="0069134F"/>
    <w:rsid w:val="006942EA"/>
    <w:rsid w:val="0069484E"/>
    <w:rsid w:val="00695573"/>
    <w:rsid w:val="006A1C25"/>
    <w:rsid w:val="006A2C55"/>
    <w:rsid w:val="006A5B10"/>
    <w:rsid w:val="006A5D63"/>
    <w:rsid w:val="006B23F3"/>
    <w:rsid w:val="006B45B7"/>
    <w:rsid w:val="006B6899"/>
    <w:rsid w:val="006C04A9"/>
    <w:rsid w:val="006C20C0"/>
    <w:rsid w:val="006C2C96"/>
    <w:rsid w:val="006C328C"/>
    <w:rsid w:val="006C42C1"/>
    <w:rsid w:val="006C4954"/>
    <w:rsid w:val="006C6DEC"/>
    <w:rsid w:val="006D2033"/>
    <w:rsid w:val="006D2BB8"/>
    <w:rsid w:val="006D5076"/>
    <w:rsid w:val="006D60B2"/>
    <w:rsid w:val="006E4B2F"/>
    <w:rsid w:val="006E4CF1"/>
    <w:rsid w:val="006E59B5"/>
    <w:rsid w:val="006E63E7"/>
    <w:rsid w:val="006E7CF7"/>
    <w:rsid w:val="006F055D"/>
    <w:rsid w:val="006F0D0E"/>
    <w:rsid w:val="006F0FC9"/>
    <w:rsid w:val="006F5FEA"/>
    <w:rsid w:val="00703860"/>
    <w:rsid w:val="00704126"/>
    <w:rsid w:val="0070574F"/>
    <w:rsid w:val="00707A75"/>
    <w:rsid w:val="00707EB2"/>
    <w:rsid w:val="007116FB"/>
    <w:rsid w:val="007129F3"/>
    <w:rsid w:val="00712B88"/>
    <w:rsid w:val="007137B1"/>
    <w:rsid w:val="0071422C"/>
    <w:rsid w:val="007202D0"/>
    <w:rsid w:val="007208C3"/>
    <w:rsid w:val="0072472C"/>
    <w:rsid w:val="00725914"/>
    <w:rsid w:val="0073405B"/>
    <w:rsid w:val="007404DB"/>
    <w:rsid w:val="0074073E"/>
    <w:rsid w:val="00741896"/>
    <w:rsid w:val="00744EC8"/>
    <w:rsid w:val="007463E3"/>
    <w:rsid w:val="00750ADF"/>
    <w:rsid w:val="0075156A"/>
    <w:rsid w:val="00751DF6"/>
    <w:rsid w:val="00752759"/>
    <w:rsid w:val="00753EBE"/>
    <w:rsid w:val="007542CC"/>
    <w:rsid w:val="007551AD"/>
    <w:rsid w:val="0075590E"/>
    <w:rsid w:val="00755AEE"/>
    <w:rsid w:val="007565B4"/>
    <w:rsid w:val="00757721"/>
    <w:rsid w:val="00760489"/>
    <w:rsid w:val="00760B6E"/>
    <w:rsid w:val="00761687"/>
    <w:rsid w:val="007631EF"/>
    <w:rsid w:val="007676A9"/>
    <w:rsid w:val="0077049F"/>
    <w:rsid w:val="007715BD"/>
    <w:rsid w:val="00771691"/>
    <w:rsid w:val="00780985"/>
    <w:rsid w:val="0078551F"/>
    <w:rsid w:val="00787C92"/>
    <w:rsid w:val="007908A6"/>
    <w:rsid w:val="00792045"/>
    <w:rsid w:val="007927C5"/>
    <w:rsid w:val="007A302E"/>
    <w:rsid w:val="007A3613"/>
    <w:rsid w:val="007A4F60"/>
    <w:rsid w:val="007A534B"/>
    <w:rsid w:val="007A5C59"/>
    <w:rsid w:val="007B179F"/>
    <w:rsid w:val="007B3D50"/>
    <w:rsid w:val="007B48B1"/>
    <w:rsid w:val="007B6354"/>
    <w:rsid w:val="007C0E59"/>
    <w:rsid w:val="007C0EB9"/>
    <w:rsid w:val="007C1ED5"/>
    <w:rsid w:val="007C267A"/>
    <w:rsid w:val="007C4DC1"/>
    <w:rsid w:val="007C599A"/>
    <w:rsid w:val="007D23E9"/>
    <w:rsid w:val="007D58FB"/>
    <w:rsid w:val="007E0D5F"/>
    <w:rsid w:val="007E4026"/>
    <w:rsid w:val="007E4153"/>
    <w:rsid w:val="007E495E"/>
    <w:rsid w:val="007E5931"/>
    <w:rsid w:val="007E6A6E"/>
    <w:rsid w:val="007F0F76"/>
    <w:rsid w:val="007F1DE4"/>
    <w:rsid w:val="007F23A7"/>
    <w:rsid w:val="007F3815"/>
    <w:rsid w:val="007F5B62"/>
    <w:rsid w:val="007F6696"/>
    <w:rsid w:val="00802EF3"/>
    <w:rsid w:val="008074CE"/>
    <w:rsid w:val="00810AC9"/>
    <w:rsid w:val="00811785"/>
    <w:rsid w:val="0081231F"/>
    <w:rsid w:val="0081243C"/>
    <w:rsid w:val="00812855"/>
    <w:rsid w:val="0081405F"/>
    <w:rsid w:val="00816B57"/>
    <w:rsid w:val="00820058"/>
    <w:rsid w:val="008213AD"/>
    <w:rsid w:val="0082179A"/>
    <w:rsid w:val="0082346C"/>
    <w:rsid w:val="00824EDF"/>
    <w:rsid w:val="0082535B"/>
    <w:rsid w:val="00825D70"/>
    <w:rsid w:val="008261DF"/>
    <w:rsid w:val="00826ECC"/>
    <w:rsid w:val="0082798C"/>
    <w:rsid w:val="00827E54"/>
    <w:rsid w:val="00833B4D"/>
    <w:rsid w:val="008359BD"/>
    <w:rsid w:val="00835A30"/>
    <w:rsid w:val="0083680D"/>
    <w:rsid w:val="008371F6"/>
    <w:rsid w:val="0083726A"/>
    <w:rsid w:val="00840CB5"/>
    <w:rsid w:val="00843BBC"/>
    <w:rsid w:val="0084517E"/>
    <w:rsid w:val="00845183"/>
    <w:rsid w:val="00845316"/>
    <w:rsid w:val="008457C9"/>
    <w:rsid w:val="00850662"/>
    <w:rsid w:val="00852B48"/>
    <w:rsid w:val="008538B8"/>
    <w:rsid w:val="0085478A"/>
    <w:rsid w:val="00857D69"/>
    <w:rsid w:val="00863F34"/>
    <w:rsid w:val="0086765F"/>
    <w:rsid w:val="008679B8"/>
    <w:rsid w:val="00874FC0"/>
    <w:rsid w:val="00875918"/>
    <w:rsid w:val="0088021A"/>
    <w:rsid w:val="00886F13"/>
    <w:rsid w:val="0089015E"/>
    <w:rsid w:val="0089242C"/>
    <w:rsid w:val="00897CDE"/>
    <w:rsid w:val="008A4284"/>
    <w:rsid w:val="008A7A30"/>
    <w:rsid w:val="008B3A50"/>
    <w:rsid w:val="008B67B6"/>
    <w:rsid w:val="008C052A"/>
    <w:rsid w:val="008C7365"/>
    <w:rsid w:val="008D161E"/>
    <w:rsid w:val="008D1E59"/>
    <w:rsid w:val="008D529B"/>
    <w:rsid w:val="008D7633"/>
    <w:rsid w:val="008D7C70"/>
    <w:rsid w:val="008E108C"/>
    <w:rsid w:val="008E10D0"/>
    <w:rsid w:val="008E1D2E"/>
    <w:rsid w:val="008E2D08"/>
    <w:rsid w:val="008E46B8"/>
    <w:rsid w:val="008E48E7"/>
    <w:rsid w:val="008E4F00"/>
    <w:rsid w:val="008E5373"/>
    <w:rsid w:val="008F062F"/>
    <w:rsid w:val="008F1F3A"/>
    <w:rsid w:val="008F3719"/>
    <w:rsid w:val="008F3DC8"/>
    <w:rsid w:val="008F637D"/>
    <w:rsid w:val="00902537"/>
    <w:rsid w:val="00902908"/>
    <w:rsid w:val="00902AAE"/>
    <w:rsid w:val="00903078"/>
    <w:rsid w:val="00904C42"/>
    <w:rsid w:val="009056DD"/>
    <w:rsid w:val="00906A00"/>
    <w:rsid w:val="00906AB1"/>
    <w:rsid w:val="00907905"/>
    <w:rsid w:val="00907D2A"/>
    <w:rsid w:val="00913536"/>
    <w:rsid w:val="00916B84"/>
    <w:rsid w:val="00917A0A"/>
    <w:rsid w:val="00921849"/>
    <w:rsid w:val="00921C6A"/>
    <w:rsid w:val="009224D8"/>
    <w:rsid w:val="009240D7"/>
    <w:rsid w:val="00926C61"/>
    <w:rsid w:val="0093475D"/>
    <w:rsid w:val="0093480B"/>
    <w:rsid w:val="00935440"/>
    <w:rsid w:val="009355A4"/>
    <w:rsid w:val="009358E2"/>
    <w:rsid w:val="0093626A"/>
    <w:rsid w:val="009376D9"/>
    <w:rsid w:val="009406FA"/>
    <w:rsid w:val="00941E04"/>
    <w:rsid w:val="0094274E"/>
    <w:rsid w:val="0094363C"/>
    <w:rsid w:val="00943881"/>
    <w:rsid w:val="009445CA"/>
    <w:rsid w:val="009472C6"/>
    <w:rsid w:val="009507F2"/>
    <w:rsid w:val="00951E39"/>
    <w:rsid w:val="00952C88"/>
    <w:rsid w:val="00952F10"/>
    <w:rsid w:val="00953FF2"/>
    <w:rsid w:val="00955993"/>
    <w:rsid w:val="00955D21"/>
    <w:rsid w:val="00957E91"/>
    <w:rsid w:val="00962FA4"/>
    <w:rsid w:val="00963A10"/>
    <w:rsid w:val="00963F2C"/>
    <w:rsid w:val="00964916"/>
    <w:rsid w:val="00971DFD"/>
    <w:rsid w:val="00971F36"/>
    <w:rsid w:val="0097250E"/>
    <w:rsid w:val="00975565"/>
    <w:rsid w:val="009755DD"/>
    <w:rsid w:val="00977AD7"/>
    <w:rsid w:val="00980E21"/>
    <w:rsid w:val="00981340"/>
    <w:rsid w:val="00984192"/>
    <w:rsid w:val="00984A4B"/>
    <w:rsid w:val="009853CA"/>
    <w:rsid w:val="00986EBE"/>
    <w:rsid w:val="00991A7B"/>
    <w:rsid w:val="009937F2"/>
    <w:rsid w:val="00995B59"/>
    <w:rsid w:val="00996688"/>
    <w:rsid w:val="00996A4C"/>
    <w:rsid w:val="00996D01"/>
    <w:rsid w:val="00997680"/>
    <w:rsid w:val="009A0AF0"/>
    <w:rsid w:val="009A17BE"/>
    <w:rsid w:val="009A286C"/>
    <w:rsid w:val="009A31B2"/>
    <w:rsid w:val="009B069C"/>
    <w:rsid w:val="009B3A3E"/>
    <w:rsid w:val="009B4985"/>
    <w:rsid w:val="009B49B4"/>
    <w:rsid w:val="009B7DB0"/>
    <w:rsid w:val="009C0D46"/>
    <w:rsid w:val="009C29C0"/>
    <w:rsid w:val="009C38E5"/>
    <w:rsid w:val="009C50BD"/>
    <w:rsid w:val="009C5BE1"/>
    <w:rsid w:val="009D42D8"/>
    <w:rsid w:val="009D5E94"/>
    <w:rsid w:val="009D6FB4"/>
    <w:rsid w:val="009D7CB6"/>
    <w:rsid w:val="009E3608"/>
    <w:rsid w:val="009E3644"/>
    <w:rsid w:val="009E3767"/>
    <w:rsid w:val="009E7DB2"/>
    <w:rsid w:val="009F1511"/>
    <w:rsid w:val="009F1D7A"/>
    <w:rsid w:val="009F252B"/>
    <w:rsid w:val="009F2D4F"/>
    <w:rsid w:val="00A0122A"/>
    <w:rsid w:val="00A023E8"/>
    <w:rsid w:val="00A02C10"/>
    <w:rsid w:val="00A056A8"/>
    <w:rsid w:val="00A05A92"/>
    <w:rsid w:val="00A05F9D"/>
    <w:rsid w:val="00A07175"/>
    <w:rsid w:val="00A12550"/>
    <w:rsid w:val="00A14376"/>
    <w:rsid w:val="00A1600C"/>
    <w:rsid w:val="00A17DE4"/>
    <w:rsid w:val="00A20A06"/>
    <w:rsid w:val="00A24F29"/>
    <w:rsid w:val="00A25054"/>
    <w:rsid w:val="00A25255"/>
    <w:rsid w:val="00A27E49"/>
    <w:rsid w:val="00A30B6A"/>
    <w:rsid w:val="00A31586"/>
    <w:rsid w:val="00A31D72"/>
    <w:rsid w:val="00A32C08"/>
    <w:rsid w:val="00A36351"/>
    <w:rsid w:val="00A37949"/>
    <w:rsid w:val="00A37FEC"/>
    <w:rsid w:val="00A404DF"/>
    <w:rsid w:val="00A42D96"/>
    <w:rsid w:val="00A4313A"/>
    <w:rsid w:val="00A433F1"/>
    <w:rsid w:val="00A43E7B"/>
    <w:rsid w:val="00A448DF"/>
    <w:rsid w:val="00A45291"/>
    <w:rsid w:val="00A46C92"/>
    <w:rsid w:val="00A50F08"/>
    <w:rsid w:val="00A5136D"/>
    <w:rsid w:val="00A51DB2"/>
    <w:rsid w:val="00A5220E"/>
    <w:rsid w:val="00A52C4E"/>
    <w:rsid w:val="00A531BA"/>
    <w:rsid w:val="00A547E5"/>
    <w:rsid w:val="00A54BFD"/>
    <w:rsid w:val="00A55DEB"/>
    <w:rsid w:val="00A56193"/>
    <w:rsid w:val="00A566C0"/>
    <w:rsid w:val="00A56B83"/>
    <w:rsid w:val="00A56F82"/>
    <w:rsid w:val="00A575FD"/>
    <w:rsid w:val="00A57B09"/>
    <w:rsid w:val="00A63399"/>
    <w:rsid w:val="00A65782"/>
    <w:rsid w:val="00A70CB8"/>
    <w:rsid w:val="00A80466"/>
    <w:rsid w:val="00A812DC"/>
    <w:rsid w:val="00A85B09"/>
    <w:rsid w:val="00A86B3F"/>
    <w:rsid w:val="00A87D20"/>
    <w:rsid w:val="00A901A2"/>
    <w:rsid w:val="00A9045F"/>
    <w:rsid w:val="00A9143B"/>
    <w:rsid w:val="00A93714"/>
    <w:rsid w:val="00AA1361"/>
    <w:rsid w:val="00AA1520"/>
    <w:rsid w:val="00AA2E48"/>
    <w:rsid w:val="00AA3014"/>
    <w:rsid w:val="00AA3C56"/>
    <w:rsid w:val="00AA3E9C"/>
    <w:rsid w:val="00AA6AC8"/>
    <w:rsid w:val="00AB1257"/>
    <w:rsid w:val="00AB2CA8"/>
    <w:rsid w:val="00AB4803"/>
    <w:rsid w:val="00AB484D"/>
    <w:rsid w:val="00AB571C"/>
    <w:rsid w:val="00AC1BEC"/>
    <w:rsid w:val="00AC27DA"/>
    <w:rsid w:val="00AC43BA"/>
    <w:rsid w:val="00AC4D63"/>
    <w:rsid w:val="00AD162B"/>
    <w:rsid w:val="00AD2087"/>
    <w:rsid w:val="00AD268B"/>
    <w:rsid w:val="00AD3A23"/>
    <w:rsid w:val="00AD3FFA"/>
    <w:rsid w:val="00AD4683"/>
    <w:rsid w:val="00AD4B05"/>
    <w:rsid w:val="00AD6632"/>
    <w:rsid w:val="00AE703F"/>
    <w:rsid w:val="00AF04CD"/>
    <w:rsid w:val="00AF1206"/>
    <w:rsid w:val="00AF2D74"/>
    <w:rsid w:val="00AF2E6F"/>
    <w:rsid w:val="00AF3DB0"/>
    <w:rsid w:val="00AF5389"/>
    <w:rsid w:val="00AF6A3E"/>
    <w:rsid w:val="00B00EDF"/>
    <w:rsid w:val="00B01779"/>
    <w:rsid w:val="00B021E4"/>
    <w:rsid w:val="00B02B4F"/>
    <w:rsid w:val="00B07D81"/>
    <w:rsid w:val="00B13755"/>
    <w:rsid w:val="00B13C41"/>
    <w:rsid w:val="00B15309"/>
    <w:rsid w:val="00B227CD"/>
    <w:rsid w:val="00B233EA"/>
    <w:rsid w:val="00B23DD4"/>
    <w:rsid w:val="00B24264"/>
    <w:rsid w:val="00B270FA"/>
    <w:rsid w:val="00B27738"/>
    <w:rsid w:val="00B334E4"/>
    <w:rsid w:val="00B35F44"/>
    <w:rsid w:val="00B40D9B"/>
    <w:rsid w:val="00B41EA8"/>
    <w:rsid w:val="00B42A31"/>
    <w:rsid w:val="00B436B6"/>
    <w:rsid w:val="00B44BC6"/>
    <w:rsid w:val="00B46409"/>
    <w:rsid w:val="00B46E40"/>
    <w:rsid w:val="00B470E0"/>
    <w:rsid w:val="00B47440"/>
    <w:rsid w:val="00B47B4D"/>
    <w:rsid w:val="00B51BAC"/>
    <w:rsid w:val="00B51EF6"/>
    <w:rsid w:val="00B52BE3"/>
    <w:rsid w:val="00B53CAA"/>
    <w:rsid w:val="00B54D7A"/>
    <w:rsid w:val="00B55CB2"/>
    <w:rsid w:val="00B56138"/>
    <w:rsid w:val="00B56EC1"/>
    <w:rsid w:val="00B619A7"/>
    <w:rsid w:val="00B61E75"/>
    <w:rsid w:val="00B6295E"/>
    <w:rsid w:val="00B653ED"/>
    <w:rsid w:val="00B70C8F"/>
    <w:rsid w:val="00B7227A"/>
    <w:rsid w:val="00B74638"/>
    <w:rsid w:val="00B80DEA"/>
    <w:rsid w:val="00B82863"/>
    <w:rsid w:val="00B82869"/>
    <w:rsid w:val="00B83B4F"/>
    <w:rsid w:val="00B83C49"/>
    <w:rsid w:val="00B84027"/>
    <w:rsid w:val="00B930C9"/>
    <w:rsid w:val="00B94478"/>
    <w:rsid w:val="00B9474D"/>
    <w:rsid w:val="00BA1326"/>
    <w:rsid w:val="00BA20B2"/>
    <w:rsid w:val="00BA3F29"/>
    <w:rsid w:val="00BA4DB5"/>
    <w:rsid w:val="00BB00E9"/>
    <w:rsid w:val="00BB080B"/>
    <w:rsid w:val="00BB1386"/>
    <w:rsid w:val="00BB3D17"/>
    <w:rsid w:val="00BB4257"/>
    <w:rsid w:val="00BB47DE"/>
    <w:rsid w:val="00BB7AAE"/>
    <w:rsid w:val="00BC1840"/>
    <w:rsid w:val="00BC3398"/>
    <w:rsid w:val="00BC35AC"/>
    <w:rsid w:val="00BC442A"/>
    <w:rsid w:val="00BC4EA2"/>
    <w:rsid w:val="00BC54AA"/>
    <w:rsid w:val="00BC578C"/>
    <w:rsid w:val="00BC6F84"/>
    <w:rsid w:val="00BC797C"/>
    <w:rsid w:val="00BD1BAD"/>
    <w:rsid w:val="00BD1D3D"/>
    <w:rsid w:val="00BD1DA9"/>
    <w:rsid w:val="00BD452B"/>
    <w:rsid w:val="00BE1CB3"/>
    <w:rsid w:val="00BE2CA6"/>
    <w:rsid w:val="00BE4737"/>
    <w:rsid w:val="00BE4A83"/>
    <w:rsid w:val="00BF33E1"/>
    <w:rsid w:val="00BF503C"/>
    <w:rsid w:val="00BF7AEE"/>
    <w:rsid w:val="00C0048C"/>
    <w:rsid w:val="00C00886"/>
    <w:rsid w:val="00C0714B"/>
    <w:rsid w:val="00C158ED"/>
    <w:rsid w:val="00C15CE9"/>
    <w:rsid w:val="00C218F4"/>
    <w:rsid w:val="00C23E3A"/>
    <w:rsid w:val="00C24023"/>
    <w:rsid w:val="00C249D0"/>
    <w:rsid w:val="00C24E1E"/>
    <w:rsid w:val="00C2525F"/>
    <w:rsid w:val="00C254E2"/>
    <w:rsid w:val="00C25C7D"/>
    <w:rsid w:val="00C260EA"/>
    <w:rsid w:val="00C30724"/>
    <w:rsid w:val="00C318A0"/>
    <w:rsid w:val="00C331BF"/>
    <w:rsid w:val="00C338B4"/>
    <w:rsid w:val="00C33EAA"/>
    <w:rsid w:val="00C36E72"/>
    <w:rsid w:val="00C405E8"/>
    <w:rsid w:val="00C42021"/>
    <w:rsid w:val="00C42156"/>
    <w:rsid w:val="00C433AD"/>
    <w:rsid w:val="00C4354B"/>
    <w:rsid w:val="00C5168A"/>
    <w:rsid w:val="00C51C14"/>
    <w:rsid w:val="00C53A03"/>
    <w:rsid w:val="00C552C4"/>
    <w:rsid w:val="00C557DD"/>
    <w:rsid w:val="00C57393"/>
    <w:rsid w:val="00C620FE"/>
    <w:rsid w:val="00C62B28"/>
    <w:rsid w:val="00C64371"/>
    <w:rsid w:val="00C66BBF"/>
    <w:rsid w:val="00C67504"/>
    <w:rsid w:val="00C6793C"/>
    <w:rsid w:val="00C67C91"/>
    <w:rsid w:val="00C72D48"/>
    <w:rsid w:val="00C73490"/>
    <w:rsid w:val="00C73DFA"/>
    <w:rsid w:val="00C74A52"/>
    <w:rsid w:val="00C770DC"/>
    <w:rsid w:val="00C80649"/>
    <w:rsid w:val="00C80F57"/>
    <w:rsid w:val="00C81F50"/>
    <w:rsid w:val="00C8717F"/>
    <w:rsid w:val="00C926EC"/>
    <w:rsid w:val="00C966CB"/>
    <w:rsid w:val="00C968B0"/>
    <w:rsid w:val="00C97544"/>
    <w:rsid w:val="00CA102C"/>
    <w:rsid w:val="00CA2D50"/>
    <w:rsid w:val="00CA4119"/>
    <w:rsid w:val="00CA447D"/>
    <w:rsid w:val="00CA485A"/>
    <w:rsid w:val="00CA4D0B"/>
    <w:rsid w:val="00CA4D85"/>
    <w:rsid w:val="00CA6095"/>
    <w:rsid w:val="00CA734D"/>
    <w:rsid w:val="00CB077F"/>
    <w:rsid w:val="00CB0FFE"/>
    <w:rsid w:val="00CB17E5"/>
    <w:rsid w:val="00CB1D3D"/>
    <w:rsid w:val="00CB3F7D"/>
    <w:rsid w:val="00CB4584"/>
    <w:rsid w:val="00CB5D51"/>
    <w:rsid w:val="00CB5F6C"/>
    <w:rsid w:val="00CB72DA"/>
    <w:rsid w:val="00CC08B1"/>
    <w:rsid w:val="00CC169B"/>
    <w:rsid w:val="00CC205A"/>
    <w:rsid w:val="00CC2E17"/>
    <w:rsid w:val="00CC31FE"/>
    <w:rsid w:val="00CC42C4"/>
    <w:rsid w:val="00CC6ADB"/>
    <w:rsid w:val="00CC6CCE"/>
    <w:rsid w:val="00CD63C7"/>
    <w:rsid w:val="00CD6A86"/>
    <w:rsid w:val="00CD6C24"/>
    <w:rsid w:val="00CE0580"/>
    <w:rsid w:val="00CE136E"/>
    <w:rsid w:val="00CE34FA"/>
    <w:rsid w:val="00CE5015"/>
    <w:rsid w:val="00CE5831"/>
    <w:rsid w:val="00CE7BA2"/>
    <w:rsid w:val="00CF7F3B"/>
    <w:rsid w:val="00D02CA5"/>
    <w:rsid w:val="00D02FED"/>
    <w:rsid w:val="00D05F67"/>
    <w:rsid w:val="00D076F3"/>
    <w:rsid w:val="00D11597"/>
    <w:rsid w:val="00D11885"/>
    <w:rsid w:val="00D11B0F"/>
    <w:rsid w:val="00D12931"/>
    <w:rsid w:val="00D14B79"/>
    <w:rsid w:val="00D151F8"/>
    <w:rsid w:val="00D1684D"/>
    <w:rsid w:val="00D225E4"/>
    <w:rsid w:val="00D24B71"/>
    <w:rsid w:val="00D26178"/>
    <w:rsid w:val="00D2734C"/>
    <w:rsid w:val="00D30BAF"/>
    <w:rsid w:val="00D314FF"/>
    <w:rsid w:val="00D317AF"/>
    <w:rsid w:val="00D3494C"/>
    <w:rsid w:val="00D36C3C"/>
    <w:rsid w:val="00D40CD5"/>
    <w:rsid w:val="00D4177B"/>
    <w:rsid w:val="00D418CC"/>
    <w:rsid w:val="00D45CAA"/>
    <w:rsid w:val="00D4720A"/>
    <w:rsid w:val="00D47EB8"/>
    <w:rsid w:val="00D47EC2"/>
    <w:rsid w:val="00D519DF"/>
    <w:rsid w:val="00D51C88"/>
    <w:rsid w:val="00D52854"/>
    <w:rsid w:val="00D54EB0"/>
    <w:rsid w:val="00D56EDA"/>
    <w:rsid w:val="00D56F41"/>
    <w:rsid w:val="00D6061C"/>
    <w:rsid w:val="00D6102F"/>
    <w:rsid w:val="00D61A28"/>
    <w:rsid w:val="00D6360A"/>
    <w:rsid w:val="00D63E83"/>
    <w:rsid w:val="00D65A27"/>
    <w:rsid w:val="00D67202"/>
    <w:rsid w:val="00D712AE"/>
    <w:rsid w:val="00D71651"/>
    <w:rsid w:val="00D728BE"/>
    <w:rsid w:val="00D72C00"/>
    <w:rsid w:val="00D734E6"/>
    <w:rsid w:val="00D74E45"/>
    <w:rsid w:val="00D8378F"/>
    <w:rsid w:val="00D85582"/>
    <w:rsid w:val="00D860D9"/>
    <w:rsid w:val="00D9143D"/>
    <w:rsid w:val="00D92ADE"/>
    <w:rsid w:val="00D92D27"/>
    <w:rsid w:val="00D9521E"/>
    <w:rsid w:val="00D968D6"/>
    <w:rsid w:val="00D9705B"/>
    <w:rsid w:val="00DA016F"/>
    <w:rsid w:val="00DA2591"/>
    <w:rsid w:val="00DA379F"/>
    <w:rsid w:val="00DA3F79"/>
    <w:rsid w:val="00DA6FC5"/>
    <w:rsid w:val="00DB168C"/>
    <w:rsid w:val="00DB25CB"/>
    <w:rsid w:val="00DB3498"/>
    <w:rsid w:val="00DB433B"/>
    <w:rsid w:val="00DB56B7"/>
    <w:rsid w:val="00DC1457"/>
    <w:rsid w:val="00DC19B2"/>
    <w:rsid w:val="00DC7412"/>
    <w:rsid w:val="00DC7BFD"/>
    <w:rsid w:val="00DC7EA9"/>
    <w:rsid w:val="00DD0631"/>
    <w:rsid w:val="00DD0AF8"/>
    <w:rsid w:val="00DD1E2E"/>
    <w:rsid w:val="00DD393C"/>
    <w:rsid w:val="00DD50A6"/>
    <w:rsid w:val="00DD53B8"/>
    <w:rsid w:val="00DD5C6A"/>
    <w:rsid w:val="00DD64CB"/>
    <w:rsid w:val="00DD7669"/>
    <w:rsid w:val="00DE27F1"/>
    <w:rsid w:val="00DE373D"/>
    <w:rsid w:val="00DE6E28"/>
    <w:rsid w:val="00E00253"/>
    <w:rsid w:val="00E0091B"/>
    <w:rsid w:val="00E00D66"/>
    <w:rsid w:val="00E03131"/>
    <w:rsid w:val="00E04129"/>
    <w:rsid w:val="00E041A6"/>
    <w:rsid w:val="00E04742"/>
    <w:rsid w:val="00E05E46"/>
    <w:rsid w:val="00E13B25"/>
    <w:rsid w:val="00E1471E"/>
    <w:rsid w:val="00E201AF"/>
    <w:rsid w:val="00E233D6"/>
    <w:rsid w:val="00E25906"/>
    <w:rsid w:val="00E27BF7"/>
    <w:rsid w:val="00E302AD"/>
    <w:rsid w:val="00E30461"/>
    <w:rsid w:val="00E317E8"/>
    <w:rsid w:val="00E32143"/>
    <w:rsid w:val="00E338EC"/>
    <w:rsid w:val="00E3478B"/>
    <w:rsid w:val="00E36C3C"/>
    <w:rsid w:val="00E4236A"/>
    <w:rsid w:val="00E42C33"/>
    <w:rsid w:val="00E45C52"/>
    <w:rsid w:val="00E467A7"/>
    <w:rsid w:val="00E546CF"/>
    <w:rsid w:val="00E547B6"/>
    <w:rsid w:val="00E55EE7"/>
    <w:rsid w:val="00E57949"/>
    <w:rsid w:val="00E61AFB"/>
    <w:rsid w:val="00E61E9A"/>
    <w:rsid w:val="00E61EA1"/>
    <w:rsid w:val="00E62027"/>
    <w:rsid w:val="00E628BD"/>
    <w:rsid w:val="00E63411"/>
    <w:rsid w:val="00E63B33"/>
    <w:rsid w:val="00E7117D"/>
    <w:rsid w:val="00E71F18"/>
    <w:rsid w:val="00E727A7"/>
    <w:rsid w:val="00E74D6C"/>
    <w:rsid w:val="00E7546E"/>
    <w:rsid w:val="00E77F3F"/>
    <w:rsid w:val="00E80629"/>
    <w:rsid w:val="00E83C56"/>
    <w:rsid w:val="00E84A10"/>
    <w:rsid w:val="00E84DE7"/>
    <w:rsid w:val="00E86981"/>
    <w:rsid w:val="00E90668"/>
    <w:rsid w:val="00E907B8"/>
    <w:rsid w:val="00E948C5"/>
    <w:rsid w:val="00E95F3D"/>
    <w:rsid w:val="00E9648F"/>
    <w:rsid w:val="00EA01B9"/>
    <w:rsid w:val="00EA022E"/>
    <w:rsid w:val="00EA0715"/>
    <w:rsid w:val="00EA0D21"/>
    <w:rsid w:val="00EA1C84"/>
    <w:rsid w:val="00EA2EA6"/>
    <w:rsid w:val="00EA4D30"/>
    <w:rsid w:val="00EA52D0"/>
    <w:rsid w:val="00EA79AE"/>
    <w:rsid w:val="00EB00F5"/>
    <w:rsid w:val="00EB4D9F"/>
    <w:rsid w:val="00EB639B"/>
    <w:rsid w:val="00EB6B17"/>
    <w:rsid w:val="00EB6F95"/>
    <w:rsid w:val="00EB7153"/>
    <w:rsid w:val="00EB74E4"/>
    <w:rsid w:val="00EB7A3D"/>
    <w:rsid w:val="00EC1C46"/>
    <w:rsid w:val="00EC26D1"/>
    <w:rsid w:val="00EC27FE"/>
    <w:rsid w:val="00EC4513"/>
    <w:rsid w:val="00EC4C81"/>
    <w:rsid w:val="00EC74DF"/>
    <w:rsid w:val="00ED0505"/>
    <w:rsid w:val="00ED2781"/>
    <w:rsid w:val="00ED3A22"/>
    <w:rsid w:val="00ED47A8"/>
    <w:rsid w:val="00ED581E"/>
    <w:rsid w:val="00ED66F1"/>
    <w:rsid w:val="00EE1BA9"/>
    <w:rsid w:val="00EE1FCE"/>
    <w:rsid w:val="00EE6397"/>
    <w:rsid w:val="00EE668A"/>
    <w:rsid w:val="00EE70CB"/>
    <w:rsid w:val="00EF291E"/>
    <w:rsid w:val="00EF2A10"/>
    <w:rsid w:val="00EF2D04"/>
    <w:rsid w:val="00EF38EC"/>
    <w:rsid w:val="00EF46E5"/>
    <w:rsid w:val="00EF5AD6"/>
    <w:rsid w:val="00F01470"/>
    <w:rsid w:val="00F048E8"/>
    <w:rsid w:val="00F050DF"/>
    <w:rsid w:val="00F10E87"/>
    <w:rsid w:val="00F121C8"/>
    <w:rsid w:val="00F1237B"/>
    <w:rsid w:val="00F13419"/>
    <w:rsid w:val="00F14127"/>
    <w:rsid w:val="00F15271"/>
    <w:rsid w:val="00F17AB6"/>
    <w:rsid w:val="00F21681"/>
    <w:rsid w:val="00F223F4"/>
    <w:rsid w:val="00F24389"/>
    <w:rsid w:val="00F25593"/>
    <w:rsid w:val="00F26659"/>
    <w:rsid w:val="00F26F35"/>
    <w:rsid w:val="00F322B1"/>
    <w:rsid w:val="00F32CC4"/>
    <w:rsid w:val="00F35E9C"/>
    <w:rsid w:val="00F3668A"/>
    <w:rsid w:val="00F36E44"/>
    <w:rsid w:val="00F37ECD"/>
    <w:rsid w:val="00F4147D"/>
    <w:rsid w:val="00F41CDB"/>
    <w:rsid w:val="00F463FD"/>
    <w:rsid w:val="00F50B48"/>
    <w:rsid w:val="00F50DD8"/>
    <w:rsid w:val="00F541B7"/>
    <w:rsid w:val="00F579AD"/>
    <w:rsid w:val="00F60F08"/>
    <w:rsid w:val="00F66E65"/>
    <w:rsid w:val="00F672D2"/>
    <w:rsid w:val="00F67984"/>
    <w:rsid w:val="00F67F02"/>
    <w:rsid w:val="00F70478"/>
    <w:rsid w:val="00F76478"/>
    <w:rsid w:val="00F768CE"/>
    <w:rsid w:val="00F7735F"/>
    <w:rsid w:val="00F77968"/>
    <w:rsid w:val="00F81339"/>
    <w:rsid w:val="00F82B49"/>
    <w:rsid w:val="00F8453A"/>
    <w:rsid w:val="00F84DAD"/>
    <w:rsid w:val="00F869BC"/>
    <w:rsid w:val="00F8778F"/>
    <w:rsid w:val="00F92EC3"/>
    <w:rsid w:val="00F93ED5"/>
    <w:rsid w:val="00FA149D"/>
    <w:rsid w:val="00FA23AB"/>
    <w:rsid w:val="00FA3D7E"/>
    <w:rsid w:val="00FA4CF2"/>
    <w:rsid w:val="00FA660F"/>
    <w:rsid w:val="00FA742D"/>
    <w:rsid w:val="00FB13F5"/>
    <w:rsid w:val="00FB2F5B"/>
    <w:rsid w:val="00FB31FF"/>
    <w:rsid w:val="00FB5A3D"/>
    <w:rsid w:val="00FC0BA2"/>
    <w:rsid w:val="00FC2B95"/>
    <w:rsid w:val="00FC3D2A"/>
    <w:rsid w:val="00FC4CFA"/>
    <w:rsid w:val="00FC704E"/>
    <w:rsid w:val="00FD165C"/>
    <w:rsid w:val="00FD2262"/>
    <w:rsid w:val="00FD3DC0"/>
    <w:rsid w:val="00FE28E4"/>
    <w:rsid w:val="00FE606A"/>
    <w:rsid w:val="00FE60DA"/>
    <w:rsid w:val="00FE6FC4"/>
    <w:rsid w:val="00FF13D1"/>
    <w:rsid w:val="00FF2706"/>
    <w:rsid w:val="00FF29A9"/>
    <w:rsid w:val="00FF44BB"/>
    <w:rsid w:val="00FF5D8B"/>
    <w:rsid w:val="00FF68DF"/>
    <w:rsid w:val="00FF76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7CD1C7B"/>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01FA8"/>
    <w:pPr>
      <w:spacing w:before="120" w:after="120" w:line="360" w:lineRule="auto"/>
      <w:jc w:val="both"/>
    </w:pPr>
    <w:rPr>
      <w:rFonts w:ascii="Times New Roman" w:hAnsi="Times New Roman" w:cs="Times New Roman"/>
      <w:color w:val="000000" w:themeColor="text1"/>
      <w:lang w:val="en-GB"/>
    </w:rPr>
  </w:style>
  <w:style w:type="paragraph" w:styleId="Heading1">
    <w:name w:val="heading 1"/>
    <w:basedOn w:val="Normal"/>
    <w:next w:val="Normal"/>
    <w:link w:val="Heading1Char"/>
    <w:uiPriority w:val="9"/>
    <w:qFormat/>
    <w:rsid w:val="000D59DD"/>
    <w:pPr>
      <w:keepNext/>
      <w:spacing w:before="360"/>
      <w:outlineLvl w:val="0"/>
    </w:pPr>
    <w:rPr>
      <w:b/>
      <w:sz w:val="28"/>
      <w:szCs w:val="28"/>
    </w:rPr>
  </w:style>
  <w:style w:type="paragraph" w:styleId="Heading2">
    <w:name w:val="heading 2"/>
    <w:basedOn w:val="Normal"/>
    <w:next w:val="Normal"/>
    <w:link w:val="Heading2Char"/>
    <w:uiPriority w:val="9"/>
    <w:unhideWhenUsed/>
    <w:qFormat/>
    <w:rsid w:val="00A4313A"/>
    <w:pPr>
      <w:keepNext/>
      <w:spacing w:before="360"/>
      <w:outlineLvl w:val="1"/>
    </w:pPr>
    <w:rPr>
      <w:b/>
    </w:rPr>
  </w:style>
  <w:style w:type="paragraph" w:styleId="Heading3">
    <w:name w:val="heading 3"/>
    <w:basedOn w:val="Heading2"/>
    <w:next w:val="Normal"/>
    <w:link w:val="Heading3Char"/>
    <w:uiPriority w:val="9"/>
    <w:unhideWhenUsed/>
    <w:qFormat/>
    <w:rsid w:val="00695573"/>
    <w:pPr>
      <w:spacing w:before="240"/>
      <w:outlineLvl w:val="2"/>
    </w:pPr>
    <w:rPr>
      <w:b w:val="0"/>
    </w:rPr>
  </w:style>
  <w:style w:type="paragraph" w:styleId="Heading4">
    <w:name w:val="heading 4"/>
    <w:basedOn w:val="Heading3"/>
    <w:next w:val="Normal"/>
    <w:link w:val="Heading4Char"/>
    <w:uiPriority w:val="9"/>
    <w:unhideWhenUsed/>
    <w:qFormat/>
    <w:rsid w:val="00695573"/>
    <w:pPr>
      <w:outlineLvl w:val="3"/>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59DD"/>
    <w:rPr>
      <w:rFonts w:ascii="Times New Roman" w:hAnsi="Times New Roman" w:cs="Times New Roman"/>
      <w:b/>
      <w:color w:val="000000" w:themeColor="text1"/>
      <w:sz w:val="28"/>
      <w:szCs w:val="28"/>
      <w:lang w:val="en-GB"/>
    </w:rPr>
  </w:style>
  <w:style w:type="character" w:customStyle="1" w:styleId="Heading2Char">
    <w:name w:val="Heading 2 Char"/>
    <w:basedOn w:val="DefaultParagraphFont"/>
    <w:link w:val="Heading2"/>
    <w:uiPriority w:val="9"/>
    <w:rsid w:val="00A4313A"/>
    <w:rPr>
      <w:rFonts w:ascii="Times New Roman" w:hAnsi="Times New Roman" w:cs="Times New Roman"/>
      <w:b/>
      <w:color w:val="000000" w:themeColor="text1"/>
      <w:lang w:val="en-GB"/>
    </w:rPr>
  </w:style>
  <w:style w:type="character" w:customStyle="1" w:styleId="Heading3Char">
    <w:name w:val="Heading 3 Char"/>
    <w:basedOn w:val="DefaultParagraphFont"/>
    <w:link w:val="Heading3"/>
    <w:uiPriority w:val="9"/>
    <w:rsid w:val="00695573"/>
    <w:rPr>
      <w:rFonts w:ascii="Times New Roman" w:hAnsi="Times New Roman" w:cs="Times New Roman"/>
      <w:color w:val="000000" w:themeColor="text1"/>
      <w:lang w:val="en-GB"/>
    </w:rPr>
  </w:style>
  <w:style w:type="character" w:customStyle="1" w:styleId="Heading4Char">
    <w:name w:val="Heading 4 Char"/>
    <w:basedOn w:val="DefaultParagraphFont"/>
    <w:link w:val="Heading4"/>
    <w:uiPriority w:val="9"/>
    <w:rsid w:val="00695573"/>
    <w:rPr>
      <w:rFonts w:ascii="Times New Roman" w:hAnsi="Times New Roman" w:cs="Times New Roman"/>
      <w:i/>
      <w:color w:val="000000" w:themeColor="text1"/>
      <w:lang w:val="en-GB"/>
    </w:rPr>
  </w:style>
  <w:style w:type="numbering" w:customStyle="1" w:styleId="NoList1">
    <w:name w:val="No List1"/>
    <w:next w:val="NoList"/>
    <w:uiPriority w:val="99"/>
    <w:semiHidden/>
    <w:unhideWhenUsed/>
    <w:rsid w:val="00A4313A"/>
  </w:style>
  <w:style w:type="paragraph" w:styleId="ListParagraph">
    <w:name w:val="List Paragraph"/>
    <w:basedOn w:val="Normal"/>
    <w:uiPriority w:val="34"/>
    <w:qFormat/>
    <w:rsid w:val="00A4313A"/>
    <w:pPr>
      <w:numPr>
        <w:numId w:val="3"/>
      </w:numPr>
    </w:pPr>
  </w:style>
  <w:style w:type="paragraph" w:styleId="EndnoteText">
    <w:name w:val="endnote text"/>
    <w:basedOn w:val="Normal"/>
    <w:link w:val="EndnoteTextChar"/>
    <w:uiPriority w:val="99"/>
    <w:unhideWhenUsed/>
    <w:rsid w:val="00A4313A"/>
  </w:style>
  <w:style w:type="character" w:customStyle="1" w:styleId="EndnoteTextChar">
    <w:name w:val="Endnote Text Char"/>
    <w:basedOn w:val="DefaultParagraphFont"/>
    <w:link w:val="EndnoteText"/>
    <w:uiPriority w:val="99"/>
    <w:rsid w:val="00A4313A"/>
    <w:rPr>
      <w:rFonts w:ascii="Times New Roman" w:hAnsi="Times New Roman" w:cs="Times New Roman"/>
      <w:color w:val="000000" w:themeColor="text1"/>
      <w:lang w:val="en-GB"/>
    </w:rPr>
  </w:style>
  <w:style w:type="character" w:styleId="EndnoteReference">
    <w:name w:val="endnote reference"/>
    <w:basedOn w:val="DefaultParagraphFont"/>
    <w:uiPriority w:val="99"/>
    <w:unhideWhenUsed/>
    <w:rsid w:val="00A4313A"/>
    <w:rPr>
      <w:vertAlign w:val="superscript"/>
    </w:rPr>
  </w:style>
  <w:style w:type="paragraph" w:styleId="Title">
    <w:name w:val="Title"/>
    <w:aliases w:val="title"/>
    <w:basedOn w:val="Heading1"/>
    <w:next w:val="Normal"/>
    <w:link w:val="TitleChar"/>
    <w:uiPriority w:val="10"/>
    <w:qFormat/>
    <w:rsid w:val="00A4313A"/>
    <w:pPr>
      <w:jc w:val="center"/>
    </w:pPr>
  </w:style>
  <w:style w:type="character" w:customStyle="1" w:styleId="TitleChar">
    <w:name w:val="Title Char"/>
    <w:aliases w:val="title Char"/>
    <w:basedOn w:val="DefaultParagraphFont"/>
    <w:link w:val="Title"/>
    <w:uiPriority w:val="10"/>
    <w:rsid w:val="00A4313A"/>
    <w:rPr>
      <w:rFonts w:ascii="Times New Roman" w:hAnsi="Times New Roman" w:cs="Times New Roman"/>
      <w:b/>
      <w:color w:val="000000" w:themeColor="text1"/>
      <w:sz w:val="28"/>
      <w:szCs w:val="28"/>
      <w:lang w:val="en-GB"/>
    </w:rPr>
  </w:style>
  <w:style w:type="paragraph" w:styleId="FootnoteText">
    <w:name w:val="footnote text"/>
    <w:basedOn w:val="Normal"/>
    <w:link w:val="FootnoteTextChar"/>
    <w:uiPriority w:val="99"/>
    <w:unhideWhenUsed/>
    <w:rsid w:val="00A4313A"/>
    <w:rPr>
      <w:sz w:val="20"/>
      <w:szCs w:val="20"/>
    </w:rPr>
  </w:style>
  <w:style w:type="character" w:customStyle="1" w:styleId="FootnoteTextChar">
    <w:name w:val="Footnote Text Char"/>
    <w:basedOn w:val="DefaultParagraphFont"/>
    <w:link w:val="FootnoteText"/>
    <w:uiPriority w:val="99"/>
    <w:rsid w:val="00A4313A"/>
    <w:rPr>
      <w:rFonts w:ascii="Times New Roman" w:hAnsi="Times New Roman" w:cs="Times New Roman"/>
      <w:color w:val="000000" w:themeColor="text1"/>
      <w:sz w:val="20"/>
      <w:szCs w:val="20"/>
      <w:lang w:val="en-GB"/>
    </w:rPr>
  </w:style>
  <w:style w:type="character" w:styleId="FootnoteReference">
    <w:name w:val="footnote reference"/>
    <w:basedOn w:val="DefaultParagraphFont"/>
    <w:uiPriority w:val="99"/>
    <w:unhideWhenUsed/>
    <w:rsid w:val="00A4313A"/>
    <w:rPr>
      <w:vertAlign w:val="superscript"/>
    </w:rPr>
  </w:style>
  <w:style w:type="character" w:styleId="Hyperlink">
    <w:name w:val="Hyperlink"/>
    <w:basedOn w:val="DefaultParagraphFont"/>
    <w:uiPriority w:val="99"/>
    <w:unhideWhenUsed/>
    <w:rsid w:val="00A4313A"/>
    <w:rPr>
      <w:color w:val="0563C1"/>
      <w:u w:val="single"/>
    </w:rPr>
  </w:style>
  <w:style w:type="character" w:styleId="FollowedHyperlink">
    <w:name w:val="FollowedHyperlink"/>
    <w:basedOn w:val="DefaultParagraphFont"/>
    <w:uiPriority w:val="99"/>
    <w:semiHidden/>
    <w:unhideWhenUsed/>
    <w:rsid w:val="00A4313A"/>
    <w:rPr>
      <w:color w:val="954F72"/>
      <w:u w:val="single"/>
    </w:rPr>
  </w:style>
  <w:style w:type="paragraph" w:customStyle="1" w:styleId="xl63">
    <w:name w:val="xl63"/>
    <w:basedOn w:val="Normal"/>
    <w:rsid w:val="00A4313A"/>
    <w:pPr>
      <w:spacing w:before="100" w:beforeAutospacing="1" w:after="100" w:afterAutospacing="1"/>
      <w:textAlignment w:val="center"/>
    </w:pPr>
    <w:rPr>
      <w:rFonts w:ascii="Arial" w:hAnsi="Arial" w:cs="Arial"/>
      <w:sz w:val="18"/>
      <w:szCs w:val="18"/>
      <w:lang w:val="en-US"/>
    </w:rPr>
  </w:style>
  <w:style w:type="paragraph" w:customStyle="1" w:styleId="xl64">
    <w:name w:val="xl64"/>
    <w:basedOn w:val="Normal"/>
    <w:rsid w:val="00A4313A"/>
    <w:pPr>
      <w:pBdr>
        <w:left w:val="single" w:sz="4" w:space="0" w:color="auto"/>
        <w:bottom w:val="single" w:sz="4" w:space="0" w:color="auto"/>
        <w:right w:val="single" w:sz="4" w:space="0" w:color="auto"/>
      </w:pBdr>
      <w:spacing w:before="100" w:beforeAutospacing="1" w:after="100" w:afterAutospacing="1"/>
      <w:jc w:val="right"/>
      <w:textAlignment w:val="center"/>
    </w:pPr>
    <w:rPr>
      <w:rFonts w:ascii="Arial" w:hAnsi="Arial" w:cs="Arial"/>
      <w:sz w:val="18"/>
      <w:szCs w:val="18"/>
      <w:lang w:val="en-US"/>
    </w:rPr>
  </w:style>
  <w:style w:type="paragraph" w:customStyle="1" w:styleId="xl65">
    <w:name w:val="xl65"/>
    <w:basedOn w:val="Normal"/>
    <w:rsid w:val="00A4313A"/>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66">
    <w:name w:val="xl66"/>
    <w:basedOn w:val="Normal"/>
    <w:rsid w:val="00A4313A"/>
    <w:pPr>
      <w:pBdr>
        <w:left w:val="single" w:sz="4" w:space="0" w:color="auto"/>
        <w:righ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67">
    <w:name w:val="xl67"/>
    <w:basedOn w:val="Normal"/>
    <w:rsid w:val="00A4313A"/>
    <w:pPr>
      <w:pBdr>
        <w:top w:val="single" w:sz="4" w:space="0" w:color="auto"/>
        <w:lef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68">
    <w:name w:val="xl68"/>
    <w:basedOn w:val="Normal"/>
    <w:rsid w:val="00A4313A"/>
    <w:pPr>
      <w:pBdr>
        <w:lef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69">
    <w:name w:val="xl69"/>
    <w:basedOn w:val="Normal"/>
    <w:rsid w:val="00A4313A"/>
    <w:pPr>
      <w:pBdr>
        <w:left w:val="single" w:sz="4" w:space="0" w:color="auto"/>
        <w:bottom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70">
    <w:name w:val="xl70"/>
    <w:basedOn w:val="Normal"/>
    <w:rsid w:val="00A4313A"/>
    <w:pPr>
      <w:spacing w:before="100" w:beforeAutospacing="1" w:after="100" w:afterAutospacing="1"/>
      <w:textAlignment w:val="center"/>
    </w:pPr>
    <w:rPr>
      <w:rFonts w:ascii="Arial" w:hAnsi="Arial" w:cs="Arial"/>
      <w:b/>
      <w:bCs/>
      <w:sz w:val="18"/>
      <w:szCs w:val="18"/>
      <w:lang w:val="en-US"/>
    </w:rPr>
  </w:style>
  <w:style w:type="paragraph" w:customStyle="1" w:styleId="xl71">
    <w:name w:val="xl71"/>
    <w:basedOn w:val="Normal"/>
    <w:rsid w:val="00A4313A"/>
    <w:pPr>
      <w:spacing w:before="100" w:beforeAutospacing="1" w:after="100" w:afterAutospacing="1"/>
    </w:pPr>
    <w:rPr>
      <w:rFonts w:ascii="Arial" w:hAnsi="Arial" w:cs="Arial"/>
      <w:sz w:val="18"/>
      <w:szCs w:val="18"/>
      <w:lang w:val="en-US"/>
    </w:rPr>
  </w:style>
  <w:style w:type="paragraph" w:customStyle="1" w:styleId="xl72">
    <w:name w:val="xl72"/>
    <w:basedOn w:val="Normal"/>
    <w:rsid w:val="00A4313A"/>
    <w:pPr>
      <w:pBdr>
        <w:bottom w:val="single" w:sz="4" w:space="0" w:color="auto"/>
      </w:pBdr>
      <w:spacing w:before="100" w:beforeAutospacing="1" w:after="100" w:afterAutospacing="1"/>
      <w:jc w:val="center"/>
      <w:textAlignment w:val="center"/>
    </w:pPr>
    <w:rPr>
      <w:rFonts w:ascii="Arial" w:hAnsi="Arial" w:cs="Arial"/>
      <w:sz w:val="18"/>
      <w:szCs w:val="18"/>
      <w:lang w:val="en-US"/>
    </w:rPr>
  </w:style>
  <w:style w:type="paragraph" w:customStyle="1" w:styleId="xl73">
    <w:name w:val="xl73"/>
    <w:basedOn w:val="Normal"/>
    <w:rsid w:val="00A4313A"/>
    <w:pPr>
      <w:pBdr>
        <w:left w:val="single" w:sz="4" w:space="0" w:color="auto"/>
        <w:bottom w:val="single" w:sz="4" w:space="0" w:color="auto"/>
      </w:pBdr>
      <w:spacing w:before="100" w:beforeAutospacing="1" w:after="100" w:afterAutospacing="1"/>
      <w:jc w:val="center"/>
      <w:textAlignment w:val="center"/>
    </w:pPr>
    <w:rPr>
      <w:rFonts w:ascii="Arial" w:hAnsi="Arial" w:cs="Arial"/>
      <w:sz w:val="18"/>
      <w:szCs w:val="18"/>
      <w:lang w:val="en-US"/>
    </w:rPr>
  </w:style>
  <w:style w:type="paragraph" w:customStyle="1" w:styleId="xl74">
    <w:name w:val="xl74"/>
    <w:basedOn w:val="Normal"/>
    <w:rsid w:val="00A4313A"/>
    <w:pPr>
      <w:pBdr>
        <w:bottom w:val="single" w:sz="4" w:space="0" w:color="auto"/>
        <w:right w:val="single" w:sz="4" w:space="0" w:color="auto"/>
      </w:pBdr>
      <w:spacing w:before="100" w:beforeAutospacing="1" w:after="100" w:afterAutospacing="1"/>
      <w:jc w:val="center"/>
      <w:textAlignment w:val="center"/>
    </w:pPr>
    <w:rPr>
      <w:rFonts w:ascii="Arial" w:hAnsi="Arial" w:cs="Arial"/>
      <w:sz w:val="18"/>
      <w:szCs w:val="18"/>
      <w:lang w:val="en-US"/>
    </w:rPr>
  </w:style>
  <w:style w:type="paragraph" w:customStyle="1" w:styleId="xl75">
    <w:name w:val="xl75"/>
    <w:basedOn w:val="Normal"/>
    <w:rsid w:val="00A4313A"/>
    <w:pPr>
      <w:spacing w:before="100" w:beforeAutospacing="1" w:after="100" w:afterAutospacing="1"/>
      <w:jc w:val="center"/>
      <w:textAlignment w:val="center"/>
    </w:pPr>
    <w:rPr>
      <w:rFonts w:ascii="Arial" w:hAnsi="Arial" w:cs="Arial"/>
      <w:sz w:val="18"/>
      <w:szCs w:val="18"/>
      <w:lang w:val="en-US"/>
    </w:rPr>
  </w:style>
  <w:style w:type="paragraph" w:customStyle="1" w:styleId="xl76">
    <w:name w:val="xl76"/>
    <w:basedOn w:val="Normal"/>
    <w:rsid w:val="00A4313A"/>
    <w:pPr>
      <w:pBdr>
        <w:left w:val="single" w:sz="4" w:space="0" w:color="auto"/>
      </w:pBdr>
      <w:spacing w:before="100" w:beforeAutospacing="1" w:after="100" w:afterAutospacing="1"/>
      <w:jc w:val="center"/>
      <w:textAlignment w:val="center"/>
    </w:pPr>
    <w:rPr>
      <w:rFonts w:ascii="Arial" w:hAnsi="Arial" w:cs="Arial"/>
      <w:sz w:val="18"/>
      <w:szCs w:val="18"/>
      <w:lang w:val="en-US"/>
    </w:rPr>
  </w:style>
  <w:style w:type="paragraph" w:customStyle="1" w:styleId="xl77">
    <w:name w:val="xl77"/>
    <w:basedOn w:val="Normal"/>
    <w:rsid w:val="00A4313A"/>
    <w:pPr>
      <w:pBdr>
        <w:right w:val="single" w:sz="4" w:space="0" w:color="auto"/>
      </w:pBdr>
      <w:spacing w:before="100" w:beforeAutospacing="1" w:after="100" w:afterAutospacing="1"/>
      <w:jc w:val="center"/>
      <w:textAlignment w:val="center"/>
    </w:pPr>
    <w:rPr>
      <w:rFonts w:ascii="Arial" w:hAnsi="Arial" w:cs="Arial"/>
      <w:sz w:val="18"/>
      <w:szCs w:val="18"/>
      <w:lang w:val="en-US"/>
    </w:rPr>
  </w:style>
  <w:style w:type="paragraph" w:customStyle="1" w:styleId="xl78">
    <w:name w:val="xl78"/>
    <w:basedOn w:val="Normal"/>
    <w:rsid w:val="00A4313A"/>
    <w:pPr>
      <w:pBdr>
        <w:top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79">
    <w:name w:val="xl79"/>
    <w:basedOn w:val="Normal"/>
    <w:rsid w:val="00A4313A"/>
    <w:pPr>
      <w:pBdr>
        <w:top w:val="single" w:sz="4" w:space="0" w:color="auto"/>
        <w:righ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80">
    <w:name w:val="xl80"/>
    <w:basedOn w:val="Normal"/>
    <w:rsid w:val="00A4313A"/>
    <w:pPr>
      <w:pBdr>
        <w:top w:val="single" w:sz="4" w:space="0" w:color="auto"/>
        <w:lef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81">
    <w:name w:val="xl81"/>
    <w:basedOn w:val="Normal"/>
    <w:rsid w:val="00A4313A"/>
    <w:pPr>
      <w:pBdr>
        <w:righ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82">
    <w:name w:val="xl82"/>
    <w:basedOn w:val="Normal"/>
    <w:rsid w:val="00A4313A"/>
    <w:pPr>
      <w:pBdr>
        <w:lef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83">
    <w:name w:val="xl83"/>
    <w:basedOn w:val="Normal"/>
    <w:rsid w:val="00A4313A"/>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textAlignment w:val="center"/>
    </w:pPr>
    <w:rPr>
      <w:rFonts w:ascii="Arial" w:hAnsi="Arial" w:cs="Arial"/>
      <w:color w:val="006100"/>
      <w:sz w:val="18"/>
      <w:szCs w:val="18"/>
      <w:lang w:val="en-US"/>
    </w:rPr>
  </w:style>
  <w:style w:type="paragraph" w:customStyle="1" w:styleId="xl84">
    <w:name w:val="xl84"/>
    <w:basedOn w:val="Normal"/>
    <w:rsid w:val="00A4313A"/>
    <w:pPr>
      <w:pBdr>
        <w:top w:val="single" w:sz="4" w:space="0" w:color="auto"/>
        <w:left w:val="single" w:sz="4" w:space="0" w:color="auto"/>
        <w:bottom w:val="single" w:sz="4" w:space="0" w:color="auto"/>
        <w:right w:val="single" w:sz="4" w:space="0" w:color="auto"/>
      </w:pBdr>
      <w:shd w:val="clear" w:color="000000" w:fill="FFEB9C"/>
      <w:spacing w:before="100" w:beforeAutospacing="1" w:after="100" w:afterAutospacing="1"/>
      <w:textAlignment w:val="center"/>
    </w:pPr>
    <w:rPr>
      <w:rFonts w:ascii="Arial" w:hAnsi="Arial" w:cs="Arial"/>
      <w:color w:val="9C5700"/>
      <w:sz w:val="18"/>
      <w:szCs w:val="18"/>
      <w:lang w:val="en-US"/>
    </w:rPr>
  </w:style>
  <w:style w:type="paragraph" w:customStyle="1" w:styleId="xl85">
    <w:name w:val="xl85"/>
    <w:basedOn w:val="Normal"/>
    <w:rsid w:val="00A4313A"/>
    <w:pPr>
      <w:pBdr>
        <w:top w:val="single" w:sz="4" w:space="0" w:color="auto"/>
        <w:left w:val="single" w:sz="4" w:space="0" w:color="auto"/>
        <w:bottom w:val="single" w:sz="4" w:space="0" w:color="auto"/>
        <w:right w:val="single" w:sz="4" w:space="0" w:color="auto"/>
      </w:pBdr>
      <w:shd w:val="clear" w:color="000000" w:fill="FFC7CE"/>
      <w:spacing w:before="100" w:beforeAutospacing="1" w:after="100" w:afterAutospacing="1"/>
      <w:textAlignment w:val="center"/>
    </w:pPr>
    <w:rPr>
      <w:rFonts w:ascii="Arial" w:hAnsi="Arial" w:cs="Arial"/>
      <w:color w:val="9C0006"/>
      <w:sz w:val="18"/>
      <w:szCs w:val="18"/>
      <w:lang w:val="en-US"/>
    </w:rPr>
  </w:style>
  <w:style w:type="paragraph" w:customStyle="1" w:styleId="xl86">
    <w:name w:val="xl86"/>
    <w:basedOn w:val="Normal"/>
    <w:rsid w:val="00A4313A"/>
    <w:pPr>
      <w:spacing w:before="100" w:beforeAutospacing="1" w:after="100" w:afterAutospacing="1"/>
      <w:textAlignment w:val="center"/>
    </w:pPr>
    <w:rPr>
      <w:rFonts w:ascii="Arial" w:hAnsi="Arial" w:cs="Arial"/>
      <w:sz w:val="18"/>
      <w:szCs w:val="18"/>
      <w:lang w:val="en-US"/>
    </w:rPr>
  </w:style>
  <w:style w:type="paragraph" w:customStyle="1" w:styleId="xl87">
    <w:name w:val="xl87"/>
    <w:basedOn w:val="Normal"/>
    <w:rsid w:val="00A4313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8"/>
      <w:szCs w:val="18"/>
      <w:lang w:val="en-US"/>
    </w:rPr>
  </w:style>
  <w:style w:type="paragraph" w:customStyle="1" w:styleId="xl88">
    <w:name w:val="xl88"/>
    <w:basedOn w:val="Normal"/>
    <w:rsid w:val="00A4313A"/>
    <w:pPr>
      <w:pBdr>
        <w:left w:val="single" w:sz="4" w:space="0" w:color="auto"/>
        <w:bottom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89">
    <w:name w:val="xl89"/>
    <w:basedOn w:val="Normal"/>
    <w:rsid w:val="00A4313A"/>
    <w:pPr>
      <w:pBdr>
        <w:bottom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90">
    <w:name w:val="xl90"/>
    <w:basedOn w:val="Normal"/>
    <w:rsid w:val="00A4313A"/>
    <w:pPr>
      <w:pBdr>
        <w:bottom w:val="single" w:sz="4" w:space="0" w:color="auto"/>
        <w:right w:val="single" w:sz="4" w:space="0" w:color="auto"/>
      </w:pBdr>
      <w:spacing w:before="100" w:beforeAutospacing="1" w:after="100" w:afterAutospacing="1"/>
      <w:textAlignment w:val="center"/>
    </w:pPr>
    <w:rPr>
      <w:rFonts w:ascii="Arial" w:hAnsi="Arial" w:cs="Arial"/>
      <w:sz w:val="18"/>
      <w:szCs w:val="18"/>
      <w:lang w:val="en-US"/>
    </w:rPr>
  </w:style>
  <w:style w:type="paragraph" w:customStyle="1" w:styleId="xl91">
    <w:name w:val="xl91"/>
    <w:basedOn w:val="Normal"/>
    <w:rsid w:val="00A4313A"/>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8"/>
      <w:szCs w:val="18"/>
      <w:lang w:val="en-US"/>
    </w:rPr>
  </w:style>
  <w:style w:type="paragraph" w:customStyle="1" w:styleId="xl92">
    <w:name w:val="xl92"/>
    <w:basedOn w:val="Normal"/>
    <w:rsid w:val="00A4313A"/>
    <w:pPr>
      <w:pBdr>
        <w:top w:val="single" w:sz="4" w:space="0" w:color="auto"/>
        <w:bottom w:val="single" w:sz="4" w:space="0" w:color="auto"/>
      </w:pBdr>
      <w:spacing w:before="100" w:beforeAutospacing="1" w:after="100" w:afterAutospacing="1"/>
      <w:jc w:val="center"/>
      <w:textAlignment w:val="center"/>
    </w:pPr>
    <w:rPr>
      <w:rFonts w:ascii="Arial" w:hAnsi="Arial" w:cs="Arial"/>
      <w:b/>
      <w:bCs/>
      <w:sz w:val="18"/>
      <w:szCs w:val="18"/>
      <w:lang w:val="en-US"/>
    </w:rPr>
  </w:style>
  <w:style w:type="paragraph" w:customStyle="1" w:styleId="xl93">
    <w:name w:val="xl93"/>
    <w:basedOn w:val="Normal"/>
    <w:rsid w:val="00A4313A"/>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8"/>
      <w:szCs w:val="18"/>
      <w:lang w:val="en-US"/>
    </w:rPr>
  </w:style>
  <w:style w:type="table" w:styleId="TableGrid">
    <w:name w:val="Table Grid"/>
    <w:basedOn w:val="TableNormal"/>
    <w:uiPriority w:val="39"/>
    <w:rsid w:val="00A431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imes8L">
    <w:name w:val="Table times 8L"/>
    <w:basedOn w:val="Normal"/>
    <w:qFormat/>
    <w:rsid w:val="00A4313A"/>
    <w:rPr>
      <w:rFonts w:eastAsia="Times New Roman"/>
      <w:color w:val="000000"/>
      <w:sz w:val="16"/>
      <w:szCs w:val="16"/>
      <w:lang w:val="en-US"/>
    </w:rPr>
  </w:style>
  <w:style w:type="paragraph" w:customStyle="1" w:styleId="Tabletimes12L">
    <w:name w:val="Table times 12L"/>
    <w:basedOn w:val="Normal"/>
    <w:qFormat/>
    <w:rsid w:val="00A4313A"/>
  </w:style>
  <w:style w:type="paragraph" w:styleId="Caption">
    <w:name w:val="caption"/>
    <w:basedOn w:val="Normal"/>
    <w:next w:val="Normal"/>
    <w:uiPriority w:val="35"/>
    <w:unhideWhenUsed/>
    <w:qFormat/>
    <w:rsid w:val="00A4313A"/>
    <w:pPr>
      <w:spacing w:after="200"/>
    </w:pPr>
    <w:rPr>
      <w:i/>
      <w:iCs/>
      <w:color w:val="44546A" w:themeColor="text2"/>
      <w:sz w:val="18"/>
      <w:szCs w:val="18"/>
    </w:rPr>
  </w:style>
  <w:style w:type="paragraph" w:customStyle="1" w:styleId="Captiontable">
    <w:name w:val="Caption table"/>
    <w:basedOn w:val="Caption"/>
    <w:qFormat/>
    <w:rsid w:val="00A4313A"/>
    <w:pPr>
      <w:keepNext/>
      <w:jc w:val="center"/>
    </w:pPr>
    <w:rPr>
      <w:b/>
      <w:i w:val="0"/>
      <w:color w:val="000000" w:themeColor="text1"/>
      <w:sz w:val="20"/>
      <w:szCs w:val="20"/>
    </w:rPr>
  </w:style>
  <w:style w:type="paragraph" w:customStyle="1" w:styleId="Tabletimes10L">
    <w:name w:val="Table times 10L"/>
    <w:basedOn w:val="Normal"/>
    <w:qFormat/>
    <w:rsid w:val="007A534B"/>
    <w:pPr>
      <w:keepNext/>
      <w:spacing w:before="20" w:after="20" w:line="240" w:lineRule="auto"/>
    </w:pPr>
    <w:rPr>
      <w:sz w:val="20"/>
      <w:szCs w:val="20"/>
    </w:rPr>
  </w:style>
  <w:style w:type="paragraph" w:customStyle="1" w:styleId="Tabletimes10C">
    <w:name w:val="Table times 10C"/>
    <w:basedOn w:val="Normal"/>
    <w:qFormat/>
    <w:rsid w:val="008359BD"/>
    <w:pPr>
      <w:keepNext/>
      <w:keepLines/>
      <w:spacing w:before="40" w:after="40" w:line="240" w:lineRule="auto"/>
      <w:jc w:val="center"/>
    </w:pPr>
    <w:rPr>
      <w:sz w:val="20"/>
      <w:szCs w:val="20"/>
    </w:rPr>
  </w:style>
  <w:style w:type="paragraph" w:customStyle="1" w:styleId="Tabletimes10Lbold">
    <w:name w:val="Table times 10L bold"/>
    <w:basedOn w:val="Normal"/>
    <w:qFormat/>
    <w:rsid w:val="007A534B"/>
    <w:pPr>
      <w:keepNext/>
      <w:spacing w:before="40" w:after="40" w:line="240" w:lineRule="auto"/>
      <w:jc w:val="left"/>
    </w:pPr>
    <w:rPr>
      <w:b/>
      <w:sz w:val="20"/>
      <w:szCs w:val="20"/>
    </w:rPr>
  </w:style>
  <w:style w:type="paragraph" w:customStyle="1" w:styleId="Tabletimes10Lboldsuprs">
    <w:name w:val="Table times 10L bold suprs"/>
    <w:basedOn w:val="Tabletimes10Lbold"/>
    <w:qFormat/>
    <w:rsid w:val="00A4313A"/>
    <w:rPr>
      <w:vertAlign w:val="superscript"/>
    </w:rPr>
  </w:style>
  <w:style w:type="paragraph" w:customStyle="1" w:styleId="Figurearial10Cbold">
    <w:name w:val="Figure arial 10C bold"/>
    <w:basedOn w:val="Normal"/>
    <w:qFormat/>
    <w:rsid w:val="00A4313A"/>
    <w:pPr>
      <w:jc w:val="center"/>
    </w:pPr>
    <w:rPr>
      <w:rFonts w:ascii="Arial" w:hAnsi="Arial" w:cs="Arial"/>
      <w:b/>
      <w:noProof/>
      <w:sz w:val="20"/>
      <w:szCs w:val="20"/>
      <w:lang w:val="en-US"/>
    </w:rPr>
  </w:style>
  <w:style w:type="paragraph" w:customStyle="1" w:styleId="Captionfigure">
    <w:name w:val="Caption figure"/>
    <w:basedOn w:val="Captiontable"/>
    <w:qFormat/>
    <w:rsid w:val="00FF2706"/>
    <w:pPr>
      <w:spacing w:before="200" w:line="240" w:lineRule="auto"/>
    </w:pPr>
  </w:style>
  <w:style w:type="paragraph" w:customStyle="1" w:styleId="Figurearial9Cbold">
    <w:name w:val="Figure arial 9C bold"/>
    <w:basedOn w:val="Figurearial10Cbold"/>
    <w:qFormat/>
    <w:rsid w:val="00A4313A"/>
    <w:pPr>
      <w:keepNext/>
    </w:pPr>
    <w:rPr>
      <w:sz w:val="18"/>
      <w:szCs w:val="18"/>
    </w:rPr>
  </w:style>
  <w:style w:type="paragraph" w:customStyle="1" w:styleId="Smalltablerow">
    <w:name w:val="Small table row"/>
    <w:basedOn w:val="Figurearial9Cbold"/>
    <w:qFormat/>
    <w:rsid w:val="00A4313A"/>
    <w:pPr>
      <w:spacing w:before="0" w:after="0" w:line="240" w:lineRule="auto"/>
    </w:pPr>
    <w:rPr>
      <w:sz w:val="4"/>
      <w:szCs w:val="4"/>
    </w:rPr>
  </w:style>
  <w:style w:type="paragraph" w:styleId="NormalWeb">
    <w:name w:val="Normal (Web)"/>
    <w:basedOn w:val="Normal"/>
    <w:uiPriority w:val="99"/>
    <w:semiHidden/>
    <w:unhideWhenUsed/>
    <w:rsid w:val="00A4313A"/>
  </w:style>
  <w:style w:type="paragraph" w:customStyle="1" w:styleId="Figurearial9R">
    <w:name w:val="Figure arial 9R"/>
    <w:basedOn w:val="Figurearial9Cbold"/>
    <w:qFormat/>
    <w:rsid w:val="00A4313A"/>
    <w:pPr>
      <w:jc w:val="right"/>
    </w:pPr>
    <w:rPr>
      <w:b w:val="0"/>
    </w:rPr>
  </w:style>
  <w:style w:type="paragraph" w:styleId="Header">
    <w:name w:val="header"/>
    <w:basedOn w:val="Normal"/>
    <w:link w:val="HeaderChar"/>
    <w:uiPriority w:val="99"/>
    <w:unhideWhenUsed/>
    <w:rsid w:val="00A4313A"/>
    <w:pPr>
      <w:tabs>
        <w:tab w:val="center" w:pos="4513"/>
        <w:tab w:val="right" w:pos="9026"/>
      </w:tabs>
    </w:pPr>
  </w:style>
  <w:style w:type="character" w:customStyle="1" w:styleId="HeaderChar">
    <w:name w:val="Header Char"/>
    <w:basedOn w:val="DefaultParagraphFont"/>
    <w:link w:val="Header"/>
    <w:uiPriority w:val="99"/>
    <w:rsid w:val="00A4313A"/>
    <w:rPr>
      <w:rFonts w:ascii="Times New Roman" w:hAnsi="Times New Roman" w:cs="Times New Roman"/>
      <w:color w:val="000000" w:themeColor="text1"/>
      <w:lang w:val="en-GB"/>
    </w:rPr>
  </w:style>
  <w:style w:type="paragraph" w:styleId="Footer">
    <w:name w:val="footer"/>
    <w:basedOn w:val="Normal"/>
    <w:link w:val="FooterChar"/>
    <w:uiPriority w:val="99"/>
    <w:unhideWhenUsed/>
    <w:rsid w:val="00A4313A"/>
    <w:pPr>
      <w:tabs>
        <w:tab w:val="center" w:pos="4513"/>
        <w:tab w:val="right" w:pos="9026"/>
      </w:tabs>
    </w:pPr>
  </w:style>
  <w:style w:type="character" w:customStyle="1" w:styleId="FooterChar">
    <w:name w:val="Footer Char"/>
    <w:basedOn w:val="DefaultParagraphFont"/>
    <w:link w:val="Footer"/>
    <w:uiPriority w:val="99"/>
    <w:rsid w:val="00A4313A"/>
    <w:rPr>
      <w:rFonts w:ascii="Times New Roman" w:hAnsi="Times New Roman" w:cs="Times New Roman"/>
      <w:color w:val="000000" w:themeColor="text1"/>
      <w:lang w:val="en-GB"/>
    </w:rPr>
  </w:style>
  <w:style w:type="character" w:styleId="CommentReference">
    <w:name w:val="annotation reference"/>
    <w:basedOn w:val="DefaultParagraphFont"/>
    <w:uiPriority w:val="99"/>
    <w:semiHidden/>
    <w:unhideWhenUsed/>
    <w:rsid w:val="00A4313A"/>
    <w:rPr>
      <w:sz w:val="18"/>
      <w:szCs w:val="18"/>
    </w:rPr>
  </w:style>
  <w:style w:type="paragraph" w:styleId="CommentText">
    <w:name w:val="annotation text"/>
    <w:basedOn w:val="Normal"/>
    <w:link w:val="CommentTextChar"/>
    <w:uiPriority w:val="99"/>
    <w:unhideWhenUsed/>
    <w:rsid w:val="00A4313A"/>
  </w:style>
  <w:style w:type="character" w:customStyle="1" w:styleId="CommentTextChar">
    <w:name w:val="Comment Text Char"/>
    <w:basedOn w:val="DefaultParagraphFont"/>
    <w:link w:val="CommentText"/>
    <w:uiPriority w:val="99"/>
    <w:rsid w:val="00A4313A"/>
    <w:rPr>
      <w:rFonts w:ascii="Times New Roman" w:hAnsi="Times New Roman" w:cs="Times New Roman"/>
      <w:color w:val="000000" w:themeColor="text1"/>
      <w:lang w:val="en-GB"/>
    </w:rPr>
  </w:style>
  <w:style w:type="paragraph" w:styleId="CommentSubject">
    <w:name w:val="annotation subject"/>
    <w:basedOn w:val="CommentText"/>
    <w:next w:val="CommentText"/>
    <w:link w:val="CommentSubjectChar"/>
    <w:uiPriority w:val="99"/>
    <w:semiHidden/>
    <w:unhideWhenUsed/>
    <w:rsid w:val="00A4313A"/>
    <w:rPr>
      <w:b/>
      <w:bCs/>
      <w:sz w:val="20"/>
      <w:szCs w:val="20"/>
    </w:rPr>
  </w:style>
  <w:style w:type="character" w:customStyle="1" w:styleId="CommentSubjectChar">
    <w:name w:val="Comment Subject Char"/>
    <w:basedOn w:val="CommentTextChar"/>
    <w:link w:val="CommentSubject"/>
    <w:uiPriority w:val="99"/>
    <w:semiHidden/>
    <w:rsid w:val="00A4313A"/>
    <w:rPr>
      <w:rFonts w:ascii="Times New Roman" w:hAnsi="Times New Roman" w:cs="Times New Roman"/>
      <w:b/>
      <w:bCs/>
      <w:color w:val="000000" w:themeColor="text1"/>
      <w:sz w:val="20"/>
      <w:szCs w:val="20"/>
      <w:lang w:val="en-GB"/>
    </w:rPr>
  </w:style>
  <w:style w:type="paragraph" w:styleId="BalloonText">
    <w:name w:val="Balloon Text"/>
    <w:basedOn w:val="Normal"/>
    <w:link w:val="BalloonTextChar"/>
    <w:uiPriority w:val="99"/>
    <w:semiHidden/>
    <w:unhideWhenUsed/>
    <w:rsid w:val="00A4313A"/>
    <w:rPr>
      <w:sz w:val="18"/>
      <w:szCs w:val="18"/>
    </w:rPr>
  </w:style>
  <w:style w:type="character" w:customStyle="1" w:styleId="BalloonTextChar">
    <w:name w:val="Balloon Text Char"/>
    <w:basedOn w:val="DefaultParagraphFont"/>
    <w:link w:val="BalloonText"/>
    <w:uiPriority w:val="99"/>
    <w:semiHidden/>
    <w:rsid w:val="00A4313A"/>
    <w:rPr>
      <w:rFonts w:ascii="Times New Roman" w:hAnsi="Times New Roman" w:cs="Times New Roman"/>
      <w:color w:val="000000" w:themeColor="text1"/>
      <w:sz w:val="18"/>
      <w:szCs w:val="18"/>
      <w:lang w:val="en-GB"/>
    </w:rPr>
  </w:style>
  <w:style w:type="table" w:customStyle="1" w:styleId="TableGrid1">
    <w:name w:val="Table Grid1"/>
    <w:basedOn w:val="TableNormal"/>
    <w:next w:val="TableGrid"/>
    <w:uiPriority w:val="39"/>
    <w:rsid w:val="00A4313A"/>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A4313A"/>
    <w:pPr>
      <w:tabs>
        <w:tab w:val="left" w:pos="380"/>
        <w:tab w:val="left" w:pos="500"/>
      </w:tabs>
      <w:spacing w:after="240" w:line="240" w:lineRule="auto"/>
      <w:ind w:left="384" w:hanging="384"/>
    </w:pPr>
  </w:style>
  <w:style w:type="character" w:styleId="PageNumber">
    <w:name w:val="page number"/>
    <w:basedOn w:val="DefaultParagraphFont"/>
    <w:uiPriority w:val="99"/>
    <w:semiHidden/>
    <w:unhideWhenUsed/>
    <w:rsid w:val="00A4313A"/>
  </w:style>
  <w:style w:type="table" w:customStyle="1" w:styleId="TableGridLight1">
    <w:name w:val="Table Grid Light1"/>
    <w:basedOn w:val="TableNormal"/>
    <w:uiPriority w:val="40"/>
    <w:rsid w:val="00A4313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abletimes9L">
    <w:name w:val="Table times 9L"/>
    <w:basedOn w:val="Tabletimes10L"/>
    <w:qFormat/>
    <w:rsid w:val="00A4313A"/>
    <w:rPr>
      <w:sz w:val="18"/>
      <w:szCs w:val="18"/>
    </w:rPr>
  </w:style>
  <w:style w:type="paragraph" w:customStyle="1" w:styleId="Figurearial8Cnospace">
    <w:name w:val="Figure arial 8C no space"/>
    <w:basedOn w:val="Figurearial9Cbold"/>
    <w:qFormat/>
    <w:rsid w:val="00A4313A"/>
    <w:pPr>
      <w:spacing w:before="0" w:after="0" w:line="240" w:lineRule="auto"/>
    </w:pPr>
    <w:rPr>
      <w:b w:val="0"/>
      <w:sz w:val="16"/>
    </w:rPr>
  </w:style>
  <w:style w:type="paragraph" w:customStyle="1" w:styleId="p1">
    <w:name w:val="p1"/>
    <w:basedOn w:val="Normal"/>
    <w:rsid w:val="00A4313A"/>
    <w:rPr>
      <w:rFonts w:ascii="Times" w:hAnsi="Times"/>
      <w:sz w:val="16"/>
      <w:szCs w:val="16"/>
      <w:lang w:val="en-US"/>
    </w:rPr>
  </w:style>
  <w:style w:type="character" w:customStyle="1" w:styleId="s1">
    <w:name w:val="s1"/>
    <w:basedOn w:val="DefaultParagraphFont"/>
    <w:rsid w:val="00A4313A"/>
    <w:rPr>
      <w:rFonts w:ascii="Times" w:hAnsi="Times" w:hint="default"/>
      <w:sz w:val="9"/>
      <w:szCs w:val="9"/>
    </w:rPr>
  </w:style>
  <w:style w:type="paragraph" w:customStyle="1" w:styleId="Figurearial9C">
    <w:name w:val="Figure arial 9C"/>
    <w:basedOn w:val="Figurearial9Cbold"/>
    <w:qFormat/>
    <w:rsid w:val="00A4313A"/>
    <w:rPr>
      <w:b w:val="0"/>
    </w:rPr>
  </w:style>
  <w:style w:type="paragraph" w:customStyle="1" w:styleId="Figurearial8C">
    <w:name w:val="Figure arial 8C"/>
    <w:basedOn w:val="Figurearial9Cbold"/>
    <w:qFormat/>
    <w:rsid w:val="00A4313A"/>
    <w:rPr>
      <w:b w:val="0"/>
      <w:sz w:val="16"/>
      <w:szCs w:val="16"/>
    </w:rPr>
  </w:style>
  <w:style w:type="character" w:styleId="PlaceholderText">
    <w:name w:val="Placeholder Text"/>
    <w:basedOn w:val="DefaultParagraphFont"/>
    <w:uiPriority w:val="99"/>
    <w:semiHidden/>
    <w:rsid w:val="00A4313A"/>
    <w:rPr>
      <w:color w:val="808080"/>
    </w:rPr>
  </w:style>
  <w:style w:type="paragraph" w:styleId="Revision">
    <w:name w:val="Revision"/>
    <w:hidden/>
    <w:uiPriority w:val="99"/>
    <w:semiHidden/>
    <w:rsid w:val="00147091"/>
    <w:rPr>
      <w:rFonts w:ascii="Times New Roman" w:hAnsi="Times New Roman" w:cs="Times New Roman"/>
      <w:color w:val="000000" w:themeColor="text1"/>
      <w:lang w:val="en-GB"/>
    </w:rPr>
  </w:style>
  <w:style w:type="character" w:customStyle="1" w:styleId="apple-converted-space">
    <w:name w:val="apple-converted-space"/>
    <w:basedOn w:val="DefaultParagraphFont"/>
    <w:rsid w:val="00AD3FFA"/>
  </w:style>
  <w:style w:type="paragraph" w:customStyle="1" w:styleId="Bulletpoints10L">
    <w:name w:val="Bullet points 10L"/>
    <w:basedOn w:val="Tabletimes10L"/>
    <w:qFormat/>
    <w:rsid w:val="004A1C50"/>
    <w:pPr>
      <w:numPr>
        <w:numId w:val="15"/>
      </w:numPr>
      <w:ind w:right="255"/>
    </w:pPr>
  </w:style>
  <w:style w:type="table" w:customStyle="1" w:styleId="TableGridLight2">
    <w:name w:val="Table Grid Light2"/>
    <w:basedOn w:val="TableNormal"/>
    <w:uiPriority w:val="40"/>
    <w:rsid w:val="009B069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DocumentMap">
    <w:name w:val="Document Map"/>
    <w:basedOn w:val="Normal"/>
    <w:link w:val="DocumentMapChar"/>
    <w:uiPriority w:val="99"/>
    <w:semiHidden/>
    <w:unhideWhenUsed/>
    <w:rsid w:val="009B069C"/>
    <w:pPr>
      <w:spacing w:before="0" w:after="0" w:line="240" w:lineRule="auto"/>
    </w:pPr>
  </w:style>
  <w:style w:type="character" w:customStyle="1" w:styleId="DocumentMapChar">
    <w:name w:val="Document Map Char"/>
    <w:basedOn w:val="DefaultParagraphFont"/>
    <w:link w:val="DocumentMap"/>
    <w:uiPriority w:val="99"/>
    <w:semiHidden/>
    <w:rsid w:val="009B069C"/>
    <w:rPr>
      <w:rFonts w:ascii="Times New Roman" w:hAnsi="Times New Roman" w:cs="Times New Roman"/>
      <w:color w:val="000000" w:themeColor="text1"/>
      <w:lang w:val="en-GB"/>
    </w:rPr>
  </w:style>
  <w:style w:type="paragraph" w:customStyle="1" w:styleId="desc">
    <w:name w:val="desc"/>
    <w:basedOn w:val="Normal"/>
    <w:rsid w:val="00A023E8"/>
    <w:pPr>
      <w:spacing w:before="100" w:beforeAutospacing="1" w:after="100" w:afterAutospacing="1" w:line="240" w:lineRule="auto"/>
      <w:jc w:val="left"/>
    </w:pPr>
    <w:rPr>
      <w:color w:val="auto"/>
      <w:sz w:val="20"/>
      <w:szCs w:val="20"/>
    </w:rPr>
  </w:style>
  <w:style w:type="paragraph" w:customStyle="1" w:styleId="details">
    <w:name w:val="details"/>
    <w:basedOn w:val="Normal"/>
    <w:rsid w:val="00A023E8"/>
    <w:pPr>
      <w:spacing w:before="100" w:beforeAutospacing="1" w:after="100" w:afterAutospacing="1" w:line="240" w:lineRule="auto"/>
      <w:jc w:val="left"/>
    </w:pPr>
    <w:rPr>
      <w:color w:val="auto"/>
      <w:sz w:val="20"/>
      <w:szCs w:val="20"/>
    </w:rPr>
  </w:style>
  <w:style w:type="character" w:customStyle="1" w:styleId="jrnl">
    <w:name w:val="jrnl"/>
    <w:basedOn w:val="DefaultParagraphFont"/>
    <w:rsid w:val="00A023E8"/>
  </w:style>
  <w:style w:type="table" w:styleId="TableGridLight">
    <w:name w:val="Grid Table Light"/>
    <w:basedOn w:val="TableNormal"/>
    <w:uiPriority w:val="40"/>
    <w:rsid w:val="003A29F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TMLPreformatted">
    <w:name w:val="HTML Preformatted"/>
    <w:basedOn w:val="Normal"/>
    <w:link w:val="HTMLPreformattedChar"/>
    <w:uiPriority w:val="99"/>
    <w:semiHidden/>
    <w:unhideWhenUsed/>
    <w:rsid w:val="00B35F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color w:val="auto"/>
      <w:sz w:val="20"/>
      <w:szCs w:val="20"/>
    </w:rPr>
  </w:style>
  <w:style w:type="character" w:customStyle="1" w:styleId="HTMLPreformattedChar">
    <w:name w:val="HTML Preformatted Char"/>
    <w:basedOn w:val="DefaultParagraphFont"/>
    <w:link w:val="HTMLPreformatted"/>
    <w:uiPriority w:val="99"/>
    <w:semiHidden/>
    <w:rsid w:val="00B35F44"/>
    <w:rPr>
      <w:rFonts w:ascii="Courier New" w:eastAsia="Times New Roman" w:hAnsi="Courier New" w:cs="Courier New"/>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3421181">
      <w:bodyDiv w:val="1"/>
      <w:marLeft w:val="0"/>
      <w:marRight w:val="0"/>
      <w:marTop w:val="0"/>
      <w:marBottom w:val="0"/>
      <w:divBdr>
        <w:top w:val="none" w:sz="0" w:space="0" w:color="auto"/>
        <w:left w:val="none" w:sz="0" w:space="0" w:color="auto"/>
        <w:bottom w:val="none" w:sz="0" w:space="0" w:color="auto"/>
        <w:right w:val="none" w:sz="0" w:space="0" w:color="auto"/>
      </w:divBdr>
    </w:div>
    <w:div w:id="228737791">
      <w:bodyDiv w:val="1"/>
      <w:marLeft w:val="0"/>
      <w:marRight w:val="0"/>
      <w:marTop w:val="0"/>
      <w:marBottom w:val="0"/>
      <w:divBdr>
        <w:top w:val="none" w:sz="0" w:space="0" w:color="auto"/>
        <w:left w:val="none" w:sz="0" w:space="0" w:color="auto"/>
        <w:bottom w:val="none" w:sz="0" w:space="0" w:color="auto"/>
        <w:right w:val="none" w:sz="0" w:space="0" w:color="auto"/>
      </w:divBdr>
    </w:div>
    <w:div w:id="283586291">
      <w:bodyDiv w:val="1"/>
      <w:marLeft w:val="0"/>
      <w:marRight w:val="0"/>
      <w:marTop w:val="0"/>
      <w:marBottom w:val="0"/>
      <w:divBdr>
        <w:top w:val="none" w:sz="0" w:space="0" w:color="auto"/>
        <w:left w:val="none" w:sz="0" w:space="0" w:color="auto"/>
        <w:bottom w:val="none" w:sz="0" w:space="0" w:color="auto"/>
        <w:right w:val="none" w:sz="0" w:space="0" w:color="auto"/>
      </w:divBdr>
    </w:div>
    <w:div w:id="307710663">
      <w:bodyDiv w:val="1"/>
      <w:marLeft w:val="0"/>
      <w:marRight w:val="0"/>
      <w:marTop w:val="0"/>
      <w:marBottom w:val="0"/>
      <w:divBdr>
        <w:top w:val="none" w:sz="0" w:space="0" w:color="auto"/>
        <w:left w:val="none" w:sz="0" w:space="0" w:color="auto"/>
        <w:bottom w:val="none" w:sz="0" w:space="0" w:color="auto"/>
        <w:right w:val="none" w:sz="0" w:space="0" w:color="auto"/>
      </w:divBdr>
    </w:div>
    <w:div w:id="369382176">
      <w:bodyDiv w:val="1"/>
      <w:marLeft w:val="0"/>
      <w:marRight w:val="0"/>
      <w:marTop w:val="0"/>
      <w:marBottom w:val="0"/>
      <w:divBdr>
        <w:top w:val="none" w:sz="0" w:space="0" w:color="auto"/>
        <w:left w:val="none" w:sz="0" w:space="0" w:color="auto"/>
        <w:bottom w:val="none" w:sz="0" w:space="0" w:color="auto"/>
        <w:right w:val="none" w:sz="0" w:space="0" w:color="auto"/>
      </w:divBdr>
    </w:div>
    <w:div w:id="373428523">
      <w:bodyDiv w:val="1"/>
      <w:marLeft w:val="0"/>
      <w:marRight w:val="0"/>
      <w:marTop w:val="0"/>
      <w:marBottom w:val="0"/>
      <w:divBdr>
        <w:top w:val="none" w:sz="0" w:space="0" w:color="auto"/>
        <w:left w:val="none" w:sz="0" w:space="0" w:color="auto"/>
        <w:bottom w:val="none" w:sz="0" w:space="0" w:color="auto"/>
        <w:right w:val="none" w:sz="0" w:space="0" w:color="auto"/>
      </w:divBdr>
    </w:div>
    <w:div w:id="483425396">
      <w:bodyDiv w:val="1"/>
      <w:marLeft w:val="0"/>
      <w:marRight w:val="0"/>
      <w:marTop w:val="0"/>
      <w:marBottom w:val="0"/>
      <w:divBdr>
        <w:top w:val="none" w:sz="0" w:space="0" w:color="auto"/>
        <w:left w:val="none" w:sz="0" w:space="0" w:color="auto"/>
        <w:bottom w:val="none" w:sz="0" w:space="0" w:color="auto"/>
        <w:right w:val="none" w:sz="0" w:space="0" w:color="auto"/>
      </w:divBdr>
    </w:div>
    <w:div w:id="487484091">
      <w:bodyDiv w:val="1"/>
      <w:marLeft w:val="0"/>
      <w:marRight w:val="0"/>
      <w:marTop w:val="0"/>
      <w:marBottom w:val="0"/>
      <w:divBdr>
        <w:top w:val="none" w:sz="0" w:space="0" w:color="auto"/>
        <w:left w:val="none" w:sz="0" w:space="0" w:color="auto"/>
        <w:bottom w:val="none" w:sz="0" w:space="0" w:color="auto"/>
        <w:right w:val="none" w:sz="0" w:space="0" w:color="auto"/>
      </w:divBdr>
    </w:div>
    <w:div w:id="634330802">
      <w:bodyDiv w:val="1"/>
      <w:marLeft w:val="0"/>
      <w:marRight w:val="0"/>
      <w:marTop w:val="0"/>
      <w:marBottom w:val="0"/>
      <w:divBdr>
        <w:top w:val="none" w:sz="0" w:space="0" w:color="auto"/>
        <w:left w:val="none" w:sz="0" w:space="0" w:color="auto"/>
        <w:bottom w:val="none" w:sz="0" w:space="0" w:color="auto"/>
        <w:right w:val="none" w:sz="0" w:space="0" w:color="auto"/>
      </w:divBdr>
    </w:div>
    <w:div w:id="706879214">
      <w:bodyDiv w:val="1"/>
      <w:marLeft w:val="0"/>
      <w:marRight w:val="0"/>
      <w:marTop w:val="0"/>
      <w:marBottom w:val="0"/>
      <w:divBdr>
        <w:top w:val="none" w:sz="0" w:space="0" w:color="auto"/>
        <w:left w:val="none" w:sz="0" w:space="0" w:color="auto"/>
        <w:bottom w:val="none" w:sz="0" w:space="0" w:color="auto"/>
        <w:right w:val="none" w:sz="0" w:space="0" w:color="auto"/>
      </w:divBdr>
    </w:div>
    <w:div w:id="837883056">
      <w:bodyDiv w:val="1"/>
      <w:marLeft w:val="0"/>
      <w:marRight w:val="0"/>
      <w:marTop w:val="0"/>
      <w:marBottom w:val="0"/>
      <w:divBdr>
        <w:top w:val="none" w:sz="0" w:space="0" w:color="auto"/>
        <w:left w:val="none" w:sz="0" w:space="0" w:color="auto"/>
        <w:bottom w:val="none" w:sz="0" w:space="0" w:color="auto"/>
        <w:right w:val="none" w:sz="0" w:space="0" w:color="auto"/>
      </w:divBdr>
    </w:div>
    <w:div w:id="1167213428">
      <w:bodyDiv w:val="1"/>
      <w:marLeft w:val="0"/>
      <w:marRight w:val="0"/>
      <w:marTop w:val="0"/>
      <w:marBottom w:val="0"/>
      <w:divBdr>
        <w:top w:val="none" w:sz="0" w:space="0" w:color="auto"/>
        <w:left w:val="none" w:sz="0" w:space="0" w:color="auto"/>
        <w:bottom w:val="none" w:sz="0" w:space="0" w:color="auto"/>
        <w:right w:val="none" w:sz="0" w:space="0" w:color="auto"/>
      </w:divBdr>
    </w:div>
    <w:div w:id="1189836557">
      <w:bodyDiv w:val="1"/>
      <w:marLeft w:val="0"/>
      <w:marRight w:val="0"/>
      <w:marTop w:val="0"/>
      <w:marBottom w:val="0"/>
      <w:divBdr>
        <w:top w:val="none" w:sz="0" w:space="0" w:color="auto"/>
        <w:left w:val="none" w:sz="0" w:space="0" w:color="auto"/>
        <w:bottom w:val="none" w:sz="0" w:space="0" w:color="auto"/>
        <w:right w:val="none" w:sz="0" w:space="0" w:color="auto"/>
      </w:divBdr>
    </w:div>
    <w:div w:id="1396272615">
      <w:bodyDiv w:val="1"/>
      <w:marLeft w:val="0"/>
      <w:marRight w:val="0"/>
      <w:marTop w:val="0"/>
      <w:marBottom w:val="0"/>
      <w:divBdr>
        <w:top w:val="none" w:sz="0" w:space="0" w:color="auto"/>
        <w:left w:val="none" w:sz="0" w:space="0" w:color="auto"/>
        <w:bottom w:val="none" w:sz="0" w:space="0" w:color="auto"/>
        <w:right w:val="none" w:sz="0" w:space="0" w:color="auto"/>
      </w:divBdr>
    </w:div>
    <w:div w:id="1723292263">
      <w:bodyDiv w:val="1"/>
      <w:marLeft w:val="0"/>
      <w:marRight w:val="0"/>
      <w:marTop w:val="0"/>
      <w:marBottom w:val="0"/>
      <w:divBdr>
        <w:top w:val="none" w:sz="0" w:space="0" w:color="auto"/>
        <w:left w:val="none" w:sz="0" w:space="0" w:color="auto"/>
        <w:bottom w:val="none" w:sz="0" w:space="0" w:color="auto"/>
        <w:right w:val="none" w:sz="0" w:space="0" w:color="auto"/>
      </w:divBdr>
    </w:div>
    <w:div w:id="1803772317">
      <w:bodyDiv w:val="1"/>
      <w:marLeft w:val="0"/>
      <w:marRight w:val="0"/>
      <w:marTop w:val="0"/>
      <w:marBottom w:val="0"/>
      <w:divBdr>
        <w:top w:val="none" w:sz="0" w:space="0" w:color="auto"/>
        <w:left w:val="none" w:sz="0" w:space="0" w:color="auto"/>
        <w:bottom w:val="none" w:sz="0" w:space="0" w:color="auto"/>
        <w:right w:val="none" w:sz="0" w:space="0" w:color="auto"/>
      </w:divBdr>
    </w:div>
    <w:div w:id="1806893317">
      <w:bodyDiv w:val="1"/>
      <w:marLeft w:val="0"/>
      <w:marRight w:val="0"/>
      <w:marTop w:val="0"/>
      <w:marBottom w:val="0"/>
      <w:divBdr>
        <w:top w:val="none" w:sz="0" w:space="0" w:color="auto"/>
        <w:left w:val="none" w:sz="0" w:space="0" w:color="auto"/>
        <w:bottom w:val="none" w:sz="0" w:space="0" w:color="auto"/>
        <w:right w:val="none" w:sz="0" w:space="0" w:color="auto"/>
      </w:divBdr>
    </w:div>
    <w:div w:id="1810856335">
      <w:bodyDiv w:val="1"/>
      <w:marLeft w:val="0"/>
      <w:marRight w:val="0"/>
      <w:marTop w:val="0"/>
      <w:marBottom w:val="0"/>
      <w:divBdr>
        <w:top w:val="none" w:sz="0" w:space="0" w:color="auto"/>
        <w:left w:val="none" w:sz="0" w:space="0" w:color="auto"/>
        <w:bottom w:val="none" w:sz="0" w:space="0" w:color="auto"/>
        <w:right w:val="none" w:sz="0" w:space="0" w:color="auto"/>
      </w:divBdr>
    </w:div>
    <w:div w:id="1883519519">
      <w:bodyDiv w:val="1"/>
      <w:marLeft w:val="0"/>
      <w:marRight w:val="0"/>
      <w:marTop w:val="0"/>
      <w:marBottom w:val="0"/>
      <w:divBdr>
        <w:top w:val="none" w:sz="0" w:space="0" w:color="auto"/>
        <w:left w:val="none" w:sz="0" w:space="0" w:color="auto"/>
        <w:bottom w:val="none" w:sz="0" w:space="0" w:color="auto"/>
        <w:right w:val="none" w:sz="0" w:space="0" w:color="auto"/>
      </w:divBdr>
    </w:div>
    <w:div w:id="1909657357">
      <w:bodyDiv w:val="1"/>
      <w:marLeft w:val="0"/>
      <w:marRight w:val="0"/>
      <w:marTop w:val="0"/>
      <w:marBottom w:val="0"/>
      <w:divBdr>
        <w:top w:val="none" w:sz="0" w:space="0" w:color="auto"/>
        <w:left w:val="none" w:sz="0" w:space="0" w:color="auto"/>
        <w:bottom w:val="none" w:sz="0" w:space="0" w:color="auto"/>
        <w:right w:val="none" w:sz="0" w:space="0" w:color="auto"/>
      </w:divBdr>
    </w:div>
    <w:div w:id="1941138198">
      <w:bodyDiv w:val="1"/>
      <w:marLeft w:val="0"/>
      <w:marRight w:val="0"/>
      <w:marTop w:val="0"/>
      <w:marBottom w:val="0"/>
      <w:divBdr>
        <w:top w:val="none" w:sz="0" w:space="0" w:color="auto"/>
        <w:left w:val="none" w:sz="0" w:space="0" w:color="auto"/>
        <w:bottom w:val="none" w:sz="0" w:space="0" w:color="auto"/>
        <w:right w:val="none" w:sz="0" w:space="0" w:color="auto"/>
      </w:divBdr>
    </w:div>
    <w:div w:id="2026711814">
      <w:bodyDiv w:val="1"/>
      <w:marLeft w:val="0"/>
      <w:marRight w:val="0"/>
      <w:marTop w:val="0"/>
      <w:marBottom w:val="0"/>
      <w:divBdr>
        <w:top w:val="none" w:sz="0" w:space="0" w:color="auto"/>
        <w:left w:val="none" w:sz="0" w:space="0" w:color="auto"/>
        <w:bottom w:val="none" w:sz="0" w:space="0" w:color="auto"/>
        <w:right w:val="none" w:sz="0" w:space="0" w:color="auto"/>
      </w:divBdr>
      <w:divsChild>
        <w:div w:id="1194660358">
          <w:marLeft w:val="420"/>
          <w:marRight w:val="0"/>
          <w:marTop w:val="0"/>
          <w:marBottom w:val="0"/>
          <w:divBdr>
            <w:top w:val="none" w:sz="0" w:space="0" w:color="auto"/>
            <w:left w:val="none" w:sz="0" w:space="0" w:color="auto"/>
            <w:bottom w:val="none" w:sz="0" w:space="0" w:color="auto"/>
            <w:right w:val="none" w:sz="0" w:space="0" w:color="auto"/>
          </w:divBdr>
          <w:divsChild>
            <w:div w:id="1746758744">
              <w:marLeft w:val="0"/>
              <w:marRight w:val="0"/>
              <w:marTop w:val="34"/>
              <w:marBottom w:val="34"/>
              <w:divBdr>
                <w:top w:val="none" w:sz="0" w:space="0" w:color="auto"/>
                <w:left w:val="none" w:sz="0" w:space="0" w:color="auto"/>
                <w:bottom w:val="none" w:sz="0" w:space="0" w:color="auto"/>
                <w:right w:val="none" w:sz="0" w:space="0" w:color="auto"/>
              </w:divBdr>
            </w:div>
            <w:div w:id="1838954718">
              <w:marLeft w:val="0"/>
              <w:marRight w:val="0"/>
              <w:marTop w:val="0"/>
              <w:marBottom w:val="0"/>
              <w:divBdr>
                <w:top w:val="none" w:sz="0" w:space="0" w:color="auto"/>
                <w:left w:val="none" w:sz="0" w:space="0" w:color="auto"/>
                <w:bottom w:val="none" w:sz="0" w:space="0" w:color="auto"/>
                <w:right w:val="none" w:sz="0" w:space="0" w:color="auto"/>
              </w:divBdr>
              <w:divsChild>
                <w:div w:id="57417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981085">
      <w:bodyDiv w:val="1"/>
      <w:marLeft w:val="0"/>
      <w:marRight w:val="0"/>
      <w:marTop w:val="0"/>
      <w:marBottom w:val="0"/>
      <w:divBdr>
        <w:top w:val="none" w:sz="0" w:space="0" w:color="auto"/>
        <w:left w:val="none" w:sz="0" w:space="0" w:color="auto"/>
        <w:bottom w:val="none" w:sz="0" w:space="0" w:color="auto"/>
        <w:right w:val="none" w:sz="0" w:space="0" w:color="auto"/>
      </w:divBdr>
    </w:div>
    <w:div w:id="21035293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rociofmendez.inv@gmail.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f421@cam.ac.u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b:Sources xmlns:b="http://schemas.openxmlformats.org/officeDocument/2006/bibliography" xmlns="http://schemas.openxmlformats.org/officeDocument/2006/bibliography" SelectedStyle="/APASixthEditionOfficeOnline.xsl" StyleName="APA"/>
</file>

<file path=customXml/item3.xml><?xml version="1.0" encoding="utf-8"?>
<b:Sources xmlns:b="http://schemas.openxmlformats.org/officeDocument/2006/bibliography" xmlns="http://schemas.openxmlformats.org/officeDocument/2006/bibliography" SelectedStyle="/APASixthEditionOfficeOnline.xsl" StyleName="APA"/>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CEB9639-6C59-404E-A44E-7730FCA071EA}">
  <ds:schemaRefs>
    <ds:schemaRef ds:uri="http://schemas.openxmlformats.org/officeDocument/2006/bibliography"/>
  </ds:schemaRefs>
</ds:datastoreItem>
</file>

<file path=customXml/itemProps2.xml><?xml version="1.0" encoding="utf-8"?>
<ds:datastoreItem xmlns:ds="http://schemas.openxmlformats.org/officeDocument/2006/customXml" ds:itemID="{00528B1C-04C9-544F-9496-FFD9084F46F9}">
  <ds:schemaRefs>
    <ds:schemaRef ds:uri="http://schemas.openxmlformats.org/officeDocument/2006/bibliography"/>
  </ds:schemaRefs>
</ds:datastoreItem>
</file>

<file path=customXml/itemProps3.xml><?xml version="1.0" encoding="utf-8"?>
<ds:datastoreItem xmlns:ds="http://schemas.openxmlformats.org/officeDocument/2006/customXml" ds:itemID="{DD7683D1-8CBE-A84F-88BF-B8F6461B4953}">
  <ds:schemaRefs>
    <ds:schemaRef ds:uri="http://schemas.openxmlformats.org/officeDocument/2006/bibliography"/>
  </ds:schemaRefs>
</ds:datastoreItem>
</file>

<file path=customXml/itemProps4.xml><?xml version="1.0" encoding="utf-8"?>
<ds:datastoreItem xmlns:ds="http://schemas.openxmlformats.org/officeDocument/2006/customXml" ds:itemID="{64CC5C7E-564A-E246-B843-D2A867019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15640</Words>
  <Characters>89154</Characters>
  <Application>Microsoft Office Word</Application>
  <DocSecurity>0</DocSecurity>
  <Lines>742</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dc:creator>
  <cp:keywords/>
  <dc:description/>
  <cp:lastModifiedBy>Rocio</cp:lastModifiedBy>
  <cp:revision>4</cp:revision>
  <cp:lastPrinted>2018-12-20T17:07:00Z</cp:lastPrinted>
  <dcterms:created xsi:type="dcterms:W3CDTF">2018-12-24T16:23:00Z</dcterms:created>
  <dcterms:modified xsi:type="dcterms:W3CDTF">2019-02-07T16:58:00Z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zotero-version="5.0.58"&gt;&lt;session id="CUUnybBW"/&gt;&lt;style id="http://www.zotero.org/styles/bmj" hasBibliography="1" bibliographyStyleHasBeenSet="1"/&gt;&lt;prefs&gt;&lt;pref name="fieldType" value="Field"/&gt;&lt;pref name="storeReferences" value="true"</vt:lpwstr>
  </property>
  <property fmtid="{D5CDD505-2E9C-101B-9397-08002B2CF9AE}" pid="3" name="ZOTERO_PREF_2">
    <vt:lpwstr>/&gt;&lt;pref name="automaticJournalAbbreviations" value="true"/&gt;&lt;/prefs&gt;&lt;/data&gt;</vt:lpwstr>
  </property>
</Properties>
</file>