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1992" w:rsidRDefault="00DF1992" w:rsidP="00DF1992">
      <w:pPr>
        <w:pStyle w:val="Body1"/>
        <w:spacing w:line="240" w:lineRule="auto"/>
        <w:jc w:val="left"/>
        <w:rPr>
          <w:rFonts w:asciiTheme="minorHAnsi" w:hAnsiTheme="minorHAnsi" w:cs="Arial"/>
          <w:color w:val="222222"/>
          <w:shd w:val="clear" w:color="auto" w:fill="FFFFFF"/>
        </w:rPr>
      </w:pPr>
      <w:r w:rsidRPr="00B26EE1">
        <w:rPr>
          <w:rFonts w:asciiTheme="minorHAnsi" w:eastAsia="Times New Roman" w:hAnsiTheme="minorHAnsi" w:cs="Times New Roman"/>
          <w:b/>
          <w:color w:val="000000" w:themeColor="text1"/>
          <w:lang w:val="en-GB" w:eastAsia="en-GB"/>
        </w:rPr>
        <w:t>The effect of different drinking and voiding preparations on MRI bladder distention in normal volunteers and patients</w:t>
      </w:r>
      <w:r>
        <w:rPr>
          <w:rFonts w:asciiTheme="minorHAnsi" w:eastAsia="Times New Roman" w:hAnsiTheme="minorHAnsi" w:cs="Times New Roman"/>
          <w:b/>
          <w:color w:val="000000" w:themeColor="text1"/>
          <w:sz w:val="28"/>
          <w:szCs w:val="28"/>
          <w:lang w:val="en-GB" w:eastAsia="en-GB"/>
        </w:rPr>
        <w:br/>
      </w:r>
      <w:r w:rsidRPr="00C272F4">
        <w:rPr>
          <w:rFonts w:asciiTheme="minorHAnsi" w:hAnsiTheme="minorHAnsi" w:cs="Arial"/>
          <w:b/>
          <w:color w:val="222222"/>
          <w:shd w:val="clear" w:color="auto" w:fill="FFFFFF"/>
          <w:lang w:val="en-GB"/>
        </w:rPr>
        <w:t>Short title:</w:t>
      </w:r>
      <w:r>
        <w:rPr>
          <w:rFonts w:asciiTheme="minorHAnsi" w:hAnsiTheme="minorHAnsi" w:cs="Arial"/>
          <w:color w:val="222222"/>
          <w:shd w:val="clear" w:color="auto" w:fill="FFFFFF"/>
          <w:lang w:val="en-GB"/>
        </w:rPr>
        <w:t xml:space="preserve"> Patient preparation vs</w:t>
      </w:r>
      <w:r w:rsidRPr="00700845">
        <w:rPr>
          <w:rFonts w:asciiTheme="minorHAnsi" w:hAnsiTheme="minorHAnsi" w:cs="Arial"/>
          <w:color w:val="222222"/>
          <w:shd w:val="clear" w:color="auto" w:fill="FFFFFF"/>
        </w:rPr>
        <w:t xml:space="preserve"> MRI bladder distention</w:t>
      </w:r>
    </w:p>
    <w:p w:rsidR="00DF1992" w:rsidRDefault="00DF1992" w:rsidP="00DF1992">
      <w:pPr>
        <w:pStyle w:val="Body1"/>
        <w:spacing w:line="240" w:lineRule="auto"/>
        <w:jc w:val="left"/>
        <w:rPr>
          <w:rFonts w:asciiTheme="minorHAnsi" w:hAnsiTheme="minorHAnsi" w:cs="Arial"/>
          <w:color w:val="222222"/>
          <w:shd w:val="clear" w:color="auto" w:fill="FFFFFF"/>
        </w:rPr>
      </w:pPr>
    </w:p>
    <w:p w:rsidR="00DF1992" w:rsidRPr="00B26EE1" w:rsidRDefault="00DF1992" w:rsidP="00DF1992">
      <w:pPr>
        <w:pStyle w:val="Body1"/>
        <w:spacing w:line="240" w:lineRule="auto"/>
        <w:jc w:val="left"/>
        <w:rPr>
          <w:rFonts w:asciiTheme="minorHAnsi" w:hAnsiTheme="minorHAnsi" w:cs="Arial"/>
          <w:color w:val="222222"/>
          <w:shd w:val="clear" w:color="auto" w:fill="FFFFFF"/>
        </w:rPr>
      </w:pPr>
      <w:r>
        <w:rPr>
          <w:rFonts w:asciiTheme="minorHAnsi" w:hAnsiTheme="minorHAnsi" w:cstheme="minorHAnsi"/>
          <w:color w:val="000000" w:themeColor="text1"/>
        </w:rPr>
        <w:t>Nikita Sushentsev</w:t>
      </w:r>
      <w:r>
        <w:rPr>
          <w:rFonts w:asciiTheme="minorHAnsi" w:hAnsiTheme="minorHAnsi"/>
          <w:vertAlign w:val="superscript"/>
        </w:rPr>
        <w:t>a,*</w:t>
      </w:r>
    </w:p>
    <w:p w:rsidR="00DF1992" w:rsidRDefault="00DF1992" w:rsidP="00DF1992">
      <w:pPr>
        <w:pStyle w:val="Body1"/>
        <w:spacing w:line="240" w:lineRule="auto"/>
        <w:jc w:val="left"/>
        <w:rPr>
          <w:rFonts w:asciiTheme="minorHAnsi" w:hAnsiTheme="minorHAnsi"/>
          <w:iCs/>
        </w:rPr>
      </w:pPr>
      <w:r>
        <w:rPr>
          <w:rFonts w:asciiTheme="minorHAnsi" w:hAnsiTheme="minorHAnsi"/>
          <w:iCs/>
          <w:vertAlign w:val="superscript"/>
        </w:rPr>
        <w:t>a</w:t>
      </w:r>
      <w:r w:rsidRPr="00D049A1">
        <w:rPr>
          <w:rFonts w:asciiTheme="minorHAnsi" w:hAnsiTheme="minorHAnsi"/>
          <w:iCs/>
        </w:rPr>
        <w:t>International</w:t>
      </w:r>
      <w:r>
        <w:rPr>
          <w:rFonts w:asciiTheme="minorHAnsi" w:hAnsiTheme="minorHAnsi"/>
          <w:iCs/>
        </w:rPr>
        <w:t xml:space="preserve"> School ‘Medicine of the Future’</w:t>
      </w:r>
    </w:p>
    <w:p w:rsidR="00DF1992" w:rsidRDefault="00DF1992" w:rsidP="00DF1992">
      <w:pPr>
        <w:pStyle w:val="Body1"/>
        <w:spacing w:line="240" w:lineRule="auto"/>
        <w:jc w:val="left"/>
        <w:rPr>
          <w:rFonts w:asciiTheme="minorHAnsi" w:hAnsiTheme="minorHAnsi"/>
          <w:iCs/>
        </w:rPr>
      </w:pPr>
      <w:r>
        <w:rPr>
          <w:rFonts w:asciiTheme="minorHAnsi" w:hAnsiTheme="minorHAnsi"/>
          <w:iCs/>
        </w:rPr>
        <w:t>Sechenov First Moscow State Medical University</w:t>
      </w:r>
    </w:p>
    <w:p w:rsidR="00DF1992" w:rsidRDefault="00DF1992" w:rsidP="00DF1992">
      <w:pPr>
        <w:pStyle w:val="Body1"/>
        <w:spacing w:line="240" w:lineRule="auto"/>
        <w:jc w:val="left"/>
        <w:rPr>
          <w:rFonts w:asciiTheme="minorHAnsi" w:hAnsiTheme="minorHAnsi"/>
          <w:color w:val="000000" w:themeColor="text1"/>
          <w:lang w:eastAsia="it-IT"/>
        </w:rPr>
      </w:pPr>
      <w:r>
        <w:rPr>
          <w:rFonts w:asciiTheme="minorHAnsi" w:hAnsiTheme="minorHAnsi"/>
          <w:color w:val="000000" w:themeColor="text1"/>
          <w:lang w:eastAsia="it-IT"/>
        </w:rPr>
        <w:t>8-2 Trubetskaya</w:t>
      </w:r>
      <w:r w:rsidRPr="00BD29F4">
        <w:rPr>
          <w:rFonts w:asciiTheme="minorHAnsi" w:hAnsiTheme="minorHAnsi"/>
          <w:color w:val="000000" w:themeColor="text1"/>
          <w:lang w:eastAsia="it-IT"/>
        </w:rPr>
        <w:t xml:space="preserve"> st.</w:t>
      </w:r>
      <w:r>
        <w:rPr>
          <w:rFonts w:asciiTheme="minorHAnsi" w:hAnsiTheme="minorHAnsi"/>
          <w:color w:val="000000" w:themeColor="text1"/>
          <w:lang w:eastAsia="it-IT"/>
        </w:rPr>
        <w:t>, Moscow, 119991, Russia</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rPr>
        <w:t>Telephone:</w:t>
      </w:r>
      <w:r w:rsidRPr="001D3FC0">
        <w:rPr>
          <w:rFonts w:asciiTheme="minorHAnsi" w:hAnsiTheme="minorHAnsi"/>
          <w:color w:val="000000" w:themeColor="text1"/>
        </w:rPr>
        <w:t xml:space="preserve"> </w:t>
      </w:r>
      <w:r>
        <w:rPr>
          <w:rFonts w:asciiTheme="minorHAnsi" w:hAnsiTheme="minorHAnsi"/>
          <w:color w:val="000000" w:themeColor="text1"/>
        </w:rPr>
        <w:t>+79150490902; Fax number: +7</w:t>
      </w:r>
      <w:r w:rsidRPr="00BD29F4">
        <w:rPr>
          <w:rFonts w:asciiTheme="minorHAnsi" w:hAnsiTheme="minorHAnsi"/>
          <w:color w:val="000000" w:themeColor="text1"/>
        </w:rPr>
        <w:t>495</w:t>
      </w:r>
      <w:r>
        <w:rPr>
          <w:rFonts w:asciiTheme="minorHAnsi" w:hAnsiTheme="minorHAnsi"/>
          <w:color w:val="000000" w:themeColor="text1"/>
        </w:rPr>
        <w:t>622</w:t>
      </w:r>
      <w:r w:rsidRPr="00BD29F4">
        <w:rPr>
          <w:rFonts w:asciiTheme="minorHAnsi" w:hAnsiTheme="minorHAnsi"/>
          <w:color w:val="000000" w:themeColor="text1"/>
        </w:rPr>
        <w:t>9643</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rPr>
        <w:t xml:space="preserve">Email: </w:t>
      </w:r>
      <w:r w:rsidRPr="00BD29F4">
        <w:rPr>
          <w:rFonts w:asciiTheme="minorHAnsi" w:hAnsiTheme="minorHAnsi"/>
          <w:color w:val="000000" w:themeColor="text1"/>
        </w:rPr>
        <w:t>sushentsev.na@1msmu.ru</w:t>
      </w:r>
      <w:r>
        <w:rPr>
          <w:rFonts w:asciiTheme="minorHAnsi" w:hAnsiTheme="minorHAnsi"/>
          <w:color w:val="000000" w:themeColor="text1"/>
        </w:rPr>
        <w:t xml:space="preserve"> (corresponding author*)</w:t>
      </w:r>
    </w:p>
    <w:p w:rsidR="00DF1992" w:rsidRPr="00D049A1" w:rsidRDefault="00DF1992" w:rsidP="00DF1992">
      <w:pPr>
        <w:pStyle w:val="Body1"/>
        <w:spacing w:line="240" w:lineRule="auto"/>
        <w:jc w:val="left"/>
        <w:rPr>
          <w:rFonts w:asciiTheme="minorHAnsi" w:hAnsiTheme="minorHAnsi" w:cstheme="minorHAnsi"/>
          <w:color w:val="000000" w:themeColor="text1"/>
        </w:rPr>
      </w:pPr>
    </w:p>
    <w:p w:rsidR="00DF1992" w:rsidRDefault="00DF1992" w:rsidP="00DF1992">
      <w:pPr>
        <w:pStyle w:val="Body1"/>
        <w:spacing w:line="240" w:lineRule="auto"/>
        <w:jc w:val="left"/>
        <w:rPr>
          <w:rFonts w:asciiTheme="minorHAnsi" w:hAnsiTheme="minorHAnsi"/>
        </w:rPr>
      </w:pPr>
      <w:r>
        <w:rPr>
          <w:rFonts w:asciiTheme="minorHAnsi" w:hAnsiTheme="minorHAnsi"/>
        </w:rPr>
        <w:t>James Tanner</w:t>
      </w:r>
      <w:r>
        <w:rPr>
          <w:rFonts w:asciiTheme="minorHAnsi" w:hAnsiTheme="minorHAnsi"/>
          <w:vertAlign w:val="superscript"/>
        </w:rPr>
        <w:t>b</w:t>
      </w:r>
      <w:r>
        <w:rPr>
          <w:rFonts w:asciiTheme="minorHAnsi" w:hAnsiTheme="minorHAnsi"/>
        </w:rPr>
        <w:t>, MB BChir</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vertAlign w:val="superscript"/>
        </w:rPr>
        <w:t>b</w:t>
      </w:r>
      <w:r>
        <w:rPr>
          <w:rFonts w:asciiTheme="minorHAnsi" w:hAnsiTheme="minorHAnsi"/>
          <w:color w:val="000000" w:themeColor="text1"/>
        </w:rPr>
        <w:t>Department of Radiology</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rPr>
        <w:t>Addenbrooke’s Hospital</w:t>
      </w:r>
      <w:r>
        <w:rPr>
          <w:rFonts w:asciiTheme="minorHAnsi" w:hAnsiTheme="minorHAnsi"/>
          <w:color w:val="000000" w:themeColor="text1"/>
        </w:rPr>
        <w:br/>
        <w:t xml:space="preserve">Box 218, Hills Road, Cambridge, </w:t>
      </w:r>
      <w:r w:rsidRPr="008B161A">
        <w:rPr>
          <w:rFonts w:asciiTheme="minorHAnsi" w:hAnsiTheme="minorHAnsi"/>
          <w:color w:val="000000" w:themeColor="text1"/>
        </w:rPr>
        <w:t>CB2 0QQ</w:t>
      </w:r>
      <w:r>
        <w:rPr>
          <w:rFonts w:asciiTheme="minorHAnsi" w:hAnsiTheme="minorHAnsi"/>
          <w:color w:val="000000" w:themeColor="text1"/>
        </w:rPr>
        <w:t>, United Kingdom</w:t>
      </w:r>
      <w:r>
        <w:rPr>
          <w:rFonts w:asciiTheme="minorHAnsi" w:hAnsiTheme="minorHAnsi"/>
          <w:color w:val="000000" w:themeColor="text1"/>
        </w:rPr>
        <w:br/>
        <w:t xml:space="preserve">Email: </w:t>
      </w:r>
      <w:r w:rsidRPr="00D049A1">
        <w:rPr>
          <w:rFonts w:asciiTheme="minorHAnsi" w:hAnsiTheme="minorHAnsi"/>
          <w:color w:val="000000" w:themeColor="text1"/>
        </w:rPr>
        <w:t>jamestanner1@gmail.com</w:t>
      </w:r>
      <w:r>
        <w:rPr>
          <w:rFonts w:asciiTheme="minorHAnsi" w:hAnsiTheme="minorHAnsi"/>
          <w:color w:val="000000" w:themeColor="text1"/>
        </w:rPr>
        <w:t xml:space="preserve"> Tel: </w:t>
      </w:r>
      <w:r w:rsidRPr="00161C70">
        <w:rPr>
          <w:rFonts w:asciiTheme="minorHAnsi" w:hAnsiTheme="minorHAnsi"/>
          <w:color w:val="000000" w:themeColor="text1"/>
        </w:rPr>
        <w:t>01223 746438</w:t>
      </w:r>
    </w:p>
    <w:p w:rsidR="00DF1992" w:rsidRDefault="00DF1992" w:rsidP="00DF1992">
      <w:pPr>
        <w:pStyle w:val="Body1"/>
        <w:spacing w:line="240" w:lineRule="auto"/>
        <w:jc w:val="left"/>
        <w:rPr>
          <w:rFonts w:asciiTheme="minorHAnsi" w:hAnsiTheme="minorHAnsi"/>
        </w:rPr>
      </w:pPr>
    </w:p>
    <w:p w:rsidR="00DF1992" w:rsidRDefault="00DF1992" w:rsidP="00DF1992">
      <w:pPr>
        <w:pStyle w:val="Body1"/>
        <w:spacing w:line="240" w:lineRule="auto"/>
        <w:jc w:val="left"/>
        <w:rPr>
          <w:rFonts w:asciiTheme="minorHAnsi" w:hAnsiTheme="minorHAnsi"/>
        </w:rPr>
      </w:pPr>
      <w:r>
        <w:rPr>
          <w:rFonts w:asciiTheme="minorHAnsi" w:hAnsiTheme="minorHAnsi"/>
        </w:rPr>
        <w:t xml:space="preserve">Rhys A </w:t>
      </w:r>
      <w:r w:rsidRPr="00912B3C">
        <w:rPr>
          <w:rFonts w:asciiTheme="minorHAnsi" w:hAnsiTheme="minorHAnsi"/>
        </w:rPr>
        <w:t>Slough</w:t>
      </w:r>
      <w:r>
        <w:rPr>
          <w:rFonts w:asciiTheme="minorHAnsi" w:hAnsiTheme="minorHAnsi"/>
          <w:vertAlign w:val="superscript"/>
        </w:rPr>
        <w:t>b</w:t>
      </w:r>
      <w:r>
        <w:rPr>
          <w:rFonts w:asciiTheme="minorHAnsi" w:hAnsiTheme="minorHAnsi"/>
        </w:rPr>
        <w:t xml:space="preserve">, BSc </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vertAlign w:val="superscript"/>
        </w:rPr>
        <w:t>b</w:t>
      </w:r>
      <w:r>
        <w:rPr>
          <w:rFonts w:asciiTheme="minorHAnsi" w:hAnsiTheme="minorHAnsi"/>
          <w:color w:val="000000" w:themeColor="text1"/>
        </w:rPr>
        <w:t>Department of Radiology</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rPr>
        <w:t>Addenbrooke’s Hospital</w:t>
      </w:r>
      <w:r>
        <w:rPr>
          <w:rFonts w:asciiTheme="minorHAnsi" w:hAnsiTheme="minorHAnsi"/>
          <w:color w:val="000000" w:themeColor="text1"/>
        </w:rPr>
        <w:br/>
        <w:t xml:space="preserve">Box 218, Hills Road, Cambridge, </w:t>
      </w:r>
      <w:r w:rsidRPr="008B161A">
        <w:rPr>
          <w:rFonts w:asciiTheme="minorHAnsi" w:hAnsiTheme="minorHAnsi"/>
          <w:color w:val="000000" w:themeColor="text1"/>
        </w:rPr>
        <w:t>CB2 0QQ</w:t>
      </w:r>
      <w:r>
        <w:rPr>
          <w:rFonts w:asciiTheme="minorHAnsi" w:hAnsiTheme="minorHAnsi"/>
          <w:color w:val="000000" w:themeColor="text1"/>
        </w:rPr>
        <w:t>, United Kingdom</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rPr>
        <w:t xml:space="preserve">Email: </w:t>
      </w:r>
      <w:r w:rsidRPr="00D75A80">
        <w:rPr>
          <w:rFonts w:asciiTheme="minorHAnsi" w:hAnsiTheme="minorHAnsi"/>
          <w:color w:val="000000" w:themeColor="text1"/>
        </w:rPr>
        <w:t>rhys.slough@gmail.com</w:t>
      </w:r>
      <w:r>
        <w:rPr>
          <w:rFonts w:asciiTheme="minorHAnsi" w:hAnsiTheme="minorHAnsi"/>
          <w:color w:val="000000" w:themeColor="text1"/>
        </w:rPr>
        <w:t xml:space="preserve"> Tel: </w:t>
      </w:r>
      <w:r w:rsidRPr="00161C70">
        <w:rPr>
          <w:rFonts w:asciiTheme="minorHAnsi" w:hAnsiTheme="minorHAnsi"/>
          <w:color w:val="000000" w:themeColor="text1"/>
        </w:rPr>
        <w:t>01223 746438</w:t>
      </w:r>
    </w:p>
    <w:p w:rsidR="00DF1992" w:rsidRDefault="00DF1992" w:rsidP="00DF1992">
      <w:pPr>
        <w:pStyle w:val="Body1"/>
        <w:spacing w:line="240" w:lineRule="auto"/>
        <w:jc w:val="left"/>
        <w:rPr>
          <w:rFonts w:asciiTheme="minorHAnsi" w:hAnsiTheme="minorHAnsi"/>
        </w:rPr>
      </w:pPr>
    </w:p>
    <w:p w:rsidR="00DF1992" w:rsidRDefault="00DF1992" w:rsidP="00DF1992">
      <w:pPr>
        <w:pStyle w:val="Body1"/>
        <w:spacing w:line="240" w:lineRule="auto"/>
        <w:jc w:val="left"/>
        <w:rPr>
          <w:rFonts w:asciiTheme="minorHAnsi" w:hAnsiTheme="minorHAnsi"/>
        </w:rPr>
      </w:pPr>
      <w:r>
        <w:rPr>
          <w:rFonts w:asciiTheme="minorHAnsi" w:hAnsiTheme="minorHAnsi"/>
        </w:rPr>
        <w:t>Vasily Kozlov</w:t>
      </w:r>
      <w:r>
        <w:rPr>
          <w:rFonts w:asciiTheme="minorHAnsi" w:hAnsiTheme="minorHAnsi"/>
          <w:vertAlign w:val="superscript"/>
        </w:rPr>
        <w:t>c</w:t>
      </w:r>
      <w:r>
        <w:rPr>
          <w:rFonts w:asciiTheme="minorHAnsi" w:hAnsiTheme="minorHAnsi"/>
        </w:rPr>
        <w:t>, PhD</w:t>
      </w:r>
    </w:p>
    <w:p w:rsidR="00DF1992" w:rsidRDefault="00DF1992" w:rsidP="00DF1992">
      <w:pPr>
        <w:pStyle w:val="Body1"/>
        <w:spacing w:line="240" w:lineRule="auto"/>
        <w:jc w:val="left"/>
        <w:rPr>
          <w:rFonts w:asciiTheme="minorHAnsi" w:hAnsiTheme="minorHAnsi"/>
          <w:iCs/>
        </w:rPr>
      </w:pPr>
      <w:r>
        <w:rPr>
          <w:rFonts w:asciiTheme="minorHAnsi" w:hAnsiTheme="minorHAnsi"/>
          <w:iCs/>
          <w:vertAlign w:val="superscript"/>
        </w:rPr>
        <w:t>c</w:t>
      </w:r>
      <w:r w:rsidRPr="00307182">
        <w:rPr>
          <w:rFonts w:asciiTheme="minorHAnsi" w:hAnsiTheme="minorHAnsi"/>
          <w:iCs/>
        </w:rPr>
        <w:t>Department</w:t>
      </w:r>
      <w:r>
        <w:rPr>
          <w:rFonts w:asciiTheme="minorHAnsi" w:hAnsiTheme="minorHAnsi"/>
          <w:iCs/>
        </w:rPr>
        <w:t xml:space="preserve"> of Public Health and Healthcare Organization</w:t>
      </w:r>
      <w:r>
        <w:rPr>
          <w:rFonts w:asciiTheme="minorHAnsi" w:hAnsiTheme="minorHAnsi"/>
          <w:iCs/>
        </w:rPr>
        <w:br/>
        <w:t>Sechenov First Moscow State Medical University</w:t>
      </w:r>
    </w:p>
    <w:p w:rsidR="00DF1992" w:rsidRDefault="00DF1992" w:rsidP="00DF1992">
      <w:pPr>
        <w:pStyle w:val="Body1"/>
        <w:spacing w:line="240" w:lineRule="auto"/>
        <w:jc w:val="left"/>
        <w:rPr>
          <w:rFonts w:asciiTheme="minorHAnsi" w:hAnsiTheme="minorHAnsi"/>
          <w:color w:val="000000" w:themeColor="text1"/>
          <w:lang w:eastAsia="it-IT"/>
        </w:rPr>
      </w:pPr>
      <w:r>
        <w:rPr>
          <w:rFonts w:asciiTheme="minorHAnsi" w:hAnsiTheme="minorHAnsi"/>
          <w:color w:val="000000" w:themeColor="text1"/>
          <w:lang w:eastAsia="it-IT"/>
        </w:rPr>
        <w:t>8-2 Trubetskaya</w:t>
      </w:r>
      <w:r w:rsidRPr="00BD29F4">
        <w:rPr>
          <w:rFonts w:asciiTheme="minorHAnsi" w:hAnsiTheme="minorHAnsi"/>
          <w:color w:val="000000" w:themeColor="text1"/>
          <w:lang w:eastAsia="it-IT"/>
        </w:rPr>
        <w:t xml:space="preserve"> st.</w:t>
      </w:r>
      <w:r>
        <w:rPr>
          <w:rFonts w:asciiTheme="minorHAnsi" w:hAnsiTheme="minorHAnsi"/>
          <w:color w:val="000000" w:themeColor="text1"/>
          <w:lang w:eastAsia="it-IT"/>
        </w:rPr>
        <w:t>, Moscow, 119991, Russia</w:t>
      </w:r>
      <w:r>
        <w:rPr>
          <w:rFonts w:asciiTheme="minorHAnsi" w:hAnsiTheme="minorHAnsi"/>
          <w:color w:val="000000" w:themeColor="text1"/>
          <w:lang w:eastAsia="it-IT"/>
        </w:rPr>
        <w:br/>
        <w:t xml:space="preserve">Email: </w:t>
      </w:r>
      <w:r w:rsidRPr="00D75A80">
        <w:rPr>
          <w:rFonts w:asciiTheme="minorHAnsi" w:hAnsiTheme="minorHAnsi"/>
          <w:color w:val="000000" w:themeColor="text1"/>
          <w:lang w:eastAsia="it-IT"/>
        </w:rPr>
        <w:t>kvv.doc@gmail.com</w:t>
      </w:r>
      <w:r>
        <w:rPr>
          <w:rFonts w:asciiTheme="minorHAnsi" w:hAnsiTheme="minorHAnsi"/>
          <w:color w:val="000000" w:themeColor="text1"/>
          <w:lang w:eastAsia="it-IT"/>
        </w:rPr>
        <w:t xml:space="preserve"> Tel: +79163768808</w:t>
      </w:r>
    </w:p>
    <w:p w:rsidR="00DF1992" w:rsidRDefault="00DF1992" w:rsidP="00DF1992">
      <w:pPr>
        <w:pStyle w:val="Body1"/>
        <w:spacing w:line="240" w:lineRule="auto"/>
        <w:jc w:val="left"/>
        <w:rPr>
          <w:rFonts w:asciiTheme="minorHAnsi" w:hAnsiTheme="minorHAnsi"/>
        </w:rPr>
      </w:pPr>
    </w:p>
    <w:p w:rsidR="00DF1992" w:rsidRDefault="00DF1992" w:rsidP="00DF1992">
      <w:pPr>
        <w:pStyle w:val="Body1"/>
        <w:spacing w:line="240" w:lineRule="auto"/>
        <w:jc w:val="left"/>
        <w:rPr>
          <w:rFonts w:asciiTheme="minorHAnsi" w:hAnsiTheme="minorHAnsi"/>
          <w:vertAlign w:val="superscript"/>
        </w:rPr>
      </w:pPr>
      <w:r>
        <w:rPr>
          <w:rFonts w:asciiTheme="minorHAnsi" w:hAnsiTheme="minorHAnsi"/>
        </w:rPr>
        <w:t>Andrew B Gill</w:t>
      </w:r>
      <w:r>
        <w:rPr>
          <w:rFonts w:asciiTheme="minorHAnsi" w:hAnsiTheme="minorHAnsi"/>
          <w:vertAlign w:val="superscript"/>
        </w:rPr>
        <w:t>b</w:t>
      </w:r>
      <w:r>
        <w:rPr>
          <w:rFonts w:asciiTheme="minorHAnsi" w:hAnsiTheme="minorHAnsi"/>
        </w:rPr>
        <w:t>, PhD</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vertAlign w:val="superscript"/>
        </w:rPr>
        <w:t>b</w:t>
      </w:r>
      <w:r>
        <w:rPr>
          <w:rFonts w:asciiTheme="minorHAnsi" w:hAnsiTheme="minorHAnsi"/>
          <w:color w:val="000000" w:themeColor="text1"/>
        </w:rPr>
        <w:t>Department of Radiology</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rPr>
        <w:t>Addenbrooke’s Hospital</w:t>
      </w:r>
      <w:r>
        <w:rPr>
          <w:rFonts w:asciiTheme="minorHAnsi" w:hAnsiTheme="minorHAnsi"/>
          <w:color w:val="000000" w:themeColor="text1"/>
        </w:rPr>
        <w:br/>
        <w:t xml:space="preserve">Box 218, Hills Road, Cambridge, </w:t>
      </w:r>
      <w:r w:rsidRPr="008B161A">
        <w:rPr>
          <w:rFonts w:asciiTheme="minorHAnsi" w:hAnsiTheme="minorHAnsi"/>
          <w:color w:val="000000" w:themeColor="text1"/>
        </w:rPr>
        <w:t>CB2 0QQ</w:t>
      </w:r>
      <w:r>
        <w:rPr>
          <w:rFonts w:asciiTheme="minorHAnsi" w:hAnsiTheme="minorHAnsi"/>
          <w:color w:val="000000" w:themeColor="text1"/>
        </w:rPr>
        <w:t>, United Kingdom</w:t>
      </w:r>
    </w:p>
    <w:p w:rsidR="00DF1992" w:rsidRDefault="00DF1992" w:rsidP="00DF1992">
      <w:pPr>
        <w:pStyle w:val="Body1"/>
        <w:spacing w:line="240" w:lineRule="auto"/>
        <w:jc w:val="left"/>
        <w:rPr>
          <w:rFonts w:asciiTheme="minorHAnsi" w:hAnsiTheme="minorHAnsi"/>
        </w:rPr>
      </w:pPr>
      <w:r>
        <w:rPr>
          <w:rFonts w:asciiTheme="minorHAnsi" w:hAnsiTheme="minorHAnsi"/>
        </w:rPr>
        <w:t xml:space="preserve">Email: </w:t>
      </w:r>
      <w:r w:rsidRPr="00D75A80">
        <w:rPr>
          <w:rFonts w:asciiTheme="minorHAnsi" w:hAnsiTheme="minorHAnsi"/>
        </w:rPr>
        <w:t>abg28@cam.ac.uk</w:t>
      </w:r>
      <w:r>
        <w:rPr>
          <w:rFonts w:asciiTheme="minorHAnsi" w:hAnsiTheme="minorHAnsi"/>
        </w:rPr>
        <w:t xml:space="preserve"> </w:t>
      </w:r>
      <w:r>
        <w:rPr>
          <w:rFonts w:asciiTheme="minorHAnsi" w:hAnsiTheme="minorHAnsi"/>
          <w:color w:val="000000" w:themeColor="text1"/>
        </w:rPr>
        <w:t xml:space="preserve">Tel: </w:t>
      </w:r>
      <w:r w:rsidRPr="00161C70">
        <w:rPr>
          <w:rFonts w:asciiTheme="minorHAnsi" w:hAnsiTheme="minorHAnsi"/>
          <w:color w:val="000000" w:themeColor="text1"/>
        </w:rPr>
        <w:t>01223 746438</w:t>
      </w:r>
    </w:p>
    <w:p w:rsidR="00DF1992" w:rsidRDefault="00DF1992" w:rsidP="00DF1992">
      <w:pPr>
        <w:pStyle w:val="Body1"/>
        <w:spacing w:line="240" w:lineRule="auto"/>
        <w:jc w:val="left"/>
        <w:rPr>
          <w:rFonts w:asciiTheme="minorHAnsi" w:hAnsiTheme="minorHAnsi"/>
        </w:rPr>
      </w:pPr>
    </w:p>
    <w:p w:rsidR="00DF1992" w:rsidRDefault="00DF1992" w:rsidP="00DF1992">
      <w:pPr>
        <w:pStyle w:val="Body1"/>
        <w:spacing w:line="240" w:lineRule="auto"/>
        <w:jc w:val="left"/>
        <w:rPr>
          <w:rFonts w:asciiTheme="minorHAnsi" w:hAnsiTheme="minorHAnsi"/>
        </w:rPr>
      </w:pPr>
      <w:r>
        <w:rPr>
          <w:rFonts w:asciiTheme="minorHAnsi" w:hAnsiTheme="minorHAnsi"/>
        </w:rPr>
        <w:t>Tristan Barrett</w:t>
      </w:r>
      <w:r>
        <w:rPr>
          <w:rFonts w:asciiTheme="minorHAnsi" w:hAnsiTheme="minorHAnsi"/>
          <w:vertAlign w:val="superscript"/>
        </w:rPr>
        <w:t>a,b,d</w:t>
      </w:r>
      <w:r>
        <w:rPr>
          <w:rFonts w:asciiTheme="minorHAnsi" w:hAnsiTheme="minorHAnsi"/>
        </w:rPr>
        <w:t>, MB BS, MD</w:t>
      </w:r>
    </w:p>
    <w:p w:rsidR="00DF1992" w:rsidRDefault="00DF1992" w:rsidP="00DF1992">
      <w:pPr>
        <w:pStyle w:val="Body1"/>
        <w:spacing w:line="240" w:lineRule="auto"/>
        <w:jc w:val="left"/>
        <w:rPr>
          <w:rFonts w:asciiTheme="minorHAnsi" w:hAnsiTheme="minorHAnsi"/>
          <w:iCs/>
        </w:rPr>
      </w:pPr>
      <w:r>
        <w:rPr>
          <w:rFonts w:asciiTheme="minorHAnsi" w:hAnsiTheme="minorHAnsi"/>
          <w:iCs/>
          <w:vertAlign w:val="superscript"/>
        </w:rPr>
        <w:t>a</w:t>
      </w:r>
      <w:r w:rsidRPr="00D049A1">
        <w:rPr>
          <w:rFonts w:asciiTheme="minorHAnsi" w:hAnsiTheme="minorHAnsi"/>
          <w:iCs/>
        </w:rPr>
        <w:t>International</w:t>
      </w:r>
      <w:r>
        <w:rPr>
          <w:rFonts w:asciiTheme="minorHAnsi" w:hAnsiTheme="minorHAnsi"/>
          <w:iCs/>
        </w:rPr>
        <w:t xml:space="preserve"> School ‘Medicine of the Future’</w:t>
      </w:r>
    </w:p>
    <w:p w:rsidR="00DF1992" w:rsidRDefault="00DF1992" w:rsidP="00DF1992">
      <w:pPr>
        <w:pStyle w:val="Body1"/>
        <w:spacing w:line="240" w:lineRule="auto"/>
        <w:jc w:val="left"/>
        <w:rPr>
          <w:rFonts w:asciiTheme="minorHAnsi" w:hAnsiTheme="minorHAnsi"/>
          <w:iCs/>
        </w:rPr>
      </w:pPr>
      <w:r>
        <w:rPr>
          <w:rFonts w:asciiTheme="minorHAnsi" w:hAnsiTheme="minorHAnsi"/>
          <w:iCs/>
        </w:rPr>
        <w:t>Sechenov First Moscow State Medical University</w:t>
      </w:r>
    </w:p>
    <w:p w:rsidR="00DF1992" w:rsidRDefault="00DF1992" w:rsidP="00DF1992">
      <w:pPr>
        <w:pStyle w:val="Body1"/>
        <w:spacing w:line="240" w:lineRule="auto"/>
        <w:jc w:val="left"/>
        <w:rPr>
          <w:rFonts w:asciiTheme="minorHAnsi" w:hAnsiTheme="minorHAnsi"/>
          <w:color w:val="000000" w:themeColor="text1"/>
          <w:lang w:eastAsia="it-IT"/>
        </w:rPr>
      </w:pPr>
      <w:r>
        <w:rPr>
          <w:rFonts w:asciiTheme="minorHAnsi" w:hAnsiTheme="minorHAnsi"/>
          <w:color w:val="000000" w:themeColor="text1"/>
          <w:lang w:eastAsia="it-IT"/>
        </w:rPr>
        <w:t>8-2 Trubetskaya</w:t>
      </w:r>
      <w:r w:rsidRPr="00BD29F4">
        <w:rPr>
          <w:rFonts w:asciiTheme="minorHAnsi" w:hAnsiTheme="minorHAnsi"/>
          <w:color w:val="000000" w:themeColor="text1"/>
          <w:lang w:eastAsia="it-IT"/>
        </w:rPr>
        <w:t xml:space="preserve"> st.</w:t>
      </w:r>
      <w:r>
        <w:rPr>
          <w:rFonts w:asciiTheme="minorHAnsi" w:hAnsiTheme="minorHAnsi"/>
          <w:color w:val="000000" w:themeColor="text1"/>
          <w:lang w:eastAsia="it-IT"/>
        </w:rPr>
        <w:t>, Moscow, 119991, Russia</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vertAlign w:val="superscript"/>
        </w:rPr>
        <w:t>b</w:t>
      </w:r>
      <w:r>
        <w:rPr>
          <w:rFonts w:asciiTheme="minorHAnsi" w:hAnsiTheme="minorHAnsi"/>
          <w:color w:val="000000" w:themeColor="text1"/>
        </w:rPr>
        <w:t>Department of Radiology</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rPr>
        <w:t>Addenbrooke’s Hospital</w:t>
      </w:r>
      <w:r>
        <w:rPr>
          <w:rFonts w:asciiTheme="minorHAnsi" w:hAnsiTheme="minorHAnsi"/>
          <w:color w:val="000000" w:themeColor="text1"/>
        </w:rPr>
        <w:br/>
        <w:t xml:space="preserve">Box 218, Hills Road, Cambridge, </w:t>
      </w:r>
      <w:r w:rsidRPr="008B161A">
        <w:rPr>
          <w:rFonts w:asciiTheme="minorHAnsi" w:hAnsiTheme="minorHAnsi"/>
          <w:color w:val="000000" w:themeColor="text1"/>
        </w:rPr>
        <w:t>CB2 0QQ</w:t>
      </w:r>
      <w:r>
        <w:rPr>
          <w:rFonts w:asciiTheme="minorHAnsi" w:hAnsiTheme="minorHAnsi"/>
          <w:color w:val="000000" w:themeColor="text1"/>
        </w:rPr>
        <w:t>, United Kingdom</w:t>
      </w:r>
    </w:p>
    <w:p w:rsidR="00DF1992" w:rsidRDefault="00DF1992" w:rsidP="00DF1992">
      <w:pPr>
        <w:pStyle w:val="Body1"/>
        <w:spacing w:line="240" w:lineRule="auto"/>
        <w:jc w:val="left"/>
        <w:rPr>
          <w:rFonts w:asciiTheme="minorHAnsi" w:hAnsiTheme="minorHAnsi"/>
          <w:iCs/>
        </w:rPr>
      </w:pPr>
      <w:r>
        <w:rPr>
          <w:rFonts w:asciiTheme="minorHAnsi" w:hAnsiTheme="minorHAnsi"/>
          <w:iCs/>
          <w:vertAlign w:val="superscript"/>
        </w:rPr>
        <w:t>d</w:t>
      </w:r>
      <w:r w:rsidRPr="00D75A80">
        <w:rPr>
          <w:rFonts w:asciiTheme="minorHAnsi" w:hAnsiTheme="minorHAnsi"/>
          <w:iCs/>
        </w:rPr>
        <w:t>CamPARI</w:t>
      </w:r>
      <w:r w:rsidRPr="001D3FC0">
        <w:rPr>
          <w:rFonts w:asciiTheme="minorHAnsi" w:hAnsiTheme="minorHAnsi"/>
          <w:iCs/>
        </w:rPr>
        <w:t xml:space="preserve"> Clinic</w:t>
      </w:r>
      <w:r>
        <w:rPr>
          <w:rFonts w:asciiTheme="minorHAnsi" w:hAnsiTheme="minorHAnsi"/>
          <w:iCs/>
        </w:rPr>
        <w:br/>
      </w:r>
      <w:r w:rsidRPr="001D3FC0">
        <w:rPr>
          <w:rFonts w:asciiTheme="minorHAnsi" w:hAnsiTheme="minorHAnsi"/>
          <w:iCs/>
        </w:rPr>
        <w:t>Addenbrooke’s Hospital and University of Cambridge</w:t>
      </w:r>
    </w:p>
    <w:p w:rsidR="00DF1992" w:rsidRDefault="00DF1992" w:rsidP="00DF1992">
      <w:pPr>
        <w:pStyle w:val="Body1"/>
        <w:spacing w:line="240" w:lineRule="auto"/>
        <w:jc w:val="left"/>
        <w:rPr>
          <w:rFonts w:asciiTheme="minorHAnsi" w:hAnsiTheme="minorHAnsi"/>
          <w:color w:val="000000" w:themeColor="text1"/>
        </w:rPr>
      </w:pPr>
      <w:r w:rsidRPr="008B161A">
        <w:rPr>
          <w:rFonts w:asciiTheme="minorHAnsi" w:hAnsiTheme="minorHAnsi"/>
          <w:color w:val="000000" w:themeColor="text1"/>
        </w:rPr>
        <w:t>Cambridge Biomedical Campus</w:t>
      </w:r>
      <w:r>
        <w:rPr>
          <w:rFonts w:asciiTheme="minorHAnsi" w:hAnsiTheme="minorHAnsi"/>
          <w:color w:val="000000" w:themeColor="text1"/>
        </w:rPr>
        <w:t xml:space="preserve">, Cambridge, </w:t>
      </w:r>
      <w:r w:rsidRPr="008B161A">
        <w:rPr>
          <w:rFonts w:asciiTheme="minorHAnsi" w:hAnsiTheme="minorHAnsi"/>
          <w:color w:val="000000" w:themeColor="text1"/>
        </w:rPr>
        <w:t>CB2 0QQ</w:t>
      </w:r>
      <w:r>
        <w:rPr>
          <w:rFonts w:asciiTheme="minorHAnsi" w:hAnsiTheme="minorHAnsi"/>
          <w:color w:val="000000" w:themeColor="text1"/>
        </w:rPr>
        <w:t>, United Kingdom</w:t>
      </w:r>
    </w:p>
    <w:p w:rsidR="00DF1992" w:rsidRDefault="00DF1992" w:rsidP="00DF1992">
      <w:pPr>
        <w:pStyle w:val="Body1"/>
        <w:spacing w:line="240" w:lineRule="auto"/>
        <w:jc w:val="left"/>
        <w:rPr>
          <w:rFonts w:asciiTheme="minorHAnsi" w:hAnsiTheme="minorHAnsi"/>
          <w:color w:val="000000" w:themeColor="text1"/>
        </w:rPr>
      </w:pPr>
      <w:r>
        <w:rPr>
          <w:rFonts w:asciiTheme="minorHAnsi" w:hAnsiTheme="minorHAnsi"/>
          <w:color w:val="000000" w:themeColor="text1"/>
        </w:rPr>
        <w:lastRenderedPageBreak/>
        <w:t>E</w:t>
      </w:r>
      <w:r>
        <w:rPr>
          <w:rFonts w:asciiTheme="minorHAnsi" w:hAnsiTheme="minorHAnsi"/>
          <w:color w:val="000000" w:themeColor="text1"/>
        </w:rPr>
        <w:t>m</w:t>
      </w:r>
      <w:r>
        <w:rPr>
          <w:rFonts w:asciiTheme="minorHAnsi" w:hAnsiTheme="minorHAnsi"/>
          <w:color w:val="000000" w:themeColor="text1"/>
        </w:rPr>
        <w:t xml:space="preserve">ail: </w:t>
      </w:r>
      <w:r w:rsidRPr="00D75A80">
        <w:rPr>
          <w:rFonts w:asciiTheme="minorHAnsi" w:hAnsiTheme="minorHAnsi"/>
          <w:color w:val="000000" w:themeColor="text1"/>
        </w:rPr>
        <w:t>tb507@medschl.cam.ac.uk</w:t>
      </w:r>
      <w:r>
        <w:rPr>
          <w:rFonts w:asciiTheme="minorHAnsi" w:hAnsiTheme="minorHAnsi"/>
          <w:color w:val="000000" w:themeColor="text1"/>
        </w:rPr>
        <w:t xml:space="preserve"> Tel: </w:t>
      </w:r>
      <w:r w:rsidRPr="00161C70">
        <w:rPr>
          <w:rFonts w:asciiTheme="minorHAnsi" w:hAnsiTheme="minorHAnsi"/>
          <w:color w:val="000000" w:themeColor="text1"/>
        </w:rPr>
        <w:t>01223 746438</w:t>
      </w:r>
    </w:p>
    <w:p w:rsidR="00DF1992" w:rsidRDefault="00DF1992" w:rsidP="00DF1992">
      <w:pPr>
        <w:pStyle w:val="Body1"/>
        <w:spacing w:line="240" w:lineRule="auto"/>
        <w:jc w:val="left"/>
        <w:rPr>
          <w:rFonts w:asciiTheme="minorHAnsi" w:hAnsiTheme="minorHAnsi"/>
          <w:color w:val="000000" w:themeColor="text1"/>
        </w:rPr>
      </w:pPr>
    </w:p>
    <w:p w:rsidR="00DF1992" w:rsidRDefault="00DF1992" w:rsidP="00DF1992">
      <w:pPr>
        <w:pStyle w:val="Body1"/>
        <w:spacing w:line="240" w:lineRule="auto"/>
        <w:jc w:val="left"/>
        <w:rPr>
          <w:rFonts w:asciiTheme="minorHAnsi" w:hAnsiTheme="minorHAnsi" w:cs="Arial"/>
          <w:color w:val="222222"/>
          <w:shd w:val="clear" w:color="auto" w:fill="FFFFFF"/>
          <w:lang w:val="en-GB"/>
        </w:rPr>
      </w:pPr>
      <w:r w:rsidRPr="00C272F4">
        <w:rPr>
          <w:rFonts w:asciiTheme="minorHAnsi" w:hAnsiTheme="minorHAnsi"/>
          <w:b/>
          <w:lang w:val="en-GB"/>
        </w:rPr>
        <w:t>Keywords:</w:t>
      </w:r>
      <w:r>
        <w:rPr>
          <w:rFonts w:asciiTheme="minorHAnsi" w:hAnsiTheme="minorHAnsi"/>
          <w:lang w:val="en-GB"/>
        </w:rPr>
        <w:t xml:space="preserve"> </w:t>
      </w:r>
      <w:r w:rsidRPr="00D75A80">
        <w:rPr>
          <w:rFonts w:asciiTheme="minorHAnsi" w:hAnsiTheme="minorHAnsi" w:cs="Arial"/>
          <w:color w:val="222222"/>
          <w:shd w:val="clear" w:color="auto" w:fill="FFFFFF"/>
          <w:lang w:val="en-GB"/>
        </w:rPr>
        <w:t>MRI bladder, patient preparation, diagnostic qualit</w:t>
      </w:r>
      <w:r>
        <w:rPr>
          <w:rFonts w:asciiTheme="minorHAnsi" w:hAnsiTheme="minorHAnsi" w:cs="Arial"/>
          <w:color w:val="222222"/>
          <w:shd w:val="clear" w:color="auto" w:fill="FFFFFF"/>
          <w:lang w:val="en-GB"/>
        </w:rPr>
        <w:t>y, bladder distention, artefact</w:t>
      </w:r>
    </w:p>
    <w:p w:rsidR="00DF1992" w:rsidRDefault="00DF1992" w:rsidP="00DF1992">
      <w:pPr>
        <w:pStyle w:val="Body1"/>
        <w:spacing w:line="240" w:lineRule="auto"/>
        <w:jc w:val="left"/>
        <w:rPr>
          <w:rFonts w:asciiTheme="minorHAnsi" w:hAnsiTheme="minorHAnsi" w:cs="Arial"/>
          <w:color w:val="222222"/>
          <w:shd w:val="clear" w:color="auto" w:fill="FFFFFF"/>
          <w:lang w:val="en-GB"/>
        </w:rPr>
      </w:pPr>
      <w:r w:rsidRPr="00C272F4">
        <w:rPr>
          <w:rFonts w:asciiTheme="minorHAnsi" w:hAnsiTheme="minorHAnsi" w:cs="Arial"/>
          <w:b/>
          <w:color w:val="222222"/>
          <w:shd w:val="clear" w:color="auto" w:fill="FFFFFF"/>
          <w:lang w:val="en-GB"/>
        </w:rPr>
        <w:t>Funding:</w:t>
      </w:r>
      <w:r>
        <w:rPr>
          <w:rFonts w:asciiTheme="minorHAnsi" w:hAnsiTheme="minorHAnsi" w:cs="Arial"/>
          <w:color w:val="222222"/>
          <w:shd w:val="clear" w:color="auto" w:fill="FFFFFF"/>
          <w:lang w:val="en-GB"/>
        </w:rPr>
        <w:t xml:space="preserve"> </w:t>
      </w:r>
      <w:r w:rsidRPr="00D75A80">
        <w:rPr>
          <w:rFonts w:asciiTheme="minorHAnsi" w:hAnsiTheme="minorHAnsi" w:cs="Arial"/>
          <w:color w:val="222222"/>
          <w:shd w:val="clear" w:color="auto" w:fill="FFFFFF"/>
          <w:lang w:val="en-GB"/>
        </w:rPr>
        <w:t>The authors acknowledge grant support from the Royal College of Radiologists UK and research support from Cancer Research UK, National Institute of Health Research Cambridge Biomedical Research Centre, Cancer Research UK and the Engineering and Physical Sciences Research Council Imaging Centre in Cambridge and Manchester and the Cambridge Experimental Cancer Medicine Centre.</w:t>
      </w:r>
    </w:p>
    <w:p w:rsidR="00DF1992" w:rsidRPr="00285356" w:rsidRDefault="00DF1992" w:rsidP="00DF1992">
      <w:pPr>
        <w:spacing w:line="480" w:lineRule="auto"/>
        <w:rPr>
          <w:b/>
          <w:color w:val="000000" w:themeColor="text1"/>
          <w:sz w:val="24"/>
          <w:szCs w:val="24"/>
          <w:lang w:val="en-US"/>
        </w:rPr>
      </w:pPr>
      <w:r w:rsidRPr="00285356">
        <w:rPr>
          <w:b/>
          <w:color w:val="000000" w:themeColor="text1"/>
          <w:sz w:val="24"/>
          <w:szCs w:val="24"/>
          <w:lang w:val="en-US"/>
        </w:rPr>
        <w:t>Abstract</w:t>
      </w:r>
    </w:p>
    <w:p w:rsidR="00DF1992" w:rsidRPr="00FC5BEC" w:rsidRDefault="00DF1992" w:rsidP="00DF1992">
      <w:pPr>
        <w:rPr>
          <w:sz w:val="24"/>
          <w:szCs w:val="24"/>
          <w:lang w:val="en-US"/>
        </w:rPr>
      </w:pPr>
      <w:r>
        <w:rPr>
          <w:b/>
          <w:sz w:val="24"/>
          <w:szCs w:val="24"/>
          <w:lang w:val="en-US"/>
        </w:rPr>
        <w:t xml:space="preserve">Purpose: </w:t>
      </w:r>
      <w:r>
        <w:rPr>
          <w:sz w:val="24"/>
          <w:szCs w:val="24"/>
          <w:lang w:val="en-US"/>
        </w:rPr>
        <w:t xml:space="preserve">To evaluate the effect of drinking and voiding preparations on bladder distention (BD) in normal volunteers (NVs) and patients to </w:t>
      </w:r>
      <w:r w:rsidRPr="004B0A84">
        <w:rPr>
          <w:sz w:val="24"/>
          <w:szCs w:val="24"/>
          <w:lang w:val="en-US"/>
        </w:rPr>
        <w:t xml:space="preserve">establish an evidence-based preparation routine prior to </w:t>
      </w:r>
      <w:r>
        <w:rPr>
          <w:sz w:val="24"/>
          <w:szCs w:val="24"/>
          <w:lang w:val="en-US"/>
        </w:rPr>
        <w:t xml:space="preserve">diagnostic </w:t>
      </w:r>
      <w:r w:rsidRPr="004B0A84">
        <w:rPr>
          <w:sz w:val="24"/>
          <w:szCs w:val="24"/>
          <w:lang w:val="en-US"/>
        </w:rPr>
        <w:t>bladder MRI</w:t>
      </w:r>
      <w:r>
        <w:rPr>
          <w:sz w:val="24"/>
          <w:szCs w:val="24"/>
          <w:lang w:val="en-US"/>
        </w:rPr>
        <w:t>.</w:t>
      </w:r>
    </w:p>
    <w:p w:rsidR="00DF1992" w:rsidRPr="00E2519C" w:rsidRDefault="00DF1992" w:rsidP="00DF1992">
      <w:pPr>
        <w:rPr>
          <w:sz w:val="24"/>
          <w:szCs w:val="24"/>
          <w:lang w:val="en-US"/>
        </w:rPr>
      </w:pPr>
      <w:r>
        <w:rPr>
          <w:b/>
          <w:sz w:val="24"/>
          <w:szCs w:val="24"/>
          <w:lang w:val="en-US"/>
        </w:rPr>
        <w:t xml:space="preserve">Methods: </w:t>
      </w:r>
      <w:r w:rsidRPr="00D11312">
        <w:rPr>
          <w:sz w:val="24"/>
          <w:szCs w:val="24"/>
          <w:lang w:val="en-US"/>
        </w:rPr>
        <w:t>This prospective study included 15 male NVs, undergoing 3T-MRI on four separate days, after completing each of the following preparations: preparation</w:t>
      </w:r>
      <w:r>
        <w:rPr>
          <w:sz w:val="24"/>
          <w:szCs w:val="24"/>
          <w:lang w:val="en-US"/>
        </w:rPr>
        <w:t>s</w:t>
      </w:r>
      <w:r w:rsidRPr="00D11312">
        <w:rPr>
          <w:sz w:val="24"/>
          <w:szCs w:val="24"/>
          <w:lang w:val="en-US"/>
        </w:rPr>
        <w:t xml:space="preserve"> 1</w:t>
      </w:r>
      <w:r>
        <w:rPr>
          <w:sz w:val="24"/>
          <w:szCs w:val="24"/>
          <w:lang w:val="en-US"/>
        </w:rPr>
        <w:t xml:space="preserve"> and 2</w:t>
      </w:r>
      <w:r w:rsidRPr="00D11312">
        <w:rPr>
          <w:sz w:val="24"/>
          <w:szCs w:val="24"/>
          <w:lang w:val="en-US"/>
        </w:rPr>
        <w:t xml:space="preserve"> involved passing urine </w:t>
      </w:r>
      <w:r>
        <w:rPr>
          <w:sz w:val="24"/>
          <w:szCs w:val="24"/>
          <w:lang w:val="en-US"/>
        </w:rPr>
        <w:t>2 and 1 hour</w:t>
      </w:r>
      <w:r w:rsidRPr="00D11312">
        <w:rPr>
          <w:sz w:val="24"/>
          <w:szCs w:val="24"/>
          <w:lang w:val="en-US"/>
        </w:rPr>
        <w:t xml:space="preserve"> prior to the scan,</w:t>
      </w:r>
      <w:r>
        <w:rPr>
          <w:sz w:val="24"/>
          <w:szCs w:val="24"/>
          <w:lang w:val="en-US"/>
        </w:rPr>
        <w:t xml:space="preserve"> respectively. </w:t>
      </w:r>
      <w:r w:rsidRPr="00D11312">
        <w:rPr>
          <w:sz w:val="24"/>
          <w:szCs w:val="24"/>
          <w:lang w:val="en-US"/>
        </w:rPr>
        <w:t>Preparations 3 and 4 required passing urine 1 hour prior to scanning and drinking 250 mL and 500 mL water, respectively.</w:t>
      </w:r>
      <w:r>
        <w:rPr>
          <w:sz w:val="24"/>
          <w:szCs w:val="24"/>
          <w:lang w:val="en-US"/>
        </w:rPr>
        <w:t xml:space="preserve"> In an additional questionnaire study</w:t>
      </w:r>
      <w:r w:rsidRPr="00D11312">
        <w:rPr>
          <w:sz w:val="24"/>
          <w:szCs w:val="24"/>
          <w:lang w:val="en-US"/>
        </w:rPr>
        <w:t>, 94 patients were divided into four groups to match the NV</w:t>
      </w:r>
      <w:r>
        <w:rPr>
          <w:sz w:val="24"/>
          <w:szCs w:val="24"/>
          <w:lang w:val="en-US"/>
        </w:rPr>
        <w:t>s</w:t>
      </w:r>
      <w:r w:rsidRPr="00D11312">
        <w:rPr>
          <w:sz w:val="24"/>
          <w:szCs w:val="24"/>
          <w:lang w:val="en-US"/>
        </w:rPr>
        <w:t xml:space="preserve"> study. BD was evaluated using a five-point Likert scale; 3 = optimal distention, 1 = collapsed, 5 = over-distention including motion. </w:t>
      </w:r>
      <w:r w:rsidRPr="00E2519C">
        <w:rPr>
          <w:sz w:val="24"/>
          <w:szCs w:val="24"/>
          <w:lang w:val="en-US"/>
        </w:rPr>
        <w:t>Af</w:t>
      </w:r>
      <w:r>
        <w:rPr>
          <w:sz w:val="24"/>
          <w:szCs w:val="24"/>
          <w:lang w:val="en-US"/>
        </w:rPr>
        <w:t>ter initial scoring, wherein</w:t>
      </w:r>
      <w:r w:rsidRPr="00E2519C">
        <w:rPr>
          <w:sz w:val="24"/>
          <w:szCs w:val="24"/>
          <w:lang w:val="en-US"/>
        </w:rPr>
        <w:t xml:space="preserve"> 1=5=1, 2=4=2, 3=3; sub-analysis of the best preparation</w:t>
      </w:r>
      <w:r>
        <w:rPr>
          <w:sz w:val="24"/>
          <w:szCs w:val="24"/>
          <w:lang w:val="en-US"/>
        </w:rPr>
        <w:t xml:space="preserve">s was performed by time of day; for </w:t>
      </w:r>
      <w:r w:rsidRPr="00E2519C">
        <w:rPr>
          <w:sz w:val="24"/>
          <w:szCs w:val="24"/>
          <w:lang w:val="en-US"/>
        </w:rPr>
        <w:t>correlation analysis, Spearman’s test was used.</w:t>
      </w:r>
    </w:p>
    <w:p w:rsidR="00DF1992" w:rsidRPr="00E2519C" w:rsidRDefault="00DF1992" w:rsidP="00DF1992">
      <w:pPr>
        <w:rPr>
          <w:sz w:val="24"/>
          <w:szCs w:val="24"/>
          <w:lang w:val="en-US"/>
        </w:rPr>
      </w:pPr>
      <w:r>
        <w:rPr>
          <w:b/>
          <w:sz w:val="24"/>
          <w:szCs w:val="24"/>
          <w:lang w:val="en-US"/>
        </w:rPr>
        <w:t xml:space="preserve">Results: </w:t>
      </w:r>
      <w:r>
        <w:rPr>
          <w:sz w:val="24"/>
          <w:szCs w:val="24"/>
          <w:lang w:val="en-US"/>
        </w:rPr>
        <w:t>In NVs, preparation 1 led to the highest average BD score (2.4) in late day and showed the overall strongest positive correlation with BD score (r</w:t>
      </w:r>
      <w:r>
        <w:rPr>
          <w:sz w:val="24"/>
          <w:szCs w:val="24"/>
          <w:vertAlign w:val="subscript"/>
          <w:lang w:val="en-US"/>
        </w:rPr>
        <w:t>s</w:t>
      </w:r>
      <w:r w:rsidRPr="006E5AD6">
        <w:rPr>
          <w:sz w:val="24"/>
          <w:szCs w:val="24"/>
          <w:vertAlign w:val="subscript"/>
          <w:lang w:val="en-US"/>
        </w:rPr>
        <w:t xml:space="preserve"> </w:t>
      </w:r>
      <w:r>
        <w:rPr>
          <w:sz w:val="24"/>
          <w:szCs w:val="24"/>
          <w:lang w:val="en-US"/>
        </w:rPr>
        <w:t>=</w:t>
      </w:r>
      <w:r w:rsidRPr="006E5AD6">
        <w:rPr>
          <w:sz w:val="24"/>
          <w:szCs w:val="24"/>
          <w:lang w:val="en-US"/>
        </w:rPr>
        <w:t xml:space="preserve"> </w:t>
      </w:r>
      <w:r>
        <w:rPr>
          <w:sz w:val="24"/>
          <w:szCs w:val="24"/>
          <w:lang w:val="en-US"/>
        </w:rPr>
        <w:t xml:space="preserve">0.470; </w:t>
      </w:r>
      <w:r>
        <w:rPr>
          <w:i/>
          <w:sz w:val="24"/>
          <w:szCs w:val="24"/>
          <w:lang w:val="en-US"/>
        </w:rPr>
        <w:t>P</w:t>
      </w:r>
      <w:r>
        <w:rPr>
          <w:sz w:val="24"/>
          <w:szCs w:val="24"/>
          <w:lang w:val="en-US"/>
        </w:rPr>
        <w:t xml:space="preserve"> &lt; 0.001). In early morning, preparation 3 achieved the best BD score (1.8), however, the correlation was non-significant (r</w:t>
      </w:r>
      <w:r>
        <w:rPr>
          <w:sz w:val="24"/>
          <w:szCs w:val="24"/>
          <w:vertAlign w:val="subscript"/>
          <w:lang w:val="en-US"/>
        </w:rPr>
        <w:t xml:space="preserve">s </w:t>
      </w:r>
      <w:r>
        <w:rPr>
          <w:sz w:val="24"/>
          <w:szCs w:val="24"/>
          <w:lang w:val="en-US"/>
        </w:rPr>
        <w:t xml:space="preserve">= 0.461; </w:t>
      </w:r>
      <w:r>
        <w:rPr>
          <w:i/>
          <w:sz w:val="24"/>
          <w:szCs w:val="24"/>
          <w:lang w:val="en-US"/>
        </w:rPr>
        <w:t>P</w:t>
      </w:r>
      <w:r w:rsidRPr="00D2138F">
        <w:rPr>
          <w:sz w:val="24"/>
          <w:szCs w:val="24"/>
          <w:lang w:val="en-US"/>
        </w:rPr>
        <w:t xml:space="preserve"> =</w:t>
      </w:r>
      <w:r>
        <w:rPr>
          <w:sz w:val="24"/>
          <w:szCs w:val="24"/>
          <w:lang w:val="en-US"/>
        </w:rPr>
        <w:t xml:space="preserve"> </w:t>
      </w:r>
      <w:r w:rsidRPr="00D2138F">
        <w:rPr>
          <w:sz w:val="24"/>
          <w:szCs w:val="24"/>
          <w:lang w:val="en-US"/>
        </w:rPr>
        <w:t>0.06</w:t>
      </w:r>
      <w:r>
        <w:rPr>
          <w:sz w:val="24"/>
          <w:szCs w:val="24"/>
          <w:lang w:val="en-US"/>
        </w:rPr>
        <w:t xml:space="preserve">). No significant effects of any preparations on BD score were observed in patients. </w:t>
      </w:r>
    </w:p>
    <w:p w:rsidR="00DF1992" w:rsidRPr="00DF1992" w:rsidRDefault="00DF1992" w:rsidP="00DF1992">
      <w:pPr>
        <w:rPr>
          <w:sz w:val="24"/>
          <w:szCs w:val="24"/>
          <w:lang w:val="en-US"/>
        </w:rPr>
      </w:pPr>
      <w:r>
        <w:rPr>
          <w:b/>
          <w:sz w:val="24"/>
          <w:szCs w:val="24"/>
          <w:lang w:val="en-US"/>
        </w:rPr>
        <w:t xml:space="preserve">Conclusions: </w:t>
      </w:r>
      <w:r w:rsidRPr="00E2519C">
        <w:rPr>
          <w:sz w:val="24"/>
          <w:szCs w:val="24"/>
          <w:lang w:val="en-US"/>
        </w:rPr>
        <w:t xml:space="preserve">Voiding with no drinking 2 hours prior to MRI achieves the best </w:t>
      </w:r>
      <w:r>
        <w:rPr>
          <w:sz w:val="24"/>
          <w:szCs w:val="24"/>
          <w:lang w:val="en-US"/>
        </w:rPr>
        <w:t>BD score. However, e</w:t>
      </w:r>
      <w:r w:rsidRPr="000F790E">
        <w:rPr>
          <w:sz w:val="24"/>
          <w:szCs w:val="24"/>
          <w:lang w:val="en-US"/>
        </w:rPr>
        <w:t xml:space="preserve">xtra fluid may be necessary to </w:t>
      </w:r>
      <w:r>
        <w:rPr>
          <w:sz w:val="24"/>
          <w:szCs w:val="24"/>
          <w:lang w:val="en-US"/>
        </w:rPr>
        <w:t>achieve optimal BD in</w:t>
      </w:r>
      <w:r w:rsidRPr="000F790E">
        <w:rPr>
          <w:sz w:val="24"/>
          <w:szCs w:val="24"/>
          <w:lang w:val="en-US"/>
        </w:rPr>
        <w:t xml:space="preserve"> </w:t>
      </w:r>
      <w:r>
        <w:rPr>
          <w:sz w:val="24"/>
          <w:szCs w:val="24"/>
          <w:lang w:val="en-US"/>
        </w:rPr>
        <w:t>morning scans.</w:t>
      </w:r>
    </w:p>
    <w:p w:rsidR="00F61815" w:rsidRPr="00E41673" w:rsidRDefault="00F61815" w:rsidP="00CC1043">
      <w:pPr>
        <w:spacing w:line="480" w:lineRule="auto"/>
        <w:rPr>
          <w:b/>
          <w:sz w:val="24"/>
          <w:szCs w:val="24"/>
          <w:lang w:val="en-US"/>
        </w:rPr>
      </w:pPr>
      <w:r>
        <w:rPr>
          <w:b/>
          <w:sz w:val="24"/>
          <w:szCs w:val="24"/>
        </w:rPr>
        <w:t>Introduction</w:t>
      </w:r>
    </w:p>
    <w:p w:rsidR="00F61815" w:rsidRDefault="00F61815" w:rsidP="008D2057">
      <w:pPr>
        <w:spacing w:line="480" w:lineRule="auto"/>
        <w:ind w:firstLine="708"/>
        <w:rPr>
          <w:sz w:val="24"/>
          <w:szCs w:val="24"/>
          <w:lang w:val="en-US"/>
        </w:rPr>
      </w:pPr>
      <w:r>
        <w:rPr>
          <w:sz w:val="24"/>
          <w:szCs w:val="24"/>
          <w:lang w:val="en-US"/>
        </w:rPr>
        <w:t>Bladder cancer is the ninth most common cancer worldwide, with three-quarters of the total burden occurring in men</w:t>
      </w:r>
      <w:r w:rsidR="00807A27">
        <w:rPr>
          <w:sz w:val="24"/>
          <w:szCs w:val="24"/>
          <w:lang w:val="en-US"/>
        </w:rPr>
        <w:t xml:space="preserve"> [1]</w:t>
      </w:r>
      <w:r>
        <w:rPr>
          <w:sz w:val="24"/>
          <w:szCs w:val="24"/>
          <w:lang w:val="en-US"/>
        </w:rPr>
        <w:t>. Cystoscopy is typically performed to achieve both diagnosis and staging via deep biopsy of suspicious lesions to additionally sample the underlying muscle layer. However, clinical staging is reported to be inaccurate in</w:t>
      </w:r>
      <w:r w:rsidRPr="008B4685">
        <w:rPr>
          <w:sz w:val="24"/>
          <w:szCs w:val="24"/>
          <w:lang w:val="en-US"/>
        </w:rPr>
        <w:t xml:space="preserve"> 30</w:t>
      </w:r>
      <w:r w:rsidRPr="002B0960">
        <w:rPr>
          <w:sz w:val="24"/>
          <w:szCs w:val="24"/>
        </w:rPr>
        <w:t>–</w:t>
      </w:r>
      <w:r w:rsidRPr="008B4685">
        <w:rPr>
          <w:sz w:val="24"/>
          <w:szCs w:val="24"/>
          <w:lang w:val="en-US"/>
        </w:rPr>
        <w:t>50%</w:t>
      </w:r>
      <w:r>
        <w:rPr>
          <w:sz w:val="24"/>
          <w:szCs w:val="24"/>
          <w:lang w:val="en-US"/>
        </w:rPr>
        <w:t xml:space="preserve"> of cases of high grade </w:t>
      </w:r>
      <w:r>
        <w:rPr>
          <w:sz w:val="24"/>
          <w:szCs w:val="24"/>
          <w:lang w:val="en-US"/>
        </w:rPr>
        <w:lastRenderedPageBreak/>
        <w:t>non-muscle invasive bladder cancer</w:t>
      </w:r>
      <w:r w:rsidR="00CC1043">
        <w:rPr>
          <w:sz w:val="24"/>
          <w:szCs w:val="24"/>
          <w:lang w:val="en-US"/>
        </w:rPr>
        <w:t xml:space="preserve"> (NMIBC)</w:t>
      </w:r>
      <w:r w:rsidR="00807A27">
        <w:rPr>
          <w:sz w:val="24"/>
          <w:szCs w:val="24"/>
          <w:lang w:val="en-US"/>
        </w:rPr>
        <w:t xml:space="preserve"> [2, 3]</w:t>
      </w:r>
      <w:r>
        <w:rPr>
          <w:sz w:val="24"/>
          <w:szCs w:val="24"/>
          <w:lang w:val="en-US"/>
        </w:rPr>
        <w:t>,</w:t>
      </w:r>
      <w:r w:rsidRPr="00C677D4">
        <w:rPr>
          <w:sz w:val="24"/>
          <w:szCs w:val="24"/>
          <w:lang w:val="en-US"/>
        </w:rPr>
        <w:t xml:space="preserve"> </w:t>
      </w:r>
      <w:r>
        <w:rPr>
          <w:sz w:val="24"/>
          <w:szCs w:val="24"/>
          <w:lang w:val="en-US"/>
        </w:rPr>
        <w:t>thus current guidelines recommend repeat assessment for such tumours, even if muscle was present in the original specimen</w:t>
      </w:r>
      <w:r w:rsidR="00807A27">
        <w:rPr>
          <w:sz w:val="24"/>
          <w:szCs w:val="24"/>
          <w:lang w:val="en-US"/>
        </w:rPr>
        <w:t xml:space="preserve"> [4, 5]</w:t>
      </w:r>
      <w:r>
        <w:rPr>
          <w:sz w:val="24"/>
          <w:szCs w:val="24"/>
          <w:lang w:val="en-US"/>
        </w:rPr>
        <w:t>. These procedures require theatre time, general anaesthesia and have a complication rate of 4</w:t>
      </w:r>
      <w:r w:rsidRPr="002B0960">
        <w:rPr>
          <w:sz w:val="24"/>
          <w:szCs w:val="24"/>
        </w:rPr>
        <w:t>–</w:t>
      </w:r>
      <w:r>
        <w:rPr>
          <w:sz w:val="24"/>
          <w:szCs w:val="24"/>
          <w:lang w:val="en-US"/>
        </w:rPr>
        <w:t>6% which is significant due to the high frequenc</w:t>
      </w:r>
      <w:r w:rsidR="00CC1043">
        <w:rPr>
          <w:sz w:val="24"/>
          <w:szCs w:val="24"/>
          <w:lang w:val="en-US"/>
        </w:rPr>
        <w:t>y with which they are performed</w:t>
      </w:r>
      <w:r w:rsidR="00807A27">
        <w:rPr>
          <w:sz w:val="24"/>
          <w:szCs w:val="24"/>
          <w:lang w:val="en-US"/>
        </w:rPr>
        <w:t xml:space="preserve"> [6, 7]</w:t>
      </w:r>
      <w:r>
        <w:rPr>
          <w:sz w:val="24"/>
          <w:szCs w:val="24"/>
          <w:lang w:val="en-US"/>
        </w:rPr>
        <w:t>. Over the past decade, imaging studies, in particular magnetic resonance imaging (MRI), have become essential for detection, staging and follow-up of bladder cancer</w:t>
      </w:r>
      <w:r w:rsidR="00807A27">
        <w:rPr>
          <w:sz w:val="24"/>
          <w:szCs w:val="24"/>
          <w:lang w:val="en-US"/>
        </w:rPr>
        <w:t xml:space="preserve"> [8]</w:t>
      </w:r>
      <w:r>
        <w:rPr>
          <w:sz w:val="24"/>
          <w:szCs w:val="24"/>
          <w:lang w:val="en-US"/>
        </w:rPr>
        <w:t xml:space="preserve">. </w:t>
      </w:r>
    </w:p>
    <w:p w:rsidR="00F61815" w:rsidRPr="00F141DB" w:rsidRDefault="00F61815" w:rsidP="00D6414C">
      <w:pPr>
        <w:spacing w:line="480" w:lineRule="auto"/>
        <w:ind w:firstLine="708"/>
        <w:rPr>
          <w:sz w:val="24"/>
          <w:szCs w:val="24"/>
          <w:lang w:val="en-US"/>
        </w:rPr>
      </w:pPr>
      <w:r>
        <w:rPr>
          <w:sz w:val="24"/>
          <w:szCs w:val="24"/>
          <w:lang w:val="en-US"/>
        </w:rPr>
        <w:t>While computed tomography (CT) is the primary technique for detecting distant metastatic disease, advances in MRI technology have made MRI feasible for accurate local staging and identifying local recurrence, primarily due to increa</w:t>
      </w:r>
      <w:r w:rsidR="00CC1043">
        <w:rPr>
          <w:sz w:val="24"/>
          <w:szCs w:val="24"/>
          <w:lang w:val="en-US"/>
        </w:rPr>
        <w:t>sed soft tissue differentiation</w:t>
      </w:r>
      <w:r w:rsidR="00807A27">
        <w:rPr>
          <w:sz w:val="24"/>
          <w:szCs w:val="24"/>
          <w:lang w:val="en-US"/>
        </w:rPr>
        <w:t xml:space="preserve"> [9]</w:t>
      </w:r>
      <w:r>
        <w:rPr>
          <w:sz w:val="24"/>
          <w:szCs w:val="24"/>
          <w:lang w:val="en-US"/>
        </w:rPr>
        <w:t>.</w:t>
      </w:r>
      <w:r w:rsidR="00CC1043">
        <w:rPr>
          <w:sz w:val="24"/>
          <w:szCs w:val="24"/>
          <w:lang w:val="en-US"/>
        </w:rPr>
        <w:t xml:space="preserve"> </w:t>
      </w:r>
      <w:r>
        <w:rPr>
          <w:sz w:val="24"/>
          <w:szCs w:val="24"/>
          <w:lang w:val="en-US"/>
        </w:rPr>
        <w:t>Accurate T-staging is essential in order to direct clinical management. Patients with pathology (p)T1 stage have mucosal confined, NMIBC and undergo local therapy either with a transurethral resection of bladder tumour (TURBT), intravesical immunotherapy (with bacille</w:t>
      </w:r>
      <w:r w:rsidRPr="00F141DB">
        <w:rPr>
          <w:sz w:val="24"/>
          <w:szCs w:val="24"/>
          <w:lang w:val="en-US"/>
        </w:rPr>
        <w:t xml:space="preserve"> Calmette-Guerin</w:t>
      </w:r>
      <w:r>
        <w:rPr>
          <w:sz w:val="24"/>
          <w:szCs w:val="24"/>
          <w:lang w:val="en-US"/>
        </w:rPr>
        <w:t>) or chemotherapy. Stage pT2 involves the muscles layer, and so-called muscle-invasive bladder cancers (MIBC) are treated with cystectomy</w:t>
      </w:r>
      <w:r w:rsidRPr="004F734C">
        <w:rPr>
          <w:sz w:val="24"/>
          <w:szCs w:val="24"/>
          <w:lang w:val="en-US"/>
        </w:rPr>
        <w:t xml:space="preserve"> or</w:t>
      </w:r>
      <w:r>
        <w:rPr>
          <w:sz w:val="24"/>
          <w:szCs w:val="24"/>
          <w:lang w:val="en-US"/>
        </w:rPr>
        <w:t xml:space="preserve"> gland-sparing radiothe</w:t>
      </w:r>
      <w:r w:rsidR="00CC1043">
        <w:rPr>
          <w:sz w:val="24"/>
          <w:szCs w:val="24"/>
          <w:lang w:val="en-US"/>
        </w:rPr>
        <w:t>rapy</w:t>
      </w:r>
      <w:r w:rsidR="00807A27">
        <w:rPr>
          <w:sz w:val="24"/>
          <w:szCs w:val="24"/>
          <w:lang w:val="en-US"/>
        </w:rPr>
        <w:t xml:space="preserve"> [10]. </w:t>
      </w:r>
      <w:r>
        <w:rPr>
          <w:sz w:val="24"/>
          <w:szCs w:val="24"/>
          <w:lang w:val="en-US"/>
        </w:rPr>
        <w:t xml:space="preserve"> Stage pT3 involves extravesicular extension of tumour and typically necessitates systematic therapy. Although CT and MRI are considered equivalent for assessment of ≥pT3b-stage tumours, MRI has shown better performance in differentiating T1- versus T2-staged tumours</w:t>
      </w:r>
      <w:r w:rsidR="00807A27">
        <w:rPr>
          <w:sz w:val="24"/>
          <w:szCs w:val="24"/>
          <w:lang w:val="en-US"/>
        </w:rPr>
        <w:t xml:space="preserve"> [11, 12]</w:t>
      </w:r>
      <w:r>
        <w:rPr>
          <w:sz w:val="24"/>
          <w:szCs w:val="24"/>
          <w:lang w:val="en-US"/>
        </w:rPr>
        <w:t>.</w:t>
      </w:r>
    </w:p>
    <w:p w:rsidR="00F61815" w:rsidRDefault="00F61815" w:rsidP="00D6414C">
      <w:pPr>
        <w:spacing w:line="480" w:lineRule="auto"/>
        <w:ind w:firstLine="708"/>
        <w:rPr>
          <w:sz w:val="24"/>
          <w:szCs w:val="24"/>
          <w:lang w:val="en-US"/>
        </w:rPr>
      </w:pPr>
      <w:r>
        <w:rPr>
          <w:sz w:val="24"/>
          <w:szCs w:val="24"/>
          <w:lang w:val="en-US"/>
        </w:rPr>
        <w:t>Having optimal bladder distention is key for the adequate assessment of bladder tumours on MRI</w:t>
      </w:r>
      <w:r w:rsidR="00807A27">
        <w:rPr>
          <w:sz w:val="24"/>
          <w:szCs w:val="24"/>
          <w:lang w:val="en-US"/>
        </w:rPr>
        <w:t xml:space="preserve"> [13]</w:t>
      </w:r>
      <w:r>
        <w:rPr>
          <w:sz w:val="24"/>
          <w:szCs w:val="24"/>
          <w:lang w:val="en-US"/>
        </w:rPr>
        <w:t xml:space="preserve">. In under-distended bladders, collapsed mucosa may mimic tumour infiltration, while thickened detrusor muscle can limit the detection of small tumours. </w:t>
      </w:r>
      <w:r w:rsidRPr="00030B6A">
        <w:rPr>
          <w:sz w:val="24"/>
          <w:szCs w:val="24"/>
          <w:lang w:val="en-US"/>
        </w:rPr>
        <w:t xml:space="preserve">Over-distension is uncomfortable for patients, leads to bladder wall spasm, and resultant motion artefact can significantly compromise image quality. </w:t>
      </w:r>
      <w:r>
        <w:rPr>
          <w:sz w:val="24"/>
          <w:szCs w:val="24"/>
          <w:lang w:val="en-US"/>
        </w:rPr>
        <w:t xml:space="preserve"> In addition, thinning of the bladder wall may reduce sensitivity for detecting flat plaque-like lesions. Despite the importance of optimal </w:t>
      </w:r>
      <w:r>
        <w:rPr>
          <w:sz w:val="24"/>
          <w:szCs w:val="24"/>
          <w:lang w:val="en-US"/>
        </w:rPr>
        <w:lastRenderedPageBreak/>
        <w:t>bladder distension, there is a lack of consensus in the literature on what drinking and/or voiding preparation should be employed to achieve this. Some centres claim that optimal distention can be achieved by instructing the patient to void two hours before the examination</w:t>
      </w:r>
      <w:r w:rsidR="008B1611">
        <w:rPr>
          <w:sz w:val="24"/>
          <w:szCs w:val="24"/>
          <w:lang w:val="en-US"/>
        </w:rPr>
        <w:t xml:space="preserve"> [14]</w:t>
      </w:r>
      <w:r>
        <w:rPr>
          <w:sz w:val="24"/>
          <w:szCs w:val="24"/>
          <w:lang w:val="en-US"/>
        </w:rPr>
        <w:t>, while other studies suggest that voiding one hour before the scan is sufficient for a diagnostic scan</w:t>
      </w:r>
      <w:r w:rsidR="008B1611">
        <w:rPr>
          <w:sz w:val="24"/>
          <w:szCs w:val="24"/>
          <w:lang w:val="en-US"/>
        </w:rPr>
        <w:t xml:space="preserve"> [13]</w:t>
      </w:r>
      <w:r>
        <w:rPr>
          <w:sz w:val="24"/>
          <w:szCs w:val="24"/>
          <w:lang w:val="en-US"/>
        </w:rPr>
        <w:t xml:space="preserve">. </w:t>
      </w:r>
    </w:p>
    <w:p w:rsidR="00F61815" w:rsidRPr="00FE69D3" w:rsidRDefault="00F61815" w:rsidP="00FE69D3">
      <w:pPr>
        <w:spacing w:line="480" w:lineRule="auto"/>
        <w:ind w:firstLine="708"/>
        <w:rPr>
          <w:sz w:val="24"/>
          <w:szCs w:val="24"/>
          <w:lang w:val="en-US"/>
        </w:rPr>
      </w:pPr>
      <w:r>
        <w:rPr>
          <w:sz w:val="24"/>
          <w:szCs w:val="24"/>
          <w:lang w:val="en-US"/>
        </w:rPr>
        <w:t xml:space="preserve">The aim of our study was to </w:t>
      </w:r>
      <w:r w:rsidRPr="00C67DBD">
        <w:rPr>
          <w:sz w:val="24"/>
          <w:szCs w:val="24"/>
          <w:lang w:val="en-US"/>
        </w:rPr>
        <w:t>establish</w:t>
      </w:r>
      <w:r>
        <w:rPr>
          <w:sz w:val="24"/>
          <w:szCs w:val="24"/>
          <w:lang w:val="en-US"/>
        </w:rPr>
        <w:t xml:space="preserve"> an evidence-based </w:t>
      </w:r>
      <w:r w:rsidRPr="003F7B2B">
        <w:rPr>
          <w:sz w:val="24"/>
          <w:szCs w:val="24"/>
        </w:rPr>
        <w:t xml:space="preserve">preparation routine prior to </w:t>
      </w:r>
      <w:r>
        <w:rPr>
          <w:sz w:val="24"/>
          <w:szCs w:val="24"/>
        </w:rPr>
        <w:t>bladder MRI. The study comprised two elements; first</w:t>
      </w:r>
      <w:r>
        <w:rPr>
          <w:sz w:val="24"/>
          <w:szCs w:val="24"/>
          <w:lang w:val="en-US"/>
        </w:rPr>
        <w:t>,</w:t>
      </w:r>
      <w:r>
        <w:rPr>
          <w:sz w:val="24"/>
          <w:szCs w:val="24"/>
        </w:rPr>
        <w:t xml:space="preserve"> we investigated </w:t>
      </w:r>
      <w:r>
        <w:rPr>
          <w:sz w:val="24"/>
          <w:szCs w:val="24"/>
          <w:lang w:val="en-US"/>
        </w:rPr>
        <w:t xml:space="preserve">the effect of four different drinking/voiding preparations on bladder distention in normal volunteers. Subsequently, we undertook a questionnaire study in men undergoing pelvic MRI to assess whether similar results were reflected in patients undergoing MRI with no prior instruction. </w:t>
      </w:r>
      <w:r>
        <w:rPr>
          <w:b/>
          <w:sz w:val="24"/>
          <w:szCs w:val="24"/>
        </w:rPr>
        <w:t>Methods</w:t>
      </w:r>
    </w:p>
    <w:p w:rsidR="00F61815" w:rsidRDefault="00F61815" w:rsidP="00CC1043">
      <w:pPr>
        <w:spacing w:line="480" w:lineRule="auto"/>
        <w:rPr>
          <w:i/>
          <w:sz w:val="24"/>
          <w:szCs w:val="24"/>
        </w:rPr>
      </w:pPr>
      <w:r w:rsidRPr="0083470D">
        <w:rPr>
          <w:i/>
          <w:sz w:val="24"/>
          <w:szCs w:val="24"/>
        </w:rPr>
        <w:t>Normal volunteers study</w:t>
      </w:r>
    </w:p>
    <w:p w:rsidR="00F61815" w:rsidRDefault="00F61815" w:rsidP="008D2057">
      <w:pPr>
        <w:spacing w:line="480" w:lineRule="auto"/>
        <w:ind w:firstLine="708"/>
        <w:rPr>
          <w:sz w:val="24"/>
          <w:szCs w:val="24"/>
        </w:rPr>
      </w:pPr>
      <w:r w:rsidRPr="006F3E7E">
        <w:rPr>
          <w:sz w:val="24"/>
          <w:szCs w:val="24"/>
        </w:rPr>
        <w:t>The local institutional review board and ethics committee granted approval for this prospective study (</w:t>
      </w:r>
      <w:r>
        <w:rPr>
          <w:sz w:val="24"/>
          <w:szCs w:val="24"/>
        </w:rPr>
        <w:t>Reference: anonymised</w:t>
      </w:r>
      <w:r w:rsidRPr="006F3E7E">
        <w:rPr>
          <w:sz w:val="24"/>
          <w:szCs w:val="24"/>
        </w:rPr>
        <w:t>), with all participants signing written informed consent.</w:t>
      </w:r>
      <w:r>
        <w:rPr>
          <w:sz w:val="24"/>
          <w:szCs w:val="24"/>
        </w:rPr>
        <w:t xml:space="preserve"> The study included 15 healthy male volunteers (mean age 35.9 years, median </w:t>
      </w:r>
      <w:r w:rsidRPr="00191DF8">
        <w:rPr>
          <w:sz w:val="24"/>
          <w:szCs w:val="24"/>
        </w:rPr>
        <w:t xml:space="preserve">34, range </w:t>
      </w:r>
      <w:r>
        <w:rPr>
          <w:sz w:val="24"/>
          <w:szCs w:val="24"/>
        </w:rPr>
        <w:t>29</w:t>
      </w:r>
      <w:r w:rsidRPr="002B0960">
        <w:rPr>
          <w:sz w:val="24"/>
          <w:szCs w:val="24"/>
        </w:rPr>
        <w:t>–</w:t>
      </w:r>
      <w:r>
        <w:rPr>
          <w:sz w:val="24"/>
          <w:szCs w:val="24"/>
        </w:rPr>
        <w:t>39</w:t>
      </w:r>
      <w:r w:rsidRPr="00191DF8">
        <w:rPr>
          <w:sz w:val="24"/>
          <w:szCs w:val="24"/>
        </w:rPr>
        <w:t>)</w:t>
      </w:r>
      <w:r>
        <w:rPr>
          <w:sz w:val="24"/>
          <w:szCs w:val="24"/>
        </w:rPr>
        <w:t xml:space="preserve">. MRI was performed on </w:t>
      </w:r>
      <w:r w:rsidRPr="00333E62">
        <w:rPr>
          <w:sz w:val="24"/>
          <w:szCs w:val="24"/>
        </w:rPr>
        <w:t>four consecutive days</w:t>
      </w:r>
      <w:r>
        <w:rPr>
          <w:sz w:val="24"/>
          <w:szCs w:val="24"/>
        </w:rPr>
        <w:t xml:space="preserve"> after the subjects completed each of the following preparations: </w:t>
      </w:r>
    </w:p>
    <w:p w:rsidR="00F61815" w:rsidRDefault="00F61815" w:rsidP="00CC1043">
      <w:pPr>
        <w:spacing w:line="480" w:lineRule="auto"/>
        <w:ind w:left="720"/>
        <w:rPr>
          <w:rFonts w:cs="Arial"/>
          <w:noProof/>
          <w:sz w:val="24"/>
          <w:szCs w:val="24"/>
        </w:rPr>
      </w:pPr>
      <w:r w:rsidRPr="00167C4E">
        <w:rPr>
          <w:b/>
          <w:sz w:val="24"/>
          <w:szCs w:val="24"/>
        </w:rPr>
        <w:t xml:space="preserve">Preparation </w:t>
      </w:r>
      <w:r w:rsidRPr="00167C4E">
        <w:rPr>
          <w:rFonts w:cs="Arial"/>
          <w:b/>
          <w:noProof/>
          <w:sz w:val="24"/>
          <w:szCs w:val="24"/>
        </w:rPr>
        <w:t>1.</w:t>
      </w:r>
      <w:r w:rsidRPr="003F7B2B">
        <w:rPr>
          <w:rFonts w:cs="Arial"/>
          <w:noProof/>
          <w:sz w:val="24"/>
          <w:szCs w:val="24"/>
        </w:rPr>
        <w:t xml:space="preserve"> Pass urine, no </w:t>
      </w:r>
      <w:r>
        <w:rPr>
          <w:rFonts w:cs="Arial"/>
          <w:noProof/>
          <w:sz w:val="24"/>
          <w:szCs w:val="24"/>
        </w:rPr>
        <w:t>drinking 2 hours prior to scanning;</w:t>
      </w:r>
      <w:r w:rsidRPr="003F7B2B">
        <w:rPr>
          <w:rFonts w:cs="Arial"/>
          <w:noProof/>
          <w:sz w:val="24"/>
          <w:szCs w:val="24"/>
        </w:rPr>
        <w:t xml:space="preserve"> </w:t>
      </w:r>
      <w:r>
        <w:rPr>
          <w:rFonts w:cs="Arial"/>
          <w:noProof/>
          <w:sz w:val="24"/>
          <w:szCs w:val="24"/>
        </w:rPr>
        <w:br/>
      </w:r>
      <w:r w:rsidRPr="00167C4E">
        <w:rPr>
          <w:rFonts w:cs="Arial"/>
          <w:b/>
          <w:noProof/>
          <w:sz w:val="24"/>
          <w:szCs w:val="24"/>
        </w:rPr>
        <w:t>Preparation 2.</w:t>
      </w:r>
      <w:r>
        <w:rPr>
          <w:rFonts w:cs="Arial"/>
          <w:noProof/>
          <w:sz w:val="24"/>
          <w:szCs w:val="24"/>
        </w:rPr>
        <w:t xml:space="preserve"> </w:t>
      </w:r>
      <w:r w:rsidRPr="003F7B2B">
        <w:rPr>
          <w:rFonts w:cs="Arial"/>
          <w:noProof/>
          <w:sz w:val="24"/>
          <w:szCs w:val="24"/>
        </w:rPr>
        <w:t>Pass urine</w:t>
      </w:r>
      <w:r>
        <w:rPr>
          <w:rFonts w:cs="Arial"/>
          <w:noProof/>
          <w:sz w:val="24"/>
          <w:szCs w:val="24"/>
        </w:rPr>
        <w:t>, no drinking 1 hour</w:t>
      </w:r>
      <w:r w:rsidRPr="003F7B2B">
        <w:rPr>
          <w:rFonts w:cs="Arial"/>
          <w:noProof/>
          <w:sz w:val="24"/>
          <w:szCs w:val="24"/>
        </w:rPr>
        <w:t xml:space="preserve"> prior to scanni</w:t>
      </w:r>
      <w:r>
        <w:rPr>
          <w:rFonts w:cs="Arial"/>
          <w:noProof/>
          <w:sz w:val="24"/>
          <w:szCs w:val="24"/>
        </w:rPr>
        <w:t>ng;</w:t>
      </w:r>
      <w:r>
        <w:rPr>
          <w:rFonts w:cs="Arial"/>
          <w:noProof/>
          <w:sz w:val="24"/>
          <w:szCs w:val="24"/>
        </w:rPr>
        <w:br/>
      </w:r>
      <w:r w:rsidRPr="00167C4E">
        <w:rPr>
          <w:rFonts w:cs="Arial"/>
          <w:b/>
          <w:noProof/>
          <w:sz w:val="24"/>
          <w:szCs w:val="24"/>
        </w:rPr>
        <w:t>Preparation 3.</w:t>
      </w:r>
      <w:r>
        <w:rPr>
          <w:rFonts w:cs="Arial"/>
          <w:noProof/>
          <w:sz w:val="24"/>
          <w:szCs w:val="24"/>
        </w:rPr>
        <w:t xml:space="preserve"> Pass urine and drink 250 mL</w:t>
      </w:r>
      <w:r w:rsidRPr="003F7B2B">
        <w:rPr>
          <w:rFonts w:cs="Arial"/>
          <w:noProof/>
          <w:sz w:val="24"/>
          <w:szCs w:val="24"/>
        </w:rPr>
        <w:t xml:space="preserve"> water </w:t>
      </w:r>
      <w:r>
        <w:rPr>
          <w:rFonts w:cs="Arial"/>
          <w:noProof/>
          <w:sz w:val="24"/>
          <w:szCs w:val="24"/>
        </w:rPr>
        <w:t>1 hour</w:t>
      </w:r>
      <w:r w:rsidRPr="003F7B2B">
        <w:rPr>
          <w:rFonts w:cs="Arial"/>
          <w:noProof/>
          <w:sz w:val="24"/>
          <w:szCs w:val="24"/>
        </w:rPr>
        <w:t xml:space="preserve"> prior to scann</w:t>
      </w:r>
      <w:r>
        <w:rPr>
          <w:rFonts w:cs="Arial"/>
          <w:noProof/>
          <w:sz w:val="24"/>
          <w:szCs w:val="24"/>
        </w:rPr>
        <w:t>ing;</w:t>
      </w:r>
      <w:r>
        <w:rPr>
          <w:rFonts w:cs="Arial"/>
          <w:noProof/>
          <w:sz w:val="24"/>
          <w:szCs w:val="24"/>
        </w:rPr>
        <w:br/>
      </w:r>
      <w:r w:rsidRPr="00167C4E">
        <w:rPr>
          <w:rFonts w:cs="Arial"/>
          <w:b/>
          <w:noProof/>
          <w:sz w:val="24"/>
          <w:szCs w:val="24"/>
        </w:rPr>
        <w:t>Preparation 4.</w:t>
      </w:r>
      <w:r>
        <w:rPr>
          <w:rFonts w:cs="Arial"/>
          <w:noProof/>
          <w:sz w:val="24"/>
          <w:szCs w:val="24"/>
        </w:rPr>
        <w:t xml:space="preserve"> Pass urine and drink 500 mL</w:t>
      </w:r>
      <w:r w:rsidRPr="003F7B2B">
        <w:rPr>
          <w:rFonts w:cs="Arial"/>
          <w:noProof/>
          <w:sz w:val="24"/>
          <w:szCs w:val="24"/>
        </w:rPr>
        <w:t xml:space="preserve"> water </w:t>
      </w:r>
      <w:r>
        <w:rPr>
          <w:rFonts w:cs="Arial"/>
          <w:noProof/>
          <w:sz w:val="24"/>
          <w:szCs w:val="24"/>
        </w:rPr>
        <w:t>1 hour</w:t>
      </w:r>
      <w:r w:rsidRPr="003F7B2B">
        <w:rPr>
          <w:rFonts w:cs="Arial"/>
          <w:noProof/>
          <w:sz w:val="24"/>
          <w:szCs w:val="24"/>
        </w:rPr>
        <w:t xml:space="preserve"> prior to sca</w:t>
      </w:r>
      <w:r>
        <w:rPr>
          <w:rFonts w:cs="Arial"/>
          <w:noProof/>
          <w:sz w:val="24"/>
          <w:szCs w:val="24"/>
        </w:rPr>
        <w:t>nning.</w:t>
      </w:r>
    </w:p>
    <w:p w:rsidR="00F61815" w:rsidRPr="00B4785B" w:rsidRDefault="00F61815" w:rsidP="00D6414C">
      <w:pPr>
        <w:spacing w:line="480" w:lineRule="auto"/>
        <w:ind w:firstLine="708"/>
        <w:rPr>
          <w:rFonts w:cs="Arial"/>
          <w:noProof/>
          <w:sz w:val="24"/>
          <w:szCs w:val="24"/>
        </w:rPr>
      </w:pPr>
      <w:r>
        <w:rPr>
          <w:rFonts w:cs="Arial"/>
          <w:noProof/>
          <w:sz w:val="24"/>
          <w:szCs w:val="24"/>
        </w:rPr>
        <w:lastRenderedPageBreak/>
        <w:t>For each imaging study, participants were contacted at the respective time before scanning with a reminder of the voiding and/or drinking preparation required.</w:t>
      </w:r>
      <w:r>
        <w:rPr>
          <w:rFonts w:cs="Arial"/>
          <w:noProof/>
          <w:sz w:val="24"/>
          <w:szCs w:val="24"/>
        </w:rPr>
        <w:br/>
      </w:r>
      <w:r w:rsidRPr="0083470D">
        <w:rPr>
          <w:i/>
          <w:sz w:val="24"/>
          <w:szCs w:val="24"/>
        </w:rPr>
        <w:t>Questionnaire study</w:t>
      </w:r>
    </w:p>
    <w:p w:rsidR="00F61815" w:rsidRPr="0083470D" w:rsidRDefault="00F61815" w:rsidP="008D2057">
      <w:pPr>
        <w:spacing w:line="480" w:lineRule="auto"/>
        <w:ind w:firstLine="708"/>
        <w:rPr>
          <w:sz w:val="24"/>
          <w:szCs w:val="24"/>
        </w:rPr>
      </w:pPr>
      <w:r>
        <w:rPr>
          <w:sz w:val="24"/>
          <w:szCs w:val="24"/>
        </w:rPr>
        <w:t>This prospective questionnaire-based study was approved by the institutional review board (Reference: anonymised).</w:t>
      </w:r>
      <w:r w:rsidRPr="006F3E7E">
        <w:rPr>
          <w:b/>
          <w:sz w:val="24"/>
          <w:szCs w:val="24"/>
        </w:rPr>
        <w:t xml:space="preserve"> </w:t>
      </w:r>
      <w:r>
        <w:rPr>
          <w:sz w:val="24"/>
          <w:szCs w:val="24"/>
        </w:rPr>
        <w:t>The study included 94 men undergoing prostate MRI for any clinical indication (mean age 64.5 years, median 65.5, range 59</w:t>
      </w:r>
      <w:r w:rsidRPr="002B0960">
        <w:rPr>
          <w:sz w:val="24"/>
          <w:szCs w:val="24"/>
        </w:rPr>
        <w:t>–</w:t>
      </w:r>
      <w:r>
        <w:rPr>
          <w:sz w:val="24"/>
          <w:szCs w:val="24"/>
        </w:rPr>
        <w:t>70). Data collection included information on time of last voiding, time since last drink and approximate volume consumed. Patients with glomerular filtration rate (GFR) &lt; 60 mL/min/1.73 m</w:t>
      </w:r>
      <w:r>
        <w:rPr>
          <w:sz w:val="24"/>
          <w:szCs w:val="24"/>
          <w:vertAlign w:val="superscript"/>
        </w:rPr>
        <w:t>2</w:t>
      </w:r>
      <w:r>
        <w:rPr>
          <w:sz w:val="24"/>
          <w:szCs w:val="24"/>
        </w:rPr>
        <w:t xml:space="preserve"> were excluded from this study. </w:t>
      </w:r>
    </w:p>
    <w:p w:rsidR="00F61815" w:rsidRPr="008D552B" w:rsidRDefault="00F61815" w:rsidP="00D6414C">
      <w:pPr>
        <w:spacing w:line="480" w:lineRule="auto"/>
        <w:ind w:firstLine="708"/>
        <w:rPr>
          <w:sz w:val="24"/>
          <w:szCs w:val="24"/>
        </w:rPr>
      </w:pPr>
      <w:r>
        <w:rPr>
          <w:sz w:val="24"/>
          <w:szCs w:val="24"/>
        </w:rPr>
        <w:t xml:space="preserve">Based on their answers, patients were divided into four groups in order to match the NVs study as closely as possible </w:t>
      </w:r>
      <w:r w:rsidRPr="00D809AA">
        <w:rPr>
          <w:sz w:val="24"/>
          <w:szCs w:val="24"/>
        </w:rPr>
        <w:t>(Table 1).</w:t>
      </w:r>
      <w:r>
        <w:rPr>
          <w:sz w:val="24"/>
          <w:szCs w:val="24"/>
        </w:rPr>
        <w:t xml:space="preserve"> </w:t>
      </w:r>
    </w:p>
    <w:p w:rsidR="00F61815" w:rsidRPr="00340E69" w:rsidRDefault="00F61815" w:rsidP="00CC1043">
      <w:pPr>
        <w:spacing w:line="480" w:lineRule="auto"/>
        <w:rPr>
          <w:i/>
          <w:sz w:val="24"/>
          <w:szCs w:val="24"/>
        </w:rPr>
      </w:pPr>
      <w:r w:rsidRPr="00340E69">
        <w:rPr>
          <w:i/>
          <w:sz w:val="24"/>
          <w:szCs w:val="24"/>
        </w:rPr>
        <w:t>Magnetic resonance imaging</w:t>
      </w:r>
    </w:p>
    <w:p w:rsidR="00F61815" w:rsidRDefault="00F61815" w:rsidP="008D2057">
      <w:pPr>
        <w:spacing w:line="480" w:lineRule="auto"/>
        <w:ind w:firstLine="708"/>
        <w:rPr>
          <w:b/>
          <w:sz w:val="24"/>
          <w:szCs w:val="24"/>
        </w:rPr>
      </w:pPr>
      <w:r w:rsidRPr="004F0D85">
        <w:rPr>
          <w:sz w:val="24"/>
          <w:szCs w:val="24"/>
        </w:rPr>
        <w:t>For both studies,</w:t>
      </w:r>
      <w:r>
        <w:rPr>
          <w:b/>
          <w:sz w:val="24"/>
          <w:szCs w:val="24"/>
        </w:rPr>
        <w:t xml:space="preserve"> </w:t>
      </w:r>
      <w:r w:rsidRPr="006F282A">
        <w:rPr>
          <w:sz w:val="24"/>
          <w:szCs w:val="24"/>
        </w:rPr>
        <w:t>MR imaging was performed on a 3-T MR750 magnet (General Electric Healthcare, Waukesha, USA) using a 32-channel phased array body coil. Sequences included high resolution axial T2-weighted fast recovery fast spin echo (FRFSE) imaging, TR/TE of 3663/102 ms field of view (FOV) 22 × 22 cm, 3 mm slice thickness with no gap, in</w:t>
      </w:r>
      <w:r>
        <w:rPr>
          <w:sz w:val="24"/>
          <w:szCs w:val="24"/>
        </w:rPr>
        <w:t>-</w:t>
      </w:r>
      <w:r w:rsidRPr="006F282A">
        <w:rPr>
          <w:sz w:val="24"/>
          <w:szCs w:val="24"/>
        </w:rPr>
        <w:t>plane resolution 0.85 × 0.57 mm, and 3 signal averages; sagittal T2 cube sequence, 1 mm slice thickness with no gap, in</w:t>
      </w:r>
      <w:r>
        <w:rPr>
          <w:sz w:val="24"/>
          <w:szCs w:val="24"/>
        </w:rPr>
        <w:t>-</w:t>
      </w:r>
      <w:r w:rsidRPr="006F282A">
        <w:rPr>
          <w:sz w:val="24"/>
          <w:szCs w:val="24"/>
        </w:rPr>
        <w:t>plane resolution 1.0 × 0.8 mm. Axial diffusion-weighted imaging (DWI) was matched to the T2 axial sequence, using a dual spin-echo planar pulse sequence with TR/TE of 3775/70 ms, FOV 28 × 28 cm, resolution 2.2 × 2.2 mm, 6 signal averages and b values of 150, 750, 1000 and 1400 from which automated ADC maps were generated</w:t>
      </w:r>
      <w:r>
        <w:rPr>
          <w:sz w:val="24"/>
          <w:szCs w:val="24"/>
        </w:rPr>
        <w:t>. Clinical studies additionally incorporated small FOV DWI and dynamic contrast-enhanced MRI and were not assessed as part of this study.</w:t>
      </w:r>
    </w:p>
    <w:p w:rsidR="00F61815" w:rsidRPr="00340E69" w:rsidRDefault="00F61815" w:rsidP="00CC1043">
      <w:pPr>
        <w:spacing w:line="480" w:lineRule="auto"/>
        <w:rPr>
          <w:i/>
          <w:sz w:val="24"/>
          <w:szCs w:val="24"/>
        </w:rPr>
      </w:pPr>
      <w:r w:rsidRPr="00340E69">
        <w:rPr>
          <w:i/>
          <w:sz w:val="24"/>
          <w:szCs w:val="24"/>
        </w:rPr>
        <w:lastRenderedPageBreak/>
        <w:t>Bladder distention assessment</w:t>
      </w:r>
    </w:p>
    <w:p w:rsidR="00F61815" w:rsidRDefault="00F61815" w:rsidP="008D2057">
      <w:pPr>
        <w:spacing w:line="480" w:lineRule="auto"/>
        <w:ind w:firstLine="708"/>
        <w:rPr>
          <w:sz w:val="24"/>
          <w:szCs w:val="24"/>
        </w:rPr>
      </w:pPr>
      <w:r>
        <w:rPr>
          <w:sz w:val="24"/>
          <w:szCs w:val="24"/>
        </w:rPr>
        <w:t xml:space="preserve">Bladder volumes were calculated </w:t>
      </w:r>
      <w:r w:rsidRPr="007E4D59">
        <w:rPr>
          <w:sz w:val="24"/>
          <w:szCs w:val="24"/>
        </w:rPr>
        <w:t>using whole volume seg</w:t>
      </w:r>
      <w:r>
        <w:rPr>
          <w:sz w:val="24"/>
          <w:szCs w:val="24"/>
        </w:rPr>
        <w:t xml:space="preserve">mentation on T2-weighted images </w:t>
      </w:r>
      <w:r w:rsidRPr="007E4D59">
        <w:rPr>
          <w:sz w:val="24"/>
          <w:szCs w:val="24"/>
        </w:rPr>
        <w:t>using in-house software programmed in Matlab</w:t>
      </w:r>
      <w:r w:rsidR="00F630C4">
        <w:rPr>
          <w:sz w:val="24"/>
          <w:szCs w:val="24"/>
        </w:rPr>
        <w:t xml:space="preserve"> (MathWorks, Natick, USA)</w:t>
      </w:r>
      <w:r>
        <w:rPr>
          <w:sz w:val="24"/>
          <w:szCs w:val="24"/>
        </w:rPr>
        <w:t>. Overall volumes were automatically calculated from a sum of the drawn regions of interest (ROIs) (in mm</w:t>
      </w:r>
      <w:r w:rsidRPr="00EA2393">
        <w:rPr>
          <w:sz w:val="24"/>
          <w:szCs w:val="24"/>
          <w:vertAlign w:val="superscript"/>
        </w:rPr>
        <w:t>2</w:t>
      </w:r>
      <w:r>
        <w:rPr>
          <w:sz w:val="24"/>
          <w:szCs w:val="24"/>
        </w:rPr>
        <w:t xml:space="preserve">) multiplied by the spacing between acquired slices (in mm). The results are presented as the median (IQR) where IQR is the interquartile range. </w:t>
      </w:r>
    </w:p>
    <w:p w:rsidR="00F61815" w:rsidRDefault="00F61815" w:rsidP="00D6414C">
      <w:pPr>
        <w:spacing w:line="480" w:lineRule="auto"/>
        <w:ind w:firstLine="708"/>
        <w:rPr>
          <w:sz w:val="24"/>
          <w:szCs w:val="24"/>
        </w:rPr>
      </w:pPr>
      <w:r>
        <w:rPr>
          <w:sz w:val="24"/>
          <w:szCs w:val="24"/>
        </w:rPr>
        <w:t>Bladder distention was assessed using a 5-point Likert scale</w:t>
      </w:r>
      <w:r>
        <w:rPr>
          <w:noProof/>
          <w:sz w:val="24"/>
          <w:szCs w:val="24"/>
        </w:rPr>
        <w:t>: scores 1 and 2 represented severe and moderate bladder wall thickening and in-</w:t>
      </w:r>
      <w:r>
        <w:rPr>
          <w:sz w:val="24"/>
          <w:szCs w:val="24"/>
        </w:rPr>
        <w:t xml:space="preserve">folding, respectively; 3 = optimal bladder distention; 4 = minor to moderate bladder wall thinning and motion; score 5 implied severe motion artefact with anterior bladder extending beyond the iliac vessels  </w:t>
      </w:r>
      <w:r w:rsidRPr="00D809AA">
        <w:rPr>
          <w:sz w:val="24"/>
          <w:szCs w:val="24"/>
        </w:rPr>
        <w:t>(Fig. 1).</w:t>
      </w:r>
      <w:r>
        <w:rPr>
          <w:sz w:val="24"/>
          <w:szCs w:val="24"/>
        </w:rPr>
        <w:t xml:space="preserve"> </w:t>
      </w:r>
    </w:p>
    <w:p w:rsidR="00F61815" w:rsidRDefault="00F61815" w:rsidP="00D6414C">
      <w:pPr>
        <w:spacing w:line="480" w:lineRule="auto"/>
        <w:ind w:firstLine="708"/>
        <w:rPr>
          <w:sz w:val="24"/>
          <w:szCs w:val="24"/>
        </w:rPr>
      </w:pPr>
      <w:r w:rsidRPr="005D1041">
        <w:rPr>
          <w:sz w:val="24"/>
          <w:szCs w:val="24"/>
        </w:rPr>
        <w:t>All outl</w:t>
      </w:r>
      <w:r>
        <w:rPr>
          <w:sz w:val="24"/>
          <w:szCs w:val="24"/>
        </w:rPr>
        <w:t xml:space="preserve">ining and scoring was performed by a single fellowship trained </w:t>
      </w:r>
      <w:r w:rsidRPr="005D1041">
        <w:rPr>
          <w:sz w:val="24"/>
          <w:szCs w:val="24"/>
        </w:rPr>
        <w:t>uro-radiologist with 7 years</w:t>
      </w:r>
      <w:r>
        <w:rPr>
          <w:sz w:val="24"/>
          <w:szCs w:val="24"/>
        </w:rPr>
        <w:t xml:space="preserve">’ experience reporting bladder </w:t>
      </w:r>
      <w:r w:rsidRPr="005D1041">
        <w:rPr>
          <w:sz w:val="24"/>
          <w:szCs w:val="24"/>
        </w:rPr>
        <w:t xml:space="preserve">MRI. </w:t>
      </w:r>
      <w:r>
        <w:rPr>
          <w:sz w:val="24"/>
          <w:szCs w:val="24"/>
        </w:rPr>
        <w:t xml:space="preserve">Image series were reviewed </w:t>
      </w:r>
      <w:r w:rsidRPr="005D1041">
        <w:rPr>
          <w:sz w:val="24"/>
          <w:szCs w:val="24"/>
        </w:rPr>
        <w:t>in a random order and blind</w:t>
      </w:r>
      <w:r>
        <w:rPr>
          <w:sz w:val="24"/>
          <w:szCs w:val="24"/>
        </w:rPr>
        <w:t xml:space="preserve">ed to the </w:t>
      </w:r>
      <w:r w:rsidRPr="005D1041">
        <w:rPr>
          <w:sz w:val="24"/>
          <w:szCs w:val="24"/>
        </w:rPr>
        <w:t xml:space="preserve">clinical information of study number and </w:t>
      </w:r>
      <w:r>
        <w:rPr>
          <w:sz w:val="24"/>
          <w:szCs w:val="24"/>
        </w:rPr>
        <w:t>drinking preparation</w:t>
      </w:r>
      <w:r w:rsidRPr="005D1041">
        <w:rPr>
          <w:sz w:val="24"/>
          <w:szCs w:val="24"/>
        </w:rPr>
        <w:t>.</w:t>
      </w:r>
    </w:p>
    <w:p w:rsidR="00F61815" w:rsidRPr="00340E69" w:rsidRDefault="00F61815" w:rsidP="00CC1043">
      <w:pPr>
        <w:spacing w:line="480" w:lineRule="auto"/>
        <w:rPr>
          <w:i/>
          <w:sz w:val="24"/>
          <w:szCs w:val="24"/>
        </w:rPr>
      </w:pPr>
      <w:r w:rsidRPr="00340E69">
        <w:rPr>
          <w:i/>
          <w:sz w:val="24"/>
          <w:szCs w:val="24"/>
        </w:rPr>
        <w:t>Statistics</w:t>
      </w:r>
    </w:p>
    <w:p w:rsidR="00FE69D3" w:rsidRDefault="00F61815" w:rsidP="00FE69D3">
      <w:pPr>
        <w:autoSpaceDE w:val="0"/>
        <w:autoSpaceDN w:val="0"/>
        <w:adjustRightInd w:val="0"/>
        <w:spacing w:after="0" w:line="480" w:lineRule="auto"/>
        <w:ind w:firstLine="708"/>
        <w:rPr>
          <w:b/>
          <w:sz w:val="24"/>
          <w:szCs w:val="24"/>
        </w:rPr>
      </w:pPr>
      <w:r w:rsidRPr="00D2138F">
        <w:rPr>
          <w:sz w:val="24"/>
          <w:szCs w:val="24"/>
        </w:rPr>
        <w:t>Shapiro-Wilk test was performed to assess the distribution of the bladder volumes of subjects from different BD scoring groups.</w:t>
      </w:r>
      <w:r>
        <w:rPr>
          <w:b/>
          <w:sz w:val="24"/>
          <w:szCs w:val="24"/>
        </w:rPr>
        <w:t xml:space="preserve"> </w:t>
      </w:r>
      <w:r>
        <w:rPr>
          <w:sz w:val="24"/>
          <w:szCs w:val="24"/>
        </w:rPr>
        <w:t>Mann-Whitney</w:t>
      </w:r>
      <w:r w:rsidRPr="00B01959">
        <w:rPr>
          <w:i/>
          <w:sz w:val="24"/>
          <w:szCs w:val="24"/>
        </w:rPr>
        <w:t xml:space="preserve"> U</w:t>
      </w:r>
      <w:r>
        <w:rPr>
          <w:sz w:val="24"/>
          <w:szCs w:val="24"/>
        </w:rPr>
        <w:t xml:space="preserve"> test was used to compare the bladder volumes of subjects from different BD scoring groups. </w:t>
      </w:r>
      <w:r>
        <w:rPr>
          <w:b/>
          <w:sz w:val="24"/>
          <w:szCs w:val="24"/>
        </w:rPr>
        <w:t xml:space="preserve"> </w:t>
      </w:r>
      <w:r>
        <w:rPr>
          <w:sz w:val="24"/>
          <w:szCs w:val="24"/>
        </w:rPr>
        <w:t>Spearman’s correlation was performed to assess the relationship between the preparation type and BD score. As severely under- and over-distended bladders (scores 1 and 5, respectively) have the same negative influence on MR’s diagnostic utility, we assumed that 1</w:t>
      </w:r>
      <w:r w:rsidRPr="006E5AD6">
        <w:rPr>
          <w:sz w:val="24"/>
          <w:szCs w:val="24"/>
          <w:lang w:val="en-US"/>
        </w:rPr>
        <w:t xml:space="preserve"> </w:t>
      </w:r>
      <w:r>
        <w:rPr>
          <w:sz w:val="24"/>
          <w:szCs w:val="24"/>
        </w:rPr>
        <w:t>=</w:t>
      </w:r>
      <w:r w:rsidRPr="006E5AD6">
        <w:rPr>
          <w:sz w:val="24"/>
          <w:szCs w:val="24"/>
          <w:lang w:val="en-US"/>
        </w:rPr>
        <w:t xml:space="preserve"> </w:t>
      </w:r>
      <w:r>
        <w:rPr>
          <w:sz w:val="24"/>
          <w:szCs w:val="24"/>
        </w:rPr>
        <w:t>5</w:t>
      </w:r>
      <w:r w:rsidRPr="006E5AD6">
        <w:rPr>
          <w:sz w:val="24"/>
          <w:szCs w:val="24"/>
          <w:lang w:val="en-US"/>
        </w:rPr>
        <w:t xml:space="preserve"> </w:t>
      </w:r>
      <w:r>
        <w:rPr>
          <w:sz w:val="24"/>
          <w:szCs w:val="24"/>
        </w:rPr>
        <w:t>=</w:t>
      </w:r>
      <w:r w:rsidRPr="006E5AD6">
        <w:rPr>
          <w:sz w:val="24"/>
          <w:szCs w:val="24"/>
          <w:lang w:val="en-US"/>
        </w:rPr>
        <w:t xml:space="preserve"> </w:t>
      </w:r>
      <w:r>
        <w:rPr>
          <w:sz w:val="24"/>
          <w:szCs w:val="24"/>
        </w:rPr>
        <w:t>1; for the same reason we assumed that 2</w:t>
      </w:r>
      <w:r w:rsidRPr="006E5AD6">
        <w:rPr>
          <w:sz w:val="24"/>
          <w:szCs w:val="24"/>
          <w:lang w:val="en-US"/>
        </w:rPr>
        <w:t xml:space="preserve"> </w:t>
      </w:r>
      <w:r>
        <w:rPr>
          <w:sz w:val="24"/>
          <w:szCs w:val="24"/>
        </w:rPr>
        <w:t>=</w:t>
      </w:r>
      <w:r w:rsidRPr="006E5AD6">
        <w:rPr>
          <w:sz w:val="24"/>
          <w:szCs w:val="24"/>
          <w:lang w:val="en-US"/>
        </w:rPr>
        <w:t xml:space="preserve"> </w:t>
      </w:r>
      <w:r>
        <w:rPr>
          <w:sz w:val="24"/>
          <w:szCs w:val="24"/>
        </w:rPr>
        <w:t>4</w:t>
      </w:r>
      <w:r w:rsidRPr="006E5AD6">
        <w:rPr>
          <w:sz w:val="24"/>
          <w:szCs w:val="24"/>
          <w:lang w:val="en-US"/>
        </w:rPr>
        <w:t xml:space="preserve"> </w:t>
      </w:r>
      <w:r>
        <w:rPr>
          <w:sz w:val="24"/>
          <w:szCs w:val="24"/>
        </w:rPr>
        <w:t>=</w:t>
      </w:r>
      <w:r w:rsidRPr="006E5AD6">
        <w:rPr>
          <w:sz w:val="24"/>
          <w:szCs w:val="24"/>
          <w:lang w:val="en-US"/>
        </w:rPr>
        <w:t xml:space="preserve"> </w:t>
      </w:r>
      <w:r>
        <w:rPr>
          <w:sz w:val="24"/>
          <w:szCs w:val="24"/>
        </w:rPr>
        <w:t xml:space="preserve">2. As initial results from the volunteer study suggested preparations resulted in differing volumes between early morning and evening studies, scans were therefore divided into before or after 11.00 am for both studies. </w:t>
      </w:r>
      <w:r w:rsidRPr="008A488E">
        <w:rPr>
          <w:sz w:val="24"/>
          <w:szCs w:val="24"/>
        </w:rPr>
        <w:t>This time was chosen to represent a mid-</w:t>
      </w:r>
      <w:r w:rsidRPr="008A488E">
        <w:rPr>
          <w:sz w:val="24"/>
          <w:szCs w:val="24"/>
        </w:rPr>
        <w:lastRenderedPageBreak/>
        <w:t>morning cut-o</w:t>
      </w:r>
      <w:r>
        <w:rPr>
          <w:sz w:val="24"/>
          <w:szCs w:val="24"/>
        </w:rPr>
        <w:t>ff, and was selected a priori for</w:t>
      </w:r>
      <w:r w:rsidRPr="008A488E">
        <w:rPr>
          <w:sz w:val="24"/>
          <w:szCs w:val="24"/>
        </w:rPr>
        <w:t xml:space="preserve"> analysis and independent of patient numbers per group.</w:t>
      </w:r>
      <w:r w:rsidR="00E27DAB" w:rsidRPr="00E27DAB">
        <w:rPr>
          <w:sz w:val="24"/>
          <w:szCs w:val="24"/>
          <w:lang w:val="en-US"/>
        </w:rPr>
        <w:t xml:space="preserve"> </w:t>
      </w:r>
      <w:r w:rsidR="00E27DAB">
        <w:rPr>
          <w:sz w:val="24"/>
          <w:szCs w:val="24"/>
          <w:lang w:val="en-US"/>
        </w:rPr>
        <w:t xml:space="preserve">Data were analysed using GraphPad Prism (GraphPad Software, La Jolla, USA). </w:t>
      </w:r>
    </w:p>
    <w:p w:rsidR="00F61815" w:rsidRPr="00FE69D3" w:rsidRDefault="00F61815" w:rsidP="00FE69D3">
      <w:pPr>
        <w:autoSpaceDE w:val="0"/>
        <w:autoSpaceDN w:val="0"/>
        <w:adjustRightInd w:val="0"/>
        <w:spacing w:after="0" w:line="480" w:lineRule="auto"/>
        <w:ind w:firstLine="708"/>
        <w:rPr>
          <w:sz w:val="24"/>
          <w:szCs w:val="24"/>
        </w:rPr>
      </w:pPr>
      <w:r>
        <w:rPr>
          <w:b/>
          <w:sz w:val="24"/>
          <w:szCs w:val="24"/>
        </w:rPr>
        <w:t>Results</w:t>
      </w:r>
    </w:p>
    <w:p w:rsidR="00F61815" w:rsidRDefault="00F61815" w:rsidP="00CC1043">
      <w:pPr>
        <w:spacing w:line="480" w:lineRule="auto"/>
        <w:rPr>
          <w:i/>
          <w:sz w:val="24"/>
          <w:szCs w:val="24"/>
        </w:rPr>
      </w:pPr>
      <w:bookmarkStart w:id="0" w:name="OLE_LINK2"/>
      <w:r w:rsidRPr="0083470D">
        <w:rPr>
          <w:i/>
          <w:sz w:val="24"/>
          <w:szCs w:val="24"/>
        </w:rPr>
        <w:t>Normal volunteers study</w:t>
      </w:r>
    </w:p>
    <w:p w:rsidR="00F61815" w:rsidRDefault="00F61815" w:rsidP="008D2057">
      <w:pPr>
        <w:spacing w:line="480" w:lineRule="auto"/>
        <w:ind w:firstLine="708"/>
        <w:rPr>
          <w:b/>
          <w:sz w:val="24"/>
          <w:szCs w:val="24"/>
        </w:rPr>
      </w:pPr>
      <w:r>
        <w:rPr>
          <w:sz w:val="24"/>
          <w:szCs w:val="24"/>
        </w:rPr>
        <w:t>The median bladder volumes for the bladder distension scores were: 91.9 (75.4</w:t>
      </w:r>
      <w:r w:rsidRPr="002B0960">
        <w:rPr>
          <w:sz w:val="24"/>
          <w:szCs w:val="24"/>
        </w:rPr>
        <w:t>–</w:t>
      </w:r>
      <w:r>
        <w:rPr>
          <w:sz w:val="24"/>
          <w:szCs w:val="24"/>
        </w:rPr>
        <w:t xml:space="preserve">97.8) </w:t>
      </w:r>
      <w:bookmarkStart w:id="1" w:name="OLE_LINK1"/>
      <w:r>
        <w:rPr>
          <w:sz w:val="24"/>
          <w:szCs w:val="24"/>
        </w:rPr>
        <w:t>mm</w:t>
      </w:r>
      <w:r>
        <w:rPr>
          <w:sz w:val="24"/>
          <w:szCs w:val="24"/>
          <w:vertAlign w:val="superscript"/>
        </w:rPr>
        <w:t>3</w:t>
      </w:r>
      <w:bookmarkEnd w:id="1"/>
      <w:r>
        <w:rPr>
          <w:sz w:val="24"/>
          <w:szCs w:val="24"/>
        </w:rPr>
        <w:t>, 134.2 (94.3</w:t>
      </w:r>
      <w:r w:rsidRPr="002B0960">
        <w:rPr>
          <w:sz w:val="24"/>
          <w:szCs w:val="24"/>
        </w:rPr>
        <w:t>–</w:t>
      </w:r>
      <w:r>
        <w:rPr>
          <w:sz w:val="24"/>
          <w:szCs w:val="24"/>
        </w:rPr>
        <w:t>163.0) mm</w:t>
      </w:r>
      <w:r>
        <w:rPr>
          <w:sz w:val="24"/>
          <w:szCs w:val="24"/>
          <w:vertAlign w:val="superscript"/>
        </w:rPr>
        <w:t>3</w:t>
      </w:r>
      <w:r>
        <w:rPr>
          <w:sz w:val="24"/>
          <w:szCs w:val="24"/>
        </w:rPr>
        <w:t>, 202.4 (157.0</w:t>
      </w:r>
      <w:r w:rsidRPr="002B0960">
        <w:rPr>
          <w:sz w:val="24"/>
          <w:szCs w:val="24"/>
        </w:rPr>
        <w:t>–</w:t>
      </w:r>
      <w:r>
        <w:rPr>
          <w:sz w:val="24"/>
          <w:szCs w:val="24"/>
        </w:rPr>
        <w:t>317.0) mm</w:t>
      </w:r>
      <w:r>
        <w:rPr>
          <w:sz w:val="24"/>
          <w:szCs w:val="24"/>
          <w:vertAlign w:val="superscript"/>
        </w:rPr>
        <w:t>3</w:t>
      </w:r>
      <w:r>
        <w:rPr>
          <w:sz w:val="24"/>
          <w:szCs w:val="24"/>
        </w:rPr>
        <w:t>, 350.6 (328.6</w:t>
      </w:r>
      <w:r w:rsidRPr="002B0960">
        <w:rPr>
          <w:sz w:val="24"/>
          <w:szCs w:val="24"/>
        </w:rPr>
        <w:t>–</w:t>
      </w:r>
      <w:r>
        <w:rPr>
          <w:sz w:val="24"/>
          <w:szCs w:val="24"/>
        </w:rPr>
        <w:t>414.2) mm</w:t>
      </w:r>
      <w:r>
        <w:rPr>
          <w:sz w:val="24"/>
          <w:szCs w:val="24"/>
          <w:vertAlign w:val="superscript"/>
        </w:rPr>
        <w:t>3</w:t>
      </w:r>
      <w:r>
        <w:rPr>
          <w:sz w:val="24"/>
          <w:szCs w:val="24"/>
        </w:rPr>
        <w:t>, and 454.2 (415.8</w:t>
      </w:r>
      <w:r w:rsidRPr="002B0960">
        <w:rPr>
          <w:sz w:val="24"/>
          <w:szCs w:val="24"/>
        </w:rPr>
        <w:t>–</w:t>
      </w:r>
      <w:r>
        <w:rPr>
          <w:sz w:val="24"/>
          <w:szCs w:val="24"/>
        </w:rPr>
        <w:t>539.1) mm</w:t>
      </w:r>
      <w:r>
        <w:rPr>
          <w:sz w:val="24"/>
          <w:szCs w:val="24"/>
          <w:vertAlign w:val="superscript"/>
        </w:rPr>
        <w:t xml:space="preserve">3 </w:t>
      </w:r>
      <w:r>
        <w:rPr>
          <w:sz w:val="24"/>
          <w:szCs w:val="24"/>
        </w:rPr>
        <w:t>for scores 1, 2, 3, 4 and 5, respectively. There was a significant difference in the bladder volumes in NVs between all scoring groups when compared to each other (</w:t>
      </w:r>
      <w:r>
        <w:rPr>
          <w:i/>
          <w:sz w:val="24"/>
          <w:szCs w:val="24"/>
          <w:lang w:val="en-US"/>
        </w:rPr>
        <w:t>p</w:t>
      </w:r>
      <w:r>
        <w:rPr>
          <w:sz w:val="24"/>
          <w:szCs w:val="24"/>
        </w:rPr>
        <w:t xml:space="preserve"> &lt; 0.05 for all) </w:t>
      </w:r>
      <w:r w:rsidRPr="00D809AA">
        <w:rPr>
          <w:sz w:val="24"/>
          <w:szCs w:val="24"/>
        </w:rPr>
        <w:t>(Fig. 2).</w:t>
      </w:r>
      <w:r>
        <w:rPr>
          <w:sz w:val="24"/>
          <w:szCs w:val="24"/>
        </w:rPr>
        <w:t xml:space="preserve"> </w:t>
      </w:r>
      <w:bookmarkEnd w:id="0"/>
    </w:p>
    <w:p w:rsidR="00F61815" w:rsidRDefault="00F61815" w:rsidP="00D6414C">
      <w:pPr>
        <w:spacing w:line="480" w:lineRule="auto"/>
        <w:ind w:firstLine="708"/>
        <w:rPr>
          <w:sz w:val="24"/>
          <w:szCs w:val="24"/>
        </w:rPr>
      </w:pPr>
      <w:r>
        <w:rPr>
          <w:sz w:val="24"/>
          <w:szCs w:val="24"/>
        </w:rPr>
        <w:t xml:space="preserve">Distribution of BD scores depending on scan order and corresponding preparation is summarised in </w:t>
      </w:r>
      <w:r w:rsidRPr="00D809AA">
        <w:rPr>
          <w:sz w:val="24"/>
          <w:szCs w:val="24"/>
        </w:rPr>
        <w:t>Table 2</w:t>
      </w:r>
      <w:r>
        <w:rPr>
          <w:sz w:val="24"/>
          <w:szCs w:val="24"/>
        </w:rPr>
        <w:t>. The overall mean BD scores were: 2.2 (</w:t>
      </w:r>
      <w:r w:rsidRPr="000C4ED8">
        <w:rPr>
          <w:sz w:val="24"/>
          <w:szCs w:val="24"/>
        </w:rPr>
        <w:t>±</w:t>
      </w:r>
      <w:r>
        <w:rPr>
          <w:sz w:val="24"/>
          <w:szCs w:val="24"/>
        </w:rPr>
        <w:t>0.</w:t>
      </w:r>
      <w:r w:rsidRPr="00692F09">
        <w:rPr>
          <w:sz w:val="24"/>
          <w:szCs w:val="24"/>
          <w:lang w:val="en-US"/>
        </w:rPr>
        <w:t>9</w:t>
      </w:r>
      <w:r>
        <w:rPr>
          <w:sz w:val="24"/>
          <w:szCs w:val="24"/>
        </w:rPr>
        <w:t>), 1.</w:t>
      </w:r>
      <w:r w:rsidRPr="00FA05A7">
        <w:rPr>
          <w:sz w:val="24"/>
          <w:szCs w:val="24"/>
          <w:lang w:val="en-US"/>
        </w:rPr>
        <w:t>7</w:t>
      </w:r>
      <w:r>
        <w:rPr>
          <w:sz w:val="24"/>
          <w:szCs w:val="24"/>
        </w:rPr>
        <w:t xml:space="preserve"> (</w:t>
      </w:r>
      <w:r w:rsidRPr="000C4ED8">
        <w:rPr>
          <w:sz w:val="24"/>
          <w:szCs w:val="24"/>
        </w:rPr>
        <w:t>±</w:t>
      </w:r>
      <w:r>
        <w:rPr>
          <w:sz w:val="24"/>
          <w:szCs w:val="24"/>
        </w:rPr>
        <w:t>0.7), 1.6 (</w:t>
      </w:r>
      <w:r w:rsidRPr="000C4ED8">
        <w:rPr>
          <w:sz w:val="24"/>
          <w:szCs w:val="24"/>
        </w:rPr>
        <w:t>±</w:t>
      </w:r>
      <w:r>
        <w:rPr>
          <w:sz w:val="24"/>
          <w:szCs w:val="24"/>
        </w:rPr>
        <w:t>0.5), and 1.</w:t>
      </w:r>
      <w:r w:rsidRPr="00FA05A7">
        <w:rPr>
          <w:sz w:val="24"/>
          <w:szCs w:val="24"/>
          <w:lang w:val="en-US"/>
        </w:rPr>
        <w:t>4</w:t>
      </w:r>
      <w:r>
        <w:rPr>
          <w:sz w:val="24"/>
          <w:szCs w:val="24"/>
        </w:rPr>
        <w:t xml:space="preserve"> (</w:t>
      </w:r>
      <w:r w:rsidRPr="000C4ED8">
        <w:rPr>
          <w:sz w:val="24"/>
          <w:szCs w:val="24"/>
        </w:rPr>
        <w:t>±</w:t>
      </w:r>
      <w:r>
        <w:rPr>
          <w:sz w:val="24"/>
          <w:szCs w:val="24"/>
        </w:rPr>
        <w:t>0.5) for preparations 1, 2, 3 and 4, respectively. However, when patients were subdivided into those who underwent scanning before 11.00am (early morning scans) and after 11.00am (afternoon scans), the mean BD scores in early morning scans were: 1 (</w:t>
      </w:r>
      <w:r w:rsidRPr="000C4ED8">
        <w:rPr>
          <w:sz w:val="24"/>
          <w:szCs w:val="24"/>
        </w:rPr>
        <w:t>±</w:t>
      </w:r>
      <w:r>
        <w:rPr>
          <w:sz w:val="24"/>
          <w:szCs w:val="24"/>
        </w:rPr>
        <w:t>0), 1 (</w:t>
      </w:r>
      <w:r w:rsidRPr="000C4ED8">
        <w:rPr>
          <w:sz w:val="24"/>
          <w:szCs w:val="24"/>
        </w:rPr>
        <w:t>±</w:t>
      </w:r>
      <w:r>
        <w:rPr>
          <w:sz w:val="24"/>
          <w:szCs w:val="24"/>
        </w:rPr>
        <w:t>0), 1.8 (</w:t>
      </w:r>
      <w:r w:rsidRPr="000C4ED8">
        <w:rPr>
          <w:sz w:val="24"/>
          <w:szCs w:val="24"/>
        </w:rPr>
        <w:t>±</w:t>
      </w:r>
      <w:r>
        <w:rPr>
          <w:sz w:val="24"/>
          <w:szCs w:val="24"/>
        </w:rPr>
        <w:t>0.5), and 1.4 (</w:t>
      </w:r>
      <w:r w:rsidRPr="000C4ED8">
        <w:rPr>
          <w:sz w:val="24"/>
          <w:szCs w:val="24"/>
        </w:rPr>
        <w:t>±</w:t>
      </w:r>
      <w:r>
        <w:rPr>
          <w:sz w:val="24"/>
          <w:szCs w:val="24"/>
        </w:rPr>
        <w:t>0.5), with volumes of 175.1 (49.9</w:t>
      </w:r>
      <w:r w:rsidRPr="002B0960">
        <w:rPr>
          <w:sz w:val="24"/>
          <w:szCs w:val="24"/>
        </w:rPr>
        <w:t>–</w:t>
      </w:r>
      <w:r>
        <w:rPr>
          <w:sz w:val="24"/>
          <w:szCs w:val="24"/>
        </w:rPr>
        <w:t>300.3) mm</w:t>
      </w:r>
      <w:r>
        <w:rPr>
          <w:sz w:val="24"/>
          <w:szCs w:val="24"/>
          <w:vertAlign w:val="superscript"/>
        </w:rPr>
        <w:t>3</w:t>
      </w:r>
      <w:r>
        <w:rPr>
          <w:sz w:val="24"/>
          <w:szCs w:val="24"/>
        </w:rPr>
        <w:t>, 75.4 (61.6</w:t>
      </w:r>
      <w:r w:rsidRPr="002B0960">
        <w:rPr>
          <w:sz w:val="24"/>
          <w:szCs w:val="24"/>
        </w:rPr>
        <w:t>–</w:t>
      </w:r>
      <w:r>
        <w:rPr>
          <w:sz w:val="24"/>
          <w:szCs w:val="24"/>
        </w:rPr>
        <w:t>97.8) mm</w:t>
      </w:r>
      <w:r>
        <w:rPr>
          <w:sz w:val="24"/>
          <w:szCs w:val="24"/>
          <w:vertAlign w:val="superscript"/>
        </w:rPr>
        <w:t>3</w:t>
      </w:r>
      <w:r>
        <w:rPr>
          <w:sz w:val="24"/>
          <w:szCs w:val="24"/>
        </w:rPr>
        <w:t>, 90.9 (82.4</w:t>
      </w:r>
      <w:r w:rsidRPr="002B0960">
        <w:rPr>
          <w:sz w:val="24"/>
          <w:szCs w:val="24"/>
        </w:rPr>
        <w:t>–</w:t>
      </w:r>
      <w:r>
        <w:rPr>
          <w:sz w:val="24"/>
          <w:szCs w:val="24"/>
        </w:rPr>
        <w:t>351.3) mm</w:t>
      </w:r>
      <w:r>
        <w:rPr>
          <w:sz w:val="24"/>
          <w:szCs w:val="24"/>
          <w:vertAlign w:val="superscript"/>
        </w:rPr>
        <w:t>3</w:t>
      </w:r>
      <w:r>
        <w:rPr>
          <w:sz w:val="24"/>
          <w:szCs w:val="24"/>
        </w:rPr>
        <w:t>, and 106.5 (80.1</w:t>
      </w:r>
      <w:r w:rsidRPr="002B0960">
        <w:rPr>
          <w:sz w:val="24"/>
          <w:szCs w:val="24"/>
        </w:rPr>
        <w:t>–</w:t>
      </w:r>
      <w:r>
        <w:rPr>
          <w:sz w:val="24"/>
          <w:szCs w:val="24"/>
        </w:rPr>
        <w:t>361.0) mm</w:t>
      </w:r>
      <w:r>
        <w:rPr>
          <w:sz w:val="24"/>
          <w:szCs w:val="24"/>
          <w:vertAlign w:val="superscript"/>
        </w:rPr>
        <w:t>3</w:t>
      </w:r>
      <w:r>
        <w:rPr>
          <w:sz w:val="24"/>
          <w:szCs w:val="24"/>
        </w:rPr>
        <w:t>, respectively. In afternoon scans, BD scores became: 2.4 (</w:t>
      </w:r>
      <w:r w:rsidRPr="000C4ED8">
        <w:rPr>
          <w:sz w:val="24"/>
          <w:szCs w:val="24"/>
        </w:rPr>
        <w:t>±</w:t>
      </w:r>
      <w:r>
        <w:rPr>
          <w:sz w:val="24"/>
          <w:szCs w:val="24"/>
        </w:rPr>
        <w:t>0.8), 1.8 (</w:t>
      </w:r>
      <w:r w:rsidRPr="000C4ED8">
        <w:rPr>
          <w:sz w:val="24"/>
          <w:szCs w:val="24"/>
        </w:rPr>
        <w:t>±</w:t>
      </w:r>
      <w:r>
        <w:rPr>
          <w:sz w:val="24"/>
          <w:szCs w:val="24"/>
        </w:rPr>
        <w:t>0.7), 1.6 (</w:t>
      </w:r>
      <w:r w:rsidRPr="000C4ED8">
        <w:rPr>
          <w:sz w:val="24"/>
          <w:szCs w:val="24"/>
        </w:rPr>
        <w:t>±</w:t>
      </w:r>
      <w:r>
        <w:rPr>
          <w:sz w:val="24"/>
          <w:szCs w:val="24"/>
        </w:rPr>
        <w:t>0.5), and 1.4 (</w:t>
      </w:r>
      <w:r w:rsidRPr="000C4ED8">
        <w:rPr>
          <w:sz w:val="24"/>
          <w:szCs w:val="24"/>
        </w:rPr>
        <w:t>±</w:t>
      </w:r>
      <w:r>
        <w:rPr>
          <w:sz w:val="24"/>
          <w:szCs w:val="24"/>
        </w:rPr>
        <w:t>0.5), with volumes of 170.6 (123.4</w:t>
      </w:r>
      <w:r w:rsidRPr="002B0960">
        <w:rPr>
          <w:sz w:val="24"/>
          <w:szCs w:val="24"/>
        </w:rPr>
        <w:t>–</w:t>
      </w:r>
      <w:r>
        <w:rPr>
          <w:sz w:val="24"/>
          <w:szCs w:val="24"/>
        </w:rPr>
        <w:t>333.4) mm</w:t>
      </w:r>
      <w:r>
        <w:rPr>
          <w:sz w:val="24"/>
          <w:szCs w:val="24"/>
          <w:vertAlign w:val="superscript"/>
        </w:rPr>
        <w:t>3</w:t>
      </w:r>
      <w:r>
        <w:rPr>
          <w:sz w:val="24"/>
          <w:szCs w:val="24"/>
        </w:rPr>
        <w:t>, 136.8 (109.6</w:t>
      </w:r>
      <w:r w:rsidRPr="002B0960">
        <w:rPr>
          <w:sz w:val="24"/>
          <w:szCs w:val="24"/>
        </w:rPr>
        <w:t>–</w:t>
      </w:r>
      <w:r>
        <w:rPr>
          <w:sz w:val="24"/>
          <w:szCs w:val="24"/>
        </w:rPr>
        <w:t>245.9) mm</w:t>
      </w:r>
      <w:r>
        <w:rPr>
          <w:sz w:val="24"/>
          <w:szCs w:val="24"/>
          <w:vertAlign w:val="superscript"/>
        </w:rPr>
        <w:t>3</w:t>
      </w:r>
      <w:r>
        <w:rPr>
          <w:sz w:val="24"/>
          <w:szCs w:val="24"/>
        </w:rPr>
        <w:t>, 344.0 (170.5</w:t>
      </w:r>
      <w:r w:rsidRPr="002B0960">
        <w:rPr>
          <w:sz w:val="24"/>
          <w:szCs w:val="24"/>
        </w:rPr>
        <w:t>–</w:t>
      </w:r>
      <w:r>
        <w:rPr>
          <w:sz w:val="24"/>
          <w:szCs w:val="24"/>
        </w:rPr>
        <w:t>433.1) mm</w:t>
      </w:r>
      <w:r>
        <w:rPr>
          <w:sz w:val="24"/>
          <w:szCs w:val="24"/>
          <w:vertAlign w:val="superscript"/>
        </w:rPr>
        <w:t>3</w:t>
      </w:r>
      <w:r>
        <w:rPr>
          <w:sz w:val="24"/>
          <w:szCs w:val="24"/>
        </w:rPr>
        <w:t>, and 451.7 (328.6</w:t>
      </w:r>
      <w:r w:rsidRPr="002B0960">
        <w:rPr>
          <w:sz w:val="24"/>
          <w:szCs w:val="24"/>
        </w:rPr>
        <w:t>–</w:t>
      </w:r>
      <w:r>
        <w:rPr>
          <w:sz w:val="24"/>
          <w:szCs w:val="24"/>
        </w:rPr>
        <w:t>531.5) mm</w:t>
      </w:r>
      <w:r>
        <w:rPr>
          <w:sz w:val="24"/>
          <w:szCs w:val="24"/>
          <w:vertAlign w:val="superscript"/>
        </w:rPr>
        <w:t>3</w:t>
      </w:r>
      <w:r>
        <w:rPr>
          <w:sz w:val="24"/>
          <w:szCs w:val="24"/>
        </w:rPr>
        <w:t>.  Although there was no significant difference between the original and subdivided scores (</w:t>
      </w:r>
      <w:r w:rsidR="00A97859">
        <w:rPr>
          <w:i/>
          <w:sz w:val="24"/>
          <w:szCs w:val="24"/>
          <w:lang w:val="en-US"/>
        </w:rPr>
        <w:t>P</w:t>
      </w:r>
      <w:r>
        <w:rPr>
          <w:sz w:val="24"/>
          <w:szCs w:val="24"/>
        </w:rPr>
        <w:t xml:space="preserve"> &gt; 0.05 for all), it is of note that in early morning scans the highest average BD score was observed in preparation 3 (drink 250 mL and void 1 hour prior) while in the afternoon scans it was preparation 1 (void 2 hours prior) that led to the highest average score. </w:t>
      </w:r>
      <w:r>
        <w:rPr>
          <w:sz w:val="24"/>
          <w:szCs w:val="24"/>
          <w:lang w:val="en-US"/>
        </w:rPr>
        <w:t>Overall, preparation 1 showed the strongest positive correlation with the BD score (r</w:t>
      </w:r>
      <w:r>
        <w:rPr>
          <w:sz w:val="24"/>
          <w:szCs w:val="24"/>
          <w:vertAlign w:val="subscript"/>
          <w:lang w:val="en-US"/>
        </w:rPr>
        <w:t>s</w:t>
      </w:r>
      <w:r>
        <w:rPr>
          <w:sz w:val="24"/>
          <w:szCs w:val="24"/>
          <w:lang w:val="en-US"/>
        </w:rPr>
        <w:t xml:space="preserve">=0.470; </w:t>
      </w:r>
      <w:r w:rsidR="00A97859">
        <w:rPr>
          <w:i/>
          <w:sz w:val="24"/>
          <w:szCs w:val="24"/>
          <w:lang w:val="en-US"/>
        </w:rPr>
        <w:t>P</w:t>
      </w:r>
      <w:r>
        <w:rPr>
          <w:sz w:val="24"/>
          <w:szCs w:val="24"/>
          <w:lang w:val="en-US"/>
        </w:rPr>
        <w:t xml:space="preserve"> &lt; 0.001) and led to 7 out of 9 scores of “3” </w:t>
      </w:r>
      <w:r>
        <w:rPr>
          <w:sz w:val="24"/>
          <w:szCs w:val="24"/>
          <w:lang w:val="en-US"/>
        </w:rPr>
        <w:lastRenderedPageBreak/>
        <w:t>(all in the afternoon scans). Preparation 3, in turn, had no significant impact on BD score (r</w:t>
      </w:r>
      <w:r>
        <w:rPr>
          <w:sz w:val="24"/>
          <w:szCs w:val="24"/>
          <w:vertAlign w:val="subscript"/>
          <w:lang w:val="en-US"/>
        </w:rPr>
        <w:t>s</w:t>
      </w:r>
      <w:r>
        <w:rPr>
          <w:sz w:val="24"/>
          <w:szCs w:val="24"/>
          <w:lang w:val="en-US"/>
        </w:rPr>
        <w:t xml:space="preserve">=0.461; </w:t>
      </w:r>
      <w:r w:rsidR="00A97859">
        <w:rPr>
          <w:i/>
          <w:sz w:val="24"/>
          <w:szCs w:val="24"/>
          <w:lang w:val="en-US"/>
        </w:rPr>
        <w:t>P</w:t>
      </w:r>
      <w:r w:rsidRPr="00D2138F">
        <w:rPr>
          <w:sz w:val="24"/>
          <w:szCs w:val="24"/>
          <w:lang w:val="en-US"/>
        </w:rPr>
        <w:t xml:space="preserve"> =</w:t>
      </w:r>
      <w:r>
        <w:rPr>
          <w:sz w:val="24"/>
          <w:szCs w:val="24"/>
          <w:lang w:val="en-US"/>
        </w:rPr>
        <w:t xml:space="preserve"> </w:t>
      </w:r>
      <w:r w:rsidRPr="00D2138F">
        <w:rPr>
          <w:sz w:val="24"/>
          <w:szCs w:val="24"/>
          <w:lang w:val="en-US"/>
        </w:rPr>
        <w:t>0.06</w:t>
      </w:r>
      <w:r>
        <w:rPr>
          <w:sz w:val="24"/>
          <w:szCs w:val="24"/>
          <w:lang w:val="en-US"/>
        </w:rPr>
        <w:t xml:space="preserve">).    </w:t>
      </w:r>
    </w:p>
    <w:p w:rsidR="00F61815" w:rsidRDefault="00F61815" w:rsidP="00CC1043">
      <w:pPr>
        <w:spacing w:line="480" w:lineRule="auto"/>
        <w:rPr>
          <w:i/>
          <w:sz w:val="24"/>
          <w:szCs w:val="24"/>
        </w:rPr>
      </w:pPr>
      <w:r>
        <w:rPr>
          <w:i/>
          <w:sz w:val="24"/>
          <w:szCs w:val="24"/>
        </w:rPr>
        <w:t>Questionnaire</w:t>
      </w:r>
      <w:r w:rsidRPr="0083470D">
        <w:rPr>
          <w:i/>
          <w:sz w:val="24"/>
          <w:szCs w:val="24"/>
        </w:rPr>
        <w:t xml:space="preserve"> study</w:t>
      </w:r>
    </w:p>
    <w:p w:rsidR="00F61815" w:rsidRPr="00D2138F" w:rsidRDefault="00F61815" w:rsidP="008D2057">
      <w:pPr>
        <w:spacing w:line="480" w:lineRule="auto"/>
        <w:ind w:firstLine="708"/>
        <w:rPr>
          <w:sz w:val="24"/>
          <w:szCs w:val="24"/>
        </w:rPr>
      </w:pPr>
      <w:r>
        <w:rPr>
          <w:sz w:val="24"/>
          <w:szCs w:val="24"/>
          <w:lang w:val="en-US"/>
        </w:rPr>
        <w:t xml:space="preserve">The median age of patients enrolled in this study was </w:t>
      </w:r>
      <w:r>
        <w:rPr>
          <w:sz w:val="24"/>
          <w:szCs w:val="24"/>
        </w:rPr>
        <w:t>65.5 (59.0</w:t>
      </w:r>
      <w:r w:rsidRPr="002B0960">
        <w:rPr>
          <w:sz w:val="24"/>
          <w:szCs w:val="24"/>
        </w:rPr>
        <w:t>–</w:t>
      </w:r>
      <w:r>
        <w:rPr>
          <w:sz w:val="24"/>
          <w:szCs w:val="24"/>
        </w:rPr>
        <w:t>70.0) years; the median prostate volume and serum creatinine level were 49.6 (33.0</w:t>
      </w:r>
      <w:r w:rsidRPr="002B0960">
        <w:rPr>
          <w:sz w:val="24"/>
          <w:szCs w:val="24"/>
        </w:rPr>
        <w:t>–</w:t>
      </w:r>
      <w:r>
        <w:rPr>
          <w:sz w:val="24"/>
          <w:szCs w:val="24"/>
        </w:rPr>
        <w:t>71.8) mm</w:t>
      </w:r>
      <w:r>
        <w:rPr>
          <w:sz w:val="24"/>
          <w:szCs w:val="24"/>
          <w:vertAlign w:val="superscript"/>
        </w:rPr>
        <w:t>3</w:t>
      </w:r>
      <w:r>
        <w:rPr>
          <w:sz w:val="24"/>
          <w:szCs w:val="24"/>
        </w:rPr>
        <w:t xml:space="preserve"> and 84 (71.8</w:t>
      </w:r>
      <w:r w:rsidRPr="002B0960">
        <w:rPr>
          <w:sz w:val="24"/>
          <w:szCs w:val="24"/>
        </w:rPr>
        <w:t>–</w:t>
      </w:r>
      <w:r>
        <w:rPr>
          <w:sz w:val="24"/>
          <w:szCs w:val="24"/>
        </w:rPr>
        <w:t xml:space="preserve">94.0) </w:t>
      </w:r>
      <w:r w:rsidRPr="00637AEB">
        <w:rPr>
          <w:sz w:val="24"/>
          <w:szCs w:val="24"/>
        </w:rPr>
        <w:t>µmol/L</w:t>
      </w:r>
      <w:r>
        <w:rPr>
          <w:sz w:val="24"/>
          <w:szCs w:val="24"/>
        </w:rPr>
        <w:t>, respectively. In patients with different bladder distention scores, the median bladder volumes were: 59.0 (42.7</w:t>
      </w:r>
      <w:r w:rsidRPr="002B0960">
        <w:rPr>
          <w:sz w:val="24"/>
          <w:szCs w:val="24"/>
        </w:rPr>
        <w:t>–</w:t>
      </w:r>
      <w:r>
        <w:rPr>
          <w:sz w:val="24"/>
          <w:szCs w:val="24"/>
        </w:rPr>
        <w:t>60.1) (n = 3), 95.4 (78.3</w:t>
      </w:r>
      <w:r w:rsidRPr="002B0960">
        <w:rPr>
          <w:sz w:val="24"/>
          <w:szCs w:val="24"/>
        </w:rPr>
        <w:t>–</w:t>
      </w:r>
      <w:r>
        <w:rPr>
          <w:sz w:val="24"/>
          <w:szCs w:val="24"/>
        </w:rPr>
        <w:t>117.0) mm</w:t>
      </w:r>
      <w:r>
        <w:rPr>
          <w:sz w:val="24"/>
          <w:szCs w:val="24"/>
          <w:vertAlign w:val="superscript"/>
        </w:rPr>
        <w:t>3</w:t>
      </w:r>
      <w:r>
        <w:rPr>
          <w:sz w:val="24"/>
          <w:szCs w:val="24"/>
        </w:rPr>
        <w:t xml:space="preserve"> (n = 36), 170.3 (137.9</w:t>
      </w:r>
      <w:r w:rsidRPr="002B0960">
        <w:rPr>
          <w:sz w:val="24"/>
          <w:szCs w:val="24"/>
        </w:rPr>
        <w:t>–</w:t>
      </w:r>
      <w:r>
        <w:rPr>
          <w:sz w:val="24"/>
          <w:szCs w:val="24"/>
        </w:rPr>
        <w:t>202.3) mm</w:t>
      </w:r>
      <w:r>
        <w:rPr>
          <w:sz w:val="24"/>
          <w:szCs w:val="24"/>
          <w:vertAlign w:val="superscript"/>
        </w:rPr>
        <w:t>3</w:t>
      </w:r>
      <w:r>
        <w:rPr>
          <w:sz w:val="24"/>
          <w:szCs w:val="24"/>
        </w:rPr>
        <w:t xml:space="preserve"> (n = 41), 253.4 (224.2</w:t>
      </w:r>
      <w:r w:rsidRPr="002B0960">
        <w:rPr>
          <w:sz w:val="24"/>
          <w:szCs w:val="24"/>
        </w:rPr>
        <w:t>–</w:t>
      </w:r>
      <w:r>
        <w:rPr>
          <w:sz w:val="24"/>
          <w:szCs w:val="24"/>
        </w:rPr>
        <w:t>284.4) mm</w:t>
      </w:r>
      <w:r>
        <w:rPr>
          <w:sz w:val="24"/>
          <w:szCs w:val="24"/>
          <w:vertAlign w:val="superscript"/>
        </w:rPr>
        <w:t>3</w:t>
      </w:r>
      <w:r>
        <w:rPr>
          <w:sz w:val="24"/>
          <w:szCs w:val="24"/>
        </w:rPr>
        <w:t xml:space="preserve"> (n = 9), and 273.2 (236.5</w:t>
      </w:r>
      <w:r w:rsidRPr="002B0960">
        <w:rPr>
          <w:sz w:val="24"/>
          <w:szCs w:val="24"/>
        </w:rPr>
        <w:t>–</w:t>
      </w:r>
      <w:r>
        <w:rPr>
          <w:sz w:val="24"/>
          <w:szCs w:val="24"/>
        </w:rPr>
        <w:t>309.6) mm</w:t>
      </w:r>
      <w:r>
        <w:rPr>
          <w:sz w:val="24"/>
          <w:szCs w:val="24"/>
          <w:vertAlign w:val="superscript"/>
        </w:rPr>
        <w:t xml:space="preserve">3 </w:t>
      </w:r>
      <w:r>
        <w:rPr>
          <w:sz w:val="24"/>
          <w:szCs w:val="24"/>
        </w:rPr>
        <w:t>(n = 5) for scores 1, 2, 3, 4 and 5, respectively.</w:t>
      </w:r>
      <w:r w:rsidRPr="00E01EAE">
        <w:rPr>
          <w:sz w:val="24"/>
          <w:szCs w:val="24"/>
        </w:rPr>
        <w:t xml:space="preserve"> </w:t>
      </w:r>
      <w:r>
        <w:rPr>
          <w:sz w:val="24"/>
          <w:szCs w:val="24"/>
        </w:rPr>
        <w:t>There was a significant difference in the bladder volumes in patients with scores 1-4 when compared to each other (</w:t>
      </w:r>
      <w:r>
        <w:rPr>
          <w:i/>
          <w:sz w:val="24"/>
          <w:szCs w:val="24"/>
          <w:lang w:val="en-US"/>
        </w:rPr>
        <w:t>p</w:t>
      </w:r>
      <w:r>
        <w:rPr>
          <w:sz w:val="24"/>
          <w:szCs w:val="24"/>
        </w:rPr>
        <w:t xml:space="preserve"> &lt; 0.05 for all); no significant difference was found between the bladder volumes in patients with scores 4 and 5 (</w:t>
      </w:r>
      <w:r w:rsidRPr="006E5AD6">
        <w:rPr>
          <w:i/>
          <w:sz w:val="24"/>
          <w:szCs w:val="24"/>
          <w:lang w:val="en-US"/>
        </w:rPr>
        <w:t>P</w:t>
      </w:r>
      <w:r w:rsidRPr="00D2138F">
        <w:rPr>
          <w:sz w:val="24"/>
          <w:szCs w:val="24"/>
          <w:lang w:val="en-US"/>
        </w:rPr>
        <w:t xml:space="preserve"> =</w:t>
      </w:r>
      <w:r>
        <w:rPr>
          <w:sz w:val="24"/>
          <w:szCs w:val="24"/>
          <w:lang w:val="en-US"/>
        </w:rPr>
        <w:t xml:space="preserve"> 0.</w:t>
      </w:r>
      <w:r w:rsidRPr="00D2138F">
        <w:rPr>
          <w:sz w:val="24"/>
          <w:szCs w:val="24"/>
          <w:lang w:val="en-US"/>
        </w:rPr>
        <w:t>3</w:t>
      </w:r>
      <w:r>
        <w:rPr>
          <w:sz w:val="24"/>
          <w:szCs w:val="24"/>
          <w:lang w:val="en-US"/>
        </w:rPr>
        <w:t>)</w:t>
      </w:r>
      <w:r>
        <w:rPr>
          <w:sz w:val="24"/>
          <w:szCs w:val="24"/>
        </w:rPr>
        <w:t xml:space="preserve"> </w:t>
      </w:r>
      <w:r w:rsidRPr="00D809AA">
        <w:rPr>
          <w:sz w:val="24"/>
          <w:szCs w:val="24"/>
        </w:rPr>
        <w:t>(Fig. 3).</w:t>
      </w:r>
      <w:r>
        <w:rPr>
          <w:sz w:val="24"/>
          <w:szCs w:val="24"/>
        </w:rPr>
        <w:t xml:space="preserve"> Comparison of the mean bladder volumes in different scoring groups between NVs and patients showed significant difference between all scoring groups (</w:t>
      </w:r>
      <w:r>
        <w:rPr>
          <w:i/>
          <w:sz w:val="24"/>
          <w:szCs w:val="24"/>
          <w:lang w:val="en-US"/>
        </w:rPr>
        <w:t>p</w:t>
      </w:r>
      <w:r>
        <w:rPr>
          <w:sz w:val="24"/>
          <w:szCs w:val="24"/>
        </w:rPr>
        <w:t xml:space="preserve"> &lt; 0.05) except scores of “3” (</w:t>
      </w:r>
      <w:r w:rsidR="0022749A">
        <w:rPr>
          <w:i/>
          <w:sz w:val="24"/>
          <w:szCs w:val="24"/>
          <w:lang w:val="en-US"/>
        </w:rPr>
        <w:t>P</w:t>
      </w:r>
      <w:r w:rsidRPr="00E01EAE">
        <w:rPr>
          <w:sz w:val="24"/>
          <w:szCs w:val="24"/>
        </w:rPr>
        <w:t xml:space="preserve"> =</w:t>
      </w:r>
      <w:r>
        <w:rPr>
          <w:sz w:val="24"/>
          <w:szCs w:val="24"/>
        </w:rPr>
        <w:t xml:space="preserve"> </w:t>
      </w:r>
      <w:r w:rsidRPr="00E01EAE">
        <w:rPr>
          <w:sz w:val="24"/>
          <w:szCs w:val="24"/>
        </w:rPr>
        <w:t>0.06</w:t>
      </w:r>
      <w:r>
        <w:rPr>
          <w:sz w:val="24"/>
          <w:szCs w:val="24"/>
        </w:rPr>
        <w:t xml:space="preserve">) </w:t>
      </w:r>
      <w:r w:rsidRPr="0055080C">
        <w:rPr>
          <w:sz w:val="24"/>
          <w:szCs w:val="24"/>
        </w:rPr>
        <w:t xml:space="preserve">(Fig. 4). </w:t>
      </w:r>
      <w:r w:rsidRPr="00D2138F">
        <w:rPr>
          <w:sz w:val="24"/>
          <w:szCs w:val="24"/>
        </w:rPr>
        <w:t>Therefore, in order to calculate a target bladder volume which could be used for optimal assessment in both cohorts, the assumption was made that NVs and patients were of the same cohort; the median bladder volume was 173.0 (142.5</w:t>
      </w:r>
      <w:r w:rsidRPr="002B0960">
        <w:rPr>
          <w:sz w:val="24"/>
          <w:szCs w:val="24"/>
        </w:rPr>
        <w:t>–</w:t>
      </w:r>
      <w:r w:rsidRPr="00D2138F">
        <w:rPr>
          <w:sz w:val="24"/>
          <w:szCs w:val="24"/>
        </w:rPr>
        <w:t>210.9) mm</w:t>
      </w:r>
      <w:r w:rsidRPr="00D2138F">
        <w:rPr>
          <w:sz w:val="24"/>
          <w:szCs w:val="24"/>
          <w:vertAlign w:val="superscript"/>
        </w:rPr>
        <w:t xml:space="preserve">3 </w:t>
      </w:r>
      <w:r w:rsidRPr="00D2138F">
        <w:rPr>
          <w:sz w:val="24"/>
          <w:szCs w:val="24"/>
        </w:rPr>
        <w:t>then.</w:t>
      </w:r>
    </w:p>
    <w:p w:rsidR="00F61815" w:rsidRDefault="00F61815" w:rsidP="00D6414C">
      <w:pPr>
        <w:spacing w:line="480" w:lineRule="auto"/>
        <w:ind w:firstLine="708"/>
        <w:rPr>
          <w:sz w:val="24"/>
          <w:szCs w:val="24"/>
        </w:rPr>
      </w:pPr>
      <w:r>
        <w:rPr>
          <w:sz w:val="24"/>
          <w:szCs w:val="24"/>
        </w:rPr>
        <w:t>The median fluid volumes consumed by patients of the four groups matched to the NVs study were: 200.0 (187.5</w:t>
      </w:r>
      <w:r w:rsidRPr="002B0960">
        <w:rPr>
          <w:sz w:val="24"/>
          <w:szCs w:val="24"/>
        </w:rPr>
        <w:t>–</w:t>
      </w:r>
      <w:r>
        <w:rPr>
          <w:sz w:val="24"/>
          <w:szCs w:val="24"/>
        </w:rPr>
        <w:t>275.0), 250.0 (187.5</w:t>
      </w:r>
      <w:r w:rsidRPr="002B0960">
        <w:rPr>
          <w:sz w:val="24"/>
          <w:szCs w:val="24"/>
        </w:rPr>
        <w:t>–</w:t>
      </w:r>
      <w:r>
        <w:rPr>
          <w:sz w:val="24"/>
          <w:szCs w:val="24"/>
        </w:rPr>
        <w:t>375.0), 200.0 (187.5</w:t>
      </w:r>
      <w:r w:rsidRPr="002B0960">
        <w:rPr>
          <w:sz w:val="24"/>
          <w:szCs w:val="24"/>
        </w:rPr>
        <w:t>–</w:t>
      </w:r>
      <w:r>
        <w:rPr>
          <w:sz w:val="24"/>
          <w:szCs w:val="24"/>
        </w:rPr>
        <w:t>250.0) and 500.0 (350.0</w:t>
      </w:r>
      <w:r w:rsidRPr="002B0960">
        <w:rPr>
          <w:sz w:val="24"/>
          <w:szCs w:val="24"/>
        </w:rPr>
        <w:t>–</w:t>
      </w:r>
      <w:r>
        <w:rPr>
          <w:sz w:val="24"/>
          <w:szCs w:val="24"/>
        </w:rPr>
        <w:t>500.0) for groups 1 (n=18), 2 (n=5), 3 (n=49) and 4 (n=22), respectively. In each of these groups, the number of morning scans was: 8, 0, 29, and 13, respectively.  The overall mean BD scores were: 2.3 (</w:t>
      </w:r>
      <w:r w:rsidRPr="000C4ED8">
        <w:rPr>
          <w:sz w:val="24"/>
          <w:szCs w:val="24"/>
        </w:rPr>
        <w:t>±</w:t>
      </w:r>
      <w:r>
        <w:rPr>
          <w:sz w:val="24"/>
          <w:szCs w:val="24"/>
        </w:rPr>
        <w:t>0.7), 2.6 (</w:t>
      </w:r>
      <w:r w:rsidRPr="000C4ED8">
        <w:rPr>
          <w:sz w:val="24"/>
          <w:szCs w:val="24"/>
        </w:rPr>
        <w:t>±</w:t>
      </w:r>
      <w:r>
        <w:rPr>
          <w:sz w:val="24"/>
          <w:szCs w:val="24"/>
        </w:rPr>
        <w:t>0.6), 2.3 (</w:t>
      </w:r>
      <w:r w:rsidRPr="000C4ED8">
        <w:rPr>
          <w:sz w:val="24"/>
          <w:szCs w:val="24"/>
        </w:rPr>
        <w:t>±</w:t>
      </w:r>
      <w:r>
        <w:rPr>
          <w:sz w:val="24"/>
          <w:szCs w:val="24"/>
        </w:rPr>
        <w:t>0.6), and 2.5 (</w:t>
      </w:r>
      <w:r w:rsidRPr="000C4ED8">
        <w:rPr>
          <w:sz w:val="24"/>
          <w:szCs w:val="24"/>
        </w:rPr>
        <w:t>±</w:t>
      </w:r>
      <w:r>
        <w:rPr>
          <w:sz w:val="24"/>
          <w:szCs w:val="24"/>
        </w:rPr>
        <w:t>0.6). In early morning scans, the mean BD scores were: 2 (</w:t>
      </w:r>
      <w:r w:rsidRPr="000C4ED8">
        <w:rPr>
          <w:sz w:val="24"/>
          <w:szCs w:val="24"/>
        </w:rPr>
        <w:t>±</w:t>
      </w:r>
      <w:r>
        <w:rPr>
          <w:sz w:val="24"/>
          <w:szCs w:val="24"/>
        </w:rPr>
        <w:t>0.5), 2.3 (</w:t>
      </w:r>
      <w:r w:rsidRPr="000C4ED8">
        <w:rPr>
          <w:sz w:val="24"/>
          <w:szCs w:val="24"/>
        </w:rPr>
        <w:t>±</w:t>
      </w:r>
      <w:r>
        <w:rPr>
          <w:sz w:val="24"/>
          <w:szCs w:val="24"/>
        </w:rPr>
        <w:t>0.7), and 2.6 (</w:t>
      </w:r>
      <w:r w:rsidRPr="000C4ED8">
        <w:rPr>
          <w:sz w:val="24"/>
          <w:szCs w:val="24"/>
        </w:rPr>
        <w:t>±</w:t>
      </w:r>
      <w:r>
        <w:rPr>
          <w:sz w:val="24"/>
          <w:szCs w:val="24"/>
        </w:rPr>
        <w:t>0.5), with median bladder volumes of 95.4 (67.3</w:t>
      </w:r>
      <w:r w:rsidRPr="002B0960">
        <w:rPr>
          <w:sz w:val="24"/>
          <w:szCs w:val="24"/>
        </w:rPr>
        <w:t>–</w:t>
      </w:r>
      <w:r>
        <w:rPr>
          <w:sz w:val="24"/>
          <w:szCs w:val="24"/>
        </w:rPr>
        <w:t>115.8) mm</w:t>
      </w:r>
      <w:r>
        <w:rPr>
          <w:sz w:val="24"/>
          <w:szCs w:val="24"/>
          <w:vertAlign w:val="superscript"/>
        </w:rPr>
        <w:t>3</w:t>
      </w:r>
      <w:r>
        <w:rPr>
          <w:sz w:val="24"/>
          <w:szCs w:val="24"/>
        </w:rPr>
        <w:t>, 139.7 (100.4</w:t>
      </w:r>
      <w:r w:rsidRPr="002B0960">
        <w:rPr>
          <w:sz w:val="24"/>
          <w:szCs w:val="24"/>
        </w:rPr>
        <w:t>–</w:t>
      </w:r>
      <w:r>
        <w:rPr>
          <w:sz w:val="24"/>
          <w:szCs w:val="24"/>
        </w:rPr>
        <w:t>216.3) mm</w:t>
      </w:r>
      <w:r>
        <w:rPr>
          <w:sz w:val="24"/>
          <w:szCs w:val="24"/>
          <w:vertAlign w:val="superscript"/>
        </w:rPr>
        <w:t>3</w:t>
      </w:r>
      <w:r>
        <w:rPr>
          <w:sz w:val="24"/>
          <w:szCs w:val="24"/>
        </w:rPr>
        <w:t>, and 179.7 (152.2</w:t>
      </w:r>
      <w:r w:rsidRPr="002B0960">
        <w:rPr>
          <w:sz w:val="24"/>
          <w:szCs w:val="24"/>
        </w:rPr>
        <w:t>–</w:t>
      </w:r>
      <w:r>
        <w:rPr>
          <w:sz w:val="24"/>
          <w:szCs w:val="24"/>
        </w:rPr>
        <w:t>203.4) mm</w:t>
      </w:r>
      <w:r>
        <w:rPr>
          <w:sz w:val="24"/>
          <w:szCs w:val="24"/>
          <w:vertAlign w:val="superscript"/>
        </w:rPr>
        <w:t>3</w:t>
      </w:r>
      <w:r>
        <w:rPr>
          <w:sz w:val="24"/>
          <w:szCs w:val="24"/>
        </w:rPr>
        <w:t>, respectively. In afternoon scans, the mean BD scores were: 2.5 (</w:t>
      </w:r>
      <w:r w:rsidRPr="000C4ED8">
        <w:rPr>
          <w:sz w:val="24"/>
          <w:szCs w:val="24"/>
        </w:rPr>
        <w:t>±</w:t>
      </w:r>
      <w:r>
        <w:rPr>
          <w:sz w:val="24"/>
          <w:szCs w:val="24"/>
        </w:rPr>
        <w:t>0.7), 2.6 (</w:t>
      </w:r>
      <w:r w:rsidRPr="000C4ED8">
        <w:rPr>
          <w:sz w:val="24"/>
          <w:szCs w:val="24"/>
        </w:rPr>
        <w:t>±</w:t>
      </w:r>
      <w:r>
        <w:rPr>
          <w:sz w:val="24"/>
          <w:szCs w:val="24"/>
        </w:rPr>
        <w:t>0.5), 2.3 (</w:t>
      </w:r>
      <w:r w:rsidRPr="000C4ED8">
        <w:rPr>
          <w:sz w:val="24"/>
          <w:szCs w:val="24"/>
        </w:rPr>
        <w:t>±</w:t>
      </w:r>
      <w:r>
        <w:rPr>
          <w:sz w:val="24"/>
          <w:szCs w:val="24"/>
        </w:rPr>
        <w:t>0.6), 2.3 (</w:t>
      </w:r>
      <w:r w:rsidRPr="000C4ED8">
        <w:rPr>
          <w:sz w:val="24"/>
          <w:szCs w:val="24"/>
        </w:rPr>
        <w:t>±</w:t>
      </w:r>
      <w:r>
        <w:rPr>
          <w:sz w:val="24"/>
          <w:szCs w:val="24"/>
        </w:rPr>
        <w:t xml:space="preserve">0.7), with </w:t>
      </w:r>
      <w:r>
        <w:rPr>
          <w:sz w:val="24"/>
          <w:szCs w:val="24"/>
        </w:rPr>
        <w:lastRenderedPageBreak/>
        <w:t>bladder volumes of 123.9 (96.0</w:t>
      </w:r>
      <w:r w:rsidRPr="002B0960">
        <w:rPr>
          <w:sz w:val="24"/>
          <w:szCs w:val="24"/>
        </w:rPr>
        <w:t>–</w:t>
      </w:r>
      <w:r>
        <w:rPr>
          <w:sz w:val="24"/>
          <w:szCs w:val="24"/>
        </w:rPr>
        <w:t>196.2) mm</w:t>
      </w:r>
      <w:r>
        <w:rPr>
          <w:sz w:val="24"/>
          <w:szCs w:val="24"/>
          <w:vertAlign w:val="superscript"/>
        </w:rPr>
        <w:t>3</w:t>
      </w:r>
      <w:r>
        <w:rPr>
          <w:sz w:val="24"/>
          <w:szCs w:val="24"/>
        </w:rPr>
        <w:t>, 105.9 (80.9</w:t>
      </w:r>
      <w:r w:rsidRPr="002B0960">
        <w:rPr>
          <w:sz w:val="24"/>
          <w:szCs w:val="24"/>
        </w:rPr>
        <w:t>–</w:t>
      </w:r>
      <w:r>
        <w:rPr>
          <w:sz w:val="24"/>
          <w:szCs w:val="24"/>
        </w:rPr>
        <w:t>161.9) mm</w:t>
      </w:r>
      <w:r>
        <w:rPr>
          <w:sz w:val="24"/>
          <w:szCs w:val="24"/>
          <w:vertAlign w:val="superscript"/>
        </w:rPr>
        <w:t>3</w:t>
      </w:r>
      <w:r>
        <w:rPr>
          <w:sz w:val="24"/>
          <w:szCs w:val="24"/>
        </w:rPr>
        <w:t>, 153.8 (108.2</w:t>
      </w:r>
      <w:r w:rsidRPr="002B0960">
        <w:rPr>
          <w:sz w:val="24"/>
          <w:szCs w:val="24"/>
        </w:rPr>
        <w:t>–</w:t>
      </w:r>
      <w:r>
        <w:rPr>
          <w:sz w:val="24"/>
          <w:szCs w:val="24"/>
        </w:rPr>
        <w:t>230.3) mm</w:t>
      </w:r>
      <w:r>
        <w:rPr>
          <w:sz w:val="24"/>
          <w:szCs w:val="24"/>
          <w:vertAlign w:val="superscript"/>
        </w:rPr>
        <w:t>3</w:t>
      </w:r>
      <w:r>
        <w:rPr>
          <w:sz w:val="24"/>
          <w:szCs w:val="24"/>
        </w:rPr>
        <w:t>, and 135.8 (80.2</w:t>
      </w:r>
      <w:r w:rsidRPr="002B0960">
        <w:rPr>
          <w:sz w:val="24"/>
          <w:szCs w:val="24"/>
        </w:rPr>
        <w:t>–</w:t>
      </w:r>
      <w:r>
        <w:rPr>
          <w:sz w:val="24"/>
          <w:szCs w:val="24"/>
        </w:rPr>
        <w:t>206.6) mm</w:t>
      </w:r>
      <w:r>
        <w:rPr>
          <w:sz w:val="24"/>
          <w:szCs w:val="24"/>
          <w:vertAlign w:val="superscript"/>
        </w:rPr>
        <w:t>3</w:t>
      </w:r>
      <w:r>
        <w:rPr>
          <w:sz w:val="24"/>
          <w:szCs w:val="24"/>
        </w:rPr>
        <w:t xml:space="preserve">, respectively </w:t>
      </w:r>
      <w:r w:rsidRPr="00D809AA">
        <w:rPr>
          <w:sz w:val="24"/>
          <w:szCs w:val="24"/>
        </w:rPr>
        <w:t>(Table 3)</w:t>
      </w:r>
      <w:r>
        <w:rPr>
          <w:sz w:val="24"/>
          <w:szCs w:val="24"/>
        </w:rPr>
        <w:t xml:space="preserve">. None of the preparations both in the morning and afternoon showed significant correlation with the BD score. </w:t>
      </w:r>
    </w:p>
    <w:p w:rsidR="00F61815" w:rsidRDefault="00F61815" w:rsidP="00CC1043">
      <w:pPr>
        <w:spacing w:line="480" w:lineRule="auto"/>
        <w:rPr>
          <w:b/>
          <w:sz w:val="24"/>
          <w:szCs w:val="24"/>
        </w:rPr>
      </w:pPr>
      <w:r>
        <w:rPr>
          <w:b/>
          <w:sz w:val="24"/>
          <w:szCs w:val="24"/>
        </w:rPr>
        <w:t>Discussion</w:t>
      </w:r>
    </w:p>
    <w:p w:rsidR="00F61815" w:rsidRDefault="00F61815" w:rsidP="008D2057">
      <w:pPr>
        <w:spacing w:line="480" w:lineRule="auto"/>
        <w:ind w:firstLine="708"/>
        <w:rPr>
          <w:sz w:val="24"/>
          <w:szCs w:val="24"/>
        </w:rPr>
      </w:pPr>
      <w:r>
        <w:rPr>
          <w:sz w:val="24"/>
          <w:szCs w:val="24"/>
        </w:rPr>
        <w:t>This study demonstrates the effects of four different drinking/voiding preparations on bladder distension scores in normal volunteers and in patients undergoing pelvic MRI. The results suggest that to achieve optimal bladder distension, different preparations are required for early morning and afternoon scans. Moreover, our findings suggest that the bladder volume of 140</w:t>
      </w:r>
      <w:r w:rsidRPr="002B0960">
        <w:rPr>
          <w:sz w:val="24"/>
          <w:szCs w:val="24"/>
        </w:rPr>
        <w:t>–</w:t>
      </w:r>
      <w:r>
        <w:rPr>
          <w:sz w:val="24"/>
          <w:szCs w:val="24"/>
        </w:rPr>
        <w:t>210 mm</w:t>
      </w:r>
      <w:r>
        <w:rPr>
          <w:sz w:val="24"/>
          <w:szCs w:val="24"/>
          <w:vertAlign w:val="superscript"/>
        </w:rPr>
        <w:t>3</w:t>
      </w:r>
      <w:r>
        <w:rPr>
          <w:sz w:val="24"/>
          <w:szCs w:val="24"/>
        </w:rPr>
        <w:t xml:space="preserve"> corresponds to an optimal distension score in both cohorts.  </w:t>
      </w:r>
    </w:p>
    <w:p w:rsidR="00F61815" w:rsidRPr="00A81BDD" w:rsidRDefault="00F61815" w:rsidP="00CC1043">
      <w:pPr>
        <w:spacing w:line="480" w:lineRule="auto"/>
        <w:rPr>
          <w:sz w:val="24"/>
          <w:szCs w:val="24"/>
        </w:rPr>
      </w:pPr>
      <w:r>
        <w:rPr>
          <w:sz w:val="24"/>
          <w:szCs w:val="24"/>
        </w:rPr>
        <w:tab/>
        <w:t xml:space="preserve">Both in the NVs and questionnaire studies, the mean bladder volumes of subjects with different BD scores showed a significant difference between each other. </w:t>
      </w:r>
      <w:r w:rsidRPr="006B145C">
        <w:rPr>
          <w:sz w:val="24"/>
          <w:szCs w:val="24"/>
        </w:rPr>
        <w:t>We also show a significant correlation between the BD score and bladder volumes both in NVs and patients</w:t>
      </w:r>
      <w:r>
        <w:rPr>
          <w:sz w:val="24"/>
          <w:szCs w:val="24"/>
        </w:rPr>
        <w:t>, which serves as a validation of the scoring system employed</w:t>
      </w:r>
      <w:r w:rsidRPr="006B145C">
        <w:rPr>
          <w:sz w:val="24"/>
          <w:szCs w:val="24"/>
        </w:rPr>
        <w:t>.</w:t>
      </w:r>
      <w:r>
        <w:rPr>
          <w:sz w:val="24"/>
          <w:szCs w:val="24"/>
        </w:rPr>
        <w:t xml:space="preserve"> Noticeably, in the patient group, the average bladder volumes were significantly lower compared to NVs. This may relate to the loss of functional bladder capacity that occurs with increasing age, primarily due to fibrosis of its wall</w:t>
      </w:r>
      <w:r w:rsidR="008B1611">
        <w:rPr>
          <w:sz w:val="24"/>
          <w:szCs w:val="24"/>
        </w:rPr>
        <w:t xml:space="preserve"> [15]</w:t>
      </w:r>
      <w:r>
        <w:rPr>
          <w:sz w:val="24"/>
          <w:szCs w:val="24"/>
        </w:rPr>
        <w:t>. Nevertheless, no difference was observed between ‘score-3’ bladders in both cohorts. This allowed us to recalculate the median bladder volume for all subjects as if they were of the same cohort. The results suggested 140</w:t>
      </w:r>
      <w:r w:rsidRPr="002B0960">
        <w:rPr>
          <w:sz w:val="24"/>
          <w:szCs w:val="24"/>
        </w:rPr>
        <w:t>–</w:t>
      </w:r>
      <w:r>
        <w:rPr>
          <w:sz w:val="24"/>
          <w:szCs w:val="24"/>
        </w:rPr>
        <w:t>210 mm</w:t>
      </w:r>
      <w:r>
        <w:rPr>
          <w:sz w:val="24"/>
          <w:szCs w:val="24"/>
          <w:vertAlign w:val="superscript"/>
        </w:rPr>
        <w:t xml:space="preserve">3 </w:t>
      </w:r>
      <w:r>
        <w:rPr>
          <w:sz w:val="24"/>
          <w:szCs w:val="24"/>
        </w:rPr>
        <w:t xml:space="preserve">to be the target bladder volume in both age groups. </w:t>
      </w:r>
      <w:r w:rsidRPr="008A488E">
        <w:rPr>
          <w:sz w:val="24"/>
          <w:szCs w:val="24"/>
        </w:rPr>
        <w:t xml:space="preserve">A recent study by </w:t>
      </w:r>
      <w:r>
        <w:rPr>
          <w:sz w:val="24"/>
          <w:szCs w:val="24"/>
        </w:rPr>
        <w:t>Fujioka et al.</w:t>
      </w:r>
      <w:r w:rsidR="00CC1043">
        <w:rPr>
          <w:sz w:val="24"/>
          <w:szCs w:val="24"/>
        </w:rPr>
        <w:t xml:space="preserve"> </w:t>
      </w:r>
      <w:r w:rsidRPr="008A488E">
        <w:rPr>
          <w:sz w:val="24"/>
          <w:szCs w:val="24"/>
        </w:rPr>
        <w:t>showed that optimal bladder volumes at treatment planning in prostate cancer patients undergoing external beam radiotherapy are between 100 and 250 mL, corroborating our results</w:t>
      </w:r>
      <w:r w:rsidR="008B1611">
        <w:rPr>
          <w:sz w:val="24"/>
          <w:szCs w:val="24"/>
        </w:rPr>
        <w:t xml:space="preserve"> [16].</w:t>
      </w:r>
      <w:r>
        <w:rPr>
          <w:sz w:val="24"/>
          <w:szCs w:val="24"/>
        </w:rPr>
        <w:t xml:space="preserve"> Improving radiotherapy planning could be another important application of our results, which help establish preparations that help achieve an optimal bladder volume. </w:t>
      </w:r>
    </w:p>
    <w:p w:rsidR="00F61815" w:rsidRDefault="00F61815" w:rsidP="00CC1043">
      <w:pPr>
        <w:spacing w:line="480" w:lineRule="auto"/>
        <w:rPr>
          <w:sz w:val="24"/>
          <w:szCs w:val="24"/>
        </w:rPr>
      </w:pPr>
      <w:r>
        <w:rPr>
          <w:sz w:val="24"/>
          <w:szCs w:val="24"/>
        </w:rPr>
        <w:lastRenderedPageBreak/>
        <w:tab/>
        <w:t>In normal volunteers, preparation 1, which involved emptying the bladder 2 hours prior to scanning with no further drinking, significantly increased BD score and led to 7 out of 9 ‘score-3’ bladders. This is physiologically sound as with normal GFR is &gt;60 mL/min/1.73m</w:t>
      </w:r>
      <w:r>
        <w:rPr>
          <w:sz w:val="24"/>
          <w:szCs w:val="24"/>
          <w:vertAlign w:val="superscript"/>
        </w:rPr>
        <w:t>2</w:t>
      </w:r>
      <w:r>
        <w:rPr>
          <w:sz w:val="24"/>
          <w:szCs w:val="24"/>
        </w:rPr>
        <w:t xml:space="preserve"> the target bladder volume of 140</w:t>
      </w:r>
      <w:r w:rsidRPr="002B0960">
        <w:rPr>
          <w:sz w:val="24"/>
          <w:szCs w:val="24"/>
        </w:rPr>
        <w:t>–</w:t>
      </w:r>
      <w:r>
        <w:rPr>
          <w:sz w:val="24"/>
          <w:szCs w:val="24"/>
        </w:rPr>
        <w:t>210 mm</w:t>
      </w:r>
      <w:r>
        <w:rPr>
          <w:sz w:val="24"/>
          <w:szCs w:val="24"/>
          <w:vertAlign w:val="superscript"/>
        </w:rPr>
        <w:t xml:space="preserve">3 </w:t>
      </w:r>
      <w:r>
        <w:rPr>
          <w:sz w:val="24"/>
          <w:szCs w:val="24"/>
        </w:rPr>
        <w:t xml:space="preserve">can be achieved with this preparation by the time of scanning.  However, voiding 2 hours prior to scanning led to score-3s only in scans performed after 11:00 while voiding </w:t>
      </w:r>
      <w:r>
        <w:rPr>
          <w:rFonts w:cs="Arial"/>
          <w:noProof/>
          <w:sz w:val="24"/>
          <w:szCs w:val="24"/>
        </w:rPr>
        <w:t>and drinking 250 mL</w:t>
      </w:r>
      <w:r w:rsidRPr="003F7B2B">
        <w:rPr>
          <w:rFonts w:cs="Arial"/>
          <w:noProof/>
          <w:sz w:val="24"/>
          <w:szCs w:val="24"/>
        </w:rPr>
        <w:t xml:space="preserve"> water </w:t>
      </w:r>
      <w:r>
        <w:rPr>
          <w:rFonts w:cs="Arial"/>
          <w:noProof/>
          <w:sz w:val="24"/>
          <w:szCs w:val="24"/>
        </w:rPr>
        <w:t>1 hour</w:t>
      </w:r>
      <w:r w:rsidRPr="003F7B2B">
        <w:rPr>
          <w:rFonts w:cs="Arial"/>
          <w:noProof/>
          <w:sz w:val="24"/>
          <w:szCs w:val="24"/>
        </w:rPr>
        <w:t xml:space="preserve"> prior to scann</w:t>
      </w:r>
      <w:r>
        <w:rPr>
          <w:rFonts w:cs="Arial"/>
          <w:noProof/>
          <w:sz w:val="24"/>
          <w:szCs w:val="24"/>
        </w:rPr>
        <w:t>ing</w:t>
      </w:r>
      <w:r>
        <w:rPr>
          <w:sz w:val="24"/>
          <w:szCs w:val="24"/>
        </w:rPr>
        <w:t xml:space="preserve"> resulted in higher average BD score in earlier scans. This trend lacked statistical significance, possibly relating to the small number of scans, however, the findings would be physiologically consistent. In part,</w:t>
      </w:r>
      <w:r w:rsidRPr="009C0B12">
        <w:rPr>
          <w:sz w:val="24"/>
          <w:szCs w:val="24"/>
        </w:rPr>
        <w:t xml:space="preserve"> the rationale may be based on differen</w:t>
      </w:r>
      <w:r>
        <w:rPr>
          <w:sz w:val="24"/>
          <w:szCs w:val="24"/>
        </w:rPr>
        <w:t>ces</w:t>
      </w:r>
      <w:r w:rsidRPr="009C0B12">
        <w:rPr>
          <w:sz w:val="24"/>
          <w:szCs w:val="24"/>
        </w:rPr>
        <w:t xml:space="preserve"> </w:t>
      </w:r>
      <w:r>
        <w:rPr>
          <w:sz w:val="24"/>
          <w:szCs w:val="24"/>
        </w:rPr>
        <w:t xml:space="preserve">in </w:t>
      </w:r>
      <w:r w:rsidRPr="009C0B12">
        <w:rPr>
          <w:sz w:val="24"/>
          <w:szCs w:val="24"/>
        </w:rPr>
        <w:t>hydration status at these times</w:t>
      </w:r>
      <w:r>
        <w:rPr>
          <w:sz w:val="24"/>
          <w:szCs w:val="24"/>
        </w:rPr>
        <w:t>, and in addition, the known impact of different preparations on diuresis rate. In early morning, the diuresis rate remains under the influence of the renal nocturnal antidiuretic activity, which</w:t>
      </w:r>
      <w:r w:rsidR="00CC1043">
        <w:rPr>
          <w:sz w:val="24"/>
          <w:szCs w:val="24"/>
        </w:rPr>
        <w:t xml:space="preserve"> is lower than in the afternoon</w:t>
      </w:r>
      <w:r w:rsidR="008B1611">
        <w:rPr>
          <w:sz w:val="24"/>
          <w:szCs w:val="24"/>
        </w:rPr>
        <w:t xml:space="preserve"> [17]</w:t>
      </w:r>
      <w:r>
        <w:rPr>
          <w:sz w:val="24"/>
          <w:szCs w:val="24"/>
        </w:rPr>
        <w:t xml:space="preserve">. In order to facilitate a physiological increase of diuresis rate, extra fluid would be necessary to fill the bladder to an optimal distention state. </w:t>
      </w:r>
    </w:p>
    <w:p w:rsidR="00F61815" w:rsidRDefault="00F61815" w:rsidP="00CC1043">
      <w:pPr>
        <w:spacing w:line="480" w:lineRule="auto"/>
        <w:rPr>
          <w:sz w:val="24"/>
          <w:szCs w:val="24"/>
        </w:rPr>
      </w:pPr>
      <w:r>
        <w:rPr>
          <w:sz w:val="24"/>
          <w:szCs w:val="24"/>
        </w:rPr>
        <w:tab/>
        <w:t>The questionnaire study results did not show any significant impact of preparations on the BD scores; the mean BD scores were almost similar in all preparations. This discrepancy is more likely due to the lack of a controlled preparation may be affected by recall bias and hinder the process of accurately matching patient preparations to those of NVs. As patients were asked to mention only the details of their last drink, we could not assess the volume and frequency of anything drunk leading up to this time point, furthermore caffeine intake was not controlled for and both these factors may have additionally influenced bladder filling. Conversely, early morning drinking preparation may not be as effective in an older population as nocturnal antidiuretic hormone secretion decreases with age</w:t>
      </w:r>
      <w:r w:rsidR="008B1611">
        <w:rPr>
          <w:sz w:val="24"/>
          <w:szCs w:val="24"/>
        </w:rPr>
        <w:t xml:space="preserve"> [18]</w:t>
      </w:r>
      <w:r>
        <w:rPr>
          <w:sz w:val="24"/>
          <w:szCs w:val="24"/>
        </w:rPr>
        <w:t>; in this case, early morning and nocturnal diuresis may show only subtle differences from each other. These findings warrant further investigation for clarification.</w:t>
      </w:r>
    </w:p>
    <w:p w:rsidR="00B10819" w:rsidRDefault="00F61815" w:rsidP="005F16BE">
      <w:pPr>
        <w:spacing w:line="480" w:lineRule="auto"/>
        <w:rPr>
          <w:sz w:val="24"/>
          <w:szCs w:val="24"/>
        </w:rPr>
      </w:pPr>
      <w:r>
        <w:rPr>
          <w:sz w:val="24"/>
          <w:szCs w:val="24"/>
        </w:rPr>
        <w:lastRenderedPageBreak/>
        <w:tab/>
        <w:t>There were several limitations to our study. The study included only males; this was justified by the fact that 75</w:t>
      </w:r>
      <w:r>
        <w:rPr>
          <w:sz w:val="24"/>
          <w:szCs w:val="24"/>
          <w:lang w:val="en-US"/>
        </w:rPr>
        <w:t>% of patients suffer</w:t>
      </w:r>
      <w:r w:rsidR="00CC1043">
        <w:rPr>
          <w:sz w:val="24"/>
          <w:szCs w:val="24"/>
          <w:lang w:val="en-US"/>
        </w:rPr>
        <w:t>ing from bladder cancer are men</w:t>
      </w:r>
      <w:r w:rsidR="008B1611">
        <w:rPr>
          <w:sz w:val="24"/>
          <w:szCs w:val="24"/>
          <w:lang w:val="en-US"/>
        </w:rPr>
        <w:t xml:space="preserve"> [1]</w:t>
      </w:r>
      <w:r>
        <w:rPr>
          <w:sz w:val="24"/>
          <w:szCs w:val="24"/>
          <w:lang w:val="en-US"/>
        </w:rPr>
        <w:t xml:space="preserve">. </w:t>
      </w:r>
      <w:r>
        <w:rPr>
          <w:sz w:val="24"/>
          <w:szCs w:val="24"/>
        </w:rPr>
        <w:t xml:space="preserve">The NVs study </w:t>
      </w:r>
      <w:r w:rsidRPr="00D70CAC">
        <w:rPr>
          <w:sz w:val="24"/>
          <w:szCs w:val="24"/>
        </w:rPr>
        <w:t>population was a small c</w:t>
      </w:r>
      <w:r>
        <w:rPr>
          <w:sz w:val="24"/>
          <w:szCs w:val="24"/>
        </w:rPr>
        <w:t xml:space="preserve">ohort of healthy volunteers who </w:t>
      </w:r>
      <w:r w:rsidRPr="00D70CAC">
        <w:rPr>
          <w:sz w:val="24"/>
          <w:szCs w:val="24"/>
        </w:rPr>
        <w:t>were of a younger age than</w:t>
      </w:r>
      <w:r>
        <w:rPr>
          <w:sz w:val="24"/>
          <w:szCs w:val="24"/>
        </w:rPr>
        <w:t xml:space="preserve"> typical patients with bladder cancer. However, the median age of patients enrolled in the questionnaire study was similar to that of patients with bladde</w:t>
      </w:r>
      <w:r w:rsidR="00CC1043">
        <w:rPr>
          <w:sz w:val="24"/>
          <w:szCs w:val="24"/>
        </w:rPr>
        <w:t>r cancer who undergo MR imaging</w:t>
      </w:r>
      <w:r w:rsidR="008B1611">
        <w:rPr>
          <w:sz w:val="24"/>
          <w:szCs w:val="24"/>
        </w:rPr>
        <w:t xml:space="preserve"> [19]</w:t>
      </w:r>
      <w:r>
        <w:rPr>
          <w:sz w:val="24"/>
          <w:szCs w:val="24"/>
        </w:rPr>
        <w:t xml:space="preserve">. In the clinical study, all subjects had normal GFR, </w:t>
      </w:r>
      <w:r w:rsidR="005033AD">
        <w:rPr>
          <w:sz w:val="24"/>
          <w:szCs w:val="24"/>
        </w:rPr>
        <w:t xml:space="preserve">which </w:t>
      </w:r>
      <w:r>
        <w:rPr>
          <w:sz w:val="24"/>
          <w:szCs w:val="24"/>
        </w:rPr>
        <w:t>allowed us to ensure that bladder filling had not been impaired by poor renal function</w:t>
      </w:r>
      <w:r w:rsidR="005033AD">
        <w:rPr>
          <w:sz w:val="24"/>
          <w:szCs w:val="24"/>
        </w:rPr>
        <w:t>.</w:t>
      </w:r>
      <w:r>
        <w:rPr>
          <w:sz w:val="24"/>
          <w:szCs w:val="24"/>
        </w:rPr>
        <w:t xml:space="preserve"> </w:t>
      </w:r>
      <w:r w:rsidR="005033AD">
        <w:rPr>
          <w:sz w:val="24"/>
          <w:szCs w:val="24"/>
        </w:rPr>
        <w:t>H</w:t>
      </w:r>
      <w:r>
        <w:rPr>
          <w:sz w:val="24"/>
          <w:szCs w:val="24"/>
        </w:rPr>
        <w:t>owever, these results cannot necessarily be applied to patients with impaired kidney function</w:t>
      </w:r>
      <w:r w:rsidR="005033AD">
        <w:rPr>
          <w:sz w:val="24"/>
          <w:szCs w:val="24"/>
        </w:rPr>
        <w:t xml:space="preserve">; larger studies are warranted to clarify the need for introducing different preparations for such patients and define specific GFR cut-offs. </w:t>
      </w:r>
      <w:r>
        <w:rPr>
          <w:sz w:val="24"/>
          <w:szCs w:val="24"/>
        </w:rPr>
        <w:t xml:space="preserve"> As mentioned, for the questionnaire study, patient preparation prior to scanning was uncontrolled, so the process of matching them to those of the NVs study could have been compromised by recall bias. Larger studies in both male and female patients of different age groups, ideally incorporating patients with bladder cancer, would serve to overcome these limitations and would also help prove whether the proposed preparations improve the diagnostic ability of bladder MRI. </w:t>
      </w:r>
    </w:p>
    <w:p w:rsidR="00F61815" w:rsidRDefault="00F61815" w:rsidP="00D332FE">
      <w:pPr>
        <w:spacing w:line="480" w:lineRule="auto"/>
        <w:ind w:firstLine="708"/>
        <w:rPr>
          <w:sz w:val="24"/>
          <w:szCs w:val="24"/>
        </w:rPr>
      </w:pPr>
      <w:r>
        <w:rPr>
          <w:sz w:val="24"/>
          <w:szCs w:val="24"/>
        </w:rPr>
        <w:t>In conclusion, we have shown that t</w:t>
      </w:r>
      <w:r>
        <w:rPr>
          <w:sz w:val="24"/>
          <w:szCs w:val="24"/>
          <w:lang w:val="en-US"/>
        </w:rPr>
        <w:t>he bladder volume required for optimal assessment is 140</w:t>
      </w:r>
      <w:r w:rsidRPr="002B0960">
        <w:rPr>
          <w:sz w:val="24"/>
          <w:szCs w:val="24"/>
        </w:rPr>
        <w:t>–</w:t>
      </w:r>
      <w:r>
        <w:rPr>
          <w:sz w:val="24"/>
          <w:szCs w:val="24"/>
          <w:lang w:val="en-US"/>
        </w:rPr>
        <w:t>210 mm</w:t>
      </w:r>
      <w:r>
        <w:rPr>
          <w:sz w:val="24"/>
          <w:szCs w:val="24"/>
          <w:vertAlign w:val="superscript"/>
          <w:lang w:val="en-US"/>
        </w:rPr>
        <w:t>3</w:t>
      </w:r>
      <w:r>
        <w:rPr>
          <w:sz w:val="24"/>
          <w:szCs w:val="24"/>
          <w:lang w:val="en-US"/>
        </w:rPr>
        <w:t>. Evidence</w:t>
      </w:r>
      <w:r>
        <w:rPr>
          <w:sz w:val="24"/>
          <w:szCs w:val="24"/>
        </w:rPr>
        <w:t xml:space="preserve"> has been provided that passing urine 2 hours prior to bladder MRI with no further drinking is the best overall preparation which helps to achieve the highest BD score. However, early morning scans may require a drinking preparation in addition to voiding; this is the subject for further investigation in prospective patient cohorts.</w:t>
      </w:r>
    </w:p>
    <w:p w:rsidR="008A477F" w:rsidRDefault="00B10819" w:rsidP="00D332FE">
      <w:pPr>
        <w:spacing w:line="480" w:lineRule="auto"/>
        <w:ind w:firstLine="708"/>
        <w:rPr>
          <w:sz w:val="24"/>
          <w:szCs w:val="24"/>
        </w:rPr>
      </w:pPr>
      <w:r w:rsidRPr="00B10819">
        <w:rPr>
          <w:sz w:val="24"/>
          <w:szCs w:val="24"/>
        </w:rPr>
        <w:t>Declarations of interest: none.</w:t>
      </w:r>
      <w:r w:rsidR="008A477F">
        <w:rPr>
          <w:sz w:val="24"/>
          <w:szCs w:val="24"/>
        </w:rPr>
        <w:br w:type="page"/>
      </w:r>
    </w:p>
    <w:p w:rsidR="008A477F" w:rsidRDefault="00DF1992" w:rsidP="008A477F">
      <w:pPr>
        <w:spacing w:line="480" w:lineRule="auto"/>
        <w:rPr>
          <w:b/>
          <w:sz w:val="24"/>
          <w:szCs w:val="24"/>
          <w:lang w:val="en-US"/>
        </w:rPr>
      </w:pPr>
      <w:r>
        <w:rPr>
          <w:b/>
          <w:sz w:val="24"/>
          <w:szCs w:val="24"/>
          <w:lang w:val="en-US"/>
        </w:rPr>
        <w:lastRenderedPageBreak/>
        <w:t>Figures</w:t>
      </w:r>
    </w:p>
    <w:p w:rsidR="00DF1992" w:rsidRPr="008A477F" w:rsidRDefault="00DF1992" w:rsidP="008A477F">
      <w:pPr>
        <w:spacing w:line="480" w:lineRule="auto"/>
        <w:rPr>
          <w:b/>
          <w:sz w:val="24"/>
          <w:szCs w:val="24"/>
          <w:lang w:val="en-US"/>
        </w:rPr>
      </w:pPr>
      <w:r>
        <w:rPr>
          <w:b/>
          <w:noProof/>
          <w:sz w:val="24"/>
          <w:szCs w:val="24"/>
          <w:lang w:eastAsia="en-GB"/>
        </w:rPr>
        <w:drawing>
          <wp:inline distT="0" distB="0" distL="0" distR="0">
            <wp:extent cx="1700663" cy="1657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17384" cy="1673645"/>
                    </a:xfrm>
                    <a:prstGeom prst="rect">
                      <a:avLst/>
                    </a:prstGeom>
                  </pic:spPr>
                </pic:pic>
              </a:graphicData>
            </a:graphic>
          </wp:inline>
        </w:drawing>
      </w:r>
      <w:r>
        <w:rPr>
          <w:b/>
          <w:noProof/>
          <w:sz w:val="24"/>
          <w:szCs w:val="24"/>
          <w:lang w:eastAsia="en-GB"/>
        </w:rPr>
        <w:drawing>
          <wp:inline distT="0" distB="0" distL="0" distR="0">
            <wp:extent cx="1857375" cy="1655515"/>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1b.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73463" cy="1669855"/>
                    </a:xfrm>
                    <a:prstGeom prst="rect">
                      <a:avLst/>
                    </a:prstGeom>
                  </pic:spPr>
                </pic:pic>
              </a:graphicData>
            </a:graphic>
          </wp:inline>
        </w:drawing>
      </w:r>
      <w:r>
        <w:rPr>
          <w:b/>
          <w:noProof/>
          <w:sz w:val="24"/>
          <w:szCs w:val="24"/>
          <w:lang w:eastAsia="en-GB"/>
        </w:rPr>
        <w:drawing>
          <wp:inline distT="0" distB="0" distL="0" distR="0">
            <wp:extent cx="1724025" cy="165870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1c.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31754" cy="1666138"/>
                    </a:xfrm>
                    <a:prstGeom prst="rect">
                      <a:avLst/>
                    </a:prstGeom>
                  </pic:spPr>
                </pic:pic>
              </a:graphicData>
            </a:graphic>
          </wp:inline>
        </w:drawing>
      </w:r>
      <w:r>
        <w:rPr>
          <w:b/>
          <w:noProof/>
          <w:sz w:val="24"/>
          <w:szCs w:val="24"/>
          <w:lang w:eastAsia="en-GB"/>
        </w:rPr>
        <w:drawing>
          <wp:inline distT="0" distB="0" distL="0" distR="0">
            <wp:extent cx="1704975" cy="17049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1d.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05187" cy="1705187"/>
                    </a:xfrm>
                    <a:prstGeom prst="rect">
                      <a:avLst/>
                    </a:prstGeom>
                  </pic:spPr>
                </pic:pic>
              </a:graphicData>
            </a:graphic>
          </wp:inline>
        </w:drawing>
      </w:r>
      <w:r>
        <w:rPr>
          <w:b/>
          <w:noProof/>
          <w:sz w:val="24"/>
          <w:szCs w:val="24"/>
          <w:lang w:eastAsia="en-GB"/>
        </w:rPr>
        <w:drawing>
          <wp:inline distT="0" distB="0" distL="0" distR="0">
            <wp:extent cx="1668631" cy="1714500"/>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1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675828" cy="1721895"/>
                    </a:xfrm>
                    <a:prstGeom prst="rect">
                      <a:avLst/>
                    </a:prstGeom>
                  </pic:spPr>
                </pic:pic>
              </a:graphicData>
            </a:graphic>
          </wp:inline>
        </w:drawing>
      </w:r>
      <w:r>
        <w:rPr>
          <w:b/>
          <w:noProof/>
          <w:sz w:val="24"/>
          <w:szCs w:val="24"/>
          <w:lang w:eastAsia="en-GB"/>
        </w:rPr>
        <w:drawing>
          <wp:inline distT="0" distB="0" distL="0" distR="0">
            <wp:extent cx="1962150" cy="17170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1f.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971137" cy="1724919"/>
                    </a:xfrm>
                    <a:prstGeom prst="rect">
                      <a:avLst/>
                    </a:prstGeom>
                  </pic:spPr>
                </pic:pic>
              </a:graphicData>
            </a:graphic>
          </wp:inline>
        </w:drawing>
      </w:r>
      <w:bookmarkStart w:id="2" w:name="_GoBack"/>
      <w:bookmarkEnd w:id="2"/>
      <w:r>
        <w:rPr>
          <w:b/>
          <w:noProof/>
          <w:sz w:val="24"/>
          <w:szCs w:val="24"/>
          <w:lang w:eastAsia="en-GB"/>
        </w:rPr>
        <w:drawing>
          <wp:inline distT="0" distB="0" distL="0" distR="0">
            <wp:extent cx="1887300" cy="169817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1g.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03987" cy="1713186"/>
                    </a:xfrm>
                    <a:prstGeom prst="rect">
                      <a:avLst/>
                    </a:prstGeom>
                  </pic:spPr>
                </pic:pic>
              </a:graphicData>
            </a:graphic>
          </wp:inline>
        </w:drawing>
      </w:r>
      <w:r>
        <w:rPr>
          <w:b/>
          <w:noProof/>
          <w:sz w:val="24"/>
          <w:szCs w:val="24"/>
          <w:lang w:eastAsia="en-GB"/>
        </w:rPr>
        <w:drawing>
          <wp:inline distT="0" distB="0" distL="0" distR="0">
            <wp:extent cx="1615044" cy="1699217"/>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1h.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634819" cy="1720022"/>
                    </a:xfrm>
                    <a:prstGeom prst="rect">
                      <a:avLst/>
                    </a:prstGeom>
                  </pic:spPr>
                </pic:pic>
              </a:graphicData>
            </a:graphic>
          </wp:inline>
        </w:drawing>
      </w:r>
      <w:r>
        <w:rPr>
          <w:b/>
          <w:noProof/>
          <w:sz w:val="24"/>
          <w:szCs w:val="24"/>
          <w:lang w:eastAsia="en-GB"/>
        </w:rPr>
        <w:drawing>
          <wp:inline distT="0" distB="0" distL="0" distR="0">
            <wp:extent cx="1746160" cy="1684981"/>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 1i.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77129" cy="1714865"/>
                    </a:xfrm>
                    <a:prstGeom prst="rect">
                      <a:avLst/>
                    </a:prstGeom>
                  </pic:spPr>
                </pic:pic>
              </a:graphicData>
            </a:graphic>
          </wp:inline>
        </w:drawing>
      </w:r>
      <w:r>
        <w:rPr>
          <w:b/>
          <w:noProof/>
          <w:sz w:val="24"/>
          <w:szCs w:val="24"/>
          <w:lang w:eastAsia="en-GB"/>
        </w:rPr>
        <w:drawing>
          <wp:inline distT="0" distB="0" distL="0" distR="0">
            <wp:extent cx="1724025" cy="1922639"/>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1j.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738381" cy="1938649"/>
                    </a:xfrm>
                    <a:prstGeom prst="rect">
                      <a:avLst/>
                    </a:prstGeom>
                  </pic:spPr>
                </pic:pic>
              </a:graphicData>
            </a:graphic>
          </wp:inline>
        </w:drawing>
      </w:r>
    </w:p>
    <w:p w:rsidR="008A477F" w:rsidRPr="008A477F" w:rsidRDefault="008A477F" w:rsidP="008A477F">
      <w:pPr>
        <w:spacing w:line="480" w:lineRule="auto"/>
        <w:rPr>
          <w:sz w:val="24"/>
          <w:szCs w:val="24"/>
          <w:lang w:val="en-US"/>
        </w:rPr>
      </w:pPr>
      <w:r w:rsidRPr="008A477F">
        <w:rPr>
          <w:b/>
          <w:bCs/>
          <w:sz w:val="24"/>
          <w:szCs w:val="24"/>
          <w:lang w:val="en-US"/>
        </w:rPr>
        <w:t xml:space="preserve">Figure 1. a-j. </w:t>
      </w:r>
      <w:r w:rsidRPr="008A477F">
        <w:rPr>
          <w:sz w:val="24"/>
          <w:szCs w:val="24"/>
          <w:lang w:val="en-US"/>
        </w:rPr>
        <w:t>Axial (a-e) and sagittal (f-j) T2WI MR images</w:t>
      </w:r>
      <w:r w:rsidR="00D1756D">
        <w:rPr>
          <w:sz w:val="24"/>
          <w:szCs w:val="24"/>
          <w:lang w:val="en-US"/>
        </w:rPr>
        <w:t xml:space="preserve"> representing bladder distention (BD)</w:t>
      </w:r>
      <w:r w:rsidRPr="008A477F">
        <w:rPr>
          <w:sz w:val="24"/>
          <w:szCs w:val="24"/>
          <w:lang w:val="en-US"/>
        </w:rPr>
        <w:t xml:space="preserve"> scores 1 (a, f), 2 (b, g), 3 (c, h) 4 (d, i), and 5 (e, j). </w:t>
      </w:r>
    </w:p>
    <w:p w:rsidR="00DF1992" w:rsidRDefault="00DF1992" w:rsidP="008A477F">
      <w:pPr>
        <w:spacing w:line="480" w:lineRule="auto"/>
        <w:rPr>
          <w:b/>
          <w:sz w:val="24"/>
          <w:szCs w:val="24"/>
          <w:lang w:val="en-US"/>
        </w:rPr>
      </w:pPr>
      <w:r>
        <w:rPr>
          <w:b/>
          <w:noProof/>
          <w:sz w:val="24"/>
          <w:szCs w:val="24"/>
          <w:lang w:eastAsia="en-GB"/>
        </w:rPr>
        <w:lastRenderedPageBreak/>
        <w:drawing>
          <wp:inline distT="0" distB="0" distL="0" distR="0">
            <wp:extent cx="5581650" cy="367297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 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588072" cy="3677196"/>
                    </a:xfrm>
                    <a:prstGeom prst="rect">
                      <a:avLst/>
                    </a:prstGeom>
                  </pic:spPr>
                </pic:pic>
              </a:graphicData>
            </a:graphic>
          </wp:inline>
        </w:drawing>
      </w:r>
    </w:p>
    <w:p w:rsidR="008A477F" w:rsidRDefault="008A477F" w:rsidP="008A477F">
      <w:pPr>
        <w:spacing w:line="480" w:lineRule="auto"/>
        <w:rPr>
          <w:sz w:val="24"/>
          <w:szCs w:val="24"/>
          <w:lang w:val="en-US"/>
        </w:rPr>
      </w:pPr>
      <w:r w:rsidRPr="008A477F">
        <w:rPr>
          <w:b/>
          <w:sz w:val="24"/>
          <w:szCs w:val="24"/>
          <w:lang w:val="en-US"/>
        </w:rPr>
        <w:t>Figure 2.</w:t>
      </w:r>
      <w:r w:rsidRPr="008A477F">
        <w:rPr>
          <w:sz w:val="24"/>
          <w:szCs w:val="24"/>
          <w:lang w:val="en-US"/>
        </w:rPr>
        <w:t xml:space="preserve"> Box and whisker plots of bladder volumes in each of the five score groups in the normal volunteers study. Top and bottom of boxes represent 25</w:t>
      </w:r>
      <w:r w:rsidRPr="008A477F">
        <w:rPr>
          <w:sz w:val="24"/>
          <w:szCs w:val="24"/>
          <w:vertAlign w:val="superscript"/>
          <w:lang w:val="en-US"/>
        </w:rPr>
        <w:t>th</w:t>
      </w:r>
      <w:r w:rsidRPr="008A477F">
        <w:rPr>
          <w:sz w:val="24"/>
          <w:szCs w:val="24"/>
          <w:lang w:val="en-US"/>
        </w:rPr>
        <w:t xml:space="preserve"> and 75</w:t>
      </w:r>
      <w:r w:rsidRPr="008A477F">
        <w:rPr>
          <w:sz w:val="24"/>
          <w:szCs w:val="24"/>
          <w:vertAlign w:val="superscript"/>
          <w:lang w:val="en-US"/>
        </w:rPr>
        <w:t>th</w:t>
      </w:r>
      <w:r w:rsidRPr="008A477F">
        <w:rPr>
          <w:sz w:val="24"/>
          <w:szCs w:val="24"/>
          <w:lang w:val="en-US"/>
        </w:rPr>
        <w:t xml:space="preserve"> percentiles of data, X in boxes represents mean, with line representing median value and bars representing data within minimal to maximal values. p values are shown for intergroup comparisons, *</w:t>
      </w:r>
      <w:r w:rsidRPr="008A477F">
        <w:rPr>
          <w:i/>
          <w:sz w:val="24"/>
          <w:szCs w:val="24"/>
          <w:lang w:val="en-US"/>
        </w:rPr>
        <w:t xml:space="preserve">P </w:t>
      </w:r>
      <w:r w:rsidRPr="008A477F">
        <w:rPr>
          <w:sz w:val="24"/>
          <w:szCs w:val="24"/>
          <w:lang w:val="en-US"/>
        </w:rPr>
        <w:t>&lt; 0.05, **</w:t>
      </w:r>
      <w:r w:rsidRPr="008A477F">
        <w:rPr>
          <w:i/>
          <w:sz w:val="24"/>
          <w:szCs w:val="24"/>
          <w:lang w:val="en-US"/>
        </w:rPr>
        <w:t>P</w:t>
      </w:r>
      <w:r w:rsidRPr="008A477F">
        <w:rPr>
          <w:sz w:val="24"/>
          <w:szCs w:val="24"/>
          <w:lang w:val="en-US"/>
        </w:rPr>
        <w:t xml:space="preserve"> &lt; 0.01, ***</w:t>
      </w:r>
      <w:r w:rsidRPr="008A477F">
        <w:rPr>
          <w:i/>
          <w:sz w:val="24"/>
          <w:szCs w:val="24"/>
          <w:lang w:val="en-US"/>
        </w:rPr>
        <w:t>P</w:t>
      </w:r>
      <w:r w:rsidRPr="008A477F">
        <w:rPr>
          <w:sz w:val="24"/>
          <w:szCs w:val="24"/>
          <w:lang w:val="en-US"/>
        </w:rPr>
        <w:t xml:space="preserve"> &lt; 0.001.</w:t>
      </w:r>
    </w:p>
    <w:p w:rsidR="00DF1992" w:rsidRPr="008A477F" w:rsidRDefault="00DF1992" w:rsidP="008A477F">
      <w:pPr>
        <w:spacing w:line="480" w:lineRule="auto"/>
        <w:rPr>
          <w:sz w:val="24"/>
          <w:szCs w:val="24"/>
          <w:lang w:val="en-US"/>
        </w:rPr>
      </w:pPr>
      <w:r>
        <w:rPr>
          <w:noProof/>
          <w:sz w:val="24"/>
          <w:szCs w:val="24"/>
          <w:lang w:eastAsia="en-GB"/>
        </w:rPr>
        <w:lastRenderedPageBreak/>
        <w:drawing>
          <wp:inline distT="0" distB="0" distL="0" distR="0">
            <wp:extent cx="5591175" cy="3692985"/>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 3.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602336" cy="3700357"/>
                    </a:xfrm>
                    <a:prstGeom prst="rect">
                      <a:avLst/>
                    </a:prstGeom>
                  </pic:spPr>
                </pic:pic>
              </a:graphicData>
            </a:graphic>
          </wp:inline>
        </w:drawing>
      </w:r>
    </w:p>
    <w:p w:rsidR="008A477F" w:rsidRDefault="008A477F" w:rsidP="008A477F">
      <w:pPr>
        <w:spacing w:line="480" w:lineRule="auto"/>
        <w:rPr>
          <w:sz w:val="24"/>
          <w:szCs w:val="24"/>
          <w:lang w:val="en-US"/>
        </w:rPr>
      </w:pPr>
      <w:r w:rsidRPr="008A477F">
        <w:rPr>
          <w:b/>
          <w:sz w:val="24"/>
          <w:szCs w:val="24"/>
          <w:lang w:val="en-US"/>
        </w:rPr>
        <w:t>Figure 3.</w:t>
      </w:r>
      <w:r w:rsidRPr="008A477F">
        <w:rPr>
          <w:sz w:val="24"/>
          <w:szCs w:val="24"/>
          <w:lang w:val="en-US"/>
        </w:rPr>
        <w:t xml:space="preserve"> Box and whisker plots of bladder volumes in each of the five score groups in the questionnaire study. Top and bottom of boxes represent 25</w:t>
      </w:r>
      <w:r w:rsidRPr="008A477F">
        <w:rPr>
          <w:sz w:val="24"/>
          <w:szCs w:val="24"/>
          <w:vertAlign w:val="superscript"/>
          <w:lang w:val="en-US"/>
        </w:rPr>
        <w:t>th</w:t>
      </w:r>
      <w:r w:rsidRPr="008A477F">
        <w:rPr>
          <w:sz w:val="24"/>
          <w:szCs w:val="24"/>
          <w:lang w:val="en-US"/>
        </w:rPr>
        <w:t xml:space="preserve"> and 75</w:t>
      </w:r>
      <w:r w:rsidRPr="008A477F">
        <w:rPr>
          <w:sz w:val="24"/>
          <w:szCs w:val="24"/>
          <w:vertAlign w:val="superscript"/>
          <w:lang w:val="en-US"/>
        </w:rPr>
        <w:t>th</w:t>
      </w:r>
      <w:r w:rsidRPr="008A477F">
        <w:rPr>
          <w:sz w:val="24"/>
          <w:szCs w:val="24"/>
          <w:lang w:val="en-US"/>
        </w:rPr>
        <w:t xml:space="preserve"> percentiles of data, X in boxes represents mean, with line representing median value and bars representing data within minimal to maximal values. p values are shown for intergroup comparisons, *</w:t>
      </w:r>
      <w:r w:rsidRPr="008A477F">
        <w:rPr>
          <w:i/>
          <w:sz w:val="24"/>
          <w:szCs w:val="24"/>
          <w:lang w:val="en-US"/>
        </w:rPr>
        <w:t>P</w:t>
      </w:r>
      <w:r w:rsidRPr="008A477F">
        <w:rPr>
          <w:sz w:val="24"/>
          <w:szCs w:val="24"/>
          <w:lang w:val="en-US"/>
        </w:rPr>
        <w:t xml:space="preserve"> &lt; 0.05, **</w:t>
      </w:r>
      <w:r w:rsidRPr="008A477F">
        <w:rPr>
          <w:i/>
          <w:sz w:val="24"/>
          <w:szCs w:val="24"/>
          <w:lang w:val="en-US"/>
        </w:rPr>
        <w:t>P</w:t>
      </w:r>
      <w:r w:rsidRPr="008A477F">
        <w:rPr>
          <w:sz w:val="24"/>
          <w:szCs w:val="24"/>
          <w:lang w:val="en-US"/>
        </w:rPr>
        <w:t xml:space="preserve"> &lt; 0.01, ***</w:t>
      </w:r>
      <w:r w:rsidRPr="008A477F">
        <w:rPr>
          <w:i/>
          <w:sz w:val="24"/>
          <w:szCs w:val="24"/>
          <w:lang w:val="en-US"/>
        </w:rPr>
        <w:t>P</w:t>
      </w:r>
      <w:r w:rsidRPr="008A477F">
        <w:rPr>
          <w:sz w:val="24"/>
          <w:szCs w:val="24"/>
          <w:lang w:val="en-US"/>
        </w:rPr>
        <w:t xml:space="preserve"> &lt; 0.001. </w:t>
      </w:r>
    </w:p>
    <w:p w:rsidR="00DF1992" w:rsidRPr="008A477F" w:rsidRDefault="00DF1992" w:rsidP="008A477F">
      <w:pPr>
        <w:spacing w:line="480" w:lineRule="auto"/>
        <w:rPr>
          <w:sz w:val="24"/>
          <w:szCs w:val="24"/>
          <w:lang w:val="en-US"/>
        </w:rPr>
      </w:pPr>
      <w:r>
        <w:rPr>
          <w:noProof/>
          <w:sz w:val="24"/>
          <w:szCs w:val="24"/>
          <w:lang w:eastAsia="en-GB"/>
        </w:rPr>
        <w:lastRenderedPageBreak/>
        <w:drawing>
          <wp:inline distT="0" distB="0" distL="0" distR="0">
            <wp:extent cx="5940425" cy="3938270"/>
            <wp:effectExtent l="0" t="0" r="3175"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 4.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0425" cy="3938270"/>
                    </a:xfrm>
                    <a:prstGeom prst="rect">
                      <a:avLst/>
                    </a:prstGeom>
                  </pic:spPr>
                </pic:pic>
              </a:graphicData>
            </a:graphic>
          </wp:inline>
        </w:drawing>
      </w:r>
    </w:p>
    <w:p w:rsidR="008A477F" w:rsidRDefault="008A477F" w:rsidP="008A477F">
      <w:pPr>
        <w:spacing w:line="480" w:lineRule="auto"/>
        <w:rPr>
          <w:sz w:val="24"/>
          <w:szCs w:val="24"/>
          <w:lang w:val="en-US"/>
        </w:rPr>
      </w:pPr>
      <w:r w:rsidRPr="008A477F">
        <w:rPr>
          <w:b/>
          <w:sz w:val="24"/>
          <w:szCs w:val="24"/>
          <w:lang w:val="en-US"/>
        </w:rPr>
        <w:t>Figure 4.</w:t>
      </w:r>
      <w:r w:rsidRPr="008A477F">
        <w:rPr>
          <w:sz w:val="24"/>
          <w:szCs w:val="24"/>
          <w:lang w:val="en-US"/>
        </w:rPr>
        <w:t xml:space="preserve"> Box and whisker plots of bladder volumes in each of the score groups in both normal volunteers</w:t>
      </w:r>
      <w:r w:rsidR="00D1756D">
        <w:rPr>
          <w:sz w:val="24"/>
          <w:szCs w:val="24"/>
          <w:lang w:val="en-US"/>
        </w:rPr>
        <w:t xml:space="preserve"> (NVs)</w:t>
      </w:r>
      <w:r w:rsidRPr="008A477F">
        <w:rPr>
          <w:sz w:val="24"/>
          <w:szCs w:val="24"/>
          <w:lang w:val="en-US"/>
        </w:rPr>
        <w:t xml:space="preserve"> </w:t>
      </w:r>
      <w:r w:rsidR="00D1756D">
        <w:rPr>
          <w:sz w:val="24"/>
          <w:szCs w:val="24"/>
          <w:lang w:val="en-US"/>
        </w:rPr>
        <w:t xml:space="preserve">and questionnaire (Q) </w:t>
      </w:r>
      <w:r w:rsidRPr="008A477F">
        <w:rPr>
          <w:sz w:val="24"/>
          <w:szCs w:val="24"/>
          <w:lang w:val="en-US"/>
        </w:rPr>
        <w:t>studies. Top and bottom of boxes represent 25</w:t>
      </w:r>
      <w:r w:rsidRPr="008A477F">
        <w:rPr>
          <w:sz w:val="24"/>
          <w:szCs w:val="24"/>
          <w:vertAlign w:val="superscript"/>
          <w:lang w:val="en-US"/>
        </w:rPr>
        <w:t>th</w:t>
      </w:r>
      <w:r w:rsidRPr="008A477F">
        <w:rPr>
          <w:sz w:val="24"/>
          <w:szCs w:val="24"/>
          <w:lang w:val="en-US"/>
        </w:rPr>
        <w:t xml:space="preserve"> and 75</w:t>
      </w:r>
      <w:r w:rsidRPr="008A477F">
        <w:rPr>
          <w:sz w:val="24"/>
          <w:szCs w:val="24"/>
          <w:vertAlign w:val="superscript"/>
          <w:lang w:val="en-US"/>
        </w:rPr>
        <w:t>th</w:t>
      </w:r>
      <w:r w:rsidRPr="008A477F">
        <w:rPr>
          <w:sz w:val="24"/>
          <w:szCs w:val="24"/>
          <w:lang w:val="en-US"/>
        </w:rPr>
        <w:t xml:space="preserve"> percentiles of data, X in boxes represents mean, with line representing median value and bars representing data within minimal to maximal values. p values are shown for intergroup comparisons, *</w:t>
      </w:r>
      <w:r w:rsidRPr="008A477F">
        <w:rPr>
          <w:i/>
          <w:sz w:val="24"/>
          <w:szCs w:val="24"/>
          <w:lang w:val="en-US"/>
        </w:rPr>
        <w:t>P</w:t>
      </w:r>
      <w:r w:rsidRPr="008A477F">
        <w:rPr>
          <w:sz w:val="24"/>
          <w:szCs w:val="24"/>
          <w:lang w:val="en-US"/>
        </w:rPr>
        <w:t xml:space="preserve"> &lt; 0.05, **</w:t>
      </w:r>
      <w:r w:rsidRPr="008A477F">
        <w:rPr>
          <w:i/>
          <w:sz w:val="24"/>
          <w:szCs w:val="24"/>
          <w:lang w:val="en-US"/>
        </w:rPr>
        <w:t>P</w:t>
      </w:r>
      <w:r w:rsidRPr="008A477F">
        <w:rPr>
          <w:sz w:val="24"/>
          <w:szCs w:val="24"/>
          <w:lang w:val="en-US"/>
        </w:rPr>
        <w:t xml:space="preserve"> &lt; 0.01, ***</w:t>
      </w:r>
      <w:r w:rsidRPr="008A477F">
        <w:rPr>
          <w:i/>
          <w:sz w:val="24"/>
          <w:szCs w:val="24"/>
          <w:lang w:val="en-US"/>
        </w:rPr>
        <w:t>P</w:t>
      </w:r>
      <w:r w:rsidRPr="008A477F">
        <w:rPr>
          <w:sz w:val="24"/>
          <w:szCs w:val="24"/>
          <w:lang w:val="en-US"/>
        </w:rPr>
        <w:t xml:space="preserve"> &lt; 0.001.</w:t>
      </w:r>
    </w:p>
    <w:p w:rsidR="00DF1992" w:rsidRDefault="00DF1992">
      <w:pPr>
        <w:rPr>
          <w:sz w:val="24"/>
          <w:szCs w:val="24"/>
          <w:lang w:val="en-US"/>
        </w:rPr>
      </w:pPr>
      <w:r>
        <w:rPr>
          <w:sz w:val="24"/>
          <w:szCs w:val="24"/>
          <w:lang w:val="en-US"/>
        </w:rPr>
        <w:br w:type="page"/>
      </w:r>
    </w:p>
    <w:p w:rsidR="00DF1992" w:rsidRDefault="00DF1992" w:rsidP="008A477F">
      <w:pPr>
        <w:spacing w:line="480" w:lineRule="auto"/>
        <w:rPr>
          <w:b/>
          <w:sz w:val="24"/>
          <w:szCs w:val="24"/>
        </w:rPr>
      </w:pPr>
      <w:r>
        <w:rPr>
          <w:b/>
          <w:sz w:val="24"/>
          <w:szCs w:val="24"/>
        </w:rPr>
        <w:lastRenderedPageBreak/>
        <w:t>Tables</w:t>
      </w:r>
    </w:p>
    <w:p w:rsidR="00DF1992" w:rsidRPr="005F16BE" w:rsidRDefault="00DF1992" w:rsidP="00DF1992">
      <w:pPr>
        <w:spacing w:line="480" w:lineRule="auto"/>
        <w:rPr>
          <w:sz w:val="24"/>
          <w:szCs w:val="24"/>
          <w:lang w:val="en-US"/>
        </w:rPr>
      </w:pPr>
      <w:r w:rsidRPr="005F16BE">
        <w:rPr>
          <w:b/>
          <w:sz w:val="24"/>
          <w:szCs w:val="24"/>
        </w:rPr>
        <w:t>Table 1.</w:t>
      </w:r>
      <w:r w:rsidRPr="005F16BE">
        <w:rPr>
          <w:sz w:val="24"/>
          <w:szCs w:val="24"/>
        </w:rPr>
        <w:t xml:space="preserve"> Summary of patients enrolled in the questionnaire study.</w:t>
      </w:r>
    </w:p>
    <w:tbl>
      <w:tblPr>
        <w:tblW w:w="7720" w:type="dxa"/>
        <w:tblCellMar>
          <w:left w:w="0" w:type="dxa"/>
          <w:right w:w="0" w:type="dxa"/>
        </w:tblCellMar>
        <w:tblLook w:val="04A0" w:firstRow="1" w:lastRow="0" w:firstColumn="1" w:lastColumn="0" w:noHBand="0" w:noVBand="1"/>
      </w:tblPr>
      <w:tblGrid>
        <w:gridCol w:w="1729"/>
        <w:gridCol w:w="1789"/>
        <w:gridCol w:w="1709"/>
        <w:gridCol w:w="2493"/>
      </w:tblGrid>
      <w:tr w:rsidR="00DF1992" w:rsidRPr="0055080C" w:rsidTr="009B436E">
        <w:trPr>
          <w:trHeight w:val="1045"/>
        </w:trPr>
        <w:tc>
          <w:tcPr>
            <w:tcW w:w="17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b/>
                <w:bCs/>
                <w:color w:val="000000"/>
                <w:kern w:val="24"/>
                <w:sz w:val="24"/>
                <w:szCs w:val="24"/>
                <w:lang w:eastAsia="ru-RU"/>
              </w:rPr>
              <w:t>Group</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b/>
                <w:bCs/>
                <w:color w:val="000000"/>
                <w:kern w:val="24"/>
                <w:sz w:val="24"/>
                <w:szCs w:val="24"/>
                <w:lang w:eastAsia="ru-RU"/>
              </w:rPr>
              <w:t>Last voiding, hours</w:t>
            </w:r>
          </w:p>
        </w:tc>
        <w:tc>
          <w:tcPr>
            <w:tcW w:w="17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b/>
                <w:bCs/>
                <w:color w:val="000000"/>
                <w:kern w:val="24"/>
                <w:sz w:val="24"/>
                <w:szCs w:val="24"/>
                <w:lang w:eastAsia="ru-RU"/>
              </w:rPr>
              <w:t>Last drink, hours</w:t>
            </w:r>
          </w:p>
        </w:tc>
        <w:tc>
          <w:tcPr>
            <w:tcW w:w="24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en-US" w:eastAsia="ru-RU"/>
              </w:rPr>
            </w:pPr>
            <w:r w:rsidRPr="0055080C">
              <w:rPr>
                <w:rFonts w:ascii="Calibri" w:eastAsia="Calibri" w:hAnsi="Calibri" w:cs="Times New Roman"/>
                <w:b/>
                <w:bCs/>
                <w:color w:val="000000"/>
                <w:kern w:val="24"/>
                <w:sz w:val="24"/>
                <w:szCs w:val="24"/>
                <w:lang w:eastAsia="ru-RU"/>
              </w:rPr>
              <w:t xml:space="preserve">Corresponding preparation in the </w:t>
            </w:r>
            <w:r>
              <w:rPr>
                <w:rFonts w:ascii="Calibri" w:eastAsia="Calibri" w:hAnsi="Calibri" w:cs="Times New Roman"/>
                <w:b/>
                <w:bCs/>
                <w:color w:val="000000"/>
                <w:kern w:val="24"/>
                <w:sz w:val="24"/>
                <w:szCs w:val="24"/>
                <w:lang w:eastAsia="ru-RU"/>
              </w:rPr>
              <w:t>normal volunteers</w:t>
            </w:r>
            <w:r w:rsidRPr="0055080C">
              <w:rPr>
                <w:rFonts w:ascii="Calibri" w:eastAsia="Calibri" w:hAnsi="Calibri" w:cs="Times New Roman"/>
                <w:b/>
                <w:bCs/>
                <w:color w:val="000000"/>
                <w:kern w:val="24"/>
                <w:sz w:val="24"/>
                <w:szCs w:val="24"/>
                <w:lang w:eastAsia="ru-RU"/>
              </w:rPr>
              <w:t xml:space="preserve"> study</w:t>
            </w:r>
          </w:p>
        </w:tc>
      </w:tr>
      <w:tr w:rsidR="00DF1992" w:rsidRPr="0055080C" w:rsidTr="009B436E">
        <w:trPr>
          <w:trHeight w:val="394"/>
        </w:trPr>
        <w:tc>
          <w:tcPr>
            <w:tcW w:w="17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1</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2</w:t>
            </w:r>
          </w:p>
        </w:tc>
        <w:tc>
          <w:tcPr>
            <w:tcW w:w="17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2</w:t>
            </w:r>
          </w:p>
        </w:tc>
        <w:tc>
          <w:tcPr>
            <w:tcW w:w="24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1</w:t>
            </w:r>
          </w:p>
        </w:tc>
      </w:tr>
      <w:tr w:rsidR="00DF1992" w:rsidRPr="0055080C" w:rsidTr="009B436E">
        <w:trPr>
          <w:trHeight w:val="402"/>
        </w:trPr>
        <w:tc>
          <w:tcPr>
            <w:tcW w:w="17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2</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1</w:t>
            </w:r>
          </w:p>
        </w:tc>
        <w:tc>
          <w:tcPr>
            <w:tcW w:w="17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2</w:t>
            </w:r>
            <w:r w:rsidRPr="002B0960">
              <w:rPr>
                <w:sz w:val="24"/>
                <w:szCs w:val="24"/>
              </w:rPr>
              <w:t>–</w:t>
            </w:r>
            <w:r w:rsidRPr="0055080C">
              <w:rPr>
                <w:rFonts w:ascii="Calibri" w:eastAsia="Calibri" w:hAnsi="Calibri" w:cs="Times New Roman"/>
                <w:color w:val="000000"/>
                <w:kern w:val="24"/>
                <w:sz w:val="24"/>
                <w:szCs w:val="24"/>
                <w:lang w:eastAsia="ru-RU"/>
              </w:rPr>
              <w:t>4</w:t>
            </w:r>
          </w:p>
        </w:tc>
        <w:tc>
          <w:tcPr>
            <w:tcW w:w="24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2</w:t>
            </w:r>
          </w:p>
        </w:tc>
      </w:tr>
      <w:tr w:rsidR="00DF1992" w:rsidRPr="0055080C" w:rsidTr="009B436E">
        <w:trPr>
          <w:trHeight w:val="411"/>
        </w:trPr>
        <w:tc>
          <w:tcPr>
            <w:tcW w:w="17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3</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1</w:t>
            </w:r>
          </w:p>
        </w:tc>
        <w:tc>
          <w:tcPr>
            <w:tcW w:w="17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1</w:t>
            </w:r>
            <w:r w:rsidRPr="002B0960">
              <w:rPr>
                <w:sz w:val="24"/>
                <w:szCs w:val="24"/>
              </w:rPr>
              <w:t>–</w:t>
            </w:r>
            <w:r w:rsidRPr="0055080C">
              <w:rPr>
                <w:rFonts w:ascii="Calibri" w:eastAsia="Calibri" w:hAnsi="Calibri" w:cs="Times New Roman"/>
                <w:color w:val="000000"/>
                <w:kern w:val="24"/>
                <w:sz w:val="24"/>
                <w:szCs w:val="24"/>
                <w:lang w:eastAsia="ru-RU"/>
              </w:rPr>
              <w:t>2</w:t>
            </w:r>
          </w:p>
        </w:tc>
        <w:tc>
          <w:tcPr>
            <w:tcW w:w="24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3</w:t>
            </w:r>
          </w:p>
        </w:tc>
      </w:tr>
      <w:tr w:rsidR="00DF1992" w:rsidRPr="0055080C" w:rsidTr="009B436E">
        <w:trPr>
          <w:trHeight w:val="277"/>
        </w:trPr>
        <w:tc>
          <w:tcPr>
            <w:tcW w:w="17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4</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1</w:t>
            </w:r>
          </w:p>
        </w:tc>
        <w:tc>
          <w:tcPr>
            <w:tcW w:w="17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1</w:t>
            </w:r>
            <w:r w:rsidRPr="002B0960">
              <w:rPr>
                <w:sz w:val="24"/>
                <w:szCs w:val="24"/>
              </w:rPr>
              <w:t>–</w:t>
            </w:r>
            <w:r w:rsidRPr="0055080C">
              <w:rPr>
                <w:rFonts w:ascii="Calibri" w:eastAsia="Calibri" w:hAnsi="Calibri" w:cs="Times New Roman"/>
                <w:color w:val="000000"/>
                <w:kern w:val="24"/>
                <w:sz w:val="24"/>
                <w:szCs w:val="24"/>
                <w:lang w:eastAsia="ru-RU"/>
              </w:rPr>
              <w:t>2</w:t>
            </w:r>
          </w:p>
        </w:tc>
        <w:tc>
          <w:tcPr>
            <w:tcW w:w="248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DF1992" w:rsidRPr="0055080C" w:rsidRDefault="00DF1992" w:rsidP="009B436E">
            <w:pPr>
              <w:spacing w:after="0" w:line="480" w:lineRule="auto"/>
              <w:jc w:val="center"/>
              <w:rPr>
                <w:rFonts w:ascii="Arial" w:eastAsia="Times New Roman" w:hAnsi="Arial" w:cs="Arial"/>
                <w:sz w:val="36"/>
                <w:szCs w:val="36"/>
                <w:lang w:val="ru-RU" w:eastAsia="ru-RU"/>
              </w:rPr>
            </w:pPr>
            <w:r w:rsidRPr="0055080C">
              <w:rPr>
                <w:rFonts w:ascii="Calibri" w:eastAsia="Calibri" w:hAnsi="Calibri" w:cs="Times New Roman"/>
                <w:color w:val="000000"/>
                <w:kern w:val="24"/>
                <w:sz w:val="24"/>
                <w:szCs w:val="24"/>
                <w:lang w:eastAsia="ru-RU"/>
              </w:rPr>
              <w:t>4</w:t>
            </w:r>
          </w:p>
        </w:tc>
      </w:tr>
    </w:tbl>
    <w:p w:rsidR="00DF1992" w:rsidRDefault="00DF1992" w:rsidP="00DF1992">
      <w:pPr>
        <w:spacing w:line="480" w:lineRule="auto"/>
        <w:rPr>
          <w:sz w:val="24"/>
          <w:szCs w:val="24"/>
          <w:lang w:val="en-US"/>
        </w:rPr>
      </w:pPr>
    </w:p>
    <w:p w:rsidR="00DF1992" w:rsidRDefault="00DF1992" w:rsidP="00DF1992">
      <w:pPr>
        <w:spacing w:line="480" w:lineRule="auto"/>
        <w:rPr>
          <w:sz w:val="24"/>
          <w:szCs w:val="24"/>
          <w:lang w:val="en-US"/>
        </w:rPr>
      </w:pPr>
    </w:p>
    <w:p w:rsidR="00DF1992" w:rsidRDefault="00DF1992" w:rsidP="00DF1992">
      <w:pPr>
        <w:spacing w:line="480" w:lineRule="auto"/>
        <w:rPr>
          <w:sz w:val="24"/>
          <w:szCs w:val="24"/>
          <w:lang w:val="en-US"/>
        </w:rPr>
      </w:pPr>
    </w:p>
    <w:p w:rsidR="00DF1992" w:rsidRDefault="00DF1992" w:rsidP="00DF1992">
      <w:pPr>
        <w:spacing w:line="480" w:lineRule="auto"/>
        <w:rPr>
          <w:sz w:val="24"/>
          <w:szCs w:val="24"/>
          <w:lang w:val="en-US"/>
        </w:rPr>
      </w:pPr>
    </w:p>
    <w:p w:rsidR="00DF1992" w:rsidRDefault="00DF1992" w:rsidP="00DF1992">
      <w:pPr>
        <w:spacing w:line="480" w:lineRule="auto"/>
        <w:rPr>
          <w:sz w:val="24"/>
          <w:szCs w:val="24"/>
          <w:lang w:val="en-US"/>
        </w:rPr>
      </w:pPr>
    </w:p>
    <w:p w:rsidR="00DF1992" w:rsidRDefault="00DF1992" w:rsidP="00DF1992">
      <w:pPr>
        <w:spacing w:line="480" w:lineRule="auto"/>
        <w:rPr>
          <w:sz w:val="24"/>
          <w:szCs w:val="24"/>
          <w:lang w:val="en-US"/>
        </w:rPr>
      </w:pPr>
    </w:p>
    <w:p w:rsidR="00DF1992" w:rsidRDefault="00DF1992" w:rsidP="00DF1992">
      <w:pPr>
        <w:spacing w:line="480" w:lineRule="auto"/>
        <w:rPr>
          <w:sz w:val="24"/>
          <w:szCs w:val="24"/>
          <w:lang w:val="en-US"/>
        </w:rPr>
      </w:pPr>
    </w:p>
    <w:p w:rsidR="00DF1992" w:rsidRDefault="00DF1992" w:rsidP="00DF1992">
      <w:pPr>
        <w:spacing w:line="480" w:lineRule="auto"/>
        <w:rPr>
          <w:sz w:val="24"/>
          <w:szCs w:val="24"/>
          <w:lang w:val="en-US"/>
        </w:rPr>
      </w:pPr>
    </w:p>
    <w:p w:rsidR="00DF1992" w:rsidRDefault="00DF1992" w:rsidP="00DF1992">
      <w:pPr>
        <w:spacing w:line="480" w:lineRule="auto"/>
        <w:rPr>
          <w:sz w:val="24"/>
          <w:szCs w:val="24"/>
          <w:lang w:val="en-US"/>
        </w:rPr>
      </w:pPr>
    </w:p>
    <w:p w:rsidR="00DF1992" w:rsidRPr="00337FD9" w:rsidRDefault="00DF1992" w:rsidP="00DF1992">
      <w:pPr>
        <w:spacing w:line="480" w:lineRule="auto"/>
        <w:rPr>
          <w:sz w:val="24"/>
          <w:szCs w:val="24"/>
          <w:lang w:val="en-US"/>
        </w:rPr>
      </w:pPr>
    </w:p>
    <w:p w:rsidR="00DF1992" w:rsidRPr="005F16BE" w:rsidRDefault="00DF1992" w:rsidP="00DF1992">
      <w:pPr>
        <w:pStyle w:val="NormalWeb"/>
        <w:spacing w:before="0" w:beforeAutospacing="0" w:after="0" w:afterAutospacing="0" w:line="480" w:lineRule="auto"/>
        <w:rPr>
          <w:rFonts w:ascii="Calibri" w:eastAsia="+mn-ea" w:hAnsi="Calibri" w:cs="+mn-cs"/>
          <w:color w:val="000000"/>
          <w:kern w:val="24"/>
          <w:lang w:val="en-US"/>
        </w:rPr>
      </w:pPr>
      <w:r w:rsidRPr="0055080C">
        <w:rPr>
          <w:rFonts w:ascii="Calibri" w:eastAsia="+mn-ea" w:hAnsi="Calibri" w:cs="+mn-cs"/>
          <w:b/>
          <w:color w:val="000000"/>
          <w:kern w:val="24"/>
          <w:lang w:val="en-US"/>
        </w:rPr>
        <w:lastRenderedPageBreak/>
        <w:t>Table 2.</w:t>
      </w:r>
      <w:r>
        <w:rPr>
          <w:rFonts w:ascii="Calibri" w:eastAsia="+mn-ea" w:hAnsi="Calibri" w:cs="+mn-cs"/>
          <w:color w:val="000000"/>
          <w:kern w:val="24"/>
          <w:lang w:val="en-US"/>
        </w:rPr>
        <w:t xml:space="preserve"> Summary of the bladder distention scores in the normal volunteers subjected to different drinking/voiding preparations. Scores of patients whose scans were performed before 11am (early morning) are highlighted in grey. The mean bladder distention scores were calculated assuming that 1</w:t>
      </w:r>
      <w:r>
        <w:rPr>
          <w:rFonts w:ascii="Calibri" w:eastAsia="+mn-ea" w:hAnsi="Calibri" w:cs="+mn-cs"/>
          <w:color w:val="000000"/>
          <w:kern w:val="24"/>
        </w:rPr>
        <w:t xml:space="preserve"> </w:t>
      </w:r>
      <w:r>
        <w:rPr>
          <w:rFonts w:ascii="Calibri" w:eastAsia="+mn-ea" w:hAnsi="Calibri" w:cs="+mn-cs"/>
          <w:color w:val="000000"/>
          <w:kern w:val="24"/>
          <w:lang w:val="en-US"/>
        </w:rPr>
        <w:t>=</w:t>
      </w:r>
      <w:r>
        <w:rPr>
          <w:rFonts w:ascii="Calibri" w:eastAsia="+mn-ea" w:hAnsi="Calibri" w:cs="+mn-cs"/>
          <w:color w:val="000000"/>
          <w:kern w:val="24"/>
        </w:rPr>
        <w:t xml:space="preserve"> </w:t>
      </w:r>
      <w:r>
        <w:rPr>
          <w:rFonts w:ascii="Calibri" w:eastAsia="+mn-ea" w:hAnsi="Calibri" w:cs="+mn-cs"/>
          <w:color w:val="000000"/>
          <w:kern w:val="24"/>
          <w:lang w:val="en-US"/>
        </w:rPr>
        <w:t>5</w:t>
      </w:r>
      <w:r>
        <w:rPr>
          <w:rFonts w:ascii="Calibri" w:eastAsia="+mn-ea" w:hAnsi="Calibri" w:cs="+mn-cs"/>
          <w:color w:val="000000"/>
          <w:kern w:val="24"/>
        </w:rPr>
        <w:t xml:space="preserve"> </w:t>
      </w:r>
      <w:r>
        <w:rPr>
          <w:rFonts w:ascii="Calibri" w:eastAsia="+mn-ea" w:hAnsi="Calibri" w:cs="+mn-cs"/>
          <w:color w:val="000000"/>
          <w:kern w:val="24"/>
          <w:lang w:val="en-US"/>
        </w:rPr>
        <w:t>=</w:t>
      </w:r>
      <w:r>
        <w:rPr>
          <w:rFonts w:ascii="Calibri" w:eastAsia="+mn-ea" w:hAnsi="Calibri" w:cs="+mn-cs"/>
          <w:color w:val="000000"/>
          <w:kern w:val="24"/>
        </w:rPr>
        <w:t xml:space="preserve"> </w:t>
      </w:r>
      <w:r>
        <w:rPr>
          <w:rFonts w:ascii="Calibri" w:eastAsia="+mn-ea" w:hAnsi="Calibri" w:cs="+mn-cs"/>
          <w:color w:val="000000"/>
          <w:kern w:val="24"/>
          <w:lang w:val="en-US"/>
        </w:rPr>
        <w:t>1, 2</w:t>
      </w:r>
      <w:r>
        <w:rPr>
          <w:rFonts w:ascii="Calibri" w:eastAsia="+mn-ea" w:hAnsi="Calibri" w:cs="+mn-cs"/>
          <w:color w:val="000000"/>
          <w:kern w:val="24"/>
        </w:rPr>
        <w:t xml:space="preserve"> </w:t>
      </w:r>
      <w:r>
        <w:rPr>
          <w:rFonts w:ascii="Calibri" w:eastAsia="+mn-ea" w:hAnsi="Calibri" w:cs="+mn-cs"/>
          <w:color w:val="000000"/>
          <w:kern w:val="24"/>
          <w:lang w:val="en-US"/>
        </w:rPr>
        <w:t>=</w:t>
      </w:r>
      <w:r>
        <w:rPr>
          <w:rFonts w:ascii="Calibri" w:eastAsia="+mn-ea" w:hAnsi="Calibri" w:cs="+mn-cs"/>
          <w:color w:val="000000"/>
          <w:kern w:val="24"/>
        </w:rPr>
        <w:t xml:space="preserve"> </w:t>
      </w:r>
      <w:r>
        <w:rPr>
          <w:rFonts w:ascii="Calibri" w:eastAsia="+mn-ea" w:hAnsi="Calibri" w:cs="+mn-cs"/>
          <w:color w:val="000000"/>
          <w:kern w:val="24"/>
          <w:lang w:val="en-US"/>
        </w:rPr>
        <w:t>4</w:t>
      </w:r>
      <w:r>
        <w:rPr>
          <w:rFonts w:ascii="Calibri" w:eastAsia="+mn-ea" w:hAnsi="Calibri" w:cs="+mn-cs"/>
          <w:color w:val="000000"/>
          <w:kern w:val="24"/>
        </w:rPr>
        <w:t xml:space="preserve"> </w:t>
      </w:r>
      <w:r>
        <w:rPr>
          <w:rFonts w:ascii="Calibri" w:eastAsia="+mn-ea" w:hAnsi="Calibri" w:cs="+mn-cs"/>
          <w:color w:val="000000"/>
          <w:kern w:val="24"/>
          <w:lang w:val="en-US"/>
        </w:rPr>
        <w:t>=2, 3</w:t>
      </w:r>
      <w:r>
        <w:rPr>
          <w:rFonts w:ascii="Calibri" w:eastAsia="+mn-ea" w:hAnsi="Calibri" w:cs="+mn-cs"/>
          <w:color w:val="000000"/>
          <w:kern w:val="24"/>
        </w:rPr>
        <w:t xml:space="preserve"> </w:t>
      </w:r>
      <w:r>
        <w:rPr>
          <w:rFonts w:ascii="Calibri" w:eastAsia="+mn-ea" w:hAnsi="Calibri" w:cs="+mn-cs"/>
          <w:color w:val="000000"/>
          <w:kern w:val="24"/>
          <w:lang w:val="en-US"/>
        </w:rPr>
        <w:t>=</w:t>
      </w:r>
      <w:r>
        <w:rPr>
          <w:rFonts w:ascii="Calibri" w:eastAsia="+mn-ea" w:hAnsi="Calibri" w:cs="+mn-cs"/>
          <w:color w:val="000000"/>
          <w:kern w:val="24"/>
        </w:rPr>
        <w:t xml:space="preserve"> </w:t>
      </w:r>
      <w:r>
        <w:rPr>
          <w:rFonts w:ascii="Calibri" w:eastAsia="+mn-ea" w:hAnsi="Calibri" w:cs="+mn-cs"/>
          <w:color w:val="000000"/>
          <w:kern w:val="24"/>
          <w:lang w:val="en-US"/>
        </w:rPr>
        <w:t xml:space="preserve">3. </w:t>
      </w:r>
    </w:p>
    <w:tbl>
      <w:tblPr>
        <w:tblW w:w="5000" w:type="pct"/>
        <w:tblCellMar>
          <w:left w:w="0" w:type="dxa"/>
          <w:right w:w="0" w:type="dxa"/>
        </w:tblCellMar>
        <w:tblLook w:val="04A0" w:firstRow="1" w:lastRow="0" w:firstColumn="1" w:lastColumn="0" w:noHBand="0" w:noVBand="1"/>
      </w:tblPr>
      <w:tblGrid>
        <w:gridCol w:w="867"/>
        <w:gridCol w:w="717"/>
        <w:gridCol w:w="717"/>
        <w:gridCol w:w="715"/>
        <w:gridCol w:w="715"/>
        <w:gridCol w:w="655"/>
        <w:gridCol w:w="655"/>
        <w:gridCol w:w="715"/>
        <w:gridCol w:w="717"/>
        <w:gridCol w:w="715"/>
        <w:gridCol w:w="715"/>
        <w:gridCol w:w="715"/>
        <w:gridCol w:w="717"/>
      </w:tblGrid>
      <w:tr w:rsidR="00DF1992" w:rsidRPr="000753CC" w:rsidTr="009B436E">
        <w:trPr>
          <w:trHeight w:val="246"/>
        </w:trPr>
        <w:tc>
          <w:tcPr>
            <w:tcW w:w="464"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br/>
              <w:t>Patient</w:t>
            </w:r>
          </w:p>
        </w:tc>
        <w:tc>
          <w:tcPr>
            <w:tcW w:w="1534"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All</w:t>
            </w:r>
          </w:p>
        </w:tc>
        <w:tc>
          <w:tcPr>
            <w:tcW w:w="1469"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Early morning</w:t>
            </w:r>
          </w:p>
        </w:tc>
        <w:tc>
          <w:tcPr>
            <w:tcW w:w="1533" w:type="pct"/>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After 11.00 am</w:t>
            </w:r>
          </w:p>
        </w:tc>
      </w:tr>
      <w:tr w:rsidR="00DF1992" w:rsidRPr="000753CC" w:rsidTr="009B436E">
        <w:trPr>
          <w:trHeight w:val="782"/>
        </w:trPr>
        <w:tc>
          <w:tcPr>
            <w:tcW w:w="464" w:type="pct"/>
            <w:vMerge/>
            <w:tcBorders>
              <w:top w:val="single" w:sz="8" w:space="0" w:color="000000"/>
              <w:left w:val="single" w:sz="8" w:space="0" w:color="000000"/>
              <w:bottom w:val="single" w:sz="8" w:space="0" w:color="000000"/>
              <w:right w:val="single" w:sz="8" w:space="0" w:color="000000"/>
            </w:tcBorders>
            <w:vAlign w:val="center"/>
            <w:hideMark/>
          </w:tcPr>
          <w:p w:rsidR="00DF1992" w:rsidRPr="00592146" w:rsidRDefault="00DF1992" w:rsidP="009B436E">
            <w:pPr>
              <w:spacing w:after="0" w:line="480" w:lineRule="auto"/>
              <w:rPr>
                <w:rFonts w:ascii="Arial" w:eastAsia="Times New Roman" w:hAnsi="Arial" w:cs="Arial"/>
                <w:sz w:val="24"/>
                <w:szCs w:val="24"/>
                <w:lang w:val="ru-RU" w:eastAsia="ru-RU"/>
              </w:rPr>
            </w:pP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1</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4</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1</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4</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Prep 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 xml:space="preserve">Prep </w:t>
            </w:r>
            <w:r w:rsidRPr="00592146">
              <w:rPr>
                <w:rFonts w:ascii="Calibri" w:eastAsia="Calibri" w:hAnsi="Calibri" w:cs="Times New Roman"/>
                <w:b/>
                <w:bCs/>
                <w:color w:val="000000"/>
                <w:kern w:val="24"/>
                <w:sz w:val="24"/>
                <w:szCs w:val="24"/>
                <w:lang w:val="ru-RU" w:eastAsia="ru-RU"/>
              </w:rPr>
              <w:t>4</w:t>
            </w:r>
          </w:p>
        </w:tc>
      </w:tr>
      <w:tr w:rsidR="00DF1992" w:rsidRPr="000753CC" w:rsidTr="009B436E">
        <w:trPr>
          <w:trHeight w:val="519"/>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1</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DBDBDB"/>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2</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4" w:type="pct"/>
            <w:tcBorders>
              <w:top w:val="single" w:sz="8" w:space="0" w:color="000000"/>
              <w:left w:val="single" w:sz="8" w:space="0" w:color="000000"/>
              <w:bottom w:val="single" w:sz="8" w:space="0" w:color="000000"/>
              <w:right w:val="single" w:sz="8" w:space="0" w:color="000000"/>
            </w:tcBorders>
            <w:shd w:val="clear" w:color="auto" w:fill="D9D9D9"/>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D9D9D9"/>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DBDBDB"/>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3</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DBDBDB"/>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4</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DBDBDB"/>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5</w:t>
            </w:r>
          </w:p>
        </w:tc>
        <w:tc>
          <w:tcPr>
            <w:tcW w:w="384" w:type="pct"/>
            <w:tcBorders>
              <w:top w:val="single" w:sz="8" w:space="0" w:color="000000"/>
              <w:left w:val="single" w:sz="8" w:space="0" w:color="000000"/>
              <w:bottom w:val="single" w:sz="8" w:space="0" w:color="000000"/>
              <w:right w:val="single" w:sz="8" w:space="0" w:color="000000"/>
            </w:tcBorders>
            <w:shd w:val="clear" w:color="auto" w:fill="D9D9D9"/>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DBDBDB"/>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DBDBDB"/>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6</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4" w:type="pct"/>
            <w:tcBorders>
              <w:top w:val="single" w:sz="8" w:space="0" w:color="000000"/>
              <w:left w:val="single" w:sz="8" w:space="0" w:color="000000"/>
              <w:bottom w:val="single" w:sz="8" w:space="0" w:color="000000"/>
              <w:right w:val="single" w:sz="8" w:space="0" w:color="000000"/>
            </w:tcBorders>
            <w:shd w:val="clear" w:color="auto" w:fill="D9D9D9"/>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D9D9D9"/>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7</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8</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9</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10</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DBDBDB"/>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11</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12</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4</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lastRenderedPageBreak/>
              <w:t>13</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DBDBDB"/>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14</w:t>
            </w:r>
          </w:p>
        </w:tc>
        <w:tc>
          <w:tcPr>
            <w:tcW w:w="384" w:type="pct"/>
            <w:tcBorders>
              <w:top w:val="single" w:sz="8" w:space="0" w:color="000000"/>
              <w:left w:val="single" w:sz="8" w:space="0" w:color="000000"/>
              <w:bottom w:val="single" w:sz="8" w:space="0" w:color="000000"/>
              <w:right w:val="single" w:sz="8" w:space="0" w:color="000000"/>
            </w:tcBorders>
            <w:shd w:val="clear" w:color="auto" w:fill="D9D9D9"/>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4" w:type="pct"/>
            <w:tcBorders>
              <w:top w:val="single" w:sz="8" w:space="0" w:color="000000"/>
              <w:left w:val="single" w:sz="8" w:space="0" w:color="000000"/>
              <w:bottom w:val="single" w:sz="8" w:space="0" w:color="000000"/>
              <w:right w:val="single" w:sz="8" w:space="0" w:color="000000"/>
            </w:tcBorders>
            <w:shd w:val="clear" w:color="auto" w:fill="D9D9D9"/>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D9D9D9"/>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D9D9D9"/>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2</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r>
      <w:tr w:rsidR="00DF1992" w:rsidRPr="000753CC" w:rsidTr="009B436E">
        <w:trPr>
          <w:trHeight w:val="246"/>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eastAsia="ru-RU"/>
              </w:rPr>
              <w:t>15</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3</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vAlign w:val="bottom"/>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5</w:t>
            </w:r>
          </w:p>
        </w:tc>
      </w:tr>
      <w:tr w:rsidR="00DF1992" w:rsidRPr="000753CC" w:rsidTr="009B436E">
        <w:trPr>
          <w:trHeight w:val="1640"/>
        </w:trPr>
        <w:tc>
          <w:tcPr>
            <w:tcW w:w="46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b/>
                <w:bCs/>
                <w:color w:val="000000"/>
                <w:kern w:val="24"/>
                <w:sz w:val="24"/>
                <w:szCs w:val="24"/>
                <w:lang w:val="en-US" w:eastAsia="ru-RU"/>
              </w:rPr>
              <w:t>Score, mean (</w:t>
            </w:r>
            <w:r w:rsidRPr="00592146">
              <w:rPr>
                <w:rFonts w:ascii="Calibri" w:eastAsia="Calibri" w:hAnsi="Calibri" w:cs="Times New Roman"/>
                <w:b/>
                <w:bCs/>
                <w:color w:val="000000"/>
                <w:kern w:val="24"/>
                <w:sz w:val="24"/>
                <w:szCs w:val="24"/>
                <w:lang w:eastAsia="ru-RU"/>
              </w:rPr>
              <w:t>±SD)</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val="en-US" w:eastAsia="ru-RU"/>
              </w:rPr>
              <w:t xml:space="preserve">2.2 </w:t>
            </w:r>
            <w:r w:rsidRPr="00592146">
              <w:rPr>
                <w:rFonts w:ascii="Calibri" w:eastAsia="Times New Roman" w:hAnsi="Calibri" w:cs="Arial"/>
                <w:color w:val="000000"/>
                <w:kern w:val="24"/>
                <w:sz w:val="24"/>
                <w:szCs w:val="24"/>
                <w:lang w:eastAsia="ru-RU"/>
              </w:rPr>
              <w:t>(±0.</w:t>
            </w:r>
            <w:r w:rsidRPr="00592146">
              <w:rPr>
                <w:rFonts w:ascii="Calibri" w:eastAsia="Times New Roman" w:hAnsi="Calibri" w:cs="Arial"/>
                <w:color w:val="000000"/>
                <w:kern w:val="24"/>
                <w:sz w:val="24"/>
                <w:szCs w:val="24"/>
                <w:lang w:val="en-US" w:eastAsia="ru-RU"/>
              </w:rPr>
              <w:t>9</w:t>
            </w:r>
            <w:r w:rsidRPr="00592146">
              <w:rPr>
                <w:rFonts w:ascii="Calibri" w:eastAsia="Times New Roman" w:hAnsi="Calibri" w:cs="Arial"/>
                <w:color w:val="000000"/>
                <w:kern w:val="24"/>
                <w:sz w:val="24"/>
                <w:szCs w:val="24"/>
                <w:lang w:eastAsia="ru-RU"/>
              </w:rPr>
              <w:t>)</w:t>
            </w:r>
          </w:p>
        </w:tc>
        <w:tc>
          <w:tcPr>
            <w:tcW w:w="384"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1.7 </w:t>
            </w:r>
            <w:r w:rsidRPr="00592146">
              <w:rPr>
                <w:rFonts w:ascii="Calibri" w:eastAsia="Times New Roman" w:hAnsi="Calibri" w:cs="Arial"/>
                <w:color w:val="000000"/>
                <w:kern w:val="24"/>
                <w:sz w:val="24"/>
                <w:szCs w:val="24"/>
                <w:lang w:eastAsia="ru-RU"/>
              </w:rPr>
              <w:t xml:space="preserve">(±0.7)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1.6 </w:t>
            </w:r>
            <w:r w:rsidRPr="00592146">
              <w:rPr>
                <w:rFonts w:ascii="Calibri" w:eastAsia="Times New Roman" w:hAnsi="Calibri" w:cs="Arial"/>
                <w:color w:val="000000"/>
                <w:kern w:val="24"/>
                <w:sz w:val="24"/>
                <w:szCs w:val="24"/>
                <w:lang w:eastAsia="ru-RU"/>
              </w:rPr>
              <w:t>(±0.5)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1.4 </w:t>
            </w:r>
            <w:r w:rsidRPr="00592146">
              <w:rPr>
                <w:rFonts w:ascii="Calibri" w:eastAsia="Times New Roman" w:hAnsi="Calibri" w:cs="Arial"/>
                <w:color w:val="000000"/>
                <w:kern w:val="24"/>
                <w:sz w:val="24"/>
                <w:szCs w:val="24"/>
                <w:lang w:eastAsia="ru-RU"/>
              </w:rPr>
              <w:t>(±0.5)</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1 </w:t>
            </w:r>
            <w:r w:rsidRPr="00592146">
              <w:rPr>
                <w:rFonts w:ascii="Calibri" w:eastAsia="Calibri" w:hAnsi="Calibri" w:cs="Times New Roman"/>
                <w:color w:val="000000"/>
                <w:kern w:val="24"/>
                <w:sz w:val="24"/>
                <w:szCs w:val="24"/>
                <w:lang w:eastAsia="ru-RU"/>
              </w:rPr>
              <w:br/>
            </w:r>
            <w:r w:rsidRPr="00592146">
              <w:rPr>
                <w:rFonts w:ascii="Calibri" w:eastAsia="Times New Roman" w:hAnsi="Calibri" w:cs="Arial"/>
                <w:color w:val="000000"/>
                <w:kern w:val="24"/>
                <w:sz w:val="24"/>
                <w:szCs w:val="24"/>
                <w:lang w:eastAsia="ru-RU"/>
              </w:rPr>
              <w:t>(±0)</w:t>
            </w:r>
          </w:p>
        </w:tc>
        <w:tc>
          <w:tcPr>
            <w:tcW w:w="351"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1 </w:t>
            </w:r>
            <w:r w:rsidRPr="00592146">
              <w:rPr>
                <w:rFonts w:ascii="Calibri" w:eastAsia="Calibri" w:hAnsi="Calibri" w:cs="Times New Roman"/>
                <w:color w:val="000000"/>
                <w:kern w:val="24"/>
                <w:sz w:val="24"/>
                <w:szCs w:val="24"/>
                <w:lang w:eastAsia="ru-RU"/>
              </w:rPr>
              <w:br/>
            </w:r>
            <w:r w:rsidRPr="00592146">
              <w:rPr>
                <w:rFonts w:ascii="Calibri" w:eastAsia="Times New Roman" w:hAnsi="Calibri" w:cs="Arial"/>
                <w:color w:val="000000"/>
                <w:kern w:val="24"/>
                <w:sz w:val="24"/>
                <w:szCs w:val="24"/>
                <w:lang w:eastAsia="ru-RU"/>
              </w:rPr>
              <w:t>(±0)</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1.8 (±0.5)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1.4 (±0.5)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2.4 </w:t>
            </w:r>
            <w:r w:rsidRPr="00592146">
              <w:rPr>
                <w:rFonts w:ascii="Calibri" w:eastAsia="Times New Roman" w:hAnsi="Calibri" w:cs="Arial"/>
                <w:color w:val="000000"/>
                <w:kern w:val="24"/>
                <w:sz w:val="24"/>
                <w:szCs w:val="24"/>
                <w:lang w:eastAsia="ru-RU"/>
              </w:rPr>
              <w:t xml:space="preserve">(±0.8) </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1.8 </w:t>
            </w:r>
            <w:r w:rsidRPr="00592146">
              <w:rPr>
                <w:rFonts w:ascii="Calibri" w:eastAsia="Times New Roman" w:hAnsi="Calibri" w:cs="Arial"/>
                <w:color w:val="000000"/>
                <w:kern w:val="24"/>
                <w:sz w:val="24"/>
                <w:szCs w:val="24"/>
                <w:lang w:eastAsia="ru-RU"/>
              </w:rPr>
              <w:t>(±0.7)</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1.6 </w:t>
            </w:r>
            <w:r w:rsidRPr="00592146">
              <w:rPr>
                <w:rFonts w:ascii="Calibri" w:eastAsia="Times New Roman" w:hAnsi="Calibri" w:cs="Arial"/>
                <w:color w:val="000000"/>
                <w:kern w:val="24"/>
                <w:sz w:val="24"/>
                <w:szCs w:val="24"/>
                <w:lang w:eastAsia="ru-RU"/>
              </w:rPr>
              <w:t>(±0.5)</w:t>
            </w:r>
          </w:p>
        </w:tc>
        <w:tc>
          <w:tcPr>
            <w:tcW w:w="383" w:type="pct"/>
            <w:tcBorders>
              <w:top w:val="single" w:sz="8" w:space="0" w:color="000000"/>
              <w:left w:val="single" w:sz="8" w:space="0" w:color="000000"/>
              <w:bottom w:val="single" w:sz="8" w:space="0" w:color="000000"/>
              <w:right w:val="single" w:sz="8" w:space="0" w:color="000000"/>
            </w:tcBorders>
            <w:shd w:val="clear" w:color="auto" w:fill="auto"/>
            <w:tcMar>
              <w:top w:w="15" w:type="dxa"/>
              <w:left w:w="52" w:type="dxa"/>
              <w:bottom w:w="0" w:type="dxa"/>
              <w:right w:w="52" w:type="dxa"/>
            </w:tcMar>
            <w:hideMark/>
          </w:tcPr>
          <w:p w:rsidR="00DF1992" w:rsidRPr="00592146" w:rsidRDefault="00DF1992" w:rsidP="009B436E">
            <w:pPr>
              <w:spacing w:line="480" w:lineRule="auto"/>
              <w:jc w:val="center"/>
              <w:rPr>
                <w:rFonts w:ascii="Arial" w:eastAsia="Times New Roman" w:hAnsi="Arial" w:cs="Arial"/>
                <w:sz w:val="24"/>
                <w:szCs w:val="24"/>
                <w:lang w:val="ru-RU" w:eastAsia="ru-RU"/>
              </w:rPr>
            </w:pPr>
            <w:r w:rsidRPr="00592146">
              <w:rPr>
                <w:rFonts w:ascii="Calibri" w:eastAsia="Calibri" w:hAnsi="Calibri" w:cs="Times New Roman"/>
                <w:color w:val="000000"/>
                <w:kern w:val="24"/>
                <w:sz w:val="24"/>
                <w:szCs w:val="24"/>
                <w:lang w:eastAsia="ru-RU"/>
              </w:rPr>
              <w:t xml:space="preserve">1.4 </w:t>
            </w:r>
            <w:r w:rsidRPr="00592146">
              <w:rPr>
                <w:rFonts w:ascii="Calibri" w:eastAsia="Times New Roman" w:hAnsi="Calibri" w:cs="Arial"/>
                <w:color w:val="000000"/>
                <w:kern w:val="24"/>
                <w:sz w:val="24"/>
                <w:szCs w:val="24"/>
                <w:lang w:eastAsia="ru-RU"/>
              </w:rPr>
              <w:t>(±0.5)</w:t>
            </w:r>
          </w:p>
        </w:tc>
      </w:tr>
    </w:tbl>
    <w:p w:rsidR="00DF1992" w:rsidRDefault="00DF1992" w:rsidP="00DF1992">
      <w:pPr>
        <w:spacing w:line="480" w:lineRule="auto"/>
        <w:rPr>
          <w:rFonts w:cs="Times New Roman"/>
          <w:sz w:val="24"/>
          <w:szCs w:val="24"/>
        </w:rPr>
      </w:pPr>
    </w:p>
    <w:p w:rsidR="00DF1992" w:rsidRDefault="00DF1992" w:rsidP="00DF1992">
      <w:pPr>
        <w:rPr>
          <w:rFonts w:cs="Times New Roman"/>
          <w:sz w:val="24"/>
          <w:szCs w:val="24"/>
        </w:rPr>
      </w:pPr>
      <w:r>
        <w:rPr>
          <w:rFonts w:cs="Times New Roman"/>
          <w:sz w:val="24"/>
          <w:szCs w:val="24"/>
        </w:rPr>
        <w:t>SD – standard deviation.</w:t>
      </w: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Default="00DF1992" w:rsidP="00DF1992">
      <w:pPr>
        <w:pStyle w:val="NormalWeb"/>
        <w:spacing w:before="0" w:beforeAutospacing="0" w:after="0" w:afterAutospacing="0" w:line="480" w:lineRule="auto"/>
        <w:rPr>
          <w:rFonts w:ascii="Calibri" w:eastAsia="+mn-ea" w:hAnsi="Calibri" w:cs="+mn-cs"/>
          <w:b/>
          <w:color w:val="000000"/>
          <w:kern w:val="24"/>
          <w:lang w:val="en-US"/>
        </w:rPr>
      </w:pPr>
    </w:p>
    <w:p w:rsidR="00DF1992" w:rsidRPr="005F16BE" w:rsidRDefault="00DF1992" w:rsidP="00DF1992">
      <w:pPr>
        <w:pStyle w:val="NormalWeb"/>
        <w:spacing w:before="0" w:beforeAutospacing="0" w:after="0" w:afterAutospacing="0" w:line="480" w:lineRule="auto"/>
        <w:rPr>
          <w:rFonts w:ascii="Calibri" w:eastAsia="+mn-ea" w:hAnsi="Calibri" w:cs="+mn-cs"/>
          <w:color w:val="000000"/>
          <w:kern w:val="24"/>
          <w:lang w:val="en-US"/>
        </w:rPr>
      </w:pPr>
      <w:r w:rsidRPr="0055080C">
        <w:rPr>
          <w:rFonts w:ascii="Calibri" w:eastAsia="+mn-ea" w:hAnsi="Calibri" w:cs="+mn-cs"/>
          <w:b/>
          <w:color w:val="000000"/>
          <w:kern w:val="24"/>
          <w:lang w:val="en-US"/>
        </w:rPr>
        <w:lastRenderedPageBreak/>
        <w:t>Table 3.</w:t>
      </w:r>
      <w:r>
        <w:rPr>
          <w:rFonts w:ascii="Calibri" w:eastAsia="+mn-ea" w:hAnsi="Calibri" w:cs="+mn-cs"/>
          <w:color w:val="000000"/>
          <w:kern w:val="24"/>
          <w:lang w:val="en-US"/>
        </w:rPr>
        <w:t xml:space="preserve"> Summary of the bladder distention scores and bladder volumes in the normal volunteers and patients subjected to different drinking/voiding preparations at different times of the day. The bladder distention scores are presented as the mean (</w:t>
      </w:r>
      <w:r>
        <w:rPr>
          <w:rFonts w:ascii="Calibri" w:eastAsia="Calibri" w:hAnsi="Calibri"/>
          <w:color w:val="000000"/>
          <w:kern w:val="24"/>
          <w:lang w:val="en-GB"/>
        </w:rPr>
        <w:t xml:space="preserve">± SD); the bladder </w:t>
      </w:r>
      <w:r>
        <w:rPr>
          <w:rFonts w:ascii="Calibri" w:eastAsia="+mn-ea" w:hAnsi="Calibri" w:cs="+mn-cs"/>
          <w:color w:val="000000"/>
          <w:kern w:val="24"/>
          <w:lang w:val="en-US"/>
        </w:rPr>
        <w:t>volumes (</w:t>
      </w:r>
      <w:r>
        <w:rPr>
          <w:rFonts w:ascii="Calibri" w:eastAsia="+mn-ea" w:hAnsi="Calibri" w:cs="+mn-cs"/>
          <w:color w:val="000000"/>
          <w:kern w:val="24"/>
          <w:lang w:val="en-GB"/>
        </w:rPr>
        <w:t>mm</w:t>
      </w:r>
      <w:r>
        <w:rPr>
          <w:rFonts w:ascii="Calibri" w:eastAsia="+mn-ea" w:hAnsi="Calibri" w:cs="+mn-cs"/>
          <w:color w:val="000000"/>
          <w:kern w:val="24"/>
          <w:position w:val="7"/>
          <w:vertAlign w:val="superscript"/>
          <w:lang w:val="en-GB"/>
        </w:rPr>
        <w:t>3</w:t>
      </w:r>
      <w:r>
        <w:rPr>
          <w:rFonts w:ascii="Calibri" w:eastAsia="+mn-ea" w:hAnsi="Calibri" w:cs="+mn-cs"/>
          <w:color w:val="000000"/>
          <w:kern w:val="24"/>
          <w:lang w:val="en-US"/>
        </w:rPr>
        <w:t>) are presented as the median (IQR) where IQR is the interquartile range.</w:t>
      </w:r>
    </w:p>
    <w:tbl>
      <w:tblPr>
        <w:tblW w:w="9280" w:type="dxa"/>
        <w:tblCellMar>
          <w:left w:w="0" w:type="dxa"/>
          <w:right w:w="0" w:type="dxa"/>
        </w:tblCellMar>
        <w:tblLook w:val="04A0" w:firstRow="1" w:lastRow="0" w:firstColumn="1" w:lastColumn="0" w:noHBand="0" w:noVBand="1"/>
      </w:tblPr>
      <w:tblGrid>
        <w:gridCol w:w="1061"/>
        <w:gridCol w:w="996"/>
        <w:gridCol w:w="758"/>
        <w:gridCol w:w="360"/>
        <w:gridCol w:w="399"/>
        <w:gridCol w:w="600"/>
        <w:gridCol w:w="159"/>
        <w:gridCol w:w="838"/>
        <w:gridCol w:w="679"/>
        <w:gridCol w:w="340"/>
        <w:gridCol w:w="497"/>
        <w:gridCol w:w="540"/>
        <w:gridCol w:w="298"/>
        <w:gridCol w:w="699"/>
        <w:gridCol w:w="139"/>
        <w:gridCol w:w="917"/>
      </w:tblGrid>
      <w:tr w:rsidR="00DF1992" w:rsidRPr="000753CC" w:rsidTr="009B436E">
        <w:trPr>
          <w:trHeight w:val="286"/>
        </w:trPr>
        <w:tc>
          <w:tcPr>
            <w:tcW w:w="10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Subjects</w:t>
            </w:r>
          </w:p>
        </w:tc>
        <w:tc>
          <w:tcPr>
            <w:tcW w:w="4100"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Normal volunteers</w:t>
            </w:r>
          </w:p>
        </w:tc>
        <w:tc>
          <w:tcPr>
            <w:tcW w:w="4100" w:type="dxa"/>
            <w:gridSpan w:val="8"/>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Patients</w:t>
            </w:r>
          </w:p>
        </w:tc>
      </w:tr>
      <w:tr w:rsidR="00DF1992" w:rsidRPr="000753CC" w:rsidTr="009B436E">
        <w:trPr>
          <w:trHeight w:val="286"/>
        </w:trPr>
        <w:tc>
          <w:tcPr>
            <w:tcW w:w="10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BD score</w:t>
            </w:r>
          </w:p>
        </w:tc>
        <w:tc>
          <w:tcPr>
            <w:tcW w:w="100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1</w:t>
            </w:r>
          </w:p>
        </w:tc>
        <w:tc>
          <w:tcPr>
            <w:tcW w:w="7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2</w:t>
            </w:r>
          </w:p>
        </w:tc>
        <w:tc>
          <w:tcPr>
            <w:tcW w:w="7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3</w:t>
            </w:r>
          </w:p>
        </w:tc>
        <w:tc>
          <w:tcPr>
            <w:tcW w:w="7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4</w:t>
            </w:r>
          </w:p>
        </w:tc>
        <w:tc>
          <w:tcPr>
            <w:tcW w:w="84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5</w:t>
            </w:r>
          </w:p>
        </w:tc>
        <w:tc>
          <w:tcPr>
            <w:tcW w:w="68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1</w:t>
            </w:r>
          </w:p>
        </w:tc>
        <w:tc>
          <w:tcPr>
            <w:tcW w:w="8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2</w:t>
            </w:r>
          </w:p>
        </w:tc>
        <w:tc>
          <w:tcPr>
            <w:tcW w:w="8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3</w:t>
            </w:r>
          </w:p>
        </w:tc>
        <w:tc>
          <w:tcPr>
            <w:tcW w:w="8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4</w:t>
            </w:r>
          </w:p>
        </w:tc>
        <w:tc>
          <w:tcPr>
            <w:tcW w:w="92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5</w:t>
            </w:r>
          </w:p>
        </w:tc>
      </w:tr>
      <w:tr w:rsidR="00DF1992" w:rsidRPr="000753CC" w:rsidTr="009B436E">
        <w:trPr>
          <w:trHeight w:val="858"/>
        </w:trPr>
        <w:tc>
          <w:tcPr>
            <w:tcW w:w="10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Overall bladder volume</w:t>
            </w:r>
          </w:p>
        </w:tc>
        <w:tc>
          <w:tcPr>
            <w:tcW w:w="100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91.9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(75.4</w:t>
            </w:r>
            <w:r w:rsidRPr="00D75515">
              <w:rPr>
                <w:sz w:val="20"/>
                <w:szCs w:val="20"/>
              </w:rPr>
              <w:t>–</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97.8) </w:t>
            </w:r>
          </w:p>
        </w:tc>
        <w:tc>
          <w:tcPr>
            <w:tcW w:w="7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134.2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(94.3</w:t>
            </w:r>
            <w:r w:rsidRPr="00D75515">
              <w:rPr>
                <w:sz w:val="20"/>
                <w:szCs w:val="20"/>
              </w:rPr>
              <w:t>–</w:t>
            </w:r>
            <w:r w:rsidRPr="00D75515">
              <w:rPr>
                <w:rFonts w:eastAsiaTheme="minorEastAsia"/>
                <w:color w:val="000000" w:themeColor="text1"/>
                <w:kern w:val="24"/>
                <w:sz w:val="20"/>
                <w:szCs w:val="20"/>
                <w:lang w:eastAsia="ru-RU"/>
              </w:rPr>
              <w:t xml:space="preserve">163.0) </w:t>
            </w:r>
          </w:p>
        </w:tc>
        <w:tc>
          <w:tcPr>
            <w:tcW w:w="7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202.4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(157.0</w:t>
            </w:r>
            <w:r w:rsidRPr="00D75515">
              <w:rPr>
                <w:sz w:val="20"/>
                <w:szCs w:val="20"/>
              </w:rPr>
              <w:t>–</w:t>
            </w:r>
            <w:r w:rsidRPr="00D75515">
              <w:rPr>
                <w:rFonts w:eastAsiaTheme="minorEastAsia"/>
                <w:color w:val="000000" w:themeColor="text1"/>
                <w:kern w:val="24"/>
                <w:sz w:val="20"/>
                <w:szCs w:val="20"/>
                <w:lang w:eastAsia="ru-RU"/>
              </w:rPr>
              <w:t xml:space="preserve">317.0) </w:t>
            </w:r>
          </w:p>
        </w:tc>
        <w:tc>
          <w:tcPr>
            <w:tcW w:w="7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350.6 (328.6</w:t>
            </w:r>
            <w:r w:rsidRPr="00D75515">
              <w:rPr>
                <w:sz w:val="20"/>
                <w:szCs w:val="20"/>
              </w:rPr>
              <w:t>–</w:t>
            </w:r>
            <w:r w:rsidRPr="00D75515">
              <w:rPr>
                <w:rFonts w:eastAsiaTheme="minorEastAsia"/>
                <w:color w:val="000000" w:themeColor="text1"/>
                <w:kern w:val="24"/>
                <w:sz w:val="20"/>
                <w:szCs w:val="20"/>
                <w:lang w:eastAsia="ru-RU"/>
              </w:rPr>
              <w:t>414.2)</w:t>
            </w:r>
          </w:p>
        </w:tc>
        <w:tc>
          <w:tcPr>
            <w:tcW w:w="84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454.2 (415.8</w:t>
            </w:r>
            <w:r w:rsidRPr="00D75515">
              <w:rPr>
                <w:sz w:val="20"/>
                <w:szCs w:val="20"/>
              </w:rPr>
              <w:t>–</w:t>
            </w:r>
            <w:r w:rsidRPr="00D75515">
              <w:rPr>
                <w:rFonts w:eastAsiaTheme="minorEastAsia"/>
                <w:color w:val="000000" w:themeColor="text1"/>
                <w:kern w:val="24"/>
                <w:sz w:val="20"/>
                <w:szCs w:val="20"/>
                <w:lang w:eastAsia="ru-RU"/>
              </w:rPr>
              <w:t>539.1)</w:t>
            </w:r>
          </w:p>
        </w:tc>
        <w:tc>
          <w:tcPr>
            <w:tcW w:w="68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59.0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(42.7</w:t>
            </w:r>
            <w:r w:rsidRPr="00D75515">
              <w:rPr>
                <w:sz w:val="20"/>
                <w:szCs w:val="20"/>
              </w:rPr>
              <w:t>–</w:t>
            </w:r>
            <w:r w:rsidRPr="00D75515">
              <w:rPr>
                <w:rFonts w:eastAsiaTheme="minorEastAsia"/>
                <w:color w:val="000000" w:themeColor="text1"/>
                <w:kern w:val="24"/>
                <w:sz w:val="20"/>
                <w:szCs w:val="20"/>
                <w:lang w:eastAsia="ru-RU"/>
              </w:rPr>
              <w:t xml:space="preserve">60.1) </w:t>
            </w:r>
          </w:p>
        </w:tc>
        <w:tc>
          <w:tcPr>
            <w:tcW w:w="8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95.4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(78.3</w:t>
            </w:r>
            <w:r w:rsidRPr="00D75515">
              <w:rPr>
                <w:sz w:val="20"/>
                <w:szCs w:val="20"/>
              </w:rPr>
              <w:t>–</w:t>
            </w:r>
            <w:r w:rsidRPr="00D75515">
              <w:rPr>
                <w:rFonts w:eastAsiaTheme="minorEastAsia"/>
                <w:color w:val="000000" w:themeColor="text1"/>
                <w:kern w:val="24"/>
                <w:sz w:val="20"/>
                <w:szCs w:val="20"/>
                <w:lang w:eastAsia="ru-RU"/>
              </w:rPr>
              <w:t xml:space="preserve">117.0) </w:t>
            </w:r>
          </w:p>
        </w:tc>
        <w:tc>
          <w:tcPr>
            <w:tcW w:w="8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170.3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(137.9</w:t>
            </w:r>
            <w:r w:rsidRPr="00D75515">
              <w:rPr>
                <w:sz w:val="20"/>
                <w:szCs w:val="20"/>
              </w:rPr>
              <w:t>–</w:t>
            </w:r>
            <w:r w:rsidRPr="00D75515">
              <w:rPr>
                <w:rFonts w:eastAsiaTheme="minorEastAsia"/>
                <w:color w:val="000000" w:themeColor="text1"/>
                <w:kern w:val="24"/>
                <w:sz w:val="20"/>
                <w:szCs w:val="20"/>
                <w:lang w:eastAsia="ru-RU"/>
              </w:rPr>
              <w:t xml:space="preserve">202.3) </w:t>
            </w:r>
          </w:p>
        </w:tc>
        <w:tc>
          <w:tcPr>
            <w:tcW w:w="8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253.4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(224.2</w:t>
            </w:r>
            <w:r w:rsidRPr="00D75515">
              <w:rPr>
                <w:sz w:val="20"/>
                <w:szCs w:val="20"/>
              </w:rPr>
              <w:t>–</w:t>
            </w:r>
            <w:r w:rsidRPr="00D75515">
              <w:rPr>
                <w:rFonts w:eastAsiaTheme="minorEastAsia"/>
                <w:color w:val="000000" w:themeColor="text1"/>
                <w:kern w:val="24"/>
                <w:sz w:val="20"/>
                <w:szCs w:val="20"/>
                <w:lang w:eastAsia="ru-RU"/>
              </w:rPr>
              <w:t>284.4)</w:t>
            </w:r>
          </w:p>
        </w:tc>
        <w:tc>
          <w:tcPr>
            <w:tcW w:w="92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273.2 (236.5</w:t>
            </w:r>
            <w:r w:rsidRPr="00D75515">
              <w:rPr>
                <w:sz w:val="20"/>
                <w:szCs w:val="20"/>
              </w:rPr>
              <w:t>–</w:t>
            </w:r>
            <w:r w:rsidRPr="00D75515">
              <w:rPr>
                <w:rFonts w:eastAsiaTheme="minorEastAsia"/>
                <w:color w:val="000000" w:themeColor="text1"/>
                <w:kern w:val="24"/>
                <w:sz w:val="20"/>
                <w:szCs w:val="20"/>
                <w:lang w:eastAsia="ru-RU"/>
              </w:rPr>
              <w:t>309.6)</w:t>
            </w:r>
          </w:p>
        </w:tc>
      </w:tr>
      <w:tr w:rsidR="00DF1992" w:rsidRPr="000753CC" w:rsidTr="009B436E">
        <w:trPr>
          <w:trHeight w:val="572"/>
        </w:trPr>
        <w:tc>
          <w:tcPr>
            <w:tcW w:w="10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Preparation type</w:t>
            </w:r>
          </w:p>
        </w:tc>
        <w:tc>
          <w:tcPr>
            <w:tcW w:w="100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1</w:t>
            </w:r>
          </w:p>
        </w:tc>
        <w:tc>
          <w:tcPr>
            <w:tcW w:w="11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2</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3</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4</w:t>
            </w:r>
          </w:p>
        </w:tc>
        <w:tc>
          <w:tcPr>
            <w:tcW w:w="10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1</w:t>
            </w:r>
          </w:p>
        </w:tc>
        <w:tc>
          <w:tcPr>
            <w:tcW w:w="10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2</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3</w:t>
            </w:r>
          </w:p>
        </w:tc>
        <w:tc>
          <w:tcPr>
            <w:tcW w:w="10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4</w:t>
            </w:r>
          </w:p>
        </w:tc>
      </w:tr>
      <w:tr w:rsidR="00DF1992" w:rsidRPr="000753CC" w:rsidTr="009B436E">
        <w:trPr>
          <w:trHeight w:val="572"/>
        </w:trPr>
        <w:tc>
          <w:tcPr>
            <w:tcW w:w="10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Overall BD score</w:t>
            </w:r>
          </w:p>
        </w:tc>
        <w:tc>
          <w:tcPr>
            <w:tcW w:w="100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2.2 (±0.</w:t>
            </w:r>
            <w:r w:rsidRPr="00D75515">
              <w:rPr>
                <w:rFonts w:eastAsia="Calibri" w:cs="Times New Roman"/>
                <w:color w:val="000000" w:themeColor="text1"/>
                <w:kern w:val="24"/>
                <w:sz w:val="20"/>
                <w:szCs w:val="20"/>
                <w:lang w:val="ru-RU" w:eastAsia="ru-RU"/>
              </w:rPr>
              <w:t>9</w:t>
            </w:r>
            <w:r w:rsidRPr="00D75515">
              <w:rPr>
                <w:rFonts w:eastAsia="Calibri" w:cs="Times New Roman"/>
                <w:color w:val="000000" w:themeColor="text1"/>
                <w:kern w:val="24"/>
                <w:sz w:val="20"/>
                <w:szCs w:val="20"/>
                <w:lang w:val="en-US" w:eastAsia="ru-RU"/>
              </w:rPr>
              <w:t>)</w:t>
            </w:r>
          </w:p>
        </w:tc>
        <w:tc>
          <w:tcPr>
            <w:tcW w:w="11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1.</w:t>
            </w:r>
            <w:r w:rsidRPr="00D75515">
              <w:rPr>
                <w:rFonts w:eastAsia="Calibri" w:cs="Times New Roman"/>
                <w:color w:val="000000" w:themeColor="text1"/>
                <w:kern w:val="24"/>
                <w:sz w:val="20"/>
                <w:szCs w:val="20"/>
                <w:lang w:val="ru-RU" w:eastAsia="ru-RU"/>
              </w:rPr>
              <w:t>7</w:t>
            </w:r>
            <w:r w:rsidRPr="00D75515">
              <w:rPr>
                <w:rFonts w:eastAsia="Calibri" w:cs="Times New Roman"/>
                <w:color w:val="000000" w:themeColor="text1"/>
                <w:kern w:val="24"/>
                <w:sz w:val="20"/>
                <w:szCs w:val="20"/>
                <w:lang w:val="en-US" w:eastAsia="ru-RU"/>
              </w:rPr>
              <w:t xml:space="preserve"> (</w:t>
            </w:r>
            <w:r w:rsidRPr="00D75515">
              <w:rPr>
                <w:rFonts w:eastAsia="Calibri" w:cs="Times New Roman"/>
                <w:color w:val="000000" w:themeColor="text1"/>
                <w:kern w:val="24"/>
                <w:sz w:val="20"/>
                <w:szCs w:val="20"/>
                <w:lang w:eastAsia="ru-RU"/>
              </w:rPr>
              <w:t>±0.7)</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1.6 (±0.5)</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1.</w:t>
            </w:r>
            <w:r w:rsidRPr="00D75515">
              <w:rPr>
                <w:rFonts w:eastAsia="Calibri" w:cs="Times New Roman"/>
                <w:color w:val="000000" w:themeColor="text1"/>
                <w:kern w:val="24"/>
                <w:sz w:val="20"/>
                <w:szCs w:val="20"/>
                <w:lang w:val="ru-RU" w:eastAsia="ru-RU"/>
              </w:rPr>
              <w:t>4</w:t>
            </w:r>
            <w:r w:rsidRPr="00D75515">
              <w:rPr>
                <w:rFonts w:eastAsia="Calibri" w:cs="Times New Roman"/>
                <w:color w:val="000000" w:themeColor="text1"/>
                <w:kern w:val="24"/>
                <w:sz w:val="20"/>
                <w:szCs w:val="20"/>
                <w:lang w:val="en-US" w:eastAsia="ru-RU"/>
              </w:rPr>
              <w:t xml:space="preserve"> (</w:t>
            </w:r>
            <w:r w:rsidRPr="00D75515">
              <w:rPr>
                <w:rFonts w:eastAsia="Calibri" w:cs="Times New Roman"/>
                <w:color w:val="000000" w:themeColor="text1"/>
                <w:kern w:val="24"/>
                <w:sz w:val="20"/>
                <w:szCs w:val="20"/>
                <w:lang w:eastAsia="ru-RU"/>
              </w:rPr>
              <w:t>±0.5)</w:t>
            </w:r>
          </w:p>
        </w:tc>
        <w:tc>
          <w:tcPr>
            <w:tcW w:w="10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w:t>
            </w:r>
            <w:r w:rsidRPr="00D75515">
              <w:rPr>
                <w:rFonts w:eastAsiaTheme="minorEastAsia"/>
                <w:color w:val="000000" w:themeColor="text1"/>
                <w:kern w:val="24"/>
                <w:sz w:val="20"/>
                <w:szCs w:val="20"/>
                <w:lang w:val="ru-RU" w:eastAsia="ru-RU"/>
              </w:rPr>
              <w:t>3</w:t>
            </w:r>
            <w:r w:rsidRPr="00D75515">
              <w:rPr>
                <w:rFonts w:eastAsiaTheme="minorEastAsia"/>
                <w:color w:val="000000" w:themeColor="text1"/>
                <w:kern w:val="24"/>
                <w:sz w:val="20"/>
                <w:szCs w:val="20"/>
                <w:lang w:val="en-US" w:eastAsia="ru-RU"/>
              </w:rPr>
              <w:t xml:space="preserve"> (</w:t>
            </w:r>
            <w:r w:rsidRPr="00D75515">
              <w:rPr>
                <w:rFonts w:eastAsiaTheme="minorEastAsia"/>
                <w:color w:val="000000" w:themeColor="text1"/>
                <w:kern w:val="24"/>
                <w:sz w:val="20"/>
                <w:szCs w:val="20"/>
                <w:lang w:eastAsia="ru-RU"/>
              </w:rPr>
              <w:t>±0.</w:t>
            </w:r>
            <w:r w:rsidRPr="00D75515">
              <w:rPr>
                <w:rFonts w:eastAsiaTheme="minorEastAsia"/>
                <w:color w:val="000000" w:themeColor="text1"/>
                <w:kern w:val="24"/>
                <w:sz w:val="20"/>
                <w:szCs w:val="20"/>
                <w:lang w:val="ru-RU" w:eastAsia="ru-RU"/>
              </w:rPr>
              <w:t>7</w:t>
            </w:r>
            <w:r w:rsidRPr="00D75515">
              <w:rPr>
                <w:rFonts w:eastAsiaTheme="minorEastAsia"/>
                <w:color w:val="000000" w:themeColor="text1"/>
                <w:kern w:val="24"/>
                <w:sz w:val="20"/>
                <w:szCs w:val="20"/>
                <w:lang w:val="en-US" w:eastAsia="ru-RU"/>
              </w:rPr>
              <w:t>)</w:t>
            </w:r>
          </w:p>
        </w:tc>
        <w:tc>
          <w:tcPr>
            <w:tcW w:w="10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2.6 (±0.</w:t>
            </w:r>
            <w:r w:rsidRPr="00D75515">
              <w:rPr>
                <w:rFonts w:eastAsiaTheme="minorEastAsia"/>
                <w:color w:val="000000" w:themeColor="text1"/>
                <w:kern w:val="24"/>
                <w:sz w:val="20"/>
                <w:szCs w:val="20"/>
                <w:lang w:val="ru-RU" w:eastAsia="ru-RU"/>
              </w:rPr>
              <w:t>6</w:t>
            </w:r>
            <w:r w:rsidRPr="00D75515">
              <w:rPr>
                <w:rFonts w:eastAsiaTheme="minorEastAsia"/>
                <w:color w:val="000000" w:themeColor="text1"/>
                <w:kern w:val="24"/>
                <w:sz w:val="20"/>
                <w:szCs w:val="20"/>
                <w:lang w:val="en-US" w:eastAsia="ru-RU"/>
              </w:rPr>
              <w:t>)</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w:t>
            </w:r>
            <w:r w:rsidRPr="00D75515">
              <w:rPr>
                <w:rFonts w:eastAsiaTheme="minorEastAsia"/>
                <w:color w:val="000000" w:themeColor="text1"/>
                <w:kern w:val="24"/>
                <w:sz w:val="20"/>
                <w:szCs w:val="20"/>
                <w:lang w:val="ru-RU" w:eastAsia="ru-RU"/>
              </w:rPr>
              <w:t>3</w:t>
            </w:r>
            <w:r w:rsidRPr="00D75515">
              <w:rPr>
                <w:rFonts w:eastAsiaTheme="minorEastAsia"/>
                <w:color w:val="000000" w:themeColor="text1"/>
                <w:kern w:val="24"/>
                <w:sz w:val="20"/>
                <w:szCs w:val="20"/>
                <w:lang w:val="en-US" w:eastAsia="ru-RU"/>
              </w:rPr>
              <w:t xml:space="preserve"> (</w:t>
            </w:r>
            <w:r w:rsidRPr="00D75515">
              <w:rPr>
                <w:rFonts w:eastAsiaTheme="minorEastAsia"/>
                <w:color w:val="000000" w:themeColor="text1"/>
                <w:kern w:val="24"/>
                <w:sz w:val="20"/>
                <w:szCs w:val="20"/>
                <w:lang w:eastAsia="ru-RU"/>
              </w:rPr>
              <w:t>±0.6)</w:t>
            </w:r>
          </w:p>
        </w:tc>
        <w:tc>
          <w:tcPr>
            <w:tcW w:w="10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2.5 (±0.</w:t>
            </w:r>
            <w:r w:rsidRPr="00D75515">
              <w:rPr>
                <w:rFonts w:eastAsiaTheme="minorEastAsia"/>
                <w:color w:val="000000" w:themeColor="text1"/>
                <w:kern w:val="24"/>
                <w:sz w:val="20"/>
                <w:szCs w:val="20"/>
                <w:lang w:val="ru-RU" w:eastAsia="ru-RU"/>
              </w:rPr>
              <w:t>6</w:t>
            </w:r>
            <w:r w:rsidRPr="00D75515">
              <w:rPr>
                <w:rFonts w:eastAsiaTheme="minorEastAsia"/>
                <w:color w:val="000000" w:themeColor="text1"/>
                <w:kern w:val="24"/>
                <w:sz w:val="20"/>
                <w:szCs w:val="20"/>
                <w:lang w:val="en-US" w:eastAsia="ru-RU"/>
              </w:rPr>
              <w:t>)</w:t>
            </w:r>
          </w:p>
        </w:tc>
      </w:tr>
      <w:tr w:rsidR="00DF1992" w:rsidRPr="000753CC" w:rsidTr="009B436E">
        <w:trPr>
          <w:trHeight w:val="1069"/>
        </w:trPr>
        <w:tc>
          <w:tcPr>
            <w:tcW w:w="10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BD score,</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 xml:space="preserve">early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morning</w:t>
            </w:r>
          </w:p>
        </w:tc>
        <w:tc>
          <w:tcPr>
            <w:tcW w:w="100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1 (±0)</w:t>
            </w:r>
          </w:p>
        </w:tc>
        <w:tc>
          <w:tcPr>
            <w:tcW w:w="11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1 (±0)</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1.</w:t>
            </w:r>
            <w:r w:rsidRPr="00D75515">
              <w:rPr>
                <w:rFonts w:eastAsiaTheme="minorEastAsia"/>
                <w:color w:val="000000" w:themeColor="text1"/>
                <w:kern w:val="24"/>
                <w:sz w:val="20"/>
                <w:szCs w:val="20"/>
                <w:lang w:val="ru-RU" w:eastAsia="ru-RU"/>
              </w:rPr>
              <w:t>8</w:t>
            </w:r>
            <w:r w:rsidRPr="00D75515">
              <w:rPr>
                <w:rFonts w:eastAsiaTheme="minorEastAsia"/>
                <w:color w:val="000000" w:themeColor="text1"/>
                <w:kern w:val="24"/>
                <w:sz w:val="20"/>
                <w:szCs w:val="20"/>
                <w:lang w:val="en-US" w:eastAsia="ru-RU"/>
              </w:rPr>
              <w:t xml:space="preserve"> (</w:t>
            </w:r>
            <w:r w:rsidRPr="00D75515">
              <w:rPr>
                <w:rFonts w:eastAsiaTheme="minorEastAsia"/>
                <w:color w:val="000000" w:themeColor="text1"/>
                <w:kern w:val="24"/>
                <w:sz w:val="20"/>
                <w:szCs w:val="20"/>
                <w:lang w:eastAsia="ru-RU"/>
              </w:rPr>
              <w:t>±0.5)</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1.</w:t>
            </w:r>
            <w:r w:rsidRPr="00D75515">
              <w:rPr>
                <w:rFonts w:eastAsiaTheme="minorEastAsia"/>
                <w:color w:val="000000" w:themeColor="text1"/>
                <w:kern w:val="24"/>
                <w:sz w:val="20"/>
                <w:szCs w:val="20"/>
                <w:lang w:val="ru-RU" w:eastAsia="ru-RU"/>
              </w:rPr>
              <w:t>4</w:t>
            </w:r>
            <w:r w:rsidRPr="00D75515">
              <w:rPr>
                <w:rFonts w:eastAsiaTheme="minorEastAsia"/>
                <w:color w:val="000000" w:themeColor="text1"/>
                <w:kern w:val="24"/>
                <w:sz w:val="20"/>
                <w:szCs w:val="20"/>
                <w:lang w:val="en-US" w:eastAsia="ru-RU"/>
              </w:rPr>
              <w:t xml:space="preserve"> (</w:t>
            </w:r>
            <w:r w:rsidRPr="00D75515">
              <w:rPr>
                <w:rFonts w:eastAsiaTheme="minorEastAsia"/>
                <w:color w:val="000000" w:themeColor="text1"/>
                <w:kern w:val="24"/>
                <w:sz w:val="20"/>
                <w:szCs w:val="20"/>
                <w:lang w:eastAsia="ru-RU"/>
              </w:rPr>
              <w:t>±0.5)</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p>
        </w:tc>
        <w:tc>
          <w:tcPr>
            <w:tcW w:w="10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 (±0.5)</w:t>
            </w:r>
          </w:p>
        </w:tc>
        <w:tc>
          <w:tcPr>
            <w:tcW w:w="10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Calibri" w:cs="Times New Roman"/>
                <w:color w:val="000000" w:themeColor="text1"/>
                <w:kern w:val="24"/>
                <w:sz w:val="20"/>
                <w:szCs w:val="20"/>
                <w:lang w:val="en-US" w:eastAsia="ru-RU"/>
              </w:rPr>
              <w:t>N/A</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2.3 (±0.</w:t>
            </w:r>
            <w:r w:rsidRPr="00D75515">
              <w:rPr>
                <w:rFonts w:eastAsiaTheme="minorEastAsia"/>
                <w:color w:val="000000" w:themeColor="text1"/>
                <w:kern w:val="24"/>
                <w:sz w:val="20"/>
                <w:szCs w:val="20"/>
                <w:lang w:val="ru-RU" w:eastAsia="ru-RU"/>
              </w:rPr>
              <w:t>7</w:t>
            </w:r>
            <w:r w:rsidRPr="00D75515">
              <w:rPr>
                <w:rFonts w:eastAsiaTheme="minorEastAsia"/>
                <w:color w:val="000000" w:themeColor="text1"/>
                <w:kern w:val="24"/>
                <w:sz w:val="20"/>
                <w:szCs w:val="20"/>
                <w:lang w:val="en-US" w:eastAsia="ru-RU"/>
              </w:rPr>
              <w:t>)</w:t>
            </w:r>
          </w:p>
        </w:tc>
        <w:tc>
          <w:tcPr>
            <w:tcW w:w="10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2.6 (±0.5)</w:t>
            </w:r>
          </w:p>
        </w:tc>
      </w:tr>
      <w:tr w:rsidR="00DF1992" w:rsidRPr="000753CC" w:rsidTr="009B436E">
        <w:trPr>
          <w:trHeight w:val="1144"/>
        </w:trPr>
        <w:tc>
          <w:tcPr>
            <w:tcW w:w="10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 xml:space="preserve">Bladder volume,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 xml:space="preserve">early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morning</w:t>
            </w:r>
          </w:p>
        </w:tc>
        <w:tc>
          <w:tcPr>
            <w:tcW w:w="100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175.1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(49.9</w:t>
            </w:r>
            <w:r w:rsidRPr="00D75515">
              <w:rPr>
                <w:sz w:val="20"/>
                <w:szCs w:val="20"/>
              </w:rPr>
              <w:t>–</w:t>
            </w:r>
            <w:r w:rsidRPr="00D75515">
              <w:rPr>
                <w:rFonts w:eastAsiaTheme="minorEastAsia"/>
                <w:color w:val="000000" w:themeColor="text1"/>
                <w:kern w:val="24"/>
                <w:sz w:val="20"/>
                <w:szCs w:val="20"/>
                <w:lang w:eastAsia="ru-RU"/>
              </w:rPr>
              <w:t xml:space="preserve">300.3) </w:t>
            </w:r>
          </w:p>
        </w:tc>
        <w:tc>
          <w:tcPr>
            <w:tcW w:w="11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75.4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(61.6</w:t>
            </w:r>
            <w:r w:rsidRPr="00D75515">
              <w:rPr>
                <w:sz w:val="20"/>
                <w:szCs w:val="20"/>
              </w:rPr>
              <w:t>–</w:t>
            </w:r>
            <w:r w:rsidRPr="00D75515">
              <w:rPr>
                <w:rFonts w:eastAsiaTheme="minorEastAsia"/>
                <w:color w:val="000000" w:themeColor="text1"/>
                <w:kern w:val="24"/>
                <w:sz w:val="20"/>
                <w:szCs w:val="20"/>
                <w:lang w:eastAsia="ru-RU"/>
              </w:rPr>
              <w:t xml:space="preserve">97.8) </w:t>
            </w:r>
            <w:r w:rsidRPr="00D75515">
              <w:rPr>
                <w:rFonts w:eastAsia="Calibri" w:cs="Times New Roman"/>
                <w:color w:val="000000" w:themeColor="text1"/>
                <w:kern w:val="24"/>
                <w:sz w:val="20"/>
                <w:szCs w:val="20"/>
                <w:lang w:eastAsia="ru-RU"/>
              </w:rPr>
              <w:t> </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 xml:space="preserve">90.9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(82.4</w:t>
            </w:r>
            <w:r w:rsidRPr="00D75515">
              <w:rPr>
                <w:sz w:val="20"/>
                <w:szCs w:val="20"/>
              </w:rPr>
              <w:t>–</w:t>
            </w:r>
            <w:r w:rsidRPr="00D75515">
              <w:rPr>
                <w:rFonts w:eastAsiaTheme="minorEastAsia"/>
                <w:color w:val="000000" w:themeColor="text1"/>
                <w:kern w:val="24"/>
                <w:sz w:val="20"/>
                <w:szCs w:val="20"/>
                <w:lang w:eastAsia="ru-RU"/>
              </w:rPr>
              <w:t xml:space="preserve">351.3) </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 xml:space="preserve">106.5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(80.1</w:t>
            </w:r>
            <w:r w:rsidRPr="00D75515">
              <w:rPr>
                <w:sz w:val="20"/>
                <w:szCs w:val="20"/>
              </w:rPr>
              <w:t>–</w:t>
            </w:r>
            <w:r w:rsidRPr="00D75515">
              <w:rPr>
                <w:rFonts w:eastAsiaTheme="minorEastAsia"/>
                <w:color w:val="000000" w:themeColor="text1"/>
                <w:kern w:val="24"/>
                <w:sz w:val="20"/>
                <w:szCs w:val="20"/>
                <w:lang w:eastAsia="ru-RU"/>
              </w:rPr>
              <w:t>361.0)</w:t>
            </w:r>
          </w:p>
        </w:tc>
        <w:tc>
          <w:tcPr>
            <w:tcW w:w="10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95.4</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 (67.3</w:t>
            </w:r>
            <w:r w:rsidRPr="00D75515">
              <w:rPr>
                <w:sz w:val="20"/>
                <w:szCs w:val="20"/>
              </w:rPr>
              <w:t>–</w:t>
            </w:r>
            <w:r w:rsidRPr="00D75515">
              <w:rPr>
                <w:rFonts w:eastAsiaTheme="minorEastAsia"/>
                <w:color w:val="000000" w:themeColor="text1"/>
                <w:kern w:val="24"/>
                <w:sz w:val="20"/>
                <w:szCs w:val="20"/>
                <w:lang w:eastAsia="ru-RU"/>
              </w:rPr>
              <w:t xml:space="preserve">115.8) </w:t>
            </w:r>
          </w:p>
        </w:tc>
        <w:tc>
          <w:tcPr>
            <w:tcW w:w="10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N/A</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139.7</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 (100.4</w:t>
            </w:r>
            <w:r w:rsidRPr="00D75515">
              <w:rPr>
                <w:sz w:val="20"/>
                <w:szCs w:val="20"/>
              </w:rPr>
              <w:t>–</w:t>
            </w:r>
            <w:r w:rsidRPr="00D75515">
              <w:rPr>
                <w:rFonts w:eastAsiaTheme="minorEastAsia"/>
                <w:color w:val="000000" w:themeColor="text1"/>
                <w:kern w:val="24"/>
                <w:sz w:val="20"/>
                <w:szCs w:val="20"/>
                <w:lang w:eastAsia="ru-RU"/>
              </w:rPr>
              <w:t xml:space="preserve">216.3) </w:t>
            </w:r>
          </w:p>
        </w:tc>
        <w:tc>
          <w:tcPr>
            <w:tcW w:w="10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179.7</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 (152.2</w:t>
            </w:r>
            <w:r w:rsidRPr="00D75515">
              <w:rPr>
                <w:sz w:val="20"/>
                <w:szCs w:val="20"/>
              </w:rPr>
              <w:t>–</w:t>
            </w:r>
            <w:r w:rsidRPr="00D75515">
              <w:rPr>
                <w:rFonts w:eastAsiaTheme="minorEastAsia"/>
                <w:color w:val="000000" w:themeColor="text1"/>
                <w:kern w:val="24"/>
                <w:sz w:val="20"/>
                <w:szCs w:val="20"/>
                <w:lang w:eastAsia="ru-RU"/>
              </w:rPr>
              <w:t>203.4)</w:t>
            </w:r>
          </w:p>
        </w:tc>
      </w:tr>
      <w:tr w:rsidR="00DF1992" w:rsidRPr="000753CC" w:rsidTr="009B436E">
        <w:trPr>
          <w:trHeight w:val="572"/>
        </w:trPr>
        <w:tc>
          <w:tcPr>
            <w:tcW w:w="10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BD score, afternoon</w:t>
            </w:r>
          </w:p>
        </w:tc>
        <w:tc>
          <w:tcPr>
            <w:tcW w:w="100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2.</w:t>
            </w:r>
            <w:r w:rsidRPr="00D75515">
              <w:rPr>
                <w:rFonts w:eastAsiaTheme="minorEastAsia"/>
                <w:color w:val="000000" w:themeColor="text1"/>
                <w:kern w:val="24"/>
                <w:sz w:val="20"/>
                <w:szCs w:val="20"/>
                <w:lang w:val="ru-RU" w:eastAsia="ru-RU"/>
              </w:rPr>
              <w:t>4</w:t>
            </w:r>
            <w:r w:rsidRPr="00D75515">
              <w:rPr>
                <w:rFonts w:eastAsiaTheme="minorEastAsia"/>
                <w:color w:val="000000" w:themeColor="text1"/>
                <w:kern w:val="24"/>
                <w:sz w:val="20"/>
                <w:szCs w:val="20"/>
                <w:lang w:val="en-US" w:eastAsia="ru-RU"/>
              </w:rPr>
              <w:t xml:space="preserve"> (</w:t>
            </w:r>
            <w:r w:rsidRPr="00D75515">
              <w:rPr>
                <w:rFonts w:eastAsiaTheme="minorEastAsia"/>
                <w:color w:val="000000" w:themeColor="text1"/>
                <w:kern w:val="24"/>
                <w:sz w:val="20"/>
                <w:szCs w:val="20"/>
                <w:lang w:eastAsia="ru-RU"/>
              </w:rPr>
              <w:t>±0</w:t>
            </w:r>
            <w:r w:rsidRPr="00D75515">
              <w:rPr>
                <w:rFonts w:eastAsiaTheme="minorEastAsia"/>
                <w:color w:val="000000" w:themeColor="text1"/>
                <w:kern w:val="24"/>
                <w:sz w:val="20"/>
                <w:szCs w:val="20"/>
                <w:lang w:val="en-US" w:eastAsia="ru-RU"/>
              </w:rPr>
              <w:t>.8)</w:t>
            </w:r>
          </w:p>
        </w:tc>
        <w:tc>
          <w:tcPr>
            <w:tcW w:w="11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1.8 (±0.7)</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1.</w:t>
            </w:r>
            <w:r w:rsidRPr="00D75515">
              <w:rPr>
                <w:rFonts w:eastAsiaTheme="minorEastAsia"/>
                <w:color w:val="000000" w:themeColor="text1"/>
                <w:kern w:val="24"/>
                <w:sz w:val="20"/>
                <w:szCs w:val="20"/>
                <w:lang w:val="ru-RU" w:eastAsia="ru-RU"/>
              </w:rPr>
              <w:t>6</w:t>
            </w:r>
            <w:r w:rsidRPr="00D75515">
              <w:rPr>
                <w:rFonts w:eastAsiaTheme="minorEastAsia"/>
                <w:color w:val="000000" w:themeColor="text1"/>
                <w:kern w:val="24"/>
                <w:sz w:val="20"/>
                <w:szCs w:val="20"/>
                <w:lang w:val="en-US" w:eastAsia="ru-RU"/>
              </w:rPr>
              <w:t xml:space="preserve"> (</w:t>
            </w:r>
            <w:r w:rsidRPr="00D75515">
              <w:rPr>
                <w:rFonts w:eastAsiaTheme="minorEastAsia"/>
                <w:color w:val="000000" w:themeColor="text1"/>
                <w:kern w:val="24"/>
                <w:sz w:val="20"/>
                <w:szCs w:val="20"/>
                <w:lang w:eastAsia="ru-RU"/>
              </w:rPr>
              <w:t>±0.5)</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1.</w:t>
            </w:r>
            <w:r w:rsidRPr="00D75515">
              <w:rPr>
                <w:rFonts w:eastAsiaTheme="minorEastAsia"/>
                <w:color w:val="000000" w:themeColor="text1"/>
                <w:kern w:val="24"/>
                <w:sz w:val="20"/>
                <w:szCs w:val="20"/>
                <w:lang w:val="en-US" w:eastAsia="ru-RU"/>
              </w:rPr>
              <w:t>4 (</w:t>
            </w:r>
            <w:r w:rsidRPr="00D75515">
              <w:rPr>
                <w:rFonts w:eastAsiaTheme="minorEastAsia"/>
                <w:color w:val="000000" w:themeColor="text1"/>
                <w:kern w:val="24"/>
                <w:sz w:val="20"/>
                <w:szCs w:val="20"/>
                <w:lang w:eastAsia="ru-RU"/>
              </w:rPr>
              <w:t>±0.5)</w:t>
            </w:r>
          </w:p>
        </w:tc>
        <w:tc>
          <w:tcPr>
            <w:tcW w:w="10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2.5 (±0.7)</w:t>
            </w:r>
          </w:p>
        </w:tc>
        <w:tc>
          <w:tcPr>
            <w:tcW w:w="10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2.6 (±0.5)</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w:t>
            </w:r>
            <w:r w:rsidRPr="00D75515">
              <w:rPr>
                <w:rFonts w:eastAsiaTheme="minorEastAsia"/>
                <w:color w:val="000000" w:themeColor="text1"/>
                <w:kern w:val="24"/>
                <w:sz w:val="20"/>
                <w:szCs w:val="20"/>
                <w:lang w:val="ru-RU" w:eastAsia="ru-RU"/>
              </w:rPr>
              <w:t>3</w:t>
            </w:r>
            <w:r w:rsidRPr="00D75515">
              <w:rPr>
                <w:rFonts w:eastAsiaTheme="minorEastAsia"/>
                <w:color w:val="000000" w:themeColor="text1"/>
                <w:kern w:val="24"/>
                <w:sz w:val="20"/>
                <w:szCs w:val="20"/>
                <w:lang w:val="en-US" w:eastAsia="ru-RU"/>
              </w:rPr>
              <w:t xml:space="preserve"> (</w:t>
            </w:r>
            <w:r w:rsidRPr="00D75515">
              <w:rPr>
                <w:rFonts w:eastAsiaTheme="minorEastAsia"/>
                <w:color w:val="000000" w:themeColor="text1"/>
                <w:kern w:val="24"/>
                <w:sz w:val="20"/>
                <w:szCs w:val="20"/>
                <w:lang w:eastAsia="ru-RU"/>
              </w:rPr>
              <w:t>±0.6)</w:t>
            </w:r>
          </w:p>
        </w:tc>
        <w:tc>
          <w:tcPr>
            <w:tcW w:w="10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2.3 (±0.7)</w:t>
            </w:r>
          </w:p>
        </w:tc>
      </w:tr>
      <w:tr w:rsidR="00DF1992" w:rsidRPr="000753CC" w:rsidTr="009B436E">
        <w:trPr>
          <w:trHeight w:val="1144"/>
        </w:trPr>
        <w:tc>
          <w:tcPr>
            <w:tcW w:w="106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b/>
                <w:bCs/>
                <w:color w:val="000000" w:themeColor="text1"/>
                <w:kern w:val="24"/>
                <w:sz w:val="20"/>
                <w:szCs w:val="20"/>
                <w:lang w:eastAsia="ru-RU"/>
              </w:rPr>
              <w:t>Bladder volume, afternoon</w:t>
            </w:r>
          </w:p>
        </w:tc>
        <w:tc>
          <w:tcPr>
            <w:tcW w:w="1000" w:type="dxa"/>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170.6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(123.4</w:t>
            </w:r>
            <w:r w:rsidRPr="00D75515">
              <w:rPr>
                <w:sz w:val="20"/>
                <w:szCs w:val="20"/>
              </w:rPr>
              <w:t>–</w:t>
            </w:r>
            <w:r w:rsidRPr="00D75515">
              <w:rPr>
                <w:rFonts w:eastAsiaTheme="minorEastAsia"/>
                <w:color w:val="000000" w:themeColor="text1"/>
                <w:kern w:val="24"/>
                <w:sz w:val="20"/>
                <w:szCs w:val="20"/>
                <w:lang w:eastAsia="ru-RU"/>
              </w:rPr>
              <w:t>333.4)</w:t>
            </w:r>
          </w:p>
        </w:tc>
        <w:tc>
          <w:tcPr>
            <w:tcW w:w="11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136.8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(109.6</w:t>
            </w:r>
            <w:r w:rsidRPr="00D75515">
              <w:rPr>
                <w:sz w:val="20"/>
                <w:szCs w:val="20"/>
              </w:rPr>
              <w:t>–</w:t>
            </w:r>
            <w:r w:rsidRPr="00D75515">
              <w:rPr>
                <w:rFonts w:eastAsiaTheme="minorEastAsia"/>
                <w:color w:val="000000" w:themeColor="text1"/>
                <w:kern w:val="24"/>
                <w:sz w:val="20"/>
                <w:szCs w:val="20"/>
                <w:lang w:eastAsia="ru-RU"/>
              </w:rPr>
              <w:t>245.9)</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 xml:space="preserve">344.0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(170.5</w:t>
            </w:r>
            <w:r w:rsidRPr="00D75515">
              <w:rPr>
                <w:sz w:val="20"/>
                <w:szCs w:val="20"/>
              </w:rPr>
              <w:t>–</w:t>
            </w:r>
            <w:r w:rsidRPr="00D75515">
              <w:rPr>
                <w:rFonts w:eastAsiaTheme="minorEastAsia"/>
                <w:color w:val="000000" w:themeColor="text1"/>
                <w:kern w:val="24"/>
                <w:sz w:val="20"/>
                <w:szCs w:val="20"/>
                <w:lang w:eastAsia="ru-RU"/>
              </w:rPr>
              <w:t>433.1)</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 xml:space="preserve">451.7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(328.6</w:t>
            </w:r>
            <w:r w:rsidRPr="00D75515">
              <w:rPr>
                <w:sz w:val="20"/>
                <w:szCs w:val="20"/>
              </w:rPr>
              <w:t>–</w:t>
            </w:r>
            <w:r w:rsidRPr="00D75515">
              <w:rPr>
                <w:rFonts w:eastAsiaTheme="minorEastAsia"/>
                <w:color w:val="000000" w:themeColor="text1"/>
                <w:kern w:val="24"/>
                <w:sz w:val="20"/>
                <w:szCs w:val="20"/>
                <w:lang w:eastAsia="ru-RU"/>
              </w:rPr>
              <w:t>531.5)</w:t>
            </w:r>
          </w:p>
        </w:tc>
        <w:tc>
          <w:tcPr>
            <w:tcW w:w="10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 xml:space="preserve">123.9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(96.0</w:t>
            </w:r>
            <w:r w:rsidRPr="00D75515">
              <w:rPr>
                <w:sz w:val="20"/>
                <w:szCs w:val="20"/>
              </w:rPr>
              <w:t>–</w:t>
            </w:r>
            <w:r w:rsidRPr="00D75515">
              <w:rPr>
                <w:rFonts w:eastAsiaTheme="minorEastAsia"/>
                <w:color w:val="000000" w:themeColor="text1"/>
                <w:kern w:val="24"/>
                <w:sz w:val="20"/>
                <w:szCs w:val="20"/>
                <w:lang w:eastAsia="ru-RU"/>
              </w:rPr>
              <w:t xml:space="preserve">196.2) </w:t>
            </w:r>
          </w:p>
        </w:tc>
        <w:tc>
          <w:tcPr>
            <w:tcW w:w="10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 xml:space="preserve">105.9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(80.9</w:t>
            </w:r>
            <w:r w:rsidRPr="00D75515">
              <w:rPr>
                <w:sz w:val="20"/>
                <w:szCs w:val="20"/>
              </w:rPr>
              <w:t>–</w:t>
            </w:r>
            <w:r w:rsidRPr="00D75515">
              <w:rPr>
                <w:rFonts w:eastAsiaTheme="minorEastAsia"/>
                <w:color w:val="000000" w:themeColor="text1"/>
                <w:kern w:val="24"/>
                <w:sz w:val="20"/>
                <w:szCs w:val="20"/>
                <w:lang w:eastAsia="ru-RU"/>
              </w:rPr>
              <w:t xml:space="preserve">161.9) </w:t>
            </w:r>
          </w:p>
        </w:tc>
        <w:tc>
          <w:tcPr>
            <w:tcW w:w="100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153.8</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 xml:space="preserve"> (108.2</w:t>
            </w:r>
            <w:r w:rsidRPr="00D75515">
              <w:rPr>
                <w:sz w:val="20"/>
                <w:szCs w:val="20"/>
              </w:rPr>
              <w:t>–</w:t>
            </w:r>
            <w:r w:rsidRPr="00D75515">
              <w:rPr>
                <w:rFonts w:eastAsiaTheme="minorEastAsia"/>
                <w:color w:val="000000" w:themeColor="text1"/>
                <w:kern w:val="24"/>
                <w:sz w:val="20"/>
                <w:szCs w:val="20"/>
                <w:lang w:eastAsia="ru-RU"/>
              </w:rPr>
              <w:t xml:space="preserve">230.3) </w:t>
            </w:r>
          </w:p>
        </w:tc>
        <w:tc>
          <w:tcPr>
            <w:tcW w:w="10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35" w:type="dxa"/>
              <w:bottom w:w="0" w:type="dxa"/>
              <w:right w:w="35" w:type="dxa"/>
            </w:tcMar>
            <w:hideMark/>
          </w:tcPr>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Calibri" w:cs="Times New Roman"/>
                <w:color w:val="000000" w:themeColor="text1"/>
                <w:kern w:val="24"/>
                <w:sz w:val="20"/>
                <w:szCs w:val="20"/>
                <w:lang w:eastAsia="ru-RU"/>
              </w:rPr>
              <w:t> </w:t>
            </w:r>
            <w:r w:rsidRPr="00D75515">
              <w:rPr>
                <w:rFonts w:eastAsiaTheme="minorEastAsia"/>
                <w:color w:val="000000" w:themeColor="text1"/>
                <w:kern w:val="24"/>
                <w:sz w:val="20"/>
                <w:szCs w:val="20"/>
                <w:lang w:eastAsia="ru-RU"/>
              </w:rPr>
              <w:t xml:space="preserve">135.8 </w:t>
            </w:r>
          </w:p>
          <w:p w:rsidR="00DF1992" w:rsidRPr="00D75515" w:rsidRDefault="00DF1992" w:rsidP="009B436E">
            <w:pPr>
              <w:spacing w:after="0" w:line="480" w:lineRule="auto"/>
              <w:jc w:val="center"/>
              <w:rPr>
                <w:rFonts w:eastAsia="Times New Roman" w:cs="Arial"/>
                <w:sz w:val="20"/>
                <w:szCs w:val="20"/>
                <w:lang w:val="ru-RU" w:eastAsia="ru-RU"/>
              </w:rPr>
            </w:pPr>
            <w:r w:rsidRPr="00D75515">
              <w:rPr>
                <w:rFonts w:eastAsiaTheme="minorEastAsia"/>
                <w:color w:val="000000" w:themeColor="text1"/>
                <w:kern w:val="24"/>
                <w:sz w:val="20"/>
                <w:szCs w:val="20"/>
                <w:lang w:eastAsia="ru-RU"/>
              </w:rPr>
              <w:t>(80.2</w:t>
            </w:r>
            <w:r w:rsidRPr="00D75515">
              <w:rPr>
                <w:sz w:val="20"/>
                <w:szCs w:val="20"/>
              </w:rPr>
              <w:t>–</w:t>
            </w:r>
            <w:r w:rsidRPr="00D75515">
              <w:rPr>
                <w:rFonts w:eastAsiaTheme="minorEastAsia"/>
                <w:color w:val="000000" w:themeColor="text1"/>
                <w:kern w:val="24"/>
                <w:sz w:val="20"/>
                <w:szCs w:val="20"/>
                <w:lang w:eastAsia="ru-RU"/>
              </w:rPr>
              <w:t>206.6)</w:t>
            </w:r>
          </w:p>
        </w:tc>
      </w:tr>
    </w:tbl>
    <w:p w:rsidR="00DF1992" w:rsidRPr="00913EF7" w:rsidRDefault="00DF1992" w:rsidP="00DF1992">
      <w:pPr>
        <w:pStyle w:val="NormalWeb"/>
        <w:spacing w:before="0" w:beforeAutospacing="0" w:after="0" w:afterAutospacing="0" w:line="480" w:lineRule="auto"/>
        <w:rPr>
          <w:rFonts w:asciiTheme="minorHAnsi" w:hAnsiTheme="minorHAnsi"/>
          <w:lang w:val="en-US"/>
        </w:rPr>
      </w:pPr>
    </w:p>
    <w:p w:rsidR="00DF1992" w:rsidRPr="004C18A7" w:rsidRDefault="00DF1992" w:rsidP="00DF1992">
      <w:pPr>
        <w:pStyle w:val="NormalWeb"/>
        <w:spacing w:before="0" w:beforeAutospacing="0" w:after="0" w:afterAutospacing="0" w:line="480" w:lineRule="auto"/>
        <w:rPr>
          <w:rFonts w:asciiTheme="minorHAnsi" w:hAnsiTheme="minorHAnsi"/>
          <w:b/>
          <w:u w:val="single"/>
          <w:lang w:val="en-US"/>
        </w:rPr>
      </w:pPr>
      <w:r w:rsidRPr="00913EF7">
        <w:rPr>
          <w:rFonts w:asciiTheme="minorHAnsi" w:hAnsiTheme="minorHAnsi"/>
          <w:lang w:val="en-US"/>
        </w:rPr>
        <w:t>SD – standard deviation; BD – bladder distention.</w:t>
      </w:r>
    </w:p>
    <w:p w:rsidR="00DF1992" w:rsidRPr="00DF1992" w:rsidRDefault="00DF1992" w:rsidP="008A477F">
      <w:pPr>
        <w:spacing w:line="480" w:lineRule="auto"/>
        <w:rPr>
          <w:b/>
          <w:sz w:val="24"/>
          <w:szCs w:val="24"/>
        </w:rPr>
      </w:pPr>
    </w:p>
    <w:p w:rsidR="00CC1043" w:rsidRPr="00CC1043" w:rsidRDefault="00CC1043" w:rsidP="00CC1043">
      <w:pPr>
        <w:spacing w:line="480" w:lineRule="auto"/>
        <w:rPr>
          <w:b/>
          <w:sz w:val="24"/>
          <w:szCs w:val="24"/>
        </w:rPr>
      </w:pPr>
      <w:r>
        <w:rPr>
          <w:b/>
          <w:sz w:val="24"/>
          <w:szCs w:val="24"/>
        </w:rPr>
        <w:lastRenderedPageBreak/>
        <w:t>References</w:t>
      </w:r>
      <w:r w:rsidR="00F61815" w:rsidRPr="00CC1043">
        <w:fldChar w:fldCharType="begin"/>
      </w:r>
      <w:r w:rsidR="00F61815" w:rsidRPr="00CC1043">
        <w:instrText xml:space="preserve"> ADDIN EN.REFLIST </w:instrText>
      </w:r>
      <w:r w:rsidR="00F61815" w:rsidRPr="00CC1043">
        <w:fldChar w:fldCharType="separate"/>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 xml:space="preserve">[1] </w:t>
      </w:r>
      <w:r w:rsidR="00CC1043" w:rsidRPr="00CC1043">
        <w:rPr>
          <w:rFonts w:ascii="Calibri" w:hAnsi="Calibri"/>
          <w:noProof/>
          <w:sz w:val="24"/>
          <w:lang w:val="en-US"/>
        </w:rPr>
        <w:t>Antoni S, Ferlay J, Soerjomataram I, Znaor A, Jemal A, Bray F. Bladder Cancer Incidence and Mortality: A Global Overv</w:t>
      </w:r>
      <w:r>
        <w:rPr>
          <w:rFonts w:ascii="Calibri" w:hAnsi="Calibri"/>
          <w:noProof/>
          <w:sz w:val="24"/>
          <w:lang w:val="en-US"/>
        </w:rPr>
        <w:t>iew and Recent Trends. Eur Urol</w:t>
      </w:r>
      <w:r w:rsidR="00CC1043" w:rsidRPr="00CC1043">
        <w:rPr>
          <w:rFonts w:ascii="Calibri" w:hAnsi="Calibri"/>
          <w:noProof/>
          <w:sz w:val="24"/>
          <w:lang w:val="en-US"/>
        </w:rPr>
        <w:t xml:space="preserve"> 2017;71(1):96</w:t>
      </w:r>
      <w:r w:rsidR="00CC1043">
        <w:rPr>
          <w:rFonts w:ascii="Arial" w:hAnsi="Arial" w:cs="Arial"/>
          <w:color w:val="4D4D4D"/>
          <w:sz w:val="18"/>
          <w:szCs w:val="18"/>
          <w:shd w:val="clear" w:color="auto" w:fill="FFFFFF"/>
        </w:rPr>
        <w:t>–</w:t>
      </w:r>
      <w:r w:rsidR="00CC1043" w:rsidRPr="00CC1043">
        <w:rPr>
          <w:rFonts w:ascii="Calibri" w:hAnsi="Calibri"/>
          <w:noProof/>
          <w:sz w:val="24"/>
          <w:lang w:val="en-US"/>
        </w:rPr>
        <w:t>108.</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2</w:t>
      </w:r>
      <w:r>
        <w:rPr>
          <w:rFonts w:ascii="Calibri" w:hAnsi="Calibri"/>
          <w:noProof/>
          <w:sz w:val="24"/>
          <w:lang w:val="en-US"/>
        </w:rPr>
        <w:t xml:space="preserve">] </w:t>
      </w:r>
      <w:r w:rsidR="00CC1043" w:rsidRPr="00CC1043">
        <w:rPr>
          <w:rFonts w:ascii="Calibri" w:hAnsi="Calibri"/>
          <w:noProof/>
          <w:sz w:val="24"/>
          <w:lang w:val="en-US"/>
        </w:rPr>
        <w:t>Ficarra V, Dalpiaz O, Alrabi N, Novara G, Galfano A, Artibani W. Correlation between clinical and pathological staging in a series of radical cystectomies</w:t>
      </w:r>
      <w:r>
        <w:rPr>
          <w:rFonts w:ascii="Calibri" w:hAnsi="Calibri"/>
          <w:noProof/>
          <w:sz w:val="24"/>
          <w:lang w:val="en-US"/>
        </w:rPr>
        <w:t xml:space="preserve"> for bladder carcinoma. BJU Int</w:t>
      </w:r>
      <w:r w:rsidR="00CC1043" w:rsidRPr="00CC1043">
        <w:rPr>
          <w:rFonts w:ascii="Calibri" w:hAnsi="Calibri"/>
          <w:noProof/>
          <w:sz w:val="24"/>
          <w:lang w:val="en-US"/>
        </w:rPr>
        <w:t xml:space="preserve"> 2005;95(6):786</w:t>
      </w:r>
      <w:r w:rsidR="00CC1043">
        <w:rPr>
          <w:rFonts w:ascii="Arial" w:hAnsi="Arial" w:cs="Arial"/>
          <w:color w:val="4D4D4D"/>
          <w:sz w:val="18"/>
          <w:szCs w:val="18"/>
          <w:shd w:val="clear" w:color="auto" w:fill="FFFFFF"/>
        </w:rPr>
        <w:t>–</w:t>
      </w:r>
      <w:r w:rsidR="00CC1043" w:rsidRPr="00CC1043">
        <w:rPr>
          <w:rFonts w:ascii="Calibri" w:hAnsi="Calibri"/>
          <w:noProof/>
          <w:sz w:val="24"/>
          <w:lang w:val="en-US"/>
        </w:rPr>
        <w:t>90.</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3</w:t>
      </w:r>
      <w:r>
        <w:rPr>
          <w:rFonts w:ascii="Calibri" w:hAnsi="Calibri"/>
          <w:noProof/>
          <w:sz w:val="24"/>
          <w:lang w:val="en-US"/>
        </w:rPr>
        <w:t xml:space="preserve">] </w:t>
      </w:r>
      <w:r w:rsidR="00CC1043" w:rsidRPr="00CC1043">
        <w:rPr>
          <w:rFonts w:ascii="Calibri" w:hAnsi="Calibri"/>
          <w:noProof/>
          <w:sz w:val="24"/>
          <w:lang w:val="en-US"/>
        </w:rPr>
        <w:t>Svatek RS, Shariat SF, Novara G, Skinner EC, Fradet Y, Bastian PJ, et al. Discrepancy between clinical and pathological stage: external validation of the impact on prognosis in an international rad</w:t>
      </w:r>
      <w:r>
        <w:rPr>
          <w:rFonts w:ascii="Calibri" w:hAnsi="Calibri"/>
          <w:noProof/>
          <w:sz w:val="24"/>
          <w:lang w:val="en-US"/>
        </w:rPr>
        <w:t>ical cystectomy cohort. BJU Int</w:t>
      </w:r>
      <w:r w:rsidR="00CC1043" w:rsidRPr="00CC1043">
        <w:rPr>
          <w:rFonts w:ascii="Calibri" w:hAnsi="Calibri"/>
          <w:noProof/>
          <w:sz w:val="24"/>
          <w:lang w:val="en-US"/>
        </w:rPr>
        <w:t xml:space="preserve"> 2011;107(6):898</w:t>
      </w:r>
      <w:r w:rsidR="00CC1043">
        <w:rPr>
          <w:rFonts w:ascii="Arial" w:hAnsi="Arial" w:cs="Arial"/>
          <w:color w:val="4D4D4D"/>
          <w:sz w:val="18"/>
          <w:szCs w:val="18"/>
          <w:shd w:val="clear" w:color="auto" w:fill="FFFFFF"/>
        </w:rPr>
        <w:t>–</w:t>
      </w:r>
      <w:r w:rsidR="00CC1043" w:rsidRPr="00CC1043">
        <w:rPr>
          <w:rFonts w:ascii="Calibri" w:hAnsi="Calibri"/>
          <w:noProof/>
          <w:sz w:val="24"/>
          <w:lang w:val="en-US"/>
        </w:rPr>
        <w:t>904.</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4</w:t>
      </w:r>
      <w:r>
        <w:rPr>
          <w:rFonts w:ascii="Calibri" w:hAnsi="Calibri"/>
          <w:noProof/>
          <w:sz w:val="24"/>
          <w:lang w:val="en-US"/>
        </w:rPr>
        <w:t xml:space="preserve">] </w:t>
      </w:r>
      <w:r w:rsidR="00CC1043" w:rsidRPr="00CC1043">
        <w:rPr>
          <w:rFonts w:ascii="Calibri" w:hAnsi="Calibri"/>
          <w:noProof/>
          <w:sz w:val="24"/>
          <w:lang w:val="en-US"/>
        </w:rPr>
        <w:t>Woldu SL, Bagrodia A, Lotan Y. Guideline of guidelines: non-muscle-invasive bladder cancer.</w:t>
      </w:r>
      <w:r>
        <w:rPr>
          <w:rFonts w:ascii="Calibri" w:hAnsi="Calibri"/>
          <w:noProof/>
          <w:sz w:val="24"/>
          <w:lang w:val="en-US"/>
        </w:rPr>
        <w:t xml:space="preserve"> BJU Int</w:t>
      </w:r>
      <w:r w:rsidR="00CC1043" w:rsidRPr="00CC1043">
        <w:rPr>
          <w:rFonts w:ascii="Calibri" w:hAnsi="Calibri"/>
          <w:noProof/>
          <w:sz w:val="24"/>
          <w:lang w:val="en-US"/>
        </w:rPr>
        <w:t xml:space="preserve"> 2017;119(3):371</w:t>
      </w:r>
      <w:r w:rsidR="00CC1043">
        <w:rPr>
          <w:rFonts w:ascii="Arial" w:hAnsi="Arial" w:cs="Arial"/>
          <w:color w:val="4D4D4D"/>
          <w:sz w:val="18"/>
          <w:szCs w:val="18"/>
          <w:shd w:val="clear" w:color="auto" w:fill="FFFFFF"/>
        </w:rPr>
        <w:t>–</w:t>
      </w:r>
      <w:r w:rsidR="00CC1043" w:rsidRPr="00CC1043">
        <w:rPr>
          <w:rFonts w:ascii="Calibri" w:hAnsi="Calibri"/>
          <w:noProof/>
          <w:sz w:val="24"/>
          <w:lang w:val="en-US"/>
        </w:rPr>
        <w:t>80.</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5</w:t>
      </w:r>
      <w:r>
        <w:rPr>
          <w:rFonts w:ascii="Calibri" w:hAnsi="Calibri"/>
          <w:noProof/>
          <w:sz w:val="24"/>
          <w:lang w:val="en-US"/>
        </w:rPr>
        <w:t xml:space="preserve">] </w:t>
      </w:r>
      <w:r w:rsidR="00CC1043" w:rsidRPr="00CC1043">
        <w:rPr>
          <w:rFonts w:ascii="Calibri" w:hAnsi="Calibri"/>
          <w:noProof/>
          <w:sz w:val="24"/>
          <w:lang w:val="en-US"/>
        </w:rPr>
        <w:t>Babjuk M, Bohle A, Burger M, Capoun O, Cohen D, Comperat EM, et al. EAU Guidelines on Non-Muscle-invasive Urothelial Carcinoma of the</w:t>
      </w:r>
      <w:r>
        <w:rPr>
          <w:rFonts w:ascii="Calibri" w:hAnsi="Calibri"/>
          <w:noProof/>
          <w:sz w:val="24"/>
          <w:lang w:val="en-US"/>
        </w:rPr>
        <w:t xml:space="preserve"> Bladder: Update 2016. Eur Urol</w:t>
      </w:r>
      <w:r w:rsidR="00CC1043" w:rsidRPr="00CC1043">
        <w:rPr>
          <w:rFonts w:ascii="Calibri" w:hAnsi="Calibri"/>
          <w:noProof/>
          <w:sz w:val="24"/>
          <w:lang w:val="en-US"/>
        </w:rPr>
        <w:t xml:space="preserve"> 2017;71(3):447</w:t>
      </w:r>
      <w:r w:rsidR="00CC1043">
        <w:rPr>
          <w:rFonts w:ascii="Arial" w:hAnsi="Arial" w:cs="Arial"/>
          <w:color w:val="4D4D4D"/>
          <w:sz w:val="18"/>
          <w:szCs w:val="18"/>
          <w:shd w:val="clear" w:color="auto" w:fill="FFFFFF"/>
        </w:rPr>
        <w:t>–</w:t>
      </w:r>
      <w:r w:rsidR="00CC1043" w:rsidRPr="00CC1043">
        <w:rPr>
          <w:rFonts w:ascii="Calibri" w:hAnsi="Calibri"/>
          <w:noProof/>
          <w:sz w:val="24"/>
          <w:lang w:val="en-US"/>
        </w:rPr>
        <w:t>61.</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6</w:t>
      </w:r>
      <w:r>
        <w:rPr>
          <w:rFonts w:ascii="Calibri" w:hAnsi="Calibri"/>
          <w:noProof/>
          <w:sz w:val="24"/>
          <w:lang w:val="en-US"/>
        </w:rPr>
        <w:t xml:space="preserve">] </w:t>
      </w:r>
      <w:r w:rsidR="00CC1043" w:rsidRPr="00CC1043">
        <w:rPr>
          <w:rFonts w:ascii="Calibri" w:hAnsi="Calibri"/>
          <w:noProof/>
          <w:sz w:val="24"/>
          <w:lang w:val="en-US"/>
        </w:rPr>
        <w:t>Matulewicz RS, Sharma V, McGuire BB, Oberlin DT, Perry KT, Nadler RB. The effect of surgical duration of transurethral resection of bladder tumors on postoperative complications: An analysi</w:t>
      </w:r>
      <w:r>
        <w:rPr>
          <w:rFonts w:ascii="Calibri" w:hAnsi="Calibri"/>
          <w:noProof/>
          <w:sz w:val="24"/>
          <w:lang w:val="en-US"/>
        </w:rPr>
        <w:t>s of ACS NSQIP data. Urol Oncol</w:t>
      </w:r>
      <w:r w:rsidR="00CC1043" w:rsidRPr="00CC1043">
        <w:rPr>
          <w:rFonts w:ascii="Calibri" w:hAnsi="Calibri"/>
          <w:noProof/>
          <w:sz w:val="24"/>
          <w:lang w:val="en-US"/>
        </w:rPr>
        <w:t xml:space="preserve"> 2015;33(8):338.e19</w:t>
      </w:r>
      <w:r w:rsidR="00CC1043">
        <w:rPr>
          <w:rFonts w:ascii="Arial" w:hAnsi="Arial" w:cs="Arial"/>
          <w:color w:val="4D4D4D"/>
          <w:sz w:val="18"/>
          <w:szCs w:val="18"/>
          <w:shd w:val="clear" w:color="auto" w:fill="FFFFFF"/>
        </w:rPr>
        <w:t>–</w:t>
      </w:r>
      <w:r w:rsidR="00CC1043" w:rsidRPr="00CC1043">
        <w:rPr>
          <w:rFonts w:ascii="Calibri" w:hAnsi="Calibri"/>
          <w:noProof/>
          <w:sz w:val="24"/>
          <w:lang w:val="en-US"/>
        </w:rPr>
        <w:t>24.</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7</w:t>
      </w:r>
      <w:r>
        <w:rPr>
          <w:rFonts w:ascii="Calibri" w:hAnsi="Calibri"/>
          <w:noProof/>
          <w:sz w:val="24"/>
          <w:lang w:val="en-US"/>
        </w:rPr>
        <w:t xml:space="preserve">] </w:t>
      </w:r>
      <w:r w:rsidR="00CC1043" w:rsidRPr="00CC1043">
        <w:rPr>
          <w:rFonts w:ascii="Calibri" w:hAnsi="Calibri"/>
          <w:noProof/>
          <w:sz w:val="24"/>
          <w:lang w:val="en-US"/>
        </w:rPr>
        <w:t>Zainfeld D, Daneshmand S. Transurethral Resection of Bladder Tumors: Improving Quality Through New Techniques and Technologies. Curr Urol Rep 2017;18(5):34.</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8</w:t>
      </w:r>
      <w:r>
        <w:rPr>
          <w:rFonts w:ascii="Calibri" w:hAnsi="Calibri"/>
          <w:noProof/>
          <w:sz w:val="24"/>
          <w:lang w:val="en-US"/>
        </w:rPr>
        <w:t xml:space="preserve">] </w:t>
      </w:r>
      <w:r w:rsidR="00CC1043" w:rsidRPr="00CC1043">
        <w:rPr>
          <w:rFonts w:ascii="Calibri" w:hAnsi="Calibri"/>
          <w:noProof/>
          <w:sz w:val="24"/>
          <w:lang w:val="en-US"/>
        </w:rPr>
        <w:t>de Haas RJ, Steyvers MJ, Futterer JJ. Multiparametric MRI of the bladder: ready for clinic</w:t>
      </w:r>
      <w:r>
        <w:rPr>
          <w:rFonts w:ascii="Calibri" w:hAnsi="Calibri"/>
          <w:noProof/>
          <w:sz w:val="24"/>
          <w:lang w:val="en-US"/>
        </w:rPr>
        <w:t>al routine? AJR Am J Roentgenol</w:t>
      </w:r>
      <w:r w:rsidR="00CC1043" w:rsidRPr="00CC1043">
        <w:rPr>
          <w:rFonts w:ascii="Calibri" w:hAnsi="Calibri"/>
          <w:noProof/>
          <w:sz w:val="24"/>
          <w:lang w:val="en-US"/>
        </w:rPr>
        <w:t xml:space="preserve"> 2014;202(6):1187</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95.</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lastRenderedPageBreak/>
        <w:t>[</w:t>
      </w:r>
      <w:r w:rsidR="00CC1043" w:rsidRPr="00CC1043">
        <w:rPr>
          <w:rFonts w:ascii="Calibri" w:hAnsi="Calibri"/>
          <w:noProof/>
          <w:sz w:val="24"/>
          <w:lang w:val="en-US"/>
        </w:rPr>
        <w:t>9</w:t>
      </w:r>
      <w:r>
        <w:rPr>
          <w:rFonts w:ascii="Calibri" w:hAnsi="Calibri"/>
          <w:noProof/>
          <w:sz w:val="24"/>
          <w:lang w:val="en-US"/>
        </w:rPr>
        <w:t xml:space="preserve">] </w:t>
      </w:r>
      <w:r w:rsidR="00CC1043" w:rsidRPr="00CC1043">
        <w:rPr>
          <w:rFonts w:ascii="Calibri" w:hAnsi="Calibri"/>
          <w:noProof/>
          <w:sz w:val="24"/>
          <w:lang w:val="en-US"/>
        </w:rPr>
        <w:t>Abraham MK, Viswanath N, Ramakrishnan P, Bindu S, Kedari P, Naaz A, et al. Intravesical pressure: A new prognostic indicator in congenital diaphragmatic hern</w:t>
      </w:r>
      <w:r>
        <w:rPr>
          <w:rFonts w:ascii="Calibri" w:hAnsi="Calibri"/>
          <w:noProof/>
          <w:sz w:val="24"/>
          <w:lang w:val="en-US"/>
        </w:rPr>
        <w:t>ia. J Indian Assoc Pediatr Surg</w:t>
      </w:r>
      <w:r w:rsidR="00CC1043" w:rsidRPr="00CC1043">
        <w:rPr>
          <w:rFonts w:ascii="Calibri" w:hAnsi="Calibri"/>
          <w:noProof/>
          <w:sz w:val="24"/>
          <w:lang w:val="en-US"/>
        </w:rPr>
        <w:t xml:space="preserve"> 2011;16(4):129</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31.</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10</w:t>
      </w:r>
      <w:r>
        <w:rPr>
          <w:rFonts w:ascii="Calibri" w:hAnsi="Calibri"/>
          <w:noProof/>
          <w:sz w:val="24"/>
          <w:lang w:val="en-US"/>
        </w:rPr>
        <w:t xml:space="preserve">] </w:t>
      </w:r>
      <w:r w:rsidR="00CC1043" w:rsidRPr="00CC1043">
        <w:rPr>
          <w:rFonts w:ascii="Calibri" w:hAnsi="Calibri"/>
          <w:noProof/>
          <w:sz w:val="24"/>
          <w:lang w:val="en-US"/>
        </w:rPr>
        <w:t>Verma S, Rajesh A, Prasad SR, Gaitonde K, Lall CG, Mouraviev V, et al. Urinary bladder cancer: role of MR imaging. Radiographics 2012;32(2):371</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87.</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11</w:t>
      </w:r>
      <w:r>
        <w:rPr>
          <w:rFonts w:ascii="Calibri" w:hAnsi="Calibri"/>
          <w:noProof/>
          <w:sz w:val="24"/>
          <w:lang w:val="en-US"/>
        </w:rPr>
        <w:t xml:space="preserve">] </w:t>
      </w:r>
      <w:r w:rsidR="00CC1043" w:rsidRPr="00CC1043">
        <w:rPr>
          <w:rFonts w:ascii="Calibri" w:hAnsi="Calibri"/>
          <w:noProof/>
          <w:sz w:val="24"/>
          <w:lang w:val="en-US"/>
        </w:rPr>
        <w:t>Green DA, Durand M, Gumpeni N, Rink M, Cha EK, Karakiewicz PI, et al. Role of magnetic resonance imaging in bladder cancer: current status a</w:t>
      </w:r>
      <w:r>
        <w:rPr>
          <w:rFonts w:ascii="Calibri" w:hAnsi="Calibri"/>
          <w:noProof/>
          <w:sz w:val="24"/>
          <w:lang w:val="en-US"/>
        </w:rPr>
        <w:t>nd emerging techniques. BJU Int</w:t>
      </w:r>
      <w:r w:rsidR="00CC1043" w:rsidRPr="00CC1043">
        <w:rPr>
          <w:rFonts w:ascii="Calibri" w:hAnsi="Calibri"/>
          <w:noProof/>
          <w:sz w:val="24"/>
          <w:lang w:val="en-US"/>
        </w:rPr>
        <w:t xml:space="preserve"> 2012;110(10):1463</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70.</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12</w:t>
      </w:r>
      <w:r>
        <w:rPr>
          <w:rFonts w:ascii="Calibri" w:hAnsi="Calibri"/>
          <w:noProof/>
          <w:sz w:val="24"/>
          <w:lang w:val="en-US"/>
        </w:rPr>
        <w:t xml:space="preserve">] </w:t>
      </w:r>
      <w:r w:rsidR="00CC1043" w:rsidRPr="00CC1043">
        <w:rPr>
          <w:rFonts w:ascii="Calibri" w:hAnsi="Calibri"/>
          <w:noProof/>
          <w:sz w:val="24"/>
          <w:lang w:val="en-US"/>
        </w:rPr>
        <w:t>Woo S, Suh CH, Kim SY, Cho JY, Kim SH. Diagnostic performance of MRI for prediction of muscle-invasiveness of bladder cancer: A systematic review and meta-analysis. Eur</w:t>
      </w:r>
      <w:r>
        <w:rPr>
          <w:rFonts w:ascii="Calibri" w:hAnsi="Calibri"/>
          <w:noProof/>
          <w:sz w:val="24"/>
          <w:lang w:val="en-US"/>
        </w:rPr>
        <w:t xml:space="preserve"> J</w:t>
      </w:r>
      <w:r w:rsidR="00CC1043" w:rsidRPr="00CC1043">
        <w:rPr>
          <w:rFonts w:ascii="Calibri" w:hAnsi="Calibri"/>
          <w:noProof/>
          <w:sz w:val="24"/>
          <w:lang w:val="en-US"/>
        </w:rPr>
        <w:t xml:space="preserve"> Radiol 2017;95:46</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55.</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13</w:t>
      </w:r>
      <w:r>
        <w:rPr>
          <w:rFonts w:ascii="Calibri" w:hAnsi="Calibri"/>
          <w:noProof/>
          <w:sz w:val="24"/>
          <w:lang w:val="en-US"/>
        </w:rPr>
        <w:t xml:space="preserve">] </w:t>
      </w:r>
      <w:r w:rsidR="00CC1043" w:rsidRPr="00CC1043">
        <w:rPr>
          <w:rFonts w:ascii="Calibri" w:hAnsi="Calibri"/>
          <w:noProof/>
          <w:sz w:val="24"/>
          <w:lang w:val="en-US"/>
        </w:rPr>
        <w:t>Panebianco V, Barchetti F, de Haas RJ, Pearson RA, Kennish SJ, Giannarini G, et al. Improving Staging in Bladder Cancer: The Increasing Role of Multiparametric Magnetic Re</w:t>
      </w:r>
      <w:r>
        <w:rPr>
          <w:rFonts w:ascii="Calibri" w:hAnsi="Calibri"/>
          <w:noProof/>
          <w:sz w:val="24"/>
          <w:lang w:val="en-US"/>
        </w:rPr>
        <w:t>sonance Imaging. Eur Urol Focus</w:t>
      </w:r>
      <w:r w:rsidR="00CC1043" w:rsidRPr="00CC1043">
        <w:rPr>
          <w:rFonts w:ascii="Calibri" w:hAnsi="Calibri"/>
          <w:noProof/>
          <w:sz w:val="24"/>
          <w:lang w:val="en-US"/>
        </w:rPr>
        <w:t xml:space="preserve"> 2016;2(2):113</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21.</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 xml:space="preserve">[14] </w:t>
      </w:r>
      <w:r w:rsidR="00CC1043" w:rsidRPr="00CC1043">
        <w:rPr>
          <w:rFonts w:ascii="Calibri" w:hAnsi="Calibri"/>
          <w:noProof/>
          <w:sz w:val="24"/>
          <w:lang w:val="en-US"/>
        </w:rPr>
        <w:t>Barentsz JO, Ruijs SH, Strijk SP. The role of MR imaging in carcinoma of the urina</w:t>
      </w:r>
      <w:r>
        <w:rPr>
          <w:rFonts w:ascii="Calibri" w:hAnsi="Calibri"/>
          <w:noProof/>
          <w:sz w:val="24"/>
          <w:lang w:val="en-US"/>
        </w:rPr>
        <w:t>ry bladder. AJR Am J Roentgenol</w:t>
      </w:r>
      <w:r w:rsidR="00CC1043" w:rsidRPr="00CC1043">
        <w:rPr>
          <w:rFonts w:ascii="Calibri" w:hAnsi="Calibri"/>
          <w:noProof/>
          <w:sz w:val="24"/>
          <w:lang w:val="en-US"/>
        </w:rPr>
        <w:t xml:space="preserve"> 1993;160(5):937</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47.</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 xml:space="preserve">[15] </w:t>
      </w:r>
      <w:r w:rsidR="00CC1043" w:rsidRPr="00CC1043">
        <w:rPr>
          <w:rFonts w:ascii="Calibri" w:hAnsi="Calibri"/>
          <w:noProof/>
          <w:sz w:val="24"/>
          <w:lang w:val="en-US"/>
        </w:rPr>
        <w:t>Siroky MB. The Aging Bladder. Rev Urol 2004;6(Suppl 1):S3</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7.</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16</w:t>
      </w:r>
      <w:r>
        <w:rPr>
          <w:rFonts w:ascii="Calibri" w:hAnsi="Calibri"/>
          <w:noProof/>
          <w:sz w:val="24"/>
          <w:lang w:val="en-US"/>
        </w:rPr>
        <w:t xml:space="preserve">] </w:t>
      </w:r>
      <w:r w:rsidR="00CC1043" w:rsidRPr="00CC1043">
        <w:rPr>
          <w:rFonts w:ascii="Calibri" w:hAnsi="Calibri"/>
          <w:noProof/>
          <w:sz w:val="24"/>
          <w:lang w:val="en-US"/>
        </w:rPr>
        <w:t>Fujioka C, Ishii K, Yamanaga T, Ogino R, Kishimoto S, Kawamorita R, et al. Optimal bladder volume at treatment planning for prostate cancer patients receiving volumetric modulated arc therapy. Pract Radiat Oncol 2016;6(6):395</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401.</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lastRenderedPageBreak/>
        <w:t xml:space="preserve">[17] </w:t>
      </w:r>
      <w:r w:rsidR="00CC1043" w:rsidRPr="00CC1043">
        <w:rPr>
          <w:rFonts w:ascii="Calibri" w:hAnsi="Calibri"/>
          <w:noProof/>
          <w:sz w:val="24"/>
          <w:lang w:val="en-US"/>
        </w:rPr>
        <w:t>Bottin JH, Lemetais G, Poupin M, Jimenez L, Perrier ET. Equivalence of afternoon spot and 24-h urinary hydration biomarkers in free-living h</w:t>
      </w:r>
      <w:r>
        <w:rPr>
          <w:rFonts w:ascii="Calibri" w:hAnsi="Calibri"/>
          <w:noProof/>
          <w:sz w:val="24"/>
          <w:lang w:val="en-US"/>
        </w:rPr>
        <w:t xml:space="preserve">ealthy adults.  Eur J Clin Nutr </w:t>
      </w:r>
      <w:r w:rsidR="00CC1043" w:rsidRPr="00CC1043">
        <w:rPr>
          <w:rFonts w:ascii="Calibri" w:hAnsi="Calibri"/>
          <w:noProof/>
          <w:sz w:val="24"/>
          <w:lang w:val="en-US"/>
        </w:rPr>
        <w:t>702016. p. 904</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7.</w:t>
      </w:r>
    </w:p>
    <w:p w:rsidR="00CC1043" w:rsidRPr="00CC1043" w:rsidRDefault="008B1611" w:rsidP="00CC1043">
      <w:pPr>
        <w:spacing w:line="480" w:lineRule="auto"/>
        <w:rPr>
          <w:rFonts w:ascii="Calibri" w:hAnsi="Calibri"/>
          <w:noProof/>
          <w:sz w:val="24"/>
          <w:lang w:val="en-US"/>
        </w:rPr>
      </w:pPr>
      <w:r>
        <w:rPr>
          <w:rFonts w:ascii="Calibri" w:hAnsi="Calibri"/>
          <w:noProof/>
          <w:sz w:val="24"/>
          <w:lang w:val="en-US"/>
        </w:rPr>
        <w:t>[</w:t>
      </w:r>
      <w:r w:rsidR="00CC1043" w:rsidRPr="00CC1043">
        <w:rPr>
          <w:rFonts w:ascii="Calibri" w:hAnsi="Calibri"/>
          <w:noProof/>
          <w:sz w:val="24"/>
          <w:lang w:val="en-US"/>
        </w:rPr>
        <w:t>18</w:t>
      </w:r>
      <w:r>
        <w:rPr>
          <w:rFonts w:ascii="Calibri" w:hAnsi="Calibri"/>
          <w:noProof/>
          <w:sz w:val="24"/>
          <w:lang w:val="en-US"/>
        </w:rPr>
        <w:t xml:space="preserve">] </w:t>
      </w:r>
      <w:r w:rsidR="00CC1043" w:rsidRPr="00CC1043">
        <w:rPr>
          <w:rFonts w:ascii="Calibri" w:hAnsi="Calibri"/>
          <w:noProof/>
          <w:sz w:val="24"/>
          <w:lang w:val="en-US"/>
        </w:rPr>
        <w:t>Asplund R, Aberg H. Diurnal variation in the levels of antidiuretic hormo</w:t>
      </w:r>
      <w:r>
        <w:rPr>
          <w:rFonts w:ascii="Calibri" w:hAnsi="Calibri"/>
          <w:noProof/>
          <w:sz w:val="24"/>
          <w:lang w:val="en-US"/>
        </w:rPr>
        <w:t>ne in the elderly. J Intern Med</w:t>
      </w:r>
      <w:r w:rsidR="00CC1043" w:rsidRPr="00CC1043">
        <w:rPr>
          <w:rFonts w:ascii="Calibri" w:hAnsi="Calibri"/>
          <w:noProof/>
          <w:sz w:val="24"/>
          <w:lang w:val="en-US"/>
        </w:rPr>
        <w:t xml:space="preserve"> 1991;229(2):131</w:t>
      </w:r>
      <w:r w:rsidR="003A5107">
        <w:rPr>
          <w:rFonts w:ascii="Arial" w:hAnsi="Arial" w:cs="Arial"/>
          <w:color w:val="4D4D4D"/>
          <w:sz w:val="18"/>
          <w:szCs w:val="18"/>
          <w:shd w:val="clear" w:color="auto" w:fill="FFFFFF"/>
        </w:rPr>
        <w:t>–</w:t>
      </w:r>
      <w:r w:rsidR="00CC1043" w:rsidRPr="00CC1043">
        <w:rPr>
          <w:rFonts w:ascii="Calibri" w:hAnsi="Calibri"/>
          <w:noProof/>
          <w:sz w:val="24"/>
          <w:lang w:val="en-US"/>
        </w:rPr>
        <w:t>4.</w:t>
      </w:r>
    </w:p>
    <w:p w:rsidR="00DF1992" w:rsidRDefault="008B1611" w:rsidP="00DF1992">
      <w:pPr>
        <w:pStyle w:val="EndNoteBibliography"/>
        <w:spacing w:line="480" w:lineRule="auto"/>
        <w:ind w:left="708" w:hanging="708"/>
      </w:pPr>
      <w:r>
        <w:t xml:space="preserve">[19] </w:t>
      </w:r>
      <w:r w:rsidR="00CC1043" w:rsidRPr="00CC1043">
        <w:t>Erlich A, Zlotta AR. Treatment of bladder cancer in t</w:t>
      </w:r>
      <w:r>
        <w:t xml:space="preserve">he </w:t>
      </w:r>
      <w:r w:rsidR="00DF1992">
        <w:t xml:space="preserve">elderly. Investig Clin Urol </w:t>
      </w:r>
    </w:p>
    <w:p w:rsidR="00067430" w:rsidRPr="00DF1992" w:rsidRDefault="00C75D27" w:rsidP="00DF1992">
      <w:pPr>
        <w:pStyle w:val="EndNoteBibliography"/>
        <w:spacing w:line="480" w:lineRule="auto"/>
      </w:pPr>
      <w:r w:rsidRPr="00CC1043">
        <w:t>2016;57(Suppl 1):S26</w:t>
      </w:r>
      <w:r>
        <w:rPr>
          <w:rFonts w:ascii="Arial" w:hAnsi="Arial" w:cs="Arial"/>
          <w:color w:val="4D4D4D"/>
          <w:sz w:val="18"/>
          <w:szCs w:val="18"/>
          <w:shd w:val="clear" w:color="auto" w:fill="FFFFFF"/>
        </w:rPr>
        <w:t>–</w:t>
      </w:r>
      <w:r w:rsidRPr="00CC1043">
        <w:t>35.</w:t>
      </w:r>
      <w:r w:rsidR="00F61815" w:rsidRPr="00CC1043">
        <w:fldChar w:fldCharType="end"/>
      </w:r>
    </w:p>
    <w:sectPr w:rsidR="00067430" w:rsidRPr="00DF1992" w:rsidSect="00CC104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6D23" w:rsidRDefault="009E6D23" w:rsidP="005F16BE">
      <w:pPr>
        <w:spacing w:after="0" w:line="240" w:lineRule="auto"/>
      </w:pPr>
      <w:r>
        <w:separator/>
      </w:r>
    </w:p>
  </w:endnote>
  <w:endnote w:type="continuationSeparator" w:id="0">
    <w:p w:rsidR="009E6D23" w:rsidRDefault="009E6D23" w:rsidP="005F16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6D23" w:rsidRDefault="009E6D23" w:rsidP="005F16BE">
      <w:pPr>
        <w:spacing w:after="0" w:line="240" w:lineRule="auto"/>
      </w:pPr>
      <w:r>
        <w:separator/>
      </w:r>
    </w:p>
  </w:footnote>
  <w:footnote w:type="continuationSeparator" w:id="0">
    <w:p w:rsidR="009E6D23" w:rsidRDefault="009E6D23" w:rsidP="005F16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774EF"/>
    <w:multiLevelType w:val="hybridMultilevel"/>
    <w:tmpl w:val="7B3AFC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3B3648"/>
    <w:multiLevelType w:val="hybridMultilevel"/>
    <w:tmpl w:val="59F68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7F31EE"/>
    <w:multiLevelType w:val="hybridMultilevel"/>
    <w:tmpl w:val="7C0EB6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CAF667F"/>
    <w:multiLevelType w:val="hybridMultilevel"/>
    <w:tmpl w:val="B3729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14405D"/>
    <w:multiLevelType w:val="hybridMultilevel"/>
    <w:tmpl w:val="CC8244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27D17CB"/>
    <w:multiLevelType w:val="hybridMultilevel"/>
    <w:tmpl w:val="E81E56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29F4A4C"/>
    <w:multiLevelType w:val="hybridMultilevel"/>
    <w:tmpl w:val="1F3EE7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401EF2"/>
    <w:multiLevelType w:val="hybridMultilevel"/>
    <w:tmpl w:val="BBFE8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903281"/>
    <w:multiLevelType w:val="hybridMultilevel"/>
    <w:tmpl w:val="5B6A6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38430AC"/>
    <w:multiLevelType w:val="hybridMultilevel"/>
    <w:tmpl w:val="E2DC8F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3"/>
  </w:num>
  <w:num w:numId="3">
    <w:abstractNumId w:val="0"/>
  </w:num>
  <w:num w:numId="4">
    <w:abstractNumId w:val="1"/>
  </w:num>
  <w:num w:numId="5">
    <w:abstractNumId w:val="6"/>
  </w:num>
  <w:num w:numId="6">
    <w:abstractNumId w:val="7"/>
  </w:num>
  <w:num w:numId="7">
    <w:abstractNumId w:val="2"/>
  </w:num>
  <w:num w:numId="8">
    <w:abstractNumId w:val="9"/>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F61815"/>
    <w:rsid w:val="00067430"/>
    <w:rsid w:val="000B34F3"/>
    <w:rsid w:val="000F790E"/>
    <w:rsid w:val="001A28E6"/>
    <w:rsid w:val="002255A0"/>
    <w:rsid w:val="0022749A"/>
    <w:rsid w:val="003124B8"/>
    <w:rsid w:val="003628E7"/>
    <w:rsid w:val="003A5107"/>
    <w:rsid w:val="00417E19"/>
    <w:rsid w:val="005033AD"/>
    <w:rsid w:val="00515576"/>
    <w:rsid w:val="00552812"/>
    <w:rsid w:val="00573FC8"/>
    <w:rsid w:val="005F16BE"/>
    <w:rsid w:val="00651EB3"/>
    <w:rsid w:val="00694FE7"/>
    <w:rsid w:val="00761B4D"/>
    <w:rsid w:val="00807A27"/>
    <w:rsid w:val="00822CB0"/>
    <w:rsid w:val="008A477F"/>
    <w:rsid w:val="008B1611"/>
    <w:rsid w:val="008D2057"/>
    <w:rsid w:val="00913EF7"/>
    <w:rsid w:val="009A29F0"/>
    <w:rsid w:val="009E6D23"/>
    <w:rsid w:val="00A127EE"/>
    <w:rsid w:val="00A379DD"/>
    <w:rsid w:val="00A37AB3"/>
    <w:rsid w:val="00A97859"/>
    <w:rsid w:val="00B10819"/>
    <w:rsid w:val="00B8505B"/>
    <w:rsid w:val="00C70510"/>
    <w:rsid w:val="00C75D27"/>
    <w:rsid w:val="00CA3016"/>
    <w:rsid w:val="00CC1043"/>
    <w:rsid w:val="00D1756D"/>
    <w:rsid w:val="00D332FE"/>
    <w:rsid w:val="00D6414C"/>
    <w:rsid w:val="00DF1992"/>
    <w:rsid w:val="00E21156"/>
    <w:rsid w:val="00E27DAB"/>
    <w:rsid w:val="00F12499"/>
    <w:rsid w:val="00F61815"/>
    <w:rsid w:val="00F630C4"/>
    <w:rsid w:val="00F67086"/>
    <w:rsid w:val="00FD6436"/>
    <w:rsid w:val="00FE69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4C2556-2110-47A4-9165-B0F7E73CA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181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1815"/>
    <w:pPr>
      <w:ind w:left="720"/>
      <w:contextualSpacing/>
    </w:pPr>
  </w:style>
  <w:style w:type="paragraph" w:customStyle="1" w:styleId="EndNoteBibliographyTitle">
    <w:name w:val="EndNote Bibliography Title"/>
    <w:basedOn w:val="Normal"/>
    <w:link w:val="EndNoteBibliographyTitle0"/>
    <w:rsid w:val="00F61815"/>
    <w:pPr>
      <w:spacing w:after="0"/>
      <w:jc w:val="center"/>
    </w:pPr>
    <w:rPr>
      <w:rFonts w:ascii="Calibri" w:hAnsi="Calibri"/>
      <w:noProof/>
      <w:sz w:val="24"/>
      <w:lang w:val="en-US"/>
    </w:rPr>
  </w:style>
  <w:style w:type="character" w:customStyle="1" w:styleId="EndNoteBibliographyTitle0">
    <w:name w:val="EndNote Bibliography Title Знак"/>
    <w:basedOn w:val="DefaultParagraphFont"/>
    <w:link w:val="EndNoteBibliographyTitle"/>
    <w:rsid w:val="00F61815"/>
    <w:rPr>
      <w:rFonts w:ascii="Calibri" w:hAnsi="Calibri"/>
      <w:noProof/>
      <w:sz w:val="24"/>
      <w:lang w:val="en-US"/>
    </w:rPr>
  </w:style>
  <w:style w:type="paragraph" w:customStyle="1" w:styleId="EndNoteBibliography">
    <w:name w:val="EndNote Bibliography"/>
    <w:basedOn w:val="Normal"/>
    <w:link w:val="EndNoteBibliography0"/>
    <w:rsid w:val="00F61815"/>
    <w:pPr>
      <w:spacing w:line="240" w:lineRule="auto"/>
    </w:pPr>
    <w:rPr>
      <w:rFonts w:ascii="Calibri" w:hAnsi="Calibri"/>
      <w:noProof/>
      <w:sz w:val="24"/>
      <w:lang w:val="en-US"/>
    </w:rPr>
  </w:style>
  <w:style w:type="character" w:customStyle="1" w:styleId="EndNoteBibliography0">
    <w:name w:val="EndNote Bibliography Знак"/>
    <w:basedOn w:val="DefaultParagraphFont"/>
    <w:link w:val="EndNoteBibliography"/>
    <w:rsid w:val="00F61815"/>
    <w:rPr>
      <w:rFonts w:ascii="Calibri" w:hAnsi="Calibri"/>
      <w:noProof/>
      <w:sz w:val="24"/>
      <w:lang w:val="en-US"/>
    </w:rPr>
  </w:style>
  <w:style w:type="character" w:styleId="CommentReference">
    <w:name w:val="annotation reference"/>
    <w:basedOn w:val="DefaultParagraphFont"/>
    <w:uiPriority w:val="99"/>
    <w:semiHidden/>
    <w:unhideWhenUsed/>
    <w:rsid w:val="00F61815"/>
    <w:rPr>
      <w:sz w:val="16"/>
      <w:szCs w:val="16"/>
    </w:rPr>
  </w:style>
  <w:style w:type="paragraph" w:styleId="CommentText">
    <w:name w:val="annotation text"/>
    <w:basedOn w:val="Normal"/>
    <w:link w:val="CommentTextChar"/>
    <w:uiPriority w:val="99"/>
    <w:semiHidden/>
    <w:unhideWhenUsed/>
    <w:rsid w:val="00F61815"/>
    <w:pPr>
      <w:spacing w:line="240" w:lineRule="auto"/>
    </w:pPr>
    <w:rPr>
      <w:sz w:val="20"/>
      <w:szCs w:val="20"/>
    </w:rPr>
  </w:style>
  <w:style w:type="character" w:customStyle="1" w:styleId="CommentTextChar">
    <w:name w:val="Comment Text Char"/>
    <w:basedOn w:val="DefaultParagraphFont"/>
    <w:link w:val="CommentText"/>
    <w:uiPriority w:val="99"/>
    <w:semiHidden/>
    <w:rsid w:val="00F61815"/>
    <w:rPr>
      <w:sz w:val="20"/>
      <w:szCs w:val="20"/>
      <w:lang w:val="en-GB"/>
    </w:rPr>
  </w:style>
  <w:style w:type="paragraph" w:styleId="CommentSubject">
    <w:name w:val="annotation subject"/>
    <w:basedOn w:val="CommentText"/>
    <w:next w:val="CommentText"/>
    <w:link w:val="CommentSubjectChar"/>
    <w:uiPriority w:val="99"/>
    <w:semiHidden/>
    <w:unhideWhenUsed/>
    <w:rsid w:val="00F61815"/>
    <w:rPr>
      <w:b/>
      <w:bCs/>
    </w:rPr>
  </w:style>
  <w:style w:type="character" w:customStyle="1" w:styleId="CommentSubjectChar">
    <w:name w:val="Comment Subject Char"/>
    <w:basedOn w:val="CommentTextChar"/>
    <w:link w:val="CommentSubject"/>
    <w:uiPriority w:val="99"/>
    <w:semiHidden/>
    <w:rsid w:val="00F61815"/>
    <w:rPr>
      <w:b/>
      <w:bCs/>
      <w:sz w:val="20"/>
      <w:szCs w:val="20"/>
      <w:lang w:val="en-GB"/>
    </w:rPr>
  </w:style>
  <w:style w:type="paragraph" w:styleId="BalloonText">
    <w:name w:val="Balloon Text"/>
    <w:basedOn w:val="Normal"/>
    <w:link w:val="BalloonTextChar"/>
    <w:uiPriority w:val="99"/>
    <w:semiHidden/>
    <w:unhideWhenUsed/>
    <w:rsid w:val="00F618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1815"/>
    <w:rPr>
      <w:rFonts w:ascii="Tahoma" w:hAnsi="Tahoma" w:cs="Tahoma"/>
      <w:sz w:val="16"/>
      <w:szCs w:val="16"/>
      <w:lang w:val="en-GB"/>
    </w:rPr>
  </w:style>
  <w:style w:type="character" w:styleId="Hyperlink">
    <w:name w:val="Hyperlink"/>
    <w:basedOn w:val="DefaultParagraphFont"/>
    <w:uiPriority w:val="99"/>
    <w:unhideWhenUsed/>
    <w:rsid w:val="00F61815"/>
    <w:rPr>
      <w:color w:val="0000FF" w:themeColor="hyperlink"/>
      <w:u w:val="single"/>
    </w:rPr>
  </w:style>
  <w:style w:type="table" w:styleId="TableGrid">
    <w:name w:val="Table Grid"/>
    <w:basedOn w:val="TableNormal"/>
    <w:uiPriority w:val="59"/>
    <w:rsid w:val="00F61815"/>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6181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FootnoteText">
    <w:name w:val="footnote text"/>
    <w:basedOn w:val="Normal"/>
    <w:link w:val="FootnoteTextChar"/>
    <w:uiPriority w:val="99"/>
    <w:semiHidden/>
    <w:unhideWhenUsed/>
    <w:rsid w:val="00F6181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61815"/>
    <w:rPr>
      <w:sz w:val="20"/>
      <w:szCs w:val="20"/>
      <w:lang w:val="en-GB"/>
    </w:rPr>
  </w:style>
  <w:style w:type="character" w:styleId="FootnoteReference">
    <w:name w:val="footnote reference"/>
    <w:basedOn w:val="DefaultParagraphFont"/>
    <w:uiPriority w:val="99"/>
    <w:semiHidden/>
    <w:unhideWhenUsed/>
    <w:rsid w:val="00F61815"/>
    <w:rPr>
      <w:vertAlign w:val="superscript"/>
    </w:rPr>
  </w:style>
  <w:style w:type="paragraph" w:customStyle="1" w:styleId="Body1">
    <w:name w:val="Body 1"/>
    <w:rsid w:val="00F1249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360" w:lineRule="auto"/>
      <w:jc w:val="both"/>
      <w:outlineLvl w:val="0"/>
    </w:pPr>
    <w:rPr>
      <w:rFonts w:ascii="Arial" w:eastAsia="Arial Unicode MS" w:hAnsi="Arial Unicode MS" w:cs="Arial Unicode MS"/>
      <w:color w:val="000000"/>
      <w:sz w:val="24"/>
      <w:szCs w:val="24"/>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0B33A3-BF77-45BE-B153-D16BAEB01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4276</Words>
  <Characters>24375</Characters>
  <Application>Microsoft Office Word</Application>
  <DocSecurity>0</DocSecurity>
  <Lines>203</Lines>
  <Paragraphs>57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28594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Nikita</cp:lastModifiedBy>
  <cp:revision>4</cp:revision>
  <dcterms:created xsi:type="dcterms:W3CDTF">2018-07-11T16:58:00Z</dcterms:created>
  <dcterms:modified xsi:type="dcterms:W3CDTF">2018-07-30T09:21:00Z</dcterms:modified>
</cp:coreProperties>
</file>